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CF3BB" w14:textId="77777777" w:rsidR="00175D1D" w:rsidRPr="00F70E69" w:rsidRDefault="00175D1D" w:rsidP="00CD363C">
      <w:pPr>
        <w:tabs>
          <w:tab w:val="left" w:pos="3255"/>
        </w:tabs>
        <w:spacing w:after="0" w:line="240" w:lineRule="auto"/>
        <w:rPr>
          <w:rFonts w:ascii="Times New Roman" w:hAnsi="Times New Roman" w:cs="Times New Roman"/>
        </w:rPr>
      </w:pPr>
      <w:r>
        <w:rPr>
          <w:rFonts w:ascii="Times New Roman" w:hAnsi="Times New Roman" w:cs="Times New Roman"/>
        </w:rPr>
        <w:tab/>
      </w:r>
    </w:p>
    <w:tbl>
      <w:tblPr>
        <w:tblW w:w="8890" w:type="dxa"/>
        <w:tblInd w:w="473" w:type="dxa"/>
        <w:tblLayout w:type="fixed"/>
        <w:tblCellMar>
          <w:top w:w="55" w:type="dxa"/>
          <w:left w:w="55" w:type="dxa"/>
          <w:bottom w:w="55" w:type="dxa"/>
          <w:right w:w="55" w:type="dxa"/>
        </w:tblCellMar>
        <w:tblLook w:val="0000" w:firstRow="0" w:lastRow="0" w:firstColumn="0" w:lastColumn="0" w:noHBand="0" w:noVBand="0"/>
      </w:tblPr>
      <w:tblGrid>
        <w:gridCol w:w="2401"/>
        <w:gridCol w:w="6489"/>
      </w:tblGrid>
      <w:tr w:rsidR="00175D1D" w:rsidRPr="00F70E69" w14:paraId="757FE53D" w14:textId="77777777" w:rsidTr="00403B9A">
        <w:trPr>
          <w:trHeight w:hRule="exact" w:val="2571"/>
        </w:trPr>
        <w:tc>
          <w:tcPr>
            <w:tcW w:w="2401" w:type="dxa"/>
          </w:tcPr>
          <w:p w14:paraId="052F35FD" w14:textId="77777777" w:rsidR="00175D1D" w:rsidRPr="00F70E69" w:rsidRDefault="00175D1D" w:rsidP="00CD363C">
            <w:pPr>
              <w:widowControl w:val="0"/>
              <w:suppressLineNumbers/>
              <w:suppressAutoHyphens/>
              <w:spacing w:after="0" w:line="240" w:lineRule="auto"/>
              <w:jc w:val="center"/>
              <w:rPr>
                <w:rFonts w:ascii="Times New Roman" w:eastAsia="Lucida Sans Unicode" w:hAnsi="Times New Roman" w:cs="Tahoma"/>
                <w:sz w:val="24"/>
                <w:szCs w:val="24"/>
                <w:lang w:eastAsia="ar-SA"/>
              </w:rPr>
            </w:pPr>
            <w:r w:rsidRPr="00F70E69">
              <w:rPr>
                <w:rFonts w:ascii="Times New Roman" w:eastAsia="Lucida Sans Unicode" w:hAnsi="Times New Roman" w:cs="Tahoma"/>
                <w:noProof/>
                <w:sz w:val="24"/>
                <w:szCs w:val="24"/>
                <w:lang w:eastAsia="lv-LV"/>
              </w:rPr>
              <w:drawing>
                <wp:anchor distT="0" distB="0" distL="0" distR="0" simplePos="0" relativeHeight="251660800" behindDoc="0" locked="0" layoutInCell="1" allowOverlap="1" wp14:anchorId="275D3A7A" wp14:editId="3E9928B2">
                  <wp:simplePos x="0" y="0"/>
                  <wp:positionH relativeFrom="column">
                    <wp:posOffset>193675</wp:posOffset>
                  </wp:positionH>
                  <wp:positionV relativeFrom="paragraph">
                    <wp:posOffset>66675</wp:posOffset>
                  </wp:positionV>
                  <wp:extent cx="973455" cy="1138555"/>
                  <wp:effectExtent l="0" t="0" r="0" b="0"/>
                  <wp:wrapTopAndBottom/>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3455" cy="1138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89" w:type="dxa"/>
          </w:tcPr>
          <w:p w14:paraId="7F36D158" w14:textId="77777777" w:rsidR="00175D1D" w:rsidRPr="00F70E69" w:rsidRDefault="00175D1D" w:rsidP="00CD363C">
            <w:pPr>
              <w:widowControl w:val="0"/>
              <w:shd w:val="clear" w:color="auto" w:fill="FFFFFF"/>
              <w:tabs>
                <w:tab w:val="left" w:pos="720"/>
                <w:tab w:val="center" w:pos="4153"/>
                <w:tab w:val="right" w:pos="8306"/>
              </w:tabs>
              <w:suppressAutoHyphens/>
              <w:spacing w:after="0" w:line="240" w:lineRule="auto"/>
              <w:ind w:right="19"/>
              <w:jc w:val="center"/>
              <w:rPr>
                <w:rFonts w:ascii="Verdana" w:eastAsia="Times New Roman" w:hAnsi="Verdana" w:cs="Arial"/>
                <w:b/>
                <w:caps/>
                <w:sz w:val="36"/>
                <w:szCs w:val="36"/>
                <w:lang w:eastAsia="ar-SA"/>
              </w:rPr>
            </w:pPr>
            <w:r w:rsidRPr="00F70E69">
              <w:rPr>
                <w:rFonts w:ascii="Verdana" w:eastAsia="Times New Roman" w:hAnsi="Verdana" w:cs="Arial"/>
                <w:b/>
                <w:caps/>
                <w:sz w:val="36"/>
                <w:szCs w:val="36"/>
                <w:lang w:eastAsia="ar-SA"/>
              </w:rPr>
              <w:t>Rēzeknes novada pašvaldība</w:t>
            </w:r>
          </w:p>
          <w:p w14:paraId="750A2423"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ind w:right="19"/>
              <w:jc w:val="center"/>
              <w:rPr>
                <w:rFonts w:ascii="Verdana" w:eastAsia="Times New Roman" w:hAnsi="Verdana" w:cs="Times New Roman"/>
                <w:caps/>
                <w:sz w:val="18"/>
                <w:szCs w:val="18"/>
                <w:lang w:eastAsia="ar-SA"/>
              </w:rPr>
            </w:pPr>
            <w:r w:rsidRPr="00F70E69">
              <w:rPr>
                <w:rFonts w:ascii="Verdana" w:eastAsia="Times New Roman" w:hAnsi="Verdana" w:cs="Times New Roman"/>
                <w:caps/>
                <w:sz w:val="18"/>
                <w:szCs w:val="18"/>
                <w:lang w:eastAsia="ar-SA"/>
              </w:rPr>
              <w:t>Reģ.Nr.90009112679</w:t>
            </w:r>
          </w:p>
          <w:p w14:paraId="211946A2"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jc w:val="center"/>
              <w:rPr>
                <w:rFonts w:ascii="Verdana" w:eastAsia="Times New Roman" w:hAnsi="Verdana" w:cs="Times New Roman"/>
                <w:sz w:val="18"/>
                <w:szCs w:val="18"/>
                <w:lang w:eastAsia="ar-SA"/>
              </w:rPr>
            </w:pPr>
            <w:r w:rsidRPr="00F70E69">
              <w:rPr>
                <w:rFonts w:ascii="Verdana" w:eastAsia="Times New Roman" w:hAnsi="Verdana" w:cs="Times New Roman"/>
                <w:sz w:val="18"/>
                <w:szCs w:val="18"/>
                <w:lang w:eastAsia="ar-SA"/>
              </w:rPr>
              <w:t>Atbrīvošanas aleja 95, Rēzekne, LV – 4601,</w:t>
            </w:r>
          </w:p>
          <w:p w14:paraId="61B76853"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jc w:val="center"/>
              <w:rPr>
                <w:rFonts w:ascii="Verdana" w:eastAsia="Times New Roman" w:hAnsi="Verdana" w:cs="Times New Roman"/>
                <w:sz w:val="18"/>
                <w:szCs w:val="18"/>
                <w:lang w:eastAsia="ar-SA"/>
              </w:rPr>
            </w:pPr>
            <w:r w:rsidRPr="00F70E69">
              <w:rPr>
                <w:rFonts w:ascii="Verdana" w:eastAsia="Times New Roman" w:hAnsi="Verdana" w:cs="Times New Roman"/>
                <w:sz w:val="18"/>
                <w:szCs w:val="18"/>
                <w:lang w:eastAsia="ar-SA"/>
              </w:rPr>
              <w:t>Tel. 646 22238; 646 22231, Fax. 646 25935,</w:t>
            </w:r>
          </w:p>
          <w:p w14:paraId="542A3030"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jc w:val="center"/>
              <w:rPr>
                <w:rFonts w:ascii="Verdana" w:eastAsia="Times New Roman" w:hAnsi="Verdana" w:cs="Times New Roman"/>
                <w:sz w:val="18"/>
                <w:szCs w:val="18"/>
                <w:lang w:eastAsia="ar-SA"/>
              </w:rPr>
            </w:pPr>
            <w:r w:rsidRPr="00F70E69">
              <w:rPr>
                <w:rFonts w:ascii="Verdana" w:eastAsia="Times New Roman" w:hAnsi="Verdana" w:cs="Times New Roman"/>
                <w:sz w:val="18"/>
                <w:szCs w:val="18"/>
                <w:lang w:eastAsia="ar-SA"/>
              </w:rPr>
              <w:t xml:space="preserve">e–pasts: </w:t>
            </w:r>
            <w:hyperlink r:id="rId9" w:history="1">
              <w:r w:rsidRPr="00F70E69">
                <w:rPr>
                  <w:rFonts w:ascii="Verdana" w:eastAsia="Lucida Sans Unicode" w:hAnsi="Verdana" w:cs="Tahoma"/>
                  <w:color w:val="0000FF"/>
                  <w:sz w:val="18"/>
                  <w:szCs w:val="18"/>
                  <w:u w:val="single"/>
                  <w:lang w:eastAsia="ar-SA"/>
                </w:rPr>
                <w:t>info@rezeknesnovads.lv</w:t>
              </w:r>
            </w:hyperlink>
          </w:p>
          <w:p w14:paraId="71877AD3" w14:textId="77777777" w:rsidR="00175D1D" w:rsidRPr="00F70E69" w:rsidRDefault="00175D1D" w:rsidP="00CD363C">
            <w:pPr>
              <w:widowControl w:val="0"/>
              <w:shd w:val="clear" w:color="auto" w:fill="FFFFFF"/>
              <w:tabs>
                <w:tab w:val="left" w:pos="720"/>
                <w:tab w:val="center" w:pos="4153"/>
                <w:tab w:val="right" w:pos="8306"/>
              </w:tabs>
              <w:suppressAutoHyphens/>
              <w:spacing w:after="0" w:line="240" w:lineRule="auto"/>
              <w:ind w:right="19"/>
              <w:jc w:val="center"/>
              <w:rPr>
                <w:rFonts w:ascii="Times New Roman" w:eastAsia="Lucida Sans Unicode" w:hAnsi="Times New Roman" w:cs="Tahoma"/>
                <w:sz w:val="24"/>
                <w:szCs w:val="24"/>
                <w:lang w:eastAsia="ar-SA"/>
              </w:rPr>
            </w:pPr>
            <w:r w:rsidRPr="00F70E69">
              <w:rPr>
                <w:rFonts w:ascii="Verdana" w:eastAsia="Times New Roman" w:hAnsi="Verdana" w:cs="Times New Roman"/>
                <w:sz w:val="18"/>
                <w:szCs w:val="18"/>
                <w:lang w:eastAsia="ar-SA"/>
              </w:rPr>
              <w:t xml:space="preserve">Informācija internetā:  </w:t>
            </w:r>
            <w:hyperlink r:id="rId10" w:history="1">
              <w:r w:rsidRPr="00F70E69">
                <w:rPr>
                  <w:rFonts w:ascii="Verdana" w:eastAsia="Lucida Sans Unicode" w:hAnsi="Verdana" w:cs="Tahoma"/>
                  <w:color w:val="0000FF"/>
                  <w:sz w:val="18"/>
                  <w:szCs w:val="18"/>
                  <w:u w:val="single"/>
                  <w:lang w:eastAsia="ar-SA"/>
                </w:rPr>
                <w:t>http://www.rezeknesnovads.lv</w:t>
              </w:r>
            </w:hyperlink>
          </w:p>
        </w:tc>
      </w:tr>
    </w:tbl>
    <w:p w14:paraId="468A4747" w14:textId="77777777" w:rsidR="00175D1D" w:rsidRPr="00F70E69" w:rsidRDefault="00175D1D" w:rsidP="00CD363C">
      <w:pPr>
        <w:tabs>
          <w:tab w:val="left" w:pos="3255"/>
        </w:tabs>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w:t>
      </w:r>
    </w:p>
    <w:p w14:paraId="41DD3AD8" w14:textId="77777777" w:rsidR="00175D1D" w:rsidRDefault="00175D1D" w:rsidP="00CD363C">
      <w:pPr>
        <w:spacing w:after="0" w:line="240" w:lineRule="auto"/>
        <w:jc w:val="right"/>
        <w:rPr>
          <w:rFonts w:ascii="Times New Roman" w:hAnsi="Times New Roman" w:cs="Times New Roman"/>
        </w:rPr>
      </w:pPr>
    </w:p>
    <w:p w14:paraId="5F275851" w14:textId="77777777" w:rsidR="00CD363C" w:rsidRPr="00CD363C" w:rsidRDefault="00CD363C" w:rsidP="00CD363C">
      <w:pPr>
        <w:spacing w:after="0" w:line="240" w:lineRule="auto"/>
        <w:jc w:val="right"/>
        <w:rPr>
          <w:rFonts w:ascii="Times New Roman" w:eastAsia="Calibri" w:hAnsi="Times New Roman" w:cs="Times New Roman"/>
          <w:b/>
          <w:sz w:val="24"/>
          <w:szCs w:val="24"/>
          <w:lang w:val="en-US"/>
        </w:rPr>
      </w:pPr>
      <w:r w:rsidRPr="00CD363C">
        <w:rPr>
          <w:rFonts w:ascii="Times New Roman" w:eastAsia="Calibri" w:hAnsi="Times New Roman" w:cs="Times New Roman"/>
          <w:b/>
          <w:sz w:val="24"/>
          <w:szCs w:val="24"/>
          <w:lang w:val="en-US"/>
        </w:rPr>
        <w:t>APSTIPRINĀTI</w:t>
      </w:r>
    </w:p>
    <w:p w14:paraId="03741231" w14:textId="77777777" w:rsidR="00CD363C" w:rsidRPr="00CD363C" w:rsidRDefault="00CD363C" w:rsidP="00CD363C">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 xml:space="preserve">Rēzeknes novada domes </w:t>
      </w:r>
    </w:p>
    <w:p w14:paraId="16EA9175" w14:textId="77777777" w:rsidR="00CD363C" w:rsidRPr="00CD363C" w:rsidRDefault="00CD363C" w:rsidP="00CD363C">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 xml:space="preserve">2019.gada </w:t>
      </w:r>
      <w:proofErr w:type="gramStart"/>
      <w:r>
        <w:rPr>
          <w:rFonts w:ascii="Times New Roman" w:eastAsia="Calibri" w:hAnsi="Times New Roman" w:cs="Times New Roman"/>
          <w:sz w:val="24"/>
          <w:szCs w:val="24"/>
          <w:lang w:val="en-US"/>
        </w:rPr>
        <w:t>1.augusta</w:t>
      </w:r>
      <w:proofErr w:type="gramEnd"/>
      <w:r w:rsidRPr="00CD363C">
        <w:rPr>
          <w:rFonts w:ascii="Times New Roman" w:eastAsia="Calibri" w:hAnsi="Times New Roman" w:cs="Times New Roman"/>
          <w:sz w:val="24"/>
          <w:szCs w:val="24"/>
          <w:lang w:val="en-US"/>
        </w:rPr>
        <w:t xml:space="preserve"> sēdē</w:t>
      </w:r>
    </w:p>
    <w:p w14:paraId="3FDAFD10" w14:textId="70D570C5" w:rsidR="00CD363C" w:rsidRDefault="00CD363C" w:rsidP="00CD363C">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(protokols Nr.1</w:t>
      </w:r>
      <w:r>
        <w:rPr>
          <w:rFonts w:ascii="Times New Roman" w:eastAsia="Calibri" w:hAnsi="Times New Roman" w:cs="Times New Roman"/>
          <w:sz w:val="24"/>
          <w:szCs w:val="24"/>
          <w:lang w:val="en-US"/>
        </w:rPr>
        <w:t>8</w:t>
      </w:r>
      <w:r w:rsidRPr="00CD363C">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rPr>
        <w:t>1</w:t>
      </w:r>
      <w:r w:rsidRPr="00CD363C">
        <w:rPr>
          <w:rFonts w:ascii="Times New Roman" w:eastAsia="Calibri" w:hAnsi="Times New Roman" w:cs="Times New Roman"/>
          <w:sz w:val="24"/>
          <w:szCs w:val="24"/>
          <w:lang w:val="en-US"/>
        </w:rPr>
        <w:t>.§</w:t>
      </w:r>
      <w:proofErr w:type="gramEnd"/>
      <w:r w:rsidRPr="00CD363C">
        <w:rPr>
          <w:rFonts w:ascii="Times New Roman" w:eastAsia="Calibri" w:hAnsi="Times New Roman" w:cs="Times New Roman"/>
          <w:sz w:val="24"/>
          <w:szCs w:val="24"/>
          <w:lang w:val="en-US"/>
        </w:rPr>
        <w:t>)</w:t>
      </w:r>
    </w:p>
    <w:p w14:paraId="47543252" w14:textId="0911AE2B" w:rsidR="003D73ED" w:rsidRDefault="003D73ED" w:rsidP="00CD363C">
      <w:pPr>
        <w:spacing w:after="0" w:line="240" w:lineRule="auto"/>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ar grozījumiem</w:t>
      </w:r>
    </w:p>
    <w:p w14:paraId="06535C00" w14:textId="2BC1A610" w:rsidR="003D73ED" w:rsidRDefault="003D73ED" w:rsidP="00CD363C">
      <w:pPr>
        <w:spacing w:after="0" w:line="240" w:lineRule="auto"/>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2022.gada </w:t>
      </w:r>
      <w:proofErr w:type="gramStart"/>
      <w:r>
        <w:rPr>
          <w:rFonts w:ascii="Times New Roman" w:eastAsia="Calibri" w:hAnsi="Times New Roman" w:cs="Times New Roman"/>
          <w:sz w:val="24"/>
          <w:szCs w:val="24"/>
          <w:lang w:val="en-US"/>
        </w:rPr>
        <w:t>15.septembra</w:t>
      </w:r>
      <w:proofErr w:type="gramEnd"/>
      <w:r>
        <w:rPr>
          <w:rFonts w:ascii="Times New Roman" w:eastAsia="Calibri" w:hAnsi="Times New Roman" w:cs="Times New Roman"/>
          <w:sz w:val="24"/>
          <w:szCs w:val="24"/>
          <w:lang w:val="en-US"/>
        </w:rPr>
        <w:t xml:space="preserve"> sēdē</w:t>
      </w:r>
    </w:p>
    <w:p w14:paraId="5D7B2A2B" w14:textId="5E509E30" w:rsidR="003D73ED" w:rsidRDefault="003D73ED" w:rsidP="003D73ED">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 xml:space="preserve">(protokols </w:t>
      </w:r>
      <w:r w:rsidRPr="003D73ED">
        <w:rPr>
          <w:rFonts w:ascii="Times New Roman" w:eastAsia="Calibri" w:hAnsi="Times New Roman" w:cs="Times New Roman"/>
          <w:sz w:val="24"/>
          <w:szCs w:val="24"/>
          <w:lang w:val="en-US"/>
        </w:rPr>
        <w:t xml:space="preserve">Nr.24, </w:t>
      </w:r>
      <w:proofErr w:type="gramStart"/>
      <w:r w:rsidRPr="003D73ED">
        <w:rPr>
          <w:rFonts w:ascii="Times New Roman" w:eastAsia="Calibri" w:hAnsi="Times New Roman" w:cs="Times New Roman"/>
          <w:sz w:val="24"/>
          <w:szCs w:val="24"/>
          <w:lang w:val="en-US"/>
        </w:rPr>
        <w:t>4.§</w:t>
      </w:r>
      <w:proofErr w:type="gramEnd"/>
      <w:r w:rsidRPr="003D73ED">
        <w:rPr>
          <w:rFonts w:ascii="Times New Roman" w:eastAsia="Calibri" w:hAnsi="Times New Roman" w:cs="Times New Roman"/>
          <w:sz w:val="24"/>
          <w:szCs w:val="24"/>
          <w:lang w:val="en-US"/>
        </w:rPr>
        <w:t>)</w:t>
      </w:r>
    </w:p>
    <w:p w14:paraId="3F0C7F44" w14:textId="77777777" w:rsidR="003D73ED" w:rsidRPr="00CD363C" w:rsidRDefault="003D73ED" w:rsidP="00CD363C">
      <w:pPr>
        <w:spacing w:after="0" w:line="240" w:lineRule="auto"/>
        <w:jc w:val="right"/>
        <w:rPr>
          <w:rFonts w:ascii="Times New Roman" w:eastAsia="Calibri" w:hAnsi="Times New Roman" w:cs="Times New Roman"/>
          <w:sz w:val="24"/>
          <w:szCs w:val="24"/>
          <w:lang w:val="en-US"/>
        </w:rPr>
      </w:pPr>
    </w:p>
    <w:p w14:paraId="4F2B1432" w14:textId="77777777" w:rsidR="005056D3" w:rsidRDefault="005056D3" w:rsidP="00CD363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p>
    <w:p w14:paraId="42B2A3A5" w14:textId="77777777" w:rsidR="005056D3" w:rsidRDefault="005056D3" w:rsidP="00CD363C">
      <w:pPr>
        <w:spacing w:after="0" w:line="240" w:lineRule="auto"/>
        <w:ind w:right="-142"/>
        <w:jc w:val="both"/>
        <w:rPr>
          <w:rFonts w:ascii="Times New Roman" w:hAnsi="Times New Roman" w:cs="Times New Roman"/>
          <w:b/>
          <w:sz w:val="28"/>
          <w:szCs w:val="28"/>
        </w:rPr>
      </w:pPr>
    </w:p>
    <w:p w14:paraId="5A3CD6D8" w14:textId="77777777" w:rsidR="001C7AF1" w:rsidRPr="00425CFC" w:rsidRDefault="001C7AF1" w:rsidP="00CD363C">
      <w:pPr>
        <w:spacing w:after="0" w:line="240" w:lineRule="auto"/>
        <w:ind w:right="-142"/>
        <w:jc w:val="center"/>
        <w:rPr>
          <w:rFonts w:ascii="Times New Roman" w:hAnsi="Times New Roman" w:cs="Times New Roman"/>
          <w:b/>
          <w:sz w:val="28"/>
          <w:szCs w:val="28"/>
        </w:rPr>
      </w:pPr>
      <w:r w:rsidRPr="00425CFC">
        <w:rPr>
          <w:rFonts w:ascii="Times New Roman" w:hAnsi="Times New Roman" w:cs="Times New Roman"/>
          <w:b/>
          <w:sz w:val="28"/>
          <w:szCs w:val="28"/>
        </w:rPr>
        <w:t>Rēzeknes novada pašvaldības un tās padotībā esošo iestāžu</w:t>
      </w:r>
    </w:p>
    <w:p w14:paraId="6B0AF781" w14:textId="77777777" w:rsidR="001C7AF1" w:rsidRPr="00425CFC" w:rsidRDefault="001C7AF1" w:rsidP="00CD363C">
      <w:pPr>
        <w:spacing w:after="0" w:line="240" w:lineRule="auto"/>
        <w:ind w:right="-142"/>
        <w:jc w:val="center"/>
        <w:rPr>
          <w:rFonts w:ascii="Times New Roman" w:hAnsi="Times New Roman" w:cs="Times New Roman"/>
          <w:b/>
          <w:sz w:val="28"/>
          <w:szCs w:val="28"/>
        </w:rPr>
      </w:pPr>
      <w:r w:rsidRPr="00425CFC">
        <w:rPr>
          <w:rFonts w:ascii="Times New Roman" w:hAnsi="Times New Roman" w:cs="Times New Roman"/>
          <w:b/>
          <w:sz w:val="28"/>
          <w:szCs w:val="28"/>
        </w:rPr>
        <w:t>grāmatvedības uzskait</w:t>
      </w:r>
      <w:r w:rsidR="004728CA" w:rsidRPr="00425CFC">
        <w:rPr>
          <w:rFonts w:ascii="Times New Roman" w:hAnsi="Times New Roman" w:cs="Times New Roman"/>
          <w:b/>
          <w:sz w:val="28"/>
          <w:szCs w:val="28"/>
        </w:rPr>
        <w:t>es kārtība</w:t>
      </w:r>
    </w:p>
    <w:p w14:paraId="1EC6044E" w14:textId="77777777" w:rsidR="001C7AF1" w:rsidRPr="00835875" w:rsidRDefault="001C7AF1" w:rsidP="00CD363C">
      <w:pPr>
        <w:spacing w:after="0" w:line="240" w:lineRule="auto"/>
        <w:ind w:right="-142"/>
        <w:jc w:val="center"/>
        <w:rPr>
          <w:rFonts w:ascii="Times New Roman" w:hAnsi="Times New Roman" w:cs="Times New Roman"/>
        </w:rPr>
      </w:pPr>
    </w:p>
    <w:p w14:paraId="454D52A3"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Izdoti saskaņā ar likuma „Grāmatvedības likums” 2.pantu,</w:t>
      </w:r>
    </w:p>
    <w:p w14:paraId="2C82E1D9"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 xml:space="preserve"> Ministru kabineta 13.02.2018. noteikumiem</w:t>
      </w:r>
      <w:bookmarkStart w:id="0" w:name="_Hlk14866451"/>
      <w:r w:rsidRPr="003D73ED">
        <w:rPr>
          <w:rFonts w:ascii="Times New Roman" w:hAnsi="Times New Roman" w:cs="Times New Roman"/>
        </w:rPr>
        <w:t xml:space="preserve"> </w:t>
      </w:r>
    </w:p>
    <w:p w14:paraId="24D2110F"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Nr. 87 “Grāmatvedības uzskaites kārtība budžeta iestādēs”</w:t>
      </w:r>
      <w:bookmarkEnd w:id="0"/>
      <w:r w:rsidRPr="003D73ED">
        <w:rPr>
          <w:rFonts w:ascii="Times New Roman" w:hAnsi="Times New Roman" w:cs="Times New Roman"/>
        </w:rPr>
        <w:t xml:space="preserve"> </w:t>
      </w:r>
    </w:p>
    <w:p w14:paraId="5A95A443"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 xml:space="preserve">un Ministru kabineta 19.06.2018. noteikumiem </w:t>
      </w:r>
    </w:p>
    <w:p w14:paraId="319DF72C" w14:textId="29E53E59" w:rsidR="001C7AF1" w:rsidRPr="00E53BA4"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Nr. 344 “Gada pārskata sagatavošanas kārtība”</w:t>
      </w:r>
      <w:r w:rsidR="00E53BA4" w:rsidRPr="00E53BA4">
        <w:rPr>
          <w:rFonts w:ascii="Times New Roman" w:hAnsi="Times New Roman" w:cs="Times New Roman"/>
        </w:rPr>
        <w:t>;</w:t>
      </w:r>
    </w:p>
    <w:p w14:paraId="14201779" w14:textId="77777777" w:rsidR="00175D1D" w:rsidRDefault="00175D1D" w:rsidP="00CD363C">
      <w:pPr>
        <w:spacing w:after="0" w:line="240" w:lineRule="auto"/>
        <w:ind w:right="-142"/>
        <w:jc w:val="right"/>
        <w:rPr>
          <w:rFonts w:ascii="Times New Roman" w:hAnsi="Times New Roman" w:cs="Times New Roman"/>
          <w:b/>
        </w:rPr>
      </w:pPr>
    </w:p>
    <w:p w14:paraId="2E31312F"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1. Vispārīgie jautājumi</w:t>
      </w:r>
    </w:p>
    <w:p w14:paraId="3038A2B4" w14:textId="77777777" w:rsidR="001C7AF1" w:rsidRPr="00835875" w:rsidRDefault="001C7AF1" w:rsidP="00CD363C">
      <w:pPr>
        <w:spacing w:after="0" w:line="240" w:lineRule="auto"/>
        <w:ind w:right="-142"/>
        <w:jc w:val="both"/>
        <w:rPr>
          <w:rFonts w:ascii="Times New Roman" w:hAnsi="Times New Roman" w:cs="Times New Roman"/>
        </w:rPr>
      </w:pPr>
    </w:p>
    <w:p w14:paraId="07C6A9F0" w14:textId="77777777" w:rsidR="001C7AF1"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 xml:space="preserve">1. </w:t>
      </w:r>
      <w:r w:rsidR="00972BA3" w:rsidRPr="00CD363C">
        <w:rPr>
          <w:rFonts w:ascii="Times New Roman" w:hAnsi="Times New Roman" w:cs="Times New Roman"/>
          <w:sz w:val="24"/>
          <w:szCs w:val="24"/>
        </w:rPr>
        <w:t>Uzskaites kārtība</w:t>
      </w:r>
      <w:r w:rsidRPr="00CD363C">
        <w:rPr>
          <w:rFonts w:ascii="Times New Roman" w:hAnsi="Times New Roman" w:cs="Times New Roman"/>
          <w:sz w:val="24"/>
          <w:szCs w:val="24"/>
        </w:rPr>
        <w:t xml:space="preserve"> nosaka kārtību, kādā Rēzeknes novada </w:t>
      </w:r>
      <w:r w:rsidR="003B7E76" w:rsidRPr="00CD363C">
        <w:rPr>
          <w:rFonts w:ascii="Times New Roman" w:hAnsi="Times New Roman" w:cs="Times New Roman"/>
          <w:sz w:val="24"/>
          <w:szCs w:val="24"/>
        </w:rPr>
        <w:t>pašvaldības budžeta iestādes</w:t>
      </w:r>
      <w:r w:rsidR="00E53BA4" w:rsidRPr="00CD363C">
        <w:rPr>
          <w:rFonts w:ascii="Times New Roman" w:hAnsi="Times New Roman" w:cs="Times New Roman"/>
          <w:sz w:val="24"/>
          <w:szCs w:val="24"/>
        </w:rPr>
        <w:t xml:space="preserve"> </w:t>
      </w:r>
      <w:r w:rsidRPr="00CD363C">
        <w:rPr>
          <w:rFonts w:ascii="Times New Roman" w:hAnsi="Times New Roman" w:cs="Times New Roman"/>
          <w:sz w:val="24"/>
          <w:szCs w:val="24"/>
        </w:rPr>
        <w:t>kārto grāmatvedības uzskaiti:</w:t>
      </w:r>
    </w:p>
    <w:p w14:paraId="6B7207CB" w14:textId="77777777" w:rsidR="003B7E76"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1.1</w:t>
      </w:r>
      <w:r w:rsidR="004728CA" w:rsidRPr="00CD363C">
        <w:rPr>
          <w:rFonts w:ascii="Times New Roman" w:hAnsi="Times New Roman" w:cs="Times New Roman"/>
          <w:sz w:val="24"/>
          <w:szCs w:val="24"/>
        </w:rPr>
        <w:t xml:space="preserve"> Uzskaites kārtība ir strukturēta atbilstoši darījumu veidiem, un katra sadaļa sniedz aprakstu par tās mērķi</w:t>
      </w:r>
      <w:r w:rsidR="003B7E76" w:rsidRPr="00CD363C">
        <w:rPr>
          <w:rFonts w:ascii="Times New Roman" w:hAnsi="Times New Roman" w:cs="Times New Roman"/>
          <w:sz w:val="24"/>
          <w:szCs w:val="24"/>
        </w:rPr>
        <w:t>.</w:t>
      </w:r>
    </w:p>
    <w:p w14:paraId="10A1EC03" w14:textId="77777777" w:rsidR="004728CA"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 xml:space="preserve">1.2. </w:t>
      </w:r>
      <w:r w:rsidR="004728CA" w:rsidRPr="00CD363C">
        <w:rPr>
          <w:rFonts w:ascii="Times New Roman" w:hAnsi="Times New Roman" w:cs="Times New Roman"/>
          <w:sz w:val="24"/>
          <w:szCs w:val="24"/>
        </w:rPr>
        <w:t xml:space="preserve">Uzskaites kārtība ietver detalizētu Ministru kabineta noteikumos par grāmatvedības uzskaiti un pārskatu sagatavošanu noteikto pamatprincipu pielietošanas aprakstu ar grāmatojumu shēmām. Kārtībā detalizēti aprakstītas prasības grāmatvedības darījumu uzskaitei: dokumentēšana, reģistrācija, grāmatojumi, kā arī </w:t>
      </w:r>
      <w:r w:rsidR="00425CFC" w:rsidRPr="00CD363C">
        <w:rPr>
          <w:rFonts w:ascii="Times New Roman" w:hAnsi="Times New Roman" w:cs="Times New Roman"/>
          <w:sz w:val="24"/>
          <w:szCs w:val="24"/>
        </w:rPr>
        <w:t xml:space="preserve">daļēji </w:t>
      </w:r>
      <w:r w:rsidR="004728CA" w:rsidRPr="00CD363C">
        <w:rPr>
          <w:rFonts w:ascii="Times New Roman" w:hAnsi="Times New Roman" w:cs="Times New Roman"/>
          <w:sz w:val="24"/>
          <w:szCs w:val="24"/>
        </w:rPr>
        <w:t>norādītas prasības aktīvu un pasīvu inventarizācijas veikšanai</w:t>
      </w:r>
      <w:r w:rsidR="00425CFC" w:rsidRPr="00CD363C">
        <w:rPr>
          <w:rFonts w:ascii="Times New Roman" w:hAnsi="Times New Roman" w:cs="Times New Roman"/>
          <w:sz w:val="24"/>
          <w:szCs w:val="24"/>
        </w:rPr>
        <w:t xml:space="preserve"> (pilnīgas prasības </w:t>
      </w:r>
      <w:r w:rsidR="00335490" w:rsidRPr="00CD363C">
        <w:rPr>
          <w:rFonts w:ascii="Times New Roman" w:hAnsi="Times New Roman" w:cs="Times New Roman"/>
          <w:sz w:val="24"/>
          <w:szCs w:val="24"/>
        </w:rPr>
        <w:t xml:space="preserve">ir </w:t>
      </w:r>
      <w:r w:rsidR="00425CFC" w:rsidRPr="00CD363C">
        <w:rPr>
          <w:rFonts w:ascii="Times New Roman" w:hAnsi="Times New Roman" w:cs="Times New Roman"/>
          <w:sz w:val="24"/>
          <w:szCs w:val="24"/>
        </w:rPr>
        <w:t xml:space="preserve"> nolikum</w:t>
      </w:r>
      <w:r w:rsidR="00335490" w:rsidRPr="00CD363C">
        <w:rPr>
          <w:rFonts w:ascii="Times New Roman" w:hAnsi="Times New Roman" w:cs="Times New Roman"/>
          <w:sz w:val="24"/>
          <w:szCs w:val="24"/>
        </w:rPr>
        <w:t>ā</w:t>
      </w:r>
      <w:r w:rsidR="00425CFC" w:rsidRPr="00CD363C">
        <w:rPr>
          <w:rFonts w:ascii="Times New Roman" w:hAnsi="Times New Roman" w:cs="Times New Roman"/>
          <w:sz w:val="24"/>
          <w:szCs w:val="24"/>
        </w:rPr>
        <w:t xml:space="preserve"> par inventarizācijas veikšanu)</w:t>
      </w:r>
      <w:r w:rsidR="004728CA" w:rsidRPr="00CD363C">
        <w:rPr>
          <w:rFonts w:ascii="Times New Roman" w:hAnsi="Times New Roman" w:cs="Times New Roman"/>
          <w:sz w:val="24"/>
          <w:szCs w:val="24"/>
        </w:rPr>
        <w:t>, pārskatu sagatavošanai;</w:t>
      </w:r>
    </w:p>
    <w:p w14:paraId="2EE7ECE8" w14:textId="77777777" w:rsidR="001C7AF1"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2. Budžeta iestādes uzskaita visus to īpašumā, valdījumā un turējumā esošos un piekrītošos ilgtermiņa ieguldījumus, apgrozāmos līdzekļus un saistības saskaņā ar attaisnojuma dokumentiem un darījuma ekonomisko būtību.</w:t>
      </w:r>
    </w:p>
    <w:p w14:paraId="12785481" w14:textId="77777777" w:rsidR="001C7AF1"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 xml:space="preserve">3. </w:t>
      </w:r>
      <w:r w:rsidR="002822F6" w:rsidRPr="00CD363C">
        <w:rPr>
          <w:rFonts w:ascii="Times New Roman" w:hAnsi="Times New Roman" w:cs="Times New Roman"/>
          <w:sz w:val="24"/>
          <w:szCs w:val="24"/>
        </w:rPr>
        <w:t>Kārtība</w:t>
      </w:r>
      <w:r w:rsidRPr="00CD363C">
        <w:rPr>
          <w:rFonts w:ascii="Times New Roman" w:hAnsi="Times New Roman" w:cs="Times New Roman"/>
          <w:sz w:val="24"/>
          <w:szCs w:val="24"/>
        </w:rPr>
        <w:t xml:space="preserve"> nosaka konkrētus principus, nostādnes,</w:t>
      </w:r>
      <w:r w:rsidR="000054D8" w:rsidRPr="00CD363C">
        <w:rPr>
          <w:rFonts w:ascii="Times New Roman" w:hAnsi="Times New Roman" w:cs="Times New Roman"/>
          <w:sz w:val="24"/>
          <w:szCs w:val="24"/>
        </w:rPr>
        <w:t xml:space="preserve"> </w:t>
      </w:r>
      <w:r w:rsidR="00D15D9B" w:rsidRPr="00CD363C">
        <w:rPr>
          <w:rFonts w:ascii="Times New Roman" w:hAnsi="Times New Roman" w:cs="Times New Roman"/>
          <w:sz w:val="24"/>
          <w:szCs w:val="24"/>
        </w:rPr>
        <w:t>pieņēmumus,</w:t>
      </w:r>
      <w:r w:rsidRPr="00CD363C">
        <w:rPr>
          <w:rFonts w:ascii="Times New Roman" w:hAnsi="Times New Roman" w:cs="Times New Roman"/>
          <w:sz w:val="24"/>
          <w:szCs w:val="24"/>
        </w:rPr>
        <w:t xml:space="preserve"> metodes, noteikumus un praksi (tai skaitā uzskaites pamatprincipus, darījumu grāmatojumus, būtiskuma līmeni), ko budžeta iestādes lieto, veicot grāmatvedības uzskaiti un sagatavojot finanšu pārskatus.</w:t>
      </w:r>
    </w:p>
    <w:p w14:paraId="2D4E92A2" w14:textId="77777777" w:rsidR="000054D8" w:rsidRPr="00CD363C" w:rsidRDefault="000054D8"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3.1.</w:t>
      </w:r>
      <w:r w:rsidRPr="00CD363C">
        <w:rPr>
          <w:rFonts w:ascii="Times New Roman" w:hAnsi="Times New Roman" w:cs="Times New Roman"/>
          <w:color w:val="414142"/>
          <w:sz w:val="24"/>
          <w:szCs w:val="24"/>
          <w:shd w:val="clear" w:color="auto" w:fill="F1F1F1"/>
        </w:rPr>
        <w:t xml:space="preserve"> Grāmatvedības uzskaitē piemērojamo būtiskuma līmeni nosaka  pašvaldībai un katrai konsolidācijā iesaistītajai budžeta iestādei šajos noteikumos minētajos gadījumos, ņemot vērā darījuma veidu (piemēram, vērtības samazinājums, uzkrājumu veidošana), attiecīgā aktīva vai saistību īpatsvaru, attiecīgā darījuma raksturu un periodiskumu un ietekmi uz pārskata perioda un turpmāko periodu finansiālās darbības rezultātiem. Ja nepieciešams, būtiskuma līmeni nosaka atkārtoti.</w:t>
      </w:r>
    </w:p>
    <w:p w14:paraId="3A5C2C6A" w14:textId="77777777" w:rsidR="001C7AF1" w:rsidRPr="00835875" w:rsidRDefault="001C7AF1" w:rsidP="00CD363C">
      <w:pPr>
        <w:spacing w:after="0" w:line="240" w:lineRule="auto"/>
        <w:ind w:right="-142"/>
        <w:jc w:val="both"/>
        <w:rPr>
          <w:rFonts w:ascii="Times New Roman" w:hAnsi="Times New Roman" w:cs="Times New Roman"/>
        </w:rPr>
      </w:pPr>
      <w:r w:rsidRPr="00CD363C">
        <w:rPr>
          <w:rFonts w:ascii="Times New Roman" w:hAnsi="Times New Roman" w:cs="Times New Roman"/>
          <w:sz w:val="24"/>
          <w:szCs w:val="24"/>
        </w:rPr>
        <w:t xml:space="preserve">4. Lai konsekventi uzskaitītu aktīvus, pasīvus, to izmaiņas un darījumus un kvalitatīvi sagatavotu pārskatus, budžeta iestādes grāmatvedības uzskaitē lieto grāmatvedības kontu plānu, analītiskajai uzskaitei, ja nepieciešams, pievienojot papildu zīmes. Budžeta iestādes lieto grāmatvedības uzskaites </w:t>
      </w:r>
      <w:r w:rsidRPr="00CD363C">
        <w:rPr>
          <w:rFonts w:ascii="Times New Roman" w:hAnsi="Times New Roman" w:cs="Times New Roman"/>
          <w:sz w:val="24"/>
          <w:szCs w:val="24"/>
        </w:rPr>
        <w:lastRenderedPageBreak/>
        <w:t>noteikumu ietvaros apstiprinātos kontus</w:t>
      </w:r>
      <w:r w:rsidR="002822F6" w:rsidRPr="00CD363C">
        <w:rPr>
          <w:rFonts w:ascii="Times New Roman" w:hAnsi="Times New Roman" w:cs="Times New Roman"/>
          <w:sz w:val="24"/>
          <w:szCs w:val="24"/>
        </w:rPr>
        <w:t>, katra iestāde , ja nepieciešams, analītiskajai uzskaitei un pilnīgākai</w:t>
      </w:r>
      <w:r w:rsidR="002822F6" w:rsidRPr="00C97FCD">
        <w:rPr>
          <w:rFonts w:ascii="Times New Roman" w:hAnsi="Times New Roman" w:cs="Times New Roman"/>
        </w:rPr>
        <w:t xml:space="preserve"> darījumu atspoguļošanai, papildus apstiprinātajam kontu plānam </w:t>
      </w:r>
      <w:r w:rsidR="009D70AF" w:rsidRPr="00C97FCD">
        <w:rPr>
          <w:rFonts w:ascii="Times New Roman" w:hAnsi="Times New Roman" w:cs="Times New Roman"/>
        </w:rPr>
        <w:t>ar punktu var izveidot papildus nepieciešamās zīmes</w:t>
      </w:r>
      <w:r w:rsidR="002822F6" w:rsidRPr="00C97FCD">
        <w:rPr>
          <w:rFonts w:ascii="Times New Roman" w:hAnsi="Times New Roman" w:cs="Times New Roman"/>
        </w:rPr>
        <w:t xml:space="preserve"> </w:t>
      </w:r>
      <w:r w:rsidR="003B7E76" w:rsidRPr="00C97FCD">
        <w:rPr>
          <w:rFonts w:ascii="Times New Roman" w:hAnsi="Times New Roman" w:cs="Times New Roman"/>
        </w:rPr>
        <w:t xml:space="preserve">kontu plāna </w:t>
      </w:r>
      <w:r w:rsidR="003870B3" w:rsidRPr="00C97FCD">
        <w:rPr>
          <w:rFonts w:ascii="Times New Roman" w:hAnsi="Times New Roman" w:cs="Times New Roman"/>
        </w:rPr>
        <w:t>ietvaros</w:t>
      </w:r>
      <w:r w:rsidRPr="00C97FCD">
        <w:rPr>
          <w:rFonts w:ascii="Times New Roman" w:hAnsi="Times New Roman" w:cs="Times New Roman"/>
        </w:rPr>
        <w:t>.</w:t>
      </w:r>
    </w:p>
    <w:p w14:paraId="7D20B6FF" w14:textId="77777777" w:rsidR="005A7DF6" w:rsidRPr="005A7DF6"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5. Uzskaite aptver visus budžeta iestādes saimnieciskos darījumus un tie jākārto tā, lai grāmatvedības jautājumos klasificēta trešā persona varētu gūt skaidru priekšstatu par iestādes finansiālo stāvokli un tās saimnieciskajiem darījumiem noteiktā laika posmā, kā arī lai varētu konstatēt saimnieciskā darījuma sākumu un izsekot tā norisei</w:t>
      </w:r>
      <w:r w:rsidRPr="00C81AAB">
        <w:rPr>
          <w:rFonts w:ascii="Times New Roman" w:hAnsi="Times New Roman" w:cs="Times New Roman"/>
        </w:rPr>
        <w:t>.</w:t>
      </w:r>
      <w:r w:rsidR="00C81AAB" w:rsidRPr="00C81AAB">
        <w:rPr>
          <w:rFonts w:ascii="Times New Roman" w:hAnsi="Times New Roman" w:cs="Times New Roman"/>
        </w:rPr>
        <w:t xml:space="preserve"> </w:t>
      </w:r>
      <w:r w:rsidR="00C81AAB" w:rsidRPr="00C81AAB">
        <w:rPr>
          <w:rFonts w:ascii="Times New Roman" w:hAnsi="Times New Roman" w:cs="Times New Roman"/>
          <w:shd w:val="clear" w:color="auto" w:fill="F1F1F1"/>
        </w:rPr>
        <w:t>Budžeta iestādes uzskaita visus to īpašumā, valdījumā un turējumā esošos un piekrītošos ilgtermiņa ieguldījumus, apgrozāmos līdzekļus un saistības saskaņā ar attaisnojuma dokumentiem un darījuma ekonomisko būtību.</w:t>
      </w:r>
      <w:r w:rsidR="005A7DF6">
        <w:rPr>
          <w:rFonts w:ascii="Arial" w:hAnsi="Arial" w:cs="Arial"/>
          <w:color w:val="414142"/>
          <w:sz w:val="20"/>
          <w:szCs w:val="20"/>
        </w:rPr>
        <w:t> </w:t>
      </w:r>
      <w:r w:rsidR="005A7DF6" w:rsidRPr="005A7DF6">
        <w:rPr>
          <w:rFonts w:ascii="Times New Roman" w:hAnsi="Times New Roman" w:cs="Times New Roman"/>
        </w:rPr>
        <w:t>Lēmumu pieņemšanai par darījumu klasifikāciju, aktīvu un pasīvu novērtēšanu (piemēram, aktīvu lietderīgās lietošanas laika noteikšanai, vērtības samazinājuma, uzkrājumu aprēķiniem) un citām aplēsēm budžeta iestādes vadītājs var:</w:t>
      </w:r>
    </w:p>
    <w:p w14:paraId="6B194254" w14:textId="77777777" w:rsidR="005A7DF6" w:rsidRPr="005A7DF6" w:rsidRDefault="005A7DF6" w:rsidP="00CD363C">
      <w:pPr>
        <w:pStyle w:val="tv213"/>
        <w:spacing w:before="0" w:beforeAutospacing="0" w:after="0" w:afterAutospacing="0"/>
        <w:ind w:left="600" w:right="-142"/>
        <w:jc w:val="both"/>
        <w:rPr>
          <w:sz w:val="22"/>
          <w:szCs w:val="22"/>
        </w:rPr>
      </w:pPr>
      <w:r>
        <w:rPr>
          <w:sz w:val="22"/>
          <w:szCs w:val="22"/>
        </w:rPr>
        <w:t>-</w:t>
      </w:r>
      <w:r w:rsidRPr="005A7DF6">
        <w:rPr>
          <w:sz w:val="22"/>
          <w:szCs w:val="22"/>
        </w:rPr>
        <w:t xml:space="preserve"> izveidot komisiju, ja nepieciešams, pieaicinot attiecīgās jomas speciālistus (turpmāk – komisija);</w:t>
      </w:r>
    </w:p>
    <w:p w14:paraId="43128DB9" w14:textId="77777777" w:rsidR="005A7DF6" w:rsidRDefault="005A7DF6" w:rsidP="00CD363C">
      <w:pPr>
        <w:pStyle w:val="tv213"/>
        <w:spacing w:before="0" w:beforeAutospacing="0" w:after="0" w:afterAutospacing="0"/>
        <w:ind w:left="600" w:right="-142"/>
        <w:jc w:val="both"/>
        <w:rPr>
          <w:sz w:val="22"/>
          <w:szCs w:val="22"/>
        </w:rPr>
      </w:pPr>
      <w:r>
        <w:rPr>
          <w:sz w:val="22"/>
          <w:szCs w:val="22"/>
        </w:rPr>
        <w:t>-</w:t>
      </w:r>
      <w:r w:rsidRPr="005A7DF6">
        <w:rPr>
          <w:sz w:val="22"/>
          <w:szCs w:val="22"/>
        </w:rPr>
        <w:t xml:space="preserve"> noteikt budžeta iestādes atbildīgo attiecīgās jomas speciālistu (turpmāk – speciālists).</w:t>
      </w:r>
    </w:p>
    <w:p w14:paraId="39D3B9C4" w14:textId="77777777" w:rsidR="000054D8" w:rsidRDefault="005A7DF6" w:rsidP="00CD363C">
      <w:pPr>
        <w:pStyle w:val="tv213"/>
        <w:shd w:val="clear" w:color="auto" w:fill="F1F1F1"/>
        <w:spacing w:before="0" w:beforeAutospacing="0" w:after="0" w:afterAutospacing="0"/>
        <w:ind w:right="-142" w:firstLine="300"/>
        <w:jc w:val="both"/>
        <w:rPr>
          <w:rFonts w:ascii="Arial" w:hAnsi="Arial" w:cs="Arial"/>
          <w:color w:val="414142"/>
          <w:sz w:val="20"/>
          <w:szCs w:val="20"/>
        </w:rPr>
      </w:pPr>
      <w:r w:rsidRPr="005A7DF6">
        <w:rPr>
          <w:sz w:val="22"/>
          <w:szCs w:val="22"/>
          <w:shd w:val="clear" w:color="auto" w:fill="F1F1F1"/>
        </w:rPr>
        <w:t>Darījums var ietvert gan darījuma ar atlīdzību, gan darījuma bez atlīdzības daļu. Komisija vai speciālists nosaka ieņēmumu vai izdevumu daļu, kas rodas darījuma bez atlīdzības rezultātā, kā arī darījuma ar atlīdzību rezultātā radušās izmaiņas aktīvos, pasīvos un ieņēmumus vai izdevumus.</w:t>
      </w:r>
      <w:r w:rsidRPr="005A7DF6">
        <w:rPr>
          <w:rFonts w:ascii="Arial" w:hAnsi="Arial" w:cs="Arial"/>
          <w:color w:val="414142"/>
          <w:sz w:val="20"/>
          <w:szCs w:val="20"/>
        </w:rPr>
        <w:t xml:space="preserve"> </w:t>
      </w:r>
    </w:p>
    <w:p w14:paraId="0A8A5997" w14:textId="77777777" w:rsidR="005A7DF6" w:rsidRDefault="005A7DF6" w:rsidP="00CD363C">
      <w:pPr>
        <w:pStyle w:val="tv213"/>
        <w:shd w:val="clear" w:color="auto" w:fill="F1F1F1"/>
        <w:spacing w:before="0" w:beforeAutospacing="0" w:after="0" w:afterAutospacing="0"/>
        <w:ind w:right="-142" w:firstLine="284"/>
        <w:jc w:val="both"/>
        <w:rPr>
          <w:sz w:val="22"/>
          <w:szCs w:val="22"/>
        </w:rPr>
      </w:pPr>
      <w:r w:rsidRPr="005A7DF6">
        <w:rPr>
          <w:sz w:val="22"/>
          <w:szCs w:val="22"/>
        </w:rPr>
        <w:t>Aktīvus un saistības, kā arī ieņēmumus un izdevumus uzskaita, lietojot vienus un tos pašus grāmatvedības uzskaites principus, neatkarīgi no darījuma veida, kura rezultātā tie radušies.</w:t>
      </w:r>
      <w:bookmarkStart w:id="1" w:name="p18"/>
      <w:bookmarkStart w:id="2" w:name="p-648377"/>
      <w:bookmarkEnd w:id="1"/>
      <w:bookmarkEnd w:id="2"/>
      <w:r w:rsidR="000054D8">
        <w:rPr>
          <w:sz w:val="22"/>
          <w:szCs w:val="22"/>
        </w:rPr>
        <w:t xml:space="preserve"> Bu</w:t>
      </w:r>
      <w:r w:rsidRPr="005A7DF6">
        <w:rPr>
          <w:sz w:val="22"/>
          <w:szCs w:val="22"/>
        </w:rPr>
        <w:t>džeta iestāde grāmatvedības uzskaiti veic atbilstoši uzkrāšanas principam. Saskaņā ar uzkrāšanas principu budžeta iestāde uzskaita aktīvus, saistības, pašu kapitālu, ieņēmumus un izdevumus.</w:t>
      </w:r>
    </w:p>
    <w:p w14:paraId="789BB0F9" w14:textId="77777777" w:rsidR="000054D8" w:rsidRPr="000054D8" w:rsidRDefault="000054D8" w:rsidP="00CD363C">
      <w:pPr>
        <w:pStyle w:val="tv213"/>
        <w:shd w:val="clear" w:color="auto" w:fill="F1F1F1"/>
        <w:spacing w:before="0" w:beforeAutospacing="0" w:after="0" w:afterAutospacing="0"/>
        <w:ind w:right="-142" w:firstLine="300"/>
        <w:jc w:val="both"/>
        <w:rPr>
          <w:sz w:val="22"/>
          <w:szCs w:val="22"/>
        </w:rPr>
      </w:pPr>
      <w:r w:rsidRPr="000054D8">
        <w:rPr>
          <w:sz w:val="22"/>
          <w:szCs w:val="22"/>
          <w:shd w:val="clear" w:color="auto" w:fill="F1F1F1"/>
        </w:rPr>
        <w:t> Budžeta iestāde veido atsevišķu uzskaites reģistru – zembilanci – bilances aktīvu un pasīvu kontos neiekļautās informācijas uzskaitei.</w:t>
      </w:r>
    </w:p>
    <w:p w14:paraId="07E1265D" w14:textId="77777777" w:rsidR="005A7DF6" w:rsidRPr="005A7DF6" w:rsidRDefault="005A7DF6" w:rsidP="00CD363C">
      <w:pPr>
        <w:pStyle w:val="tv213"/>
        <w:shd w:val="clear" w:color="auto" w:fill="F1F1F1"/>
        <w:spacing w:before="0" w:beforeAutospacing="0" w:after="0" w:afterAutospacing="0"/>
        <w:ind w:right="-142" w:firstLine="300"/>
        <w:jc w:val="both"/>
        <w:rPr>
          <w:sz w:val="22"/>
          <w:szCs w:val="22"/>
        </w:rPr>
      </w:pPr>
    </w:p>
    <w:p w14:paraId="6389727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6. Grāmatvedības sniegtajai informācijai jābūt savlaicīgai, nozīmīgai, pilnīgai, saprotamai, salīdzināmai, patiesai un pamatotai ar dokumentiem. Grāmatvedībai ir jānodrošina ieņēmumu un izdevumu norobežošana pa pārskata periodiem.</w:t>
      </w:r>
    </w:p>
    <w:p w14:paraId="2AF8E6F2" w14:textId="77777777" w:rsidR="001C7AF1"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7. Grāmatvedības reģistri tiek kārtoti latviešu valodā. Grāmatvedības uzskaitē un finanšu pārskatos par naudas vienību lieto eiro.</w:t>
      </w:r>
    </w:p>
    <w:p w14:paraId="29C08FBB" w14:textId="77777777" w:rsidR="00CD363C" w:rsidRPr="00835875" w:rsidRDefault="00CD363C" w:rsidP="00CD363C">
      <w:pPr>
        <w:spacing w:after="0" w:line="240" w:lineRule="auto"/>
        <w:ind w:right="-142"/>
        <w:jc w:val="both"/>
        <w:rPr>
          <w:rFonts w:ascii="Times New Roman" w:hAnsi="Times New Roman" w:cs="Times New Roman"/>
        </w:rPr>
      </w:pPr>
    </w:p>
    <w:p w14:paraId="5B56CD27" w14:textId="77777777" w:rsidR="001C7AF1" w:rsidRPr="00DC15D2" w:rsidRDefault="001C7AF1" w:rsidP="00CD363C">
      <w:pPr>
        <w:spacing w:after="0" w:line="240" w:lineRule="auto"/>
        <w:ind w:right="-142"/>
        <w:jc w:val="center"/>
        <w:rPr>
          <w:rFonts w:ascii="Times New Roman" w:hAnsi="Times New Roman" w:cs="Times New Roman"/>
          <w:b/>
          <w:sz w:val="24"/>
          <w:szCs w:val="24"/>
        </w:rPr>
      </w:pPr>
      <w:r w:rsidRPr="00DC15D2">
        <w:rPr>
          <w:rFonts w:ascii="Times New Roman" w:hAnsi="Times New Roman" w:cs="Times New Roman"/>
          <w:b/>
          <w:sz w:val="24"/>
          <w:szCs w:val="24"/>
        </w:rPr>
        <w:t>2. Saimniecisko darījumu atspoguļošana grāmatvedībā, attaisnojuma dokumenti</w:t>
      </w:r>
    </w:p>
    <w:p w14:paraId="2C09314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8. Grāmatvedībā reģistrē visus saimnieciskos darījumus. Visi saimnieciskie darījumi apliecināmi ar attaisnojuma dokumentiem par iestādes saimnieciskā darījuma esamību, novērtē naudas izteiksmē, un ievērojot hronoloģiju, sistemātiskā kārtībā iegrāmato grāmatvedības reģistros.</w:t>
      </w:r>
    </w:p>
    <w:p w14:paraId="77B53288"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9. Sistemātiskie reģistri ir </w:t>
      </w:r>
      <w:r w:rsidR="003870B3">
        <w:rPr>
          <w:rFonts w:ascii="Times New Roman" w:hAnsi="Times New Roman" w:cs="Times New Roman"/>
        </w:rPr>
        <w:t>virsgrāmata</w:t>
      </w:r>
      <w:r w:rsidRPr="00835875">
        <w:rPr>
          <w:rFonts w:ascii="Times New Roman" w:hAnsi="Times New Roman" w:cs="Times New Roman"/>
        </w:rPr>
        <w:t xml:space="preserve"> un analītiskās uzskaites reģistri: </w:t>
      </w:r>
    </w:p>
    <w:p w14:paraId="7D608A42"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9.1. </w:t>
      </w:r>
      <w:r w:rsidR="003870B3">
        <w:rPr>
          <w:rFonts w:ascii="Times New Roman" w:hAnsi="Times New Roman" w:cs="Times New Roman"/>
        </w:rPr>
        <w:t>virs</w:t>
      </w:r>
      <w:r w:rsidR="001C7AF1" w:rsidRPr="00835875">
        <w:rPr>
          <w:rFonts w:ascii="Times New Roman" w:hAnsi="Times New Roman" w:cs="Times New Roman"/>
        </w:rPr>
        <w:t xml:space="preserve">grāmatā saimnieciskos darījumus reģistrē naudas izteiksmē pa </w:t>
      </w:r>
      <w:r>
        <w:rPr>
          <w:rFonts w:ascii="Times New Roman" w:hAnsi="Times New Roman" w:cs="Times New Roman"/>
        </w:rPr>
        <w:t xml:space="preserve">  </w:t>
      </w:r>
      <w:r w:rsidR="001C7AF1" w:rsidRPr="00835875">
        <w:rPr>
          <w:rFonts w:ascii="Times New Roman" w:hAnsi="Times New Roman" w:cs="Times New Roman"/>
        </w:rPr>
        <w:t>grāmatvedības kontiem;</w:t>
      </w:r>
    </w:p>
    <w:p w14:paraId="7BA4F3BE"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9.2. analītiskās uzskaites reģistros saimnieciskos darījumus reģistrē pa analītiskās uzskaites kontiem naudas izteiksmē, bet attiecībā uz pamatlīdzekļu un krājumu uzskaites vienībām – arī natūrā. </w:t>
      </w:r>
    </w:p>
    <w:p w14:paraId="265952A1" w14:textId="77777777" w:rsidR="003A2626" w:rsidRDefault="001C7AF1" w:rsidP="00CD363C">
      <w:pPr>
        <w:spacing w:after="0" w:line="240" w:lineRule="auto"/>
        <w:ind w:right="-142"/>
        <w:jc w:val="both"/>
        <w:rPr>
          <w:rFonts w:eastAsia="Calibri"/>
        </w:rPr>
      </w:pPr>
      <w:r w:rsidRPr="00835875">
        <w:rPr>
          <w:rFonts w:ascii="Times New Roman" w:hAnsi="Times New Roman" w:cs="Times New Roman"/>
        </w:rPr>
        <w:t>10.</w:t>
      </w:r>
      <w:r w:rsidR="003A2626" w:rsidRPr="003A2626">
        <w:rPr>
          <w:rFonts w:ascii="Times New Roman" w:hAnsi="Times New Roman" w:cs="Times New Roman"/>
        </w:rPr>
        <w:t>Attaisnojuma dokumentam var būt ārēja vai iekšēja izcelsme. Par ārēju attaisnojuma dokumentu uzskatāms tāds dokuments, kas sastādīts citā, nevis budžeta iestādē, vai tiek iesniegts citām institūcijām. Visi pārējie attaisnojuma dokumenti uzskatāmi par iekšējiem attaisnojuma dokumentiem. Ja operācija dokumentēta vienlaikus gan ar ārēju, gan iekšēju dokumentu, priekšroka dodama ārējam dokumentam. Attaisnojuma dokumentiem ir jābūt sagatavotiem saskaņā ar likuma „ Grāmatvedības likums” 11. un 12. panta prasībām.</w:t>
      </w:r>
    </w:p>
    <w:p w14:paraId="4AA17BD5" w14:textId="269467A8"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11. Budžeta iestādes, ievērojot attaisnojuma dokumentiem normatīvajos aktos noteiktās prasības, patstāvīgi izvēlas šo dokumentu formu un sagatavošanas veidu, izņemot gadījumus, ja attiecīgā attaisnojuma dokumenta noformēšanu vai saturu reglamentē konkrēts normatīvais akts.</w:t>
      </w:r>
    </w:p>
    <w:p w14:paraId="3018826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12. Attaisnojuma dokumentus atbilstoši apstiprinātai Grāmatvedības dokumentu apgrozības shēmai ( pagasta pārvaldes </w:t>
      </w:r>
      <w:r w:rsidR="00CF1AAF">
        <w:rPr>
          <w:rFonts w:ascii="Times New Roman" w:hAnsi="Times New Roman" w:cs="Times New Roman"/>
        </w:rPr>
        <w:t>apvienības un to struktūrvienības,</w:t>
      </w:r>
      <w:r w:rsidRPr="00835875">
        <w:rPr>
          <w:rFonts w:ascii="Times New Roman" w:hAnsi="Times New Roman" w:cs="Times New Roman"/>
        </w:rPr>
        <w:t xml:space="preserve"> iestādes grāmatvedības dokumentu apgrozības shēmu sagatavo patstāvīgi)  paraksta budžeta iestādes vadītājs vai tā pilnvarots pārstāvis. Dokumentam numuru piešķir nekavējoties pēc tam, kad tas ir iesniegts , saņemts pa pastu vai elektroniski , pēc reģistrēšanas virzīts uz parakstu budžeta iestādes vadītājam vai tā pilnvarotai personai.</w:t>
      </w:r>
    </w:p>
    <w:p w14:paraId="374EB894"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13. Visus ierakstus grāmatvedības reģistros izdara saimnieciskā darījuma dienā vai iespējami drīz pēc tās, bet ne vēlāk kā 15 dienu laikā pēc tā mēneša beigām, kurā saimnieciskais darījums noticis. Izmantojot divkārša ieraksta sistēmu, vienu un to pašu summu par vienu un to pašu saimniecisko darījumu ieraksta grāmatvedības kontu debetā un kredītā, ievērojot apstiprināto grāmatvedības kontu plānu un saimnieciskā darījuma būtībai atbilstošu grāmatvedības kontu savstarpējo saistību (kontu korespondenci). </w:t>
      </w:r>
    </w:p>
    <w:p w14:paraId="620BCA79"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14. Pēc attaisnojuma dokumenta pārbaudes uz tā norāda iegrāmatojumu (kontējumu).</w:t>
      </w:r>
    </w:p>
    <w:p w14:paraId="7963737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15. Ja attaisnojuma dokuments ir ārvalstu valūtā, tajā norādītās summas, pārrēķina eiro pēc Eiropas Centrālās bankas, noteiktā attiecīgās ārvalstu valūtas kursa, kas ir spēkā saimnieciskā darījuma dienā. Ja konkrētai ārvalstu valūtai nav Eiropas Centrālās bankas publicētā eiro atsauces kursa, izmanto pasaules finanšu tirgus atzīta finanšu informācijas sniedzēja periodiskajā izdevumā vai tā tīmekļa vietnē publicēto valūtas tirgus kursu attiecībā pret eiro.</w:t>
      </w:r>
    </w:p>
    <w:p w14:paraId="7750E767"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16. Ieraksti attaisnojuma dokumentos un grāmatvedības reģistros izdarāmi skaidri salasāmi. </w:t>
      </w:r>
    </w:p>
    <w:p w14:paraId="75CA588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17. Ja tiek laboti attaisnojuma dokumenti vai grāmatvedības reģistri, labojumu izdara ar jaunu ierakstu, kas labo vai atsauc iepriekšējo ierakstu. Grāmatvedības dokumentus un reģistrus nedrīkst dzēst. </w:t>
      </w:r>
    </w:p>
    <w:p w14:paraId="6EB2DB2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18. Ja tiek laboti papīra dokumenta veidā sagatavotie attaisnojuma dokumenti un grāmatvedības reģistri, katru labojumu atrunā, norādot, kas, kad un kāpēc labojis, kā arī ar parakstu apstiprina tā persona, kura izdarījusi labojumu.</w:t>
      </w:r>
    </w:p>
    <w:p w14:paraId="5E8D61B8"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19. Par attaisnojuma dokumentu labojumam var izmantot grāmatvedības izziņu, kurā ir informācija par to, kurš grāmatvedības reģistrs vai attaisnojuma dokuments ir labojams. Grāmatvedības izziņā norāda labojuma izdarīšanas datumu, iemeslu, personu, kas vei</w:t>
      </w:r>
      <w:r w:rsidR="003E7E62">
        <w:rPr>
          <w:rFonts w:ascii="Times New Roman" w:hAnsi="Times New Roman" w:cs="Times New Roman"/>
        </w:rPr>
        <w:t>ca</w:t>
      </w:r>
      <w:r w:rsidRPr="00835875">
        <w:rPr>
          <w:rFonts w:ascii="Times New Roman" w:hAnsi="Times New Roman" w:cs="Times New Roman"/>
        </w:rPr>
        <w:t xml:space="preserve"> labojumu, un labojamā (sākotnējā) ieraksta kārtas numuru hronoloģiskajā reģistrā. Uz labojamā (sākotnējā) attaisnojuma dokumenta izdara atzīmi par grāmatvedības izziņas sagatavošanu un norāda tās datumu. Visi labojumi un grozījumi tiek pamatoti ar pievienotiem dokumentiem vai norādot, kur tie atrodas.</w:t>
      </w:r>
    </w:p>
    <w:p w14:paraId="70EABCD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20. Katra mēneša beigās hronoloģiskajos reģistros aprēķina saimniecisko darījumu kopsummas, bet </w:t>
      </w:r>
      <w:r w:rsidR="003E7E62">
        <w:rPr>
          <w:rFonts w:ascii="Times New Roman" w:hAnsi="Times New Roman" w:cs="Times New Roman"/>
        </w:rPr>
        <w:t>virs</w:t>
      </w:r>
      <w:r w:rsidRPr="00835875">
        <w:rPr>
          <w:rFonts w:ascii="Times New Roman" w:hAnsi="Times New Roman" w:cs="Times New Roman"/>
        </w:rPr>
        <w:t>grāmatā, naudas plūsmas uzskaites reģistros un analītiskās uzskaites reģistros – attiecīgi grāmatvedības kontu vai analītiskās uzskaites kontu debeta un kredīta apgrozījumus un arī šo kontu atlikumus, kā arī savstarpēji salīdzina minētās summas.</w:t>
      </w:r>
    </w:p>
    <w:p w14:paraId="785C4F23"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21. Katra pārskata gada beigās kontus un grāmatvedības reģistrus slēdz, iegrāmatojot kontu slēguma ierakstus un pārnesot kontu atlikumus uz jaunajiem – nākamā pārskata gada – grāmatvedības reģistriem. </w:t>
      </w:r>
    </w:p>
    <w:p w14:paraId="0854DE7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22. Inventarizācijas veic ne retāk kā reizi gadā. Pārskata periodā drīkst veikt arī papildus inventarizācijas, inventarizācijas mainoties materiāli atbildīgajai personai, kā arī pēkšņās inventarizācijas. </w:t>
      </w:r>
    </w:p>
    <w:p w14:paraId="3AE637BE"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23. Budžeta iestādes vadītājs ar rīkojumu izveido inventarizācijas komisiju aktīvu un pasīvu inventarizācijai, nosaka tās personālsastāvu ne mazāk kā trīs cilvēku, kā arī inventarizācijas sākšanas un beigšanas termiņu. </w:t>
      </w:r>
    </w:p>
    <w:p w14:paraId="2CF551AF"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24. Pārskata gada slēguma inventarizāciju drīkst veikt triju mēnešu laikā pirms pārskata gada beigu dienas vai mēneša laikā pēc tās, pārrēķinot inventarizācijas dienā konstatētos atlikumus atbilstoši grāmatvedības datiem pārskata gada beigu dienā.</w:t>
      </w:r>
    </w:p>
    <w:p w14:paraId="5A4B825C"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25. Budžeta iestādei jānodrošina visu saimniecisko operāciju apstiprinošo dokumentu oriģinālu, kopiju un citu datu uzglabāšana, visas grāmatvedības informācijas saglabāšana informācijas nesējos, kā arī attaisnojuma dokumentu un grāmatvedības reģistru izdruku saglabāšana atbilstoši dokumentu glabāšanas termiņu sarakstiem. </w:t>
      </w:r>
    </w:p>
    <w:p w14:paraId="1DD4F0D2" w14:textId="77777777" w:rsidR="001C7AF1" w:rsidRPr="00835875" w:rsidRDefault="001C7AF1" w:rsidP="00CD363C">
      <w:pPr>
        <w:spacing w:after="0" w:line="240" w:lineRule="auto"/>
        <w:ind w:right="-142"/>
        <w:jc w:val="both"/>
        <w:rPr>
          <w:rFonts w:ascii="Times New Roman" w:hAnsi="Times New Roman" w:cs="Times New Roman"/>
          <w:b/>
        </w:rPr>
      </w:pPr>
    </w:p>
    <w:p w14:paraId="0D276343"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3. Grāmatvedības datorprogrammas</w:t>
      </w:r>
    </w:p>
    <w:p w14:paraId="3B17B2F1" w14:textId="77777777" w:rsidR="001C7AF1" w:rsidRPr="00835875" w:rsidRDefault="001C7AF1" w:rsidP="00CD363C">
      <w:pPr>
        <w:spacing w:after="0" w:line="240" w:lineRule="auto"/>
        <w:ind w:right="-142"/>
        <w:jc w:val="both"/>
        <w:rPr>
          <w:rFonts w:ascii="Times New Roman" w:hAnsi="Times New Roman" w:cs="Times New Roman"/>
          <w:b/>
        </w:rPr>
      </w:pPr>
    </w:p>
    <w:p w14:paraId="1738AAD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26. Veicot grāmatvedības kārtošanu elektroniski grāmatvedības datorprogrammai (grāmatvedības informācijas datorsistēmu programmatūrai) jānodrošina:</w:t>
      </w:r>
    </w:p>
    <w:p w14:paraId="73FE7AB4" w14:textId="77777777" w:rsid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26.1. ierakstu reģistra (system log) informācijas saglabāšanu par katru iegrāmatojumu vai iegrāmatojuma labojumu, tā veidu, datumu un laiku, sistēmas ieraksta numuru, kā arī iegrāmatojuma veicēju;</w:t>
      </w:r>
    </w:p>
    <w:p w14:paraId="04B6369E"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26.2. grāmatvedības (grāmatvedības informācijas datorsistēmu) datu ierakstīšanu formātos MS Excel, PDF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5D59FC2D" w14:textId="2575C5CD"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26.3. </w:t>
      </w:r>
      <w:r w:rsidR="003A2626" w:rsidRPr="003A2626">
        <w:rPr>
          <w:rFonts w:ascii="Times New Roman" w:hAnsi="Times New Roman" w:cs="Times New Roman"/>
        </w:rPr>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"Grāmatvedības likums" noteiktajā glabāšanas laikā;</w:t>
      </w:r>
    </w:p>
    <w:p w14:paraId="602C2DB3"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26.4. elektroniski sagatavota attaisnojuma dokumenta vai grāmatvedības reģistra datu attēlu un izdruku;</w:t>
      </w:r>
    </w:p>
    <w:p w14:paraId="19E226B0"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26.5. elektroniski sagatavoto attaisnojuma dokumentu un grāmatvedības reģistru rezerves kopēšanu.</w:t>
      </w:r>
    </w:p>
    <w:p w14:paraId="13F2EEAE"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27. Grāmatvedības reģistru kārtošanai lieto tikai tādu grāmatvedības datorprogrammu, kuras izmantošanas tiesības saskaņā ar Autortiesību likumu apliecina attiecīga licence vai licences līgums.</w:t>
      </w:r>
    </w:p>
    <w:p w14:paraId="69BB3A49" w14:textId="77777777" w:rsidR="001C7AF1" w:rsidRDefault="001C7AF1" w:rsidP="00CD363C">
      <w:pPr>
        <w:spacing w:after="0" w:line="240" w:lineRule="auto"/>
        <w:ind w:right="-142"/>
        <w:jc w:val="both"/>
      </w:pPr>
    </w:p>
    <w:p w14:paraId="4EB801BF" w14:textId="77777777" w:rsidR="00CD363C" w:rsidRDefault="00CD363C" w:rsidP="00CD363C">
      <w:pPr>
        <w:spacing w:after="0" w:line="240" w:lineRule="auto"/>
        <w:ind w:right="-142"/>
        <w:jc w:val="both"/>
      </w:pPr>
    </w:p>
    <w:p w14:paraId="0427E690" w14:textId="77777777" w:rsidR="00CD363C" w:rsidRDefault="00CD363C" w:rsidP="00CD363C">
      <w:pPr>
        <w:spacing w:after="0" w:line="240" w:lineRule="auto"/>
        <w:ind w:right="-142"/>
        <w:jc w:val="both"/>
      </w:pPr>
    </w:p>
    <w:p w14:paraId="09C4E48E"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4. Grāmatvedības organizācijas dokumenti</w:t>
      </w:r>
    </w:p>
    <w:p w14:paraId="6180BE93" w14:textId="77777777" w:rsidR="001C7AF1" w:rsidRPr="00835875" w:rsidRDefault="001C7AF1" w:rsidP="00CD363C">
      <w:pPr>
        <w:spacing w:after="0" w:line="240" w:lineRule="auto"/>
        <w:ind w:right="-142"/>
        <w:jc w:val="both"/>
        <w:rPr>
          <w:rFonts w:ascii="Times New Roman" w:hAnsi="Times New Roman" w:cs="Times New Roman"/>
        </w:rPr>
      </w:pPr>
    </w:p>
    <w:p w14:paraId="231C06F0"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28. Grāmatvedības organizācijas dokumenti nosaka kārtību, kādā budžeta iestādes:</w:t>
      </w:r>
    </w:p>
    <w:p w14:paraId="0542F07F"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28.1. dokumentē saimnieciskos darījumus, līdzekļus un to veidošanās avotus;</w:t>
      </w:r>
    </w:p>
    <w:p w14:paraId="7410DA4D"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28.2. novērtē un inventarizē līdzekļus un saistības;</w:t>
      </w:r>
    </w:p>
    <w:p w14:paraId="4593B595"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28.3. sniedz pārskatus par skaidrās un bezskaidrās naudas avansa izlietojumu;</w:t>
      </w:r>
    </w:p>
    <w:p w14:paraId="4EA9E779"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28.4. sniedz pārskatus par krājumu izlietojumu;</w:t>
      </w:r>
    </w:p>
    <w:p w14:paraId="6721FEB2"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28.5. dokumentē un uzskaita iestādes transportlīdzekļu izmantošanas izdevumus;</w:t>
      </w:r>
    </w:p>
    <w:p w14:paraId="1E34E887"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28.6. organizē attaisnojuma dokumentu apgrozību;</w:t>
      </w:r>
    </w:p>
    <w:p w14:paraId="6EC9522A"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28.7. kārto grāmatvedības reģistrus;</w:t>
      </w:r>
    </w:p>
    <w:p w14:paraId="3C620E44"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28.8. sagatavo gada pārskatu, kā arī citus grāmatvedības pārskatus;</w:t>
      </w:r>
    </w:p>
    <w:p w14:paraId="18CA2E0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28.9. glabā grāmatvedības dokumentus.</w:t>
      </w:r>
    </w:p>
    <w:p w14:paraId="1F54AEE4"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29. Grāmatvedības organizācija budžeta iestādēs balstās uz, iestādes izstrādātiem grāmatvedības organizācijas dokumentiem, kurus apstiprina un par to saturu atbild iestādes vadītājs.</w:t>
      </w:r>
    </w:p>
    <w:p w14:paraId="0EC62D5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30. Grāmatvedības organizācijas dokuments ir arī budžeta iestādes grāmatvedības kontu plāns.</w:t>
      </w:r>
    </w:p>
    <w:p w14:paraId="63C5DAD0"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31. Budžeta iestādes vadītājs ir atbildīgs par šādu grāmatvedības organizācijas dokumentu izstrādi un apstiprināšanu: </w:t>
      </w:r>
    </w:p>
    <w:p w14:paraId="38683B99" w14:textId="77777777" w:rsidR="00335490"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1</w:t>
      </w:r>
      <w:r w:rsidR="001C7AF1" w:rsidRPr="00335490">
        <w:rPr>
          <w:rFonts w:ascii="Times New Roman" w:hAnsi="Times New Roman" w:cs="Times New Roman"/>
        </w:rPr>
        <w:t xml:space="preserve">.  </w:t>
      </w:r>
      <w:r w:rsidR="00335490" w:rsidRPr="00335490">
        <w:rPr>
          <w:rFonts w:ascii="Times New Roman" w:hAnsi="Times New Roman" w:cs="Times New Roman"/>
        </w:rPr>
        <w:t xml:space="preserve">Rēzeknes novada pašvaldības noteikumi  „Par Rēzeknes novada pašvaldības amatpersonu (darbinieku) komandējumiem un darba braucieniem” </w:t>
      </w:r>
      <w:r w:rsidRPr="00335490">
        <w:rPr>
          <w:rFonts w:ascii="Times New Roman" w:hAnsi="Times New Roman" w:cs="Times New Roman"/>
        </w:rPr>
        <w:t xml:space="preserve"> </w:t>
      </w:r>
    </w:p>
    <w:p w14:paraId="11C334DA"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2</w:t>
      </w:r>
      <w:r w:rsidR="001C7AF1" w:rsidRPr="00335490">
        <w:rPr>
          <w:rFonts w:ascii="Times New Roman" w:hAnsi="Times New Roman" w:cs="Times New Roman"/>
        </w:rPr>
        <w:t>.  kases operāciju uzskaites noteikumi;</w:t>
      </w:r>
    </w:p>
    <w:p w14:paraId="08CF41A0"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3</w:t>
      </w:r>
      <w:r w:rsidR="001C7AF1" w:rsidRPr="00335490">
        <w:rPr>
          <w:rFonts w:ascii="Times New Roman" w:hAnsi="Times New Roman" w:cs="Times New Roman"/>
        </w:rPr>
        <w:t xml:space="preserve">.  dokumentu apgrozības shēma; </w:t>
      </w:r>
    </w:p>
    <w:p w14:paraId="121553F8"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4</w:t>
      </w:r>
      <w:r w:rsidR="001C7AF1" w:rsidRPr="00335490">
        <w:rPr>
          <w:rFonts w:ascii="Times New Roman" w:hAnsi="Times New Roman" w:cs="Times New Roman"/>
        </w:rPr>
        <w:t>.  grām</w:t>
      </w:r>
      <w:r w:rsidR="00CF1AAF" w:rsidRPr="00335490">
        <w:rPr>
          <w:rFonts w:ascii="Times New Roman" w:hAnsi="Times New Roman" w:cs="Times New Roman"/>
        </w:rPr>
        <w:t>a</w:t>
      </w:r>
      <w:r w:rsidR="001C7AF1" w:rsidRPr="00335490">
        <w:rPr>
          <w:rFonts w:ascii="Times New Roman" w:hAnsi="Times New Roman" w:cs="Times New Roman"/>
        </w:rPr>
        <w:t>tvedības kontu plāns;</w:t>
      </w:r>
    </w:p>
    <w:p w14:paraId="57431773"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CF1AAF" w:rsidRPr="00335490">
        <w:rPr>
          <w:rFonts w:ascii="Times New Roman" w:hAnsi="Times New Roman" w:cs="Times New Roman"/>
        </w:rPr>
        <w:t>.</w:t>
      </w:r>
      <w:r w:rsidR="00335490" w:rsidRPr="00335490">
        <w:rPr>
          <w:rFonts w:ascii="Times New Roman" w:hAnsi="Times New Roman" w:cs="Times New Roman"/>
        </w:rPr>
        <w:t>5</w:t>
      </w:r>
      <w:r w:rsidR="001C7AF1" w:rsidRPr="00335490">
        <w:rPr>
          <w:rFonts w:ascii="Times New Roman" w:hAnsi="Times New Roman" w:cs="Times New Roman"/>
        </w:rPr>
        <w:t>.  grāmatvedības u</w:t>
      </w:r>
      <w:r w:rsidR="00CF1AAF" w:rsidRPr="00335490">
        <w:rPr>
          <w:rFonts w:ascii="Times New Roman" w:hAnsi="Times New Roman" w:cs="Times New Roman"/>
        </w:rPr>
        <w:t>zskaites kārtība</w:t>
      </w:r>
      <w:r w:rsidR="001C7AF1" w:rsidRPr="00335490">
        <w:rPr>
          <w:rFonts w:ascii="Times New Roman" w:hAnsi="Times New Roman" w:cs="Times New Roman"/>
        </w:rPr>
        <w:t>;</w:t>
      </w:r>
    </w:p>
    <w:p w14:paraId="43E7861F"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6</w:t>
      </w:r>
      <w:r w:rsidR="001C7AF1" w:rsidRPr="00335490">
        <w:rPr>
          <w:rFonts w:ascii="Times New Roman" w:hAnsi="Times New Roman" w:cs="Times New Roman"/>
        </w:rPr>
        <w:t xml:space="preserve">.  </w:t>
      </w:r>
      <w:r w:rsidR="00335490" w:rsidRPr="00335490">
        <w:rPr>
          <w:rFonts w:ascii="Times New Roman" w:hAnsi="Times New Roman" w:cs="Times New Roman"/>
        </w:rPr>
        <w:t>nolikums par inventarizācijas veikšanu Rēzeknes novada pašvaldībā</w:t>
      </w:r>
    </w:p>
    <w:p w14:paraId="241129F5"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7</w:t>
      </w:r>
      <w:r w:rsidR="001C7AF1" w:rsidRPr="00335490">
        <w:rPr>
          <w:rFonts w:ascii="Times New Roman" w:hAnsi="Times New Roman" w:cs="Times New Roman"/>
        </w:rPr>
        <w:t>.  grāmatvedības kārtošanas dokumentu paraugi</w:t>
      </w:r>
    </w:p>
    <w:p w14:paraId="4183558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32. Grāmatvedības procedūru pilnīgai un savlaicīgai veikšanai un kontroles nodrošināšanai nepieciešams grāmatvedības darbinieku pienākumu apraksts </w:t>
      </w:r>
    </w:p>
    <w:p w14:paraId="6675C8E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33. Ar saimnieciskiem darījumiem saistīto attaisnojuma dokumentu sagatavošanu, apgrozību un citus lietvedības jautājumus grāmatvedībā nosaka Grāmatvedības dokumentu aprites shēma.</w:t>
      </w:r>
    </w:p>
    <w:p w14:paraId="4FA84497" w14:textId="77777777" w:rsidR="001C7AF1" w:rsidRPr="00835875" w:rsidRDefault="001C7AF1" w:rsidP="00CD363C">
      <w:pPr>
        <w:spacing w:after="0" w:line="240" w:lineRule="auto"/>
        <w:ind w:right="-142"/>
        <w:jc w:val="both"/>
        <w:rPr>
          <w:rFonts w:ascii="Times New Roman" w:hAnsi="Times New Roman" w:cs="Times New Roman"/>
        </w:rPr>
      </w:pPr>
    </w:p>
    <w:p w14:paraId="055C416E"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5. Grāmatvedības kontrole</w:t>
      </w:r>
    </w:p>
    <w:p w14:paraId="3F46D401" w14:textId="77777777" w:rsidR="001C7AF1" w:rsidRPr="00835875" w:rsidRDefault="001C7AF1" w:rsidP="00CD363C">
      <w:pPr>
        <w:spacing w:after="0" w:line="240" w:lineRule="auto"/>
        <w:ind w:right="-142"/>
        <w:jc w:val="both"/>
        <w:rPr>
          <w:rFonts w:ascii="Times New Roman" w:hAnsi="Times New Roman" w:cs="Times New Roman"/>
        </w:rPr>
      </w:pPr>
    </w:p>
    <w:p w14:paraId="1B40094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34. Kontroles sistēma nepieciešama, lai nodrošinātu budžeta iestādes īpašuma saglabāšanu, finanšu uzskaites precizitāti un ticamību, saimniecisko darījumu reģistrēšanu grāmatvedības sistēmā atbilstoši normatīvo aktu prasībām. </w:t>
      </w:r>
    </w:p>
    <w:p w14:paraId="02B187C6"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35. Grāmatvedības uzskaites kontrole nodrošina:</w:t>
      </w:r>
    </w:p>
    <w:p w14:paraId="6FB25E44"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35.1. jebkura saimnieciskā darījuma notikšanu un rīcības ar budžeta iestādes īpašumu iespējamību tikai ar budžeta iestādes vadītāja atļauju;</w:t>
      </w:r>
    </w:p>
    <w:p w14:paraId="28D73E6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35.2. jebkura saimnieciskā darījuma uzskaiti grāmatvedībā atbilstoši tā būtībai un grāmatvedības uzskaites kārtībai, kā arī faktiskā īpašuma un saistību atbilstību grāmatvedības reģistros uzrādītajai informācijai.</w:t>
      </w:r>
    </w:p>
    <w:p w14:paraId="6481F55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36. Grāmatvedības darba organizācijā jāievēro šādi priekšnoteikumi:</w:t>
      </w:r>
    </w:p>
    <w:p w14:paraId="68AD26F3"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36.1. sadalīti darba pienākumi, nosakot katra darbinieka konkrēto uzdevumu un viņa atbildības pakāpi, kas noteikts katra darbinieka darba pienākumu aprakstā, tai skaitā, grāmatvežu un kasieru darba pienākumu apraksti;</w:t>
      </w:r>
    </w:p>
    <w:p w14:paraId="55BC2226"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36.2. darbinieku pienākumi ir sadalīti tā, lai katra saimnieciskā darījuma norisi kontrolētu vairāki darbinieki;</w:t>
      </w:r>
    </w:p>
    <w:p w14:paraId="2D76FEE5"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36.3. sagatavoti kvalitatīvi darba organizācijas dokumenti un ievērots nosacījums, ka visos gadījumos, kad nepieciešams rīkoties citādi, nekā minētajos dokumentos norādīts</w:t>
      </w:r>
      <w:r w:rsidR="0030152E">
        <w:rPr>
          <w:rFonts w:ascii="Times New Roman" w:hAnsi="Times New Roman" w:cs="Times New Roman"/>
        </w:rPr>
        <w:t xml:space="preserve"> vai vispār nav norādīts, </w:t>
      </w:r>
      <w:r w:rsidR="001C7AF1" w:rsidRPr="00835875">
        <w:rPr>
          <w:rFonts w:ascii="Times New Roman" w:hAnsi="Times New Roman" w:cs="Times New Roman"/>
        </w:rPr>
        <w:t xml:space="preserve"> nepieciešama </w:t>
      </w:r>
      <w:r w:rsidR="0030152E">
        <w:rPr>
          <w:rFonts w:ascii="Times New Roman" w:hAnsi="Times New Roman" w:cs="Times New Roman"/>
        </w:rPr>
        <w:t xml:space="preserve">atsauce uz citu ārējo normatīvo dokumentu vai </w:t>
      </w:r>
      <w:r w:rsidR="001C7AF1" w:rsidRPr="00835875">
        <w:rPr>
          <w:rFonts w:ascii="Times New Roman" w:hAnsi="Times New Roman" w:cs="Times New Roman"/>
        </w:rPr>
        <w:t>budžeta iestādes vadītāja atļauja;</w:t>
      </w:r>
    </w:p>
    <w:p w14:paraId="491D710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36.4. uzskaites funkcija ir atdalīta no pārējām budžeta iestādes saimnieciskās darbības funkcijām. </w:t>
      </w:r>
    </w:p>
    <w:p w14:paraId="0986119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37. Grāmatvedības kontroles ietvaros pārbauda kalkulācijas, pielikumos un kopsavilkumos ietvertos aprēķinus un kontējumus, precizē, vai katrs saimnieciskais darījums ir iegrāmatots pareizajā kontā un laikus un vai norādītās summas ir pareizas, vai visi saimnieciskie darījumi, kas attiecas uz pārskata periodu, norādīti šī pārskata perioda grāmatvedības reģistros ( uzkrāšanas princips)  un finanšu pārskatos.</w:t>
      </w:r>
    </w:p>
    <w:p w14:paraId="775D3427" w14:textId="77777777" w:rsidR="007F7C59" w:rsidRDefault="007F7C59" w:rsidP="00CD363C">
      <w:pPr>
        <w:spacing w:after="0" w:line="240" w:lineRule="auto"/>
        <w:ind w:right="-142"/>
        <w:jc w:val="both"/>
        <w:rPr>
          <w:rFonts w:ascii="Times New Roman" w:hAnsi="Times New Roman" w:cs="Times New Roman"/>
          <w:b/>
        </w:rPr>
      </w:pPr>
    </w:p>
    <w:p w14:paraId="4DA6B0C2" w14:textId="77777777" w:rsidR="00CD363C" w:rsidRDefault="00CD363C" w:rsidP="00CD363C">
      <w:pPr>
        <w:spacing w:after="0" w:line="240" w:lineRule="auto"/>
        <w:ind w:right="-142"/>
        <w:jc w:val="both"/>
        <w:rPr>
          <w:rFonts w:ascii="Times New Roman" w:hAnsi="Times New Roman" w:cs="Times New Roman"/>
          <w:b/>
        </w:rPr>
      </w:pPr>
    </w:p>
    <w:p w14:paraId="0ED7CE3B" w14:textId="77777777" w:rsidR="00CD363C" w:rsidRDefault="00CD363C" w:rsidP="00CD363C">
      <w:pPr>
        <w:spacing w:after="0" w:line="240" w:lineRule="auto"/>
        <w:ind w:right="-142"/>
        <w:jc w:val="both"/>
        <w:rPr>
          <w:rFonts w:ascii="Times New Roman" w:hAnsi="Times New Roman" w:cs="Times New Roman"/>
          <w:b/>
        </w:rPr>
      </w:pPr>
    </w:p>
    <w:p w14:paraId="080F796A"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6. Grāmatvedības cikls</w:t>
      </w:r>
    </w:p>
    <w:p w14:paraId="54B19207" w14:textId="77777777" w:rsidR="001C7AF1" w:rsidRPr="00835875" w:rsidRDefault="001C7AF1" w:rsidP="00CD363C">
      <w:pPr>
        <w:spacing w:after="0" w:line="240" w:lineRule="auto"/>
        <w:ind w:right="-142"/>
        <w:jc w:val="both"/>
        <w:rPr>
          <w:rFonts w:ascii="Times New Roman" w:hAnsi="Times New Roman" w:cs="Times New Roman"/>
        </w:rPr>
      </w:pPr>
    </w:p>
    <w:p w14:paraId="3B3BEB10"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38. Grāmatvedības cikls ietver vairākus secīgus grāmatvedības darba posmus, kuru rezultātā iegūst finanšu pārskatus par attiecīgā saimnieciskā gada periodu. Budžeta gada pilns grāmatvedības cikls attiecas uz pārskata gadu. Rēzeknes novada pašvaldības pārskata gads ir kalendārais gads. Tajā ir šādi galvenie grāmatvedības darba posmi:</w:t>
      </w:r>
    </w:p>
    <w:p w14:paraId="04B59A76"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38.1. bilances kontu atvēršana;</w:t>
      </w:r>
    </w:p>
    <w:p w14:paraId="45F34595"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38.2. saimniecisko darījumu iegrāmatošana;</w:t>
      </w:r>
    </w:p>
    <w:p w14:paraId="20C13F1F"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38.3. bilances kontu atlikumu aprēķināšana;</w:t>
      </w:r>
    </w:p>
    <w:p w14:paraId="309F4182"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38.4. bilances kontu apgrozījumu un atlikumu pārskata sastādīšana;</w:t>
      </w:r>
    </w:p>
    <w:p w14:paraId="68A0E95F"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38.5. koriģējošo ierakstu iegrāmatošana;</w:t>
      </w:r>
    </w:p>
    <w:p w14:paraId="0025D6DB"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38.6. slēguma ierakstu iegrāmatošana;</w:t>
      </w:r>
    </w:p>
    <w:p w14:paraId="46B02DE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38.7. finanšu un budžeta izpildes pārskatu sagatavošana. </w:t>
      </w:r>
    </w:p>
    <w:p w14:paraId="6FDDE669"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39. Pārskata gada sākumā iekārto grāmatvedības reģistrus un atver kontus </w:t>
      </w:r>
      <w:r w:rsidR="0030152E">
        <w:rPr>
          <w:rFonts w:ascii="Times New Roman" w:hAnsi="Times New Roman" w:cs="Times New Roman"/>
        </w:rPr>
        <w:t>virs</w:t>
      </w:r>
      <w:r w:rsidRPr="00835875">
        <w:rPr>
          <w:rFonts w:ascii="Times New Roman" w:hAnsi="Times New Roman" w:cs="Times New Roman"/>
        </w:rPr>
        <w:t>grāmatā, kā arī ieraksta kontu atlikumus pārskata gada sākumā, pamatojoties uz iepriekšējā pārskata gada slēguma bilances datiem.</w:t>
      </w:r>
    </w:p>
    <w:p w14:paraId="2EDD3D29" w14:textId="77777777" w:rsidR="001C7AF1" w:rsidRPr="00835875" w:rsidRDefault="001C7AF1" w:rsidP="00CD363C">
      <w:pPr>
        <w:spacing w:after="0" w:line="240" w:lineRule="auto"/>
        <w:ind w:right="-142"/>
        <w:jc w:val="both"/>
        <w:rPr>
          <w:rFonts w:ascii="Times New Roman" w:hAnsi="Times New Roman" w:cs="Times New Roman"/>
        </w:rPr>
      </w:pPr>
    </w:p>
    <w:p w14:paraId="788020D6"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7. Finanšu pārskatu posteņu uzskaites vispārējie principi</w:t>
      </w:r>
    </w:p>
    <w:p w14:paraId="6678B4DD" w14:textId="77777777" w:rsidR="001C7AF1" w:rsidRPr="00835875" w:rsidRDefault="001C7AF1" w:rsidP="00CD363C">
      <w:pPr>
        <w:spacing w:after="0" w:line="240" w:lineRule="auto"/>
        <w:ind w:right="-142"/>
        <w:jc w:val="both"/>
        <w:rPr>
          <w:rFonts w:ascii="Times New Roman" w:hAnsi="Times New Roman" w:cs="Times New Roman"/>
        </w:rPr>
      </w:pPr>
    </w:p>
    <w:p w14:paraId="3FBF7DB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40. Grāmatvedības uzskaites </w:t>
      </w:r>
      <w:r w:rsidR="00C97FCD">
        <w:rPr>
          <w:rFonts w:ascii="Times New Roman" w:hAnsi="Times New Roman" w:cs="Times New Roman"/>
        </w:rPr>
        <w:t>kārtība</w:t>
      </w:r>
      <w:r w:rsidRPr="00835875">
        <w:rPr>
          <w:rFonts w:ascii="Times New Roman" w:hAnsi="Times New Roman" w:cs="Times New Roman"/>
        </w:rPr>
        <w:t xml:space="preserve"> nosaka vienotus finanšu pārskatu posteņu uzskaites pr</w:t>
      </w:r>
      <w:r w:rsidR="00CF1AAF">
        <w:rPr>
          <w:rFonts w:ascii="Times New Roman" w:hAnsi="Times New Roman" w:cs="Times New Roman"/>
        </w:rPr>
        <w:t>incipus, norādot posteņu būtību</w:t>
      </w:r>
      <w:r w:rsidRPr="00835875">
        <w:rPr>
          <w:rFonts w:ascii="Times New Roman" w:hAnsi="Times New Roman" w:cs="Times New Roman"/>
        </w:rPr>
        <w:t xml:space="preserve">. </w:t>
      </w:r>
    </w:p>
    <w:p w14:paraId="3045CF5C"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  </w:t>
      </w:r>
    </w:p>
    <w:p w14:paraId="0130D105"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8. Ilgtermiņa ieguldījumu uzskaite</w:t>
      </w:r>
    </w:p>
    <w:p w14:paraId="48CF6310" w14:textId="77777777" w:rsidR="001C7AF1" w:rsidRPr="00835875" w:rsidRDefault="001C7AF1" w:rsidP="00CD363C">
      <w:pPr>
        <w:spacing w:after="0" w:line="240" w:lineRule="auto"/>
        <w:ind w:right="-142"/>
        <w:jc w:val="both"/>
        <w:rPr>
          <w:rFonts w:ascii="Times New Roman" w:hAnsi="Times New Roman" w:cs="Times New Roman"/>
        </w:rPr>
      </w:pPr>
    </w:p>
    <w:p w14:paraId="57184A2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41. Ilgtermiņa ieguldījumu uzskaites metodikas mērķis ir noteikt grāmatvedības pieeju un vienotus uzskaites principus ilgtermiņa aktīvu atzīšanai, uzskaites vērtību noteikšanai un nolietojuma (amortizācijas) aprēķināšanai.</w:t>
      </w:r>
    </w:p>
    <w:p w14:paraId="59E0E02E"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42. Ilgtermiņa ieguldījumi ir visu veidu resursi, kurus budžeta iestādes plāno izmantot ilgāk nekā gadu, kā arī visu veidu aktīvi, kuru apmaksa paredzēta vēlāk nekā gadu pēc bilances datuma.</w:t>
      </w:r>
    </w:p>
    <w:p w14:paraId="230518C8" w14:textId="77777777" w:rsidR="001C7AF1" w:rsidRPr="007F7C59"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43. Līdzekļi, kas ir paredzēti ilgākai lietošanai vai ieguldīti ilglietojamā īpašumā, ir ilgtermiņa ieguldījumi. Nemateriālie ieguldījumi, nekustamais īpašums, tehnoloģiskās iekārtas un mašīnas, mēbeles, datortehnika, transportlīdzekļi un citi ir nemateriālie un materiāli aktīvi, </w:t>
      </w:r>
      <w:r w:rsidRPr="007F7C59">
        <w:rPr>
          <w:rFonts w:ascii="Times New Roman" w:hAnsi="Times New Roman" w:cs="Times New Roman"/>
        </w:rPr>
        <w:t xml:space="preserve">kurus lieto budžeta iestādes funkciju izpildes nodrošināšanai. </w:t>
      </w:r>
    </w:p>
    <w:p w14:paraId="159482DB" w14:textId="77777777" w:rsidR="0039337E" w:rsidRPr="0077064C" w:rsidRDefault="001C7AF1" w:rsidP="00CD363C">
      <w:pPr>
        <w:spacing w:after="0" w:line="240" w:lineRule="auto"/>
        <w:ind w:right="-142"/>
        <w:jc w:val="both"/>
        <w:rPr>
          <w:rFonts w:ascii="Times New Roman" w:hAnsi="Times New Roman" w:cs="Times New Roman"/>
          <w:color w:val="414142"/>
          <w:sz w:val="24"/>
          <w:szCs w:val="24"/>
          <w:shd w:val="clear" w:color="auto" w:fill="F1F1F1"/>
        </w:rPr>
      </w:pPr>
      <w:r w:rsidRPr="0077064C">
        <w:rPr>
          <w:rFonts w:ascii="Times New Roman" w:hAnsi="Times New Roman" w:cs="Times New Roman"/>
          <w:sz w:val="24"/>
          <w:szCs w:val="24"/>
        </w:rPr>
        <w:t xml:space="preserve">44. </w:t>
      </w:r>
      <w:r w:rsidR="0039337E" w:rsidRPr="0077064C">
        <w:rPr>
          <w:rFonts w:ascii="Times New Roman" w:hAnsi="Times New Roman" w:cs="Times New Roman"/>
          <w:color w:val="414142"/>
          <w:sz w:val="24"/>
          <w:szCs w:val="24"/>
          <w:shd w:val="clear" w:color="auto" w:fill="F1F1F1"/>
        </w:rPr>
        <w:t>Ilgtermiņa ieguldījumu atzīst dienā, kad budžeta iestāde iegūst kontroli pār aktīvu un tā pārņem visus riskus un no attiecīgā aktīva gūstamos saimnieciskos labumus.</w:t>
      </w:r>
    </w:p>
    <w:p w14:paraId="7D6CC8FF" w14:textId="77777777" w:rsidR="0039337E" w:rsidRPr="0077064C" w:rsidRDefault="0039337E" w:rsidP="00CD363C">
      <w:pPr>
        <w:pStyle w:val="tv213"/>
        <w:spacing w:before="0" w:beforeAutospacing="0" w:after="0" w:afterAutospacing="0"/>
        <w:ind w:right="-142"/>
        <w:jc w:val="both"/>
        <w:rPr>
          <w:color w:val="414142"/>
        </w:rPr>
      </w:pPr>
      <w:r w:rsidRPr="0077064C">
        <w:rPr>
          <w:color w:val="414142"/>
        </w:rPr>
        <w:t> Ilgtermiņa ieguldījumu atzīst arī, ja:</w:t>
      </w:r>
    </w:p>
    <w:p w14:paraId="5167DCBE" w14:textId="77777777" w:rsidR="0039337E" w:rsidRPr="0077064C" w:rsidRDefault="00E44FF9" w:rsidP="00CD363C">
      <w:pPr>
        <w:pStyle w:val="tv213"/>
        <w:spacing w:before="0" w:beforeAutospacing="0" w:after="0" w:afterAutospacing="0"/>
        <w:ind w:right="-142"/>
        <w:jc w:val="both"/>
        <w:rPr>
          <w:color w:val="414142"/>
        </w:rPr>
      </w:pPr>
      <w:r>
        <w:rPr>
          <w:color w:val="414142"/>
        </w:rPr>
        <w:t xml:space="preserve">    </w:t>
      </w:r>
      <w:r w:rsidR="0039337E" w:rsidRPr="0077064C">
        <w:rPr>
          <w:color w:val="414142"/>
        </w:rPr>
        <w:t>44.1. to iegādājas, lai bez atlīdzības nodotu vispārējās valdības sektora struktūrām, izņemot to kontrolētus un finansētus komersantus (turpmāk – vispārējās valdības sektora struktūras);</w:t>
      </w:r>
    </w:p>
    <w:p w14:paraId="188C337A" w14:textId="77777777" w:rsidR="0039337E" w:rsidRPr="0077064C" w:rsidRDefault="00E44FF9" w:rsidP="00CD363C">
      <w:pPr>
        <w:pStyle w:val="tv213"/>
        <w:spacing w:before="0" w:beforeAutospacing="0" w:after="0" w:afterAutospacing="0"/>
        <w:ind w:right="-142"/>
        <w:jc w:val="both"/>
        <w:rPr>
          <w:color w:val="414142"/>
        </w:rPr>
      </w:pPr>
      <w:r>
        <w:rPr>
          <w:color w:val="414142"/>
        </w:rPr>
        <w:t xml:space="preserve">    </w:t>
      </w:r>
      <w:r w:rsidR="0039337E" w:rsidRPr="0077064C">
        <w:rPr>
          <w:color w:val="414142"/>
        </w:rPr>
        <w:t>44.2. pārņem valstij piekritīgo nekustamo īpašumu, izņemot valstij piekritīgo mantu, kuru uzskaita Valsts ieņēmumu dienests citos normatīvajos aktos noteiktajā kārtībā, ja saskaņā ar normatīvajiem aktiem nav pieņemts lēmums par tā izmantošanu.</w:t>
      </w:r>
    </w:p>
    <w:p w14:paraId="559F899D" w14:textId="77777777" w:rsidR="0039337E" w:rsidRPr="0077064C" w:rsidRDefault="0039337E" w:rsidP="00CD363C">
      <w:pPr>
        <w:pStyle w:val="tv213"/>
        <w:spacing w:before="0" w:beforeAutospacing="0" w:after="0" w:afterAutospacing="0"/>
        <w:ind w:right="-142"/>
        <w:jc w:val="both"/>
        <w:rPr>
          <w:color w:val="414142"/>
        </w:rPr>
      </w:pPr>
      <w:r w:rsidRPr="0077064C">
        <w:rPr>
          <w:color w:val="414142"/>
        </w:rPr>
        <w:t>45.Nemateriālo ieguldījumu sastāvā atzīst nefinanšu aktīvu, kam nav fiziskas formas, ja tas:</w:t>
      </w:r>
    </w:p>
    <w:p w14:paraId="646F3203" w14:textId="77777777" w:rsidR="0039337E" w:rsidRPr="0077064C" w:rsidRDefault="00E44FF9" w:rsidP="00CD363C">
      <w:pPr>
        <w:pStyle w:val="tv213"/>
        <w:spacing w:before="0" w:beforeAutospacing="0" w:after="0" w:afterAutospacing="0"/>
        <w:ind w:right="-142"/>
        <w:jc w:val="both"/>
        <w:rPr>
          <w:color w:val="414142"/>
        </w:rPr>
      </w:pPr>
      <w:r>
        <w:rPr>
          <w:color w:val="414142"/>
        </w:rPr>
        <w:t xml:space="preserve">    </w:t>
      </w:r>
      <w:r w:rsidR="0039337E" w:rsidRPr="0077064C">
        <w:rPr>
          <w:color w:val="414142"/>
        </w:rPr>
        <w:t>45.1. ir nodalāms no citiem aktīviem un to var pārdot, nodot, licencēt, iznomāt vai apmainīt individuāli vai kopā ar nodalāmu aktīvu vai saistībām;</w:t>
      </w:r>
    </w:p>
    <w:p w14:paraId="18DE7F19" w14:textId="77777777" w:rsidR="0039337E" w:rsidRPr="0077064C" w:rsidRDefault="00E44FF9" w:rsidP="00CD363C">
      <w:pPr>
        <w:pStyle w:val="tv213"/>
        <w:spacing w:before="0" w:beforeAutospacing="0" w:after="0" w:afterAutospacing="0"/>
        <w:ind w:left="709" w:right="-142" w:hanging="709"/>
        <w:jc w:val="both"/>
        <w:rPr>
          <w:color w:val="414142"/>
        </w:rPr>
      </w:pPr>
      <w:r>
        <w:rPr>
          <w:color w:val="414142"/>
        </w:rPr>
        <w:t xml:space="preserve">    </w:t>
      </w:r>
      <w:r w:rsidR="0039337E" w:rsidRPr="0077064C">
        <w:rPr>
          <w:color w:val="414142"/>
        </w:rPr>
        <w:t>45.2. radies no līguma vai juridiskām tiesībām (turpmāk – saistoša vienošanās), neraugoties uz to, vai šīs tiesības ir nododamas vai nošķiramas no budžeta iestādes vai no citām tiesībām un pienākumiem.</w:t>
      </w:r>
    </w:p>
    <w:p w14:paraId="2ABEAC0A" w14:textId="77777777" w:rsidR="0039337E" w:rsidRPr="0077064C" w:rsidRDefault="0039337E" w:rsidP="00CD363C">
      <w:pPr>
        <w:pStyle w:val="tv213"/>
        <w:spacing w:before="0" w:beforeAutospacing="0" w:after="0" w:afterAutospacing="0"/>
        <w:ind w:right="-142"/>
        <w:jc w:val="both"/>
        <w:rPr>
          <w:color w:val="414142"/>
          <w:shd w:val="clear" w:color="auto" w:fill="F1F1F1"/>
        </w:rPr>
      </w:pPr>
      <w:r w:rsidRPr="0077064C">
        <w:rPr>
          <w:color w:val="414142"/>
          <w:shd w:val="clear" w:color="auto" w:fill="F1F1F1"/>
        </w:rPr>
        <w:t>46.Nemateriālos ieguldījumus, pamatlīdzekļus un ieguldījuma īpašumus uzskaita saskaņā ar izmaksu metodi.</w:t>
      </w:r>
    </w:p>
    <w:p w14:paraId="6FDAB9D2" w14:textId="77777777" w:rsidR="0039337E" w:rsidRPr="0077064C" w:rsidRDefault="0039337E" w:rsidP="00CD363C">
      <w:pPr>
        <w:pStyle w:val="tv213"/>
        <w:shd w:val="clear" w:color="auto" w:fill="FFFFFF"/>
        <w:spacing w:before="0" w:beforeAutospacing="0" w:after="0" w:afterAutospacing="0"/>
        <w:ind w:right="-142"/>
        <w:jc w:val="both"/>
        <w:rPr>
          <w:color w:val="414142"/>
        </w:rPr>
      </w:pPr>
      <w:r w:rsidRPr="0077064C">
        <w:rPr>
          <w:color w:val="414142"/>
        </w:rPr>
        <w:t>47. Ilgtermiņa ieguldījumu sākotnējā vērtībā ietver šādas uz aktīvu tieši attiecināmās to iegādes vai izveidošanas (ražošanas) izmaksas līdz dienai, kad aktīvs nodots lietošanā:</w:t>
      </w:r>
    </w:p>
    <w:p w14:paraId="3517A45A"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47.1. ilgtermiņa ieguldījuma pirkšanas cenu (atskaitot saņemtās atlaides), muitas nodokli un citus ar pirkumu saistītus neatskaitāmus nodokļus;</w:t>
      </w:r>
    </w:p>
    <w:p w14:paraId="6708DC4C"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47.2. ilgtermiņa ieguldījuma piegādes un pārvietošanas izmaksas līdz tā izmantošanas vietai;</w:t>
      </w:r>
    </w:p>
    <w:p w14:paraId="59F83403"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47.3. darba samaksu, kas tieši radusies ilgtermiņa ieguldījuma iegādes vai izveidošanas procesā;</w:t>
      </w:r>
    </w:p>
    <w:p w14:paraId="21F04037"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47.4. to materiālu un pakalpojumu izmaksas, kas izmantoti ilgtermiņa ieguldījuma izveidošanas procesā;</w:t>
      </w:r>
    </w:p>
    <w:p w14:paraId="18DC51C1"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47.5. ilgtermiņa ieguldījuma sagatavošanas paredzētajai izmantošanai izmaksas (ieviešanas, uzstādīšanas, montāžas izmaksas) līdz tā nodošanai lietošanā;</w:t>
      </w:r>
    </w:p>
    <w:p w14:paraId="57390F6F"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47.6. profesionālo pakalpojumu izmaksas, kas tieši attiecināmas uz ilgtermiņa ieguldījuma iegādi vai izveidošanu;</w:t>
      </w:r>
    </w:p>
    <w:p w14:paraId="4312099D"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47.7. nemateriālā ieguldījuma izveidošanai izmantoto patentu un licenču amortizāciju;</w:t>
      </w:r>
    </w:p>
    <w:p w14:paraId="2607A248" w14:textId="77777777" w:rsidR="0039337E" w:rsidRPr="0077064C" w:rsidRDefault="00E44FF9" w:rsidP="00CD363C">
      <w:pPr>
        <w:pStyle w:val="tv213"/>
        <w:shd w:val="clear" w:color="auto" w:fill="FFFFFF"/>
        <w:spacing w:before="0" w:beforeAutospacing="0" w:after="0" w:afterAutospacing="0"/>
        <w:ind w:right="-142" w:hanging="33"/>
        <w:jc w:val="both"/>
        <w:rPr>
          <w:color w:val="414142"/>
        </w:rPr>
      </w:pPr>
      <w:r>
        <w:rPr>
          <w:color w:val="414142"/>
        </w:rPr>
        <w:t xml:space="preserve">    </w:t>
      </w:r>
      <w:r w:rsidR="0039337E" w:rsidRPr="0077064C">
        <w:rPr>
          <w:color w:val="414142"/>
        </w:rPr>
        <w:t>47.8. attiecīgā objekta nākotnē paredzēto nojaukšanas un tā iepriekšējās atrašanās vietas atjaunošanas izmaksu sākotnējo aplēsi, ja šādi pienākumi noteikti saskaņā ar tiesību aktu;</w:t>
      </w:r>
    </w:p>
    <w:p w14:paraId="0DE95A42" w14:textId="77777777" w:rsidR="0039337E" w:rsidRPr="0077064C" w:rsidRDefault="0039337E" w:rsidP="00CD363C">
      <w:pPr>
        <w:pStyle w:val="tv213"/>
        <w:shd w:val="clear" w:color="auto" w:fill="FFFFFF"/>
        <w:spacing w:before="0" w:beforeAutospacing="0" w:after="0" w:afterAutospacing="0"/>
        <w:ind w:right="-142" w:firstLine="284"/>
        <w:jc w:val="both"/>
        <w:rPr>
          <w:color w:val="414142"/>
        </w:rPr>
      </w:pPr>
      <w:r w:rsidRPr="0077064C">
        <w:rPr>
          <w:color w:val="414142"/>
        </w:rPr>
        <w:t>47.9. izmaksas, kas radušās, veicot attiecīgā aktīva pārbaudi pirms tā lietošanas uzsākšanas, un no kurām atskaitīti pārbaudes laikā radušies ieņēmumi no to preču pārdošanas, kas saražotas ar attiecīgo aktīvu.</w:t>
      </w:r>
    </w:p>
    <w:p w14:paraId="4C384EFF" w14:textId="77777777" w:rsidR="0039337E" w:rsidRPr="0077064C" w:rsidRDefault="0039337E" w:rsidP="00CD363C">
      <w:pPr>
        <w:pStyle w:val="tv213"/>
        <w:shd w:val="clear" w:color="auto" w:fill="FFFFFF"/>
        <w:spacing w:before="0" w:beforeAutospacing="0" w:after="0" w:afterAutospacing="0"/>
        <w:ind w:right="-142"/>
        <w:jc w:val="both"/>
        <w:rPr>
          <w:color w:val="414142"/>
        </w:rPr>
      </w:pPr>
      <w:bookmarkStart w:id="3" w:name="p42"/>
      <w:bookmarkStart w:id="4" w:name="p-648407"/>
      <w:bookmarkEnd w:id="3"/>
      <w:bookmarkEnd w:id="4"/>
      <w:r w:rsidRPr="0077064C">
        <w:rPr>
          <w:color w:val="414142"/>
        </w:rPr>
        <w:t>4</w:t>
      </w:r>
      <w:r w:rsidR="000C335F" w:rsidRPr="0077064C">
        <w:rPr>
          <w:color w:val="414142"/>
        </w:rPr>
        <w:t>8</w:t>
      </w:r>
      <w:r w:rsidRPr="0077064C">
        <w:rPr>
          <w:color w:val="414142"/>
        </w:rPr>
        <w:t>. Izmaksas, kas ir saistītas ar ilgtermiņa ieguldījuma iegādi, izveidošanu vai nemateriālā ieguldījuma attīstību, atzīst pārskata perioda izdevumos, ja tās:</w:t>
      </w:r>
    </w:p>
    <w:p w14:paraId="273B6F3F" w14:textId="77777777" w:rsidR="0039337E" w:rsidRPr="0077064C" w:rsidRDefault="00E44FF9" w:rsidP="00CD363C">
      <w:pPr>
        <w:pStyle w:val="tv213"/>
        <w:shd w:val="clear" w:color="auto" w:fill="FFFFFF"/>
        <w:spacing w:before="0" w:beforeAutospacing="0" w:after="0" w:afterAutospacing="0"/>
        <w:ind w:left="600" w:right="-142" w:hanging="600"/>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.1. nav nepieciešamas, lai aktīvu sagatavotu tā paredzētajai izmantošanai;</w:t>
      </w:r>
    </w:p>
    <w:p w14:paraId="2E2778DD"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.2. ir administratīvās un citas vispārējās izmaksas, kuras nav tieši attiecināmas uz konkrēto aktīvu;</w:t>
      </w:r>
    </w:p>
    <w:p w14:paraId="3B5479DF"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.3. ir saistītas ar budžeta iestādes darbības uzsākšanu jaunā atrašanās vietā vai ar citu lietotāju grupu, tai skaitā personāla apmācības izmaksas;</w:t>
      </w:r>
    </w:p>
    <w:p w14:paraId="32D433B5" w14:textId="77777777" w:rsidR="0039337E" w:rsidRPr="0077064C" w:rsidRDefault="00E44FF9" w:rsidP="00CD363C">
      <w:pPr>
        <w:pStyle w:val="tv213"/>
        <w:shd w:val="clear" w:color="auto" w:fill="FFFFFF"/>
        <w:spacing w:before="0" w:beforeAutospacing="0" w:after="0" w:afterAutospacing="0"/>
        <w:ind w:left="600" w:right="-142" w:hanging="600"/>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.4. ir saistītas ar jaunas struktūrvienības atvēršanu;</w:t>
      </w:r>
    </w:p>
    <w:p w14:paraId="11D07C7A"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.5. attiecināmas uz virsnormas materiālu, darbaspēka vai citu resursu izmantošanu (pārsniedz līdzīga aktīva parastās izveidošanas izmaksas) pašradīta aktīva izveidošanā;</w:t>
      </w:r>
    </w:p>
    <w:p w14:paraId="06440002"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.6. radušās, atliekot aktīva apmaksu ilgāk par 12 mēnešiem saskaņā ar līguma nosacījumiem. Starpību starp naudas vērtības ekvivalentu un maksājuma kopsummu atzīst par kreditēšanas perioda procentu izdevumiem attiecīgajā pārskata periodā.</w:t>
      </w:r>
    </w:p>
    <w:p w14:paraId="79C0FC3A" w14:textId="77777777" w:rsidR="0039337E" w:rsidRPr="0077064C" w:rsidRDefault="0039337E" w:rsidP="00CD363C">
      <w:pPr>
        <w:pStyle w:val="tv213"/>
        <w:shd w:val="clear" w:color="auto" w:fill="FFFFFF"/>
        <w:spacing w:before="0" w:beforeAutospacing="0" w:after="0" w:afterAutospacing="0"/>
        <w:ind w:right="-142"/>
        <w:jc w:val="both"/>
        <w:rPr>
          <w:color w:val="414142"/>
        </w:rPr>
      </w:pPr>
      <w:bookmarkStart w:id="5" w:name="p43"/>
      <w:bookmarkStart w:id="6" w:name="p-648408"/>
      <w:bookmarkEnd w:id="5"/>
      <w:bookmarkEnd w:id="6"/>
      <w:r w:rsidRPr="0077064C">
        <w:rPr>
          <w:color w:val="414142"/>
        </w:rPr>
        <w:t>4</w:t>
      </w:r>
      <w:r w:rsidR="000C335F" w:rsidRPr="0077064C">
        <w:rPr>
          <w:color w:val="414142"/>
        </w:rPr>
        <w:t>9</w:t>
      </w:r>
      <w:r w:rsidRPr="0077064C">
        <w:rPr>
          <w:color w:val="414142"/>
        </w:rPr>
        <w:t>. Papildus šo noteikumu </w:t>
      </w:r>
      <w:hyperlink r:id="rId11" w:anchor="p41" w:history="1">
        <w:r w:rsidRPr="0077064C">
          <w:rPr>
            <w:rStyle w:val="Hipersaite"/>
            <w:color w:val="16497B"/>
          </w:rPr>
          <w:t>4</w:t>
        </w:r>
        <w:r w:rsidR="000C335F" w:rsidRPr="0077064C">
          <w:rPr>
            <w:rStyle w:val="Hipersaite"/>
            <w:color w:val="16497B"/>
          </w:rPr>
          <w:t>8</w:t>
        </w:r>
        <w:r w:rsidRPr="0077064C">
          <w:rPr>
            <w:rStyle w:val="Hipersaite"/>
            <w:color w:val="16497B"/>
          </w:rPr>
          <w:t>. punktā</w:t>
        </w:r>
      </w:hyperlink>
      <w:r w:rsidRPr="0077064C">
        <w:rPr>
          <w:color w:val="414142"/>
        </w:rPr>
        <w:t> noteiktajām izmaksām izvērtē izmaksas, kas radušās, izveidojot nemateriālo ieguldījumu, un tās klasificē šādi:</w:t>
      </w:r>
    </w:p>
    <w:p w14:paraId="7B99436A" w14:textId="77777777" w:rsidR="0039337E" w:rsidRPr="0077064C" w:rsidRDefault="00E44FF9" w:rsidP="00CD363C">
      <w:pPr>
        <w:pStyle w:val="tv213"/>
        <w:shd w:val="clear" w:color="auto" w:fill="FFFFFF"/>
        <w:spacing w:before="0" w:beforeAutospacing="0" w:after="0" w:afterAutospacing="0"/>
        <w:ind w:left="600" w:right="-142" w:hanging="600"/>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.1. ar pētniecību saistītās izmaksas atzīst izdevumos pārskata periodā, kurā tās radušās;</w:t>
      </w:r>
    </w:p>
    <w:p w14:paraId="41BC2D92"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 ar aktīva attīstību saistītās izmaksas iekļauj nemateriālā ieguldījuma uzskaites vērtībā, ja ir sagatavots dokumentēts pamatojums par:</w:t>
      </w:r>
    </w:p>
    <w:p w14:paraId="6B2D21D0"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.2.1. tehniskām iespējām aktīvu pabeigt tā, lai to varētu lietot vai atsavināt;</w:t>
      </w:r>
    </w:p>
    <w:p w14:paraId="3D77185B" w14:textId="77777777" w:rsidR="0039337E" w:rsidRPr="0077064C" w:rsidRDefault="00E44FF9" w:rsidP="00CD363C">
      <w:pPr>
        <w:pStyle w:val="tv213"/>
        <w:shd w:val="clear" w:color="auto" w:fill="FFFFFF"/>
        <w:spacing w:before="0" w:beforeAutospacing="0" w:after="0" w:afterAutospacing="0"/>
        <w:ind w:left="900" w:right="-142" w:hanging="900"/>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.2.2. nodomu pabeigt aktīvu un to lietot vai atsavināt;</w:t>
      </w:r>
    </w:p>
    <w:p w14:paraId="1CEE3533" w14:textId="77777777" w:rsidR="0039337E" w:rsidRPr="0077064C" w:rsidRDefault="00E44FF9" w:rsidP="00CD363C">
      <w:pPr>
        <w:pStyle w:val="tv213"/>
        <w:shd w:val="clear" w:color="auto" w:fill="FFFFFF"/>
        <w:spacing w:before="0" w:beforeAutospacing="0" w:after="0" w:afterAutospacing="0"/>
        <w:ind w:left="900" w:right="-142" w:hanging="900"/>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.2.3. spēju lietot vai atsavināt aktīvu;</w:t>
      </w:r>
    </w:p>
    <w:p w14:paraId="797BACB5"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.2.4. to, ka aktīvs radīs ticamus nākotnes saimnieciskos labumus vai ar to nodrošinās funkciju izpildi (piemēram, par aktīva produkcijas tirgus vai paša aktīva pastāvēšanu vai aktīva lietderību, ja šo aktīvu plānots izmantot pašu vajadzībām);</w:t>
      </w:r>
    </w:p>
    <w:p w14:paraId="189D8B06"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.2.5. aktīva attīstības pabeigšanai un tā lietošanai vai atsavināšanai pietiekamu tehnisko, finanšu un citu resursu pieejamību;</w:t>
      </w:r>
    </w:p>
    <w:p w14:paraId="6EEB34FA"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.2.6. spēju ticami novērtēt izdevumus, kas attiecināmi uz aktīvu tā attīstības laikā.</w:t>
      </w:r>
    </w:p>
    <w:p w14:paraId="505C45D1" w14:textId="77777777" w:rsidR="0039337E" w:rsidRPr="0077064C" w:rsidRDefault="000C335F" w:rsidP="00CD363C">
      <w:pPr>
        <w:pStyle w:val="tv213"/>
        <w:shd w:val="clear" w:color="auto" w:fill="F1F1F1"/>
        <w:spacing w:before="0" w:beforeAutospacing="0" w:after="0" w:afterAutospacing="0"/>
        <w:ind w:right="-142"/>
        <w:jc w:val="both"/>
        <w:rPr>
          <w:color w:val="414142"/>
        </w:rPr>
      </w:pPr>
      <w:bookmarkStart w:id="7" w:name="p44"/>
      <w:bookmarkStart w:id="8" w:name="p-648409"/>
      <w:bookmarkEnd w:id="7"/>
      <w:bookmarkEnd w:id="8"/>
      <w:r w:rsidRPr="0077064C">
        <w:rPr>
          <w:color w:val="414142"/>
        </w:rPr>
        <w:t>50</w:t>
      </w:r>
      <w:r w:rsidR="0039337E" w:rsidRPr="0077064C">
        <w:rPr>
          <w:color w:val="414142"/>
        </w:rPr>
        <w:t>. Ar nemateriālā ieguldījuma attīstību saistītās izmaksas iekļauj nemateriālā ieguldījuma vērtībā, sākot ar dienu, kad nemateriālais ieguldījums atbilst aktīva atzīšanas kritērijiem.</w:t>
      </w:r>
    </w:p>
    <w:p w14:paraId="7EEF4B72" w14:textId="77777777" w:rsidR="0039337E" w:rsidRPr="0077064C" w:rsidRDefault="000C335F" w:rsidP="00CD363C">
      <w:pPr>
        <w:pStyle w:val="tv213"/>
        <w:shd w:val="clear" w:color="auto" w:fill="FFFFFF"/>
        <w:spacing w:before="0" w:beforeAutospacing="0" w:after="0" w:afterAutospacing="0"/>
        <w:ind w:right="-142"/>
        <w:jc w:val="both"/>
        <w:rPr>
          <w:color w:val="414142"/>
        </w:rPr>
      </w:pPr>
      <w:bookmarkStart w:id="9" w:name="p45"/>
      <w:bookmarkStart w:id="10" w:name="p-648410"/>
      <w:bookmarkEnd w:id="9"/>
      <w:bookmarkEnd w:id="10"/>
      <w:r w:rsidRPr="0077064C">
        <w:rPr>
          <w:color w:val="414142"/>
        </w:rPr>
        <w:t>51</w:t>
      </w:r>
      <w:r w:rsidR="0039337E" w:rsidRPr="0077064C">
        <w:rPr>
          <w:color w:val="414142"/>
        </w:rPr>
        <w:t>. Izmaksas, kas radušās pēc ilgtermiņa ieguldījuma nodošanas lietošanā un ir saistītas ar tā darbības uzsākšanu, pārvietošanu vai uzturēšanu, atzīst izdevumos.</w:t>
      </w:r>
    </w:p>
    <w:p w14:paraId="3D2E6387" w14:textId="77777777" w:rsidR="0039337E" w:rsidRPr="0077064C" w:rsidRDefault="000C335F" w:rsidP="00CD363C">
      <w:pPr>
        <w:pStyle w:val="tv213"/>
        <w:shd w:val="clear" w:color="auto" w:fill="FFFFFF"/>
        <w:spacing w:before="0" w:beforeAutospacing="0" w:after="0" w:afterAutospacing="0"/>
        <w:ind w:right="-142"/>
        <w:jc w:val="both"/>
        <w:rPr>
          <w:color w:val="414142"/>
        </w:rPr>
      </w:pPr>
      <w:bookmarkStart w:id="11" w:name="p46"/>
      <w:bookmarkStart w:id="12" w:name="p-648411"/>
      <w:bookmarkEnd w:id="11"/>
      <w:bookmarkEnd w:id="12"/>
      <w:r w:rsidRPr="0077064C">
        <w:rPr>
          <w:color w:val="414142"/>
        </w:rPr>
        <w:t>52</w:t>
      </w:r>
      <w:r w:rsidR="0039337E" w:rsidRPr="0077064C">
        <w:rPr>
          <w:color w:val="414142"/>
        </w:rPr>
        <w:t>. Izmaksu iekļaušanu ilgtermiņa ieguldījuma sākotnējā vērtībā pārtrauc dienā, kad tas ir nodots lietošanā.</w:t>
      </w:r>
    </w:p>
    <w:p w14:paraId="37AD097C" w14:textId="77777777" w:rsidR="000C335F" w:rsidRPr="0077064C" w:rsidRDefault="000C335F" w:rsidP="00CD363C">
      <w:pPr>
        <w:pStyle w:val="tv213"/>
        <w:shd w:val="clear" w:color="auto" w:fill="F1F1F1"/>
        <w:spacing w:before="0" w:beforeAutospacing="0" w:after="0" w:afterAutospacing="0"/>
        <w:ind w:right="-142"/>
        <w:jc w:val="both"/>
        <w:rPr>
          <w:color w:val="414142"/>
        </w:rPr>
      </w:pPr>
      <w:r w:rsidRPr="0077064C">
        <w:rPr>
          <w:color w:val="414142"/>
        </w:rPr>
        <w:t>53. Ilgtermiņa ieguldījumu sākotnēji novērtē patiesajā vērtībā, atskaitot atsavināšanas izmaksas, atbilstoši visticamākajai aplēsei aktīva iegūšanas datumā, sākotnēji atzīstot uzskaitē:</w:t>
      </w:r>
    </w:p>
    <w:p w14:paraId="0451B2EA" w14:textId="77777777" w:rsidR="000C335F" w:rsidRPr="0077064C" w:rsidRDefault="000C335F" w:rsidP="00CD363C">
      <w:pPr>
        <w:pStyle w:val="tv213"/>
        <w:shd w:val="clear" w:color="auto" w:fill="F1F1F1"/>
        <w:spacing w:before="0" w:beforeAutospacing="0" w:after="0" w:afterAutospacing="0"/>
        <w:ind w:left="284" w:right="-142"/>
        <w:jc w:val="both"/>
        <w:rPr>
          <w:color w:val="414142"/>
        </w:rPr>
      </w:pPr>
      <w:r w:rsidRPr="0077064C">
        <w:rPr>
          <w:color w:val="414142"/>
        </w:rPr>
        <w:t>53.1. līdz šim neuzskaitītu esošu ilgtermiņa ieguldījumu;</w:t>
      </w:r>
    </w:p>
    <w:p w14:paraId="4D497ED1" w14:textId="77777777" w:rsidR="000C335F" w:rsidRPr="0077064C" w:rsidRDefault="000C335F" w:rsidP="00CD363C">
      <w:pPr>
        <w:pStyle w:val="tv213"/>
        <w:shd w:val="clear" w:color="auto" w:fill="F1F1F1"/>
        <w:spacing w:before="0" w:beforeAutospacing="0" w:after="0" w:afterAutospacing="0"/>
        <w:ind w:left="600" w:right="-142" w:hanging="316"/>
        <w:jc w:val="both"/>
        <w:rPr>
          <w:color w:val="414142"/>
        </w:rPr>
      </w:pPr>
      <w:r w:rsidRPr="0077064C">
        <w:rPr>
          <w:color w:val="414142"/>
        </w:rPr>
        <w:t>53.2. ziedojumu un dāvinājumu veidā saņemtu ilgtermiņa ieguldījumu;</w:t>
      </w:r>
    </w:p>
    <w:p w14:paraId="17930087" w14:textId="77777777" w:rsidR="000C335F" w:rsidRPr="0077064C" w:rsidRDefault="000C335F" w:rsidP="00CD363C">
      <w:pPr>
        <w:pStyle w:val="tv213"/>
        <w:shd w:val="clear" w:color="auto" w:fill="F1F1F1"/>
        <w:spacing w:before="0" w:beforeAutospacing="0" w:after="0" w:afterAutospacing="0"/>
        <w:ind w:right="-142" w:firstLine="300"/>
        <w:jc w:val="both"/>
        <w:rPr>
          <w:color w:val="414142"/>
        </w:rPr>
      </w:pPr>
      <w:r w:rsidRPr="0077064C">
        <w:rPr>
          <w:color w:val="414142"/>
        </w:rPr>
        <w:t>53.3. maiņas ceļā saņemtu ilgtermiņa ieguldījumu. Ja saņemtā aktīva patieso vērtību nevar novērtēt, tā vērtību nosaka atbilstoši nodotā aktīva patiesajai vērtībai saņemtā aktīva iegūšanas datumā. Ja nodotā aktīva patieso vērtību nevar ticami novērtēt, saņemtā aktīva vērtību nosaka atbilstoši nodotā aktīva uzskaites vērtībai nodošanas datumā. No vispārējās valdības sektora struktūras saņemtā aktīva vērtību nosaka saskaņā ar šo noteikumu </w:t>
      </w:r>
      <w:r w:rsidR="0075773F">
        <w:rPr>
          <w:color w:val="414142"/>
        </w:rPr>
        <w:t>201-206 punktu.</w:t>
      </w:r>
    </w:p>
    <w:p w14:paraId="7D880465" w14:textId="77777777" w:rsidR="000C335F" w:rsidRPr="0077064C" w:rsidRDefault="000C335F" w:rsidP="00CD363C">
      <w:pPr>
        <w:pStyle w:val="tv213"/>
        <w:shd w:val="clear" w:color="auto" w:fill="F1F1F1"/>
        <w:spacing w:before="0" w:beforeAutospacing="0" w:after="0" w:afterAutospacing="0"/>
        <w:ind w:right="-142" w:firstLine="284"/>
        <w:jc w:val="both"/>
        <w:rPr>
          <w:color w:val="414142"/>
        </w:rPr>
      </w:pPr>
      <w:r w:rsidRPr="0077064C">
        <w:rPr>
          <w:color w:val="414142"/>
        </w:rPr>
        <w:t>53.4. bioloģiskos aktīvus, kuri iepriekš uzskaitīti bioloģisko aktīvu produktu sastāvā.</w:t>
      </w:r>
    </w:p>
    <w:p w14:paraId="661D9039" w14:textId="77777777" w:rsidR="000C335F" w:rsidRPr="0077064C" w:rsidRDefault="00E64267" w:rsidP="00CD363C">
      <w:pPr>
        <w:pStyle w:val="tv213"/>
        <w:shd w:val="clear" w:color="auto" w:fill="FFFFFF"/>
        <w:spacing w:before="0" w:beforeAutospacing="0" w:after="0" w:afterAutospacing="0"/>
        <w:ind w:right="-142"/>
        <w:jc w:val="both"/>
        <w:rPr>
          <w:color w:val="414142"/>
        </w:rPr>
      </w:pPr>
      <w:bookmarkStart w:id="13" w:name="p48"/>
      <w:bookmarkStart w:id="14" w:name="p-648413"/>
      <w:bookmarkEnd w:id="13"/>
      <w:bookmarkEnd w:id="14"/>
      <w:r w:rsidRPr="0077064C">
        <w:rPr>
          <w:color w:val="414142"/>
        </w:rPr>
        <w:t>54</w:t>
      </w:r>
      <w:r w:rsidR="000C335F" w:rsidRPr="0077064C">
        <w:rPr>
          <w:color w:val="414142"/>
        </w:rPr>
        <w:t xml:space="preserve">. Ieguldījuma īpašumu šo </w:t>
      </w:r>
      <w:r w:rsidR="000C335F" w:rsidRPr="0075773F">
        <w:t>noteikumu </w:t>
      </w:r>
      <w:hyperlink r:id="rId12" w:anchor="p47" w:history="1">
        <w:r w:rsidR="0075773F" w:rsidRPr="0075773F">
          <w:rPr>
            <w:rStyle w:val="Hipersaite"/>
            <w:color w:val="auto"/>
          </w:rPr>
          <w:t>306</w:t>
        </w:r>
        <w:r w:rsidR="000C335F" w:rsidRPr="0075773F">
          <w:rPr>
            <w:rStyle w:val="Hipersaite"/>
            <w:color w:val="auto"/>
          </w:rPr>
          <w:t>. punktā</w:t>
        </w:r>
      </w:hyperlink>
      <w:r w:rsidR="000C335F" w:rsidRPr="0077064C">
        <w:rPr>
          <w:color w:val="414142"/>
        </w:rPr>
        <w:t> minētajos gadījumos novērtē patiesajā vērtībā un neatskaita atsavināšanas izmaksas. Patieso vērtību nosaka visam aktīvam, neatdalot tā neatņemamas sastāvdaļas, kas nepieciešamas, lai īpašumu varētu lietot kā ieguldījuma īpašumu.</w:t>
      </w:r>
    </w:p>
    <w:p w14:paraId="1732CC87" w14:textId="77777777" w:rsidR="00E64267" w:rsidRPr="0075773F" w:rsidRDefault="00E64267" w:rsidP="00CD363C">
      <w:pPr>
        <w:pStyle w:val="tv213"/>
        <w:shd w:val="clear" w:color="auto" w:fill="FFFFFF"/>
        <w:spacing w:before="0" w:beforeAutospacing="0" w:after="0" w:afterAutospacing="0"/>
        <w:ind w:right="-142"/>
        <w:jc w:val="both"/>
      </w:pPr>
      <w:r w:rsidRPr="0077064C">
        <w:rPr>
          <w:color w:val="414142"/>
        </w:rPr>
        <w:t>55. Ilgtermiņa ieguldījuma patieso vērtību novērtē, izmantojot vispāratzītas vērtēšanas metodes vai šo noteikumu </w:t>
      </w:r>
      <w:hyperlink r:id="rId13" w:anchor="p123" w:history="1">
        <w:r w:rsidRPr="0075773F">
          <w:rPr>
            <w:rStyle w:val="Hipersaite"/>
            <w:color w:val="auto"/>
          </w:rPr>
          <w:t>123. </w:t>
        </w:r>
      </w:hyperlink>
      <w:r w:rsidR="0075773F" w:rsidRPr="0075773F">
        <w:t>līdz</w:t>
      </w:r>
      <w:r w:rsidRPr="0075773F">
        <w:t> </w:t>
      </w:r>
      <w:hyperlink r:id="rId14" w:anchor="p127" w:history="1">
        <w:r w:rsidRPr="0075773F">
          <w:rPr>
            <w:rStyle w:val="Hipersaite"/>
            <w:color w:val="auto"/>
          </w:rPr>
          <w:t>12</w:t>
        </w:r>
        <w:r w:rsidR="0075773F" w:rsidRPr="0075773F">
          <w:rPr>
            <w:rStyle w:val="Hipersaite"/>
            <w:color w:val="auto"/>
          </w:rPr>
          <w:t>8</w:t>
        </w:r>
        <w:r w:rsidRPr="0075773F">
          <w:rPr>
            <w:rStyle w:val="Hipersaite"/>
            <w:color w:val="auto"/>
          </w:rPr>
          <w:t>. punktā</w:t>
        </w:r>
      </w:hyperlink>
      <w:r w:rsidRPr="0075773F">
        <w:t> minētās metodes, vai apstiprina aktīva vērtību, ja tā ir zināma.</w:t>
      </w:r>
    </w:p>
    <w:p w14:paraId="12DD0726"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15" w:name="p50"/>
      <w:bookmarkStart w:id="16" w:name="p-648415"/>
      <w:bookmarkEnd w:id="15"/>
      <w:bookmarkEnd w:id="16"/>
      <w:r w:rsidRPr="0075773F">
        <w:t>56. Līdz šo noteikumu </w:t>
      </w:r>
      <w:hyperlink r:id="rId15" w:anchor="p47" w:history="1">
        <w:r w:rsidR="0075773F">
          <w:rPr>
            <w:rStyle w:val="Hipersaite"/>
            <w:color w:val="auto"/>
          </w:rPr>
          <w:t>128</w:t>
        </w:r>
        <w:r w:rsidRPr="0075773F">
          <w:rPr>
            <w:rStyle w:val="Hipersaite"/>
            <w:color w:val="auto"/>
          </w:rPr>
          <w:t xml:space="preserve"> punktā</w:t>
        </w:r>
      </w:hyperlink>
      <w:r w:rsidRPr="0075773F">
        <w:t> m</w:t>
      </w:r>
      <w:r w:rsidRPr="0077064C">
        <w:rPr>
          <w:color w:val="414142"/>
        </w:rPr>
        <w:t>inētajai ilgtermiņa ieguldījuma novērtēšanai vai vērtības apstiprināšanai aktīvu uzskaiti nodrošina daudzuma vienībās.</w:t>
      </w:r>
    </w:p>
    <w:p w14:paraId="446807CF"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17" w:name="p51"/>
      <w:bookmarkStart w:id="18" w:name="p-648416"/>
      <w:bookmarkEnd w:id="17"/>
      <w:bookmarkEnd w:id="18"/>
      <w:r w:rsidRPr="0077064C">
        <w:rPr>
          <w:color w:val="414142"/>
        </w:rPr>
        <w:t>57. Patiesā vērtība, atskaitot atsavināšanas (pārdošanas) izmaksas, ir summa, kādu iespējams iegūt aktīva atsavināšanas (pārdošanas) darījumā starp labi informētām, savstarpēji ieinteresētām un nesaistītām personām.</w:t>
      </w:r>
    </w:p>
    <w:p w14:paraId="66006338"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19" w:name="p52"/>
      <w:bookmarkStart w:id="20" w:name="p-648417"/>
      <w:bookmarkEnd w:id="19"/>
      <w:bookmarkEnd w:id="20"/>
      <w:r w:rsidRPr="0077064C">
        <w:rPr>
          <w:color w:val="414142"/>
        </w:rPr>
        <w:t>58. Ilgtermiņa ieguldījuma (izņemot finanšu instrumentu) patieso vērtību iespējams noteikt šādos gadījumos:</w:t>
      </w:r>
    </w:p>
    <w:p w14:paraId="37EB3F13" w14:textId="77777777" w:rsidR="00E64267" w:rsidRPr="0077064C" w:rsidRDefault="00E64267" w:rsidP="00CD363C">
      <w:pPr>
        <w:pStyle w:val="tv213"/>
        <w:shd w:val="clear" w:color="auto" w:fill="FFFFFF"/>
        <w:spacing w:before="0" w:beforeAutospacing="0" w:after="0" w:afterAutospacing="0"/>
        <w:ind w:right="-142" w:firstLine="300"/>
        <w:jc w:val="both"/>
        <w:rPr>
          <w:color w:val="414142"/>
        </w:rPr>
      </w:pPr>
      <w:r w:rsidRPr="0077064C">
        <w:rPr>
          <w:color w:val="414142"/>
        </w:rPr>
        <w:t>58.1. nesaistītu personu darījumā noslēgtā līgumā (saistošā pārdošanas līgumā) ir zināma ilgtermiņa ieguldījuma cena, kas koriģēta par izmaksām, kas tieši attiecas uz ilgtermiņa ieguldījuma atsavināšanu;</w:t>
      </w:r>
    </w:p>
    <w:p w14:paraId="56DF8CAD" w14:textId="77777777" w:rsidR="00E64267" w:rsidRPr="0077064C" w:rsidRDefault="00E64267" w:rsidP="00CD363C">
      <w:pPr>
        <w:pStyle w:val="tv213"/>
        <w:shd w:val="clear" w:color="auto" w:fill="FFFFFF"/>
        <w:spacing w:before="0" w:beforeAutospacing="0" w:after="0" w:afterAutospacing="0"/>
        <w:ind w:right="-142" w:firstLine="300"/>
        <w:jc w:val="both"/>
        <w:rPr>
          <w:color w:val="414142"/>
        </w:rPr>
      </w:pPr>
      <w:r w:rsidRPr="0077064C">
        <w:rPr>
          <w:color w:val="414142"/>
        </w:rPr>
        <w:t>58.2. ja nav pieejami saistoši pārdošanas līgumi, bet ilgtermiņa ieguldījums ir tirgots aktīvā tirgū, tad patiesā vērtība ir ilgtermiņa ieguldījuma tirgus vērtība (pašreizējā piedāvājuma cena). Ja pašreizējās piedāvājuma cenas nav pieejamas, ilgtermiņa ieguldījuma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atšķirības novērstu;</w:t>
      </w:r>
    </w:p>
    <w:p w14:paraId="59249B58" w14:textId="77777777" w:rsidR="00E64267" w:rsidRPr="0077064C" w:rsidRDefault="00E64267" w:rsidP="00CD363C">
      <w:pPr>
        <w:pStyle w:val="tv213"/>
        <w:shd w:val="clear" w:color="auto" w:fill="FFFFFF"/>
        <w:spacing w:before="0" w:beforeAutospacing="0" w:after="0" w:afterAutospacing="0"/>
        <w:ind w:right="-142" w:firstLine="284"/>
        <w:jc w:val="both"/>
        <w:rPr>
          <w:color w:val="414142"/>
        </w:rPr>
      </w:pPr>
      <w:r w:rsidRPr="0077064C">
        <w:rPr>
          <w:color w:val="414142"/>
        </w:rPr>
        <w:t>58.3. ja nav pieejami saistoši pārdošanas līgumi un nepastāv aktīvs tirgus, patieso vērtību nosaka atbilstoši pieejamai informācijai par vērtību, kādu budžeta iestāde varētu iegūt no ilgtermiņa ieguldījuma pārdošanas nesaistītai personai aprēķinu datumā. Šīs vērtības noteikšanai var izvērtēt nesenu līdzīgu darījumu tajā pašā nozarē vai saimnieciskās darbības jomā. Šajā gadījumā koriģē līdzīga darījuma tirgus cenu, lai novērstu ekonomisko apstākļu atšķirības;</w:t>
      </w:r>
    </w:p>
    <w:p w14:paraId="6C685848" w14:textId="77777777" w:rsidR="00E64267" w:rsidRPr="0077064C" w:rsidRDefault="00E64267" w:rsidP="00CD363C">
      <w:pPr>
        <w:pStyle w:val="tv213"/>
        <w:shd w:val="clear" w:color="auto" w:fill="FFFFFF"/>
        <w:spacing w:before="0" w:beforeAutospacing="0" w:after="0" w:afterAutospacing="0"/>
        <w:ind w:right="-142" w:firstLine="300"/>
        <w:jc w:val="both"/>
        <w:rPr>
          <w:color w:val="414142"/>
        </w:rPr>
      </w:pPr>
      <w:r w:rsidRPr="0077064C">
        <w:rPr>
          <w:color w:val="414142"/>
        </w:rPr>
        <w:t>58.4. ja nav pieejami saistoši pārdošanas līgumi, nepastāv aktīvs tirgus un nav pieejama informācija par iespējamo pārdošanas vērtību, aktīva patieso vērtību nosaka atbilstoši diskontētās naudas plūsmas prognozei, pamatojoties uz ticamām no esošo nomas vai citu līgumu noteikumiem izrietošām aplēsēm par nākotnes ienākošo un izejošo naudas plūsmu starpību (turpmāk – neto naudas plūsmas) par tādiem pašiem vai līdzvērtīgiem aktīviem tajā pašā vai līdzvērtīgā atrašanās vietā un stāvoklī, un piemērojot Valsts kases tīmekļvietnē publicēto attiecīgo diskonta likmi. Sagaidāmajās naudas plūsmās neiekļauj aktīvu finansēšanas vai to atjaunošanas izmaksas.</w:t>
      </w:r>
    </w:p>
    <w:p w14:paraId="7A0FAFC6"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1" w:name="p53"/>
      <w:bookmarkStart w:id="22" w:name="p-648418"/>
      <w:bookmarkEnd w:id="21"/>
      <w:bookmarkEnd w:id="22"/>
      <w:r w:rsidRPr="0077064C">
        <w:rPr>
          <w:color w:val="414142"/>
        </w:rPr>
        <w:t>59. Šo noteikumu </w:t>
      </w:r>
      <w:hyperlink r:id="rId16" w:anchor="p47" w:history="1">
        <w:r w:rsidRPr="0077064C">
          <w:rPr>
            <w:rStyle w:val="Hipersaite"/>
            <w:color w:val="16497B"/>
          </w:rPr>
          <w:t>53. punktā</w:t>
        </w:r>
      </w:hyperlink>
      <w:r w:rsidRPr="0077064C">
        <w:rPr>
          <w:color w:val="414142"/>
        </w:rPr>
        <w:t> minētajos gadījumos zemes un būvju vērtības noteikšanai var izmantot to nosacīto izmaksu vērtību – kadastrālo vērtību, mežaudžu vērtības noteikšanai – Meža valsts reģistrā norādīto pilno vērtību un pazemes aktīvu vērtības noteikšanai – Ģeoloģiskās informācijas sistēmas datus.</w:t>
      </w:r>
    </w:p>
    <w:p w14:paraId="46D7353E"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3" w:name="p54"/>
      <w:bookmarkStart w:id="24" w:name="p-648419"/>
      <w:bookmarkEnd w:id="23"/>
      <w:bookmarkEnd w:id="24"/>
      <w:r w:rsidRPr="0077064C">
        <w:rPr>
          <w:color w:val="414142"/>
        </w:rPr>
        <w:t>60. Muzeju krājuma, kā arī bibliotēku fonda grāmatvedības uzskaites nodrošināšanai izmanto normatīvajos aktos muzeju krājumu un bibliotēku fondu jomā noteikto uzskaites sistēmu datus.</w:t>
      </w:r>
    </w:p>
    <w:p w14:paraId="49225E2B"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5" w:name="p55"/>
      <w:bookmarkStart w:id="26" w:name="p-648420"/>
      <w:bookmarkEnd w:id="25"/>
      <w:bookmarkEnd w:id="26"/>
      <w:r w:rsidRPr="0077064C">
        <w:rPr>
          <w:color w:val="414142"/>
        </w:rPr>
        <w:t>61. Muzeju krājuma sastāvā esošos aktīvus, izņemot nekustamos īpašumus, budžeta iestāde atzīst grāmatvedības uzskaitē saskaņā ar normatīvajos aktos muzeju krājumu jomā noteiktajiem krājuma esības pārbaužu termiņiem un nosaka muzeja krājuma priekšmetu vērtību vienlaikus ar krājuma esības pārbaudēm, novērtējot aktīvu iegādes (izveidošanas) vērtībā, ja tā ir zināma. Ja aktīvu iegādes (izveidošanas) vērtība nav zināma, nosaka:</w:t>
      </w:r>
    </w:p>
    <w:p w14:paraId="46837EDF" w14:textId="77777777" w:rsidR="00E64267" w:rsidRPr="0077064C" w:rsidRDefault="00E64267" w:rsidP="00CD363C">
      <w:pPr>
        <w:pStyle w:val="tv213"/>
        <w:shd w:val="clear" w:color="auto" w:fill="FFFFFF"/>
        <w:spacing w:before="0" w:beforeAutospacing="0" w:after="0" w:afterAutospacing="0"/>
        <w:ind w:right="-142" w:firstLine="284"/>
        <w:jc w:val="both"/>
        <w:rPr>
          <w:color w:val="414142"/>
        </w:rPr>
      </w:pPr>
      <w:r w:rsidRPr="0077064C">
        <w:rPr>
          <w:color w:val="414142"/>
        </w:rPr>
        <w:t>61.1. aktīvu patieso vērtību (ja tas ir iespējams) atbilstoši šo noteikumu </w:t>
      </w:r>
      <w:hyperlink r:id="rId17" w:anchor="p51" w:history="1">
        <w:r w:rsidRPr="0077064C">
          <w:rPr>
            <w:rStyle w:val="Hipersaite"/>
            <w:color w:val="16497B"/>
          </w:rPr>
          <w:t>57. punktam</w:t>
        </w:r>
      </w:hyperlink>
      <w:r w:rsidRPr="0077064C">
        <w:rPr>
          <w:color w:val="414142"/>
        </w:rPr>
        <w:t>;</w:t>
      </w:r>
    </w:p>
    <w:p w14:paraId="3DA71664" w14:textId="77777777" w:rsidR="00E64267" w:rsidRPr="0077064C" w:rsidRDefault="00E64267" w:rsidP="00CD363C">
      <w:pPr>
        <w:pStyle w:val="tv213"/>
        <w:shd w:val="clear" w:color="auto" w:fill="FFFFFF"/>
        <w:spacing w:before="0" w:beforeAutospacing="0" w:after="0" w:afterAutospacing="0"/>
        <w:ind w:right="-142" w:firstLine="284"/>
        <w:jc w:val="both"/>
        <w:rPr>
          <w:color w:val="414142"/>
        </w:rPr>
      </w:pPr>
      <w:r w:rsidRPr="0077064C">
        <w:rPr>
          <w:color w:val="414142"/>
        </w:rPr>
        <w:t>61.2. krājumu vienības un, ja aktīvu patieso vērtību nav iespējams noteikt, katru novērtē viena </w:t>
      </w:r>
      <w:r w:rsidRPr="0077064C">
        <w:rPr>
          <w:i/>
          <w:iCs/>
          <w:color w:val="414142"/>
        </w:rPr>
        <w:t>eiro</w:t>
      </w:r>
      <w:r w:rsidRPr="0077064C">
        <w:rPr>
          <w:color w:val="414142"/>
        </w:rPr>
        <w:t> vērtībā. Aktīvus uzskaita līdzīgu pamatlīdzekļu kontos atbilstoši to lietojumam un analītiskajā uzskaitē nodala atsevišķi.</w:t>
      </w:r>
    </w:p>
    <w:p w14:paraId="4E12CAF3"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7" w:name="p56"/>
      <w:bookmarkStart w:id="28" w:name="p-648421"/>
      <w:bookmarkEnd w:id="27"/>
      <w:bookmarkEnd w:id="28"/>
      <w:r w:rsidRPr="0077064C">
        <w:rPr>
          <w:color w:val="414142"/>
        </w:rPr>
        <w:t xml:space="preserve">62. Pamatlīdzekļus uzskaita, ievērojot šajos noteikumos minētos nosacījumus un normatīvajos aktos budžeta izdevumu klasifikāciju jomā noteikto vienas aktīva vienības sākotnējās atzīšanas vērtību. Ja vienas aktīva vienības iegādes vai izveidošanas vērtība ir mazāka par normatīvajos aktos budžeta izdevumu klasifikāciju jomā noteikto vienas aktīva vienības sākotnējās atzīšanas vērtību, aktīvus uzskaita apgrozāmo līdzekļu sastāvā, izņemot šo </w:t>
      </w:r>
      <w:r w:rsidRPr="008C1370">
        <w:rPr>
          <w:color w:val="414142"/>
        </w:rPr>
        <w:t>noteikumu </w:t>
      </w:r>
      <w:hyperlink r:id="rId18" w:anchor="p59" w:history="1">
        <w:r w:rsidR="008C1370" w:rsidRPr="008C1370">
          <w:rPr>
            <w:rStyle w:val="Hipersaite"/>
            <w:color w:val="16497B"/>
          </w:rPr>
          <w:t>65</w:t>
        </w:r>
        <w:r w:rsidRPr="008C1370">
          <w:rPr>
            <w:rStyle w:val="Hipersaite"/>
            <w:color w:val="16497B"/>
          </w:rPr>
          <w:t>. punktā</w:t>
        </w:r>
      </w:hyperlink>
      <w:r w:rsidRPr="0077064C">
        <w:rPr>
          <w:color w:val="414142"/>
        </w:rPr>
        <w:t> minētos aktīvus.</w:t>
      </w:r>
    </w:p>
    <w:p w14:paraId="4200B733"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9" w:name="p57"/>
      <w:bookmarkStart w:id="30" w:name="p-648422"/>
      <w:bookmarkEnd w:id="29"/>
      <w:bookmarkEnd w:id="30"/>
      <w:r w:rsidRPr="0077064C">
        <w:rPr>
          <w:color w:val="414142"/>
        </w:rPr>
        <w:t>63. Militāros ilgtermiņa aktīvus (militāro tehniku un iekārtas), kas nepieciešami Nacionālo bruņoto spēku militāro uzdevumu un ar tiem saistīto apmācību izpildes nodrošināšanai un militāro spēju attīstīšanai, uzskaita pamatlīdzekļu sastāvā.</w:t>
      </w:r>
    </w:p>
    <w:p w14:paraId="30810116"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31" w:name="p58"/>
      <w:bookmarkStart w:id="32" w:name="p-648423"/>
      <w:bookmarkEnd w:id="31"/>
      <w:bookmarkEnd w:id="32"/>
      <w:r w:rsidRPr="0077064C">
        <w:rPr>
          <w:color w:val="414142"/>
        </w:rPr>
        <w:t>64. Bibliotēku fondus, izklaides, literāros un mākslas oriģināldarbus, dārgakmeņus un dārgmetālus, antīkos un citus kultūras un mākslas priekšmetus, citas vērtslietas un muzeja krājuma priekšmetus uzskaita pārējo nemateriālo ieguldījumu vai pamatlīdzekļu sastāvā neatkarīgi no vienas aktīva vienības atzīšanas vērtības.</w:t>
      </w:r>
    </w:p>
    <w:p w14:paraId="60136F80"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33" w:name="p59"/>
      <w:bookmarkStart w:id="34" w:name="p-648424"/>
      <w:bookmarkEnd w:id="33"/>
      <w:bookmarkEnd w:id="34"/>
      <w:r w:rsidRPr="0077064C">
        <w:rPr>
          <w:color w:val="414142"/>
        </w:rPr>
        <w:t>65. Nemateriālos ieguldījumus, nekustamos īpašumus un bioloģiskos aktīvus uzskaita ilgtermiņa ieguldījumu sastāvā atbilstošos kontos neatkarīgi no vienas aktīva vienības atzīšanas vērtības.</w:t>
      </w:r>
    </w:p>
    <w:p w14:paraId="64A9586A"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35" w:name="p60"/>
      <w:bookmarkStart w:id="36" w:name="p-648425"/>
      <w:bookmarkEnd w:id="35"/>
      <w:bookmarkEnd w:id="36"/>
      <w:r w:rsidRPr="0077064C">
        <w:rPr>
          <w:color w:val="414142"/>
        </w:rPr>
        <w:t>66. Budžeta iestādes īpašumā un valdījumā esošos pašvaldību īpašumus nododot turējumā (izņemot nomu) valsts vai pašvaldību kapitālsabiedrībām, ostu pārvaldēm vai atvasinātām publiskām personām, uzskaita to sākotnējo vērtību, uzkrāto nolietojumu un vērtības samazinājumu atsevišķos kontos pamatlīdzekļu vai finanšu ieguldījumu sastāvā un analītiski nodala nolietojuma aprēķināšanai saskaņā ar šo noteikumu </w:t>
      </w:r>
      <w:hyperlink r:id="rId19" w:anchor="piel2" w:history="1">
        <w:r w:rsidRPr="0077064C">
          <w:rPr>
            <w:rStyle w:val="Hipersaite"/>
            <w:color w:val="16497B"/>
          </w:rPr>
          <w:t>2. pielikumā</w:t>
        </w:r>
      </w:hyperlink>
      <w:r w:rsidRPr="0077064C">
        <w:rPr>
          <w:color w:val="414142"/>
        </w:rPr>
        <w:t> norādītajām nolietojuma normām.</w:t>
      </w:r>
    </w:p>
    <w:p w14:paraId="4FB1CF52" w14:textId="77777777" w:rsidR="00112FC8" w:rsidRPr="0077064C" w:rsidRDefault="00E64267" w:rsidP="00CD363C">
      <w:pPr>
        <w:pStyle w:val="tv213"/>
        <w:shd w:val="clear" w:color="auto" w:fill="FFFFFF"/>
        <w:spacing w:before="0" w:beforeAutospacing="0" w:after="0" w:afterAutospacing="0"/>
        <w:ind w:right="-142"/>
        <w:jc w:val="both"/>
        <w:rPr>
          <w:color w:val="414142"/>
        </w:rPr>
      </w:pPr>
      <w:bookmarkStart w:id="37" w:name="p61"/>
      <w:bookmarkStart w:id="38" w:name="p-648426"/>
      <w:bookmarkEnd w:id="37"/>
      <w:bookmarkEnd w:id="38"/>
      <w:r w:rsidRPr="0077064C">
        <w:rPr>
          <w:color w:val="414142"/>
        </w:rPr>
        <w:t>67. Valsts īpašumus, kuri nodoti privatizācijai vai atsavināšanai un kuru īpašuma tiesīb</w:t>
      </w:r>
      <w:r w:rsidR="00112FC8" w:rsidRPr="0077064C">
        <w:rPr>
          <w:color w:val="414142"/>
        </w:rPr>
        <w:t>as zemesgrāmatā vai kapitālsabiedrības dalībnieku (akcionāru) reģistrā ir reģistrētas uz valsts vārda privatizāciju (atsavināšanu) veicošās institūcijas personā saskaņā ar likuma "</w:t>
      </w:r>
      <w:hyperlink r:id="rId20" w:tgtFrame="_blank" w:history="1">
        <w:r w:rsidR="00112FC8" w:rsidRPr="0077064C">
          <w:rPr>
            <w:color w:val="16497B"/>
          </w:rPr>
          <w:t>Par valsts un pašvaldību zemes īpašuma tiesībām un to nostiprināšanu zemesgrāmatās</w:t>
        </w:r>
      </w:hyperlink>
      <w:r w:rsidR="00112FC8" w:rsidRPr="0077064C">
        <w:rPr>
          <w:color w:val="414142"/>
        </w:rPr>
        <w:t>" </w:t>
      </w:r>
      <w:hyperlink r:id="rId21" w:anchor="p8" w:tgtFrame="_blank" w:history="1">
        <w:r w:rsidR="00112FC8" w:rsidRPr="0077064C">
          <w:rPr>
            <w:color w:val="16497B"/>
          </w:rPr>
          <w:t>8. panta</w:t>
        </w:r>
      </w:hyperlink>
      <w:r w:rsidR="00112FC8" w:rsidRPr="0077064C">
        <w:rPr>
          <w:color w:val="414142"/>
        </w:rPr>
        <w:t> septīto daļu un </w:t>
      </w:r>
      <w:hyperlink r:id="rId22" w:tgtFrame="_blank" w:history="1">
        <w:r w:rsidR="00112FC8" w:rsidRPr="0077064C">
          <w:rPr>
            <w:color w:val="16497B"/>
          </w:rPr>
          <w:t>Publiskas personas kapitāla daļu un kapitālsabiedrību pārvaldības likuma</w:t>
        </w:r>
      </w:hyperlink>
      <w:r w:rsidR="00112FC8" w:rsidRPr="0077064C">
        <w:rPr>
          <w:color w:val="414142"/>
        </w:rPr>
        <w:t> </w:t>
      </w:r>
      <w:hyperlink r:id="rId23" w:anchor="p10" w:tgtFrame="_blank" w:history="1">
        <w:r w:rsidR="00112FC8" w:rsidRPr="0077064C">
          <w:rPr>
            <w:color w:val="16497B"/>
          </w:rPr>
          <w:t>10. panta</w:t>
        </w:r>
      </w:hyperlink>
      <w:r w:rsidR="00112FC8" w:rsidRPr="0077064C">
        <w:rPr>
          <w:color w:val="414142"/>
        </w:rPr>
        <w:t> pirmās daļas 2. punktu, uzskaita Ekonomikas ministrija.</w:t>
      </w:r>
    </w:p>
    <w:p w14:paraId="736B5D72"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39" w:name="p62"/>
      <w:bookmarkStart w:id="40" w:name="p-648427"/>
      <w:bookmarkEnd w:id="39"/>
      <w:bookmarkEnd w:id="40"/>
      <w:r w:rsidRPr="0077064C">
        <w:rPr>
          <w:rFonts w:ascii="Times New Roman" w:eastAsia="Times New Roman" w:hAnsi="Times New Roman" w:cs="Times New Roman"/>
          <w:color w:val="414142"/>
          <w:sz w:val="24"/>
          <w:szCs w:val="24"/>
          <w:lang w:eastAsia="lv-LV"/>
        </w:rPr>
        <w:t>68. Nekustamos īpašumus, kuri nodoti privatizācijai vai atsavināšanai un kurus šo noteikumu </w:t>
      </w:r>
      <w:hyperlink r:id="rId24" w:anchor="p61" w:history="1">
        <w:r w:rsidRPr="0077064C">
          <w:rPr>
            <w:rFonts w:ascii="Times New Roman" w:eastAsia="Times New Roman" w:hAnsi="Times New Roman" w:cs="Times New Roman"/>
            <w:color w:val="16497B"/>
            <w:sz w:val="24"/>
            <w:szCs w:val="24"/>
            <w:lang w:eastAsia="lv-LV"/>
          </w:rPr>
          <w:t>67. punktā</w:t>
        </w:r>
      </w:hyperlink>
      <w:r w:rsidRPr="0077064C">
        <w:rPr>
          <w:rFonts w:ascii="Times New Roman" w:eastAsia="Times New Roman" w:hAnsi="Times New Roman" w:cs="Times New Roman"/>
          <w:color w:val="414142"/>
          <w:sz w:val="24"/>
          <w:szCs w:val="24"/>
          <w:lang w:eastAsia="lv-LV"/>
        </w:rPr>
        <w:t> minētā privatizāciju (atsavināšanu) veicošā institūcija ir ņēmusi valdījumā, bet kuru īpašuma tiesības vēl nav nostiprinātas zemesgrāmatā, uzskaita Ekonomikas ministrija.</w:t>
      </w:r>
    </w:p>
    <w:p w14:paraId="78ECC463"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1" w:name="p63"/>
      <w:bookmarkStart w:id="42" w:name="p-648428"/>
      <w:bookmarkEnd w:id="41"/>
      <w:bookmarkEnd w:id="42"/>
      <w:r w:rsidRPr="0077064C">
        <w:rPr>
          <w:rFonts w:ascii="Times New Roman" w:eastAsia="Times New Roman" w:hAnsi="Times New Roman" w:cs="Times New Roman"/>
          <w:color w:val="414142"/>
          <w:sz w:val="24"/>
          <w:szCs w:val="24"/>
          <w:lang w:eastAsia="lv-LV"/>
        </w:rPr>
        <w:t>69. Pamatlīdzekļus un nemateriālos ieguldījumus, kas sastāv no komplektējošām daļām (piemēram, datoram – programmatūra, transportlīdzeklim – rezerves daļas), kuras nevar izmantot katru atsevišķi, uzskaita kā vienu aktīvu.</w:t>
      </w:r>
    </w:p>
    <w:p w14:paraId="2E371269"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3" w:name="p64"/>
      <w:bookmarkStart w:id="44" w:name="p-648429"/>
      <w:bookmarkEnd w:id="43"/>
      <w:bookmarkEnd w:id="44"/>
      <w:r w:rsidRPr="0077064C">
        <w:rPr>
          <w:rFonts w:ascii="Times New Roman" w:eastAsia="Times New Roman" w:hAnsi="Times New Roman" w:cs="Times New Roman"/>
          <w:color w:val="414142"/>
          <w:sz w:val="24"/>
          <w:szCs w:val="24"/>
          <w:lang w:eastAsia="lv-LV"/>
        </w:rPr>
        <w:t>70. Pamatlīdzekļus un nemateriālos ieguldījumus, kas sastāv no komplektējošām daļām, kuras var izmantot katru atsevišķi (piemēram, datorsistēmas bloks, monitors, printeris) un kuras atbilst ilgtermiņa ieguldījuma atzīšanas kritērijiem, uzskaita kā atsevišķus aktīvus.</w:t>
      </w:r>
    </w:p>
    <w:p w14:paraId="11CA1725"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5" w:name="p65"/>
      <w:bookmarkStart w:id="46" w:name="p-648430"/>
      <w:bookmarkEnd w:id="45"/>
      <w:bookmarkEnd w:id="46"/>
      <w:r w:rsidRPr="0077064C">
        <w:rPr>
          <w:rFonts w:ascii="Times New Roman" w:eastAsia="Times New Roman" w:hAnsi="Times New Roman" w:cs="Times New Roman"/>
          <w:color w:val="414142"/>
          <w:sz w:val="24"/>
          <w:szCs w:val="24"/>
          <w:lang w:eastAsia="lv-LV"/>
        </w:rPr>
        <w:t xml:space="preserve">71. Zemi un būves (piemēram, zemesgabalus, ēkas, inženierbūves), sākotnēji atzīstot, grāmato </w:t>
      </w:r>
      <w:r w:rsidRPr="008C1370">
        <w:rPr>
          <w:rFonts w:ascii="Times New Roman" w:eastAsia="Times New Roman" w:hAnsi="Times New Roman" w:cs="Times New Roman"/>
          <w:b/>
          <w:color w:val="414142"/>
          <w:sz w:val="24"/>
          <w:szCs w:val="24"/>
          <w:lang w:eastAsia="lv-LV"/>
        </w:rPr>
        <w:t>kā pamatlīdzekļus</w:t>
      </w:r>
      <w:r w:rsidRPr="0077064C">
        <w:rPr>
          <w:rFonts w:ascii="Times New Roman" w:eastAsia="Times New Roman" w:hAnsi="Times New Roman" w:cs="Times New Roman"/>
          <w:color w:val="414142"/>
          <w:sz w:val="24"/>
          <w:szCs w:val="24"/>
          <w:lang w:eastAsia="lv-LV"/>
        </w:rPr>
        <w:t>, ja tās paredzētas:</w:t>
      </w:r>
    </w:p>
    <w:p w14:paraId="10E6A77B" w14:textId="77777777" w:rsidR="00112FC8" w:rsidRPr="0077064C" w:rsidRDefault="00112FC8" w:rsidP="00CD363C">
      <w:pPr>
        <w:shd w:val="clear" w:color="auto" w:fill="FFFFFF"/>
        <w:spacing w:after="0" w:line="240" w:lineRule="auto"/>
        <w:ind w:right="-142" w:firstLine="284"/>
        <w:jc w:val="both"/>
        <w:rPr>
          <w:rFonts w:ascii="Times New Roman" w:eastAsia="Times New Roman" w:hAnsi="Times New Roman" w:cs="Times New Roman"/>
          <w:color w:val="414142"/>
          <w:sz w:val="24"/>
          <w:szCs w:val="24"/>
          <w:lang w:eastAsia="lv-LV"/>
        </w:rPr>
      </w:pPr>
      <w:r w:rsidRPr="0077064C">
        <w:rPr>
          <w:rFonts w:ascii="Times New Roman" w:eastAsia="Times New Roman" w:hAnsi="Times New Roman" w:cs="Times New Roman"/>
          <w:color w:val="414142"/>
          <w:sz w:val="24"/>
          <w:szCs w:val="24"/>
          <w:lang w:eastAsia="lv-LV"/>
        </w:rPr>
        <w:t>71.1. funkciju nodrošināšanai (piemēram, administratīvām vajadzībām, preču ražošanai, pakalpojumu sniegšanai);</w:t>
      </w:r>
    </w:p>
    <w:p w14:paraId="7BB3E6A2" w14:textId="77777777" w:rsidR="00112FC8" w:rsidRPr="0077064C" w:rsidRDefault="00112FC8" w:rsidP="00CD363C">
      <w:pPr>
        <w:shd w:val="clear" w:color="auto" w:fill="FFFFFF"/>
        <w:spacing w:after="0" w:line="240" w:lineRule="auto"/>
        <w:ind w:right="-142" w:firstLine="300"/>
        <w:jc w:val="both"/>
        <w:rPr>
          <w:rFonts w:ascii="Times New Roman" w:eastAsia="Times New Roman" w:hAnsi="Times New Roman" w:cs="Times New Roman"/>
          <w:color w:val="414142"/>
          <w:sz w:val="24"/>
          <w:szCs w:val="24"/>
          <w:lang w:eastAsia="lv-LV"/>
        </w:rPr>
      </w:pPr>
      <w:r w:rsidRPr="0077064C">
        <w:rPr>
          <w:rFonts w:ascii="Times New Roman" w:eastAsia="Times New Roman" w:hAnsi="Times New Roman" w:cs="Times New Roman"/>
          <w:color w:val="414142"/>
          <w:sz w:val="24"/>
          <w:szCs w:val="24"/>
          <w:lang w:eastAsia="lv-LV"/>
        </w:rPr>
        <w:t>71.2. iznomāšanai pilnībā vai daļēji vispārējā valdības sektora struktūru ietvaros;</w:t>
      </w:r>
    </w:p>
    <w:p w14:paraId="3FA3C399" w14:textId="77777777" w:rsidR="00112FC8" w:rsidRPr="0077064C" w:rsidRDefault="00112FC8" w:rsidP="00CD363C">
      <w:pPr>
        <w:shd w:val="clear" w:color="auto" w:fill="FFFFFF"/>
        <w:spacing w:after="0" w:line="240" w:lineRule="auto"/>
        <w:ind w:right="-142" w:firstLine="284"/>
        <w:jc w:val="both"/>
        <w:rPr>
          <w:rFonts w:ascii="Times New Roman" w:eastAsia="Times New Roman" w:hAnsi="Times New Roman" w:cs="Times New Roman"/>
          <w:color w:val="414142"/>
          <w:sz w:val="24"/>
          <w:szCs w:val="24"/>
          <w:lang w:eastAsia="lv-LV"/>
        </w:rPr>
      </w:pPr>
      <w:r w:rsidRPr="0077064C">
        <w:rPr>
          <w:rFonts w:ascii="Times New Roman" w:eastAsia="Times New Roman" w:hAnsi="Times New Roman" w:cs="Times New Roman"/>
          <w:color w:val="414142"/>
          <w:sz w:val="24"/>
          <w:szCs w:val="24"/>
          <w:lang w:eastAsia="lv-LV"/>
        </w:rPr>
        <w:t>71.3. gan funkciju nodrošināšanai, gan iznomāšanai ārpus vispārējā valdības sektora struktūrām.</w:t>
      </w:r>
    </w:p>
    <w:p w14:paraId="08938A0B"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7" w:name="p66"/>
      <w:bookmarkStart w:id="48" w:name="p-648431"/>
      <w:bookmarkEnd w:id="47"/>
      <w:bookmarkEnd w:id="48"/>
      <w:r w:rsidRPr="0077064C">
        <w:rPr>
          <w:rFonts w:ascii="Times New Roman" w:eastAsia="Times New Roman" w:hAnsi="Times New Roman" w:cs="Times New Roman"/>
          <w:color w:val="414142"/>
          <w:sz w:val="24"/>
          <w:szCs w:val="24"/>
          <w:lang w:eastAsia="lv-LV"/>
        </w:rPr>
        <w:t xml:space="preserve">72. Zemi un būves, sākotnēji atzīstot, </w:t>
      </w:r>
      <w:r w:rsidRPr="008C1370">
        <w:rPr>
          <w:rFonts w:ascii="Times New Roman" w:eastAsia="Times New Roman" w:hAnsi="Times New Roman" w:cs="Times New Roman"/>
          <w:b/>
          <w:color w:val="414142"/>
          <w:sz w:val="24"/>
          <w:szCs w:val="24"/>
          <w:lang w:eastAsia="lv-LV"/>
        </w:rPr>
        <w:t>grāmato kā ieguldījuma īpašumu</w:t>
      </w:r>
      <w:r w:rsidRPr="0077064C">
        <w:rPr>
          <w:rFonts w:ascii="Times New Roman" w:eastAsia="Times New Roman" w:hAnsi="Times New Roman" w:cs="Times New Roman"/>
          <w:color w:val="414142"/>
          <w:sz w:val="24"/>
          <w:szCs w:val="24"/>
          <w:lang w:eastAsia="lv-LV"/>
        </w:rPr>
        <w:t>, ja tās neatbilst šo noteikumu </w:t>
      </w:r>
      <w:hyperlink r:id="rId25" w:anchor="p65" w:history="1">
        <w:r w:rsidRPr="0077064C">
          <w:rPr>
            <w:rFonts w:ascii="Times New Roman" w:eastAsia="Times New Roman" w:hAnsi="Times New Roman" w:cs="Times New Roman"/>
            <w:color w:val="16497B"/>
            <w:sz w:val="24"/>
            <w:szCs w:val="24"/>
            <w:lang w:eastAsia="lv-LV"/>
          </w:rPr>
          <w:t>71. punktā</w:t>
        </w:r>
      </w:hyperlink>
      <w:r w:rsidRPr="0077064C">
        <w:rPr>
          <w:rFonts w:ascii="Times New Roman" w:eastAsia="Times New Roman" w:hAnsi="Times New Roman" w:cs="Times New Roman"/>
          <w:color w:val="414142"/>
          <w:sz w:val="24"/>
          <w:szCs w:val="24"/>
          <w:lang w:eastAsia="lv-LV"/>
        </w:rPr>
        <w:t> minētajiem kritērijiem (piemēram, tās paredzētas iznomāšanai, izņemot vispārējās valdības sektora struktūru ietvaros, vai nav pieņemts lēmums par to izmantošanu).</w:t>
      </w:r>
    </w:p>
    <w:p w14:paraId="1F238A16" w14:textId="77777777" w:rsidR="00112FC8" w:rsidRDefault="00112FC8" w:rsidP="00CD363C">
      <w:pPr>
        <w:shd w:val="clear" w:color="auto" w:fill="F1F1F1"/>
        <w:spacing w:after="0" w:line="240" w:lineRule="auto"/>
        <w:ind w:right="-142"/>
        <w:jc w:val="both"/>
        <w:rPr>
          <w:rFonts w:ascii="Times New Roman" w:eastAsia="Times New Roman" w:hAnsi="Times New Roman" w:cs="Times New Roman"/>
          <w:color w:val="414142"/>
          <w:sz w:val="24"/>
          <w:szCs w:val="24"/>
          <w:lang w:eastAsia="lv-LV"/>
        </w:rPr>
      </w:pPr>
      <w:bookmarkStart w:id="49" w:name="p67"/>
      <w:bookmarkStart w:id="50" w:name="p-648432"/>
      <w:bookmarkEnd w:id="49"/>
      <w:bookmarkEnd w:id="50"/>
      <w:r w:rsidRPr="0077064C">
        <w:rPr>
          <w:rFonts w:ascii="Times New Roman" w:eastAsia="Times New Roman" w:hAnsi="Times New Roman" w:cs="Times New Roman"/>
          <w:color w:val="414142"/>
          <w:sz w:val="24"/>
          <w:szCs w:val="24"/>
          <w:lang w:eastAsia="lv-LV"/>
        </w:rPr>
        <w:t>73. Ja šo noteikumu </w:t>
      </w:r>
      <w:hyperlink r:id="rId26" w:anchor="p66" w:history="1">
        <w:r w:rsidRPr="0077064C">
          <w:rPr>
            <w:rFonts w:ascii="Times New Roman" w:eastAsia="Times New Roman" w:hAnsi="Times New Roman" w:cs="Times New Roman"/>
            <w:color w:val="16497B"/>
            <w:sz w:val="24"/>
            <w:szCs w:val="24"/>
            <w:lang w:eastAsia="lv-LV"/>
          </w:rPr>
          <w:t>72. punktā</w:t>
        </w:r>
      </w:hyperlink>
      <w:r w:rsidRPr="0077064C">
        <w:rPr>
          <w:rFonts w:ascii="Times New Roman" w:eastAsia="Times New Roman" w:hAnsi="Times New Roman" w:cs="Times New Roman"/>
          <w:color w:val="414142"/>
          <w:sz w:val="24"/>
          <w:szCs w:val="24"/>
          <w:lang w:eastAsia="lv-LV"/>
        </w:rPr>
        <w:t> minētos aktīvus iznomā kopā ar citiem aktīviem, tad ieguldījuma īpašumu sastāvā grāmato visus aktīvus un analītiski nodala nolietojuma aprēķināšanai saskaņā ar šo noteikumu </w:t>
      </w:r>
      <w:hyperlink r:id="rId27" w:anchor="piel2" w:history="1">
        <w:r w:rsidRPr="0077064C">
          <w:rPr>
            <w:rFonts w:ascii="Times New Roman" w:eastAsia="Times New Roman" w:hAnsi="Times New Roman" w:cs="Times New Roman"/>
            <w:color w:val="16497B"/>
            <w:sz w:val="24"/>
            <w:szCs w:val="24"/>
            <w:lang w:eastAsia="lv-LV"/>
          </w:rPr>
          <w:t>2. pielikumā</w:t>
        </w:r>
      </w:hyperlink>
      <w:r w:rsidRPr="0077064C">
        <w:rPr>
          <w:rFonts w:ascii="Times New Roman" w:eastAsia="Times New Roman" w:hAnsi="Times New Roman" w:cs="Times New Roman"/>
          <w:color w:val="414142"/>
          <w:sz w:val="24"/>
          <w:szCs w:val="24"/>
          <w:lang w:eastAsia="lv-LV"/>
        </w:rPr>
        <w:t> norādītajām nolietojuma normām.</w:t>
      </w:r>
    </w:p>
    <w:p w14:paraId="31752969" w14:textId="77777777" w:rsidR="00CD363C" w:rsidRDefault="00CD363C">
      <w:pPr>
        <w:rPr>
          <w:rFonts w:ascii="Times New Roman" w:eastAsia="Times New Roman" w:hAnsi="Times New Roman" w:cs="Times New Roman"/>
          <w:color w:val="414142"/>
          <w:sz w:val="24"/>
          <w:szCs w:val="24"/>
          <w:lang w:eastAsia="lv-LV"/>
        </w:rPr>
      </w:pPr>
      <w:r>
        <w:rPr>
          <w:rFonts w:ascii="Times New Roman" w:eastAsia="Times New Roman" w:hAnsi="Times New Roman" w:cs="Times New Roman"/>
          <w:color w:val="414142"/>
          <w:sz w:val="24"/>
          <w:szCs w:val="24"/>
          <w:lang w:eastAsia="lv-LV"/>
        </w:rPr>
        <w:br w:type="page"/>
      </w:r>
    </w:p>
    <w:p w14:paraId="76C27C8E" w14:textId="77777777" w:rsidR="00195A06" w:rsidRPr="0077064C" w:rsidRDefault="00195A06" w:rsidP="00CD363C">
      <w:pPr>
        <w:shd w:val="clear" w:color="auto" w:fill="F1F1F1"/>
        <w:spacing w:after="0" w:line="240" w:lineRule="auto"/>
        <w:ind w:right="-142"/>
        <w:jc w:val="both"/>
        <w:rPr>
          <w:rFonts w:ascii="Times New Roman" w:eastAsia="Times New Roman" w:hAnsi="Times New Roman" w:cs="Times New Roman"/>
          <w:color w:val="414142"/>
          <w:sz w:val="24"/>
          <w:szCs w:val="24"/>
          <w:lang w:eastAsia="lv-LV"/>
        </w:rPr>
      </w:pPr>
    </w:p>
    <w:p w14:paraId="1E314481" w14:textId="77777777" w:rsidR="00112FC8" w:rsidRPr="0077064C" w:rsidRDefault="002F1E6A" w:rsidP="00CD363C">
      <w:pPr>
        <w:shd w:val="clear" w:color="auto" w:fill="FFFFFF"/>
        <w:spacing w:after="0" w:line="240" w:lineRule="auto"/>
        <w:ind w:right="-142"/>
        <w:jc w:val="center"/>
        <w:rPr>
          <w:rFonts w:ascii="Times New Roman" w:eastAsia="Times New Roman" w:hAnsi="Times New Roman" w:cs="Times New Roman"/>
          <w:b/>
          <w:bCs/>
          <w:color w:val="414142"/>
          <w:sz w:val="24"/>
          <w:szCs w:val="24"/>
          <w:lang w:eastAsia="lv-LV"/>
        </w:rPr>
      </w:pPr>
      <w:bookmarkStart w:id="51" w:name="n2.2"/>
      <w:bookmarkStart w:id="52" w:name="n-648433"/>
      <w:bookmarkEnd w:id="51"/>
      <w:bookmarkEnd w:id="52"/>
      <w:r w:rsidRPr="0077064C">
        <w:rPr>
          <w:rFonts w:ascii="Times New Roman" w:eastAsia="Times New Roman" w:hAnsi="Times New Roman" w:cs="Times New Roman"/>
          <w:b/>
          <w:bCs/>
          <w:color w:val="414142"/>
          <w:sz w:val="24"/>
          <w:szCs w:val="24"/>
          <w:lang w:eastAsia="lv-LV"/>
        </w:rPr>
        <w:t>9.</w:t>
      </w:r>
      <w:r w:rsidR="00BB53D1" w:rsidRPr="0077064C">
        <w:rPr>
          <w:rFonts w:ascii="Times New Roman" w:eastAsia="Times New Roman" w:hAnsi="Times New Roman" w:cs="Times New Roman"/>
          <w:b/>
          <w:bCs/>
          <w:color w:val="414142"/>
          <w:sz w:val="24"/>
          <w:szCs w:val="24"/>
          <w:lang w:eastAsia="lv-LV"/>
        </w:rPr>
        <w:t>Nemateriālo ieguldījumu uzskaite</w:t>
      </w:r>
    </w:p>
    <w:p w14:paraId="631DD883" w14:textId="77777777" w:rsidR="007A3746" w:rsidRPr="0077064C" w:rsidRDefault="007A3746" w:rsidP="00CD363C">
      <w:pPr>
        <w:shd w:val="clear" w:color="auto" w:fill="FFFFFF"/>
        <w:spacing w:after="0" w:line="240" w:lineRule="auto"/>
        <w:ind w:right="-142"/>
        <w:jc w:val="both"/>
        <w:rPr>
          <w:rFonts w:ascii="Times New Roman" w:eastAsia="Times New Roman" w:hAnsi="Times New Roman" w:cs="Times New Roman"/>
          <w:b/>
          <w:bCs/>
          <w:color w:val="414142"/>
          <w:sz w:val="24"/>
          <w:szCs w:val="24"/>
          <w:lang w:eastAsia="lv-LV"/>
        </w:rPr>
      </w:pPr>
    </w:p>
    <w:p w14:paraId="0B07F6A8" w14:textId="77777777" w:rsidR="007A3746" w:rsidRPr="0077064C" w:rsidRDefault="002F1E6A" w:rsidP="00CD363C">
      <w:pPr>
        <w:shd w:val="clear" w:color="auto" w:fill="FFFFFF"/>
        <w:spacing w:after="0" w:line="240" w:lineRule="auto"/>
        <w:ind w:right="-142"/>
        <w:jc w:val="both"/>
        <w:rPr>
          <w:rFonts w:ascii="Times New Roman" w:eastAsia="Times New Roman" w:hAnsi="Times New Roman" w:cs="Times New Roman"/>
          <w:b/>
          <w:bCs/>
          <w:color w:val="414142"/>
          <w:sz w:val="24"/>
          <w:szCs w:val="24"/>
          <w:lang w:eastAsia="lv-LV"/>
        </w:rPr>
      </w:pPr>
      <w:r w:rsidRPr="0077064C">
        <w:rPr>
          <w:rFonts w:ascii="Times New Roman" w:hAnsi="Times New Roman" w:cs="Times New Roman"/>
          <w:b/>
          <w:sz w:val="24"/>
          <w:szCs w:val="24"/>
        </w:rPr>
        <w:t>9</w:t>
      </w:r>
      <w:r w:rsidR="007A3746" w:rsidRPr="0077064C">
        <w:rPr>
          <w:rFonts w:ascii="Times New Roman" w:hAnsi="Times New Roman" w:cs="Times New Roman"/>
          <w:b/>
          <w:sz w:val="24"/>
          <w:szCs w:val="24"/>
        </w:rPr>
        <w:t>.1. Nemateriālo ieguldījumu iegāde, saņemšana, atzīšana uzskaitē un izveidošana</w:t>
      </w:r>
    </w:p>
    <w:p w14:paraId="4B8E2F12" w14:textId="77777777" w:rsidR="007A3746" w:rsidRPr="0077064C" w:rsidRDefault="007A3746" w:rsidP="00CD363C">
      <w:pPr>
        <w:shd w:val="clear" w:color="auto" w:fill="FFFFFF"/>
        <w:spacing w:after="0" w:line="240" w:lineRule="auto"/>
        <w:ind w:right="-142"/>
        <w:jc w:val="both"/>
        <w:rPr>
          <w:rFonts w:ascii="Times New Roman" w:eastAsia="Times New Roman" w:hAnsi="Times New Roman" w:cs="Times New Roman"/>
          <w:b/>
          <w:bCs/>
          <w:color w:val="414142"/>
          <w:sz w:val="24"/>
          <w:szCs w:val="24"/>
          <w:lang w:eastAsia="lv-LV"/>
        </w:rPr>
      </w:pPr>
    </w:p>
    <w:p w14:paraId="28B0AD8B" w14:textId="77777777" w:rsidR="00E64267" w:rsidRPr="0077064C" w:rsidRDefault="00E64267" w:rsidP="00CD363C">
      <w:pPr>
        <w:pStyle w:val="tv213"/>
        <w:shd w:val="clear" w:color="auto" w:fill="FFFFFF"/>
        <w:spacing w:before="0" w:beforeAutospacing="0" w:after="0" w:afterAutospacing="0"/>
        <w:ind w:right="-142" w:firstLine="300"/>
        <w:jc w:val="both"/>
        <w:rPr>
          <w:b/>
          <w:color w:val="414142"/>
        </w:rPr>
      </w:pPr>
    </w:p>
    <w:p w14:paraId="1CFE6578" w14:textId="77777777" w:rsidR="00BB53D1" w:rsidRPr="0077064C" w:rsidRDefault="00BB53D1" w:rsidP="00CD363C">
      <w:pPr>
        <w:pStyle w:val="tv213"/>
        <w:spacing w:before="0" w:beforeAutospacing="0" w:after="0" w:afterAutospacing="0"/>
        <w:ind w:right="-142"/>
        <w:jc w:val="both"/>
        <w:rPr>
          <w:color w:val="414142"/>
        </w:rPr>
      </w:pPr>
      <w:r w:rsidRPr="0077064C">
        <w:rPr>
          <w:color w:val="414142"/>
        </w:rPr>
        <w:t>74. Nemateriālo ieguldījumu sastāvā atzīst nefinanšu aktīvu, kam nav fiziskas formas, ja tas:</w:t>
      </w:r>
    </w:p>
    <w:p w14:paraId="66877A5E" w14:textId="77777777" w:rsidR="00BB53D1" w:rsidRPr="0077064C" w:rsidRDefault="00E44FF9" w:rsidP="00CD363C">
      <w:pPr>
        <w:pStyle w:val="tv213"/>
        <w:spacing w:before="0" w:beforeAutospacing="0" w:after="0" w:afterAutospacing="0"/>
        <w:ind w:right="-142"/>
        <w:jc w:val="both"/>
        <w:rPr>
          <w:color w:val="414142"/>
        </w:rPr>
      </w:pPr>
      <w:r>
        <w:rPr>
          <w:color w:val="414142"/>
        </w:rPr>
        <w:t xml:space="preserve">    </w:t>
      </w:r>
      <w:r w:rsidR="00BB53D1" w:rsidRPr="0077064C">
        <w:rPr>
          <w:color w:val="414142"/>
        </w:rPr>
        <w:t>74.1. ir nodalāms no citiem aktīviem un to var pārdot, nodot, licencēt, iznomāt vai apmainīt individuāli vai kopā ar nodalāmu aktīvu vai saistībām;</w:t>
      </w:r>
    </w:p>
    <w:p w14:paraId="766E56D1" w14:textId="77777777" w:rsidR="00BB53D1" w:rsidRPr="0077064C" w:rsidRDefault="00E44FF9" w:rsidP="00CD363C">
      <w:pPr>
        <w:pStyle w:val="tv213"/>
        <w:spacing w:before="0" w:beforeAutospacing="0" w:after="0" w:afterAutospacing="0"/>
        <w:ind w:right="-142"/>
        <w:jc w:val="both"/>
        <w:rPr>
          <w:color w:val="414142"/>
        </w:rPr>
      </w:pPr>
      <w:r>
        <w:rPr>
          <w:color w:val="414142"/>
        </w:rPr>
        <w:t xml:space="preserve">    </w:t>
      </w:r>
      <w:r w:rsidR="00BB53D1" w:rsidRPr="0077064C">
        <w:rPr>
          <w:color w:val="414142"/>
        </w:rPr>
        <w:t>74.2. radies no līguma vai juridiskām tiesībām (turpmāk – saistoša vienošanās), neraugoties uz to, vai šīs tiesības ir nododamas vai nošķiramas no budžeta iestādes vai no citām tiesībām un pienākumiem.</w:t>
      </w:r>
    </w:p>
    <w:p w14:paraId="020574A2" w14:textId="77777777" w:rsidR="00BB53D1" w:rsidRPr="007F7C59" w:rsidRDefault="00141596" w:rsidP="00CD363C">
      <w:pPr>
        <w:pStyle w:val="tv213"/>
        <w:spacing w:before="0" w:beforeAutospacing="0" w:after="0" w:afterAutospacing="0"/>
        <w:ind w:right="-142"/>
        <w:jc w:val="both"/>
      </w:pPr>
      <w:r w:rsidRPr="007F7C59">
        <w:rPr>
          <w:color w:val="414142"/>
          <w:sz w:val="20"/>
          <w:szCs w:val="20"/>
        </w:rPr>
        <w:t>75.</w:t>
      </w:r>
      <w:r w:rsidRPr="007F7C59">
        <w:t xml:space="preserve"> Budžeta iestāde bieži izlieto resursus vai uzņemas saistības, iegādājoties, attīstot, uzturot vai uzlabojot nemateriālos resursus, piemēram, zinātniskās vai tehniskās zināšanas, jaunu procesu vai sistēmu izstrādi un ieviešanu, licences, intelektuālo īpašumu un preču zīmes (tostarp zīmolu un preses izdevumu nosaukumus). Nemateriālo ieguldījumu izplatītākie piemēri ir datorprogrammas, licences, patenti, autortiesības.</w:t>
      </w:r>
    </w:p>
    <w:p w14:paraId="26582320" w14:textId="77777777" w:rsidR="00141596" w:rsidRPr="007F7C59" w:rsidRDefault="00141596" w:rsidP="00CD363C">
      <w:pPr>
        <w:pStyle w:val="tv213"/>
        <w:spacing w:before="0" w:beforeAutospacing="0" w:after="0" w:afterAutospacing="0"/>
        <w:ind w:right="-142"/>
        <w:jc w:val="both"/>
      </w:pPr>
      <w:r w:rsidRPr="007F7C59">
        <w:t xml:space="preserve">76. Budžeta iestāde atzīst nemateriālo ieguldījumu tikai tad, ja: </w:t>
      </w:r>
    </w:p>
    <w:p w14:paraId="1E4845EA" w14:textId="77777777" w:rsidR="00141596" w:rsidRPr="007F7C59" w:rsidRDefault="00141596" w:rsidP="00CD363C">
      <w:pPr>
        <w:pStyle w:val="tv213"/>
        <w:spacing w:before="0" w:beforeAutospacing="0" w:after="0" w:afterAutospacing="0"/>
        <w:ind w:right="-142"/>
        <w:jc w:val="both"/>
      </w:pPr>
      <w:r w:rsidRPr="007F7C59">
        <w:t xml:space="preserve">      a) tas atbilst ilgtermiņa ieguldījuma un nemateriālā ieguldījuma definīcijai;</w:t>
      </w:r>
    </w:p>
    <w:p w14:paraId="55AEF0D5" w14:textId="77777777" w:rsidR="00141596" w:rsidRPr="007F7C59" w:rsidRDefault="00141596" w:rsidP="00CD363C">
      <w:pPr>
        <w:pStyle w:val="tv213"/>
        <w:spacing w:before="0" w:beforeAutospacing="0" w:after="0" w:afterAutospacing="0"/>
        <w:ind w:right="-142"/>
        <w:jc w:val="both"/>
      </w:pPr>
      <w:r w:rsidRPr="007F7C59">
        <w:t xml:space="preserve">      b) ir droši ticams, ka budžeta iestāde saņems ar nemateriālo ieguldījumu saistītos nākotnes saimnieciskos labumus; </w:t>
      </w:r>
    </w:p>
    <w:p w14:paraId="3359F884" w14:textId="77777777" w:rsidR="00141596" w:rsidRPr="007F7C59" w:rsidRDefault="00141596" w:rsidP="00CD363C">
      <w:pPr>
        <w:pStyle w:val="tv213"/>
        <w:spacing w:before="0" w:beforeAutospacing="0" w:after="0" w:afterAutospacing="0"/>
        <w:ind w:right="-142"/>
        <w:jc w:val="both"/>
      </w:pPr>
      <w:r w:rsidRPr="007F7C59">
        <w:t xml:space="preserve">      c) nemateriālā ieguldījuma patieso vērtību var ticami novērtēt; </w:t>
      </w:r>
    </w:p>
    <w:p w14:paraId="1D9FB154" w14:textId="77777777" w:rsidR="00141596" w:rsidRPr="007F7C59" w:rsidRDefault="00141596" w:rsidP="00CD363C">
      <w:pPr>
        <w:pStyle w:val="tv213"/>
        <w:spacing w:before="0" w:beforeAutospacing="0" w:after="0" w:afterAutospacing="0"/>
        <w:ind w:right="-142"/>
        <w:jc w:val="both"/>
      </w:pPr>
      <w:r w:rsidRPr="007F7C59">
        <w:t xml:space="preserve">      d) budžeta iestādei ir kontrole pār aktīvu.</w:t>
      </w:r>
    </w:p>
    <w:p w14:paraId="1262A109" w14:textId="77777777" w:rsidR="00141596" w:rsidRPr="007F7C59" w:rsidRDefault="00141596" w:rsidP="00CD363C">
      <w:pPr>
        <w:pStyle w:val="tv213"/>
        <w:spacing w:before="0" w:beforeAutospacing="0" w:after="0" w:afterAutospacing="0"/>
        <w:ind w:right="-142"/>
        <w:jc w:val="both"/>
      </w:pPr>
      <w:r w:rsidRPr="007F7C59">
        <w:t>77. Gadījumā, ja radušās izmaksas, kas saistītas ar nemateriālā ieguldījuma iegādi vai radīšanu budžeta iestādē, neatbilst nemateriālā ieguldījuma definīcijai, tās atzīst par izdevumiem pārskata periodā, kad izmaksas rodas. Piemēram, izdevumus, kas saistīti ar zīmoliem, reklāmlapām, publikāciju nosaukumiem, pakalpojuma lietotāju sarakstiem un pēc būtības līdzīgiem aktīviem (neatkarīgi no tā, vai tie ir pirkti vai budžeta iestādē iekšēji izveidoti), vienmēr atzīst izdevumos un uzrāda pārskatā par darbības finansiālajiem rezultātiem tajā pārskata periodā, kad tie radušies.</w:t>
      </w:r>
    </w:p>
    <w:p w14:paraId="6CC88E9D" w14:textId="77777777" w:rsidR="00141596" w:rsidRPr="007F7C59" w:rsidRDefault="00141596" w:rsidP="00CD363C">
      <w:pPr>
        <w:pStyle w:val="tv213"/>
        <w:spacing w:before="0" w:beforeAutospacing="0" w:after="0" w:afterAutospacing="0"/>
        <w:ind w:right="-142"/>
        <w:jc w:val="both"/>
      </w:pPr>
      <w:r w:rsidRPr="007F7C59">
        <w:t xml:space="preserve">78. Nemateriālais ieguldījums ir identificējams, ja tas: </w:t>
      </w:r>
    </w:p>
    <w:p w14:paraId="65140DA7" w14:textId="77777777" w:rsidR="00141596" w:rsidRPr="007F7C59" w:rsidRDefault="00141596" w:rsidP="00CD363C">
      <w:pPr>
        <w:pStyle w:val="tv213"/>
        <w:spacing w:before="0" w:beforeAutospacing="0" w:after="0" w:afterAutospacing="0"/>
        <w:ind w:right="-142"/>
        <w:jc w:val="both"/>
      </w:pPr>
      <w:r w:rsidRPr="007F7C59">
        <w:t xml:space="preserve">      78.1. ir nošķirams vai atdalāms no budžeta iestādes aktīviem, un to var pārdot, nodot, licencēt, iznomāt vai apmainīt vai nu individuāli, vai arī kopā ar attiecīgu līgumu, identificējamu aktīvu vai saistībām, neskatoties uz to, vai budžeta iestāde plāno tā rīkoties; vai </w:t>
      </w:r>
    </w:p>
    <w:p w14:paraId="4D5C99CE" w14:textId="77777777" w:rsidR="00141596" w:rsidRPr="007F7C59" w:rsidRDefault="00141596" w:rsidP="00CD363C">
      <w:pPr>
        <w:pStyle w:val="tv213"/>
        <w:spacing w:before="0" w:beforeAutospacing="0" w:after="0" w:afterAutospacing="0"/>
        <w:ind w:right="-142"/>
        <w:jc w:val="both"/>
      </w:pPr>
      <w:r w:rsidRPr="007F7C59">
        <w:t xml:space="preserve">      78.2. radies no saistošas vienošanās (tai skaitā no līguma vai citām juridiskām tiesībām), neskatoties uz to, vai šīs tiesības ir nododamas vai nošķiramas no budžeta iestādes vai no citām tiesībām un pienākumiem.</w:t>
      </w:r>
    </w:p>
    <w:p w14:paraId="74856161" w14:textId="77777777" w:rsidR="00141596" w:rsidRPr="007F7C59" w:rsidRDefault="005327C8" w:rsidP="00CD363C">
      <w:pPr>
        <w:pStyle w:val="tv213"/>
        <w:spacing w:before="0" w:beforeAutospacing="0" w:after="0" w:afterAutospacing="0"/>
        <w:ind w:right="-142"/>
        <w:jc w:val="both"/>
      </w:pPr>
      <w:r w:rsidRPr="007F7C59">
        <w:t xml:space="preserve"> </w:t>
      </w:r>
    </w:p>
    <w:p w14:paraId="3BF5B582" w14:textId="77777777" w:rsidR="005327C8" w:rsidRPr="007F7C59" w:rsidRDefault="00145D18" w:rsidP="00CD363C">
      <w:pPr>
        <w:pStyle w:val="tv213"/>
        <w:spacing w:before="0" w:beforeAutospacing="0" w:after="0" w:afterAutospacing="0"/>
        <w:ind w:right="-142"/>
        <w:jc w:val="both"/>
      </w:pPr>
      <w:r>
        <w:t>79</w:t>
      </w:r>
      <w:r w:rsidR="005327C8" w:rsidRPr="007F7C59">
        <w:t xml:space="preserve">. Nemateriālo ieguldījumu piemēri, kam ir iespējama nosacīti fiziska forma, tomēr fiziskā forma uzskatāma par sekundāru pazīmi nemateriālā ieguldījuma būtības novērtēšanā, ir šādi: </w:t>
      </w:r>
    </w:p>
    <w:p w14:paraId="5C410C06" w14:textId="77777777" w:rsidR="005327C8" w:rsidRPr="007F7C59" w:rsidRDefault="005327C8" w:rsidP="00CD363C">
      <w:pPr>
        <w:pStyle w:val="tv213"/>
        <w:spacing w:before="0" w:beforeAutospacing="0" w:after="0" w:afterAutospacing="0"/>
        <w:ind w:right="-142"/>
        <w:jc w:val="both"/>
      </w:pPr>
      <w:r w:rsidRPr="007F7C59">
        <w:t xml:space="preserve">    </w:t>
      </w:r>
      <w:r w:rsidR="00145D18">
        <w:t>79</w:t>
      </w:r>
      <w:r w:rsidRPr="007F7C59">
        <w:t xml:space="preserve">.1. Licence (piemēram, datorprogrammu licence) – parasti ietverta licences līgumā (dokumentā), tomēr budžeta iestāde nopērk lietošanas tiesības, kas noteiktas licences līgumā, un tās ir bezķermeniskas; </w:t>
      </w:r>
    </w:p>
    <w:p w14:paraId="46772D2D" w14:textId="77777777" w:rsidR="005327C8" w:rsidRPr="007F7C59" w:rsidRDefault="00145D18" w:rsidP="00CD363C">
      <w:pPr>
        <w:pStyle w:val="tv213"/>
        <w:spacing w:before="0" w:beforeAutospacing="0" w:after="0" w:afterAutospacing="0"/>
        <w:ind w:right="-142"/>
        <w:jc w:val="both"/>
      </w:pPr>
      <w:r>
        <w:t xml:space="preserve">    79.2</w:t>
      </w:r>
      <w:r w:rsidR="005327C8" w:rsidRPr="007F7C59">
        <w:t xml:space="preserve">. Lietotājprogramma – parasti ietverta kompaktdiska veidā, tomēr lietotājprogrammas vērtības noteikšanā kompaktdiska fiziskā forma nav noteicošais faktors; </w:t>
      </w:r>
    </w:p>
    <w:p w14:paraId="650CFFDF" w14:textId="77777777" w:rsidR="005327C8" w:rsidRPr="007F7C59" w:rsidRDefault="005327C8" w:rsidP="00CD363C">
      <w:pPr>
        <w:pStyle w:val="tv213"/>
        <w:spacing w:before="0" w:beforeAutospacing="0" w:after="0" w:afterAutospacing="0"/>
        <w:ind w:right="-142"/>
        <w:jc w:val="both"/>
      </w:pPr>
      <w:r w:rsidRPr="007F7C59">
        <w:t xml:space="preserve">    </w:t>
      </w:r>
      <w:r w:rsidR="00145D18">
        <w:t>79</w:t>
      </w:r>
      <w:r w:rsidRPr="007F7C59">
        <w:t>.3. Patents – parasti ietverts patenta reģistrācijas dokumentā, tomēr patenta vērtības noteikšanā papīra forma nav noteicošais faktors.</w:t>
      </w:r>
    </w:p>
    <w:p w14:paraId="3EC0F6C3" w14:textId="77777777" w:rsidR="005327C8" w:rsidRPr="007F7C59" w:rsidRDefault="005327C8" w:rsidP="00CD363C">
      <w:pPr>
        <w:pStyle w:val="tv213"/>
        <w:spacing w:before="0" w:beforeAutospacing="0" w:after="0" w:afterAutospacing="0"/>
        <w:ind w:right="-142"/>
        <w:jc w:val="both"/>
      </w:pPr>
      <w:r w:rsidRPr="007F7C59">
        <w:t>8</w:t>
      </w:r>
      <w:r w:rsidR="00145D18">
        <w:t>0</w:t>
      </w:r>
      <w:r w:rsidRPr="007F7C59">
        <w:t>. Attiecībā uz datorprogrammu uzskaiti Pamatlīdzeklim – datoram, serverim – paredzēta datorprogramma jeb operētājsistēma, ja tā iegādāta kopā ar datoru un bez tās tas nevar darboties (piemēram, Microsoft Windows u.tml.), ir šī pamatlīdzekļa neatņemama sastāvdaļa, un šīs datorprogrammas vērtību iekļauj attiecīgā pamatlīdzekļa vērtībā un uzskaita pamatlīdzekļu sastāvā. Gadījumos, kad datorprogramma nav pamatlīdzekļa neatņemama sastāvdaļa (piemēram, grāmatvedības datorprogrammas u.tml.) un tās izmantošana nav noteikta ar licenci, šādu datorprogrammu uzrāda atsevišķi nemateriālo ieguldījumu sastāvā. Ja budžeta iestāde, iegādājoties datorprogrammu vai tās jaunu versiju, nopērk tikai lietošanas tiesības, tas nozīmē, ka šo programmu nedrīkst pārdot bez īpašnieka atļaujas.</w:t>
      </w:r>
    </w:p>
    <w:p w14:paraId="0BC76E23" w14:textId="77777777" w:rsidR="00611BDE" w:rsidRPr="007F7C59" w:rsidRDefault="00611BDE" w:rsidP="00CD363C">
      <w:pPr>
        <w:pStyle w:val="tv213"/>
        <w:spacing w:before="0" w:beforeAutospacing="0" w:after="0" w:afterAutospacing="0"/>
        <w:ind w:right="-142"/>
        <w:jc w:val="both"/>
      </w:pPr>
      <w:r w:rsidRPr="007F7C59">
        <w:t>8</w:t>
      </w:r>
      <w:r w:rsidR="00145D18">
        <w:t>1</w:t>
      </w:r>
      <w:r w:rsidRPr="007F7C59">
        <w:t>. Budžeta iestāde novērtē paredzamo nākotnes saimniecisko labumu saņemšanas ticamību, izmantojot pamatotus pieņēmumus, kas uzrāda saimniecisko apstākļu kopumu, kuri pastāvēs nemateriālā ieguldījuma lietderīgās lietošanas laikā.</w:t>
      </w:r>
    </w:p>
    <w:p w14:paraId="7CD8D947" w14:textId="77777777" w:rsidR="00611BDE" w:rsidRPr="007F7C59" w:rsidRDefault="00611BDE" w:rsidP="00CD363C">
      <w:pPr>
        <w:pStyle w:val="tv213"/>
        <w:spacing w:before="0" w:beforeAutospacing="0" w:after="0" w:afterAutospacing="0"/>
        <w:ind w:right="-142"/>
        <w:jc w:val="both"/>
      </w:pPr>
      <w:r w:rsidRPr="007F7C59">
        <w:t>8</w:t>
      </w:r>
      <w:r w:rsidR="00145D18">
        <w:t>2</w:t>
      </w:r>
      <w:r w:rsidRPr="007F7C59">
        <w:t>. Budžeta iestāde novērtē ticamības pakāpi saimniecisko labumu saņemšanai no attiecīgā aktīva lietošanas, pamatojoties uz sākotnējās atzīšanas laikā pieejamiem pierādījumiem, lielāku nozīmi piešķirot ārējiem pierādījumiem.</w:t>
      </w:r>
    </w:p>
    <w:p w14:paraId="26146B36" w14:textId="77777777" w:rsidR="00611BDE" w:rsidRPr="007F7C59" w:rsidRDefault="00611BDE" w:rsidP="00CD363C">
      <w:pPr>
        <w:pStyle w:val="tv213"/>
        <w:spacing w:before="0" w:beforeAutospacing="0" w:after="0" w:afterAutospacing="0"/>
        <w:ind w:right="-142"/>
        <w:jc w:val="both"/>
      </w:pPr>
      <w:r w:rsidRPr="007F7C59">
        <w:t>8</w:t>
      </w:r>
      <w:r w:rsidR="00145D18">
        <w:t>3</w:t>
      </w:r>
      <w:r w:rsidRPr="007F7C59">
        <w:t>. Nemateriālo ieguldījumu sākotnēji atzīst tā izmaksu vērtībā. Gadījumā, ja tas ir saņemts kā ziedojums vai dāvinājums, tad komisija nosaka nemateriālā ieguldījuma patieso vērtību iegūšanas datumā. Gadījumā, ja nemateriālais ieguldījums tiek iegūts bez atlīdzības, nododot to no vienas budžeta iestādes citai budžeta iestādei, budžeta iestāde novērtē nemateriālo ieguldījumu tā iegūšanas datumā atbilstoši sākotnējai vērtībai un uzkrātai amortizācijai, kādā tas uzskaitīts tajā budžeta iestādē, kas nodeva aktīvu</w:t>
      </w:r>
      <w:r w:rsidR="00890841" w:rsidRPr="007F7C59">
        <w:t>.</w:t>
      </w:r>
    </w:p>
    <w:p w14:paraId="7861B82D" w14:textId="77777777" w:rsidR="00890841" w:rsidRPr="007F7C59" w:rsidRDefault="00890841" w:rsidP="00CD363C">
      <w:pPr>
        <w:pStyle w:val="tv213"/>
        <w:spacing w:before="0" w:beforeAutospacing="0" w:after="0" w:afterAutospacing="0"/>
        <w:ind w:right="-142"/>
        <w:jc w:val="both"/>
      </w:pPr>
      <w:r w:rsidRPr="007F7C59">
        <w:t>8</w:t>
      </w:r>
      <w:r w:rsidR="00145D18">
        <w:t>4</w:t>
      </w:r>
      <w:r w:rsidRPr="007F7C59">
        <w:t>. Nemateriālos ieguldījumus uzskaita ilgtermiņa ieguldījumu sastāvā atbilstošos kontos neatkarīgi no vienas aktīva vienības atzīšanas vērtības( var būt pat 1eiro), kuri kalpo ilgāk par gadu.</w:t>
      </w:r>
    </w:p>
    <w:p w14:paraId="57E39414" w14:textId="77777777" w:rsidR="00890841" w:rsidRPr="007F7C59" w:rsidRDefault="00890841" w:rsidP="00CD363C">
      <w:pPr>
        <w:pStyle w:val="tv213"/>
        <w:spacing w:before="0" w:beforeAutospacing="0" w:after="0" w:afterAutospacing="0"/>
        <w:ind w:right="-142"/>
        <w:jc w:val="both"/>
      </w:pPr>
      <w:r w:rsidRPr="007F7C59">
        <w:t>8</w:t>
      </w:r>
      <w:r w:rsidR="00145D18">
        <w:t>5</w:t>
      </w:r>
      <w:r w:rsidRPr="007F7C59">
        <w:t>. Atsevišķi iegādāta nemateriālā ieguldījuma izmaksas parasti var ticami novērtēt. Tas īpaši attiecas uz gadījumiem, kad pirkuma atlīdzība ir naudas vai citu monetāro aktīvu veidā.</w:t>
      </w:r>
    </w:p>
    <w:p w14:paraId="50B49550" w14:textId="77777777" w:rsidR="00890841" w:rsidRPr="007F7C59" w:rsidRDefault="00890841" w:rsidP="00CD363C">
      <w:pPr>
        <w:pStyle w:val="tv213"/>
        <w:spacing w:before="0" w:beforeAutospacing="0" w:after="0" w:afterAutospacing="0"/>
        <w:ind w:right="-142"/>
        <w:jc w:val="both"/>
      </w:pPr>
      <w:r w:rsidRPr="007F7C59">
        <w:t>8</w:t>
      </w:r>
      <w:r w:rsidR="00145D18">
        <w:t>6</w:t>
      </w:r>
      <w:r w:rsidRPr="007F7C59">
        <w:t xml:space="preserve">. Atsevišķi iegādāta nemateriāla aktīva izmaksas sastāv no: </w:t>
      </w:r>
    </w:p>
    <w:p w14:paraId="3AD0F3EE" w14:textId="77777777" w:rsidR="00890841" w:rsidRPr="007F7C59" w:rsidRDefault="00890841" w:rsidP="00CD363C">
      <w:pPr>
        <w:pStyle w:val="tv213"/>
        <w:spacing w:before="0" w:beforeAutospacing="0" w:after="0" w:afterAutospacing="0"/>
        <w:ind w:right="-142"/>
        <w:jc w:val="both"/>
      </w:pPr>
      <w:r w:rsidRPr="007F7C59">
        <w:t xml:space="preserve">    a) tā pirkšanas cenas, ieskaitot ievedmuitas nodokļus un neatmaksājamos pirkšanas nodokļus (piemēram, pievienotās vērtības nodoklis, ja nav atskaitāms kā priekšnodoklis), atskaitot tirdzniecības atlaides, un</w:t>
      </w:r>
    </w:p>
    <w:p w14:paraId="7D2AD171" w14:textId="77777777" w:rsidR="00890841" w:rsidRPr="007F7C59" w:rsidRDefault="00890841" w:rsidP="00CD363C">
      <w:pPr>
        <w:pStyle w:val="tv213"/>
        <w:spacing w:before="0" w:beforeAutospacing="0" w:after="0" w:afterAutospacing="0"/>
        <w:ind w:right="-142"/>
        <w:jc w:val="both"/>
        <w:rPr>
          <w:color w:val="414142"/>
          <w:sz w:val="20"/>
          <w:szCs w:val="20"/>
        </w:rPr>
      </w:pPr>
      <w:r w:rsidRPr="007F7C59">
        <w:t xml:space="preserve">    b) jebkurām tieši attiecināmām izmaksām, kas saistītas ar aktīva sagatavošanu tā paredzētajai lietošanai.</w:t>
      </w:r>
    </w:p>
    <w:p w14:paraId="6EB1D00A" w14:textId="77777777" w:rsidR="00E64267" w:rsidRPr="007F7C59" w:rsidRDefault="00145D18" w:rsidP="00CD363C">
      <w:pPr>
        <w:pStyle w:val="tv213"/>
        <w:spacing w:before="0" w:beforeAutospacing="0" w:after="0" w:afterAutospacing="0"/>
        <w:ind w:right="-142"/>
        <w:jc w:val="both"/>
      </w:pPr>
      <w:r w:rsidRPr="00145D18">
        <w:rPr>
          <w:color w:val="414142"/>
        </w:rPr>
        <w:t>87</w:t>
      </w:r>
      <w:r w:rsidR="00890841" w:rsidRPr="00145D18">
        <w:rPr>
          <w:color w:val="414142"/>
        </w:rPr>
        <w:t>.</w:t>
      </w:r>
      <w:r w:rsidR="00890841" w:rsidRPr="007F7C59">
        <w:rPr>
          <w:color w:val="414142"/>
          <w:sz w:val="20"/>
          <w:szCs w:val="20"/>
        </w:rPr>
        <w:t xml:space="preserve"> </w:t>
      </w:r>
      <w:r w:rsidR="00890841" w:rsidRPr="007F7C59">
        <w:t>Nemateriālā ieguldījuma izmaksu vērtībā iekļauj, piemēram, šādas tieši attiecināmas izmaksas: a) darbinieku kārtējā darba izmaksas, kas tiešā veidā radušās, sagatavojot aktīvu tā paredzētajai lietošanai; b) profesionālo pakalpojumu izmaksas, kas tiešā veidā radušās no aktīva sagatavošanas tā paredzētajai lietošanai, un c) pārbaudes izmaksas, lai noteiktu, vai aktīvs strādā pareizi.</w:t>
      </w:r>
    </w:p>
    <w:p w14:paraId="3686F05E" w14:textId="77777777" w:rsidR="00890841" w:rsidRPr="007F7C59" w:rsidRDefault="00890841" w:rsidP="00CD363C">
      <w:pPr>
        <w:pStyle w:val="tv213"/>
        <w:spacing w:before="0" w:beforeAutospacing="0" w:after="0" w:afterAutospacing="0"/>
        <w:ind w:right="-142"/>
        <w:jc w:val="both"/>
      </w:pPr>
      <w:r w:rsidRPr="007F7C59">
        <w:t>8</w:t>
      </w:r>
      <w:r w:rsidR="00145D18">
        <w:t>8</w:t>
      </w:r>
      <w:r w:rsidRPr="007F7C59">
        <w:t>. Nemateriālā ieguldījuma izmaksu vērtībā neiekļauj, piemēram, šādas izmaksas:</w:t>
      </w:r>
    </w:p>
    <w:p w14:paraId="71C00CCE" w14:textId="77777777" w:rsidR="00890841" w:rsidRPr="007F7C59" w:rsidRDefault="00890841" w:rsidP="00CD363C">
      <w:pPr>
        <w:pStyle w:val="tv213"/>
        <w:spacing w:before="0" w:beforeAutospacing="0" w:after="0" w:afterAutospacing="0"/>
        <w:ind w:right="-142"/>
        <w:jc w:val="both"/>
      </w:pPr>
      <w:r w:rsidRPr="007F7C59">
        <w:t xml:space="preserve">    a) jauna produkta vai pakalpojuma ieviešanas izmaksas (ieskaitot reklāmas un pārdošanas veicināšanas pasākumu izmaksas);</w:t>
      </w:r>
    </w:p>
    <w:p w14:paraId="6FB81FB0" w14:textId="77777777" w:rsidR="00890841" w:rsidRPr="007F7C59" w:rsidRDefault="00890841" w:rsidP="00CD363C">
      <w:pPr>
        <w:pStyle w:val="tv213"/>
        <w:spacing w:before="0" w:beforeAutospacing="0" w:after="0" w:afterAutospacing="0"/>
        <w:ind w:right="-142"/>
        <w:jc w:val="both"/>
      </w:pPr>
      <w:r w:rsidRPr="007F7C59">
        <w:t xml:space="preserve">    b) izmaksas, kas saistītas ar darbības uzsākšanu jaunā atrašanās vietā vai ar citu pakalpojuma lietotāju grupu (ieskaitot personāla apmācības izmaksas), un</w:t>
      </w:r>
    </w:p>
    <w:p w14:paraId="05A48FAA" w14:textId="77777777" w:rsidR="00890841" w:rsidRPr="007F7C59" w:rsidRDefault="00890841" w:rsidP="00CD363C">
      <w:pPr>
        <w:pStyle w:val="tv213"/>
        <w:spacing w:before="0" w:beforeAutospacing="0" w:after="0" w:afterAutospacing="0"/>
        <w:ind w:right="-142"/>
        <w:jc w:val="both"/>
      </w:pPr>
      <w:r w:rsidRPr="007F7C59">
        <w:t xml:space="preserve">    c) administrācijas un citas pieskaitāmās izmaksas, kuras nav tieši attiecināmas uz konkrēto nemateriālo ieguldījumu.</w:t>
      </w:r>
    </w:p>
    <w:p w14:paraId="15280F74" w14:textId="77777777" w:rsidR="00E91827" w:rsidRPr="007F7C59" w:rsidRDefault="00145D18" w:rsidP="00CD363C">
      <w:pPr>
        <w:pStyle w:val="tv213"/>
        <w:spacing w:before="0" w:beforeAutospacing="0" w:after="0" w:afterAutospacing="0"/>
        <w:ind w:right="-142"/>
        <w:jc w:val="both"/>
      </w:pPr>
      <w:r>
        <w:t>89</w:t>
      </w:r>
      <w:r w:rsidR="00890841" w:rsidRPr="007F7C59">
        <w:t xml:space="preserve">. Izmaksu atzīšanu nemateriālā ieguldījuma uzskaites (atlikušajā) vērtībā pārtrauc no pieņemšanas lietošanā dienas. Tāpēc izmaksas, kas radušās nemateriālā ieguldījuma izmantošanas vai pārvietošanas laikā, neiekļauj tā uzskaites (atlikušajā) vērtībā. Piemēram, nemateriālā ieguldījuma uzskaites (atlikušajā) vērtībā neiekļauj šādas izmaksas: </w:t>
      </w:r>
    </w:p>
    <w:p w14:paraId="3CE58C70" w14:textId="77777777" w:rsidR="00E91827" w:rsidRPr="007F7C59" w:rsidRDefault="00E91827" w:rsidP="00CD363C">
      <w:pPr>
        <w:pStyle w:val="tv213"/>
        <w:spacing w:before="0" w:beforeAutospacing="0" w:after="0" w:afterAutospacing="0"/>
        <w:ind w:right="-142"/>
        <w:jc w:val="both"/>
      </w:pPr>
      <w:r w:rsidRPr="007F7C59">
        <w:t xml:space="preserve">    </w:t>
      </w:r>
      <w:r w:rsidR="00890841" w:rsidRPr="007F7C59">
        <w:t xml:space="preserve"> a) izmaksas, kas radušās laikā, kad lietošanā pieņemts aktīvs vēl jāsagatavo lietošanai, piemēram, darbinieku apmācības izmaksas, un </w:t>
      </w:r>
    </w:p>
    <w:p w14:paraId="4D498079" w14:textId="77777777" w:rsidR="00890841" w:rsidRPr="007F7C59" w:rsidRDefault="00E91827" w:rsidP="00CD363C">
      <w:pPr>
        <w:pStyle w:val="tv213"/>
        <w:spacing w:before="0" w:beforeAutospacing="0" w:after="0" w:afterAutospacing="0"/>
        <w:ind w:right="-142"/>
        <w:jc w:val="both"/>
      </w:pPr>
      <w:r w:rsidRPr="007F7C59">
        <w:t xml:space="preserve">    </w:t>
      </w:r>
      <w:r w:rsidR="00890841" w:rsidRPr="007F7C59">
        <w:t>b) sākotnējās darbības izmaksas, piemēram, tās, kas radušās, kamēr pieprasījums pēc aktīva radītā produkta tikai veidojas.</w:t>
      </w:r>
    </w:p>
    <w:p w14:paraId="17D28F5B" w14:textId="77777777" w:rsidR="00E91827" w:rsidRPr="007F7C59" w:rsidRDefault="00E91827" w:rsidP="00CD363C">
      <w:pPr>
        <w:pStyle w:val="tv213"/>
        <w:spacing w:before="0" w:beforeAutospacing="0" w:after="0" w:afterAutospacing="0"/>
        <w:ind w:right="-142"/>
        <w:jc w:val="both"/>
      </w:pPr>
      <w:r w:rsidRPr="007F7C59">
        <w:t>9</w:t>
      </w:r>
      <w:r w:rsidR="00145D18">
        <w:t>0</w:t>
      </w:r>
      <w:r w:rsidRPr="007F7C59">
        <w:t>. Izmaksas saistībā ar nemateriālo ieguldījumu, kas sākotnēji atzītas kā izdevumi, vēlāk nedrīkst atzīt par nemateriālā ieguldījuma uzskaites (atlikušās) vērtības daļu.</w:t>
      </w:r>
    </w:p>
    <w:p w14:paraId="03D25108" w14:textId="77777777" w:rsidR="00E91827" w:rsidRPr="007F7C59" w:rsidRDefault="00E91827" w:rsidP="00CD363C">
      <w:pPr>
        <w:pStyle w:val="tv213"/>
        <w:spacing w:before="0" w:beforeAutospacing="0" w:after="0" w:afterAutospacing="0"/>
        <w:ind w:right="-142"/>
        <w:jc w:val="both"/>
      </w:pPr>
      <w:r w:rsidRPr="007F7C59">
        <w:t>9</w:t>
      </w:r>
      <w:r w:rsidR="00145D18">
        <w:t>1</w:t>
      </w:r>
      <w:r w:rsidRPr="007F7C59">
        <w:t>.</w:t>
      </w:r>
      <w:r w:rsidR="00C04249" w:rsidRPr="007F7C59">
        <w:t xml:space="preserve"> Attiecībā uz tīmekļa vietnes un programmatūras izstrādi, budžeta iestādei var rasties izmaksas par tīmekļa vietnes un programmatūras izstrādi. Lai tīmekļa vietni varētu atzīt kā nemateriālo ieguldījumu, budžeta iestādei ir jāspēj pierādīt, ka tīmekļa vietne atbilst aktīva atzīšanas kritērijiem un nemateriālā ieguldījuma definējumam. Pretējā gadījumā visas tīmekļa vietnes izstrādes izmaksas atzīst izdevumos pārskata periodā, kad tās rodas. Piemēram, gadījumā, ja izglītības iestāde (budžeta iestāde) saviem studentiem piedāvā neklātienes vai tālmācības mācību programmas un šim mērķim izveido tīmekļa vietni, kurā ievieto visus programmas apgūšanai nepieciešamos mācību materiālus un par atsevišķu maksu studentiem piešķir piekļuvi studijām nepieciešamajiem materiāliem, tad šāda tīmekļa vietne ir uzskatāma par tādu, kas spēj radīt ticamus nākotnes saimnieciskos labumus. Šādā gadījumā šo tīmekļa vietni var atzīt kā nemateriālo ieguldījumu, jo tā rada ieņēmumus kā nākotnes saimnieciskos labumus.</w:t>
      </w:r>
    </w:p>
    <w:p w14:paraId="367B5182" w14:textId="77777777" w:rsidR="00C04249" w:rsidRPr="007F7C59" w:rsidRDefault="00C04249" w:rsidP="00CD363C">
      <w:pPr>
        <w:pStyle w:val="tv213"/>
        <w:spacing w:before="0" w:beforeAutospacing="0" w:after="0" w:afterAutospacing="0"/>
        <w:ind w:right="-142"/>
        <w:jc w:val="both"/>
      </w:pPr>
      <w:r w:rsidRPr="007F7C59">
        <w:t>9</w:t>
      </w:r>
      <w:r w:rsidR="00145D18">
        <w:t>2</w:t>
      </w:r>
      <w:r w:rsidRPr="007F7C59">
        <w:t>. Budžeta iestāde nosaka nemateriālā ieguldījuma sākotnējo vērtību, tas ir, iegādes vai izveidošanas izmaksas, pamatojoties uz attaisnojuma dokumentiem par nemateriālā ieguldījuma iegādi vai izveidošanu un tajos iekļauto informāciju. Šīs izmaksas apkopo un reģistrē aktā par nemateriālā ieguldījuma pieņemšanu lietošanā.</w:t>
      </w:r>
    </w:p>
    <w:p w14:paraId="33F2CB82" w14:textId="77777777" w:rsidR="00C04249" w:rsidRDefault="00C04249" w:rsidP="00CD363C">
      <w:pPr>
        <w:pStyle w:val="tv213"/>
        <w:spacing w:before="0" w:beforeAutospacing="0" w:after="0" w:afterAutospacing="0"/>
        <w:ind w:right="-142"/>
        <w:jc w:val="both"/>
      </w:pPr>
      <w:r w:rsidRPr="007F7C59">
        <w:t>9</w:t>
      </w:r>
      <w:r w:rsidR="00145D18">
        <w:t>3</w:t>
      </w:r>
      <w:r w:rsidRPr="007F7C59">
        <w:t xml:space="preserve">. Saņemot nemateriālo ieguldījumu, pamatojoties uz preču pavadzīmi – rēķinu (vai citu nemateriālā ieguldījuma iegādi pamatojošu dokumentu), budžeta iestāde palielina attiecīgo nemateriālo ieguldījumu kontu un saistību kontu par dokumentā norādīto summu. </w:t>
      </w:r>
      <w:r w:rsidR="00E44FF9">
        <w:t xml:space="preserve"> </w:t>
      </w:r>
    </w:p>
    <w:p w14:paraId="0476078E" w14:textId="77777777" w:rsidR="00E44FF9" w:rsidRPr="007F7C59" w:rsidRDefault="00E44FF9" w:rsidP="00CD363C">
      <w:pPr>
        <w:pStyle w:val="tv213"/>
        <w:spacing w:before="0" w:beforeAutospacing="0" w:after="0" w:afterAutospacing="0"/>
        <w:ind w:right="-142"/>
        <w:jc w:val="both"/>
      </w:pPr>
    </w:p>
    <w:p w14:paraId="3F0C9772" w14:textId="77777777" w:rsidR="00C04249" w:rsidRPr="007F7C59" w:rsidRDefault="00C04249" w:rsidP="00CD363C">
      <w:pPr>
        <w:pStyle w:val="tv213"/>
        <w:spacing w:before="0" w:beforeAutospacing="0" w:after="0" w:afterAutospacing="0"/>
        <w:ind w:right="-142"/>
        <w:jc w:val="both"/>
        <w:rPr>
          <w:b/>
        </w:rPr>
      </w:pPr>
      <w:r w:rsidRPr="007F7C59">
        <w:rPr>
          <w:b/>
        </w:rPr>
        <w:t xml:space="preserve">    D   1100 Nemateriālie ieguldījumi</w:t>
      </w:r>
    </w:p>
    <w:p w14:paraId="611AC77B" w14:textId="77777777" w:rsidR="00C04249" w:rsidRPr="007F7C59" w:rsidRDefault="00C04249" w:rsidP="00CD363C">
      <w:pPr>
        <w:pStyle w:val="tv213"/>
        <w:spacing w:before="0" w:beforeAutospacing="0" w:after="0" w:afterAutospacing="0"/>
        <w:ind w:right="-142"/>
        <w:jc w:val="both"/>
        <w:rPr>
          <w:b/>
        </w:rPr>
      </w:pPr>
      <w:r w:rsidRPr="007F7C59">
        <w:rPr>
          <w:b/>
        </w:rPr>
        <w:t xml:space="preserve">    D* </w:t>
      </w:r>
      <w:r w:rsidR="000E1F40">
        <w:rPr>
          <w:b/>
        </w:rPr>
        <w:t xml:space="preserve"> </w:t>
      </w:r>
      <w:r w:rsidRPr="007F7C59">
        <w:rPr>
          <w:b/>
        </w:rPr>
        <w:t xml:space="preserve">5723** Pievienotās vērtības nodoklis </w:t>
      </w:r>
    </w:p>
    <w:p w14:paraId="5B639612" w14:textId="77777777" w:rsidR="00C04249" w:rsidRDefault="00C04249" w:rsidP="00CD363C">
      <w:pPr>
        <w:pStyle w:val="tv213"/>
        <w:spacing w:before="0" w:beforeAutospacing="0" w:after="0" w:afterAutospacing="0"/>
        <w:ind w:right="-142"/>
        <w:jc w:val="both"/>
        <w:rPr>
          <w:b/>
        </w:rPr>
      </w:pPr>
      <w:r w:rsidRPr="007F7C59">
        <w:rPr>
          <w:b/>
        </w:rPr>
        <w:t xml:space="preserve">    K  </w:t>
      </w:r>
      <w:r w:rsidR="000E1F40">
        <w:rPr>
          <w:b/>
        </w:rPr>
        <w:t xml:space="preserve"> </w:t>
      </w:r>
      <w:r w:rsidRPr="007F7C59">
        <w:rPr>
          <w:b/>
        </w:rPr>
        <w:t xml:space="preserve">5310 Īstermiņa saistības pret piegādātājiem un darbuzņēmējiem </w:t>
      </w:r>
    </w:p>
    <w:p w14:paraId="168108F5" w14:textId="77777777" w:rsidR="00E44FF9" w:rsidRPr="007F7C59" w:rsidRDefault="00E44FF9" w:rsidP="00CD363C">
      <w:pPr>
        <w:pStyle w:val="tv213"/>
        <w:spacing w:before="0" w:beforeAutospacing="0" w:after="0" w:afterAutospacing="0"/>
        <w:ind w:right="-142"/>
        <w:jc w:val="both"/>
        <w:rPr>
          <w:b/>
        </w:rPr>
      </w:pPr>
    </w:p>
    <w:p w14:paraId="6F415F5D" w14:textId="77777777" w:rsidR="00C04249" w:rsidRPr="007F7C59" w:rsidRDefault="00C04249" w:rsidP="00CD363C">
      <w:pPr>
        <w:pStyle w:val="tv213"/>
        <w:spacing w:before="0" w:beforeAutospacing="0" w:after="0" w:afterAutospacing="0"/>
        <w:ind w:right="-142"/>
        <w:jc w:val="both"/>
      </w:pPr>
      <w:r w:rsidRPr="007F7C59">
        <w:t>* gadījumā, ja budžeta iestāde ir PVN maksātāja ** budžeta iestāde grāmatvedības uzskaites kārtībā var noteikt detalizētu PVN uzskaites kontu pielietojumu.</w:t>
      </w:r>
    </w:p>
    <w:p w14:paraId="39F4741D" w14:textId="77777777" w:rsidR="00C04249" w:rsidRPr="007F7C59" w:rsidRDefault="00C04249" w:rsidP="00CD363C">
      <w:pPr>
        <w:pStyle w:val="tv213"/>
        <w:spacing w:before="0" w:beforeAutospacing="0" w:after="0" w:afterAutospacing="0"/>
        <w:ind w:right="-142"/>
        <w:jc w:val="both"/>
      </w:pPr>
      <w:r w:rsidRPr="007F7C59">
        <w:t>9</w:t>
      </w:r>
      <w:r w:rsidR="00145D18">
        <w:t>4</w:t>
      </w:r>
      <w:r w:rsidRPr="007F7C59">
        <w:t>.</w:t>
      </w:r>
      <w:r w:rsidR="00C04109" w:rsidRPr="007F7C59">
        <w:t xml:space="preserve"> Ja budžeta iestāde ir pievienotās vērtības nodokļa (turpmāk - PVN) maksātāja, PVN summu uzskaita atbilstoši normatīvajos aktos nodokļu jomā noteiktajām prasībām. Ja budžeta iestādei nav tiesības deklarācijā kā priekšnodokli iekļaut PVN vai ir tiesības samazināt maksājamo PVN tikai daļēji (daļēja PVN atprasīšanas iespēja rodas, ja iestāde piemēro PVN proporciju), neatprasāmo PVN summu ieskaita aktīva iegādes vērtībā.</w:t>
      </w:r>
    </w:p>
    <w:p w14:paraId="721743CA" w14:textId="77777777" w:rsidR="00C04109" w:rsidRDefault="00C04109" w:rsidP="00CD363C">
      <w:pPr>
        <w:pStyle w:val="tv213"/>
        <w:spacing w:before="0" w:beforeAutospacing="0" w:after="0" w:afterAutospacing="0"/>
        <w:ind w:right="-142"/>
        <w:jc w:val="both"/>
      </w:pPr>
      <w:r w:rsidRPr="007F7C59">
        <w:t>9</w:t>
      </w:r>
      <w:r w:rsidR="00145D18">
        <w:t>5</w:t>
      </w:r>
      <w:r w:rsidRPr="007F7C59">
        <w:t xml:space="preserve">. Saņemot avansa maksājuma rēķinu, grāmatojumus neveic, bet rēķinu reģistrē budžeta iestādes uzskaites sistēmā. Avansa maksājuma dokumenta apmaksas dienā, pamatojoties uz maksājuma uzdevumu, atzīst konta “Avansa maksājumi par nemateriālajiem ieguldījumiem” palielinājumu un tā naudas līdzekļu konta samazinājumu, no kura veic maksājumu, grāmatojot: </w:t>
      </w:r>
    </w:p>
    <w:p w14:paraId="019092A0" w14:textId="77777777" w:rsidR="00E44FF9" w:rsidRPr="007F7C59" w:rsidRDefault="00E44FF9" w:rsidP="00CD363C">
      <w:pPr>
        <w:pStyle w:val="tv213"/>
        <w:spacing w:before="0" w:beforeAutospacing="0" w:after="0" w:afterAutospacing="0"/>
        <w:ind w:right="-142"/>
        <w:jc w:val="both"/>
      </w:pPr>
    </w:p>
    <w:p w14:paraId="2255A984" w14:textId="77777777" w:rsidR="00C04109" w:rsidRPr="007F7C59" w:rsidRDefault="00C04109" w:rsidP="00CD363C">
      <w:pPr>
        <w:pStyle w:val="tv213"/>
        <w:spacing w:before="0" w:beforeAutospacing="0" w:after="0" w:afterAutospacing="0"/>
        <w:ind w:right="-142"/>
        <w:jc w:val="both"/>
        <w:rPr>
          <w:b/>
        </w:rPr>
      </w:pPr>
      <w:r w:rsidRPr="007F7C59">
        <w:rPr>
          <w:b/>
        </w:rPr>
        <w:t xml:space="preserve">    D    1180 Avansa maksājumi par nemateriālajiem ieguldījumiem </w:t>
      </w:r>
    </w:p>
    <w:p w14:paraId="4B54F8EE" w14:textId="77777777" w:rsidR="00C04109" w:rsidRPr="007F7C59" w:rsidRDefault="00C04109" w:rsidP="00CD363C">
      <w:pPr>
        <w:pStyle w:val="tv213"/>
        <w:spacing w:before="0" w:beforeAutospacing="0" w:after="0" w:afterAutospacing="0"/>
        <w:ind w:right="-142"/>
        <w:jc w:val="both"/>
        <w:rPr>
          <w:b/>
        </w:rPr>
      </w:pPr>
      <w:r w:rsidRPr="007F7C59">
        <w:rPr>
          <w:b/>
        </w:rPr>
        <w:t xml:space="preserve">    D*  5723** Pievienotās vērtības nodoklis </w:t>
      </w:r>
    </w:p>
    <w:p w14:paraId="15DEAED9" w14:textId="77777777" w:rsidR="00C04109" w:rsidRDefault="00C04109" w:rsidP="00CD363C">
      <w:pPr>
        <w:pStyle w:val="tv213"/>
        <w:spacing w:before="0" w:beforeAutospacing="0" w:after="0" w:afterAutospacing="0"/>
        <w:ind w:right="-142"/>
        <w:jc w:val="both"/>
        <w:rPr>
          <w:b/>
        </w:rPr>
      </w:pPr>
      <w:r w:rsidRPr="007F7C59">
        <w:rPr>
          <w:b/>
        </w:rPr>
        <w:t xml:space="preserve">    K   2620 Norēķinu konti Valsts kasē vai kredītiestādēs</w:t>
      </w:r>
    </w:p>
    <w:p w14:paraId="1AE677AD" w14:textId="77777777" w:rsidR="00E44FF9" w:rsidRPr="007F7C59" w:rsidRDefault="00E44FF9" w:rsidP="00CD363C">
      <w:pPr>
        <w:pStyle w:val="tv213"/>
        <w:spacing w:before="0" w:beforeAutospacing="0" w:after="0" w:afterAutospacing="0"/>
        <w:ind w:right="-142"/>
        <w:jc w:val="both"/>
        <w:rPr>
          <w:b/>
        </w:rPr>
      </w:pPr>
    </w:p>
    <w:p w14:paraId="1689EE35" w14:textId="77777777" w:rsidR="00C04109" w:rsidRPr="007F7C59" w:rsidRDefault="00C04109" w:rsidP="00CD363C">
      <w:pPr>
        <w:pStyle w:val="tv213"/>
        <w:spacing w:before="0" w:beforeAutospacing="0" w:after="0" w:afterAutospacing="0"/>
        <w:ind w:right="-142"/>
        <w:jc w:val="both"/>
      </w:pPr>
      <w:r w:rsidRPr="007F7C59">
        <w:t xml:space="preserve"> * gadījumā, ja budžeta iestāde ir PVN maksātāja ** budžeta iestāde grāmatvedības uzskaites kārtībā var noteikt detalizētu PVN uzskaites kontu pielietojumu Ja saņemtais avansa maksājuma attaisnojuma dokuments uz pārskata gada beigām nav apmaksāts, to uzskaita zembilancē kodā 9540 “Saņemtie, bet neapmaksātie avansa attaisnojuma dokumenti”.</w:t>
      </w:r>
    </w:p>
    <w:p w14:paraId="4484303C" w14:textId="77777777" w:rsidR="00C04109" w:rsidRDefault="00C04109" w:rsidP="00CD363C">
      <w:pPr>
        <w:pStyle w:val="tv213"/>
        <w:spacing w:before="0" w:beforeAutospacing="0" w:after="0" w:afterAutospacing="0"/>
        <w:ind w:right="-142"/>
        <w:jc w:val="both"/>
      </w:pPr>
      <w:r w:rsidRPr="007F7C59">
        <w:t>9</w:t>
      </w:r>
      <w:r w:rsidR="00145D18">
        <w:t>6</w:t>
      </w:r>
      <w:r w:rsidRPr="007F7C59">
        <w:t xml:space="preserve">. Saņemot preču pavadzīmi – rēķinu par nemateriālo ieguldījumu, par kuru iepriekš veikts avansa maksājums, to reģistrē budžeta iestādes uzskaites sistēmā un iegrāmato, palielinot attiecīgo nemateriālo ieguldījumu kontu un saistību kontu: </w:t>
      </w:r>
    </w:p>
    <w:p w14:paraId="1E3B447E" w14:textId="77777777" w:rsidR="0077064C" w:rsidRPr="007F7C59" w:rsidRDefault="0077064C" w:rsidP="00CD363C">
      <w:pPr>
        <w:pStyle w:val="tv213"/>
        <w:spacing w:before="0" w:beforeAutospacing="0" w:after="0" w:afterAutospacing="0"/>
        <w:ind w:right="-142"/>
        <w:jc w:val="both"/>
      </w:pPr>
    </w:p>
    <w:p w14:paraId="62BF4F51" w14:textId="77777777" w:rsidR="00C04109" w:rsidRPr="007F7C59" w:rsidRDefault="00C04109" w:rsidP="00CD363C">
      <w:pPr>
        <w:pStyle w:val="tv213"/>
        <w:spacing w:before="0" w:beforeAutospacing="0" w:after="0" w:afterAutospacing="0"/>
        <w:ind w:right="-142"/>
        <w:jc w:val="both"/>
        <w:rPr>
          <w:b/>
        </w:rPr>
      </w:pPr>
      <w:r w:rsidRPr="007F7C59">
        <w:rPr>
          <w:b/>
        </w:rPr>
        <w:t xml:space="preserve">    D    1100 Nemateriālie ieguldījumi </w:t>
      </w:r>
    </w:p>
    <w:p w14:paraId="6052C372" w14:textId="77777777" w:rsidR="00C04109" w:rsidRPr="007F7C59" w:rsidRDefault="00C04109" w:rsidP="00CD363C">
      <w:pPr>
        <w:pStyle w:val="tv213"/>
        <w:spacing w:before="0" w:beforeAutospacing="0" w:after="0" w:afterAutospacing="0"/>
        <w:ind w:right="-142"/>
        <w:jc w:val="both"/>
        <w:rPr>
          <w:b/>
        </w:rPr>
      </w:pPr>
      <w:r w:rsidRPr="007F7C59">
        <w:rPr>
          <w:b/>
        </w:rPr>
        <w:t xml:space="preserve">    D*  5723** Pievienotās vērtības nodoklis </w:t>
      </w:r>
    </w:p>
    <w:p w14:paraId="6220D144" w14:textId="77777777" w:rsidR="00C04109" w:rsidRDefault="00C04109" w:rsidP="00CD363C">
      <w:pPr>
        <w:pStyle w:val="tv213"/>
        <w:spacing w:before="0" w:beforeAutospacing="0" w:after="0" w:afterAutospacing="0"/>
        <w:ind w:right="-142"/>
        <w:jc w:val="both"/>
        <w:rPr>
          <w:b/>
        </w:rPr>
      </w:pPr>
      <w:r w:rsidRPr="007F7C59">
        <w:rPr>
          <w:b/>
        </w:rPr>
        <w:t xml:space="preserve">    K    5310 Īstermiņa saistības pret piegādātājiem un darbuzņēmējiem </w:t>
      </w:r>
    </w:p>
    <w:p w14:paraId="20090A47" w14:textId="77777777" w:rsidR="0077064C" w:rsidRPr="007F7C59" w:rsidRDefault="0077064C" w:rsidP="00CD363C">
      <w:pPr>
        <w:pStyle w:val="tv213"/>
        <w:spacing w:before="0" w:beforeAutospacing="0" w:after="0" w:afterAutospacing="0"/>
        <w:ind w:right="-142"/>
        <w:jc w:val="both"/>
        <w:rPr>
          <w:b/>
        </w:rPr>
      </w:pPr>
    </w:p>
    <w:p w14:paraId="15DC00D7" w14:textId="77777777" w:rsidR="00C04109" w:rsidRPr="007F7C59" w:rsidRDefault="00C04109" w:rsidP="00CD363C">
      <w:pPr>
        <w:pStyle w:val="tv213"/>
        <w:spacing w:before="0" w:beforeAutospacing="0" w:after="0" w:afterAutospacing="0"/>
        <w:ind w:right="-142"/>
        <w:jc w:val="both"/>
      </w:pPr>
      <w:r w:rsidRPr="007F7C59">
        <w:t>* gadījumā, ja budžeta iestāde ir PVN maksātāja ** budžeta iestāde grāmatvedības uzskaites kārtībā var noteikt detalizētu PVN uzskaites kontu pielietojumu.</w:t>
      </w:r>
    </w:p>
    <w:p w14:paraId="3418F0AD" w14:textId="77777777" w:rsidR="00C04109" w:rsidRDefault="00145D18" w:rsidP="00CD363C">
      <w:pPr>
        <w:pStyle w:val="tv213"/>
        <w:spacing w:before="0" w:beforeAutospacing="0" w:after="0" w:afterAutospacing="0"/>
        <w:ind w:right="-142"/>
        <w:jc w:val="both"/>
      </w:pPr>
      <w:r>
        <w:t>97.</w:t>
      </w:r>
      <w:r w:rsidR="00C04109" w:rsidRPr="007F7C59">
        <w:t xml:space="preserve"> Vienlaikus budžeta iestāde samazina saistības iepriekš veiktā avansa maksājuma apmērā, veicot sekojošu grāmatojumu: </w:t>
      </w:r>
    </w:p>
    <w:p w14:paraId="3BD5FC02" w14:textId="77777777" w:rsidR="0077064C" w:rsidRPr="007F7C59" w:rsidRDefault="0077064C" w:rsidP="00CD363C">
      <w:pPr>
        <w:pStyle w:val="tv213"/>
        <w:spacing w:before="0" w:beforeAutospacing="0" w:after="0" w:afterAutospacing="0"/>
        <w:ind w:right="-142"/>
        <w:jc w:val="both"/>
      </w:pPr>
    </w:p>
    <w:p w14:paraId="1B31A66E" w14:textId="77777777" w:rsidR="00C04109" w:rsidRPr="007F7C59" w:rsidRDefault="00C04109" w:rsidP="00CD363C">
      <w:pPr>
        <w:pStyle w:val="tv213"/>
        <w:spacing w:before="0" w:beforeAutospacing="0" w:after="0" w:afterAutospacing="0"/>
        <w:ind w:right="-142"/>
        <w:jc w:val="both"/>
        <w:rPr>
          <w:b/>
        </w:rPr>
      </w:pPr>
      <w:r w:rsidRPr="007F7C59">
        <w:rPr>
          <w:b/>
        </w:rPr>
        <w:t xml:space="preserve">    D   5310 Īstermiņa saistības pret piegādātājiem un darbuzņēmējiem </w:t>
      </w:r>
    </w:p>
    <w:p w14:paraId="5ACA8B4C" w14:textId="77777777" w:rsidR="00C04109" w:rsidRPr="007F7C59" w:rsidRDefault="00C04109" w:rsidP="00CD363C">
      <w:pPr>
        <w:pStyle w:val="tv213"/>
        <w:spacing w:before="0" w:beforeAutospacing="0" w:after="0" w:afterAutospacing="0"/>
        <w:ind w:right="-142"/>
        <w:jc w:val="both"/>
        <w:rPr>
          <w:b/>
        </w:rPr>
      </w:pPr>
      <w:r w:rsidRPr="007F7C59">
        <w:rPr>
          <w:b/>
        </w:rPr>
        <w:t xml:space="preserve">    K   1180 Avansa maksājumi par nemateriālajiem ieguldījumiem </w:t>
      </w:r>
    </w:p>
    <w:p w14:paraId="274ECB70" w14:textId="77777777" w:rsidR="00C04109" w:rsidRDefault="00C04109" w:rsidP="00CD363C">
      <w:pPr>
        <w:pStyle w:val="tv213"/>
        <w:spacing w:before="0" w:beforeAutospacing="0" w:after="0" w:afterAutospacing="0"/>
        <w:ind w:right="-142"/>
        <w:jc w:val="both"/>
        <w:rPr>
          <w:b/>
        </w:rPr>
      </w:pPr>
      <w:r w:rsidRPr="007F7C59">
        <w:rPr>
          <w:b/>
        </w:rPr>
        <w:t xml:space="preserve">    K   5723* Pievienotās vērtības nodoklis</w:t>
      </w:r>
    </w:p>
    <w:p w14:paraId="14DF3F96" w14:textId="77777777" w:rsidR="0077064C" w:rsidRPr="007F7C59" w:rsidRDefault="0077064C" w:rsidP="00CD363C">
      <w:pPr>
        <w:pStyle w:val="tv213"/>
        <w:spacing w:before="0" w:beforeAutospacing="0" w:after="0" w:afterAutospacing="0"/>
        <w:ind w:right="-142"/>
        <w:jc w:val="both"/>
        <w:rPr>
          <w:b/>
        </w:rPr>
      </w:pPr>
    </w:p>
    <w:p w14:paraId="5397244C" w14:textId="77777777" w:rsidR="00C04109" w:rsidRDefault="00C04109" w:rsidP="00CD363C">
      <w:pPr>
        <w:pStyle w:val="tv213"/>
        <w:spacing w:before="0" w:beforeAutospacing="0" w:after="0" w:afterAutospacing="0"/>
        <w:ind w:right="-142"/>
        <w:jc w:val="both"/>
      </w:pPr>
      <w:r w:rsidRPr="007F7C59">
        <w:t>9</w:t>
      </w:r>
      <w:r w:rsidR="00145D18">
        <w:t>8</w:t>
      </w:r>
      <w:r w:rsidRPr="007F7C59">
        <w:t>. Samaksājot piegādātājam atlikušo summu, budžeta iestāde atzīst konta saistību samazinājumu iepriekš veiktā maksājuma apmērā, veicot sekojošu grāmatojumu:</w:t>
      </w:r>
    </w:p>
    <w:p w14:paraId="68586A66" w14:textId="77777777" w:rsidR="0077064C" w:rsidRPr="007F7C59" w:rsidRDefault="0077064C" w:rsidP="00CD363C">
      <w:pPr>
        <w:pStyle w:val="tv213"/>
        <w:spacing w:before="0" w:beforeAutospacing="0" w:after="0" w:afterAutospacing="0"/>
        <w:ind w:right="-142"/>
        <w:jc w:val="both"/>
      </w:pPr>
    </w:p>
    <w:p w14:paraId="22F6AF63" w14:textId="77777777" w:rsidR="00C04109" w:rsidRPr="007F7C59" w:rsidRDefault="00C04109" w:rsidP="00CD363C">
      <w:pPr>
        <w:pStyle w:val="tv213"/>
        <w:spacing w:before="0" w:beforeAutospacing="0" w:after="0" w:afterAutospacing="0"/>
        <w:ind w:right="-142"/>
        <w:jc w:val="both"/>
        <w:rPr>
          <w:b/>
        </w:rPr>
      </w:pPr>
      <w:r w:rsidRPr="007F7C59">
        <w:rPr>
          <w:b/>
        </w:rPr>
        <w:t xml:space="preserve">    D   5310 Īstermiņa saistības pret piegādātājiem un darbuzņēmējiem </w:t>
      </w:r>
    </w:p>
    <w:p w14:paraId="6CB324C1" w14:textId="77777777" w:rsidR="00C04109" w:rsidRDefault="00C04109" w:rsidP="00CD363C">
      <w:pPr>
        <w:pStyle w:val="tv213"/>
        <w:spacing w:before="0" w:beforeAutospacing="0" w:after="0" w:afterAutospacing="0"/>
        <w:ind w:right="-142"/>
        <w:jc w:val="both"/>
        <w:rPr>
          <w:b/>
        </w:rPr>
      </w:pPr>
      <w:r w:rsidRPr="007F7C59">
        <w:rPr>
          <w:b/>
        </w:rPr>
        <w:t xml:space="preserve">    K   2620 Norēķinu konti Valsts kasē un kredītiestādēs</w:t>
      </w:r>
    </w:p>
    <w:p w14:paraId="2F95FE5E" w14:textId="77777777" w:rsidR="0077064C" w:rsidRPr="007F7C59" w:rsidRDefault="0077064C" w:rsidP="00CD363C">
      <w:pPr>
        <w:pStyle w:val="tv213"/>
        <w:spacing w:before="0" w:beforeAutospacing="0" w:after="0" w:afterAutospacing="0"/>
        <w:ind w:right="-142"/>
        <w:jc w:val="both"/>
        <w:rPr>
          <w:b/>
        </w:rPr>
      </w:pPr>
    </w:p>
    <w:p w14:paraId="284C3889" w14:textId="77777777" w:rsidR="00C04109" w:rsidRPr="007F7C59" w:rsidRDefault="00145D18" w:rsidP="00CD363C">
      <w:pPr>
        <w:pStyle w:val="tv213"/>
        <w:spacing w:before="0" w:beforeAutospacing="0" w:after="0" w:afterAutospacing="0"/>
        <w:ind w:right="-142"/>
        <w:jc w:val="both"/>
      </w:pPr>
      <w:r>
        <w:t>99</w:t>
      </w:r>
      <w:r w:rsidR="00C04109" w:rsidRPr="007F7C59">
        <w:t>. Saņemot dāvinājumā nemateriālo ieguldījumu, saņemšanas dienā, bet ne vēlāk kā līdz nākamā mēneša 15. datumam pēc nemateriālā ieguldījuma faktiskās saņemšanas, budžeta iestāde nosaka tā patieso vērtību un paredzamo lietderīgās lietošanas laiku, nepieciešamības gadījumā pieaicinot attiecīgās jomas speciālistu. Ja dāvinājumu saņem saskaņā ar pievienoto dokumentāciju, kurā norādīta attiecīgā nemateriālā ieguldījuma vērtība, komisija izvērtē vai norādītā vērtība atbilst aktīva patiesai vērtībai iegūšanas datumā, un nemateriālo ieguldījumu uzskaita komisijas apstiprinātajā vērtībā.</w:t>
      </w:r>
    </w:p>
    <w:p w14:paraId="0F21B830" w14:textId="77777777" w:rsidR="005C3E18" w:rsidRDefault="00C04109" w:rsidP="00CD363C">
      <w:pPr>
        <w:pStyle w:val="tv213"/>
        <w:spacing w:before="0" w:beforeAutospacing="0" w:after="0" w:afterAutospacing="0"/>
        <w:ind w:right="-142"/>
        <w:jc w:val="both"/>
      </w:pPr>
      <w:r w:rsidRPr="007F7C59">
        <w:t>10</w:t>
      </w:r>
      <w:r w:rsidR="00145D18">
        <w:t>0</w:t>
      </w:r>
      <w:r w:rsidRPr="007F7C59">
        <w:t xml:space="preserve">. Gadījumā, ja budžeta iestāde ir saņēmusi nemateriālo ieguldījumu kā dāvinājumu bez nosacījuma par tā izlietošanu konkrētam mērķim, budžeta iestāde atzīst attiecīgo nemateriālo ieguldījumu un ieņēmumus no saņemtā dāvinājuma atbilstoši komisijas novērtēšanas aktā apstiprinātajai vērtībai un veic sekojošu grāmatojumu: </w:t>
      </w:r>
    </w:p>
    <w:p w14:paraId="1BA3C9CE" w14:textId="77777777" w:rsidR="0077064C" w:rsidRPr="007F7C59" w:rsidRDefault="0077064C" w:rsidP="00CD363C">
      <w:pPr>
        <w:pStyle w:val="tv213"/>
        <w:spacing w:before="0" w:beforeAutospacing="0" w:after="0" w:afterAutospacing="0"/>
        <w:ind w:right="-142"/>
        <w:jc w:val="both"/>
      </w:pPr>
    </w:p>
    <w:p w14:paraId="7581986F" w14:textId="77777777" w:rsidR="005C3E18" w:rsidRPr="007F7C59" w:rsidRDefault="005C3E18" w:rsidP="00CD363C">
      <w:pPr>
        <w:pStyle w:val="tv213"/>
        <w:spacing w:before="0" w:beforeAutospacing="0" w:after="0" w:afterAutospacing="0"/>
        <w:ind w:right="-142"/>
        <w:jc w:val="both"/>
        <w:rPr>
          <w:b/>
        </w:rPr>
      </w:pPr>
      <w:r w:rsidRPr="007F7C59">
        <w:t xml:space="preserve">    </w:t>
      </w:r>
      <w:r w:rsidR="00C04109" w:rsidRPr="007F7C59">
        <w:rPr>
          <w:b/>
        </w:rPr>
        <w:t>D</w:t>
      </w:r>
      <w:r w:rsidR="00150DF4">
        <w:rPr>
          <w:b/>
        </w:rPr>
        <w:t xml:space="preserve"> </w:t>
      </w:r>
      <w:r w:rsidRPr="007F7C59">
        <w:rPr>
          <w:b/>
        </w:rPr>
        <w:t xml:space="preserve">  </w:t>
      </w:r>
      <w:r w:rsidR="00C04109" w:rsidRPr="007F7C59">
        <w:rPr>
          <w:b/>
        </w:rPr>
        <w:t xml:space="preserve">1100 Nemateriālie ieguldījumi </w:t>
      </w:r>
    </w:p>
    <w:p w14:paraId="07C1C7CC" w14:textId="77777777" w:rsidR="00C04109" w:rsidRDefault="005C3E18" w:rsidP="00CD363C">
      <w:pPr>
        <w:pStyle w:val="tv213"/>
        <w:spacing w:before="0" w:beforeAutospacing="0" w:after="0" w:afterAutospacing="0"/>
        <w:ind w:right="-142"/>
        <w:jc w:val="both"/>
        <w:rPr>
          <w:b/>
        </w:rPr>
      </w:pPr>
      <w:r w:rsidRPr="007F7C59">
        <w:rPr>
          <w:b/>
        </w:rPr>
        <w:t xml:space="preserve">    </w:t>
      </w:r>
      <w:r w:rsidR="00C04109" w:rsidRPr="007F7C59">
        <w:rPr>
          <w:b/>
        </w:rPr>
        <w:t xml:space="preserve">K </w:t>
      </w:r>
      <w:r w:rsidRPr="007F7C59">
        <w:rPr>
          <w:b/>
        </w:rPr>
        <w:t xml:space="preserve">  </w:t>
      </w:r>
      <w:r w:rsidR="00C04109" w:rsidRPr="007F7C59">
        <w:rPr>
          <w:b/>
        </w:rPr>
        <w:t>6000 Pamatdarbības ieņēmumi</w:t>
      </w:r>
    </w:p>
    <w:p w14:paraId="301A9F1F" w14:textId="77777777" w:rsidR="0077064C" w:rsidRPr="007F7C59" w:rsidRDefault="0077064C" w:rsidP="00CD363C">
      <w:pPr>
        <w:pStyle w:val="tv213"/>
        <w:spacing w:before="0" w:beforeAutospacing="0" w:after="0" w:afterAutospacing="0"/>
        <w:ind w:right="-142"/>
        <w:jc w:val="both"/>
        <w:rPr>
          <w:b/>
        </w:rPr>
      </w:pPr>
    </w:p>
    <w:p w14:paraId="08574314" w14:textId="77777777" w:rsidR="005C3E18" w:rsidRDefault="005C3E18" w:rsidP="00CD363C">
      <w:pPr>
        <w:pStyle w:val="tv213"/>
        <w:spacing w:before="0" w:beforeAutospacing="0" w:after="0" w:afterAutospacing="0"/>
        <w:ind w:right="-142"/>
        <w:jc w:val="both"/>
      </w:pPr>
      <w:r w:rsidRPr="007F7C59">
        <w:t>10</w:t>
      </w:r>
      <w:r w:rsidR="00145D18">
        <w:t>1</w:t>
      </w:r>
      <w:r w:rsidRPr="007F7C59">
        <w:t>. Gadījumā, ja budžeta iestāde saņem dāvinājumā nemateriālo ieguldījumu ar tiesību aktā (ziedojumu līgumā) ietvertu atmaksas nosacījumu gadījumā, ja budžeta iestāde nepilda izlietojuma nosacījumus par ziedojumā saņemto aktīvu, budžeta iestāde atzīst attiecīgo nemateriālo ieguldījumu un saistības atbilstoši darījumu pamatojošajos dokumentos uzrādītajai vērtībai un veic sekojošu grāmatojumu:</w:t>
      </w:r>
    </w:p>
    <w:p w14:paraId="16B50F70" w14:textId="77777777" w:rsidR="0077064C" w:rsidRPr="007F7C59" w:rsidRDefault="0077064C" w:rsidP="00CD363C">
      <w:pPr>
        <w:pStyle w:val="tv213"/>
        <w:spacing w:before="0" w:beforeAutospacing="0" w:after="0" w:afterAutospacing="0"/>
        <w:ind w:right="-142"/>
        <w:jc w:val="both"/>
      </w:pPr>
    </w:p>
    <w:p w14:paraId="3B1E05DE" w14:textId="77777777" w:rsidR="005C3E18" w:rsidRPr="007F7C59" w:rsidRDefault="005C3E18" w:rsidP="00CD363C">
      <w:pPr>
        <w:pStyle w:val="tv213"/>
        <w:spacing w:before="0" w:beforeAutospacing="0" w:after="0" w:afterAutospacing="0"/>
        <w:ind w:right="-142"/>
        <w:jc w:val="both"/>
        <w:rPr>
          <w:b/>
        </w:rPr>
      </w:pPr>
      <w:r w:rsidRPr="007F7C59">
        <w:rPr>
          <w:b/>
        </w:rPr>
        <w:t xml:space="preserve">     D   1100 Nemateriālie ieguldījumi   </w:t>
      </w:r>
    </w:p>
    <w:p w14:paraId="09D3E8BF" w14:textId="77777777" w:rsidR="005C3E18" w:rsidRDefault="005C3E18" w:rsidP="00CD363C">
      <w:pPr>
        <w:pStyle w:val="tv213"/>
        <w:spacing w:before="0" w:beforeAutospacing="0" w:after="0" w:afterAutospacing="0"/>
        <w:ind w:left="284" w:right="-142" w:hanging="284"/>
        <w:jc w:val="both"/>
        <w:rPr>
          <w:b/>
        </w:rPr>
      </w:pPr>
      <w:r w:rsidRPr="007F7C59">
        <w:rPr>
          <w:b/>
        </w:rPr>
        <w:t xml:space="preserve">     K  </w:t>
      </w:r>
      <w:r w:rsidR="00150DF4">
        <w:rPr>
          <w:b/>
        </w:rPr>
        <w:t xml:space="preserve"> </w:t>
      </w:r>
      <w:r w:rsidRPr="007F7C59">
        <w:rPr>
          <w:b/>
        </w:rPr>
        <w:t>5150</w:t>
      </w:r>
      <w:r w:rsidR="00CB0A9F">
        <w:rPr>
          <w:b/>
        </w:rPr>
        <w:t xml:space="preserve"> </w:t>
      </w:r>
      <w:r w:rsidRPr="007F7C59">
        <w:rPr>
          <w:b/>
        </w:rPr>
        <w:t xml:space="preserve">Ilgtermiņa nākamo periodu ieņēmumi un saņemtie avansa   maksājumi </w:t>
      </w:r>
      <w:r w:rsidR="00CB0A9F">
        <w:rPr>
          <w:b/>
        </w:rPr>
        <w:t xml:space="preserve">, </w:t>
      </w:r>
      <w:r w:rsidR="00CB0A9F" w:rsidRPr="00CB0A9F">
        <w:t>vai</w:t>
      </w:r>
    </w:p>
    <w:p w14:paraId="2194ABB9" w14:textId="77777777" w:rsidR="005C132D" w:rsidRDefault="005C132D" w:rsidP="00CD363C">
      <w:pPr>
        <w:pStyle w:val="tv213"/>
        <w:spacing w:before="0" w:beforeAutospacing="0" w:after="0" w:afterAutospacing="0"/>
        <w:ind w:left="284" w:right="-142" w:hanging="284"/>
        <w:jc w:val="both"/>
        <w:rPr>
          <w:b/>
        </w:rPr>
      </w:pPr>
      <w:r>
        <w:rPr>
          <w:b/>
        </w:rPr>
        <w:t xml:space="preserve">     K   5910  </w:t>
      </w:r>
      <w:r w:rsidR="00CB0A9F">
        <w:rPr>
          <w:b/>
        </w:rPr>
        <w:t>Īstermiņa nākamo perioda ieņēmumi</w:t>
      </w:r>
    </w:p>
    <w:p w14:paraId="5F8CA4DB" w14:textId="77777777" w:rsidR="0077064C" w:rsidRPr="007F7C59" w:rsidRDefault="0077064C" w:rsidP="00CD363C">
      <w:pPr>
        <w:pStyle w:val="tv213"/>
        <w:spacing w:before="0" w:beforeAutospacing="0" w:after="0" w:afterAutospacing="0"/>
        <w:ind w:left="284" w:right="-142" w:hanging="284"/>
        <w:jc w:val="both"/>
        <w:rPr>
          <w:b/>
        </w:rPr>
      </w:pPr>
    </w:p>
    <w:p w14:paraId="319D5ECB" w14:textId="77777777" w:rsidR="005C3E18" w:rsidRDefault="005C3E18" w:rsidP="00CD363C">
      <w:pPr>
        <w:pStyle w:val="tv213"/>
        <w:spacing w:before="0" w:beforeAutospacing="0" w:after="0" w:afterAutospacing="0"/>
        <w:ind w:right="-142"/>
        <w:jc w:val="both"/>
      </w:pPr>
      <w:r w:rsidRPr="007F7C59">
        <w:rPr>
          <w:color w:val="414142"/>
          <w:sz w:val="22"/>
          <w:szCs w:val="22"/>
        </w:rPr>
        <w:t>10</w:t>
      </w:r>
      <w:r w:rsidR="00145D18">
        <w:rPr>
          <w:color w:val="414142"/>
          <w:sz w:val="22"/>
          <w:szCs w:val="22"/>
        </w:rPr>
        <w:t>2</w:t>
      </w:r>
      <w:r w:rsidRPr="007F7C59">
        <w:rPr>
          <w:color w:val="414142"/>
          <w:sz w:val="22"/>
          <w:szCs w:val="22"/>
        </w:rPr>
        <w:t>.</w:t>
      </w:r>
      <w:r w:rsidRPr="007F7C59">
        <w:t xml:space="preserve"> Gadījumā, ja budžeta iestāde nemateriālo ieguldījumu saņem vispārējās valdības struktūru sektora ietvaros (bez atlīdzības no citas budžeta iestādes), budžeta iestāde nemateriālā ieguldījuma iegūšanas datumā atzīst tā sākotnējo vērtību un uzkrāto amortizāciju, kādā tas uzskaitīts tajā budžeta iestādē, kas nodeva aktīvu.</w:t>
      </w:r>
    </w:p>
    <w:p w14:paraId="7D4A6789" w14:textId="77777777" w:rsidR="0077064C" w:rsidRPr="007F7C59" w:rsidRDefault="0077064C" w:rsidP="00CD363C">
      <w:pPr>
        <w:pStyle w:val="tv213"/>
        <w:spacing w:before="0" w:beforeAutospacing="0" w:after="0" w:afterAutospacing="0"/>
        <w:ind w:right="-142" w:hanging="284"/>
        <w:jc w:val="both"/>
      </w:pPr>
    </w:p>
    <w:p w14:paraId="2A72F226" w14:textId="77777777" w:rsidR="005C3E18" w:rsidRPr="007F7C59" w:rsidRDefault="005C3E18" w:rsidP="00CD363C">
      <w:pPr>
        <w:pStyle w:val="tv213"/>
        <w:spacing w:before="0" w:beforeAutospacing="0" w:after="0" w:afterAutospacing="0"/>
        <w:ind w:left="284" w:right="-142" w:hanging="284"/>
        <w:jc w:val="both"/>
        <w:rPr>
          <w:b/>
        </w:rPr>
      </w:pPr>
      <w:r w:rsidRPr="007F7C59">
        <w:rPr>
          <w:b/>
        </w:rPr>
        <w:t xml:space="preserve">    D   1100 Nemateriālie ieguldījumi  </w:t>
      </w:r>
    </w:p>
    <w:p w14:paraId="16C06D8E" w14:textId="77777777" w:rsidR="005C3E18" w:rsidRPr="007F7C59" w:rsidRDefault="005C3E18" w:rsidP="00CD363C">
      <w:pPr>
        <w:pStyle w:val="tv213"/>
        <w:spacing w:before="0" w:beforeAutospacing="0" w:after="0" w:afterAutospacing="0"/>
        <w:ind w:left="284" w:right="-142" w:hanging="284"/>
        <w:jc w:val="both"/>
        <w:rPr>
          <w:b/>
        </w:rPr>
      </w:pPr>
      <w:r w:rsidRPr="007F7C59">
        <w:rPr>
          <w:b/>
        </w:rPr>
        <w:t xml:space="preserve">    K   1190 Nemateriālo ieguldījumu amortizācija un vērtības samazinājums </w:t>
      </w:r>
    </w:p>
    <w:p w14:paraId="6F379A94" w14:textId="77777777" w:rsidR="005C3E18" w:rsidRDefault="005C3E18" w:rsidP="00CD363C">
      <w:pPr>
        <w:pStyle w:val="tv213"/>
        <w:spacing w:before="0" w:beforeAutospacing="0" w:after="0" w:afterAutospacing="0"/>
        <w:ind w:left="284" w:right="-142" w:hanging="284"/>
        <w:jc w:val="both"/>
        <w:rPr>
          <w:b/>
        </w:rPr>
      </w:pPr>
      <w:r w:rsidRPr="007F7C59">
        <w:rPr>
          <w:b/>
        </w:rPr>
        <w:t xml:space="preserve">    K   8410 Ieņēmumi no saņemtām un nodotām vērtībām bez atlīdzības</w:t>
      </w:r>
    </w:p>
    <w:p w14:paraId="4332103C" w14:textId="77777777" w:rsidR="0077064C" w:rsidRPr="007F7C59" w:rsidRDefault="0077064C" w:rsidP="00CD363C">
      <w:pPr>
        <w:pStyle w:val="tv213"/>
        <w:spacing w:before="0" w:beforeAutospacing="0" w:after="0" w:afterAutospacing="0"/>
        <w:ind w:left="284" w:right="-142" w:hanging="284"/>
        <w:jc w:val="both"/>
        <w:rPr>
          <w:b/>
        </w:rPr>
      </w:pPr>
    </w:p>
    <w:p w14:paraId="72A599FF" w14:textId="77777777" w:rsidR="005C3E18" w:rsidRPr="007F7C59" w:rsidRDefault="005C3E18" w:rsidP="00CD363C">
      <w:pPr>
        <w:pStyle w:val="tv213"/>
        <w:spacing w:before="0" w:beforeAutospacing="0" w:after="0" w:afterAutospacing="0"/>
        <w:ind w:right="-142"/>
        <w:jc w:val="both"/>
      </w:pPr>
      <w:r w:rsidRPr="007F7C59">
        <w:t>10</w:t>
      </w:r>
      <w:r w:rsidR="00145D18">
        <w:t>3</w:t>
      </w:r>
      <w:r w:rsidRPr="007F7C59">
        <w:t>.</w:t>
      </w:r>
      <w:r w:rsidR="00ED23F0" w:rsidRPr="007F7C59">
        <w:t xml:space="preserve"> Budžeta iestāde turpina aprēķināt amortizāciju nemateriālā ieguldījuma atlikušajā lietderīgās lietošanas laikā atbilstoši saņemtajai informācijai par nemateriālo ieguldījumu.</w:t>
      </w:r>
    </w:p>
    <w:p w14:paraId="5611C16C" w14:textId="77777777" w:rsidR="00ED23F0" w:rsidRPr="007F7C59" w:rsidRDefault="00ED23F0" w:rsidP="00CD363C">
      <w:pPr>
        <w:pStyle w:val="tv213"/>
        <w:spacing w:before="0" w:beforeAutospacing="0" w:after="0" w:afterAutospacing="0"/>
        <w:ind w:right="-142"/>
        <w:jc w:val="both"/>
      </w:pPr>
      <w:r w:rsidRPr="007F7C59">
        <w:t>10</w:t>
      </w:r>
      <w:r w:rsidR="00145D18">
        <w:t>4</w:t>
      </w:r>
      <w:r w:rsidRPr="007F7C59">
        <w:t>. Pēc sākotnējās atzīšanas budžeta iestāde uzskaita nemateriālo ieguldījumu tā izmaksu vērtībā, atskaitot uzkrāto amortizāciju un uzkrātos zaudējumus (izdevumus) no vērtības samazinājuma.</w:t>
      </w:r>
    </w:p>
    <w:p w14:paraId="02363AC2" w14:textId="77777777" w:rsidR="00ED23F0" w:rsidRPr="007F7C59" w:rsidRDefault="00ED23F0" w:rsidP="00CD363C">
      <w:pPr>
        <w:pStyle w:val="tv213"/>
        <w:spacing w:before="0" w:beforeAutospacing="0" w:after="0" w:afterAutospacing="0"/>
        <w:ind w:right="-142"/>
        <w:jc w:val="both"/>
      </w:pPr>
      <w:r w:rsidRPr="007F7C59">
        <w:t>10</w:t>
      </w:r>
      <w:r w:rsidR="00145D18">
        <w:t>5</w:t>
      </w:r>
      <w:r w:rsidRPr="007F7C59">
        <w:t>. Budžeta iestāde, iekļaujot kapitalizētās izmaksas nemateriālā ieguldījuma vērtībā, palielina aktīva sākotnējo vērtību. Sākot ar nākamo mēnesi, amortizāciju aprēķina no jaunās aktīva vērtības.</w:t>
      </w:r>
    </w:p>
    <w:p w14:paraId="7578D4E1" w14:textId="77777777" w:rsidR="00ED23F0" w:rsidRPr="007F7C59" w:rsidRDefault="00ED23F0" w:rsidP="00CD363C">
      <w:pPr>
        <w:pStyle w:val="tv213"/>
        <w:spacing w:before="0" w:beforeAutospacing="0" w:after="0" w:afterAutospacing="0"/>
        <w:ind w:right="-142"/>
        <w:jc w:val="both"/>
      </w:pPr>
      <w:r w:rsidRPr="007F7C59">
        <w:t>10</w:t>
      </w:r>
      <w:r w:rsidR="004111ED">
        <w:t>6</w:t>
      </w:r>
      <w:r w:rsidRPr="007F7C59">
        <w:t>. Izmaksas, kas radušās, saglabājot vai uzturot nemateriālā ieguldījuma esošo stāvokli, kā arī labojot to, atzīst kā pamatdarbības izdevumus periodā, kad tās radušās.</w:t>
      </w:r>
    </w:p>
    <w:p w14:paraId="378BA29E" w14:textId="77777777" w:rsidR="00ED23F0" w:rsidRPr="007F7C59" w:rsidRDefault="00ED23F0" w:rsidP="00CD363C">
      <w:pPr>
        <w:pStyle w:val="tv213"/>
        <w:spacing w:before="0" w:beforeAutospacing="0" w:after="0" w:afterAutospacing="0"/>
        <w:ind w:right="-142"/>
        <w:jc w:val="both"/>
      </w:pPr>
      <w:r w:rsidRPr="007F7C59">
        <w:t>10</w:t>
      </w:r>
      <w:r w:rsidR="004111ED">
        <w:t>7</w:t>
      </w:r>
      <w:r w:rsidRPr="007F7C59">
        <w:t>. Gadījumā, ja nemateriālajam ieguldījumam ilgstoši lietojamu daļu aizstāj ar jaunu komplektējošo daļu, kuru nevar izmantot atsevišķi, no jauna uzstādītās daļas vērtību pievieno attiecīgā nemateriālā ieguldījuma vērtībai. Nomainītās daļas sākotnējo vērtību un aprēķināto amortizāciju izslēdz no uzskaites.</w:t>
      </w:r>
    </w:p>
    <w:p w14:paraId="02EA60F1" w14:textId="77777777" w:rsidR="00ED23F0" w:rsidRPr="007F7C59" w:rsidRDefault="00ED23F0" w:rsidP="00CD363C">
      <w:pPr>
        <w:pStyle w:val="tv213"/>
        <w:spacing w:before="0" w:beforeAutospacing="0" w:after="0" w:afterAutospacing="0"/>
        <w:ind w:right="-142"/>
        <w:jc w:val="both"/>
      </w:pPr>
      <w:r w:rsidRPr="007F7C59">
        <w:t>10</w:t>
      </w:r>
      <w:r w:rsidR="004111ED">
        <w:t>8</w:t>
      </w:r>
      <w:r w:rsidRPr="007F7C59">
        <w:t>. Ja nomainītās nemateriālā ieguldījuma daļas uzskaites (atlikusī) vērtība nav atsevišķi aprēķināta, tas ir, ja izslēdzamā aktīva daļa nav amortizēta atsevišķi no pārējā aktīva, budžeta iestādes vadītāja apstiprināta komisija, ja nepieciešams, pieaicinot attiecīgās jomas speciālistus, nosaka izslēdzamās aktīva daļas vērtību. Šo vērtību var noteikt atbilstoši amortizētajām aizstāšanas izmaksām vai izmantojot citu metodi, atbilstoši komisijas lēmumam. Amortizētās aizstāšanas izmaksas ir nemateriālā ieguldījuma vērtība, kas aprēķināta, atskaitot no jauna, līdzvērtīga aktīva iegādes vērtības amortizāciju pēc aizstātā aktīva amortizācijas likmes, uzskaitot amortizāciju tik ilgu laiku, cik ilgi budžeta iestāde lietojusi aizstāto aktīvu.</w:t>
      </w:r>
    </w:p>
    <w:p w14:paraId="7495B359" w14:textId="77777777" w:rsidR="007532E7" w:rsidRPr="007F7C59" w:rsidRDefault="007532E7" w:rsidP="00CD363C">
      <w:pPr>
        <w:pStyle w:val="tv213"/>
        <w:spacing w:before="0" w:beforeAutospacing="0" w:after="0" w:afterAutospacing="0"/>
        <w:ind w:left="284" w:right="-142" w:hanging="284"/>
        <w:jc w:val="both"/>
      </w:pPr>
    </w:p>
    <w:p w14:paraId="2E0E4736" w14:textId="77777777" w:rsidR="007A3746" w:rsidRDefault="002F1E6A" w:rsidP="00CD363C">
      <w:pPr>
        <w:pStyle w:val="tv213"/>
        <w:spacing w:before="0" w:beforeAutospacing="0" w:after="0" w:afterAutospacing="0"/>
        <w:ind w:left="284" w:right="-142" w:hanging="284"/>
        <w:jc w:val="both"/>
        <w:rPr>
          <w:b/>
        </w:rPr>
      </w:pPr>
      <w:r w:rsidRPr="007F7C59">
        <w:rPr>
          <w:b/>
        </w:rPr>
        <w:t>9</w:t>
      </w:r>
      <w:r w:rsidR="007A3746" w:rsidRPr="007F7C59">
        <w:rPr>
          <w:b/>
        </w:rPr>
        <w:t>.2 Nemateriālo ieguldījumu amortizācija(nolietojums) un vērtības samazināšanās</w:t>
      </w:r>
    </w:p>
    <w:p w14:paraId="74CE9FFB" w14:textId="77777777" w:rsidR="00E44FF9" w:rsidRPr="007F7C59" w:rsidRDefault="00E44FF9" w:rsidP="00CD363C">
      <w:pPr>
        <w:pStyle w:val="tv213"/>
        <w:spacing w:before="0" w:beforeAutospacing="0" w:after="0" w:afterAutospacing="0"/>
        <w:ind w:left="284" w:right="-142" w:hanging="284"/>
        <w:jc w:val="both"/>
        <w:rPr>
          <w:b/>
        </w:rPr>
      </w:pPr>
    </w:p>
    <w:p w14:paraId="35DC5752" w14:textId="77777777" w:rsidR="00DA69C0" w:rsidRPr="007F7C59" w:rsidRDefault="00ED23F0" w:rsidP="00CD363C">
      <w:pPr>
        <w:pStyle w:val="tv213"/>
        <w:spacing w:before="0" w:beforeAutospacing="0" w:after="0" w:afterAutospacing="0"/>
        <w:ind w:left="284" w:right="-142" w:hanging="284"/>
        <w:jc w:val="both"/>
      </w:pPr>
      <w:r w:rsidRPr="007F7C59">
        <w:t>1</w:t>
      </w:r>
      <w:r w:rsidR="004111ED">
        <w:t>09</w:t>
      </w:r>
      <w:r w:rsidRPr="007F7C59">
        <w:t>.</w:t>
      </w:r>
      <w:r w:rsidR="00DA69C0" w:rsidRPr="007F7C59">
        <w:t xml:space="preserve"> Nosakot nemateriālo ieguldījumu lietderīgās lietošanas laiku, kurā budžeta iestāde paredz  to izmantot, izvērtē, vai nemateriālā ieguldījuma lietderīgās lietošanas laiks ir</w:t>
      </w:r>
      <w:r w:rsidR="00DA69C0" w:rsidRPr="00F94052">
        <w:rPr>
          <w:b/>
        </w:rPr>
        <w:t>: noteikts vai nenoteikts</w:t>
      </w:r>
      <w:r w:rsidR="00DA69C0" w:rsidRPr="007F7C59">
        <w:t>.</w:t>
      </w:r>
    </w:p>
    <w:p w14:paraId="610EB76F" w14:textId="77777777" w:rsidR="00DA69C0" w:rsidRPr="007F7C59" w:rsidRDefault="00DA69C0" w:rsidP="00CD363C">
      <w:pPr>
        <w:pStyle w:val="tv213"/>
        <w:spacing w:before="0" w:beforeAutospacing="0" w:after="0" w:afterAutospacing="0"/>
        <w:ind w:right="-142"/>
        <w:jc w:val="both"/>
      </w:pPr>
      <w:r w:rsidRPr="007F7C59">
        <w:t xml:space="preserve">    1</w:t>
      </w:r>
      <w:r w:rsidR="004111ED">
        <w:t>09</w:t>
      </w:r>
      <w:r w:rsidRPr="007F7C59">
        <w:t>.1</w:t>
      </w:r>
      <w:r w:rsidR="005C3E18" w:rsidRPr="007F7C59">
        <w:rPr>
          <w:b/>
          <w:color w:val="414142"/>
          <w:sz w:val="20"/>
          <w:szCs w:val="20"/>
        </w:rPr>
        <w:t xml:space="preserve">  </w:t>
      </w:r>
      <w:r w:rsidRPr="007F7C59">
        <w:t xml:space="preserve">nemateriālajam ieguldījumam ir </w:t>
      </w:r>
      <w:r w:rsidRPr="00F94052">
        <w:rPr>
          <w:b/>
        </w:rPr>
        <w:t>nenoteikts</w:t>
      </w:r>
      <w:r w:rsidRPr="007F7C59">
        <w:t xml:space="preserve"> lietderīgās lietošanas laiks, ja, pamatojoties uz visu iepriekšminēto faktoru analīzi, nav nosakāms ierobežojums periodam, kurā paredzēts, ka nemateriālais ieguldījums radīs budžeta iestādei ienākošās neto naudas plūsmas un nākotnes saimnieciskos labumus. Nemateriālajiem  ieguldījumiem ar nenoteiktu lietderīgās lietošanas laiku amortizāciju neaprēķina</w:t>
      </w:r>
    </w:p>
    <w:p w14:paraId="0CA00494" w14:textId="77777777" w:rsidR="000C335F" w:rsidRPr="007F7C59" w:rsidRDefault="00DA69C0" w:rsidP="00CD363C">
      <w:pPr>
        <w:pStyle w:val="tv213"/>
        <w:spacing w:before="0" w:beforeAutospacing="0" w:after="0" w:afterAutospacing="0"/>
        <w:ind w:right="-142"/>
        <w:jc w:val="both"/>
        <w:rPr>
          <w:b/>
          <w:color w:val="414142"/>
          <w:sz w:val="20"/>
          <w:szCs w:val="20"/>
        </w:rPr>
      </w:pPr>
      <w:r w:rsidRPr="007F7C59">
        <w:t xml:space="preserve">    1</w:t>
      </w:r>
      <w:r w:rsidR="004111ED">
        <w:t>09</w:t>
      </w:r>
      <w:r w:rsidRPr="007F7C59">
        <w:t xml:space="preserve">.2. nemateriālajiem ieguldījumiem ar </w:t>
      </w:r>
      <w:r w:rsidRPr="00F94052">
        <w:rPr>
          <w:b/>
        </w:rPr>
        <w:t>noteiktu</w:t>
      </w:r>
      <w:r w:rsidRPr="007F7C59">
        <w:t xml:space="preserve"> lietderīgās lietošanas laiku aprēķina amortizāciju. Nemateriālo ieguldījumu paredzamo lietderīgās lietošanas laiku nosaka atbilstoši tiesībās, līgumos vai citos tiesību saņemšanas apliecinošos dokumentos noteiktajiem laika periodiem. Ja nemateriālā ieguldījuma paredzamais lietderīgās lietošanas laiks līgumos vai citos tiesību saņemšanas apliecinošos dokumentos nav norādīts, budžeta iestādes vadītāja apstiprinātā komisija to izvērtē, nosaka un norāda aktā par nemateriālā ieguldījuma nodošanu lietošanā .</w:t>
      </w:r>
      <w:r w:rsidR="005C3E18" w:rsidRPr="007F7C59">
        <w:rPr>
          <w:b/>
          <w:color w:val="414142"/>
          <w:sz w:val="20"/>
          <w:szCs w:val="20"/>
        </w:rPr>
        <w:t xml:space="preserve"> </w:t>
      </w:r>
      <w:r w:rsidR="0013702A" w:rsidRPr="007F7C59">
        <w:t>Nemateriālā ieguldījuma lietderīgās lietošanas laiku var ietekmēt gan ekonomiskie, sociālie un politiskie, gan juridiskie faktori. Ekonomiskie, politiskie vai sociālie faktori nosaka periodu, kurā budžeta iestāde saņems nākotnes saimnieciskos labumus. Juridiskie faktori var noteikt periodu, kurā budžeta iestāde kontrolē piekļūšanu šiem labumiem. Lietderīgās lietošanas laiks ir īsākais no periodiem, ko nosaka, izvērtējot šos faktorus.</w:t>
      </w:r>
    </w:p>
    <w:p w14:paraId="71DC60C7" w14:textId="77777777" w:rsidR="00DA69C0" w:rsidRPr="007F7C59" w:rsidRDefault="004111ED" w:rsidP="00CD363C">
      <w:pPr>
        <w:pStyle w:val="tv213"/>
        <w:spacing w:before="0" w:beforeAutospacing="0" w:after="0" w:afterAutospacing="0"/>
        <w:ind w:right="-142"/>
        <w:jc w:val="both"/>
      </w:pPr>
      <w:r w:rsidRPr="004111ED">
        <w:rPr>
          <w:color w:val="414142"/>
        </w:rPr>
        <w:t>110</w:t>
      </w:r>
      <w:r w:rsidRPr="004111ED">
        <w:rPr>
          <w:b/>
          <w:color w:val="414142"/>
        </w:rPr>
        <w:t>.</w:t>
      </w:r>
      <w:r w:rsidR="00DA69C0" w:rsidRPr="007F7C59">
        <w:t xml:space="preserve"> Budžeta iestāde uzsāk nemateriālā ieguldījuma amortizācijas aprēķināšanu ar nākamā mēneša pirmo datumu pēc nemateriālā ieguldījuma nodošanas lietošanā.</w:t>
      </w:r>
    </w:p>
    <w:p w14:paraId="2E79A948" w14:textId="77777777" w:rsidR="00DA69C0" w:rsidRPr="007F7C59" w:rsidRDefault="004111ED" w:rsidP="00CD363C">
      <w:pPr>
        <w:pStyle w:val="tv213"/>
        <w:spacing w:before="0" w:beforeAutospacing="0" w:after="0" w:afterAutospacing="0"/>
        <w:ind w:right="-142"/>
        <w:jc w:val="both"/>
      </w:pPr>
      <w:r w:rsidRPr="004111ED">
        <w:rPr>
          <w:color w:val="414142"/>
        </w:rPr>
        <w:t>111.</w:t>
      </w:r>
      <w:r w:rsidR="00EF324B" w:rsidRPr="007F7C59">
        <w:t xml:space="preserve"> Budžeta iestāde beidz aprēķināt nemateriālā ieguldījuma amortizāciju mēnesī, kad izslēdz nemateriālo ieguldījumu no ilgtermiņa ieguldījumu sastāva (amortizācija tiek aprēķināta par mēnesi, kad nemateriālais ieguldījums tiek izslēgts).</w:t>
      </w:r>
    </w:p>
    <w:p w14:paraId="0C5FF3B8" w14:textId="77777777" w:rsidR="00EF324B" w:rsidRPr="007F7C59" w:rsidRDefault="00EF324B" w:rsidP="00CD363C">
      <w:pPr>
        <w:pStyle w:val="tv213"/>
        <w:spacing w:before="0" w:beforeAutospacing="0" w:after="0" w:afterAutospacing="0"/>
        <w:ind w:right="-142"/>
        <w:jc w:val="both"/>
      </w:pPr>
      <w:r w:rsidRPr="004111ED">
        <w:rPr>
          <w:color w:val="414142"/>
        </w:rPr>
        <w:t>11</w:t>
      </w:r>
      <w:r w:rsidR="004111ED">
        <w:rPr>
          <w:color w:val="414142"/>
        </w:rPr>
        <w:t>2</w:t>
      </w:r>
      <w:r w:rsidRPr="004111ED">
        <w:rPr>
          <w:color w:val="414142"/>
        </w:rPr>
        <w:t>.</w:t>
      </w:r>
      <w:r w:rsidRPr="007F7C59">
        <w:t xml:space="preserve"> Budžeta iestāde turpina nemateriālā ieguldījuma amortizācijas aprēķinu arī tajā laikā, kad nemateriālo ieguldījumu nelieto, izņemot gadījumus, ja nemateriālā ieguldījuma vērtība ir pilnīgi amortizēta vai nemateriālais ieguldījums ir klasificēts kā atsavināšanai paredzēts ilgtermiņa ieguldījums.</w:t>
      </w:r>
    </w:p>
    <w:p w14:paraId="58159509" w14:textId="77777777" w:rsidR="00EF324B" w:rsidRDefault="00EF324B" w:rsidP="00CD363C">
      <w:pPr>
        <w:pStyle w:val="tv213"/>
        <w:spacing w:before="0" w:beforeAutospacing="0" w:after="0" w:afterAutospacing="0"/>
        <w:ind w:right="-142"/>
        <w:jc w:val="both"/>
      </w:pPr>
      <w:r w:rsidRPr="004111ED">
        <w:rPr>
          <w:color w:val="414142"/>
        </w:rPr>
        <w:t>11</w:t>
      </w:r>
      <w:r w:rsidR="004111ED">
        <w:rPr>
          <w:color w:val="414142"/>
        </w:rPr>
        <w:t>3</w:t>
      </w:r>
      <w:r w:rsidRPr="007F7C59">
        <w:rPr>
          <w:b/>
          <w:color w:val="414142"/>
          <w:sz w:val="20"/>
          <w:szCs w:val="20"/>
        </w:rPr>
        <w:t>.</w:t>
      </w:r>
      <w:r w:rsidRPr="007F7C59">
        <w:t xml:space="preserve"> Nemateriālo ieguldījumu amortizāciju aprēķina pēc lineārās metodes to lietderīgās lietošanas laikā un atzīst kā nemateriālo ieguldījumu uzkrāto amortizāciju un pārskata perioda izdevumus vai iekļauj cita aktīva vērtībā normatīvos aktos noteiktajos gadījumos ne retāk kā reizi pārskata periodā, veicot sekojošu grāmatojumu:</w:t>
      </w:r>
    </w:p>
    <w:p w14:paraId="4F036724" w14:textId="77777777" w:rsidR="0077064C" w:rsidRPr="007F7C59" w:rsidRDefault="0077064C" w:rsidP="00CD363C">
      <w:pPr>
        <w:pStyle w:val="tv213"/>
        <w:spacing w:before="0" w:beforeAutospacing="0" w:after="0" w:afterAutospacing="0"/>
        <w:ind w:left="284" w:right="-142" w:hanging="284"/>
        <w:jc w:val="both"/>
      </w:pPr>
    </w:p>
    <w:p w14:paraId="5098A6FF" w14:textId="77777777" w:rsidR="00EF324B" w:rsidRPr="007F7C59" w:rsidRDefault="00EF324B" w:rsidP="00CD363C">
      <w:pPr>
        <w:pStyle w:val="tv213"/>
        <w:spacing w:before="0" w:beforeAutospacing="0" w:after="0" w:afterAutospacing="0"/>
        <w:ind w:left="284" w:right="-142" w:hanging="284"/>
        <w:jc w:val="both"/>
        <w:rPr>
          <w:b/>
        </w:rPr>
      </w:pPr>
      <w:r w:rsidRPr="007F7C59">
        <w:t xml:space="preserve">    </w:t>
      </w:r>
      <w:r w:rsidRPr="007F7C59">
        <w:rPr>
          <w:b/>
        </w:rPr>
        <w:t xml:space="preserve">D    7000* Pamatdarbības izdevumi </w:t>
      </w:r>
    </w:p>
    <w:p w14:paraId="0B4B5317" w14:textId="77777777" w:rsidR="00EF324B" w:rsidRDefault="00EF324B" w:rsidP="00CD363C">
      <w:pPr>
        <w:pStyle w:val="tv213"/>
        <w:spacing w:before="0" w:beforeAutospacing="0" w:after="0" w:afterAutospacing="0"/>
        <w:ind w:left="284" w:right="-142" w:hanging="284"/>
        <w:jc w:val="both"/>
        <w:rPr>
          <w:b/>
        </w:rPr>
      </w:pPr>
      <w:r w:rsidRPr="007F7C59">
        <w:rPr>
          <w:b/>
        </w:rPr>
        <w:t xml:space="preserve">    K    1190 Nemateriālo ieguldījumu amortizācija un vērtības samazinājums </w:t>
      </w:r>
    </w:p>
    <w:p w14:paraId="63BF53A6" w14:textId="77777777" w:rsidR="0077064C" w:rsidRPr="007F7C59" w:rsidRDefault="0077064C" w:rsidP="00CD363C">
      <w:pPr>
        <w:pStyle w:val="tv213"/>
        <w:spacing w:before="0" w:beforeAutospacing="0" w:after="0" w:afterAutospacing="0"/>
        <w:ind w:left="284" w:right="-142" w:hanging="284"/>
        <w:jc w:val="both"/>
        <w:rPr>
          <w:b/>
        </w:rPr>
      </w:pPr>
    </w:p>
    <w:p w14:paraId="3DF8ED48" w14:textId="77777777" w:rsidR="00EF324B" w:rsidRPr="007F7C59" w:rsidRDefault="00EF324B" w:rsidP="00CD363C">
      <w:pPr>
        <w:pStyle w:val="tv213"/>
        <w:spacing w:before="0" w:beforeAutospacing="0" w:after="0" w:afterAutospacing="0"/>
        <w:ind w:left="284" w:right="-142" w:hanging="284"/>
        <w:jc w:val="both"/>
      </w:pPr>
      <w:r w:rsidRPr="007F7C59">
        <w:t>*nemateriālo ieguldījumu amortizācijas uzskaites konti</w:t>
      </w:r>
    </w:p>
    <w:p w14:paraId="11B3C52A" w14:textId="77777777" w:rsidR="00EF324B" w:rsidRPr="007F7C59" w:rsidRDefault="00EF324B" w:rsidP="00CD363C">
      <w:pPr>
        <w:pStyle w:val="tv213"/>
        <w:spacing w:before="0" w:beforeAutospacing="0" w:after="0" w:afterAutospacing="0"/>
        <w:ind w:right="-142"/>
        <w:jc w:val="both"/>
      </w:pPr>
      <w:r w:rsidRPr="007F7C59">
        <w:t>11</w:t>
      </w:r>
      <w:r w:rsidR="004111ED">
        <w:t>4</w:t>
      </w:r>
      <w:r w:rsidRPr="007F7C59">
        <w:t>. Nemateriālajiem ieguldījumiem ar noteiktu lietderīgās lietošanas laiku atlikušo lietderīgās lietošanas laiku pārskata ne retāk kā vienu reizi pārskata gadā. Ja nemateriālā ieguldījuma atlikušais lietderīgās lietošanas laiks atšķiras no iepriekšējām aplēsēm, budžeta iestāde to koriģē un ņem vērā, aprēķinot amortizāciju sākot no nākamā mēneša pēc pārskata perioda, kurā mainīta aplēse.</w:t>
      </w:r>
    </w:p>
    <w:p w14:paraId="389FA636" w14:textId="77777777" w:rsidR="00EF324B" w:rsidRPr="007F7C59" w:rsidRDefault="00EF324B" w:rsidP="00CD363C">
      <w:pPr>
        <w:pStyle w:val="tv213"/>
        <w:spacing w:before="0" w:beforeAutospacing="0" w:after="0" w:afterAutospacing="0"/>
        <w:ind w:right="-142"/>
        <w:jc w:val="both"/>
      </w:pPr>
      <w:r w:rsidRPr="007F7C59">
        <w:t>11</w:t>
      </w:r>
      <w:r w:rsidR="004111ED">
        <w:t>5</w:t>
      </w:r>
      <w:r w:rsidRPr="007F7C59">
        <w:t>. Nemateriālajiem ieguldījumiem ar nenoteiktu lietderīgās lietošanas laiku budžeta iestāde ne retāk kā reizi pārskata gadā izvērtē pamatojumu nemateriālā ieguldījuma lietderīgās lietošanas laika nenoteiktībai un, ja konstatē apstākļu maiņu, saskaņā ar kuriem attiecīgajam nemateriālajam ieguldījumam var aplēst noteiktu lietderīgās lietošanas laiku, to ņem vērā, aprēķinot amortizāciju, sākot no nākamā mēneša pēc pārskata perioda, kurā mainīta aplēse.</w:t>
      </w:r>
    </w:p>
    <w:p w14:paraId="5FB84A2B" w14:textId="77777777" w:rsidR="00EF324B" w:rsidRPr="007F7C59" w:rsidRDefault="00EF324B" w:rsidP="00CD363C">
      <w:pPr>
        <w:pStyle w:val="tv213"/>
        <w:spacing w:before="0" w:beforeAutospacing="0" w:after="0" w:afterAutospacing="0"/>
        <w:ind w:right="-142"/>
        <w:jc w:val="both"/>
      </w:pPr>
      <w:r w:rsidRPr="007F7C59">
        <w:t>11</w:t>
      </w:r>
      <w:r w:rsidR="004111ED">
        <w:t>6</w:t>
      </w:r>
      <w:r w:rsidRPr="007F7C59">
        <w:t>. Budžeta iestāde izvērtē un, ja nepieciešams, pārskata nemateriālā ieguldījuma lietderīgās lietošanas laiku, ja nemateriālajam ieguldījumam konstatē vērtības samazinājuma vai tā reversēšanas pazīmes.</w:t>
      </w:r>
    </w:p>
    <w:p w14:paraId="3C024AAF" w14:textId="77777777" w:rsidR="00EF324B" w:rsidRPr="007F7C59" w:rsidRDefault="00EF324B" w:rsidP="00CD363C">
      <w:pPr>
        <w:pStyle w:val="tv213"/>
        <w:spacing w:before="0" w:beforeAutospacing="0" w:after="0" w:afterAutospacing="0"/>
        <w:ind w:right="-142"/>
        <w:jc w:val="both"/>
      </w:pPr>
      <w:r w:rsidRPr="007F7C59">
        <w:t>11</w:t>
      </w:r>
      <w:r w:rsidR="004111ED">
        <w:t>7</w:t>
      </w:r>
      <w:r w:rsidRPr="007F7C59">
        <w:t>. Nemateriālajiem ieguldījumiem, kurus budžeta iestāde ir iegādājusies saskaņā ar finanšu līzinga (nomas) nosacījumiem vai kurus budžeta iestāde ir nodevusi operatīvajā nomā, amortizāciju aprēķina atbilstoši tādiem pašiem principiem, kādi piemērojami pārējiem nemateriālajiem ieguldījumiem.</w:t>
      </w:r>
    </w:p>
    <w:p w14:paraId="3EF7E71A" w14:textId="77777777" w:rsidR="00EF324B" w:rsidRPr="007F7C59" w:rsidRDefault="00EF324B" w:rsidP="00CD363C">
      <w:pPr>
        <w:pStyle w:val="tv213"/>
        <w:spacing w:before="0" w:beforeAutospacing="0" w:after="0" w:afterAutospacing="0"/>
        <w:ind w:right="-142"/>
        <w:jc w:val="both"/>
      </w:pPr>
      <w:r w:rsidRPr="007F7C59">
        <w:t>11</w:t>
      </w:r>
      <w:r w:rsidR="004111ED">
        <w:t>8</w:t>
      </w:r>
      <w:r w:rsidRPr="007F7C59">
        <w:t>.</w:t>
      </w:r>
      <w:r w:rsidR="0013702A" w:rsidRPr="007F7C59">
        <w:t xml:space="preserve"> Tāda nemateriāla ieguldījuma lietderīgās lietošanas laiks, kas rodas no saistošas vienošanās (tai skaitā no līgumiskām vai citām juridiskām tiesībām), nepārsniedz saistošas vienošanās termiņu, bet var būt īsāks atkarībā no perioda, kurā budžeta iestāde plāno izmantot konkrēto aktīvu. Ja saistoša vienošanās ir ar noteiktu termiņu, kuru var atjaunot, atjaunošanas periodu(-s) nemateriālā ieguldījuma lietderīgās lietošanas laikā ietver tikai tad, ja ir pierādījumi, kas pamato atjaunošanu bez nozīmīgām izmaksām.</w:t>
      </w:r>
    </w:p>
    <w:p w14:paraId="4769ADE1" w14:textId="77777777" w:rsidR="007F7C59" w:rsidRPr="007F7C59" w:rsidRDefault="0013702A" w:rsidP="00CD363C">
      <w:pPr>
        <w:pStyle w:val="tv213"/>
        <w:spacing w:before="0" w:beforeAutospacing="0" w:after="0" w:afterAutospacing="0"/>
        <w:ind w:left="284" w:right="-142" w:hanging="284"/>
        <w:jc w:val="both"/>
      </w:pPr>
      <w:r w:rsidRPr="007F7C59">
        <w:t>1</w:t>
      </w:r>
      <w:r w:rsidR="004111ED">
        <w:t>19</w:t>
      </w:r>
      <w:r w:rsidRPr="007F7C59">
        <w:t>. Budžeta iestādes spēju atjaunot saistošas vienošanās (tai skaitā līgumos noteiktās un citas tiesības) bez būtiskām izmaksām var apliecināt, piemēram, sekojoši faktori:</w:t>
      </w:r>
    </w:p>
    <w:p w14:paraId="3C407DFC" w14:textId="77777777" w:rsidR="007F7C59" w:rsidRPr="007F7C59" w:rsidRDefault="0013702A" w:rsidP="00CD363C">
      <w:pPr>
        <w:pStyle w:val="tv213"/>
        <w:spacing w:before="0" w:beforeAutospacing="0" w:after="0" w:afterAutospacing="0"/>
        <w:ind w:left="284" w:right="-142" w:hanging="284"/>
        <w:jc w:val="both"/>
      </w:pPr>
      <w:r w:rsidRPr="007F7C59">
        <w:t xml:space="preserve"> </w:t>
      </w:r>
      <w:r w:rsidR="007F7C59" w:rsidRPr="007F7C59">
        <w:t>-</w:t>
      </w:r>
      <w:r w:rsidRPr="007F7C59">
        <w:t xml:space="preserve"> no pieredzes var pamatoti secināt, ka tiks atjaunotas saistošās vienošanās (tai skaitā līgumā noteiktās vai citas tiesības). Ja atjaunošanai ir nepieciešama trešās puses piekrišana, budžeta iestādes vadībai ir pietiekama pārliecība, ka trešā puse šo piekrišanu sniegs; </w:t>
      </w:r>
    </w:p>
    <w:p w14:paraId="112DFFF2" w14:textId="77777777" w:rsidR="007F7C59" w:rsidRPr="007F7C59" w:rsidRDefault="007F7C59" w:rsidP="00CD363C">
      <w:pPr>
        <w:pStyle w:val="tv213"/>
        <w:spacing w:before="0" w:beforeAutospacing="0" w:after="0" w:afterAutospacing="0"/>
        <w:ind w:left="284" w:right="-142" w:hanging="284"/>
        <w:jc w:val="both"/>
      </w:pPr>
      <w:r w:rsidRPr="007F7C59">
        <w:t>-</w:t>
      </w:r>
      <w:r w:rsidR="0013702A" w:rsidRPr="007F7C59">
        <w:t xml:space="preserve"> ir pierādījumi, ka tiks izpildīti nepieciešamie nosacījumi, lai saistošās vienošanās tiktu atjaunota; </w:t>
      </w:r>
    </w:p>
    <w:p w14:paraId="2CC0A0C3" w14:textId="77777777" w:rsidR="0013702A" w:rsidRPr="007F7C59" w:rsidRDefault="007F7C59" w:rsidP="00CD363C">
      <w:pPr>
        <w:pStyle w:val="tv213"/>
        <w:spacing w:before="0" w:beforeAutospacing="0" w:after="0" w:afterAutospacing="0"/>
        <w:ind w:left="284" w:right="-142" w:hanging="284"/>
        <w:jc w:val="both"/>
      </w:pPr>
      <w:r w:rsidRPr="007F7C59">
        <w:t>-</w:t>
      </w:r>
      <w:r w:rsidR="0013702A" w:rsidRPr="007F7C59">
        <w:t xml:space="preserve"> atjaunošanas izmaksas budžeta iestādei nav nozīmīgas, ja salīdzina ar paredzamo nākotnes saimniecisko labumu ieplūdi budžeta iestādē pēc atjaunošanas.</w:t>
      </w:r>
    </w:p>
    <w:p w14:paraId="74E41501" w14:textId="77777777" w:rsidR="0013702A" w:rsidRPr="007F7C59" w:rsidRDefault="0013702A" w:rsidP="00CD363C">
      <w:pPr>
        <w:pStyle w:val="tv213"/>
        <w:spacing w:before="0" w:beforeAutospacing="0" w:after="0" w:afterAutospacing="0"/>
        <w:ind w:right="-142"/>
        <w:jc w:val="both"/>
      </w:pPr>
      <w:r w:rsidRPr="007F7C59">
        <w:t>12</w:t>
      </w:r>
      <w:r w:rsidR="004111ED">
        <w:t>0</w:t>
      </w:r>
      <w:r w:rsidRPr="007F7C59">
        <w:t>. Ja atjaunošanas izmaksas ir būtiskas, salīdzinot tās ar paredzamo nākotnes saimniecisko labumu ieplūdi budžeta iestādē pēc atjaunošanas, tās atzīst kā jaunu, atsevišķu nemateriālo ieguldījumu.</w:t>
      </w:r>
    </w:p>
    <w:p w14:paraId="6D06C218" w14:textId="77777777" w:rsidR="0013702A" w:rsidRPr="007F7C59" w:rsidRDefault="0013702A" w:rsidP="00CD363C">
      <w:pPr>
        <w:pStyle w:val="tv213"/>
        <w:spacing w:before="0" w:beforeAutospacing="0" w:after="0" w:afterAutospacing="0"/>
        <w:ind w:right="-142"/>
        <w:jc w:val="both"/>
      </w:pPr>
      <w:r w:rsidRPr="007F7C59">
        <w:t>12</w:t>
      </w:r>
      <w:r w:rsidR="004111ED">
        <w:t>1</w:t>
      </w:r>
      <w:r w:rsidRPr="007F7C59">
        <w:t>. Katra pārskata perioda beigās novērtē, vai nepastāv pazīmes, kas norāda uz būtisku nemateriālo ieguldījumu vērtības samazinājumu.</w:t>
      </w:r>
    </w:p>
    <w:p w14:paraId="375100F0" w14:textId="77777777" w:rsidR="0013702A" w:rsidRPr="007F7C59" w:rsidRDefault="0013702A" w:rsidP="00CD363C">
      <w:pPr>
        <w:pStyle w:val="tv213"/>
        <w:spacing w:before="0" w:beforeAutospacing="0" w:after="0" w:afterAutospacing="0"/>
        <w:ind w:right="-142"/>
        <w:jc w:val="both"/>
      </w:pPr>
      <w:r w:rsidRPr="007F7C59">
        <w:t xml:space="preserve">123. Budžeta iestāde izvērtē, vai pastāv vismaz šādas pazīmes attiecībā uz nemateriālā ieguldījuma vērtības samazināšanos: </w:t>
      </w:r>
    </w:p>
    <w:p w14:paraId="399DD885" w14:textId="77777777" w:rsidR="0013702A" w:rsidRPr="007F7C59" w:rsidRDefault="007A0625" w:rsidP="00CD363C">
      <w:pPr>
        <w:pStyle w:val="tv213"/>
        <w:spacing w:before="0" w:beforeAutospacing="0" w:after="0" w:afterAutospacing="0"/>
        <w:ind w:right="-142" w:hanging="284"/>
        <w:jc w:val="both"/>
      </w:pPr>
      <w:r>
        <w:t xml:space="preserve">        </w:t>
      </w:r>
      <w:r w:rsidR="0013702A" w:rsidRPr="007F7C59">
        <w:t>12</w:t>
      </w:r>
      <w:r w:rsidR="004111ED">
        <w:t>1</w:t>
      </w:r>
      <w:r w:rsidR="0013702A" w:rsidRPr="007F7C59">
        <w:t xml:space="preserve">.1. vismaz par 90% samazinājies vai nepastāv pieprasījums pēc pakalpojuma, kuru sniedz budžeta iestāde, lietojot attiecīgo nemateriālo ieguldījumu. Piemēram, normatīvo aktu ietekmē, kas samazināja nepieciešamību pēc iestādes sniegtā pakalpojuma, informācijas sistēmas datorprogrammas lietojums samazinājies par vairāk nekā 90%, un nav plānots, ka tuvākajā laikā informācijas sistēma tiks izmantota iepriekšējā apmērā. Vai citā gadījumā pēc jaunas datorprogrammas iegādes veco aizvietoto datorprogrammu vairs nav plānots lietot; </w:t>
      </w:r>
    </w:p>
    <w:p w14:paraId="77883E47" w14:textId="77777777" w:rsidR="0013702A" w:rsidRPr="007F7C59" w:rsidRDefault="007A0625" w:rsidP="00CD363C">
      <w:pPr>
        <w:pStyle w:val="tv213"/>
        <w:spacing w:before="0" w:beforeAutospacing="0" w:after="0" w:afterAutospacing="0"/>
        <w:ind w:right="-142"/>
        <w:jc w:val="both"/>
      </w:pPr>
      <w:r>
        <w:t xml:space="preserve">    </w:t>
      </w:r>
      <w:r w:rsidR="0013702A" w:rsidRPr="007F7C59">
        <w:t>12</w:t>
      </w:r>
      <w:r w:rsidR="004111ED">
        <w:t>2</w:t>
      </w:r>
      <w:r w:rsidR="0013702A" w:rsidRPr="007F7C59">
        <w:t xml:space="preserve">.2. pieņemts valdības vai pašvaldības lēmums, kas rada negatīvas izmaiņas budžeta iestādes darbībā. Piemēram, ir pieņemtas izmaiņas (ierobežojumi) normatīvajos aktos, kas regulē, kādas datorprogrammas iestāde drīkst izmantot, lai neradītu kiberdrošības riskus; </w:t>
      </w:r>
    </w:p>
    <w:p w14:paraId="40CA3370" w14:textId="77777777" w:rsidR="0013702A" w:rsidRPr="007F7C59" w:rsidRDefault="007A0625" w:rsidP="00CD363C">
      <w:pPr>
        <w:pStyle w:val="tv213"/>
        <w:spacing w:before="0" w:beforeAutospacing="0" w:after="0" w:afterAutospacing="0"/>
        <w:ind w:right="-142" w:hanging="284"/>
        <w:jc w:val="both"/>
      </w:pPr>
      <w:r>
        <w:t xml:space="preserve">         </w:t>
      </w:r>
      <w:r w:rsidR="0013702A" w:rsidRPr="007F7C59">
        <w:t>12</w:t>
      </w:r>
      <w:r w:rsidR="004111ED">
        <w:t>2</w:t>
      </w:r>
      <w:r w:rsidR="0013702A" w:rsidRPr="007F7C59">
        <w:t>.3. nemateriālais ieguldījums ir morāli novecojis vai bojāts, piemēram, ir iznākusi jauna datorprogrammas versija, kas vairs nav pilnībā savietojama ar veco versiju, tādējādi ierobežojot iepriekšējās datorprogrammas lietošanas iespējas;</w:t>
      </w:r>
    </w:p>
    <w:p w14:paraId="28241D17" w14:textId="77777777" w:rsidR="0013702A" w:rsidRPr="007F7C59" w:rsidRDefault="007A0625" w:rsidP="00CD363C">
      <w:pPr>
        <w:pStyle w:val="tv213"/>
        <w:spacing w:before="0" w:beforeAutospacing="0" w:after="0" w:afterAutospacing="0"/>
        <w:ind w:right="-142" w:hanging="284"/>
        <w:jc w:val="both"/>
      </w:pPr>
      <w:r>
        <w:t xml:space="preserve">        </w:t>
      </w:r>
      <w:r w:rsidR="0013702A" w:rsidRPr="007F7C59">
        <w:t>12</w:t>
      </w:r>
      <w:r w:rsidR="004111ED">
        <w:t>2</w:t>
      </w:r>
      <w:r w:rsidR="0013702A" w:rsidRPr="007F7C59">
        <w:t xml:space="preserve">.4. budžeta iestādes darbībā notikušas vai tuvākajā laikā gaidāmas ilgtermiņa izmaiņas, kas negatīvi ietekmē nemateriālā ieguldījuma paredzēto lietojumu. Šajās izmaiņās ietverta aktīva dīkstāve, plāni pārtraukt vai pārstrukturēt budžeta iestādes attiecīgu struktūrvienību vai funkciju darbību, vai pārtraukt aktīva lietošanu pirms iepriekš paredzētā lietošanas termiņa beigām; </w:t>
      </w:r>
    </w:p>
    <w:p w14:paraId="0C7CC730" w14:textId="77777777" w:rsidR="0013702A" w:rsidRPr="007F7C59" w:rsidRDefault="007A0625" w:rsidP="00CD363C">
      <w:pPr>
        <w:pStyle w:val="tv213"/>
        <w:spacing w:before="0" w:beforeAutospacing="0" w:after="0" w:afterAutospacing="0"/>
        <w:ind w:right="-142"/>
        <w:jc w:val="both"/>
      </w:pPr>
      <w:r>
        <w:t xml:space="preserve">    </w:t>
      </w:r>
      <w:r w:rsidR="0013702A" w:rsidRPr="007F7C59">
        <w:t>12</w:t>
      </w:r>
      <w:r w:rsidR="004111ED">
        <w:t>2</w:t>
      </w:r>
      <w:r w:rsidR="0013702A" w:rsidRPr="007F7C59">
        <w:t>.5. pieņemts lēmums apturēt nemateriālā ieguldījuma izveidošanu pirms tā pabeigšanas vai nodošanas lietošanā (ekspluatācijā). Piemēram, pārskata periodā pieņemts lēmums uz nenoteiktu laiku apturēt iestādes informācijas sistēmas uzlabošanu, kas uzsākta iepriekšējos pārskata periodos;</w:t>
      </w:r>
    </w:p>
    <w:p w14:paraId="29F22906" w14:textId="77777777" w:rsidR="0013702A" w:rsidRPr="007F7C59" w:rsidRDefault="007A0625" w:rsidP="00CD363C">
      <w:pPr>
        <w:pStyle w:val="tv213"/>
        <w:spacing w:before="0" w:beforeAutospacing="0" w:after="0" w:afterAutospacing="0"/>
        <w:ind w:right="-142"/>
        <w:jc w:val="both"/>
      </w:pPr>
      <w:r>
        <w:t xml:space="preserve">    </w:t>
      </w:r>
      <w:r w:rsidR="0013702A" w:rsidRPr="007F7C59">
        <w:t>12</w:t>
      </w:r>
      <w:r w:rsidR="004111ED">
        <w:t>2</w:t>
      </w:r>
      <w:r w:rsidR="0013702A" w:rsidRPr="007F7C59">
        <w:t>.6. un citas pazīmes, kas varētu liecināt par nemateriālā ieguldījuma vērtības samazināšanos, piemēram, no budžeta iestādes iekšējās informācijas (piemēram, struktūrvienību sniegtajiem pārskatiem) ir pieejami pierādījumi, kas liecina, ka pārskata periodā ir būtiski lielākas aktīva izmantošanas vai uzturēšanas izmaksas nekā sākotnēji paredzēts budžetā.</w:t>
      </w:r>
    </w:p>
    <w:p w14:paraId="4A1C8194" w14:textId="77777777" w:rsidR="0013702A" w:rsidRPr="007F7C59" w:rsidRDefault="0013702A" w:rsidP="00CD363C">
      <w:pPr>
        <w:pStyle w:val="tv213"/>
        <w:spacing w:before="0" w:beforeAutospacing="0" w:after="0" w:afterAutospacing="0"/>
        <w:ind w:right="-142"/>
        <w:jc w:val="both"/>
      </w:pPr>
      <w:r w:rsidRPr="007F7C59">
        <w:t>12</w:t>
      </w:r>
      <w:r w:rsidR="004111ED">
        <w:t>3</w:t>
      </w:r>
      <w:r w:rsidRPr="007F7C59">
        <w:t xml:space="preserve">. Pārskata periodā notikušās izmaiņas aktīva lietošanā arī var liecināt par aktīva vērtības samazināšanos. Piemēram, pārskata periodā budžeta iestādes departaments, kurš agrāk izmantoja datorprogrammu, tiek likvidēts un datorprogramma netiek izmantota jebkādu citu budžeta iestādes funkciju izpildei. Izvērtējot, vai ir notikusi vērtības samazināšanās, budžeta iestādei jāizvērtē nepieciešamība vai pieprasījums pēc nemateriālā ieguldījuma budžeta iestādes funkciju izpildei ilgtermiņā. Tas uzsver faktu, ka izmaiņas tiek aplūkotas, ņemot vērā prognozēto aktīva lietošanu ilgtermiņā. Aktīva ilgtermiņa lietošanas prognozes var mainīties, tāpēc iestāde veic aktīva vērtības samazinājuma pazīmju izvērtējumu </w:t>
      </w:r>
      <w:r w:rsidR="00EC06D1" w:rsidRPr="007F7C59">
        <w:t xml:space="preserve"> </w:t>
      </w:r>
      <w:r w:rsidRPr="007F7C59">
        <w:t>katrā pārskata datumā.</w:t>
      </w:r>
    </w:p>
    <w:p w14:paraId="42A3DFA9" w14:textId="77777777" w:rsidR="0013702A" w:rsidRPr="007F7C59" w:rsidRDefault="0013702A" w:rsidP="00CD363C">
      <w:pPr>
        <w:pStyle w:val="tv213"/>
        <w:spacing w:before="0" w:beforeAutospacing="0" w:after="0" w:afterAutospacing="0"/>
        <w:ind w:right="-142"/>
        <w:jc w:val="both"/>
      </w:pPr>
      <w:r w:rsidRPr="007F7C59">
        <w:t>12</w:t>
      </w:r>
      <w:r w:rsidR="004111ED">
        <w:t>4</w:t>
      </w:r>
      <w:r w:rsidRPr="007F7C59">
        <w:t>. Ja pastāv kāda no iepriekš minētajām pazīmēm, budžeta iestāde veic attiecīgā nemateriālā ieguldījuma atgūstamās vērtības aplēsi. Ja nav konstatējamas pazīmes, kas varētu liecināt par aktīva vērtības samazināšanos, budžeta iestādei nav nepieciešams novērtēt aktīva atgūstamo vērtību un veikt tālākos pasākumus nemateriālā ieguldījuma vērtības samazinājuma izvērtēšanai.</w:t>
      </w:r>
    </w:p>
    <w:p w14:paraId="23C82885" w14:textId="77777777" w:rsidR="0013702A" w:rsidRPr="007F7C59" w:rsidRDefault="0013702A" w:rsidP="00CD363C">
      <w:pPr>
        <w:pStyle w:val="tv213"/>
        <w:spacing w:before="0" w:beforeAutospacing="0" w:after="0" w:afterAutospacing="0"/>
        <w:ind w:right="-142"/>
        <w:jc w:val="both"/>
      </w:pPr>
      <w:r w:rsidRPr="007F7C59">
        <w:t>12</w:t>
      </w:r>
      <w:r w:rsidR="004111ED">
        <w:t>5</w:t>
      </w:r>
      <w:r w:rsidRPr="007F7C59">
        <w:t>. Budžeta iestāde pārskata perioda beigās veic vērtības samazināšanās pārbaudi visiem nemateriālajiem ieguldījumiem ar nenoteiktu lietderīgās lietošanas laiku un nemateriālajiem ieguldījumiem, kas nav nodoti lietošanā neatkarīgi no tā, vai pastāv jebkādas vērtības samazināšanās pazīmes, salīdzinot to uzskaites vērtību un atgūstamo vērtību</w:t>
      </w:r>
      <w:r w:rsidR="0098048C" w:rsidRPr="007F7C59">
        <w:t>.</w:t>
      </w:r>
    </w:p>
    <w:p w14:paraId="50C72CCA" w14:textId="77777777" w:rsidR="00F94052" w:rsidRDefault="0098048C" w:rsidP="00CD363C">
      <w:pPr>
        <w:pStyle w:val="tv213"/>
        <w:spacing w:before="0" w:beforeAutospacing="0" w:after="0" w:afterAutospacing="0"/>
        <w:ind w:right="-142"/>
        <w:jc w:val="both"/>
      </w:pPr>
      <w:r w:rsidRPr="007F7C59">
        <w:t>12</w:t>
      </w:r>
      <w:r w:rsidR="004111ED">
        <w:t>6</w:t>
      </w:r>
      <w:r w:rsidRPr="007F7C59">
        <w:t xml:space="preserve">. Nemateriālā ieguldījuma ar nenoteiktu lietderīgās lietošanas laiku un nemateriālā ieguldījuma, kurš nav nodots lietošanā, vērtības samazinājuma pārbaudei var lietot atgūstamo vērtību, kas noteikta iepriekšējā pārskata perioda beigās veiktās pārbaudes ietvaros, ja ir spēkā abi sekojošie nosacījumi: </w:t>
      </w:r>
    </w:p>
    <w:p w14:paraId="040E1D40" w14:textId="77777777" w:rsidR="00F94052" w:rsidRDefault="00F94052" w:rsidP="00CD363C">
      <w:pPr>
        <w:pStyle w:val="tv213"/>
        <w:spacing w:before="0" w:beforeAutospacing="0" w:after="0" w:afterAutospacing="0"/>
        <w:ind w:right="-142"/>
        <w:jc w:val="both"/>
      </w:pPr>
      <w:r>
        <w:t>-</w:t>
      </w:r>
      <w:r w:rsidR="0098048C" w:rsidRPr="007F7C59">
        <w:t xml:space="preserve"> iepriekšējā atgūstamā vērtība vismaz par 10% pārsniedza nemateriālā ieguldījuma uzskaites vērtību; </w:t>
      </w:r>
    </w:p>
    <w:p w14:paraId="2C84C7E3" w14:textId="77777777" w:rsidR="0098048C" w:rsidRPr="007F7C59" w:rsidRDefault="00F94052" w:rsidP="00CD363C">
      <w:pPr>
        <w:pStyle w:val="tv213"/>
        <w:spacing w:before="0" w:beforeAutospacing="0" w:after="0" w:afterAutospacing="0"/>
        <w:ind w:right="-142"/>
        <w:jc w:val="both"/>
      </w:pPr>
      <w:r>
        <w:t>-</w:t>
      </w:r>
      <w:r w:rsidR="0098048C" w:rsidRPr="007F7C59">
        <w:t xml:space="preserve"> pārskata perioda laikā nav notikušas tādas izmaiņas apstākļos, lai pārskata perioda beigās noteiktā atgūstamā vērtība būtu mazāka par aktīva uzskaites vērtību.</w:t>
      </w:r>
    </w:p>
    <w:p w14:paraId="7CF52CAC" w14:textId="77777777" w:rsidR="0098048C" w:rsidRPr="007F7C59" w:rsidRDefault="0098048C" w:rsidP="00CD363C">
      <w:pPr>
        <w:pStyle w:val="tv213"/>
        <w:spacing w:before="0" w:beforeAutospacing="0" w:after="0" w:afterAutospacing="0"/>
        <w:ind w:right="-142"/>
        <w:jc w:val="both"/>
      </w:pPr>
      <w:r w:rsidRPr="007F7C59">
        <w:t>12</w:t>
      </w:r>
      <w:r w:rsidR="004111ED">
        <w:t>7</w:t>
      </w:r>
      <w:r w:rsidRPr="007F7C59">
        <w:t>. Ja pastāv vismaz viena no 123.punktā minētajām vērtības samazinājuma pazīmēm, vispirms izvērtē, vai iespējams noteikt nemateriālā ieguldījuma patieso vērtību, atskaitot atsavināšanas izmaksas.</w:t>
      </w:r>
    </w:p>
    <w:p w14:paraId="64BFC130" w14:textId="77777777" w:rsidR="0098048C" w:rsidRPr="007F7C59" w:rsidRDefault="00EC06D1" w:rsidP="00CD363C">
      <w:pPr>
        <w:pStyle w:val="tv213"/>
        <w:spacing w:before="0" w:beforeAutospacing="0" w:after="0" w:afterAutospacing="0"/>
        <w:ind w:right="-142"/>
        <w:jc w:val="both"/>
      </w:pPr>
      <w:r w:rsidRPr="007F7C59">
        <w:t>1</w:t>
      </w:r>
      <w:r w:rsidR="0098048C" w:rsidRPr="007F7C59">
        <w:t>2</w:t>
      </w:r>
      <w:r w:rsidR="004111ED">
        <w:t>8</w:t>
      </w:r>
      <w:r w:rsidR="0098048C" w:rsidRPr="007F7C59">
        <w:t xml:space="preserve">. Nemateriālā ieguldījuma patieso vērtību iespējams noteikt šādos gadījumos:                     </w:t>
      </w:r>
      <w:r w:rsidRPr="007F7C59">
        <w:t xml:space="preserve">           </w:t>
      </w:r>
      <w:r w:rsidR="007A0625">
        <w:t xml:space="preserve">                          </w:t>
      </w:r>
      <w:r w:rsidR="004111ED">
        <w:t xml:space="preserve">   </w:t>
      </w:r>
      <w:r w:rsidR="0098048C" w:rsidRPr="007F7C59">
        <w:t>12</w:t>
      </w:r>
      <w:r w:rsidR="004111ED">
        <w:t>8</w:t>
      </w:r>
      <w:r w:rsidR="0098048C" w:rsidRPr="007F7C59">
        <w:t xml:space="preserve">.1. ar nesaistītu personu ir noslēgts saistošs līgums par attiecīgā nemateriālā ieguldījuma pārdošanu, kurā ir norādīta pārdošanas cena un ir zināmas visas saistītās atsavināšanas (pārdošanas) izmaksas; </w:t>
      </w:r>
    </w:p>
    <w:p w14:paraId="2B632E46" w14:textId="77777777" w:rsidR="0098048C" w:rsidRPr="007F7C59" w:rsidRDefault="0098048C" w:rsidP="00CD363C">
      <w:pPr>
        <w:pStyle w:val="tv213"/>
        <w:spacing w:before="0" w:beforeAutospacing="0" w:after="0" w:afterAutospacing="0"/>
        <w:ind w:right="-142" w:hanging="284"/>
        <w:jc w:val="both"/>
      </w:pPr>
      <w:r w:rsidRPr="007F7C59">
        <w:t xml:space="preserve">    </w:t>
      </w:r>
      <w:r w:rsidR="007A0625">
        <w:t xml:space="preserve">    </w:t>
      </w:r>
      <w:r w:rsidRPr="007F7C59">
        <w:t>12</w:t>
      </w:r>
      <w:r w:rsidR="004111ED">
        <w:t>8</w:t>
      </w:r>
      <w:r w:rsidRPr="007F7C59">
        <w:t xml:space="preserve">.2. ja nav pieejami saistoši pārdošanas līgumi, bet nemateriālais ieguldījums ir tirgots aktīvā tirgū, tad patiesā vērtība ir nemateriālā ieguldījuma tirgus vērtība (pašreizējā piedāvājuma cena). Ja pašreizējās piedāvājuma cenas nav pieejamas, nemateriālā ieguldījuma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w:t>
      </w:r>
      <w:r w:rsidR="007A0625">
        <w:t xml:space="preserve"> </w:t>
      </w:r>
      <w:r w:rsidRPr="007F7C59">
        <w:t xml:space="preserve">atšķirības novērstu; </w:t>
      </w:r>
    </w:p>
    <w:p w14:paraId="16F2F31F" w14:textId="77777777" w:rsidR="0098048C" w:rsidRPr="007F7C59" w:rsidRDefault="0098048C" w:rsidP="00CD363C">
      <w:pPr>
        <w:pStyle w:val="tv213"/>
        <w:spacing w:before="0" w:beforeAutospacing="0" w:after="0" w:afterAutospacing="0"/>
        <w:ind w:right="-142"/>
        <w:jc w:val="both"/>
      </w:pPr>
      <w:r w:rsidRPr="007F7C59">
        <w:t xml:space="preserve">    12</w:t>
      </w:r>
      <w:r w:rsidR="004111ED">
        <w:t>8</w:t>
      </w:r>
      <w:r w:rsidRPr="007F7C59">
        <w:t xml:space="preserve">.3. ja nav pieejami saistoši pārdošanas līgumi un nepastāv aktīvs tirgus, patieso vērtību nosaka atbilstoši pieejamajai informācijai par vērtību, kādu budžeta iestāde varētu iegūt no nemateriālā ieguldījuma pārdošanas nesaistītai personai aprēķinu datumā. Šīs vērtības noteikšanai var izvērtēt nesenu līdzīgu darījumu tajā pašā nozarē vai saimnieciskās darbības jomā. Šajā gadījumā koriģē līdzīga darījuma </w:t>
      </w:r>
      <w:r w:rsidR="007A0625">
        <w:t xml:space="preserve"> </w:t>
      </w:r>
      <w:r w:rsidRPr="007F7C59">
        <w:t>tirgus cenu, lai novērstu ekonomisko apstākļu atšķirības.</w:t>
      </w:r>
    </w:p>
    <w:p w14:paraId="0165AEE1" w14:textId="77777777" w:rsidR="0098048C" w:rsidRPr="007F7C59" w:rsidRDefault="0098048C" w:rsidP="00CD363C">
      <w:pPr>
        <w:pStyle w:val="tv213"/>
        <w:spacing w:before="0" w:beforeAutospacing="0" w:after="0" w:afterAutospacing="0"/>
        <w:ind w:right="-142"/>
        <w:jc w:val="both"/>
      </w:pPr>
      <w:r w:rsidRPr="007F7C59">
        <w:t>1</w:t>
      </w:r>
      <w:r w:rsidR="004111ED">
        <w:t>29.</w:t>
      </w:r>
      <w:r w:rsidRPr="007F7C59">
        <w:t xml:space="preserve"> Ja nemateriālā ieguldījuma patiesā vērtība, atskaitot atsavināšanas izmaksas, pārsniedz tā uzskaites (atlikušo) vērtību, aktīva lietošanas vērtību neaprēķina un vērtības samazinājumu neveic.</w:t>
      </w:r>
    </w:p>
    <w:p w14:paraId="34F28D36" w14:textId="77777777" w:rsidR="0098048C" w:rsidRPr="007F7C59" w:rsidRDefault="0098048C" w:rsidP="00CD363C">
      <w:pPr>
        <w:pStyle w:val="tv213"/>
        <w:spacing w:before="0" w:beforeAutospacing="0" w:after="0" w:afterAutospacing="0"/>
        <w:ind w:right="-142"/>
        <w:jc w:val="both"/>
      </w:pPr>
      <w:r w:rsidRPr="007F7C59">
        <w:t>13</w:t>
      </w:r>
      <w:r w:rsidR="004111ED">
        <w:t>0</w:t>
      </w:r>
      <w:r w:rsidRPr="007F7C59">
        <w:t>. Ja nemateriālā ieguldījuma patiesā vērtība, atskaitot atsavināšanas izmaksas, ir mazāka par tā uzskaites (atlikušo) vērtību vai, ja patieso vērtību nav iespējams noteikt (piemēram, nemateriālā ieguldījuma unikalitātes dēļ), nosaka nemateriālā ieguldījuma lietošanas vērtību.</w:t>
      </w:r>
    </w:p>
    <w:p w14:paraId="58200F2F" w14:textId="77777777" w:rsidR="0098048C" w:rsidRPr="007F7C59" w:rsidRDefault="0098048C" w:rsidP="00CD363C">
      <w:pPr>
        <w:pStyle w:val="tv213"/>
        <w:spacing w:before="0" w:beforeAutospacing="0" w:after="0" w:afterAutospacing="0"/>
        <w:ind w:left="284" w:right="-142" w:hanging="284"/>
        <w:jc w:val="both"/>
      </w:pPr>
      <w:r w:rsidRPr="007F7C59">
        <w:t>13</w:t>
      </w:r>
      <w:r w:rsidR="004111ED">
        <w:t>1</w:t>
      </w:r>
      <w:r w:rsidRPr="007F7C59">
        <w:t xml:space="preserve">. Lietošanas vērtības noteikšanai izmanto šādas metodes: </w:t>
      </w:r>
    </w:p>
    <w:p w14:paraId="60F356C0" w14:textId="77777777" w:rsidR="0098048C" w:rsidRPr="007F7C59" w:rsidRDefault="0098048C" w:rsidP="00CD363C">
      <w:pPr>
        <w:pStyle w:val="tv213"/>
        <w:spacing w:before="0" w:beforeAutospacing="0" w:after="0" w:afterAutospacing="0"/>
        <w:ind w:left="284" w:right="-142" w:hanging="284"/>
        <w:jc w:val="both"/>
      </w:pPr>
      <w:r w:rsidRPr="007F7C59">
        <w:t xml:space="preserve">      - amortizēto aizstāšanas izmaksu metodi - pielietojot šo metodi, nemateriālā ieguldījuma lietošanas vērtību nosaka, amortizējot nemateriālā ieguldījuma aizstāšanas izmaksas atbilstoši esošā nemateriālā ieguldījuma amortizācijai. Nemateriālā ieguldījuma aizstāšanas izmaksas nosaka, salīdzinot nemateriālā ieguldījuma reprodukcijas (tāda paša nemateriālā ieguldījuma izveidošana vai iegāde) un aizstāšanas (līdzvērtīga nemateriālā ieguldījuma izveidošana vai iegāde) izmaksas un izvēloties mazākās. Praksē šo metodi izmanto gadījumos, ja nemateriālajam ieguldījumam nav konstatējami būtiski fiziski bojājumi. Piemēram, budžeta iestāde piemeklē attiecīgajam nemateriālajam ieguldījumam līdzvērtīgu jaunu nemateriālo ieguldījumu, ko matemātiski amortizē līdz budžeta iestādes nemateriālā ieguldījuma atlikušajam lietderīgās lietošanas laikam (salīdzināmajam nemateriālajam ieguldījumam jābūt līdzvērtīgam budžeta iestādes nemateriālajam ieguldījumam tā šī brīža lietojumā, lai nodrošinātu esošo pakalpojumu apmēru un līmeni, nevis sākotnēji plānoto);</w:t>
      </w:r>
    </w:p>
    <w:p w14:paraId="7253EFA5" w14:textId="77777777" w:rsidR="0098048C" w:rsidRPr="007F7C59" w:rsidRDefault="0098048C" w:rsidP="00CD363C">
      <w:pPr>
        <w:pStyle w:val="tv213"/>
        <w:spacing w:before="0" w:beforeAutospacing="0" w:after="0" w:afterAutospacing="0"/>
        <w:ind w:left="284" w:right="-142" w:hanging="284"/>
        <w:jc w:val="both"/>
      </w:pPr>
      <w:r w:rsidRPr="007F7C59">
        <w:t xml:space="preserve">      - atjaunošanas izmaksu metodi - izmanto, ja nav iespējams pilnībā pielietot amortizēto aizstāšanas izmaksu metodi. Šajā gadījumā nemateriālā ieguldījuma lietošanas vērtību nosaka, no amortizētajām aktīva aizstāšanas izmaksām pirms vērtības samazināšanās atskaitot aprēķinātās aktīva atjaunošanas izmaksas, kas nepieciešamas, lai atjaunotu aktīva darbību tādā līmenī, kāds tas bija pirms vērtības samazināšanās. Praksē šo metodi izmanto, piemēram, gadījumos, kad nemateriālais ieguldījums ir bojāts, kā arī gadījumos, kad nemateriālā ieguldījuma izveidošana apturēta pirms tā pabeigšanas. Piemēram, tiek piemeklēts budžeta iestādes nemateriālajam ieguldījumam līdzvērtīgs jauns nemateriālais ieguldījums, kas tiek matemātiski amortizēts līdz budžeta iestādes nemateriālā ieguldījuma atlikušajam lietderīgās lietošanas laikam (salīdzināmajam nemateriālajam ieguldījumam jābūt līdzvērtīgam budžeta iestādes nemateriālajam ieguldījumam tā paredzētajā lietojumā, lai nodrošinātu plānoto pakalpojumu apmēru un līmeni). Pēc tam, kad ir aprēķināta nemateriālo ieguldījumu vērtība, pielietojot amortizēto aizstāšanas izmaksu metodi, no tās tiek atņemtas rekonstrukcijas izmaksas, kuras būtu nepieciešamas, lai budžeta iestādes nemateriālo ieguldījumu atjaunotu (pabeigtu) tā plānotajā stāvoklī</w:t>
      </w:r>
      <w:r w:rsidR="00607B28" w:rsidRPr="007F7C59">
        <w:t>;</w:t>
      </w:r>
    </w:p>
    <w:p w14:paraId="191D7C5D" w14:textId="77777777" w:rsidR="00607B28" w:rsidRPr="007F7C59" w:rsidRDefault="00607B28" w:rsidP="00CD363C">
      <w:pPr>
        <w:pStyle w:val="tv213"/>
        <w:spacing w:before="0" w:beforeAutospacing="0" w:after="0" w:afterAutospacing="0"/>
        <w:ind w:right="-142"/>
        <w:jc w:val="both"/>
      </w:pPr>
      <w:r w:rsidRPr="007F7C59">
        <w:t xml:space="preserve">    - pakalpojuma vienību metodi - lietošanas vērtību nosaka, samazinot amortizētās aktīva aizstāšanas izmaksas pirms vērtības samazināšanās atbilstoši samazinātajam pakalpojuma vienību skaitam. Praksē šo metodi izmanto, ja nav iespējams pielietot pilnībā amortizēto aizstāšanas izmaksu metodi un ir būtiski (vismaz par 90%) samazinājies sākotnēji plānoto pakalpojumu apmērs, ko var nodrošināt, izmantojot konkrēto nemateriālo ieguldījumu. Piemēram, arī šajā gadījumā sākotnēji tiek atrasts budžeta iestādes nemateriālajam ieguldījumam līdzvērtīgs nemateriālais ieguldījums, kas tiek matemātiski amortizēts līdz budžeta iestādes nemateriālā ieguldījuma atlikušajam lietderīgās lietošanas laikam (salīdzināmajam nemateriālajam ieguldījumam jābūt līdzvērtīgam budžeta iestādes nemateriālajam ieguldījumam tā sākotnēji plānotajā pielietojumā, nevis esošajā). Tāpat tiek noteikts apmērs, par kādu ir samazinājies sniegto pakalpojumu daudzums salīdzinājumā ar sākotnēji plānoto. Visbeidzot, saskaņā ar amortizēto aizstāšanas izmaksu metodi aprēķinātā nemateriālā ieguldījuma vērtība tiek samazināta proporcionāli sniegto pakalpojumu samazinājumam.</w:t>
      </w:r>
    </w:p>
    <w:p w14:paraId="1B38B329" w14:textId="77777777" w:rsidR="00607B28" w:rsidRPr="007F7C59" w:rsidRDefault="00607B28" w:rsidP="00CD363C">
      <w:pPr>
        <w:pStyle w:val="tv213"/>
        <w:spacing w:before="0" w:beforeAutospacing="0" w:after="0" w:afterAutospacing="0"/>
        <w:ind w:right="-142"/>
        <w:jc w:val="both"/>
      </w:pPr>
      <w:r w:rsidRPr="007F7C59">
        <w:t>13</w:t>
      </w:r>
      <w:r w:rsidR="004111ED">
        <w:t>2</w:t>
      </w:r>
      <w:r w:rsidRPr="007F7C59">
        <w:t>. Aprēķināto attiecīgo nemateriālā ieguldījuma lietošanas vērtību salīdzina ar tā patieso vērtību, atskaitot atsavināšanas izmaksas. Par nemateriālā ieguldījuma atgūstamo vērtību nosaka to vērtību, kas ir lielākā no abām iepriekš minētajām vērtībām (patiesās vērtības un lietošanas vērtības). Ja patieso vērtību nav bijis iespējams noteikt, par tā atgūstamo vērtību, nosaka lietošanas vērtību.</w:t>
      </w:r>
    </w:p>
    <w:p w14:paraId="693DE849" w14:textId="77777777" w:rsidR="00607B28" w:rsidRPr="007F7C59" w:rsidRDefault="00607B28" w:rsidP="00CD363C">
      <w:pPr>
        <w:pStyle w:val="tv213"/>
        <w:spacing w:before="0" w:beforeAutospacing="0" w:after="0" w:afterAutospacing="0"/>
        <w:ind w:right="-142"/>
        <w:jc w:val="both"/>
      </w:pPr>
      <w:r w:rsidRPr="007F7C59">
        <w:t>13</w:t>
      </w:r>
      <w:r w:rsidR="004111ED">
        <w:t>3</w:t>
      </w:r>
      <w:r w:rsidRPr="007F7C59">
        <w:t>. Budžeta iestāde salīdzina nemateriālā ieguldījuma atgūstamo vērtību ar nemateriālā ieguldījuma uzskaites vērtību, lai noteiktu, vai pastāv nemateriālā ieguldījuma vērtības samazinājums.</w:t>
      </w:r>
    </w:p>
    <w:p w14:paraId="070521CC" w14:textId="77777777" w:rsidR="00607B28" w:rsidRDefault="00607B28" w:rsidP="00CD363C">
      <w:pPr>
        <w:pStyle w:val="tv213"/>
        <w:spacing w:before="0" w:beforeAutospacing="0" w:after="0" w:afterAutospacing="0"/>
        <w:ind w:right="-142"/>
        <w:jc w:val="both"/>
      </w:pPr>
      <w:r w:rsidRPr="007F7C59">
        <w:t>13</w:t>
      </w:r>
      <w:r w:rsidR="004111ED">
        <w:t>4</w:t>
      </w:r>
      <w:r w:rsidRPr="007F7C59">
        <w:t>. Ja nemateriālā ieguldījuma atgūstamā vērtība ir mazāka par tā uzskaites vērtību, tad budžeta iestāde atzīst nemateriālā ieguldījuma vērtības samazinājumu līdz tā atgūstamajai vērtībai un pārējos izdevumus, veicot sekojošu grāmatojumus:</w:t>
      </w:r>
    </w:p>
    <w:p w14:paraId="6AEE4A73" w14:textId="77777777" w:rsidR="0077064C" w:rsidRDefault="0077064C" w:rsidP="00CD363C">
      <w:pPr>
        <w:pStyle w:val="tv213"/>
        <w:spacing w:before="0" w:beforeAutospacing="0" w:after="0" w:afterAutospacing="0"/>
        <w:ind w:left="284" w:right="-142" w:hanging="284"/>
        <w:jc w:val="both"/>
      </w:pPr>
    </w:p>
    <w:p w14:paraId="52AB1896" w14:textId="77777777" w:rsidR="00607B28" w:rsidRPr="007F7C59" w:rsidRDefault="00607B28" w:rsidP="00CD363C">
      <w:pPr>
        <w:pStyle w:val="tv213"/>
        <w:spacing w:before="0" w:beforeAutospacing="0" w:after="0" w:afterAutospacing="0"/>
        <w:ind w:left="284" w:right="-142" w:hanging="284"/>
        <w:jc w:val="both"/>
        <w:rPr>
          <w:b/>
        </w:rPr>
      </w:pPr>
      <w:r w:rsidRPr="007F7C59">
        <w:rPr>
          <w:b/>
        </w:rPr>
        <w:t xml:space="preserve">     D   8652 Izdevumi no vērtības samazinājuma nefinanšu aktīviem</w:t>
      </w:r>
    </w:p>
    <w:p w14:paraId="08DB013F" w14:textId="77777777" w:rsidR="00607B28" w:rsidRPr="007F7C59" w:rsidRDefault="00607B28" w:rsidP="00CD363C">
      <w:pPr>
        <w:pStyle w:val="tv213"/>
        <w:spacing w:before="0" w:beforeAutospacing="0" w:after="0" w:afterAutospacing="0"/>
        <w:ind w:left="284" w:right="-142" w:hanging="284"/>
        <w:jc w:val="both"/>
        <w:rPr>
          <w:b/>
        </w:rPr>
      </w:pPr>
      <w:r w:rsidRPr="007F7C59">
        <w:rPr>
          <w:b/>
        </w:rPr>
        <w:t xml:space="preserve">     K   1199 Nemateriālo ieguldījumu vērtības samazinājums</w:t>
      </w:r>
    </w:p>
    <w:p w14:paraId="54CB7DB1" w14:textId="77777777" w:rsidR="00607B28" w:rsidRPr="007F7C59" w:rsidRDefault="00607B28" w:rsidP="00CD363C">
      <w:pPr>
        <w:pStyle w:val="tv213"/>
        <w:tabs>
          <w:tab w:val="left" w:pos="0"/>
        </w:tabs>
        <w:spacing w:before="0" w:beforeAutospacing="0" w:after="0" w:afterAutospacing="0"/>
        <w:ind w:right="-142"/>
        <w:jc w:val="both"/>
      </w:pPr>
      <w:r w:rsidRPr="007F7C59">
        <w:t>13</w:t>
      </w:r>
      <w:r w:rsidR="004111ED">
        <w:t>5</w:t>
      </w:r>
      <w:r w:rsidRPr="007F7C59">
        <w:t>. Ja vērtības samazinājums ir lielāks par nemateriālā ieguldījuma uzskaites vērtību, budžeta iestāde uzskaites vērtību samazina līdz nullei.</w:t>
      </w:r>
    </w:p>
    <w:p w14:paraId="1DA1C4CC" w14:textId="77777777" w:rsidR="00607B28" w:rsidRPr="007F7C59" w:rsidRDefault="00607B28" w:rsidP="00CD363C">
      <w:pPr>
        <w:pStyle w:val="tv213"/>
        <w:spacing w:before="0" w:beforeAutospacing="0" w:after="0" w:afterAutospacing="0"/>
        <w:ind w:right="-142"/>
        <w:jc w:val="both"/>
      </w:pPr>
      <w:r w:rsidRPr="007F7C59">
        <w:t>13</w:t>
      </w:r>
      <w:r w:rsidR="004111ED">
        <w:t>6</w:t>
      </w:r>
      <w:r w:rsidRPr="007F7C59">
        <w:t>. Pēc nemateriālā ieguldījuma vērtības samazinājuma atzīšanas tam turpina aprēķināt amortizāciju, tā uzskaites (atlikušo) vērtību sistemātiski attiecinot uz atlikušo lietderīgās lietošanas laiku.</w:t>
      </w:r>
    </w:p>
    <w:p w14:paraId="62078340" w14:textId="77777777" w:rsidR="00607B28" w:rsidRPr="007F7C59" w:rsidRDefault="00607B28" w:rsidP="00CD363C">
      <w:pPr>
        <w:pStyle w:val="tv213"/>
        <w:spacing w:before="0" w:beforeAutospacing="0" w:after="0" w:afterAutospacing="0"/>
        <w:ind w:right="-142"/>
        <w:jc w:val="both"/>
      </w:pPr>
      <w:r w:rsidRPr="007F7C59">
        <w:t>13</w:t>
      </w:r>
      <w:r w:rsidR="004111ED">
        <w:t>7</w:t>
      </w:r>
      <w:r w:rsidRPr="007F7C59">
        <w:t>. Katra pārskata perioda beigās novērtē, vai nepastāv pazīmes, kas norāda, ka iepriekšējos pārskata periodos atzītais nemateriālā ieguldījuma vērtības samazinājums vairs nepastāv vai ir mazinājies.</w:t>
      </w:r>
    </w:p>
    <w:p w14:paraId="5543107B" w14:textId="77777777" w:rsidR="00607B28" w:rsidRPr="007F7C59" w:rsidRDefault="00607B28" w:rsidP="00CD363C">
      <w:pPr>
        <w:pStyle w:val="tv213"/>
        <w:spacing w:before="0" w:beforeAutospacing="0" w:after="0" w:afterAutospacing="0"/>
        <w:ind w:left="284" w:right="-142" w:hanging="284"/>
        <w:jc w:val="both"/>
      </w:pPr>
      <w:r w:rsidRPr="007F7C59">
        <w:t>13</w:t>
      </w:r>
      <w:r w:rsidR="004111ED">
        <w:t>8</w:t>
      </w:r>
      <w:r w:rsidRPr="007F7C59">
        <w:t>. Novērtējot, vai vērtības samazinājums vairs nepastāv vai ir samazinājies, budžeta iestāde attiecībā uz nemateriālo ieguldījumu izvērtē vismaz šādas pazīmes:</w:t>
      </w:r>
    </w:p>
    <w:p w14:paraId="08DC1D8C" w14:textId="77777777" w:rsidR="00607B28" w:rsidRPr="007F7C59" w:rsidRDefault="00607B28" w:rsidP="00CD363C">
      <w:pPr>
        <w:pStyle w:val="tv213"/>
        <w:spacing w:before="0" w:beforeAutospacing="0" w:after="0" w:afterAutospacing="0"/>
        <w:ind w:left="284" w:right="-142" w:hanging="284"/>
        <w:jc w:val="both"/>
      </w:pPr>
      <w:r w:rsidRPr="007F7C59">
        <w:t xml:space="preserve">    -vismaz par 90% palielinājies vai atjaunojies pieprasījums pēc pakalpojuma, kuru sniedz budžeta iestāde, lietojot attiecīgo pamatlīdzekli. Piemēram, normatīvo aktu ietekmē, kas samazināja nepieciešamību pēc iestādes sniegtā pakalpojuma, informācijas sistēmas datorprogrammas lietojums samazinājies par vairāk nekā 90%. Taču tagad iestādei ir nodotas jaunas funkcijas, kas datorprogrammas lietojumu atjauno iepriekšējā līmenī (sākotnēji plānotajā līmenī);</w:t>
      </w:r>
    </w:p>
    <w:p w14:paraId="7F6635AF" w14:textId="77777777" w:rsidR="00607B28" w:rsidRPr="007F7C59" w:rsidRDefault="00607B28" w:rsidP="00CD363C">
      <w:pPr>
        <w:pStyle w:val="tv213"/>
        <w:spacing w:before="0" w:beforeAutospacing="0" w:after="0" w:afterAutospacing="0"/>
        <w:ind w:left="284" w:right="-142" w:hanging="284"/>
        <w:jc w:val="both"/>
      </w:pPr>
      <w:r w:rsidRPr="007F7C59">
        <w:t xml:space="preserve">    -pieņemts valdības vai pašvaldības lēmums, kas rada pozitīvas izmaiņas budžeta iestādes darbībā; </w:t>
      </w:r>
    </w:p>
    <w:p w14:paraId="0F2672C3" w14:textId="77777777" w:rsidR="00607B28" w:rsidRPr="007F7C59" w:rsidRDefault="00607B28" w:rsidP="00CD363C">
      <w:pPr>
        <w:pStyle w:val="tv213"/>
        <w:spacing w:before="0" w:beforeAutospacing="0" w:after="0" w:afterAutospacing="0"/>
        <w:ind w:left="284" w:right="-142" w:hanging="284"/>
        <w:jc w:val="both"/>
      </w:pPr>
      <w:r w:rsidRPr="007F7C59">
        <w:t xml:space="preserve">    -pārskata perioda laikā veikti nemateriālā ieguldījuma uzlabojumi vai atjaunošana, lai uzlabotu tā darbību; </w:t>
      </w:r>
    </w:p>
    <w:p w14:paraId="510D63CD" w14:textId="77777777" w:rsidR="00607B28" w:rsidRPr="007F7C59" w:rsidRDefault="00607B28" w:rsidP="00CD363C">
      <w:pPr>
        <w:pStyle w:val="tv213"/>
        <w:spacing w:before="0" w:beforeAutospacing="0" w:after="0" w:afterAutospacing="0"/>
        <w:ind w:left="284" w:right="-142" w:hanging="284"/>
        <w:jc w:val="both"/>
      </w:pPr>
      <w:r w:rsidRPr="007F7C59">
        <w:t xml:space="preserve">    -budžeta iestādes darbībā notikušas vai tuvākajā laikā gaidāmas ilgtermiņa izmaiņas, kas pozitīvi ietekmē nemateriālā ieguldījuma paredzēto lietojumu; </w:t>
      </w:r>
    </w:p>
    <w:p w14:paraId="09BA9BD3" w14:textId="77777777" w:rsidR="00607B28" w:rsidRPr="007F7C59" w:rsidRDefault="00607B28" w:rsidP="00CD363C">
      <w:pPr>
        <w:pStyle w:val="tv213"/>
        <w:spacing w:before="0" w:beforeAutospacing="0" w:after="0" w:afterAutospacing="0"/>
        <w:ind w:right="-142"/>
        <w:jc w:val="both"/>
      </w:pPr>
      <w:r w:rsidRPr="007F7C59">
        <w:t xml:space="preserve">    -pieņemts lēmums atsākt nemateriālā ieguldījuma izveidi, kas iepriekš apturēta vai pārtraukta pirms tā pabeigšanas vai nodošanas lietošanā (ekspluatācijā).</w:t>
      </w:r>
    </w:p>
    <w:p w14:paraId="56F893CA" w14:textId="77777777" w:rsidR="00607B28" w:rsidRPr="007F7C59" w:rsidRDefault="00607B28" w:rsidP="00CD363C">
      <w:pPr>
        <w:pStyle w:val="tv213"/>
        <w:spacing w:before="0" w:beforeAutospacing="0" w:after="0" w:afterAutospacing="0"/>
        <w:ind w:right="-142"/>
        <w:jc w:val="both"/>
      </w:pPr>
      <w:r w:rsidRPr="007F7C59">
        <w:t>1</w:t>
      </w:r>
      <w:r w:rsidR="004111ED">
        <w:t>39</w:t>
      </w:r>
      <w:r w:rsidRPr="007F7C59">
        <w:t>. Ja pastāv kāda no iepriekš minētajām pazīmēm, budžeta iestāde veic attiecīgā nemateriālā ieguldījuma atgūstamās vērtības aplēsi saskaņā ar šajā apakšnodaļā minēto.</w:t>
      </w:r>
    </w:p>
    <w:p w14:paraId="194A97AF" w14:textId="77777777" w:rsidR="00607B28" w:rsidRDefault="00607B28" w:rsidP="00CD363C">
      <w:pPr>
        <w:pStyle w:val="tv213"/>
        <w:spacing w:before="0" w:beforeAutospacing="0" w:after="0" w:afterAutospacing="0"/>
        <w:ind w:right="-142"/>
        <w:jc w:val="both"/>
      </w:pPr>
      <w:r w:rsidRPr="007F7C59">
        <w:t>14</w:t>
      </w:r>
      <w:r w:rsidR="004111ED">
        <w:t>0</w:t>
      </w:r>
      <w:r w:rsidRPr="007F7C59">
        <w:t xml:space="preserve">. Budžeta iestāde palielina nemateriālā ieguldījuma uzskaites (atlikušo) vērtību, norakstot iepriekšējos pārskata periodos izveidoto vērtības samazinājumu tikai tādā gadījumā, ja nemateriālā ieguldījuma atgūstamā vērtība ir lielāka par tā uzskaites vērtību. Šādā gadījumā aktīva uzskaites (atlikusī) vērtība, jāpalielina līdz tā atgūstamajai vērtībai un jāatzīst pārskata perioda pārējie ieņēmumi, veicot sekojošu grāmatojumu: </w:t>
      </w:r>
      <w:r w:rsidR="0032177E">
        <w:t xml:space="preserve"> </w:t>
      </w:r>
    </w:p>
    <w:p w14:paraId="5DA9CC3F" w14:textId="77777777" w:rsidR="0032177E" w:rsidRPr="007F7C59" w:rsidRDefault="0032177E" w:rsidP="00CD363C">
      <w:pPr>
        <w:pStyle w:val="tv213"/>
        <w:spacing w:before="0" w:beforeAutospacing="0" w:after="0" w:afterAutospacing="0"/>
        <w:ind w:right="-142"/>
        <w:jc w:val="both"/>
      </w:pPr>
    </w:p>
    <w:p w14:paraId="560D6527" w14:textId="77777777" w:rsidR="00607B28" w:rsidRPr="007F7C59" w:rsidRDefault="00607B28" w:rsidP="00CD363C">
      <w:pPr>
        <w:pStyle w:val="tv213"/>
        <w:spacing w:before="0" w:beforeAutospacing="0" w:after="0" w:afterAutospacing="0"/>
        <w:ind w:left="284" w:right="-142" w:hanging="284"/>
        <w:jc w:val="both"/>
        <w:rPr>
          <w:b/>
        </w:rPr>
      </w:pPr>
      <w:r w:rsidRPr="007F7C59">
        <w:rPr>
          <w:b/>
        </w:rPr>
        <w:t xml:space="preserve">    D   1199 Nemateriālo ieguldījumu vērtības samazinājums </w:t>
      </w:r>
    </w:p>
    <w:p w14:paraId="5AEE61F5" w14:textId="77777777" w:rsidR="00A76ED4" w:rsidRPr="007F7C59" w:rsidRDefault="00607B28" w:rsidP="00CD363C">
      <w:pPr>
        <w:pStyle w:val="tv213"/>
        <w:spacing w:before="0" w:beforeAutospacing="0" w:after="0" w:afterAutospacing="0"/>
        <w:ind w:left="284" w:right="-142" w:hanging="284"/>
        <w:jc w:val="both"/>
        <w:rPr>
          <w:b/>
        </w:rPr>
      </w:pPr>
      <w:r w:rsidRPr="007F7C59">
        <w:rPr>
          <w:b/>
        </w:rPr>
        <w:t xml:space="preserve">    K   8552 Ieņēmumi no vērtības samazinājuma norakstīšanas nefinanšu </w:t>
      </w:r>
    </w:p>
    <w:p w14:paraId="0630D736" w14:textId="77777777" w:rsidR="00607B28" w:rsidRDefault="00A76ED4" w:rsidP="00CD363C">
      <w:pPr>
        <w:pStyle w:val="tv213"/>
        <w:spacing w:before="0" w:beforeAutospacing="0" w:after="0" w:afterAutospacing="0"/>
        <w:ind w:left="284" w:right="-142" w:hanging="284"/>
        <w:jc w:val="both"/>
        <w:rPr>
          <w:b/>
        </w:rPr>
      </w:pPr>
      <w:r w:rsidRPr="0032177E">
        <w:rPr>
          <w:b/>
        </w:rPr>
        <w:t xml:space="preserve">                  </w:t>
      </w:r>
      <w:r w:rsidR="0032177E">
        <w:rPr>
          <w:b/>
        </w:rPr>
        <w:t>A</w:t>
      </w:r>
      <w:r w:rsidR="00607B28" w:rsidRPr="0032177E">
        <w:rPr>
          <w:b/>
        </w:rPr>
        <w:t>ktīviem</w:t>
      </w:r>
    </w:p>
    <w:p w14:paraId="1ABCF8FA" w14:textId="77777777" w:rsidR="0032177E" w:rsidRPr="0032177E" w:rsidRDefault="0032177E" w:rsidP="00CD363C">
      <w:pPr>
        <w:pStyle w:val="tv213"/>
        <w:spacing w:before="0" w:beforeAutospacing="0" w:after="0" w:afterAutospacing="0"/>
        <w:ind w:left="284" w:right="-142" w:hanging="284"/>
        <w:jc w:val="both"/>
        <w:rPr>
          <w:b/>
        </w:rPr>
      </w:pPr>
    </w:p>
    <w:p w14:paraId="5EA857CD" w14:textId="77777777" w:rsidR="00A76ED4" w:rsidRPr="007F7C59" w:rsidRDefault="00A76ED4" w:rsidP="00CD363C">
      <w:pPr>
        <w:pStyle w:val="tv213"/>
        <w:spacing w:before="0" w:beforeAutospacing="0" w:after="0" w:afterAutospacing="0"/>
        <w:ind w:right="-142"/>
        <w:jc w:val="both"/>
      </w:pPr>
      <w:r w:rsidRPr="007F7C59">
        <w:t>14</w:t>
      </w:r>
      <w:r w:rsidR="004111ED">
        <w:t>1</w:t>
      </w:r>
      <w:r w:rsidRPr="007F7C59">
        <w:t>. Palielinātā nemateriālā ieguldījuma uzskaites (atlikusī) vērtība nedrīkst pārsniegt uzskaites vērtību, kas būtu noteikta (atskaitot amortizāciju), ja aktīvam iepriekšējos periodos nebūtu atzīti izdevumi no vērtības samazinājuma.</w:t>
      </w:r>
    </w:p>
    <w:p w14:paraId="7B3D2A29" w14:textId="77777777" w:rsidR="00A76ED4" w:rsidRPr="007F7C59" w:rsidRDefault="0032177E" w:rsidP="00CD363C">
      <w:pPr>
        <w:pStyle w:val="tv213"/>
        <w:spacing w:before="0" w:beforeAutospacing="0" w:after="0" w:afterAutospacing="0"/>
        <w:ind w:right="-142" w:hanging="284"/>
        <w:jc w:val="both"/>
      </w:pPr>
      <w:r>
        <w:t xml:space="preserve">     </w:t>
      </w:r>
      <w:r w:rsidR="00A76ED4" w:rsidRPr="007F7C59">
        <w:t>14</w:t>
      </w:r>
      <w:r w:rsidR="004111ED">
        <w:t>2</w:t>
      </w:r>
      <w:r w:rsidR="00A76ED4" w:rsidRPr="007F7C59">
        <w:t>. Pēc nemateriālā ieguldījuma vērtības samazinājuma koriģēšanas turpina aprēķināt amortizāciju, nemateriālā ieguldījuma uzskaites (atlikušo) vērtību sistemātiski attiecinot uz atlikušo lietderīgās lietošanas laiku.</w:t>
      </w:r>
    </w:p>
    <w:p w14:paraId="74876D2A" w14:textId="77777777" w:rsidR="00A76ED4" w:rsidRPr="007F7C59" w:rsidRDefault="00A76ED4" w:rsidP="00CD363C">
      <w:pPr>
        <w:pStyle w:val="tv213"/>
        <w:spacing w:before="0" w:beforeAutospacing="0" w:after="0" w:afterAutospacing="0"/>
        <w:ind w:right="-142"/>
        <w:jc w:val="both"/>
      </w:pPr>
      <w:r w:rsidRPr="007F7C59">
        <w:t>14</w:t>
      </w:r>
      <w:r w:rsidR="004111ED">
        <w:t>3</w:t>
      </w:r>
      <w:r w:rsidRPr="007F7C59">
        <w:t>. Izveidoto nemateriālo ieguldījumu vērtības samazinājumu var koriģēt tikai par konkrētā nemateriālā ieguldījuma vērtības samazinājuma izmaiņu vērtību.</w:t>
      </w:r>
    </w:p>
    <w:p w14:paraId="0A73D148" w14:textId="77777777" w:rsidR="00A76ED4" w:rsidRDefault="00A76ED4" w:rsidP="00CD363C">
      <w:pPr>
        <w:pStyle w:val="tv213"/>
        <w:spacing w:before="0" w:beforeAutospacing="0" w:after="0" w:afterAutospacing="0"/>
        <w:ind w:right="-142"/>
        <w:jc w:val="both"/>
      </w:pPr>
      <w:r w:rsidRPr="007F7C59">
        <w:t>14</w:t>
      </w:r>
      <w:r w:rsidR="004111ED">
        <w:t>4</w:t>
      </w:r>
      <w:r w:rsidRPr="007F7C59">
        <w:t>. Ja pēc vērtības samazinājuma koriģēšanas budžeta iestāde pieņem lēmumu nemainīt nemateriālā ieguldījuma atlikušo lietderīgās lietošanas laiku, tad nemateriālā ieguldījuma amortizāciju aprēķina, tā uzskaites vērtību pēc vērtības samazinājuma koriģēšanas sistemātiski attiecinot uz nemateriālā ieguldījuma atlikušo lietderīgās lietošanas laiku.</w:t>
      </w:r>
    </w:p>
    <w:p w14:paraId="183075B9" w14:textId="77777777" w:rsidR="004111ED" w:rsidRPr="007F7C59" w:rsidRDefault="004111ED" w:rsidP="00CD363C">
      <w:pPr>
        <w:pStyle w:val="tv213"/>
        <w:spacing w:before="0" w:beforeAutospacing="0" w:after="0" w:afterAutospacing="0"/>
        <w:ind w:right="-142"/>
        <w:jc w:val="both"/>
      </w:pPr>
    </w:p>
    <w:p w14:paraId="16210763" w14:textId="77777777" w:rsidR="007532E7" w:rsidRPr="007F7C59" w:rsidRDefault="007532E7" w:rsidP="00CD363C">
      <w:pPr>
        <w:pStyle w:val="tv213"/>
        <w:spacing w:before="0" w:beforeAutospacing="0" w:after="0" w:afterAutospacing="0"/>
        <w:ind w:left="284" w:right="-142" w:hanging="284"/>
        <w:jc w:val="both"/>
      </w:pPr>
    </w:p>
    <w:p w14:paraId="0C2517E4" w14:textId="77777777" w:rsidR="00EC06D1" w:rsidRPr="007F7C59" w:rsidRDefault="002F1E6A" w:rsidP="00CD363C">
      <w:pPr>
        <w:pStyle w:val="tv213"/>
        <w:spacing w:before="0" w:beforeAutospacing="0" w:after="0" w:afterAutospacing="0"/>
        <w:ind w:left="284" w:right="-142" w:hanging="284"/>
        <w:jc w:val="both"/>
        <w:rPr>
          <w:b/>
        </w:rPr>
      </w:pPr>
      <w:r w:rsidRPr="007F7C59">
        <w:rPr>
          <w:b/>
        </w:rPr>
        <w:t>9</w:t>
      </w:r>
      <w:r w:rsidR="007A3746" w:rsidRPr="007F7C59">
        <w:rPr>
          <w:b/>
        </w:rPr>
        <w:t>.3.</w:t>
      </w:r>
      <w:r w:rsidR="00EC06D1" w:rsidRPr="007F7C59">
        <w:rPr>
          <w:b/>
        </w:rPr>
        <w:t xml:space="preserve"> Nemateriālo ieguldījumu izslēgšana no uzskaites</w:t>
      </w:r>
    </w:p>
    <w:p w14:paraId="06123EC7" w14:textId="77777777" w:rsidR="007532E7" w:rsidRPr="007F7C59" w:rsidRDefault="007532E7" w:rsidP="00CD363C">
      <w:pPr>
        <w:pStyle w:val="tv213"/>
        <w:spacing w:before="0" w:beforeAutospacing="0" w:after="0" w:afterAutospacing="0"/>
        <w:ind w:left="284" w:right="-142" w:hanging="284"/>
        <w:jc w:val="both"/>
      </w:pPr>
    </w:p>
    <w:p w14:paraId="04FF0D92" w14:textId="77777777" w:rsidR="007A3746" w:rsidRPr="007F7C59" w:rsidRDefault="00A76ED4" w:rsidP="00CD363C">
      <w:pPr>
        <w:pStyle w:val="tv213"/>
        <w:spacing w:before="0" w:beforeAutospacing="0" w:after="0" w:afterAutospacing="0"/>
        <w:ind w:left="284" w:right="-142" w:hanging="284"/>
        <w:jc w:val="both"/>
      </w:pPr>
      <w:r w:rsidRPr="00CB0A9F">
        <w:t>14</w:t>
      </w:r>
      <w:r w:rsidR="004111ED">
        <w:t>5</w:t>
      </w:r>
      <w:r w:rsidRPr="00CB0A9F">
        <w:t>.</w:t>
      </w:r>
      <w:r w:rsidR="007A3746" w:rsidRPr="007F7C59">
        <w:t xml:space="preserve"> Nemateriālo ieguldījumu izslēdz no uzskaites, norakstot tā vērtību un uzkrāto amortizāciju sekojošos gadījumos:</w:t>
      </w:r>
    </w:p>
    <w:p w14:paraId="47B85322" w14:textId="77777777" w:rsidR="007A3746" w:rsidRPr="007F7C59" w:rsidRDefault="007A3746" w:rsidP="00CD363C">
      <w:pPr>
        <w:pStyle w:val="tv213"/>
        <w:spacing w:before="0" w:beforeAutospacing="0" w:after="0" w:afterAutospacing="0"/>
        <w:ind w:left="284" w:right="-142" w:hanging="284"/>
        <w:jc w:val="both"/>
      </w:pPr>
      <w:r w:rsidRPr="007F7C59">
        <w:t xml:space="preserve">     - nemateriālo ieguldījumu norakstot;</w:t>
      </w:r>
    </w:p>
    <w:p w14:paraId="055A28EE" w14:textId="77777777" w:rsidR="007A3746" w:rsidRPr="007F7C59" w:rsidRDefault="007A3746" w:rsidP="00CD363C">
      <w:pPr>
        <w:pStyle w:val="tv213"/>
        <w:spacing w:before="0" w:beforeAutospacing="0" w:after="0" w:afterAutospacing="0"/>
        <w:ind w:left="284" w:right="-142" w:hanging="284"/>
        <w:jc w:val="both"/>
      </w:pPr>
      <w:r w:rsidRPr="007F7C59">
        <w:t xml:space="preserve">     - nemateriālo ieguldījumu atsavinot;</w:t>
      </w:r>
    </w:p>
    <w:p w14:paraId="6EE0E350" w14:textId="77777777" w:rsidR="007A3746" w:rsidRPr="007F7C59" w:rsidRDefault="007A3746" w:rsidP="00CD363C">
      <w:pPr>
        <w:pStyle w:val="tv213"/>
        <w:spacing w:before="0" w:beforeAutospacing="0" w:after="0" w:afterAutospacing="0"/>
        <w:ind w:left="284" w:right="-142" w:hanging="284"/>
        <w:jc w:val="both"/>
      </w:pPr>
      <w:r w:rsidRPr="007F7C59">
        <w:t xml:space="preserve">     - nemateriālo ieguldījumu nododot citai budžeta iestādei; </w:t>
      </w:r>
    </w:p>
    <w:p w14:paraId="447D5E63" w14:textId="77777777" w:rsidR="00A76ED4" w:rsidRPr="007F7C59" w:rsidRDefault="007A3746" w:rsidP="00CD363C">
      <w:pPr>
        <w:pStyle w:val="tv213"/>
        <w:spacing w:before="0" w:beforeAutospacing="0" w:after="0" w:afterAutospacing="0"/>
        <w:ind w:left="284" w:right="-142" w:hanging="284"/>
        <w:jc w:val="both"/>
      </w:pPr>
      <w:r w:rsidRPr="007F7C59">
        <w:t xml:space="preserve">     - konstatējot nemateriālā ieguldījuma iznīcināšanu prettiesiskas darbības dēļ.</w:t>
      </w:r>
    </w:p>
    <w:p w14:paraId="189ACC37" w14:textId="77777777" w:rsidR="00EF324B" w:rsidRPr="007F7C59" w:rsidRDefault="00EF324B" w:rsidP="00CD363C">
      <w:pPr>
        <w:pStyle w:val="tv213"/>
        <w:spacing w:before="0" w:beforeAutospacing="0" w:after="0" w:afterAutospacing="0"/>
        <w:ind w:left="284" w:right="-142" w:hanging="284"/>
        <w:jc w:val="both"/>
        <w:rPr>
          <w:b/>
        </w:rPr>
      </w:pPr>
    </w:p>
    <w:p w14:paraId="05992211" w14:textId="77777777" w:rsidR="0039337E" w:rsidRPr="007F7C59" w:rsidRDefault="0039337E" w:rsidP="00CD363C">
      <w:pPr>
        <w:pStyle w:val="tv213"/>
        <w:spacing w:before="0" w:beforeAutospacing="0" w:after="0" w:afterAutospacing="0"/>
        <w:ind w:right="-142"/>
        <w:jc w:val="both"/>
        <w:rPr>
          <w:b/>
          <w:color w:val="414142"/>
          <w:sz w:val="20"/>
          <w:szCs w:val="20"/>
        </w:rPr>
      </w:pPr>
    </w:p>
    <w:p w14:paraId="5EBC8F9C" w14:textId="77777777" w:rsidR="007A3746" w:rsidRPr="007F7C59" w:rsidRDefault="007A3746" w:rsidP="00CD363C">
      <w:pPr>
        <w:spacing w:after="0" w:line="240" w:lineRule="auto"/>
        <w:ind w:right="-142"/>
        <w:jc w:val="both"/>
        <w:rPr>
          <w:rFonts w:ascii="Times New Roman" w:hAnsi="Times New Roman" w:cs="Times New Roman"/>
        </w:rPr>
      </w:pPr>
      <w:r w:rsidRPr="007F7C59">
        <w:rPr>
          <w:rFonts w:ascii="Times New Roman" w:hAnsi="Times New Roman" w:cs="Times New Roman"/>
        </w:rPr>
        <w:t>14</w:t>
      </w:r>
      <w:r w:rsidR="007A4B27">
        <w:rPr>
          <w:rFonts w:ascii="Times New Roman" w:hAnsi="Times New Roman" w:cs="Times New Roman"/>
        </w:rPr>
        <w:t>6</w:t>
      </w:r>
      <w:r w:rsidR="001C7AF1" w:rsidRPr="007F7C59">
        <w:rPr>
          <w:rFonts w:ascii="Times New Roman" w:hAnsi="Times New Roman" w:cs="Times New Roman"/>
        </w:rPr>
        <w:t>.</w:t>
      </w:r>
      <w:r w:rsidRPr="007F7C59">
        <w:rPr>
          <w:rFonts w:ascii="Times New Roman" w:hAnsi="Times New Roman" w:cs="Times New Roman"/>
        </w:rPr>
        <w:t xml:space="preserve"> Nemateriālo ieguldījumu noraksta, piemēram, ja ir beidzies tā lietderīgās lietošanas laiks (licence) vai tas ir novecojis (datorprogramma) un tā tālāka lietošana nav iespējama neatkarīgi no tā atlikušās vērtības. Budžeta iestāde veic nemateriālo ieguldījumu norakstīšanu saskaņā ar iestād</w:t>
      </w:r>
      <w:r w:rsidR="00CC4570" w:rsidRPr="007F7C59">
        <w:rPr>
          <w:rFonts w:ascii="Times New Roman" w:hAnsi="Times New Roman" w:cs="Times New Roman"/>
        </w:rPr>
        <w:t xml:space="preserve">es vadītāja , rīkojumā noteiktas komisijas </w:t>
      </w:r>
      <w:r w:rsidRPr="007F7C59">
        <w:rPr>
          <w:rFonts w:ascii="Times New Roman" w:hAnsi="Times New Roman" w:cs="Times New Roman"/>
        </w:rPr>
        <w:t>, ja nepieciešams, pieaicinot attiecīgās jomas speciālistus</w:t>
      </w:r>
      <w:r w:rsidR="00CC4570" w:rsidRPr="007F7C59">
        <w:rPr>
          <w:rFonts w:ascii="Times New Roman" w:hAnsi="Times New Roman" w:cs="Times New Roman"/>
        </w:rPr>
        <w:t>, sniegto atzinumu, par nemateriālo ieguldījumu tālākas lietošanas neiespējamību.</w:t>
      </w:r>
    </w:p>
    <w:p w14:paraId="02DE3EAC" w14:textId="77777777" w:rsidR="00CC4570" w:rsidRPr="0032177E" w:rsidRDefault="00CC4570"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14</w:t>
      </w:r>
      <w:r w:rsidR="00580751">
        <w:rPr>
          <w:rFonts w:ascii="Times New Roman" w:hAnsi="Times New Roman" w:cs="Times New Roman"/>
          <w:sz w:val="24"/>
          <w:szCs w:val="24"/>
        </w:rPr>
        <w:t>7</w:t>
      </w:r>
      <w:r w:rsidRPr="0032177E">
        <w:rPr>
          <w:rFonts w:ascii="Times New Roman" w:hAnsi="Times New Roman" w:cs="Times New Roman"/>
          <w:sz w:val="24"/>
          <w:szCs w:val="24"/>
        </w:rPr>
        <w:t>. Budžeta iestāde nemateriālo ieguldījumu noraksta, samazinot tā sākotnējo uzskaites vērtību par uzkrāto amortizāciju un vērtības samazinājumu, un pēc tam atlikušo vērtību noraksta atbilstošajā izdevumu kontā, veicot sekojošu grāmatojumus:</w:t>
      </w:r>
    </w:p>
    <w:p w14:paraId="23170EA6"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rPr>
        <w:t xml:space="preserve">    </w:t>
      </w:r>
      <w:r w:rsidRPr="007F7C59">
        <w:rPr>
          <w:rFonts w:ascii="Times New Roman" w:hAnsi="Times New Roman" w:cs="Times New Roman"/>
          <w:b/>
        </w:rPr>
        <w:t>D    1190* Nemateriālo ieguldījumu amortizācija un vērtības samazinājums</w:t>
      </w:r>
    </w:p>
    <w:p w14:paraId="4699B8B2"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Nemateriālie ieguldījumi </w:t>
      </w:r>
    </w:p>
    <w:p w14:paraId="124F4C99"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*uzkrātā amortizācija. </w:t>
      </w:r>
    </w:p>
    <w:p w14:paraId="073A4B73"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1190* Nemateriālo ieguldījumu amortizācija un vērtības samazinājums</w:t>
      </w:r>
    </w:p>
    <w:p w14:paraId="626D214A"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8552 Ieņēmumi no vērtības samazinājuma norakstīšanas nefinanšu aktīviem</w:t>
      </w:r>
    </w:p>
    <w:p w14:paraId="0FA2FBA9" w14:textId="77777777" w:rsidR="00CC4570" w:rsidRPr="007F7C59" w:rsidRDefault="00CC4570" w:rsidP="00CD363C">
      <w:pPr>
        <w:spacing w:after="0" w:line="240" w:lineRule="auto"/>
        <w:ind w:right="-142"/>
        <w:jc w:val="both"/>
        <w:rPr>
          <w:rFonts w:ascii="Times New Roman" w:hAnsi="Times New Roman" w:cs="Times New Roman"/>
        </w:rPr>
      </w:pPr>
      <w:r w:rsidRPr="007F7C59">
        <w:rPr>
          <w:rFonts w:ascii="Times New Roman" w:hAnsi="Times New Roman" w:cs="Times New Roman"/>
          <w:b/>
        </w:rPr>
        <w:t xml:space="preserve">         *iepriekš atzītais vērtības samazinājums</w:t>
      </w:r>
      <w:r w:rsidRPr="007F7C59">
        <w:rPr>
          <w:rFonts w:ascii="Times New Roman" w:hAnsi="Times New Roman" w:cs="Times New Roman"/>
        </w:rPr>
        <w:t xml:space="preserve">. </w:t>
      </w:r>
    </w:p>
    <w:p w14:paraId="7A9D4BD2"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8610* Izdevumi no nefinanšu aktīvu izslēgšanas </w:t>
      </w:r>
    </w:p>
    <w:p w14:paraId="7F72B7CA"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Nemateriālie ieguldījumi </w:t>
      </w:r>
    </w:p>
    <w:p w14:paraId="6F01AE00" w14:textId="77777777" w:rsidR="00CC4570" w:rsidRPr="0032177E" w:rsidRDefault="00CC4570"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*atlikusī uzskaites vērtība</w:t>
      </w:r>
    </w:p>
    <w:p w14:paraId="2E7D2C50" w14:textId="77777777" w:rsidR="008D33CF" w:rsidRPr="0032177E" w:rsidRDefault="002E295E"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14</w:t>
      </w:r>
      <w:r w:rsidR="00580751">
        <w:rPr>
          <w:rFonts w:ascii="Times New Roman" w:hAnsi="Times New Roman" w:cs="Times New Roman"/>
          <w:sz w:val="24"/>
          <w:szCs w:val="24"/>
        </w:rPr>
        <w:t>8</w:t>
      </w:r>
      <w:r w:rsidRPr="0032177E">
        <w:rPr>
          <w:rFonts w:ascii="Times New Roman" w:hAnsi="Times New Roman" w:cs="Times New Roman"/>
          <w:sz w:val="24"/>
          <w:szCs w:val="24"/>
        </w:rPr>
        <w:t>.</w:t>
      </w:r>
      <w:r w:rsidR="008D33CF" w:rsidRPr="0032177E">
        <w:rPr>
          <w:rFonts w:ascii="Times New Roman" w:hAnsi="Times New Roman" w:cs="Times New Roman"/>
          <w:sz w:val="24"/>
          <w:szCs w:val="24"/>
        </w:rPr>
        <w:t xml:space="preserve"> Ja nemateriālo ieguldījumu paredzēts atsavināt, to pārdodot,</w:t>
      </w:r>
      <w:r w:rsidR="00CB0A9F">
        <w:rPr>
          <w:rFonts w:ascii="Times New Roman" w:hAnsi="Times New Roman" w:cs="Times New Roman"/>
          <w:sz w:val="24"/>
          <w:szCs w:val="24"/>
        </w:rPr>
        <w:t xml:space="preserve"> vai ieguldot kapitālsabiedrības kapitālā,</w:t>
      </w:r>
      <w:r w:rsidR="008D33CF" w:rsidRPr="0032177E">
        <w:rPr>
          <w:rFonts w:ascii="Times New Roman" w:hAnsi="Times New Roman" w:cs="Times New Roman"/>
          <w:sz w:val="24"/>
          <w:szCs w:val="24"/>
        </w:rPr>
        <w:t xml:space="preserve"> tad to līdz atsavināšanai uzskaita apgrozāmo līdzekļu sastāvā. Nemateriālos ieguldījumus uzskaita kā atsavināšanai paredzētus, ja tie pašreizējā stāvoklī  ir pieejami tūlītējai atsavināšanai un pakļauti normatīvajos aktos noteiktajiem atsavināšanas nosacījumiem, to lietderīgā lietošana ir pārtraukta un to atsavināšana ir ticama. Ilgtermiņa ieguldījumu, tai skaitā nemateriālo ieguldījumu, atsavināšanu uzskata par ticamu, ja ir spēkā šādi nosacījumi: </w:t>
      </w:r>
    </w:p>
    <w:p w14:paraId="1319CBB6" w14:textId="77777777" w:rsidR="008D33CF"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14</w:t>
      </w:r>
      <w:r w:rsidR="00580751">
        <w:rPr>
          <w:rFonts w:ascii="Times New Roman" w:hAnsi="Times New Roman" w:cs="Times New Roman"/>
          <w:sz w:val="24"/>
          <w:szCs w:val="24"/>
        </w:rPr>
        <w:t>8</w:t>
      </w:r>
      <w:r w:rsidRPr="0032177E">
        <w:rPr>
          <w:rFonts w:ascii="Times New Roman" w:hAnsi="Times New Roman" w:cs="Times New Roman"/>
          <w:sz w:val="24"/>
          <w:szCs w:val="24"/>
        </w:rPr>
        <w:t xml:space="preserve">.1. atsavināšana ir pamatota ar normatīvo aktu vai iestādes vadības lēmumu; </w:t>
      </w:r>
    </w:p>
    <w:p w14:paraId="5FA8C601" w14:textId="77777777" w:rsidR="008D33CF"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14</w:t>
      </w:r>
      <w:r w:rsidR="00580751">
        <w:rPr>
          <w:rFonts w:ascii="Times New Roman" w:hAnsi="Times New Roman" w:cs="Times New Roman"/>
          <w:sz w:val="24"/>
          <w:szCs w:val="24"/>
        </w:rPr>
        <w:t>8</w:t>
      </w:r>
      <w:r w:rsidRPr="0032177E">
        <w:rPr>
          <w:rFonts w:ascii="Times New Roman" w:hAnsi="Times New Roman" w:cs="Times New Roman"/>
          <w:sz w:val="24"/>
          <w:szCs w:val="24"/>
        </w:rPr>
        <w:t xml:space="preserve">.2. atsavināšanas process ir uzsākts; </w:t>
      </w:r>
    </w:p>
    <w:p w14:paraId="68C0F9BD" w14:textId="77777777" w:rsidR="002E295E"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14</w:t>
      </w:r>
      <w:r w:rsidR="00580751">
        <w:rPr>
          <w:rFonts w:ascii="Times New Roman" w:hAnsi="Times New Roman" w:cs="Times New Roman"/>
          <w:sz w:val="24"/>
          <w:szCs w:val="24"/>
        </w:rPr>
        <w:t>8</w:t>
      </w:r>
      <w:r w:rsidRPr="0032177E">
        <w:rPr>
          <w:rFonts w:ascii="Times New Roman" w:hAnsi="Times New Roman" w:cs="Times New Roman"/>
          <w:sz w:val="24"/>
          <w:szCs w:val="24"/>
        </w:rPr>
        <w:t>.3. ir pārliecība par atsavināšanas procesa pabeigšanu.</w:t>
      </w:r>
    </w:p>
    <w:p w14:paraId="4E39BEA5" w14:textId="77777777" w:rsidR="008D33CF"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w:t>
      </w:r>
      <w:r w:rsidR="00580751">
        <w:rPr>
          <w:rFonts w:ascii="Times New Roman" w:hAnsi="Times New Roman" w:cs="Times New Roman"/>
          <w:sz w:val="24"/>
          <w:szCs w:val="24"/>
        </w:rPr>
        <w:t>49</w:t>
      </w:r>
      <w:r w:rsidRPr="0032177E">
        <w:rPr>
          <w:rFonts w:ascii="Times New Roman" w:hAnsi="Times New Roman" w:cs="Times New Roman"/>
          <w:sz w:val="24"/>
          <w:szCs w:val="24"/>
        </w:rPr>
        <w:t xml:space="preserve">. Nemateriālajiem ieguldījumiem, kuru atsavināšana ir ticama, pārtrauc aprēķināt amortizāciju un tos līdz to atsavināšanai uzskaita apgrozāmo līdzekļu sastāvā to atlikušajā vērtībā, veicot sekojošus grāmatojumus: </w:t>
      </w:r>
    </w:p>
    <w:p w14:paraId="1853AADE" w14:textId="77777777" w:rsidR="008D33CF" w:rsidRPr="0032177E"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1190 Nemateriālo ieguldījumu amortizācija un vērtības samazinājums</w:t>
      </w:r>
    </w:p>
    <w:p w14:paraId="5CCEC1D7" w14:textId="77777777" w:rsidR="008D33CF" w:rsidRPr="0032177E"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 </w:t>
      </w:r>
    </w:p>
    <w:p w14:paraId="02EF41FB" w14:textId="77777777" w:rsidR="008D33CF" w:rsidRPr="0032177E"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2130 Gatavie ražojumi, pasūtījumi un krājumi atsavināšanai</w:t>
      </w:r>
    </w:p>
    <w:p w14:paraId="2FC2EABD" w14:textId="77777777" w:rsidR="008D33CF"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w:t>
      </w:r>
    </w:p>
    <w:p w14:paraId="63B4231C" w14:textId="77777777" w:rsidR="00456250" w:rsidRDefault="00145D18" w:rsidP="00CD363C">
      <w:pPr>
        <w:spacing w:after="0" w:line="240" w:lineRule="auto"/>
        <w:ind w:right="-142"/>
        <w:jc w:val="both"/>
        <w:rPr>
          <w:rFonts w:ascii="Times New Roman" w:hAnsi="Times New Roman" w:cs="Times New Roman"/>
          <w:sz w:val="24"/>
          <w:szCs w:val="24"/>
        </w:rPr>
      </w:pPr>
      <w:r w:rsidRPr="00145D18">
        <w:rPr>
          <w:rFonts w:ascii="Times New Roman" w:hAnsi="Times New Roman" w:cs="Times New Roman"/>
          <w:sz w:val="24"/>
          <w:szCs w:val="24"/>
        </w:rPr>
        <w:t>Ja pā</w:t>
      </w:r>
      <w:r>
        <w:rPr>
          <w:rFonts w:ascii="Times New Roman" w:hAnsi="Times New Roman" w:cs="Times New Roman"/>
          <w:sz w:val="24"/>
          <w:szCs w:val="24"/>
        </w:rPr>
        <w:t xml:space="preserve">rdošana ir notikusi un ja par ieguldījumu kapitālsabiedrībā ir nodošanas pieņemšanas akts, veic sekojošus  grāmatojumus: </w:t>
      </w:r>
    </w:p>
    <w:p w14:paraId="10B3E0D6" w14:textId="77777777" w:rsidR="00145D18" w:rsidRPr="00145D18" w:rsidRDefault="00145D18" w:rsidP="00CD363C">
      <w:pPr>
        <w:spacing w:after="0" w:line="240" w:lineRule="auto"/>
        <w:ind w:right="-142"/>
        <w:jc w:val="both"/>
        <w:rPr>
          <w:rFonts w:ascii="Times New Roman" w:hAnsi="Times New Roman" w:cs="Times New Roman"/>
          <w:b/>
          <w:sz w:val="24"/>
          <w:szCs w:val="24"/>
        </w:rPr>
      </w:pPr>
      <w:r w:rsidRPr="00145D18">
        <w:rPr>
          <w:rFonts w:ascii="Times New Roman" w:hAnsi="Times New Roman" w:cs="Times New Roman"/>
          <w:b/>
          <w:sz w:val="24"/>
          <w:szCs w:val="24"/>
        </w:rPr>
        <w:t xml:space="preserve">    D   8612 Izdevumi no nefinanšu aktīvu atsavināšanas</w:t>
      </w:r>
    </w:p>
    <w:p w14:paraId="5FC5284A" w14:textId="77777777" w:rsidR="00145D18" w:rsidRPr="00145D18" w:rsidRDefault="00145D18" w:rsidP="00CD363C">
      <w:pPr>
        <w:spacing w:after="0" w:line="240" w:lineRule="auto"/>
        <w:ind w:right="-142"/>
        <w:jc w:val="both"/>
        <w:rPr>
          <w:rFonts w:ascii="Times New Roman" w:hAnsi="Times New Roman" w:cs="Times New Roman"/>
          <w:b/>
          <w:sz w:val="24"/>
          <w:szCs w:val="24"/>
        </w:rPr>
      </w:pPr>
      <w:r w:rsidRPr="00145D18">
        <w:rPr>
          <w:rFonts w:ascii="Times New Roman" w:hAnsi="Times New Roman" w:cs="Times New Roman"/>
          <w:b/>
          <w:sz w:val="24"/>
          <w:szCs w:val="24"/>
        </w:rPr>
        <w:t xml:space="preserve">    K   2130 Gatavie ražojumi, pasūtījumi un krājumi atsavināšanai</w:t>
      </w:r>
    </w:p>
    <w:p w14:paraId="29A781B7" w14:textId="77777777" w:rsidR="001B4B53" w:rsidRPr="007F7C59" w:rsidRDefault="001B4B53" w:rsidP="00CD363C">
      <w:pPr>
        <w:spacing w:after="0" w:line="240" w:lineRule="auto"/>
        <w:ind w:right="-142"/>
        <w:jc w:val="both"/>
        <w:rPr>
          <w:rFonts w:ascii="Times New Roman" w:hAnsi="Times New Roman" w:cs="Times New Roman"/>
        </w:rPr>
      </w:pPr>
      <w:r w:rsidRPr="007F7C59">
        <w:rPr>
          <w:rFonts w:ascii="Times New Roman" w:hAnsi="Times New Roman" w:cs="Times New Roman"/>
        </w:rPr>
        <w:t>15</w:t>
      </w:r>
      <w:r w:rsidR="00580751">
        <w:rPr>
          <w:rFonts w:ascii="Times New Roman" w:hAnsi="Times New Roman" w:cs="Times New Roman"/>
        </w:rPr>
        <w:t>0</w:t>
      </w:r>
      <w:r w:rsidRPr="007F7C59">
        <w:rPr>
          <w:rFonts w:ascii="Times New Roman" w:hAnsi="Times New Roman" w:cs="Times New Roman"/>
        </w:rPr>
        <w:t xml:space="preserve">. Budžeta iestāde, kas nodod nemateriālo ieguldījumu citai budžeta iestādei bez atlīdzības, attiecīgo nemateriālo ieguldījumu izslēdz no uzskaites un atzīst izdevumus no nodotām vērtībām ilgtermiņa ieguldījuma atlikušajā vērtībā, veicot sekojošu grāmatojumu: </w:t>
      </w:r>
    </w:p>
    <w:p w14:paraId="1A28135D"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1190* Nemateriālo ieguldījumu amortizācija un vērtības samazinājums </w:t>
      </w:r>
    </w:p>
    <w:p w14:paraId="0E7B8E03"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 </w:t>
      </w:r>
    </w:p>
    <w:p w14:paraId="3503B78C" w14:textId="77777777" w:rsidR="001B4B53" w:rsidRPr="0032177E" w:rsidRDefault="001B4B5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*uzkrātā amortizācija. </w:t>
      </w:r>
    </w:p>
    <w:p w14:paraId="6AA54103" w14:textId="77777777" w:rsidR="001B4B53" w:rsidRPr="007F7C59" w:rsidRDefault="001B4B5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1190* Nemateriālo ieguldījumu amortizācija un vērtības samazinājums</w:t>
      </w:r>
    </w:p>
    <w:p w14:paraId="60BBF10C" w14:textId="77777777" w:rsidR="001B4B53" w:rsidRPr="007F7C59" w:rsidRDefault="001B4B5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8552 Ieņēmumi no vērtības samazinājuma norakstīšanas nefinanšu aktīviem </w:t>
      </w:r>
    </w:p>
    <w:p w14:paraId="251B34D9" w14:textId="77777777" w:rsidR="001B4B53" w:rsidRPr="0032177E" w:rsidRDefault="001B4B53" w:rsidP="00CD363C">
      <w:pPr>
        <w:spacing w:after="0" w:line="240" w:lineRule="auto"/>
        <w:ind w:right="-142"/>
        <w:jc w:val="both"/>
        <w:rPr>
          <w:rFonts w:ascii="Times New Roman" w:hAnsi="Times New Roman" w:cs="Times New Roman"/>
        </w:rPr>
      </w:pPr>
      <w:r w:rsidRPr="0032177E">
        <w:rPr>
          <w:rFonts w:ascii="Times New Roman" w:hAnsi="Times New Roman" w:cs="Times New Roman"/>
        </w:rPr>
        <w:t xml:space="preserve">          *iepriekš atzītais vērtības samazinājums.</w:t>
      </w:r>
    </w:p>
    <w:p w14:paraId="1FC73A5B"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8420* Izdevumi no saņemtām un nodotām vērtībām bez atlīdzības </w:t>
      </w:r>
    </w:p>
    <w:p w14:paraId="39168083"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 </w:t>
      </w:r>
    </w:p>
    <w:p w14:paraId="2F4CF80F" w14:textId="77777777" w:rsidR="008D33CF" w:rsidRDefault="001B4B5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b/>
          <w:sz w:val="24"/>
          <w:szCs w:val="24"/>
        </w:rPr>
        <w:t xml:space="preserve">        </w:t>
      </w:r>
      <w:r w:rsidRPr="0032177E">
        <w:rPr>
          <w:rFonts w:ascii="Times New Roman" w:hAnsi="Times New Roman" w:cs="Times New Roman"/>
          <w:sz w:val="24"/>
          <w:szCs w:val="24"/>
        </w:rPr>
        <w:t>*atlikusī uzskaites vērtība.</w:t>
      </w:r>
    </w:p>
    <w:p w14:paraId="36D52274" w14:textId="77777777" w:rsidR="00580751" w:rsidRDefault="0058075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151.Ja ir konstatēta iznīcināšana prettiesiskas darbības rezultātā, un ir zināma vainīgā persona un gatava segt zaudējumus ,veicam sekojošus grāmatojumus:</w:t>
      </w:r>
    </w:p>
    <w:p w14:paraId="29978F2A" w14:textId="77777777" w:rsidR="00580751" w:rsidRP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D  2317 Prasības par % un citiem maksājumiem</w:t>
      </w:r>
    </w:p>
    <w:p w14:paraId="365BFBA0" w14:textId="77777777" w:rsid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K  1100  Nemateriālie ieguldījumi</w:t>
      </w:r>
    </w:p>
    <w:p w14:paraId="01D0F9E7" w14:textId="77777777" w:rsidR="00580751" w:rsidRDefault="00580751" w:rsidP="00CD363C">
      <w:pPr>
        <w:spacing w:after="0" w:line="240" w:lineRule="auto"/>
        <w:ind w:right="-142"/>
        <w:jc w:val="both"/>
        <w:rPr>
          <w:rFonts w:ascii="Times New Roman" w:hAnsi="Times New Roman" w:cs="Times New Roman"/>
          <w:sz w:val="24"/>
          <w:szCs w:val="24"/>
        </w:rPr>
      </w:pPr>
      <w:r w:rsidRPr="00580751">
        <w:rPr>
          <w:rFonts w:ascii="Times New Roman" w:hAnsi="Times New Roman" w:cs="Times New Roman"/>
          <w:sz w:val="24"/>
          <w:szCs w:val="24"/>
        </w:rPr>
        <w:t>Ja vainīgā persona ir  darbinieks, tad veicam sekojošus grāmatojumus</w:t>
      </w:r>
      <w:r>
        <w:rPr>
          <w:rFonts w:ascii="Times New Roman" w:hAnsi="Times New Roman" w:cs="Times New Roman"/>
          <w:sz w:val="24"/>
          <w:szCs w:val="24"/>
        </w:rPr>
        <w:t>:</w:t>
      </w:r>
    </w:p>
    <w:p w14:paraId="490FBF0D" w14:textId="77777777" w:rsidR="00580751" w:rsidRP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D  2389  Pārējās prasības pret personālu</w:t>
      </w:r>
    </w:p>
    <w:p w14:paraId="7C212F09" w14:textId="77777777" w:rsid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K  1100 Nemateriālie ieguldījumi</w:t>
      </w:r>
    </w:p>
    <w:p w14:paraId="201670E5" w14:textId="77777777" w:rsidR="00580751" w:rsidRDefault="00580751" w:rsidP="00CD363C">
      <w:pPr>
        <w:spacing w:after="0" w:line="240" w:lineRule="auto"/>
        <w:ind w:right="-142"/>
        <w:jc w:val="both"/>
        <w:rPr>
          <w:rFonts w:ascii="Times New Roman" w:hAnsi="Times New Roman" w:cs="Times New Roman"/>
          <w:sz w:val="24"/>
          <w:szCs w:val="24"/>
        </w:rPr>
      </w:pPr>
      <w:r w:rsidRPr="00580751">
        <w:rPr>
          <w:rFonts w:ascii="Times New Roman" w:hAnsi="Times New Roman" w:cs="Times New Roman"/>
          <w:sz w:val="24"/>
          <w:szCs w:val="24"/>
        </w:rPr>
        <w:t>Ja vainīgā persona nav zināma tad nemateriālo ieguldījumu izslēdzam un atzīstam zembilances prasībās, veicot sekojošus grāmatojumus:</w:t>
      </w:r>
    </w:p>
    <w:p w14:paraId="17F5C827" w14:textId="77777777" w:rsidR="005737CD" w:rsidRDefault="005737CD" w:rsidP="00CD363C">
      <w:pPr>
        <w:spacing w:after="0" w:line="240" w:lineRule="auto"/>
        <w:ind w:right="-142"/>
        <w:jc w:val="both"/>
        <w:rPr>
          <w:rFonts w:ascii="Times New Roman" w:hAnsi="Times New Roman" w:cs="Times New Roman"/>
          <w:b/>
        </w:rPr>
      </w:pPr>
      <w:r w:rsidRPr="005737CD">
        <w:rPr>
          <w:rFonts w:ascii="Times New Roman" w:hAnsi="Times New Roman" w:cs="Times New Roman"/>
          <w:b/>
          <w:sz w:val="24"/>
          <w:szCs w:val="24"/>
        </w:rPr>
        <w:t xml:space="preserve">    D 1190 </w:t>
      </w:r>
      <w:r w:rsidRPr="005737CD">
        <w:rPr>
          <w:rFonts w:ascii="Times New Roman" w:hAnsi="Times New Roman" w:cs="Times New Roman"/>
          <w:b/>
        </w:rPr>
        <w:t>Nemateriālo</w:t>
      </w:r>
      <w:r w:rsidRPr="007F7C59">
        <w:rPr>
          <w:rFonts w:ascii="Times New Roman" w:hAnsi="Times New Roman" w:cs="Times New Roman"/>
          <w:b/>
        </w:rPr>
        <w:t xml:space="preserve"> ieguldījumu amortizācija un vērtības samazinājums</w:t>
      </w:r>
    </w:p>
    <w:p w14:paraId="4B0C342B" w14:textId="77777777" w:rsidR="00AB485B" w:rsidRDefault="005737CD" w:rsidP="00CD363C">
      <w:pPr>
        <w:spacing w:after="0" w:line="240" w:lineRule="auto"/>
        <w:ind w:right="-142"/>
        <w:jc w:val="both"/>
        <w:rPr>
          <w:rFonts w:ascii="Times New Roman" w:hAnsi="Times New Roman" w:cs="Times New Roman"/>
        </w:rPr>
      </w:pPr>
      <w:r>
        <w:rPr>
          <w:rFonts w:ascii="Times New Roman" w:hAnsi="Times New Roman" w:cs="Times New Roman"/>
          <w:b/>
        </w:rPr>
        <w:t xml:space="preserve">    K  1100  Nemateriālie ieguldījumi</w:t>
      </w:r>
      <w:r w:rsidR="0091252A">
        <w:rPr>
          <w:rFonts w:ascii="Times New Roman" w:hAnsi="Times New Roman" w:cs="Times New Roman"/>
          <w:b/>
        </w:rPr>
        <w:t xml:space="preserve">, </w:t>
      </w:r>
      <w:r w:rsidR="0091252A" w:rsidRPr="0091252A">
        <w:rPr>
          <w:rFonts w:ascii="Times New Roman" w:hAnsi="Times New Roman" w:cs="Times New Roman"/>
        </w:rPr>
        <w:t>un</w:t>
      </w:r>
    </w:p>
    <w:p w14:paraId="2E3A31B6" w14:textId="77777777" w:rsidR="00AB485B" w:rsidRDefault="00AB485B" w:rsidP="00CD363C">
      <w:pPr>
        <w:spacing w:after="0" w:line="240" w:lineRule="auto"/>
        <w:ind w:right="-142"/>
        <w:jc w:val="both"/>
        <w:rPr>
          <w:rFonts w:ascii="Times New Roman" w:hAnsi="Times New Roman" w:cs="Times New Roman"/>
          <w:b/>
        </w:rPr>
      </w:pPr>
      <w:r w:rsidRPr="00AB485B">
        <w:rPr>
          <w:rFonts w:ascii="Times New Roman" w:hAnsi="Times New Roman" w:cs="Times New Roman"/>
          <w:b/>
        </w:rPr>
        <w:t xml:space="preserve">    D  8611  Izdevumi no nefinanšu aktīvu norakstīšanas un likvidēšanas</w:t>
      </w:r>
    </w:p>
    <w:p w14:paraId="0991CFAA" w14:textId="77777777" w:rsidR="00AB485B" w:rsidRDefault="00AB485B" w:rsidP="00CD363C">
      <w:pPr>
        <w:spacing w:after="0" w:line="240" w:lineRule="auto"/>
        <w:ind w:right="-142"/>
        <w:jc w:val="both"/>
        <w:rPr>
          <w:rFonts w:ascii="Times New Roman" w:hAnsi="Times New Roman" w:cs="Times New Roman"/>
        </w:rPr>
      </w:pPr>
      <w:r>
        <w:rPr>
          <w:rFonts w:ascii="Times New Roman" w:hAnsi="Times New Roman" w:cs="Times New Roman"/>
          <w:b/>
        </w:rPr>
        <w:t xml:space="preserve">    K 1100 Nemateriālie ieguldījumi, </w:t>
      </w:r>
      <w:r w:rsidRPr="00AB485B">
        <w:rPr>
          <w:rFonts w:ascii="Times New Roman" w:hAnsi="Times New Roman" w:cs="Times New Roman"/>
        </w:rPr>
        <w:t xml:space="preserve">un </w:t>
      </w:r>
      <w:r>
        <w:rPr>
          <w:rFonts w:ascii="Times New Roman" w:hAnsi="Times New Roman" w:cs="Times New Roman"/>
        </w:rPr>
        <w:t xml:space="preserve">uzrāda zembilances kontā </w:t>
      </w:r>
      <w:r w:rsidRPr="00AB485B">
        <w:rPr>
          <w:rFonts w:ascii="Times New Roman" w:hAnsi="Times New Roman" w:cs="Times New Roman"/>
          <w:b/>
        </w:rPr>
        <w:t>9140</w:t>
      </w:r>
      <w:r>
        <w:rPr>
          <w:rFonts w:ascii="Times New Roman" w:hAnsi="Times New Roman" w:cs="Times New Roman"/>
        </w:rPr>
        <w:t xml:space="preserve"> Prasības par prettiesiski atsavinātiem aktīviem, līdz tam brīdim kad tiks noskaidrota vainīgā persona.</w:t>
      </w:r>
    </w:p>
    <w:p w14:paraId="39D8573E" w14:textId="77777777" w:rsidR="00AB485B" w:rsidRPr="00AB485B" w:rsidRDefault="00AB485B"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p>
    <w:p w14:paraId="3B97BEFD" w14:textId="77777777" w:rsidR="00AB485B" w:rsidRPr="0091252A" w:rsidRDefault="00AB485B"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p>
    <w:p w14:paraId="4786C51A" w14:textId="77777777" w:rsidR="001B4B53" w:rsidRPr="0032177E" w:rsidRDefault="007532E7"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9</w:t>
      </w:r>
      <w:r w:rsidR="001B4B53" w:rsidRPr="0032177E">
        <w:rPr>
          <w:rFonts w:ascii="Times New Roman" w:hAnsi="Times New Roman" w:cs="Times New Roman"/>
          <w:b/>
          <w:sz w:val="24"/>
          <w:szCs w:val="24"/>
        </w:rPr>
        <w:t>.4. Nemateriālo ieguldījumu inventarizācija</w:t>
      </w:r>
    </w:p>
    <w:p w14:paraId="18446471" w14:textId="77777777" w:rsidR="001B4B53" w:rsidRPr="007F7C59" w:rsidRDefault="001B4B53" w:rsidP="00CD363C">
      <w:pPr>
        <w:spacing w:after="0" w:line="240" w:lineRule="auto"/>
        <w:ind w:right="-142"/>
        <w:jc w:val="both"/>
        <w:rPr>
          <w:rFonts w:ascii="Times New Roman" w:hAnsi="Times New Roman" w:cs="Times New Roman"/>
          <w:b/>
        </w:rPr>
      </w:pPr>
    </w:p>
    <w:p w14:paraId="12CE0F68" w14:textId="77777777" w:rsidR="001B4B53" w:rsidRPr="0032177E" w:rsidRDefault="001B4B5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152. Lai nodrošinātu, ka budžeta iestādes pārskatos ir ietverti visi nemateriālie ieguldījumi, pārskata perioda beigās veic nemateriālo ieguldījumu inventarizāciju.</w:t>
      </w:r>
    </w:p>
    <w:p w14:paraId="0631BFC8"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153. Vienlaikus pārskata gada beigās budžeta iestāde novērtē, vai pastāv kādas pazīmes, kas liecina par iespējamo nemateriālā ieguldījuma vērtības samazināšanos.</w:t>
      </w:r>
    </w:p>
    <w:p w14:paraId="3D971B92"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154. Nemateriālo ieguldījumu inventarizāciju veic saskaņā ar normatīvajos aktos noteikto kārtību, kā arī Rēzeknes novada pašvaldībā apstiprināto inventarizācijas kārtību.</w:t>
      </w:r>
    </w:p>
    <w:p w14:paraId="6909878E"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155. Inventarizāciju veic vismaz reizi gadā – pārskata gada slēguma inventarizāciju veic triju mēnešu laikā pirms pārskata gada beigu dienas vai mēneša laikā pēc tās, pārrēķinot inventarizācijas dienā konstatētos atlikumus atbilstoši grāmatvedības datiem pārskata gada beigu dienā, bet, ja nepieciešams (atbildīgās personas maiņas gadījumā u.tml.), arī biežāk.</w:t>
      </w:r>
    </w:p>
    <w:p w14:paraId="2DA2326C"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156. Inventarizāciju veic budžeta iestādes vadītāja apstiprināta inventarizācijas komisija, un tās rezultātus apstiprina inventarizācijas komisijas locekļi, budžeta iestādes vadītājs un materiāli atbildīgās personas.</w:t>
      </w:r>
    </w:p>
    <w:p w14:paraId="427518EC"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157. Inventarizācijas komisijas personālsastāvu un inventarizācijas sākšanas un beigšanas termiņus budžeta iestādes vadītājs nosaka ar rakstisku rīkojumu.</w:t>
      </w:r>
    </w:p>
    <w:p w14:paraId="2149FEB6"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158. Nemateriālo ieguldījumu un citu bezķermenisko lietu summas inventarizē, to apjomu pārbaudot saskaņā ar attiecīgajiem dokumentiem, nepieciešamības gadījumā arī pārbaudot dabā.</w:t>
      </w:r>
    </w:p>
    <w:p w14:paraId="2EBD51F4"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159. Gadījumā, ja inventarizācijas rezultātā ir konstatēts nemateriālais ieguldījums, kas līdz šim nav bijis iekļauts uzskaitē, budžeta iestādes vadītāja apstiprināta komisija nosaka nemateriālā ieguldījuma vērtību un sagatavo nemateriālā ieguldījuma novērtēšanas aktu  , ja nepieciešams pieaicinot attiecīgās jomas speciālistu, kuram ir atzīta un atbilstoša kvalifikācija.</w:t>
      </w:r>
    </w:p>
    <w:p w14:paraId="2FFDBC35"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160. Budžeta iestāde, pamatojoties uz komisijas sagatavoto aktu, atzīst sākotnēji uzskaitē nemateriālo ieguldījumu, tā noteiktajā vērtībā palielinot attiecīgo nemateriālo ieguldījumu un atbilstošo ieņēmumu kontu, veicot sekojošu grāmatojumu:</w:t>
      </w:r>
    </w:p>
    <w:p w14:paraId="342A0A6E" w14:textId="77777777" w:rsidR="003131CB" w:rsidRPr="0032177E" w:rsidRDefault="003131CB"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1100 Nemateriālais ieguldījums</w:t>
      </w:r>
    </w:p>
    <w:p w14:paraId="4BDEFB3F" w14:textId="77777777" w:rsidR="003131CB" w:rsidRPr="0032177E" w:rsidRDefault="003131CB"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8580 Ieņēmumi no ilgtermiņa aktīvu sākotnējās atzīšanas</w:t>
      </w:r>
    </w:p>
    <w:p w14:paraId="44597F32"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161. Gadījumā, ja inventarizācijas rezultātā ir konstatēts nemateriālo ieguldījumu iztrūkums vai bojājums, kas liegtu tā tālāku izmantošanu budžeta iestādes darbībā, budžeta iestāde, pamatojoties uz iestādes vadītāja </w:t>
      </w:r>
      <w:r w:rsidR="008B3F73" w:rsidRPr="0032177E">
        <w:rPr>
          <w:rFonts w:ascii="Times New Roman" w:hAnsi="Times New Roman" w:cs="Times New Roman"/>
          <w:sz w:val="24"/>
          <w:szCs w:val="24"/>
        </w:rPr>
        <w:t>ziņojumu grāmatvedībai</w:t>
      </w:r>
      <w:r w:rsidRPr="0032177E">
        <w:rPr>
          <w:rFonts w:ascii="Times New Roman" w:hAnsi="Times New Roman" w:cs="Times New Roman"/>
          <w:sz w:val="24"/>
          <w:szCs w:val="24"/>
        </w:rPr>
        <w:t>, attiecīgo nemateriālo ieguldījumu noraksta no uzskaites, veicot sekojošus grāmatojumus:</w:t>
      </w:r>
    </w:p>
    <w:p w14:paraId="38717CCD" w14:textId="77777777" w:rsidR="008B3F73" w:rsidRPr="0032177E" w:rsidRDefault="008B3F7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1190 Nemateriālo ieguldījumu amortizācija un vērtības samazinājums </w:t>
      </w:r>
    </w:p>
    <w:p w14:paraId="74CDA3EE" w14:textId="77777777" w:rsidR="008B3F73" w:rsidRPr="007F7C59" w:rsidRDefault="008B3F7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Nemateriālais ieguldījums</w:t>
      </w:r>
    </w:p>
    <w:p w14:paraId="1016CB0A" w14:textId="77777777" w:rsidR="008B3F73" w:rsidRPr="007F7C59" w:rsidRDefault="008B3F7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8610 Izdevumi no nefinanšu aktīvu izslēgšanas </w:t>
      </w:r>
    </w:p>
    <w:p w14:paraId="5577EF8F" w14:textId="77777777" w:rsidR="008B3F73" w:rsidRPr="007F7C59" w:rsidRDefault="008B3F7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Nemateriālais ieguldījums</w:t>
      </w:r>
    </w:p>
    <w:p w14:paraId="752E323D" w14:textId="77777777" w:rsidR="008B3F73" w:rsidRDefault="008B3F7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162. Gadījumā, ja inventarizācijas rezultātā ir konstatēts nemateriālā ieguldījuma bojājums un vērtības samazinājuma pazīmes, budžeta iestāde piemēro vērtības samazināšanās uzskaites principus, kas apskatīti šīs uzskaites kārtības  </w:t>
      </w:r>
      <w:r w:rsidR="002F1E6A" w:rsidRPr="0032177E">
        <w:rPr>
          <w:rFonts w:ascii="Times New Roman" w:hAnsi="Times New Roman" w:cs="Times New Roman"/>
          <w:sz w:val="24"/>
          <w:szCs w:val="24"/>
        </w:rPr>
        <w:t>9</w:t>
      </w:r>
      <w:r w:rsidRPr="0032177E">
        <w:rPr>
          <w:rFonts w:ascii="Times New Roman" w:hAnsi="Times New Roman" w:cs="Times New Roman"/>
          <w:sz w:val="24"/>
          <w:szCs w:val="24"/>
        </w:rPr>
        <w:t>.2.sadaļā “Nemateriālo ieguldījumu amortizācija( nolietojums) un</w:t>
      </w:r>
      <w:r w:rsidR="008D3BFB">
        <w:rPr>
          <w:rFonts w:ascii="Times New Roman" w:hAnsi="Times New Roman" w:cs="Times New Roman"/>
          <w:sz w:val="24"/>
          <w:szCs w:val="24"/>
        </w:rPr>
        <w:t xml:space="preserve"> </w:t>
      </w:r>
      <w:r w:rsidRPr="0032177E">
        <w:rPr>
          <w:rFonts w:ascii="Times New Roman" w:hAnsi="Times New Roman" w:cs="Times New Roman"/>
          <w:sz w:val="24"/>
          <w:szCs w:val="24"/>
        </w:rPr>
        <w:t>vērtības samazināšanās”.</w:t>
      </w:r>
    </w:p>
    <w:p w14:paraId="084A4094" w14:textId="77777777" w:rsidR="0032177E" w:rsidRPr="0032177E" w:rsidRDefault="008D3BF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p>
    <w:p w14:paraId="239C2F54" w14:textId="77777777" w:rsidR="002F1E6A" w:rsidRDefault="002F1E6A"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9.</w:t>
      </w:r>
      <w:r w:rsidR="007532E7" w:rsidRPr="0032177E">
        <w:rPr>
          <w:rFonts w:ascii="Times New Roman" w:hAnsi="Times New Roman" w:cs="Times New Roman"/>
          <w:b/>
          <w:sz w:val="24"/>
          <w:szCs w:val="24"/>
        </w:rPr>
        <w:t>5</w:t>
      </w:r>
      <w:r w:rsidRPr="0032177E">
        <w:rPr>
          <w:rFonts w:ascii="Times New Roman" w:hAnsi="Times New Roman" w:cs="Times New Roman"/>
          <w:b/>
          <w:sz w:val="24"/>
          <w:szCs w:val="24"/>
        </w:rPr>
        <w:t>. Informācijas uzrādīšana</w:t>
      </w:r>
    </w:p>
    <w:p w14:paraId="39D080E2" w14:textId="77777777" w:rsidR="0032177E" w:rsidRPr="0032177E" w:rsidRDefault="0032177E" w:rsidP="00CD363C">
      <w:pPr>
        <w:spacing w:after="0" w:line="240" w:lineRule="auto"/>
        <w:ind w:right="-142"/>
        <w:jc w:val="both"/>
        <w:rPr>
          <w:rFonts w:ascii="Times New Roman" w:hAnsi="Times New Roman" w:cs="Times New Roman"/>
          <w:b/>
          <w:sz w:val="24"/>
          <w:szCs w:val="24"/>
        </w:rPr>
      </w:pPr>
    </w:p>
    <w:p w14:paraId="0EED300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163. Budžeta iestāde uzrāda sekojošu informāciju gada pārskatā par nemateriālajiem ieguldījumiem: </w:t>
      </w:r>
    </w:p>
    <w:p w14:paraId="3C5737E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163.1. Budžeta iestāde norāda nemateriālos ieguldījumus pārskatā par finansiālo</w:t>
      </w:r>
    </w:p>
    <w:p w14:paraId="79098DAF" w14:textId="77777777" w:rsidR="002F1E6A" w:rsidRPr="0032177E" w:rsidRDefault="002F1E6A" w:rsidP="00CD363C">
      <w:pPr>
        <w:spacing w:after="0" w:line="240" w:lineRule="auto"/>
        <w:ind w:left="-142" w:right="-142" w:hanging="142"/>
        <w:jc w:val="both"/>
        <w:rPr>
          <w:rFonts w:ascii="Times New Roman" w:hAnsi="Times New Roman" w:cs="Times New Roman"/>
          <w:sz w:val="24"/>
          <w:szCs w:val="24"/>
        </w:rPr>
      </w:pPr>
      <w:r w:rsidRPr="0032177E">
        <w:rPr>
          <w:rFonts w:ascii="Times New Roman" w:hAnsi="Times New Roman" w:cs="Times New Roman"/>
          <w:sz w:val="24"/>
          <w:szCs w:val="24"/>
        </w:rPr>
        <w:t xml:space="preserve">    stāvokli    jeb bilancē to atlikušajā vērtībā. Nemateriālo ieguldījumu atlikušo</w:t>
      </w:r>
    </w:p>
    <w:p w14:paraId="7E8D65C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vērtību  aprēķina, no sākotnējās vērtības atskaitot amortizāciju un vērtības    </w:t>
      </w:r>
    </w:p>
    <w:p w14:paraId="1187C47E" w14:textId="77777777" w:rsidR="002F1E6A" w:rsidRPr="0032177E" w:rsidRDefault="002F1E6A" w:rsidP="00CD363C">
      <w:pPr>
        <w:spacing w:after="0" w:line="240" w:lineRule="auto"/>
        <w:ind w:left="-142" w:right="-142" w:firstLine="142"/>
        <w:jc w:val="both"/>
        <w:rPr>
          <w:rFonts w:ascii="Times New Roman" w:hAnsi="Times New Roman" w:cs="Times New Roman"/>
          <w:sz w:val="24"/>
          <w:szCs w:val="24"/>
        </w:rPr>
      </w:pPr>
      <w:r w:rsidRPr="0032177E">
        <w:rPr>
          <w:rFonts w:ascii="Times New Roman" w:hAnsi="Times New Roman" w:cs="Times New Roman"/>
          <w:sz w:val="24"/>
          <w:szCs w:val="24"/>
        </w:rPr>
        <w:t>samazinājumu;</w:t>
      </w:r>
    </w:p>
    <w:p w14:paraId="2089C6DB"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163.2. Papildus budžeta iestāde finanšu pārskata pielikuma finanšu pārskata </w:t>
      </w:r>
    </w:p>
    <w:p w14:paraId="609E720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posteņu strukturizētajā skaidrojumā 1.1. piezīmē “Nemateriālie ieguldījumi” </w:t>
      </w:r>
    </w:p>
    <w:p w14:paraId="398A93A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sniedz informāciju par: </w:t>
      </w:r>
    </w:p>
    <w:p w14:paraId="144E235D"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 nemateriālo ieguldījumu uzskaites vērtībām pārskata perioda sākumā un beigās, </w:t>
      </w:r>
    </w:p>
    <w:p w14:paraId="14AF7025"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kā arī    izmaiņām perioda laikā (absolūtajās vienībās un %); </w:t>
      </w:r>
    </w:p>
    <w:p w14:paraId="296DE84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būtiskiem darījumiem vai notikumiem pārskata periodā, kas ietekmēja</w:t>
      </w:r>
    </w:p>
    <w:p w14:paraId="7873AA8D"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izmaiņas un darījumiem, kas ir vienādi ar vienu miljonu EUR absolūtajā vērtībā </w:t>
      </w:r>
    </w:p>
    <w:p w14:paraId="0862D21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vai lielāki; </w:t>
      </w:r>
    </w:p>
    <w:p w14:paraId="52239C25" w14:textId="77777777" w:rsidR="00BC621D"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izmaiņām bilances posteņa vērtībā; </w:t>
      </w:r>
    </w:p>
    <w:p w14:paraId="3B2A09B7" w14:textId="77777777" w:rsidR="0010766A" w:rsidRPr="0032177E" w:rsidRDefault="00BC621D"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w:t>
      </w:r>
      <w:r w:rsidR="002F1E6A" w:rsidRPr="0032177E">
        <w:rPr>
          <w:rFonts w:ascii="Times New Roman" w:hAnsi="Times New Roman" w:cs="Times New Roman"/>
          <w:sz w:val="24"/>
          <w:szCs w:val="24"/>
        </w:rPr>
        <w:t xml:space="preserve"> informāciju par pārskata gada katru </w:t>
      </w:r>
    </w:p>
    <w:p w14:paraId="56C375E4"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vērtības samazinājuma atzīšanu vai norakstīšanu; </w:t>
      </w:r>
    </w:p>
    <w:p w14:paraId="238E7F73"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informāciju par pašu izveidotiem nemateriālajiem ieguldījumiem; </w:t>
      </w:r>
    </w:p>
    <w:p w14:paraId="2CBC2D87"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informāciju par nemateriālajiem ieguldījumiem ar nenoteiktu lietderīgās</w:t>
      </w:r>
    </w:p>
    <w:p w14:paraId="4A2B6A36"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lietošanas laiku;</w:t>
      </w:r>
    </w:p>
    <w:p w14:paraId="7E966F1B"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reorganizācijas rezultātā un bez atlīdzības saņemto un nodoto </w:t>
      </w:r>
    </w:p>
    <w:p w14:paraId="6C3168AD"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finanšu ieguldījumu vērtību; </w:t>
      </w:r>
    </w:p>
    <w:p w14:paraId="3E899714"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vērtības samazinājumu avansa maksājumiem sadalījumā pa metodēm </w:t>
      </w:r>
    </w:p>
    <w:p w14:paraId="3F75B933"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un atbilstoši grupām pēc to izpildes termiņa kavējuma pārskata perioda beigās; </w:t>
      </w:r>
    </w:p>
    <w:p w14:paraId="224EB8B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citu informāciju pārskatu lietotājiem. </w:t>
      </w:r>
    </w:p>
    <w:p w14:paraId="411005A3"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Budžeta iestāde sniedz informāciju finanšu pārskata posteņu strukturizētajā skaidrojumā saskaņā ar Valsts kases sagatavotajām finanšu pārskata posteņu strukturizētā skaidrojuma sagatavošanas vadlīnijām, kas publicētas Valsts kases tīmekļa vietnē.</w:t>
      </w:r>
    </w:p>
    <w:p w14:paraId="1EB525EB" w14:textId="77777777" w:rsidR="00AC25B1" w:rsidRPr="0032177E" w:rsidRDefault="007F3EFE"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164.</w:t>
      </w:r>
      <w:r w:rsidR="00AC25B1" w:rsidRPr="0032177E">
        <w:rPr>
          <w:rFonts w:ascii="Times New Roman" w:hAnsi="Times New Roman" w:cs="Times New Roman"/>
          <w:sz w:val="24"/>
          <w:szCs w:val="24"/>
        </w:rPr>
        <w:t xml:space="preserve"> Finanšu pārskata pielikuma grāmatvedības uzskaites principu aprakstā budžeta iestāde sniedz attiecīgi informāciju par: </w:t>
      </w:r>
    </w:p>
    <w:p w14:paraId="267C6AD6"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nemateriālo ieguldījumu klasifikāciju, sākotnējo atzīšanu un novērtēšanu,</w:t>
      </w:r>
    </w:p>
    <w:p w14:paraId="0E1B4BA4"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turpmāko novērtēšanu (piemēram, amortizācija, vērtības samazinājums),</w:t>
      </w:r>
    </w:p>
    <w:p w14:paraId="48319963"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izslēgšanu no uzskaites; </w:t>
      </w:r>
    </w:p>
    <w:p w14:paraId="31D63765"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metodēm un nozīmīgiem pieņēmumiem, kas izmantoti nemateriālo ieguldījumu </w:t>
      </w:r>
    </w:p>
    <w:p w14:paraId="0217DBA9"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patiesās  vērtības noteikšanai </w:t>
      </w:r>
    </w:p>
    <w:p w14:paraId="68529E2F" w14:textId="77777777" w:rsidR="007F3EFE"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nemateriālo ieguldījumu vērtības samazinājuma iemesliem un aprēķināšanas metodēm.</w:t>
      </w:r>
      <w:r w:rsidR="0032177E" w:rsidRPr="0032177E">
        <w:rPr>
          <w:rFonts w:ascii="Times New Roman" w:hAnsi="Times New Roman" w:cs="Times New Roman"/>
          <w:sz w:val="24"/>
          <w:szCs w:val="24"/>
        </w:rPr>
        <w:t xml:space="preserve"> </w:t>
      </w:r>
    </w:p>
    <w:p w14:paraId="448B6F55" w14:textId="77777777" w:rsidR="0032177E" w:rsidRPr="0032177E" w:rsidRDefault="0032177E" w:rsidP="00CD363C">
      <w:pPr>
        <w:spacing w:after="0" w:line="240" w:lineRule="auto"/>
        <w:ind w:right="-142"/>
        <w:jc w:val="both"/>
        <w:rPr>
          <w:rFonts w:ascii="Times New Roman" w:hAnsi="Times New Roman" w:cs="Times New Roman"/>
          <w:sz w:val="24"/>
          <w:szCs w:val="24"/>
        </w:rPr>
      </w:pPr>
    </w:p>
    <w:p w14:paraId="343ADCD5" w14:textId="77777777" w:rsidR="00AC25B1" w:rsidRPr="0032177E" w:rsidRDefault="00AC25B1"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9.</w:t>
      </w:r>
      <w:r w:rsidR="007532E7" w:rsidRPr="0032177E">
        <w:rPr>
          <w:rFonts w:ascii="Times New Roman" w:hAnsi="Times New Roman" w:cs="Times New Roman"/>
          <w:b/>
          <w:sz w:val="24"/>
          <w:szCs w:val="24"/>
        </w:rPr>
        <w:t>6</w:t>
      </w:r>
      <w:r w:rsidRPr="0032177E">
        <w:rPr>
          <w:rFonts w:ascii="Times New Roman" w:hAnsi="Times New Roman" w:cs="Times New Roman"/>
          <w:b/>
          <w:sz w:val="24"/>
          <w:szCs w:val="24"/>
        </w:rPr>
        <w:t>. Praktiski piemēri nemateriālo ieguldījumu uzskaitē</w:t>
      </w:r>
    </w:p>
    <w:p w14:paraId="51369FC2"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165.</w:t>
      </w:r>
      <w:r w:rsidR="00D33864" w:rsidRPr="0032177E">
        <w:rPr>
          <w:rFonts w:ascii="Times New Roman" w:hAnsi="Times New Roman" w:cs="Times New Roman"/>
          <w:sz w:val="24"/>
          <w:szCs w:val="24"/>
        </w:rPr>
        <w:t xml:space="preserve"> Piemēri, kas ilustrē tīmekļa vietnes izstrādes posmus un izdevumu uzskaiti katrā tīmekļa vietnes izstrādes posmā:</w:t>
      </w:r>
    </w:p>
    <w:tbl>
      <w:tblPr>
        <w:tblStyle w:val="Reatabula"/>
        <w:tblW w:w="0" w:type="auto"/>
        <w:tblLook w:val="04A0" w:firstRow="1" w:lastRow="0" w:firstColumn="1" w:lastColumn="0" w:noHBand="0" w:noVBand="1"/>
      </w:tblPr>
      <w:tblGrid>
        <w:gridCol w:w="4261"/>
        <w:gridCol w:w="4261"/>
      </w:tblGrid>
      <w:tr w:rsidR="00D33864" w:rsidRPr="0032177E" w14:paraId="57657273" w14:textId="77777777" w:rsidTr="00D33864">
        <w:tc>
          <w:tcPr>
            <w:tcW w:w="4261" w:type="dxa"/>
          </w:tcPr>
          <w:p w14:paraId="379BC126"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POSMS / IZDEVUMU VEIDS</w:t>
            </w:r>
          </w:p>
        </w:tc>
        <w:tc>
          <w:tcPr>
            <w:tcW w:w="4261" w:type="dxa"/>
          </w:tcPr>
          <w:p w14:paraId="6D4DA951"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Uzskaite</w:t>
            </w:r>
          </w:p>
        </w:tc>
      </w:tr>
      <w:tr w:rsidR="00D33864" w:rsidRPr="0032177E" w14:paraId="24A35C9E" w14:textId="77777777" w:rsidTr="00D33864">
        <w:tc>
          <w:tcPr>
            <w:tcW w:w="4261" w:type="dxa"/>
          </w:tcPr>
          <w:p w14:paraId="69E48083"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PLĀNOŠANA</w:t>
            </w:r>
          </w:p>
        </w:tc>
        <w:tc>
          <w:tcPr>
            <w:tcW w:w="4261" w:type="dxa"/>
          </w:tcPr>
          <w:p w14:paraId="7E232084" w14:textId="77777777" w:rsidR="00D33864" w:rsidRPr="0032177E" w:rsidRDefault="00D33864" w:rsidP="00CD363C">
            <w:pPr>
              <w:ind w:right="-142"/>
              <w:jc w:val="both"/>
              <w:rPr>
                <w:rFonts w:ascii="Times New Roman" w:hAnsi="Times New Roman" w:cs="Times New Roman"/>
                <w:sz w:val="24"/>
                <w:szCs w:val="24"/>
              </w:rPr>
            </w:pPr>
          </w:p>
        </w:tc>
      </w:tr>
      <w:tr w:rsidR="00D33864" w:rsidRPr="0032177E" w14:paraId="3F1B5F46" w14:textId="77777777" w:rsidTr="00D33864">
        <w:trPr>
          <w:trHeight w:val="1834"/>
        </w:trPr>
        <w:tc>
          <w:tcPr>
            <w:tcW w:w="4261" w:type="dxa"/>
          </w:tcPr>
          <w:p w14:paraId="2A24EC32"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-Priekšizpēte </w:t>
            </w:r>
          </w:p>
          <w:p w14:paraId="658608FD"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Datortehnikas un programmnodrošinājuma specifikācijas noteikšana </w:t>
            </w:r>
          </w:p>
          <w:p w14:paraId="6213AF0B"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Alternatīvu produktu un piegādātāju izvērtēšana</w:t>
            </w:r>
          </w:p>
          <w:p w14:paraId="282F30BC"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Priekšrocību izvēle</w:t>
            </w:r>
          </w:p>
        </w:tc>
        <w:tc>
          <w:tcPr>
            <w:tcW w:w="4261" w:type="dxa"/>
          </w:tcPr>
          <w:p w14:paraId="356D59D0"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Ar plānošanu saistītās izmaksas atzīst izdevumos pārskata periodā, kurā tās radušās, jo plānošanas posms ir līdzīgs pētniecībai.</w:t>
            </w:r>
          </w:p>
        </w:tc>
      </w:tr>
      <w:tr w:rsidR="00D33864" w:rsidRPr="0032177E" w14:paraId="1D9BD4CB" w14:textId="77777777" w:rsidTr="00D33864">
        <w:tc>
          <w:tcPr>
            <w:tcW w:w="4261" w:type="dxa"/>
          </w:tcPr>
          <w:p w14:paraId="1822CAB0"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Lietojumprogrammas un infrastruktūras izstrāde</w:t>
            </w:r>
          </w:p>
        </w:tc>
        <w:tc>
          <w:tcPr>
            <w:tcW w:w="4261" w:type="dxa"/>
          </w:tcPr>
          <w:p w14:paraId="09C675A4" w14:textId="77777777" w:rsidR="00D33864" w:rsidRPr="0032177E" w:rsidRDefault="00D33864" w:rsidP="00CD363C">
            <w:pPr>
              <w:ind w:right="-142"/>
              <w:jc w:val="both"/>
              <w:rPr>
                <w:rFonts w:ascii="Times New Roman" w:hAnsi="Times New Roman" w:cs="Times New Roman"/>
                <w:sz w:val="24"/>
                <w:szCs w:val="24"/>
              </w:rPr>
            </w:pPr>
          </w:p>
        </w:tc>
      </w:tr>
      <w:tr w:rsidR="00D33864" w:rsidRPr="0032177E" w14:paraId="32C441D8" w14:textId="77777777" w:rsidTr="00D33864">
        <w:trPr>
          <w:trHeight w:val="2605"/>
        </w:trPr>
        <w:tc>
          <w:tcPr>
            <w:tcW w:w="4261" w:type="dxa"/>
          </w:tcPr>
          <w:p w14:paraId="7E3F3CC5"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Tehniskā nodrošinājuma iegāde vai izstrāde </w:t>
            </w:r>
          </w:p>
          <w:p w14:paraId="5B0B4747"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Domēna nosaukuma iegūšana </w:t>
            </w:r>
          </w:p>
          <w:p w14:paraId="5ABA566B"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-Operētājsistēmas programmatūras izstrāde (piemēram, operētājsistēma un servera programmatūra)</w:t>
            </w:r>
          </w:p>
          <w:p w14:paraId="399228BA"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Lietojumprogrammas koda izstrāde</w:t>
            </w:r>
          </w:p>
          <w:p w14:paraId="373149F4"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Izstrādāto lietojumprogrammu instalēšana uz tīmekļa servera </w:t>
            </w:r>
          </w:p>
          <w:p w14:paraId="78EEDC12"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Stresa testi</w:t>
            </w:r>
          </w:p>
        </w:tc>
        <w:tc>
          <w:tcPr>
            <w:tcW w:w="4261" w:type="dxa"/>
          </w:tcPr>
          <w:p w14:paraId="7E7D94D9" w14:textId="77777777" w:rsidR="00D33864" w:rsidRPr="0032177E" w:rsidRDefault="009F6EC5"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 Tādas izmaksas var kapitalizēt tikai, ja tās ir tieši attiecināmas uz tīmekļa vietnes sagatavošanu tās izmantošanai atbilstoši vadības paredzētajam mērķim un atbilst nemateriālā ieguldījuma atzīšanas kritērijiem, t.i. ir ticams, ka budžeta iestādē ieplūdīs ar to saistītie nākotnes saimnieciskie labumi, un tā izmaksu vai patieso vērtību var ticami novērtēt.</w:t>
            </w:r>
          </w:p>
        </w:tc>
      </w:tr>
      <w:tr w:rsidR="00D33864" w:rsidRPr="0032177E" w14:paraId="7D250733" w14:textId="77777777" w:rsidTr="00D33864">
        <w:tc>
          <w:tcPr>
            <w:tcW w:w="4261" w:type="dxa"/>
          </w:tcPr>
          <w:p w14:paraId="2E1EBC6F" w14:textId="77777777" w:rsidR="00D33864" w:rsidRPr="0032177E" w:rsidRDefault="0024559B"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Grafiskā </w:t>
            </w:r>
            <w:r w:rsidR="00FB7766" w:rsidRPr="0032177E">
              <w:rPr>
                <w:rFonts w:ascii="Times New Roman" w:hAnsi="Times New Roman" w:cs="Times New Roman"/>
                <w:b/>
                <w:sz w:val="24"/>
                <w:szCs w:val="24"/>
              </w:rPr>
              <w:t>dizaina izstrāde</w:t>
            </w:r>
          </w:p>
        </w:tc>
        <w:tc>
          <w:tcPr>
            <w:tcW w:w="4261" w:type="dxa"/>
          </w:tcPr>
          <w:p w14:paraId="6C2FB44E" w14:textId="77777777" w:rsidR="00D33864" w:rsidRPr="0032177E" w:rsidRDefault="00D33864" w:rsidP="00CD363C">
            <w:pPr>
              <w:ind w:right="-142"/>
              <w:jc w:val="both"/>
              <w:rPr>
                <w:rFonts w:ascii="Times New Roman" w:hAnsi="Times New Roman" w:cs="Times New Roman"/>
                <w:sz w:val="24"/>
                <w:szCs w:val="24"/>
              </w:rPr>
            </w:pPr>
          </w:p>
        </w:tc>
      </w:tr>
      <w:tr w:rsidR="00D33864" w:rsidRPr="0032177E" w14:paraId="48E9F7F7" w14:textId="77777777" w:rsidTr="00D33864">
        <w:tc>
          <w:tcPr>
            <w:tcW w:w="4261" w:type="dxa"/>
          </w:tcPr>
          <w:p w14:paraId="10921AE7" w14:textId="77777777" w:rsidR="00D33864" w:rsidRPr="0032177E" w:rsidRDefault="00FB7766"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Tīmekļa lapu vizuālā izskata izstrāde (piemēram, lapas izkārtojums un krāsas)</w:t>
            </w:r>
          </w:p>
        </w:tc>
        <w:tc>
          <w:tcPr>
            <w:tcW w:w="4261" w:type="dxa"/>
          </w:tcPr>
          <w:p w14:paraId="501ECEA2" w14:textId="77777777" w:rsidR="00D33864" w:rsidRPr="0032177E" w:rsidRDefault="00FB7766"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 ja vien izdevumus nevar tieši attiecināt uz tīmekļa vietnes sagatavošanu tās izmantošanai vadības paredzētajam mērķim, un tās atbilst nemateriālā aktīva atzīšanas kritērijiem</w:t>
            </w:r>
          </w:p>
        </w:tc>
      </w:tr>
      <w:tr w:rsidR="00D33864" w:rsidRPr="0032177E" w14:paraId="636DA881" w14:textId="77777777" w:rsidTr="00D33864">
        <w:tc>
          <w:tcPr>
            <w:tcW w:w="4261" w:type="dxa"/>
          </w:tcPr>
          <w:p w14:paraId="52DA93C6" w14:textId="77777777" w:rsidR="00D33864" w:rsidRPr="0032177E" w:rsidRDefault="0049141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Satura izstrāde</w:t>
            </w:r>
          </w:p>
        </w:tc>
        <w:tc>
          <w:tcPr>
            <w:tcW w:w="4261" w:type="dxa"/>
          </w:tcPr>
          <w:p w14:paraId="2663F2FD" w14:textId="77777777" w:rsidR="00D33864" w:rsidRPr="0032177E" w:rsidRDefault="00D33864" w:rsidP="00CD363C">
            <w:pPr>
              <w:ind w:right="-142"/>
              <w:jc w:val="both"/>
              <w:rPr>
                <w:rFonts w:ascii="Times New Roman" w:hAnsi="Times New Roman" w:cs="Times New Roman"/>
                <w:sz w:val="24"/>
                <w:szCs w:val="24"/>
              </w:rPr>
            </w:pPr>
          </w:p>
        </w:tc>
      </w:tr>
      <w:tr w:rsidR="00FB7766" w:rsidRPr="0032177E" w14:paraId="4571B228" w14:textId="77777777" w:rsidTr="00D33864">
        <w:tc>
          <w:tcPr>
            <w:tcW w:w="4261" w:type="dxa"/>
          </w:tcPr>
          <w:p w14:paraId="00E6397B"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Informācijas radīšana, iegāde, sagatavošana (piemēram, norādes un izvēlnes izveidi) un informācijas augšupielāde tekstā vai grafiskā veidā tīmekļa vietnē pirms tīmekļa vietnes izveides pabeigšanas. Satura piemēri ietver informāciju par budžeta iestādi, pakalpojumiem vai produktiem, kā arī tēmas, kurām var piekļūt vietnes abonenti.</w:t>
            </w:r>
          </w:p>
        </w:tc>
        <w:tc>
          <w:tcPr>
            <w:tcW w:w="4261" w:type="dxa"/>
          </w:tcPr>
          <w:p w14:paraId="1B37C448"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 ja saturs izstrādāts, lai reklamētu un veicinātu budžeta iestādes pakalpojumus un produktus (piemēram, produktu digitālās fotogrāfijas). Tādas izmaksas var kapitalizēt tikai, ja tās ir tieši attiecināmas uz tīmekļa vietnes sagatavošanu tās izmantošanai atbilstoši vadības paredzētajam mērķim un atbilst nemateriālā ieguldījuma atzīšanas kritērijiem.</w:t>
            </w:r>
          </w:p>
        </w:tc>
      </w:tr>
      <w:tr w:rsidR="00FB7766" w:rsidRPr="0032177E" w14:paraId="3B026356" w14:textId="77777777" w:rsidTr="00D33864">
        <w:tc>
          <w:tcPr>
            <w:tcW w:w="4261" w:type="dxa"/>
          </w:tcPr>
          <w:p w14:paraId="35CC901F" w14:textId="77777777" w:rsidR="00FB7766" w:rsidRPr="0032177E" w:rsidRDefault="0049141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Darbības posms</w:t>
            </w:r>
          </w:p>
        </w:tc>
        <w:tc>
          <w:tcPr>
            <w:tcW w:w="4261" w:type="dxa"/>
          </w:tcPr>
          <w:p w14:paraId="03C1C07E" w14:textId="77777777" w:rsidR="00FB7766" w:rsidRPr="0032177E" w:rsidRDefault="00FB7766" w:rsidP="00CD363C">
            <w:pPr>
              <w:ind w:right="-142"/>
              <w:jc w:val="both"/>
              <w:rPr>
                <w:rFonts w:ascii="Times New Roman" w:hAnsi="Times New Roman" w:cs="Times New Roman"/>
                <w:sz w:val="24"/>
                <w:szCs w:val="24"/>
              </w:rPr>
            </w:pPr>
          </w:p>
        </w:tc>
      </w:tr>
      <w:tr w:rsidR="00FB7766" w:rsidRPr="0032177E" w14:paraId="4D3573DF" w14:textId="77777777" w:rsidTr="00D33864">
        <w:tc>
          <w:tcPr>
            <w:tcW w:w="4261" w:type="dxa"/>
          </w:tcPr>
          <w:p w14:paraId="65A9B19B"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-Grafiskā dizaina pilnveidošana un satura pārskatīšana</w:t>
            </w:r>
          </w:p>
          <w:p w14:paraId="3A0F7F92"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Jaunu funkciju, īpašību un satura pievienošana </w:t>
            </w:r>
          </w:p>
          <w:p w14:paraId="7F9DCBF7"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Tīmekļa vietnes reģistrācija meklētājprogrammās </w:t>
            </w:r>
          </w:p>
          <w:p w14:paraId="63A6D151"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Datu dublēšana </w:t>
            </w:r>
          </w:p>
          <w:p w14:paraId="11B903BE"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Piekļuves drošības pārbaude </w:t>
            </w:r>
          </w:p>
          <w:p w14:paraId="01D15869"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Tīmekļa vietnes izmantošanas analīze</w:t>
            </w:r>
          </w:p>
        </w:tc>
        <w:tc>
          <w:tcPr>
            <w:tcW w:w="4261" w:type="dxa"/>
          </w:tcPr>
          <w:p w14:paraId="57395317"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Izvērtē, vai radušās izmaksas atbilst nemateriālā ieguldījuma definīcijai un atzīšanas kritērijiem; šādā gadījumā izmaksas atzīst nemateriālā ieguldījuma uzskaites (atlikušajā) vērtībā. Ja izmaksas neatbilst nemateriālā ieguldījuma definīcijai un atzīšanas kritērijiem, tās atzīst izdevumos pārskata periodā, kurā tās radušās.</w:t>
            </w:r>
          </w:p>
        </w:tc>
      </w:tr>
      <w:tr w:rsidR="00FB7766" w:rsidRPr="0032177E" w14:paraId="408D59D6" w14:textId="77777777" w:rsidTr="00D33864">
        <w:tc>
          <w:tcPr>
            <w:tcW w:w="4261" w:type="dxa"/>
          </w:tcPr>
          <w:p w14:paraId="16AB0CAE" w14:textId="77777777" w:rsidR="00FB7766" w:rsidRPr="0032177E" w:rsidRDefault="0049141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Citi</w:t>
            </w:r>
          </w:p>
        </w:tc>
        <w:tc>
          <w:tcPr>
            <w:tcW w:w="4261" w:type="dxa"/>
          </w:tcPr>
          <w:p w14:paraId="3B121A72" w14:textId="77777777" w:rsidR="00FB7766" w:rsidRPr="0032177E" w:rsidRDefault="00FB7766" w:rsidP="00CD363C">
            <w:pPr>
              <w:ind w:right="-142"/>
              <w:jc w:val="both"/>
              <w:rPr>
                <w:rFonts w:ascii="Times New Roman" w:hAnsi="Times New Roman" w:cs="Times New Roman"/>
                <w:sz w:val="24"/>
                <w:szCs w:val="24"/>
              </w:rPr>
            </w:pPr>
          </w:p>
        </w:tc>
      </w:tr>
      <w:tr w:rsidR="00491414" w:rsidRPr="0032177E" w14:paraId="0F4CDA72" w14:textId="77777777" w:rsidTr="00D33864">
        <w:tc>
          <w:tcPr>
            <w:tcW w:w="4261" w:type="dxa"/>
          </w:tcPr>
          <w:p w14:paraId="09BC3918"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-Pārdošanas, administratīvie un citi vispārējie pieskaitāmie izdevumi, ja vien šos izdevumus nevar tieši attiecināt uz tīmekļa vietnes sagatavošanu tās izmantošanai vadības paredzētajam mērķim </w:t>
            </w:r>
          </w:p>
          <w:p w14:paraId="14E6F2BC"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Skaidri konstatēta neefektivitāte un sākotnējie saimnieciskās darbības zaudējumi, kas radušies, pirms tīmekļa vietne ir sasniegusi plānotos darbības rezultātus (piemēram, atsevišķi testi)</w:t>
            </w:r>
          </w:p>
          <w:p w14:paraId="7AFAE5CB"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Darbinieku apmācība darbam ar tīmekļa vietni</w:t>
            </w:r>
          </w:p>
        </w:tc>
        <w:tc>
          <w:tcPr>
            <w:tcW w:w="4261" w:type="dxa"/>
          </w:tcPr>
          <w:p w14:paraId="064E923D"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w:t>
            </w:r>
          </w:p>
        </w:tc>
      </w:tr>
    </w:tbl>
    <w:p w14:paraId="1265084E"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Datorprogrammu licenču uzskaite, ņemot vērā saistošo vienošanos nosacījumus </w:t>
      </w:r>
    </w:p>
    <w:p w14:paraId="48FC575A"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166. Gadījums, ja tiek iegādāta terminēta licence uz 1 gadu un izpildās viens no diviem nosacījumiem: </w:t>
      </w:r>
    </w:p>
    <w:p w14:paraId="13AFE852"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-licences līguma noteikumi neparedz licenču atjaunošanu līguma termiņa beigās; vai </w:t>
      </w:r>
    </w:p>
    <w:p w14:paraId="5E705659"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licences līguma noteikumi paredz licenču atjaunošanas iespēju līguma termiņa beigās, tomēr nav pierādījumu, kas apliecina, ka budžeta iestāde būtu spējīga atjaunot licences līgumu bez būtiskām izmaksām. </w:t>
      </w:r>
    </w:p>
    <w:p w14:paraId="16AD75E4" w14:textId="77777777" w:rsidR="007A3746"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Budžeta iestāde noslēdz datorprogrammas licences līgumu uz 1 gadu, saskaņā ar kuru gada maksa par datorprogrammas lietošanu ir 1 800.00 EUR. Budžeta iestāde veic maksājumu 2019. gada 21.martā par 12 mēnešu periodu, sākot no 2019. gada aprīļa līdz 2020. gada martam. Licences līguma noteikumi neparedz licences atjaunošanu līguma termiņa beigās. Piemērā pieņemts, ka budžeta iestāde nav PVN maksātājs.</w:t>
      </w:r>
    </w:p>
    <w:p w14:paraId="17907257"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pie licences iegādes un maksājuma veikšanas 2019.gada 21.martā: </w:t>
      </w:r>
    </w:p>
    <w:p w14:paraId="1B7F2429"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D 2427 Pārējie nākamo periodu izdevumi 1 800.00 EUR</w:t>
      </w:r>
    </w:p>
    <w:p w14:paraId="779B0757"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2620 Norēķinu konti Valsts kasē vai kredītiestādēs 1 800.00 EUR </w:t>
      </w:r>
    </w:p>
    <w:p w14:paraId="11759BA1"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30.04.2019. un turpmāk katra mēneša beigās noraksta 1/12 no maksājuma uz izdevumiem:</w:t>
      </w:r>
    </w:p>
    <w:p w14:paraId="67E02F40"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150.00 EUR</w:t>
      </w:r>
    </w:p>
    <w:p w14:paraId="1E819A32"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2427 Pārējie nākamo periodu izdevumi 150.00 EUR</w:t>
      </w:r>
    </w:p>
    <w:p w14:paraId="6D0531E0" w14:textId="77777777" w:rsidR="00150A37"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167. Gadījums, ja tiek iegādāta terminēta licence uz 2 gadiem. Lai gan licences līguma noteikumi paredz licences atjaunošanu termiņa beigās, tomēr nav pietiekama pārliecība, ka līgums tiks atjaunots tā termiņa beigās. </w:t>
      </w:r>
    </w:p>
    <w:p w14:paraId="7B5743AD" w14:textId="77777777" w:rsidR="00150A37"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00150A37" w:rsidRPr="00957029">
        <w:rPr>
          <w:rFonts w:ascii="Times New Roman" w:hAnsi="Times New Roman" w:cs="Times New Roman"/>
          <w:sz w:val="24"/>
          <w:szCs w:val="24"/>
        </w:rPr>
        <w:t>:</w:t>
      </w:r>
      <w:r w:rsidRPr="00957029">
        <w:rPr>
          <w:rFonts w:ascii="Times New Roman" w:hAnsi="Times New Roman" w:cs="Times New Roman"/>
          <w:sz w:val="24"/>
          <w:szCs w:val="24"/>
        </w:rPr>
        <w:t xml:space="preserve"> Budžeta iestāde 2019. gada martā noslēdz datorprogrammas licences līgumu uz 2 gadiem, sākot no 2019. gada marta līdz 2021. gada februārim. Līguma summa ir 1 800.00 EUR. Licences līguma noteikumi paredz licences atjaunošanu līguma termiņa beigās, tomēr nav pārliecība, ka līgums tiks atjaunots, kā arī budžeta iestādes rīcībā nav vēsturiskas pieredzes par līdzīga veida saistošo vienošanos atjaunošanu līguma termiņa beigās. Piemērā pieņemts, ka budžeta iestāde nav PVN maksātājs. </w:t>
      </w:r>
    </w:p>
    <w:p w14:paraId="5DCC33DD" w14:textId="77777777" w:rsidR="00150A37"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Budžeta iestāde uzskaita datorprogrammas licenci nemateriālo ieguldījumu sastāvā. Grāmatojums, iegādājoties licenci 2019.gada martā: </w:t>
      </w:r>
    </w:p>
    <w:p w14:paraId="7DEE9466"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D</w:t>
      </w: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 xml:space="preserve"> 1125 Licences datorprogrammām 1 800.00 EUR </w:t>
      </w:r>
    </w:p>
    <w:p w14:paraId="44C01B91"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K</w:t>
      </w: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 xml:space="preserve"> 5310 Īstermiņa saistības pret piegādātājiem un darbuzņēmējiem 1 800.00 EUR</w:t>
      </w:r>
    </w:p>
    <w:p w14:paraId="18EE761A"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Budžeta iestāde nosaka nemateriālajam ieguldījumam noteiktu lietderīgās lietošanas laiku – 2 gadus, kas atbilst saistošās vienošanās (licences līguma) termiņam. Budžeta iestāde datorprogrammas licences amortizāciju sāk aprēķināt ar nākamā mēneša pirmo datumu pēc tās nodošanas lietošanā. Datorprogrammas licences amortizāciju aprēķina atbilstoši tās lietderīgās lietošanas laikam (2 gadi), sākotnējo vērtību sistemātiski sadalot pa mēnešiem. Amortizācijas aprēķins: Nemateriālā ieguldījuma sākotnējā vērtība 1 800.00 EUR</w:t>
      </w:r>
    </w:p>
    <w:p w14:paraId="0F35708E"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Lietderīgās lietošanas laiks – 2 gadi Ikmēneša amortizācijas izdevumi 1 800.00 EUR /divi gadi / 12 mēneši = 75.00 EUR. Katra pārskata perioda (mēneša) beigās budžeta iestāde uzskaita datorprogrammas licences uzkrāto amortizāciju un amortizācijas izdevumus atzīst budžeta iestādes pamatdarbības izdevumos, veicot sekojošu grāmatojumu:</w:t>
      </w:r>
    </w:p>
    <w:p w14:paraId="102BB867"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atzīstot amortizācijas izdevumus mēneša beigās:</w:t>
      </w:r>
    </w:p>
    <w:p w14:paraId="784DFF76"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75.00 EUR </w:t>
      </w:r>
    </w:p>
    <w:p w14:paraId="634E4CF9"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75.00 EUR </w:t>
      </w:r>
    </w:p>
    <w:p w14:paraId="4DEBD714"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*Nemateriālo ieguldījumu amortizācijas uzskaites konti</w:t>
      </w:r>
    </w:p>
    <w:p w14:paraId="6BA7064F"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2021. gada martā pēc datorprogrammas licences vērtības pilnīgas iekļaušanas amortizācijas aprēķinā, amortizācijas aprēķinu pārtrauc. Budžeta iestāde izvērtē, vai attiecīgais nemateriālais ieguldījums ir saglabājams uzskaitē, vai arī ir nepieciešams veikt tā norakstīšanu no grāmatvedības uzskaites, pamatojoties uz saistošās vienošanās (līguma) noteikumiem. Gadījumā, ja līguma noteikumi paredz ierobežojumus attiecībā uz nemateriālā ieguldījuma lietošanu pēc līguma termiņa beigām, budžeta iestāde izslēdz pilnīgi amortizēto nemateriālo ieguldījumu no grāmatvedības uzskaites, veicot sekojošus grāmatojumus: Grāmatojums, izslēdzot nemateriālā ieguldījuma uzkrāto amortizāciju:</w:t>
      </w:r>
    </w:p>
    <w:p w14:paraId="01AA020F"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1195 Datorprogrammu uzkrātā amortizācija 1 800.00 EUR </w:t>
      </w:r>
    </w:p>
    <w:p w14:paraId="721DA894"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1 800.00 EUR </w:t>
      </w:r>
    </w:p>
    <w:p w14:paraId="76D91945"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izslēdzot nemateriālo ieguldījumu no nemateriālo ieguldījumu sastāva: </w:t>
      </w:r>
    </w:p>
    <w:p w14:paraId="01AB59D7"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8610 Izdevumi no nefinanšu aktīvu izslēgšanas 00.00 EUR </w:t>
      </w:r>
    </w:p>
    <w:p w14:paraId="25A244A1"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00.00 EUR</w:t>
      </w:r>
    </w:p>
    <w:p w14:paraId="5D2F9ED1"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168</w:t>
      </w:r>
      <w:r w:rsidRPr="00957029">
        <w:rPr>
          <w:rFonts w:ascii="Times New Roman" w:hAnsi="Times New Roman" w:cs="Times New Roman"/>
          <w:b/>
          <w:sz w:val="24"/>
          <w:szCs w:val="24"/>
        </w:rPr>
        <w:t>. Gadījums, ja tiek iegādāta terminēta licence uz 2 gadiem un licences līguma noteikumi paredz licenču līguma atjaunošanu, un budžeta iestādes rīcībā ir sekojoši pierādījumi, kas pamato licences līguma atjaunošanu bez būtiskām izmaksām:</w:t>
      </w:r>
    </w:p>
    <w:p w14:paraId="06ECAFF7"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a) no pieredzes var pamatoti secināt, ka licences līgums tiks atjaunots. Ja atjaunošanai ir nepieciešama trešās puses piekrišana, budžeta iestādes vadībai ir pietiekama pārliecība, ka trešā puse šo piekrišanu sniegs;</w:t>
      </w:r>
    </w:p>
    <w:p w14:paraId="412749C2"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b) ir pierādījumi, ka tiks izpildīti nepieciešamie nosacījumi, lai notiktu atjaunošana; un </w:t>
      </w:r>
    </w:p>
    <w:p w14:paraId="1B4565B4"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c) atjaunošanas izmaksas budžeta iestādei nav būtiskas, ja salīdzina ar paredzamo nākotnes saimniecisko labumu saņemšanu budžeta iestādē pēc tās atjaunošanas.</w:t>
      </w:r>
    </w:p>
    <w:p w14:paraId="505B7624"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Gadījumā, ja atjaunošanas izmaksas ir būtiskas, salīdzinot tās ar paredzamo nākotnes saimniecisko labumu saņemšanu budžeta iestādē pēc atjaunošanas, tās ir uzskaitāmas kā jauns, atsevišķs nemateriālais aktīvs.</w:t>
      </w:r>
    </w:p>
    <w:p w14:paraId="5FD0356B"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Budžeta iestāde 2019. gada martā noslēdz datorprogrammas licences līgumu uz 2 gadiem, sākot no 2019. gada marta līdz 2021. gada februārim. Licences līguma summa ir 1 800.00 EUR. Licences līgums paredz līguma atjaunošanas iespēju līguma termiņa beigās uz 1 gadu, veicot licences atjaunošanas maksājumu 200.00 EUR apmērā.</w:t>
      </w:r>
    </w:p>
    <w:p w14:paraId="519E2AC1" w14:textId="77777777" w:rsidR="00BC28FD"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Budžeta iestāde, sākotnēji atzīstot licenci grāmatvedības uzskaitē, plāno to atjaunot uz vēl vienu gadu, un var pamatoti secināt, ka līgums tiks atjaunots ar abpusēju līgumslēdzējpušu piekrišanu. Piemērā pieņemts, ka budžeta iestāde nav PVN maksātājs. Budžeta iestāde uzskaita datorprogrammas licenci nemateriālo ieguldījumu sastāvā. </w:t>
      </w:r>
    </w:p>
    <w:p w14:paraId="3BDB02A2" w14:textId="77777777" w:rsidR="00BC28FD"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iegādājoties licenci 2019.gada martā:</w:t>
      </w:r>
    </w:p>
    <w:p w14:paraId="5C00D67E" w14:textId="77777777" w:rsidR="00BC28FD"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D </w:t>
      </w:r>
      <w:r w:rsidR="00BC28F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1125 Licences datorprogrammām 1 800.00 EUR </w:t>
      </w:r>
    </w:p>
    <w:p w14:paraId="27319137" w14:textId="77777777" w:rsidR="00150A37"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150A37" w:rsidRPr="00957029">
        <w:rPr>
          <w:rFonts w:ascii="Times New Roman" w:hAnsi="Times New Roman" w:cs="Times New Roman"/>
          <w:b/>
          <w:sz w:val="24"/>
          <w:szCs w:val="24"/>
        </w:rPr>
        <w:t xml:space="preserve">K </w:t>
      </w:r>
      <w:r w:rsidRPr="00957029">
        <w:rPr>
          <w:rFonts w:ascii="Times New Roman" w:hAnsi="Times New Roman" w:cs="Times New Roman"/>
          <w:b/>
          <w:sz w:val="24"/>
          <w:szCs w:val="24"/>
        </w:rPr>
        <w:t xml:space="preserve">   </w:t>
      </w:r>
      <w:r w:rsidR="00150A37" w:rsidRPr="00957029">
        <w:rPr>
          <w:rFonts w:ascii="Times New Roman" w:hAnsi="Times New Roman" w:cs="Times New Roman"/>
          <w:b/>
          <w:sz w:val="24"/>
          <w:szCs w:val="24"/>
        </w:rPr>
        <w:t>5311 Saistības ar piegādātājiem un darbuzņēmējiem 1 800.00 EUR</w:t>
      </w:r>
    </w:p>
    <w:p w14:paraId="339CC4F8"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Budžeta iestāde nosaka nemateriālajam ieguldījumam noteiktu lietderīgās lietošanas laiku – 3 gadus. Lietderīgās lietošanas laiks ietver sevī saistošās vienošanas (licences līgums) termiņu – 2 gadi un līgumā paredzēto atjaunošanas termiņu – 1 gadu, pamatojoties uz pierādījumiem, ka līguma atjaunošana tiks veikta bez nozīmīgām izmaksām. Budžeta iestāde datorprogrammas licences amortizāciju sāk aprēķināt ar nākamā mēneša pirmo datumu pēc tās nodošanas lietošanā. Datorprogrammas licences amortizāciju aprēķina atbilstoši tās lietderīgās lietošanas laikam (3 gadi), sākotnējo vērtību sistemātiski sadalot pa mēnešiem.</w:t>
      </w:r>
    </w:p>
    <w:p w14:paraId="203D3DB4"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Amortizācijas aprēķins: </w:t>
      </w:r>
    </w:p>
    <w:p w14:paraId="6874F389"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Nemateriālā ieguldījuma sākotnējā vērtība 1 800.00 EUR Lietderīgās lietošanas laiks – 3 gadi Ikmēneša amortizācijas izdevumi 1 800.00 EUR / trīs gadi / 12 mēneši = 50.00 EUR. Katra pārskata perioda (mēneša) beigās budžeta iestāde uzskaita datorprogrammas licences uzkrāto amortizāciju un amortizācijas izdevumus atzīst budžeta iestādes pamatdarbības izdevumos, veicot sekojošu grāmatojumu: </w:t>
      </w:r>
    </w:p>
    <w:p w14:paraId="69AFC41B"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atzīstot amortizācijas izdevumus mēneša beigās: </w:t>
      </w:r>
    </w:p>
    <w:p w14:paraId="17032AE2"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50.00 EUR </w:t>
      </w:r>
    </w:p>
    <w:p w14:paraId="6F90E93B"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50.00 EUR </w:t>
      </w:r>
    </w:p>
    <w:p w14:paraId="25506110"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*nemateriālo ieguldījumu amortizācijas uzskaites konti</w:t>
      </w:r>
    </w:p>
    <w:p w14:paraId="17A87A8E"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2021. gada februārī budžeta iestāde veic licences atjaunošanas maksājumu 200,00 EUR apmērā par periodu no 2021.gada marta līdz 2022.gada februārim. Ņemot vērā to, ka licences atjaunošanas izmaksas nav būtiskas, budžeta iestāde kapitalizē licences atjaunošanas izmaksas.</w:t>
      </w:r>
    </w:p>
    <w:p w14:paraId="357267F6"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Grāmatojums, kapitalizējot licences atjaunošanas izmaksas: </w:t>
      </w:r>
    </w:p>
    <w:p w14:paraId="010B220F"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1125 Licences datorprogrammām 200.00 EUR </w:t>
      </w:r>
    </w:p>
    <w:p w14:paraId="23265D30"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5311 Saistības ar piegādātājiem un darbuzņēmējiem 200.00 EUR </w:t>
      </w:r>
    </w:p>
    <w:p w14:paraId="11D1B5B6"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2022. gada martā pēc datorprogrammas licences vērtības pilnīgas iekļaušanas amortizācijas aprēķinā, amortizācijas aprēķinu pārtrauc. Budžeta iestāde izvērtē, vai attiecīgais nemateriālais ieguldījums ir saglabājams uzskaitē, vai arī ir nepieciešams veikt tā norakstīšanu no grāmatvedības uzskaites, pamatojoties uz saistošās vienošanās (līguma) noteikumiem. Gadījumā, ja līguma noteikumi paredz ierobežojumus attiecībā uz nemateriālā ieguldījuma lietošanu pēc līguma termiņa beigām, budžeta iestāde izslēdz pilnīgi amortizēto nemateriālo ieguldījumu no grāmatvedības uzskaites, veicot sekojošus grāmatojumus:</w:t>
      </w:r>
    </w:p>
    <w:p w14:paraId="3534B9BB"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izslēdzot nemateriālā ieguldījuma uzkrāto amortizāciju:</w:t>
      </w:r>
    </w:p>
    <w:p w14:paraId="42C61C61"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1195    Datorprogrammas uzkrātā amortizācija 2 000.00 EUR </w:t>
      </w:r>
    </w:p>
    <w:p w14:paraId="453B847A"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2 000.00 EUR </w:t>
      </w:r>
    </w:p>
    <w:p w14:paraId="17560634"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izslēdzot nemateriālo ieguldījumu no nemateriālo ieguldījumu sastāva:</w:t>
      </w:r>
    </w:p>
    <w:p w14:paraId="5A38B01D"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8610 Izdevumi no nefinanšu aktīvu norakstīšanas un likvidēšanas 00.00 EUR </w:t>
      </w:r>
    </w:p>
    <w:p w14:paraId="4BC91D5B"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00.00 EUR</w:t>
      </w:r>
    </w:p>
    <w:p w14:paraId="7D77F735"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169. Gadījums, ja tiek iegādāta terminēta licence uz 2 gadiem un licences līguma noteikumi paredz licenču līguma atjaunošanu, un budžeta iestādes rīcībā nav pierādījumi, kas pamatotu licences līguma atjaunošanu bez nozīmīgām izmaksām. </w:t>
      </w:r>
    </w:p>
    <w:p w14:paraId="7E53B392"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Budžeta iestāde 2019. gada martā noslēdz datorprogrammas licences līgumu uz 2 gadiem, sākot no 2019. gada marta līdz 2021. gada februārim. Licences līguma summa ir 600.00 EUR. Licences līgums paredz līguma atjaunošanu līguma termiņa beigās, nosakot licences atjaunošanas maksu 400.00 EUR apmērā par līguma termiņa pagarinājumu uz diviem gadiem. 2019. gada martā budžeta iestāde pieņem lēmumu par licences atjaunošanu pēc diviem gadiem. Piemērā pieņemts, ka budžeta iestāde nav PVN maksātājs. Budžeta iestāde uzskaita datorprogrammas licenci nemateriālo ieguldījumu sastāvā. </w:t>
      </w:r>
    </w:p>
    <w:p w14:paraId="6C1CEA0A"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iegādājoties licenci 2019.gada martā: </w:t>
      </w:r>
    </w:p>
    <w:p w14:paraId="2C4B612B"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1125 Licences datorprogrammām 600.00 EUR </w:t>
      </w:r>
    </w:p>
    <w:p w14:paraId="62DB78E0"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600.00 EUR </w:t>
      </w:r>
    </w:p>
    <w:p w14:paraId="18B90371"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Budžeta iestāde nosaka nemateriālajam ieguldījumam noteiktu lietderīgās lietošanas laiku – 2 gadus, kas atbilst saistošās vienošanās (licences līguma) termiņam, ņemot vērā to, ka ir pierādījumi, kas pamato nozīmīgas izmaksas licences līguma atjaunošanai. Budžeta iestāde datorprogrammas licences amortizāciju sāk aprēķināt ar nākamā mēneša pirmo datumu pēc tās nodošanas lietošanā. Datorprogrammas licences amortizāciju aprēķina atbilstoši tās lietderīgās lietošanas laikam (2 gadi), sākotnējo vērtību sistemātiski sadalot pa mēnešiem.</w:t>
      </w:r>
    </w:p>
    <w:p w14:paraId="0CC5C645"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Amortizācijas aprēķins: </w:t>
      </w:r>
    </w:p>
    <w:p w14:paraId="1A53EBBB"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Nemateriālā ieguldījuma sākotnējā vērtība 600.00 EUR Lietderīgās lietošanas laiks – 2 gadi Ikmēneša amortizācijas izdevumi 600.00 EUR /2 gadi / 12 mēneši = 25.00 EUR. Katra pārskata perioda (mēneša) beigās budžeta iestāde uzskaita datorprogrammas licences uzkrāto amortizāciju un amortizācijas izdevumus atzīst budžeta iestādes pamatdarbības izdevumos, veicot sekojošu grāmatojumu: </w:t>
      </w:r>
    </w:p>
    <w:p w14:paraId="20873449"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atzīstot amortizācijas izdevumus mēneša beigās:</w:t>
      </w:r>
    </w:p>
    <w:p w14:paraId="7DED95B4"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25.00 EUR </w:t>
      </w:r>
    </w:p>
    <w:p w14:paraId="1E951BA5"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25.00 EUR </w:t>
      </w:r>
    </w:p>
    <w:p w14:paraId="59524927"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*nemateriālo ieguldījumu amortizācijas uzskaites konti</w:t>
      </w:r>
    </w:p>
    <w:p w14:paraId="44CD508F"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martā budžeta iestāde veic licences atjaunošanas maksājumu 400.00 EUR apmērā par periodu no 2018.gada marta līdz 2020.gada februārim. Ņemot vērā to, ka licences atjaunošanas izmaksas ir būtiskas, budžeta iestāde atzīst licences atjaunošanas izmaksas kā jaunu, atsevišķu nemateriālo ieguldījumu ar lietderīgās lietošanas laiku – 2 gadi. Grāmatojums 2021.gada martā, atzīstot jaunu licenci: </w:t>
      </w:r>
    </w:p>
    <w:p w14:paraId="13984D4D"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D </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1125 Licences datorprogrammām 400.00 EUR </w:t>
      </w:r>
    </w:p>
    <w:p w14:paraId="54DA4429"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K </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5310 Īstermiņa saistības pret piegādātājiem un darbuzņēmējiem 400.00 EUR </w:t>
      </w:r>
    </w:p>
    <w:p w14:paraId="5475B3C8"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Vienlaikus 2021. gada 31. martā budžeta iestāde izslēdz no uzskaites licenci, kurai ir beidzies tās lietderīgās lietošanas laiks saskaņā ar iestādē izstrādātu iekšējo kārtību, veicot sekojošus grāmatojumus:</w:t>
      </w:r>
    </w:p>
    <w:p w14:paraId="427EE629"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Grāmatojums, izslēdzot nemateriālā ieguldījuma uzkrāto amortizāciju: </w:t>
      </w:r>
    </w:p>
    <w:p w14:paraId="195078F5"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D 1195</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Datorprogrammas uzkrātā amortizācija 600.00 EUR </w:t>
      </w:r>
    </w:p>
    <w:p w14:paraId="3F3CFC1C"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K 1125</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Licences datorprogrammām 600.00 EUR </w:t>
      </w:r>
    </w:p>
    <w:p w14:paraId="21A0A55A"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izslēdzot nemateriālo ieguldījumu no nemateriālo ieguldījumu sastāva:</w:t>
      </w:r>
    </w:p>
    <w:p w14:paraId="2AF425BE"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D </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8611 Izdevumi no nemateriālo ieguldījumu un pamatlīdzekļu norakstīšanas </w:t>
      </w:r>
    </w:p>
    <w:p w14:paraId="7358BEC4"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un likvidēšanas 00.00 EUR </w:t>
      </w:r>
    </w:p>
    <w:p w14:paraId="2E9B4FC1" w14:textId="77777777" w:rsidR="00BC28FD"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K</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1125 Licences datorprogrammām 00.0 EUR</w:t>
      </w:r>
    </w:p>
    <w:p w14:paraId="174F5DFB" w14:textId="77777777" w:rsidR="007A3746"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170. Gadījums, ja tiek iegādāta licence uz 5 gadiem ar ikgadēji veicamiem maksājumiem un licences līgums paredz iespēju saņemt / iegādāties tiesības lietot datorprogrammu pēc termiņa beigām (pastāvīgo licenci):</w:t>
      </w:r>
    </w:p>
    <w:p w14:paraId="5AD528DE"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Ja licences līguma noteikumi paredz iespēju pēc sākotnējā līguma termiņa beigām iegādāties pastāvīgo licenci (tiesības lietot datorprogrammu pēc termiņa beigām) vai līgums nosaka datorprogrammas īpašumtiesību pāreju uz budžeta iestādi līguma termiņa beigās, budžeta iestāde līguma darbības sākumā šo darījumu atzīst kā finanšu nomu. Budžeta iestāde atzīst datorprogrammas licenci nemateriālo ieguldījumu sastāvā nākotnes minimālo licences maksājumu tagadnes vērtībā. Minētie maksājumi ietvertu ikgadējos maksājumus un datorprogrammas izpirkuma maksu (ja tāda paredzēta). Datorprogrammas licences sākotnējā uzskaite jāveic saskaņā ar finanšu nomas uzskaites principiem, kas noteikti Rokasgrāmatas sadaļā “Noma”. Turpmākā datorprogrammas novērtēšana un uzskaite veicama saskaņā ar nemateriālo ieguldījumu turpmākās uzskaites pamatprincipiem.</w:t>
      </w:r>
    </w:p>
    <w:p w14:paraId="3E8DBFD0"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171. Piemērs par datorprogrammas licences iegādi, sākotnējo uzskaiti un amortizācijas aprēķinu</w:t>
      </w:r>
    </w:p>
    <w:p w14:paraId="5F046F5E"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2019. gada 5. janvārī budžeta iestāde noslēdz pirkšana – pārdošanas līgumu par lietvedības datorprogrammas “Lietvedis 1.0” licences iegādi 3 100.00 EUR vērtībā. 2019. gada 10. janvārī budžeta iestāde saņem datorprogrammu (licenci), pamatojoties uz rēķinu un pieņemšanas – nodošanas aktu. Datorprogrammas lietošanai nav nepieciešami papildus darbi, tā ir gatava tās paredzētajai lietošanai, sākot ar iegādes dienu. Piemērā pieņemts, ka budžeta iestāde nav PVN maksātājs.</w:t>
      </w:r>
    </w:p>
    <w:p w14:paraId="48315D10"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Datorprogramma ir nodalāma, tas ir, budžeta iestāde var to izmantot atsevišķi un tā nav neatņemama datortehnikas sastāvdaļa. 2019. gada 10. janvārī, pamatojoties uz pieņemšanas – nodošanas aktu budžeta iestāde lietvedības datorprogrammas licenci atzīst kā atsevišķu aktīvu nemateriālo ieguldījumu sastāvā, veicot sekojošu grāmatojumu:</w:t>
      </w:r>
    </w:p>
    <w:p w14:paraId="28CC0894"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2019. gada 10. janvārī datorprogrammas licences iegāde, pamatojoties uz pieņemšanas – nodošanas aktu</w:t>
      </w:r>
    </w:p>
    <w:p w14:paraId="3671E078"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1121 Datorprogrammas 3 100.00 EUR </w:t>
      </w:r>
    </w:p>
    <w:p w14:paraId="49BD391B"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3 100.00 EUR</w:t>
      </w:r>
      <w:r w:rsidRPr="00957029">
        <w:rPr>
          <w:rFonts w:ascii="Times New Roman" w:hAnsi="Times New Roman" w:cs="Times New Roman"/>
          <w:sz w:val="24"/>
          <w:szCs w:val="24"/>
        </w:rPr>
        <w:t xml:space="preserve"> Datorprogrammu pieņem lietošanā 2019. gada 10. janvārī, pamatojoties uz budžeta iestādes vadītāja apstiprinātu aktu par nemateriālā ieguldījuma pieņemšanu lietošanā. Budžeta iestādes grāmatvedības uzskaites kārtībā noteikts visām datorprogrammām un to licencēm lietderīgās lietošanas laiks 3 gadi. Aktā par nemateriālā ieguldījuma pieņemšanu lietošanā norādīts datorprogrammas licences lietderīgās lietošanas laiks, amortizācijas likme un ikmēneša aprēķins. Budžeta iestāde datorprogrammas licences amortizāciju sāk aprēķināt ar nākamā mēneša pirmo datumu pēc tās pieņemšanas lietošanā.</w:t>
      </w:r>
    </w:p>
    <w:p w14:paraId="7B448EA8" w14:textId="77777777" w:rsidR="00094792"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Datorprogrammas licences amortizāciju aprēķina atbilstoši tās lietderīgās lietošanas laikam (3 gadi), sākotnējo vērtību sistemātiski sadalot pa mēnešiem (sākotnējā vērtība 3 100.00 EUR; lietderīgās lietošanas laiks – 3 gadi; ikmēneša amortizācijas izdevumi 3100.00 EUR / 3 gadi / 12 mēneši = 86.11 EUR). Katra pārskata perioda (mēneša) beigās uzskaita uzkrāto nemateriālā ieguldījuma (datorprogrammas licences) amortizāciju un amortizācijas izdevumus atzīst budžeta iestādes pamatdarbības izdevumos, veicot sekojošu grāmatojumu: 2019. gada 28. februārī datorprogrammas licences amortizācijas izdevumu atzīšana par 2019. gada februāri: </w:t>
      </w:r>
    </w:p>
    <w:p w14:paraId="1021B8AC"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86.11 EUR </w:t>
      </w:r>
    </w:p>
    <w:p w14:paraId="78B658DA"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86.11 EUR </w:t>
      </w:r>
    </w:p>
    <w:p w14:paraId="067B9025" w14:textId="77777777" w:rsidR="007A3746"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2020. gada 30. decembrī (otrā gada beigās) datorprogrammas izplatītājs paziņo par lietvedības datorprogrammas jauninājumiem – jaunas versijas izlaišanu un iepriekšējās datorprogrammas darbības pārtraukšanu. Jaunās datorprogrammas (jauninājuma) nosaukums ir “Lietvedis 2.0”. Cena 3 410.00 EUR. Budžeta iestāde pieņem lēmumu iegādāties jauno lietvedības datorprogrammu (jauninājumu) “Lietvedis 2.0”, ņemot vērā tās papildinājumus, uzlabojumus programmas stabilitātei, ātrumam un savietojamību ar citām programmām. Budžeta iestāde veic jaunās datorprogrammas licences iegādi, pamatojoties uz noslēgtu līgumu. 2021. gada 2. janvārī budžeta iestāde saņem jauno datorprogrammu, pamatojoties uz pieņemšanas-nodošanas aktu un rēķinu. Budžeta iestāde izslēdz no uzskaites aizvietotās (iepriekš atzītās) datorprogrammas uzskaites (atlikušo) vērtību jaunās datorprogrammas iegādes dienā 1 033,36 EUR (uzkrātais nolietojums - 86.11 EUR * 24 mēneši = 2 066,64 EUR), veicot sekojošu grāmatojumu:</w:t>
      </w:r>
    </w:p>
    <w:p w14:paraId="4D55931D" w14:textId="77777777" w:rsidR="00094792"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janvārī izslēdz no uzskaites iepriekš atzītās datorprogrammas uzskaites (atlikušo) vērtību </w:t>
      </w:r>
    </w:p>
    <w:p w14:paraId="66F997CC"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1195   Datorprogrammu uzkrātā amortizācija           2 066,64 EUR</w:t>
      </w:r>
    </w:p>
    <w:p w14:paraId="10416C44"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1121   Datorprogrammas                                           2064,64  EUR  </w:t>
      </w:r>
    </w:p>
    <w:p w14:paraId="38E3298C"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 xml:space="preserve">D     8610 Izdevumi no nefinanšu aktīvu izslēgšanas 1 033,36 EUR </w:t>
      </w:r>
    </w:p>
    <w:p w14:paraId="7DBDA637"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1121 Datorprogrammas 1 033,36 EUR</w:t>
      </w:r>
    </w:p>
    <w:p w14:paraId="6F9E7B52" w14:textId="77777777" w:rsidR="00C2489E"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2. janvārī, pamatojoties uz aktu par nemateriālā ieguldījuma pieņemšanu lietošanā, budžeta iestāde atzīst jauno datorprogrammas licenci nemateriālo ieguldījumu sastāvā, veicot sekojošu grāmatojumu: 2021. gada 2. janvārī atzīst datorprogrammu kā nemateriālo ieguldījumu, pamatojoties uz aktu par pieņemšanu lietošanā </w:t>
      </w:r>
    </w:p>
    <w:p w14:paraId="2DEDF5FF" w14:textId="77777777" w:rsidR="00C2489E" w:rsidRPr="00957029" w:rsidRDefault="00C2489E"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 xml:space="preserve">D </w:t>
      </w: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 xml:space="preserve">1121 Datorprogrammas 3 410.00 EUR </w:t>
      </w:r>
    </w:p>
    <w:p w14:paraId="1D02FF32" w14:textId="77777777" w:rsidR="00094792" w:rsidRPr="00957029" w:rsidRDefault="00C2489E"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 xml:space="preserve">K </w:t>
      </w: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5310 Īstermiņa saistības pret piegādātājiem un darbuzņēmējiem 3 410.00 EUR</w:t>
      </w:r>
    </w:p>
    <w:p w14:paraId="1704E68D" w14:textId="77777777" w:rsidR="00C2489E" w:rsidRPr="00957029" w:rsidRDefault="00C2489E"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Budžeta iestāde veic jaunās datorprogrammas amortizācijas aprēķinus atbilstoši tās lietderīgās lietošanas laikam (3 gadi), sākotnējo vērtību sistemātiski sadalot pa mēnešiem (sākotnējā vērtība 3 410.00 EUR; lietderīgās lietošanas laiks – 3 gadi; ikmēneša amortizācijas izdevumi 3 410.00EUR / 3 gadi / 12 mēneši = 94.72 EUR). Budžeta iestāde datorprogrammas licences amortizāciju sāk aprēķināt ar nākamā mēneša pirmo datumu pēc tās pieņemšanas lietošanā un atzīst amortizācijas izdevumus, veicot sekojošu grāmatojumu: </w:t>
      </w:r>
    </w:p>
    <w:p w14:paraId="320D6A58" w14:textId="77777777" w:rsidR="00C2489E" w:rsidRPr="00957029" w:rsidRDefault="00C2489E"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2021. gada 28. februārī atzīst datorprogrammas amortizācijas izdevumus par 2021. gada februāri</w:t>
      </w:r>
    </w:p>
    <w:p w14:paraId="47B57182" w14:textId="77777777" w:rsidR="00C2489E" w:rsidRPr="00957029" w:rsidRDefault="00C2489E"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p>
    <w:p w14:paraId="16D06344" w14:textId="77777777" w:rsidR="00C2489E" w:rsidRPr="00957029" w:rsidRDefault="00C2489E"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94.72 EUR </w:t>
      </w:r>
    </w:p>
    <w:p w14:paraId="537CF5C7"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94.72 EUR</w:t>
      </w:r>
    </w:p>
    <w:p w14:paraId="7BEDB778"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172. Piemērs par nemateriālā ieguldījuma sākotnējo atzīšanu Budžeta iestāde ir pieņēmusi lēmumu izveidot budžeta iestādes logo. Saistībā ar logo izveidošanu budžeta iestādei radušās sekojošās izmaksas: </w:t>
      </w:r>
    </w:p>
    <w:p w14:paraId="69A4712D"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- 2019.gada aprīlī budžeta iestādes darbinieks pavadījis 10 stundas, veicot izpēti par citu budžetu iestāžu logo; darbiniekam 2019.gada aprīlī aprēķināta alga 850,00 EUR un 200,52 EUR darba devēja valsts sociālās apdrošināšanas iemaksas; 2019.gada aprīlī kopumā darbinieks nostrādājis 160 stundas </w:t>
      </w:r>
    </w:p>
    <w:p w14:paraId="6496AB7B"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-2019.gada maijā budžeta iestādes IT darbinieks pavadījis 5 stundas, veicot tehniskos uzlabojumus ārpakalpojuma uzņēmuma skicēs; 2019.gada maijā aprēķinātā alga IT darbiniekam bija 900,00 EUR un 212,31 EUR darba devēja valsts sociālās apdrošināšanas iemaksas; 2019.gada maijā darbinieks kopumā nostrādājis 160 stundas </w:t>
      </w:r>
    </w:p>
    <w:p w14:paraId="033D6940"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- 2019.gada 30.maijā saņemts rēķins no uzņēmuma ārpakalpojuma sniedzēja par logo dizainu un izveidi, kopējā summa 1 400,00 EUR </w:t>
      </w:r>
    </w:p>
    <w:p w14:paraId="65FB6E60"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1) Darba algas izmaksas, kas radušās pētniecības ietvaros netiek ietvertas nemateriālā ieguldījuma izmaksu vērtībā, līdz ar to šīs izmaksas budžeta iestāde 36 atzīst pamatdarbības izdevumos. 2019.gada 30.aprīlī budžeta iestāde veic sekojošu grāmatojumu: </w:t>
      </w:r>
    </w:p>
    <w:p w14:paraId="79C64692"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1 050.52 EUR </w:t>
      </w:r>
    </w:p>
    <w:p w14:paraId="468E3CE2"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5610** Norēķini par darba samaksu 850,00 Eur</w:t>
      </w:r>
    </w:p>
    <w:p w14:paraId="59C28F07"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5722** Valsts sociālās apdrošināšanas obligātās iemaksas 200.52 EUR</w:t>
      </w:r>
    </w:p>
    <w:p w14:paraId="17F5F316"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budžeta iestāde izstrādā kontu plānu pamatdarbības izdevumu uzskaitei atbilstoši budžeta izdevumu ekonomisko kategoriju klasifikācijai ** darba ņēmēja VSOAI daļa un iedzīvotāju ienākuma nodoklis ietverts 5610 kontā uzskaitītajā summā</w:t>
      </w:r>
    </w:p>
    <w:p w14:paraId="517B49EA"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2) Darba algas izmaksas, kas radušās projekta attīstības fāzes ietvaros, tiek atzītas nemateriālā ieguldījuma sākotnējā izmaksu vērtībā. Vispirms 2019.gada 31.maijā budžeta iestāde veic sekojošu grāmatojumu:</w:t>
      </w:r>
    </w:p>
    <w:p w14:paraId="01CF7552"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1 112.31 EUR</w:t>
      </w:r>
    </w:p>
    <w:p w14:paraId="0ED48011"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5610** Norēķini par darba samaksu  900,00 EUR</w:t>
      </w:r>
    </w:p>
    <w:p w14:paraId="0941C547"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5722** Valsts sociālās apdrošināšanas obligātās iemaksas 212.31 EUR</w:t>
      </w:r>
    </w:p>
    <w:p w14:paraId="3B39E8A5"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darba ņēmēja VSOAI daļa un iedzīvotāju ienākuma nodoklis ietverts 5610 kontā uzskaitītajā summā 2019.dada 31.maijā budžeta iestāde, pamatojoties uz iekšējo dokumentu, aprēķina un pārgrāmato attiecināmo darba samaksu daļu uz nemateriālā ieguldījuma izveides izmaksām. Aprēķins – stundas izpeļņa 900,00/160h= 5,63 EUR/h. Darbinieks ir patērējis 5 stundas – 5,625 EUR/h x 5h= 28,13 EUR un attiecīgā darba devēja sociālo apdrošināšanas iemaksu daļa 28,13 EUR x 23,59% = 6,64 EUR, kopā 34,77 EUR.</w:t>
      </w:r>
    </w:p>
    <w:p w14:paraId="379ED018"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D    1140 Nemateriālo ieguldījumu izveidošana        34,77 EUR</w:t>
      </w:r>
    </w:p>
    <w:p w14:paraId="62A1ED80"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7000     Pamatdarbības izdevumi                      34,77 EUR</w:t>
      </w:r>
    </w:p>
    <w:p w14:paraId="79213DF5"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3) Saņemtajā rēķinā uzrādītās izmaksas par logo dizainu ir tieši attiecināmas uz nemateriālā ieguldījuma izveidi, tāpēc budžeta iestāde 2019.gada 30.maijā atzīst šīs izmaksas nemateriālo ieguldījumu izveides izmaksās: </w:t>
      </w:r>
    </w:p>
    <w:p w14:paraId="0B52E6E1"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1140 Nemateriālo ieguldījumu izveidošana          1400,00 eur</w:t>
      </w:r>
    </w:p>
    <w:p w14:paraId="066FF76B" w14:textId="77777777" w:rsidR="00C2489E" w:rsidRPr="00957029" w:rsidRDefault="005425B8" w:rsidP="00CD363C">
      <w:pPr>
        <w:spacing w:after="0" w:line="240" w:lineRule="auto"/>
        <w:ind w:left="284"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1 400.00 </w:t>
      </w:r>
      <w:r w:rsidR="00B90024">
        <w:rPr>
          <w:rFonts w:ascii="Times New Roman" w:hAnsi="Times New Roman" w:cs="Times New Roman"/>
          <w:b/>
          <w:sz w:val="24"/>
          <w:szCs w:val="24"/>
        </w:rPr>
        <w:t xml:space="preserve">     </w:t>
      </w:r>
      <w:r w:rsidRPr="00957029">
        <w:rPr>
          <w:rFonts w:ascii="Times New Roman" w:hAnsi="Times New Roman" w:cs="Times New Roman"/>
          <w:b/>
          <w:sz w:val="24"/>
          <w:szCs w:val="24"/>
        </w:rPr>
        <w:t>EUR</w:t>
      </w:r>
      <w:r w:rsidR="00C2489E" w:rsidRPr="00957029">
        <w:rPr>
          <w:rFonts w:ascii="Times New Roman" w:hAnsi="Times New Roman" w:cs="Times New Roman"/>
          <w:b/>
          <w:sz w:val="24"/>
          <w:szCs w:val="24"/>
        </w:rPr>
        <w:tab/>
      </w:r>
    </w:p>
    <w:p w14:paraId="107387C2"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4) 2019.gada jūnijā, kad budžeta iestāde ir pabeigusi logo izveidi, pamatojoties uz attiecīgu aktu par nemateriālā ieguldījuma izveidi un nodošanu lietošanā, atzīst nemateriālo ieguldījumu: </w:t>
      </w:r>
    </w:p>
    <w:p w14:paraId="3B2BE6AF"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1129   Pārējās nemateriālo ieguldījumu tiesības   1434,77  eur</w:t>
      </w:r>
    </w:p>
    <w:p w14:paraId="1E3D8CCF" w14:textId="77777777" w:rsidR="00094792"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1140   Nemateriālo ieguldījumu izveidošana 1 434.77 EUR</w:t>
      </w:r>
    </w:p>
    <w:p w14:paraId="3A4FB4BF"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173.</w:t>
      </w: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par nemateriālā ieguldījuma atzīšanas pārtraukšanu Budžeta iestādei pieder nemateriālais ieguldījums - patents. Patentu iegādājās un sākotnēji atzina budžeta iestādes grāmatvedības uzskaitē 2010. gada 28.decembrī par sākotnējo uzskaites vērtību 7 000.00 EUR. Ir noteikts patenta lietderīgās lietošanas laiks - 10 gadi.</w:t>
      </w:r>
    </w:p>
    <w:p w14:paraId="1ED5CB2C"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Piemērā pieņemts, ka budžeta iestāde nav PVN maksātājs. 2019. gada 20. novembrī budžeta iestāde pieņem lēmumu patentu atsavināt izsoles ceļā. Budžeta iestāde pārtrauc aprēķināt patenta amortizāciju 2019.gada 20.novembrī, veicot amortizācijas aprēķinu par pilnu novembra mēnesi. Patenta uzkrātā amortizācija no sākotnējā atzīšanas brīža līdz 2019.gada 20.novembrim ir 6 241.71 EUR. Patenta uzskaites (atlikusī) vērtība ir 758.29 EUR. Pamatojoties uz pieņemto lēmumu par patenta atsavināšanu, budžeta iestāde patentu uzskaita apgrozāmo līdzekļu sastāvā kā atsavināšanai paredzētu ilgtermiņa ieguldījumu, jo tas pašreizējā stāvoklī ir pieejams tūlītējai atsavināšanai. 2019. gada 20 .novembrī, pamatojoties uz pieņemto lēmumu par patenta pārdošanu, pārtrauc patenta amortizācijas aprēķinu</w:t>
      </w:r>
    </w:p>
    <w:p w14:paraId="0AE00AEA"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1192 Licenču, koncesiju un patentu, preču zīmju un tamlīdzīgu tiesību</w:t>
      </w:r>
    </w:p>
    <w:p w14:paraId="500F61C3"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uzkrātā amortizācija 6 241.71 EUR </w:t>
      </w:r>
    </w:p>
    <w:p w14:paraId="79265CDD"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 xml:space="preserve">     K    1124 Patenti 6 241.71 EUR </w:t>
      </w:r>
    </w:p>
    <w:p w14:paraId="4FC5811F"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Vienlaikus 2019. gada 20. novembrī budžeta iestāde izslēdz patenta uzskaites (atlikušo) vērtību no nemateriālo ieguldījumu sastāva, atzīstot patentu tā atlikušajā vērtībā apgrozāmo līdzekļu sastāvā </w:t>
      </w:r>
    </w:p>
    <w:p w14:paraId="66F75F65"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2132 Krājumi un ilgtermiņa ieguldījumi atsavināšanai 758.29 EUR </w:t>
      </w:r>
    </w:p>
    <w:p w14:paraId="3B139D6D"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1124 Patenti 758.29 EUR </w:t>
      </w:r>
    </w:p>
    <w:p w14:paraId="7A8B4279"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Izsole publiski tiek izsludināta 2019.gada 25.novembrī ar noteikto izsoles datumu 2019.gada 18.decembrī. Izsolītā patenta pārdošanas cena 8 000.00 EUR. 2020. gada 27. janvārī tiek parakstīts patenta pirkšanas – pārdošanas līgums ar patenta pircēju un pircējam tiek izsniegts rēķins, veicot sekojošu grāmatojumu: 2020.gada 27.janvārī budžeta iestāde atzīst prasības par izsniegtajā rēķinā norādīto summu un ieņēmumus no atsavināšanai paredzēto nemateriālo ieguldījumu un pamatlīdzekļu pārdošanas </w:t>
      </w:r>
    </w:p>
    <w:p w14:paraId="4B822107"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p>
    <w:p w14:paraId="5A39FA29"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2310  Prasības pret pircējiem un pasūtītājiem 8 000.00 EUR </w:t>
      </w:r>
    </w:p>
    <w:p w14:paraId="7D3ED0F4"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8510 Ieņēmumi no atsavināšanai paredzēto nefinanšu aktīvu </w:t>
      </w:r>
    </w:p>
    <w:p w14:paraId="6DE32D94"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 xml:space="preserve">           pārdošanas 8 000.00 EUR</w:t>
      </w:r>
      <w:r w:rsidRPr="00957029">
        <w:rPr>
          <w:rFonts w:ascii="Times New Roman" w:hAnsi="Times New Roman" w:cs="Times New Roman"/>
          <w:sz w:val="24"/>
          <w:szCs w:val="24"/>
        </w:rPr>
        <w:t xml:space="preserve"> </w:t>
      </w:r>
    </w:p>
    <w:p w14:paraId="3F587A3B"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Pamatojoties uz 2020.gada 27.janvārī sagatavotu pieņemšanas – nodošanas aktu, budžeta iestāde izslēdz patentu no apgrozāmo līdzekļu sastāva tā atlikušajā (bilances) vērtībā un atzīst izdevumus no nemateriālā ieguldījuma atsavināšanas, veicot sekojošu grāmatojumu: 2020.gada 27.janvārī budžeta iestāde izslēdz patentu no apgrozāmo līdzekļu sastāva un atzīst izdevumus no nemateriālā ieguldījuma atsavināšanas </w:t>
      </w:r>
    </w:p>
    <w:p w14:paraId="4055FFD4" w14:textId="77777777" w:rsidR="007F7EDC"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8612 Izdevumi no nemateriālo ieguldījumu un pamatlīdzekļu </w:t>
      </w:r>
    </w:p>
    <w:p w14:paraId="3E442C0D" w14:textId="77777777" w:rsidR="005425B8" w:rsidRPr="00957029" w:rsidRDefault="007F7EDC"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5425B8" w:rsidRPr="00957029">
        <w:rPr>
          <w:rFonts w:ascii="Times New Roman" w:hAnsi="Times New Roman" w:cs="Times New Roman"/>
          <w:b/>
          <w:sz w:val="24"/>
          <w:szCs w:val="24"/>
        </w:rPr>
        <w:t>atsavināšanas 758.29 EUR</w:t>
      </w:r>
    </w:p>
    <w:p w14:paraId="585AC5DD" w14:textId="77777777" w:rsidR="00094792"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F7EDC"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K </w:t>
      </w:r>
      <w:r w:rsidR="007F7EDC"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2132 Krājumi un ilgtermiņa ieguldījumi atsavināšanai 758.29 EUR</w:t>
      </w:r>
    </w:p>
    <w:p w14:paraId="2D6592A4" w14:textId="77777777" w:rsidR="00094792" w:rsidRPr="00957029" w:rsidRDefault="00094792" w:rsidP="00CD363C">
      <w:pPr>
        <w:spacing w:after="0" w:line="240" w:lineRule="auto"/>
        <w:ind w:right="-142"/>
        <w:jc w:val="both"/>
        <w:rPr>
          <w:rFonts w:ascii="Times New Roman" w:hAnsi="Times New Roman" w:cs="Times New Roman"/>
          <w:b/>
          <w:sz w:val="24"/>
          <w:szCs w:val="24"/>
        </w:rPr>
      </w:pPr>
    </w:p>
    <w:p w14:paraId="2CB771E0" w14:textId="77777777" w:rsidR="001C7AF1" w:rsidRPr="00957029" w:rsidRDefault="001C7AF1" w:rsidP="00CD363C">
      <w:pPr>
        <w:spacing w:after="0" w:line="240" w:lineRule="auto"/>
        <w:ind w:right="-142"/>
        <w:jc w:val="center"/>
        <w:rPr>
          <w:rFonts w:ascii="Times New Roman" w:hAnsi="Times New Roman" w:cs="Times New Roman"/>
          <w:b/>
          <w:sz w:val="24"/>
          <w:szCs w:val="24"/>
        </w:rPr>
      </w:pPr>
      <w:r w:rsidRPr="00957029">
        <w:rPr>
          <w:rFonts w:ascii="Times New Roman" w:hAnsi="Times New Roman" w:cs="Times New Roman"/>
          <w:b/>
          <w:sz w:val="24"/>
          <w:szCs w:val="24"/>
        </w:rPr>
        <w:t>10. Pamatlīdzekļi</w:t>
      </w:r>
    </w:p>
    <w:p w14:paraId="14985F1E" w14:textId="77777777" w:rsidR="001C7AF1" w:rsidRPr="00957029" w:rsidRDefault="001C7AF1" w:rsidP="00CD363C">
      <w:pPr>
        <w:spacing w:after="0" w:line="240" w:lineRule="auto"/>
        <w:ind w:right="-142"/>
        <w:jc w:val="both"/>
        <w:rPr>
          <w:rFonts w:ascii="Times New Roman" w:hAnsi="Times New Roman" w:cs="Times New Roman"/>
          <w:sz w:val="24"/>
          <w:szCs w:val="24"/>
        </w:rPr>
      </w:pPr>
    </w:p>
    <w:p w14:paraId="3485B2FA"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174</w:t>
      </w:r>
      <w:r w:rsidR="001C7AF1" w:rsidRPr="00957029">
        <w:rPr>
          <w:rFonts w:ascii="Times New Roman" w:hAnsi="Times New Roman" w:cs="Times New Roman"/>
          <w:sz w:val="24"/>
          <w:szCs w:val="24"/>
        </w:rPr>
        <w:t xml:space="preserve">. </w:t>
      </w:r>
      <w:r w:rsidRPr="00957029">
        <w:rPr>
          <w:rFonts w:ascii="Times New Roman" w:hAnsi="Times New Roman" w:cs="Times New Roman"/>
          <w:sz w:val="24"/>
          <w:szCs w:val="24"/>
        </w:rPr>
        <w:t xml:space="preserve">Pamatlīdzekļi materiālie aktīvi, kurus budžeta iestāde plāno izmantot ilgāk nekā gadu no iegūšanas datuma un tur, lai izmantotu: </w:t>
      </w:r>
    </w:p>
    <w:p w14:paraId="082FF9B0"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funkciju nodrošināšanai; </w:t>
      </w:r>
    </w:p>
    <w:p w14:paraId="338A98C0"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preču ražošanai; </w:t>
      </w:r>
    </w:p>
    <w:p w14:paraId="6712BFFC"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pakalpojumu sniegšanai;</w:t>
      </w:r>
    </w:p>
    <w:p w14:paraId="555C1644"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administratīvām vajadzībām;</w:t>
      </w:r>
    </w:p>
    <w:p w14:paraId="48CF01E0"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īstenojot valsts un pašvaldību politiku un nodrošinot valsts un pašvaldību budžeta vajadzības.</w:t>
      </w:r>
    </w:p>
    <w:p w14:paraId="4887B9AE" w14:textId="77777777" w:rsidR="0021751A" w:rsidRPr="00957029" w:rsidRDefault="0021751A" w:rsidP="00CD363C">
      <w:pPr>
        <w:spacing w:after="0" w:line="240" w:lineRule="auto"/>
        <w:ind w:right="-142"/>
        <w:jc w:val="both"/>
        <w:rPr>
          <w:rFonts w:ascii="Times New Roman" w:hAnsi="Times New Roman" w:cs="Times New Roman"/>
          <w:sz w:val="24"/>
          <w:szCs w:val="24"/>
        </w:rPr>
      </w:pPr>
    </w:p>
    <w:p w14:paraId="19EB10BF" w14:textId="77777777" w:rsidR="0021751A" w:rsidRPr="00957029" w:rsidRDefault="0021751A"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10.1Pamatlīdzekļu iegāde, saņemšana, atzīšana uzskaitē un izveidošana</w:t>
      </w:r>
    </w:p>
    <w:p w14:paraId="69EE1C44"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175.  Budžeta iestāde atzīst aktīvu par pamatlīdzekli tikai tad, ja:</w:t>
      </w:r>
    </w:p>
    <w:p w14:paraId="6EBF5556"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175.1. tas atbilst pamatlīdzekļa definīcijai;</w:t>
      </w:r>
    </w:p>
    <w:p w14:paraId="3D39AF04"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175.2. ir droši ticams, ka budžeta iestāde saņems ar pamatlīdzekli saistītos nākotnes saimnieciskos labumus vai ar pamatlīdzekli var nodrošināt budžeta iestādes funkciju vai deleģēto uzdevumu izpildi;</w:t>
      </w:r>
    </w:p>
    <w:p w14:paraId="68FC0025"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175.3. pamatlīdzekļa vērtību var ticami novērtēt;</w:t>
      </w:r>
    </w:p>
    <w:p w14:paraId="269E8786"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175.4. budžeta iestādei ir kontrole pār aktīvu</w:t>
      </w:r>
    </w:p>
    <w:p w14:paraId="2AC1F1BA"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176. Rezerves daļas un palīgmateriālus parasti uzskaita kā krājumus un tos atzīst izdevumos tajā pārskata periodā, kurā tie tiek izmantoti. Tomēr tādas rezerves daļas un rezerves iekārtas, kuras budžeta iestāde plāno izmantot ilgāk nekā 12 mēnešus no iegādes brīža un kuras ir izmantojamas atsevišķi, tiek uzskatītas par pamatlīdzekļiem. Līdzīgi, ja rezerves daļas un palīgmateriālus var izmantot tikai saistībā ar pamatlīdzekli, tie tiek uzskaitīti kā pamatlīdzekļi. Ja rezerves daļas un palīgmateriālus var izmantot tikai saistībā ar pamatlīdzekli kā komplektējošo daļu, tos uzskaita kopā ar pamatlīdzekli.</w:t>
      </w:r>
    </w:p>
    <w:p w14:paraId="6D634270"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177. Infrastruktūras aktīvi (inženierbūves un transporta būves, piemēram, tilti, kanalizācijas sistēmas, ūdens un elektroapgādes sistēmas, autoceļu tīkli, sakaru sistēmas) atbilst pamatlīdzekļu definīcijai, un tie jāuzskaita saskaņā ar pamatlīdzekļu uzskaites principiem.</w:t>
      </w:r>
    </w:p>
    <w:p w14:paraId="13F8A2AC"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178. Infrastruktūras aktīviem parasti piemīt šādas īpašības: </w:t>
      </w:r>
    </w:p>
    <w:p w14:paraId="44856E2F"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178.1. tie ir kādas sistēmas vai tīkla daļa;</w:t>
      </w:r>
    </w:p>
    <w:p w14:paraId="4DE0E8C6"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178.2. tie ir speciāli veidoti kādam konkrētam nolūkam un nav izmantojami</w:t>
      </w:r>
    </w:p>
    <w:p w14:paraId="484EDCC1"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citiem   mērķiem; 178.3. tos nevar pārvietot; </w:t>
      </w:r>
    </w:p>
    <w:p w14:paraId="1477B660"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178.4. uz tiem var attiekties atsavināšanas ierobežojumi.</w:t>
      </w:r>
    </w:p>
    <w:p w14:paraId="4F9C47AE"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179. Budžeta iestāde atzīst pamatlīdzekli savā grāmatvedības uzskaitē, kad tas atbilst pamatlīdzekļa atzīšanas kritērijiem, un novērtē to iegādes vai izveidošanas izmaksu vērtībā</w:t>
      </w:r>
      <w:r w:rsidR="002B1074" w:rsidRPr="00957029">
        <w:rPr>
          <w:rFonts w:ascii="Times New Roman" w:hAnsi="Times New Roman" w:cs="Times New Roman"/>
          <w:sz w:val="24"/>
          <w:szCs w:val="24"/>
        </w:rPr>
        <w:t xml:space="preserve"> </w:t>
      </w:r>
      <w:r w:rsidRPr="00957029">
        <w:rPr>
          <w:rFonts w:ascii="Times New Roman" w:hAnsi="Times New Roman" w:cs="Times New Roman"/>
          <w:sz w:val="24"/>
          <w:szCs w:val="24"/>
        </w:rPr>
        <w:t>. Parasti par pamatlīdzekļa iegādes datumu uzskata dienu, kad budžeta iestāde saņem pamatlīdzekli. Par pamatlīdzekļa izveidošanas datumu uzskata dienu, kad tas pieņemts lietošanā (ekspluatācijā).</w:t>
      </w:r>
    </w:p>
    <w:p w14:paraId="3976D100"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180. Pamatlīdzekļus uzskaita, ievērojot normatīvajos aktos budžeta izdevumu klasifikāciju jomā noteikto vienas aktīva vienības sākotnējās atzīšanas vērtību</w:t>
      </w:r>
      <w:r w:rsidR="002B1074" w:rsidRPr="00957029">
        <w:rPr>
          <w:rFonts w:ascii="Times New Roman" w:hAnsi="Times New Roman" w:cs="Times New Roman"/>
          <w:sz w:val="24"/>
          <w:szCs w:val="24"/>
        </w:rPr>
        <w:t xml:space="preserve">- </w:t>
      </w:r>
      <w:r w:rsidR="002B1074" w:rsidRPr="00957029">
        <w:rPr>
          <w:rFonts w:ascii="Times New Roman" w:hAnsi="Times New Roman" w:cs="Times New Roman"/>
          <w:b/>
          <w:sz w:val="24"/>
          <w:szCs w:val="24"/>
        </w:rPr>
        <w:t>virs 500 EUR</w:t>
      </w:r>
      <w:r w:rsidRPr="00957029">
        <w:rPr>
          <w:rFonts w:ascii="Times New Roman" w:hAnsi="Times New Roman" w:cs="Times New Roman"/>
          <w:b/>
          <w:sz w:val="24"/>
          <w:szCs w:val="24"/>
        </w:rPr>
        <w:t>.</w:t>
      </w:r>
      <w:r w:rsidRPr="00957029">
        <w:rPr>
          <w:rFonts w:ascii="Times New Roman" w:hAnsi="Times New Roman" w:cs="Times New Roman"/>
          <w:sz w:val="24"/>
          <w:szCs w:val="24"/>
        </w:rPr>
        <w:t xml:space="preserve"> Ja aktīvs atbilst pamatlīdzekļa atzīšanas kritērijiem, tomēr viena aktīva vienības iegādes vai izveidošanas vērtība ir mazāka par normatīvajos aktos budžeta izdevumu klasifikāciju jomā noteikto vienas aktīva vienības sākotnējās atzīšanas vērtību, aktīvu uzskaita apgrozāmo līdzekļu sastāvā kā ilgstoši lietojamo inventāru. </w:t>
      </w:r>
    </w:p>
    <w:p w14:paraId="1E3CD155"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Neatkarīgi no vienas aktīva vienības atzīšanas vērtības pamatlīdzekļu sastāvā uzskaita:</w:t>
      </w:r>
    </w:p>
    <w:p w14:paraId="1E3765AD"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w:t>
      </w:r>
      <w:r w:rsidR="0021751A" w:rsidRPr="00957029">
        <w:rPr>
          <w:rFonts w:ascii="Times New Roman" w:hAnsi="Times New Roman" w:cs="Times New Roman"/>
          <w:sz w:val="24"/>
          <w:szCs w:val="24"/>
        </w:rPr>
        <w:t xml:space="preserve">80.1. bibliotēku fondus; </w:t>
      </w:r>
    </w:p>
    <w:p w14:paraId="4E444F60"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 xml:space="preserve">180.2. izklaides, literāros un mākslas oriģināldarbus; </w:t>
      </w:r>
    </w:p>
    <w:p w14:paraId="2DA5F230"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 xml:space="preserve">180.3. dārgakmeņus un dārgmetālus; </w:t>
      </w:r>
    </w:p>
    <w:p w14:paraId="5248ECE2" w14:textId="77777777" w:rsidR="0021751A" w:rsidRPr="00957029" w:rsidRDefault="00B467BF"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w:t>
      </w:r>
      <w:r w:rsidR="0021751A" w:rsidRPr="00957029">
        <w:rPr>
          <w:rFonts w:ascii="Times New Roman" w:hAnsi="Times New Roman" w:cs="Times New Roman"/>
          <w:sz w:val="24"/>
          <w:szCs w:val="24"/>
        </w:rPr>
        <w:t xml:space="preserve">80.4. antīkos un citus kultūras un mākslas priekšmetus, citas vērtslietas un muzeja </w:t>
      </w: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 xml:space="preserve">krājuma priekšmetus; </w:t>
      </w:r>
    </w:p>
    <w:p w14:paraId="52B484F3"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180.5. nekustamos īpašumus;</w:t>
      </w:r>
    </w:p>
    <w:p w14:paraId="725D38DD" w14:textId="77777777" w:rsidR="00B467BF"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180.6. nemateriālos ieguldījumus; </w:t>
      </w:r>
    </w:p>
    <w:p w14:paraId="7D5B6746" w14:textId="77777777" w:rsidR="00B467BF"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180.7. bioloģiskos aktīvus.</w:t>
      </w:r>
    </w:p>
    <w:p w14:paraId="3695E556" w14:textId="77777777" w:rsidR="00B467BF" w:rsidRPr="00957029" w:rsidRDefault="00B467BF"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181. Budžeta iestāde nosaka pamatlīdzekļa sākotnējo (izmaksu) vērtību, pamatojoties uz attaisnojuma dokumentiem par pamatlīdzekļa iegādi vai izveidošanu un tajos iekļauto informāciju. Šīs izmaksas apkopo un reģistrē aktā par nodošanu lietošanā.</w:t>
      </w:r>
    </w:p>
    <w:p w14:paraId="2F8BE64A" w14:textId="77777777" w:rsidR="00B467BF" w:rsidRPr="00957029" w:rsidRDefault="00B467BF"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182. Pamatlīdzekļa izmaksu vērtībā ietilpst sekojošais:</w:t>
      </w:r>
    </w:p>
    <w:p w14:paraId="250E7AC1" w14:textId="77777777" w:rsidR="00B467BF" w:rsidRPr="00957029" w:rsidRDefault="00B467BF"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182.1. tā pirkšanas cena, ieskaitot ievedmuitas nodokļus un neatmaksājamos pirkšanas     nodokļus (piemēram, PVN, ja nav atskaitāms kā priekšnodoklis), atskaitot   tirdzniecības atlaides;</w:t>
      </w:r>
    </w:p>
    <w:p w14:paraId="3787F7BC" w14:textId="77777777" w:rsidR="00B467BF" w:rsidRPr="00957029" w:rsidRDefault="00B467BF"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182.2. jebkuras tieši attiecināmās izmaksas, kas saistītas ar pamatlīdzekļa piegādi līdz tā izmantošanas vietai un sagatavošanu tā paredzētajai lietošanai (ekspluatācijai) un radušās līdz dienai, kad pamatlīdzeklis nodots lietošanā (ekspluatācijā).</w:t>
      </w:r>
    </w:p>
    <w:p w14:paraId="7637B4EB" w14:textId="77777777" w:rsidR="00B467BF" w:rsidRPr="00957029" w:rsidRDefault="001E5766"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B467BF" w:rsidRPr="00957029">
        <w:rPr>
          <w:rFonts w:ascii="Times New Roman" w:hAnsi="Times New Roman" w:cs="Times New Roman"/>
          <w:sz w:val="24"/>
          <w:szCs w:val="24"/>
        </w:rPr>
        <w:t>183.</w:t>
      </w:r>
      <w:r w:rsidR="00A859CB" w:rsidRPr="00957029">
        <w:rPr>
          <w:rFonts w:ascii="Times New Roman" w:hAnsi="Times New Roman" w:cs="Times New Roman"/>
          <w:sz w:val="24"/>
          <w:szCs w:val="24"/>
        </w:rPr>
        <w:t xml:space="preserve"> Saņemot pamatlīdzekli, pamatojoties uz pamatlīdzekļa iegādi pamatojošu attaisnojuma dokumentu, piemēram, rēķinu – pavadzīmi, budžeta iestāde palielina</w:t>
      </w:r>
      <w:r w:rsidRPr="00957029">
        <w:rPr>
          <w:rFonts w:ascii="Times New Roman" w:hAnsi="Times New Roman" w:cs="Times New Roman"/>
          <w:sz w:val="24"/>
          <w:szCs w:val="24"/>
        </w:rPr>
        <w:t xml:space="preserve"> attiecīgo pamatlīdzekļu</w:t>
      </w:r>
      <w:r w:rsidR="00A859CB" w:rsidRPr="00957029">
        <w:rPr>
          <w:rFonts w:ascii="Times New Roman" w:hAnsi="Times New Roman" w:cs="Times New Roman"/>
          <w:sz w:val="24"/>
          <w:szCs w:val="24"/>
        </w:rPr>
        <w:t xml:space="preserve"> </w:t>
      </w:r>
      <w:r w:rsidRPr="00957029">
        <w:rPr>
          <w:rFonts w:ascii="Times New Roman" w:hAnsi="Times New Roman" w:cs="Times New Roman"/>
          <w:sz w:val="24"/>
          <w:szCs w:val="24"/>
        </w:rPr>
        <w:t>kontu</w:t>
      </w:r>
      <w:r w:rsidR="00FD62F2" w:rsidRPr="00957029">
        <w:rPr>
          <w:rFonts w:ascii="Times New Roman" w:hAnsi="Times New Roman" w:cs="Times New Roman"/>
          <w:sz w:val="24"/>
          <w:szCs w:val="24"/>
        </w:rPr>
        <w:t>( ja nav citu attiecināmo tiešo izmaksu , kuras ir jāiekļauj pamatlīdzekļa vērtībā)</w:t>
      </w:r>
      <w:r w:rsidRPr="00957029">
        <w:rPr>
          <w:rFonts w:ascii="Times New Roman" w:hAnsi="Times New Roman" w:cs="Times New Roman"/>
          <w:sz w:val="24"/>
          <w:szCs w:val="24"/>
        </w:rPr>
        <w:t xml:space="preserve"> ,vai </w:t>
      </w:r>
      <w:r w:rsidR="00A859CB" w:rsidRPr="00957029">
        <w:rPr>
          <w:rFonts w:ascii="Times New Roman" w:hAnsi="Times New Roman" w:cs="Times New Roman"/>
          <w:sz w:val="24"/>
          <w:szCs w:val="24"/>
        </w:rPr>
        <w:t>attiecīgo pamatlīdzekļu izveidošanas un nepabeigtās būvniecības kontu un saistību kontu par dokumentā norādīto summu. Ja budžeta iestāde ir pievienotās vērtības nodokļa (turpmāk – PVN) maksātāja, PVN summu uzskaita atbilstoši normatīvajos aktos nodokļu jomā noteiktajām prasībām. Ja budžeta iestādei nav tiesības deklarācijā kā priekšnodokli iekļaut PVN vai ir tiesības samazināt maksājamo PVN tikai daļēji (daļēja PVN atprasīšanas iespēja rodas, ja iestāde piemēro PVN proporciju), neatprasāmo PVN summu ieskaita aktīva iegādes vērtībā. Piemēram, budžeta iestāde, kas ir PVN maksātājs, iegādājas pamatlīdzekli (piemēram, klēpjdatoru), kuram atbilstoši PVN likumam jāpiemēro apgrieztā PVN maksāšanas kārtība. Saņemot pamatlīdzekli, pamatojoties uz preču pavadzīmi – rēķinu, budžeta iestāde palielina attiecīgo pamatlīdzekļu izveidošanas un nepabeigtās būvniecības kontu un saistību kontu par dokumentā norādīto summu, veicot sekojošu grāmatojumu:</w:t>
      </w:r>
    </w:p>
    <w:p w14:paraId="5224A277"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 </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1210 Zeme un būves</w:t>
      </w:r>
    </w:p>
    <w:p w14:paraId="62799C40"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1220 Tehnoloģiskās iekārtas un mašīnas</w:t>
      </w:r>
    </w:p>
    <w:p w14:paraId="6E6C281A"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1230 Pārējie pamatlīdzekļi</w:t>
      </w:r>
    </w:p>
    <w:p w14:paraId="464B5A04"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1240 Pamatlīdzekļu izveidošana un nepabeigtā būvniecība </w:t>
      </w:r>
    </w:p>
    <w:p w14:paraId="53C92CEF"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w:t>
      </w:r>
    </w:p>
    <w:p w14:paraId="67CDB2B9"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w:t>
      </w:r>
    </w:p>
    <w:p w14:paraId="594E649B" w14:textId="77777777" w:rsidR="001E5766" w:rsidRPr="00957029" w:rsidRDefault="001E5766"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 </w:t>
      </w:r>
    </w:p>
    <w:p w14:paraId="2F7682C0" w14:textId="77777777" w:rsidR="001E5766" w:rsidRPr="00957029" w:rsidRDefault="001E5766"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7082BD90" w14:textId="77777777" w:rsidR="0021751A" w:rsidRPr="00957029" w:rsidRDefault="001E5766"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 Pamatlīdzekļa iegādes izmaksu vērtībā iekļauj sekojošas tieši attiecināmas izmaksas:</w:t>
      </w:r>
    </w:p>
    <w:p w14:paraId="62AF37E5" w14:textId="77777777" w:rsidR="00A91072" w:rsidRPr="00957029" w:rsidRDefault="001E5766"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A91072" w:rsidRPr="00957029">
        <w:rPr>
          <w:rFonts w:ascii="Times New Roman" w:hAnsi="Times New Roman" w:cs="Times New Roman"/>
          <w:sz w:val="24"/>
          <w:szCs w:val="24"/>
        </w:rPr>
        <w:t>184</w:t>
      </w:r>
      <w:r w:rsidRPr="00957029">
        <w:rPr>
          <w:rFonts w:ascii="Times New Roman" w:hAnsi="Times New Roman" w:cs="Times New Roman"/>
          <w:sz w:val="24"/>
          <w:szCs w:val="24"/>
        </w:rPr>
        <w:t>.1. darbinieku kārtējā darba izmaksas, kas tiešā veidā radušās, sagatavojot pamatlīdzekli tā paredzētajai lietošanai; Piemēram, budžeta iestādes tehniskais darbinieks ir patērējis 40 stundas sava darba laika, lai uzstādītu piegādāto tehnoloģisko iekārtu – apkures katlu – un sagatavotu to tā paredzētajai lietošanai. Šādas darbinieku izmaksas tiek iekļautas pamatlīdzekļa iegādes izmaksu vērtībā. Budžeta iestāde ir aprēķinājusi, ka tehniskā darbinieka vidējā stundas izmaksa, ieskaitot valsts sociālās apdrošināšanas obligātās iemaksas, ir 4,50 EUR un attiecīgi par 180,00 EUR (40 stundas x 4,50 EUR) tiek palielināta pamatlīdzekļa vērtība, to sākotnēji atzīstot:</w:t>
      </w:r>
    </w:p>
    <w:p w14:paraId="77002C52" w14:textId="77777777" w:rsidR="00A91072"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180,00 EUR</w:t>
      </w:r>
    </w:p>
    <w:p w14:paraId="5CB147B7"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1E5766"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001E5766" w:rsidRPr="00957029">
        <w:rPr>
          <w:rFonts w:ascii="Times New Roman" w:hAnsi="Times New Roman" w:cs="Times New Roman"/>
          <w:b/>
          <w:sz w:val="24"/>
          <w:szCs w:val="24"/>
        </w:rPr>
        <w:t xml:space="preserve"> 7000 Pamatdarbības izdevumi* 180,00 EUR</w:t>
      </w:r>
    </w:p>
    <w:p w14:paraId="18191020" w14:textId="77777777" w:rsidR="001E5766" w:rsidRPr="00957029" w:rsidRDefault="001E5766"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*budžeta iestāde sākotnēji izdevumus par darba samaksu atzīst pilnā apmērā pamatdarbības izdevumos un tad attiecīgi tos koriģē par to daļu, kas attiecas uz pamatlīdzekļa izveidošanu </w:t>
      </w:r>
    </w:p>
    <w:p w14:paraId="148C4A88"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w:t>
      </w:r>
      <w:r w:rsidR="001E5766" w:rsidRPr="00957029">
        <w:rPr>
          <w:rFonts w:ascii="Times New Roman" w:hAnsi="Times New Roman" w:cs="Times New Roman"/>
          <w:sz w:val="24"/>
          <w:szCs w:val="24"/>
        </w:rPr>
        <w:t>.2. pamatlīdzekļa piegādes un pārvietošanas izmaksas līdz tā izmantošanas vietai; Piemēram, budžeta iestāde, kas nav PVN maksātāja, saņem rēķinu par iegādātā laboratorijas mērinstrumenta piegādi 70,00 EUR vērtībā. Šādas piegādes izmaksas tiek iekļautas pamatlīdzekļa iegādes izmaksu vērtībā:</w:t>
      </w:r>
    </w:p>
    <w:p w14:paraId="65141201" w14:textId="77777777" w:rsidR="00A91072"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70,00 EUR</w:t>
      </w:r>
    </w:p>
    <w:p w14:paraId="4E039EF5" w14:textId="77777777" w:rsidR="001E5766"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 70,00 EUR</w:t>
      </w:r>
    </w:p>
    <w:p w14:paraId="7BF5FABC"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w:t>
      </w:r>
      <w:r w:rsidR="001E5766" w:rsidRPr="00957029">
        <w:rPr>
          <w:rFonts w:ascii="Times New Roman" w:hAnsi="Times New Roman" w:cs="Times New Roman"/>
          <w:sz w:val="24"/>
          <w:szCs w:val="24"/>
        </w:rPr>
        <w:t>.3. pamatlīdzekļa sagatavošanas paredzētajai izmantošanai izmaksas (ieviešanas, uzstādīšanas, montāžas izmaksas) līdz tā nodošanai un pieņemšanai lietošanā; Piemēram, budžeta iestāde, kas na</w:t>
      </w:r>
      <w:r w:rsidRPr="00957029">
        <w:rPr>
          <w:rFonts w:ascii="Times New Roman" w:hAnsi="Times New Roman" w:cs="Times New Roman"/>
          <w:sz w:val="24"/>
          <w:szCs w:val="24"/>
        </w:rPr>
        <w:t>v</w:t>
      </w:r>
      <w:r w:rsidR="001E5766" w:rsidRPr="00957029">
        <w:rPr>
          <w:rFonts w:ascii="Times New Roman" w:hAnsi="Times New Roman" w:cs="Times New Roman"/>
          <w:sz w:val="24"/>
          <w:szCs w:val="24"/>
        </w:rPr>
        <w:t xml:space="preserve"> </w:t>
      </w:r>
      <w:r w:rsidRPr="00957029">
        <w:rPr>
          <w:rFonts w:ascii="Times New Roman" w:hAnsi="Times New Roman" w:cs="Times New Roman"/>
          <w:sz w:val="24"/>
          <w:szCs w:val="24"/>
        </w:rPr>
        <w:t xml:space="preserve"> </w:t>
      </w:r>
      <w:r w:rsidR="001E5766" w:rsidRPr="00957029">
        <w:rPr>
          <w:rFonts w:ascii="Times New Roman" w:hAnsi="Times New Roman" w:cs="Times New Roman"/>
          <w:sz w:val="24"/>
          <w:szCs w:val="24"/>
        </w:rPr>
        <w:t>PVN maksātāja, iegādājas medicīnisko iekārtu. Lai iekārtu sagatavotu tai paredzētajai lietošanai, ir nepieciešams veikt tās uzstādīšanu un saslēgšanu ar citām iekārtām. Uzstādīšanu veic iekārtas piegādātājs par atsevišķu samaksu un tā nav bijusi ietverta iekārtas sākotnējā cenā. Budžeta iestāde saņem no piegādātāja rēķinu par uzstādīšanas izmaksām 240,00 EUR apmērā. Šādas uzstādīšanas izmaksas tiek iekļautas pamatlīdzekļa iegādes izmaksu vērtībā:</w:t>
      </w:r>
    </w:p>
    <w:p w14:paraId="26A1076B" w14:textId="77777777" w:rsidR="00A91072"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240,00 EUR</w:t>
      </w:r>
    </w:p>
    <w:p w14:paraId="0AA656EF"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 240,00 </w:t>
      </w:r>
      <w:r w:rsidR="00422C79">
        <w:rPr>
          <w:rFonts w:ascii="Times New Roman" w:hAnsi="Times New Roman" w:cs="Times New Roman"/>
          <w:b/>
          <w:sz w:val="24"/>
          <w:szCs w:val="24"/>
        </w:rPr>
        <w:t xml:space="preserve">   </w:t>
      </w:r>
      <w:r w:rsidRPr="00957029">
        <w:rPr>
          <w:rFonts w:ascii="Times New Roman" w:hAnsi="Times New Roman" w:cs="Times New Roman"/>
          <w:b/>
          <w:sz w:val="24"/>
          <w:szCs w:val="24"/>
        </w:rPr>
        <w:t>EUR</w:t>
      </w:r>
      <w:r w:rsidR="00A91072" w:rsidRPr="00957029">
        <w:rPr>
          <w:rFonts w:ascii="Times New Roman" w:hAnsi="Times New Roman" w:cs="Times New Roman"/>
          <w:b/>
          <w:sz w:val="24"/>
          <w:szCs w:val="24"/>
        </w:rPr>
        <w:t>.</w:t>
      </w:r>
    </w:p>
    <w:p w14:paraId="2A61D81B"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184.4. profesionālo pakalpojumu izmaksas, kas tieši attiecināmas uz pamatlīdzekļa iegādi vai izveidošanu;  Piemēram, budžeta iestāde, kas nav PVN maksātāja, ir iegādājusies ēku, ko tā plāno izmantot kultūras pasākumiem, lai nodrošinātu iestādes funkciju izpildi. Ēkai ir nepieciešams veikt pārbūvi, tāpēc ir piesaistīts ārpakalpojumu arhitekts. Budžeta iestāde saņem rēķinu par arhitekta pakalpojumiem 3 200,00 EUR apmērā, ieskaitot PVN. Šādas izmaksas tiek iekļautas pamatlīdzekļu izmaksu vērtībā, jo ir tieši attiecināmas uz pamatlīdzekļa izveidošanu:</w:t>
      </w:r>
    </w:p>
    <w:p w14:paraId="06AC5004"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1242 Nepabeigtā būvniecība 3 200,00 EUR</w:t>
      </w:r>
    </w:p>
    <w:p w14:paraId="1B865284" w14:textId="77777777" w:rsidR="00A91072" w:rsidRPr="00957029" w:rsidRDefault="00A91072"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 3 200,00 EUR.</w:t>
      </w:r>
    </w:p>
    <w:p w14:paraId="0B185A1D" w14:textId="77777777" w:rsidR="007F7C59"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184.5. attiecīgā objekta nojaukšanas un tā iepriekšējās atrašanās vietas atjaunošanas izmaksu sākotnējā aplēse, ja šādi pienākumi noteikti saskaņā ar tiesību aktu; Piemēram, budžeta iestāde iegādājas vēja turbīnu. Tiesību akts paredz, ka pēc turbīnas lietderīgās lietošanas laika beigām tā ir jānojauc un jāatjauno tās atrašanās vieta. Budžeta iestāde nosaka, ka vēja turbīnas nojaukšanas un tās atrašanās vietas atjaunošanas izmaksu aplēstā pašreizējā vērtība ir 10 000,00 EUR. Šādas izmaksas tiek iekļautas pamatlīdzekļa iegādes izmaksu vērtībā, jo pienākumu nojaukt un atjaunot atrašanās vietu nosaka konkrēts tiesību akts.                                  </w:t>
      </w:r>
    </w:p>
    <w:p w14:paraId="4045BAF0" w14:textId="77777777" w:rsidR="00A91072" w:rsidRPr="00957029" w:rsidRDefault="007F7C59"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A91072" w:rsidRPr="00957029">
        <w:rPr>
          <w:rFonts w:ascii="Times New Roman" w:hAnsi="Times New Roman" w:cs="Times New Roman"/>
          <w:sz w:val="24"/>
          <w:szCs w:val="24"/>
        </w:rPr>
        <w:t xml:space="preserve">   </w:t>
      </w:r>
      <w:r w:rsidR="00A91072"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1241 Pamatlīdzekļu izveidošana 10 000,00 EUR </w:t>
      </w:r>
    </w:p>
    <w:p w14:paraId="4E217010" w14:textId="77777777" w:rsidR="00A91072" w:rsidRPr="00957029" w:rsidRDefault="00A91072"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4000 vai 5130 Uzkrājumi vai Ilgtermiņa saistības pret piegādātājiem un                    darbuzņēmējiem    10 000,00 EUR.</w:t>
      </w:r>
    </w:p>
    <w:p w14:paraId="73D4FEB6"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184.6. izmaksas, kas radušās, veicot attiecīgā pamatlīdzekļa pārbaudi (testēšanu) pirms tā lietošanas uzsākšanas, no kurām atskaitīti pārbaudes (testēšanas) laikā radušies ieņēmumi no preču pārdošanas, kas saražotas ar attiecīgo pamatlīdzekli, piemēram, iekārtas pārbaudes laikā saražoti paraugi. Piemēram, budžeta iestāde, kas nav PVN maksātāja, iegādājas tehnoloģisko ražošanas iekārtu. Pirms iekārtas lietošanas uzsākšanas, budžeta iestāde piesaista iekārtas piegādātāju, kas to testē divas nedēļas. Iekārtas piegādātājs izraksta budžeta iestādei rēķinu par iekārtas testēšanu 2 000,00 EUR apmērā. Saražotos testa paraugus budžeta iestāde pārdeva, gūstot ieņēmumus no to pārdošanas 400,00 EUR apmērā. Budžeta iestāde neto izmaksās ( testēšanas izmaksas atskaitot ieņēmumus, ko tā guvusi no testa paraugu pārdošanas) iekļauj pamatlīdzekļu izmaksās (vai izmaksu vērtībā). </w:t>
      </w:r>
    </w:p>
    <w:p w14:paraId="4D3C7158"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2 000,00 EUR </w:t>
      </w:r>
    </w:p>
    <w:p w14:paraId="22D52618" w14:textId="77777777" w:rsidR="00A91072" w:rsidRPr="00957029" w:rsidRDefault="00A91072"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 </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5310 Īstermiņa saistības pret piegādātājiem un darbuzņēmējiem 2 000,00 EUR</w:t>
      </w:r>
    </w:p>
    <w:p w14:paraId="66233A7D"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2311 Prasības pret pircējiem un pasūtītājiem 400,00 EUR  </w:t>
      </w:r>
    </w:p>
    <w:p w14:paraId="7087AA18"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1241 Pamatlīdzekļu izveidošana 400,00 EUR.</w:t>
      </w:r>
    </w:p>
    <w:p w14:paraId="1F954F02"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185. Pamatlīdzekļa iegādes izmaksu vērtībā neiekļauj sekojošas izmaksas:  </w:t>
      </w:r>
    </w:p>
    <w:p w14:paraId="3E04D5F8"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185.1. jauna produkta vai pakalpojuma ieviešanas izmaksas (ieskaitot reklāmas un pārdošanas veicināšanas pasākumu izmaksas); piemēram, ar iegādāto iekārtu saražoto produktu reklāmizdevumi.</w:t>
      </w:r>
    </w:p>
    <w:p w14:paraId="5A91678E" w14:textId="77777777" w:rsidR="00A91072" w:rsidRPr="00957029" w:rsidRDefault="00A9107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185.2. izmaksas, kas saistītas ar darbības uzsākšanu jaunā atrašanās vietā vai ar citu    pakalpojuma lietotāju grupu (ieskaitot personāla apmācības izmaksas); piemēram, izmaksas, kas rodas, apmācot jaunu darbinieku lietot iekārtu.</w:t>
      </w:r>
    </w:p>
    <w:p w14:paraId="173E91F9"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185.3. administrācijas un citas vispārējās izmaksas, kuras nav tieši attiecināmas uz konkrēto    pamatlīdzekli; piemēram, budžeta iestāde iegādājas ēku kompleksu un grāmatvedis pavada 3 stundas, lai pārbaudītu, vai visi nepieciešamie dokumenti ir saņemti - grāmatveža darba laika izmaksas nav attiecināmās izmaksas.</w:t>
      </w:r>
    </w:p>
    <w:p w14:paraId="5672B9B3"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186. Budžeta iestāde neiekļauj pamatlīdzekļu uzskaites vērtībā to uzturēšanas izmaksas, piemēram, izdevumus par komunālajiem pakalpojumiem, kārtējā remonta darbus, apdrošināšanas izdevumus u.c. Šīs izmaksas atzīst izdevumos un uzrāda pārskatā par darbības finansiālajiem rezultātiem periodā, kurā tās radušās.</w:t>
      </w:r>
    </w:p>
    <w:p w14:paraId="0A4AE35E"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187. Izmaksu atzīšanu pamatlīdzekļa uzskaites vērtībā pārtrauc no pieņemšanas lietošanā (ekspluatācijā) dienas. Turpmākās izmaksas, kas saistītas ar pamatlīdzekļa izmantošanu vai turpmāko pārvietošanu pēc tā nodošanas lietošanā, neiekļauj pamatlīdzekļa vērtībā. Piemēram, pamatlīdzekļa uzskaites vērtībā neiekļauj šādas izmaksas: </w:t>
      </w:r>
    </w:p>
    <w:p w14:paraId="760150BB"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izmaksas, kas radušās laikā, kad lietošanā (ekspluatācijā) pieņemtais pamatlīdzeklis vēl papildus jāsagatavo lietošanai; </w:t>
      </w:r>
    </w:p>
    <w:p w14:paraId="2B830FFE"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sākotnējās darbības izmaksas, piemēram, tās, kas radušās, kamēr pieprasījums pēc aktīva radītā produkta tikai veidojas; </w:t>
      </w:r>
    </w:p>
    <w:p w14:paraId="5E095911"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izmaksas, kas saistītas ar budžeta iestādes darbības vai kādas tās daļas pārvietošanu vai pārstrukturēšanu.</w:t>
      </w:r>
    </w:p>
    <w:p w14:paraId="27AABA31"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188. Nododot pamatlīdzekli lietošanā (ekspluatācijā), pamatojoties uz budžeta iestādes iekšējā kārtībā apstiprinātu aktu par pamatlīdzekļa nodošanu lietošanā (ekspluatācijā), budžeta iestāde veic sekojošu grāmatojumu: </w:t>
      </w:r>
    </w:p>
    <w:p w14:paraId="5BB5BB8C" w14:textId="77777777" w:rsidR="00FD62F2" w:rsidRPr="00957029" w:rsidRDefault="00FD62F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1200* Pamatlīdzekļi </w:t>
      </w:r>
    </w:p>
    <w:p w14:paraId="65E8CA37" w14:textId="77777777" w:rsidR="00FD62F2" w:rsidRPr="00957029" w:rsidRDefault="00FD62F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1240 Pamatlīdzekļu izveidošana un nepabeigtā būvniecība </w:t>
      </w:r>
    </w:p>
    <w:p w14:paraId="2EA29073"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attiecīgais pamatlīdzekļu analītiskais konts</w:t>
      </w:r>
    </w:p>
    <w:p w14:paraId="2D8C57E8"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189. Saņemot avansa maksājuma rēķinu( ja tāds maksājums ir atrunāts</w:t>
      </w:r>
      <w:r w:rsidR="00E3771B" w:rsidRPr="00957029">
        <w:rPr>
          <w:rFonts w:ascii="Times New Roman" w:hAnsi="Times New Roman" w:cs="Times New Roman"/>
          <w:sz w:val="24"/>
          <w:szCs w:val="24"/>
        </w:rPr>
        <w:t xml:space="preserve"> iegādes, pirkuma</w:t>
      </w:r>
      <w:r w:rsidRPr="00957029">
        <w:rPr>
          <w:rFonts w:ascii="Times New Roman" w:hAnsi="Times New Roman" w:cs="Times New Roman"/>
          <w:sz w:val="24"/>
          <w:szCs w:val="24"/>
        </w:rPr>
        <w:t xml:space="preserve"> līgumā), grāmatojumus neveic, bet rēķinu reģistrē budžeta iestādes uzskaites sistēmā. Avansa maksājuma dokumenta apmaksas dienā, pamatojoties uz maksājuma uzdevumu, atzīst konta “Avansa maksājumi  par pamatlīdzekļiem” palielinājumu un tā naudas līdzekļu konta samazinājumu, no kura veic maksājumu, grāmatojot: </w:t>
      </w:r>
    </w:p>
    <w:p w14:paraId="7C1527BC" w14:textId="77777777" w:rsidR="00FD62F2"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FD62F2" w:rsidRPr="00957029">
        <w:rPr>
          <w:rFonts w:ascii="Times New Roman" w:hAnsi="Times New Roman" w:cs="Times New Roman"/>
          <w:b/>
          <w:sz w:val="24"/>
          <w:szCs w:val="24"/>
        </w:rPr>
        <w:t xml:space="preserve">D 1280 Avansa maksājumi par pamatlīdzekļiem </w:t>
      </w:r>
    </w:p>
    <w:p w14:paraId="52A249F0" w14:textId="77777777" w:rsidR="00FD62F2"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D62F2" w:rsidRPr="00957029">
        <w:rPr>
          <w:rFonts w:ascii="Times New Roman" w:hAnsi="Times New Roman" w:cs="Times New Roman"/>
          <w:b/>
          <w:sz w:val="24"/>
          <w:szCs w:val="24"/>
        </w:rPr>
        <w:t xml:space="preserve">D* 5723** Pievienotās vērtības nodoklis </w:t>
      </w:r>
    </w:p>
    <w:p w14:paraId="36FB52BB" w14:textId="77777777" w:rsidR="00FD62F2"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D62F2" w:rsidRPr="00957029">
        <w:rPr>
          <w:rFonts w:ascii="Times New Roman" w:hAnsi="Times New Roman" w:cs="Times New Roman"/>
          <w:b/>
          <w:sz w:val="24"/>
          <w:szCs w:val="24"/>
        </w:rPr>
        <w:t>K 2620 Norēķinu konti Valsts kasē, kredītiestādēs vai citās institūcijās</w:t>
      </w:r>
    </w:p>
    <w:p w14:paraId="62A1A1E7"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E3771B" w:rsidRPr="00957029">
        <w:rPr>
          <w:rFonts w:ascii="Times New Roman" w:hAnsi="Times New Roman" w:cs="Times New Roman"/>
          <w:sz w:val="24"/>
          <w:szCs w:val="24"/>
        </w:rPr>
        <w:t xml:space="preserve">   </w:t>
      </w:r>
      <w:r w:rsidRPr="00957029">
        <w:rPr>
          <w:rFonts w:ascii="Times New Roman" w:hAnsi="Times New Roman" w:cs="Times New Roman"/>
          <w:sz w:val="24"/>
          <w:szCs w:val="24"/>
        </w:rPr>
        <w:t>* gadījumā, ja budžeta iestāde ir PVN maksātāja</w:t>
      </w:r>
    </w:p>
    <w:p w14:paraId="6DCD102E"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FD62F2" w:rsidRPr="00957029">
        <w:rPr>
          <w:rFonts w:ascii="Times New Roman" w:hAnsi="Times New Roman" w:cs="Times New Roman"/>
          <w:sz w:val="24"/>
          <w:szCs w:val="24"/>
        </w:rPr>
        <w:t xml:space="preserve"> ** budžeta iestāde grāmatvedības uzskaites kārtībā var noteikt detalizētu PVN uzskaites kontu pielietojumu </w:t>
      </w:r>
      <w:r w:rsidRPr="00957029">
        <w:rPr>
          <w:rFonts w:ascii="Times New Roman" w:hAnsi="Times New Roman" w:cs="Times New Roman"/>
          <w:sz w:val="24"/>
          <w:szCs w:val="24"/>
        </w:rPr>
        <w:t>.</w:t>
      </w:r>
    </w:p>
    <w:p w14:paraId="6EF298D0"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Ja saņemtais avansa maksājuma attaisnojuma dokuments uz pārskata gada beigām nav apmaksāts, to uzskaita zembilancē kodā 9540 “Saņemtie, bet neapmaksātie avansa attaisnojuma dokumenti”.</w:t>
      </w:r>
    </w:p>
    <w:p w14:paraId="6BDD572D"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190. Saņemot preču pavadzīmi – rēķinu par pamatlīdzekli, par kuru iepriekš veikts avansa maksājums, to reģistrē budžeta iestādes uzskaites sistēmā un iegrāmato, palielinot attiecīgo pamatlīdzekļu kontu un saistību kontu:</w:t>
      </w:r>
    </w:p>
    <w:p w14:paraId="25663DAE"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1240 Pamatlīdzekļu izveidošana un nepabeigtā būvniecība </w:t>
      </w:r>
    </w:p>
    <w:p w14:paraId="5E58F814"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 </w:t>
      </w:r>
    </w:p>
    <w:p w14:paraId="1631F621"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w:t>
      </w:r>
    </w:p>
    <w:p w14:paraId="15BC01D2"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 </w:t>
      </w:r>
    </w:p>
    <w:p w14:paraId="689E80BF"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23BE06B7"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191. Vienlaikus budžeta iestāde samazina saistības iepriekš veiktā avansa maksājuma apmērā, veicot sekojošu grāmatojumu:  </w:t>
      </w:r>
    </w:p>
    <w:p w14:paraId="4C146077"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5310 Īstermiņa saistības pret piegādātājiem un darbuzņēmējiem</w:t>
      </w:r>
    </w:p>
    <w:p w14:paraId="44C581BB"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1280 Avansa maksājumi par pamatlīdzekļiem</w:t>
      </w:r>
    </w:p>
    <w:p w14:paraId="680ECE3B"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5723* Pievienotās vērtības nodoklis</w:t>
      </w:r>
    </w:p>
    <w:p w14:paraId="1B0A8B79"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192. Samaksājot piegādātājam atlikušo summu, budžeta iestāde atzīst saistību samazinājumu iepriekš veiktā maksājuma apmērā, veicot sekojošu grāmatojumu: </w:t>
      </w:r>
    </w:p>
    <w:p w14:paraId="7E9552DB"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5310 Īstermiņa saistības pret piegādātājiem un darbuzņēmējiem</w:t>
      </w:r>
    </w:p>
    <w:p w14:paraId="41989AB6"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2620 Norēķinu konti Valsts kasē un kredītiestādēs</w:t>
      </w:r>
    </w:p>
    <w:p w14:paraId="16741B66"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193. Ja budžeta iestāde iegādājas pamatlīdzekli ar mērķi nodot to tālākai lietošanai kādai citai budžeta iestādei (piemēram, pašvaldība iegādājas pamatlīdzekli, kuru paredzēts nodot tālākai lietošanai pašvaldības padotības iestādēm), budžeta iestāde atzīst attiecīgo pamatlīdzekli un saistības atbilstoši attaisnojuma dokumentā uzrādītajai pamatlīdzekļa vērtībai un veic sekojošu grāmatojumu: </w:t>
      </w:r>
    </w:p>
    <w:p w14:paraId="7F4BE561"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1240 Pamatlīdzekļu izveidošana un nepabeigtā būvniecība</w:t>
      </w:r>
    </w:p>
    <w:p w14:paraId="1DABA577"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w:t>
      </w:r>
    </w:p>
    <w:p w14:paraId="5CF77702"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w:t>
      </w:r>
    </w:p>
    <w:p w14:paraId="1C9D6B15"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 </w:t>
      </w:r>
    </w:p>
    <w:p w14:paraId="5E21D8EC"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538BBCD6"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194. Gadījumā, ja budžeta iestāde veic norēķinus par pamatlīdzekļa iegādi ar atliktā maksājuma nosacījumiem un atliktā maksājuma periods ir ilgāks par 12 mēnešiem, budžeta iestāde nosaka pamatlīdzekļa iegādes izmaksu vērtību, ņemot vērā atbilstošo procentu likmi, piemēram, līgumā noteikto procenta likmi. Starpību starp šo summu un maksājumu kopējo vērtību atzīst par procentu izdevumiem atliktā maksājuma periodā. Piemēram, budžeta iestāde var iegādāties pamatlīdzekli, par to norēķinoties trīs gadu laikā no līguma spēkā stāšanās brīža. Saskaņā ar līguma nosacījumiem līguma cenā ir iekļauti procenti par nenomaksāto saistību daļu. Papildus radušās izmaksas atzīst kā finanšu izdevumus nevis iekļauj pamatlīdzekļa iegādes izmaksu vērtībā.</w:t>
      </w:r>
    </w:p>
    <w:p w14:paraId="32D8352F"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195. Budžeta iestāde var iegūt pamatlīdzekli darījumā bez atlīdzības. Piemēram, īpašumu attīstītājs var vietējai pašvaldībai nodot zemi bez maksas vai par simbolisku samaksu, lai vietējā pašvaldība attīstībai paredzētajā teritorijā varētu izveidot parkus, ceļus un gājēju celiņus, vai arī aktīvs var būt iegūts, veicot mantas konfiskāciju.</w:t>
      </w:r>
    </w:p>
    <w:p w14:paraId="2B7D24F1" w14:textId="77777777" w:rsidR="00E3771B" w:rsidRPr="00D9492B"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196. Gadījumā, ja budžeta iestāde iegūst pamatlīdzekli darījumā bez atlīdzības, pamatlīdzekļa izmaksu vērtība ir tā patiesā vērtība iegūšanas datumā. </w:t>
      </w:r>
      <w:r w:rsidRPr="00D9492B">
        <w:rPr>
          <w:rFonts w:ascii="Times New Roman" w:hAnsi="Times New Roman" w:cs="Times New Roman"/>
          <w:b/>
          <w:sz w:val="24"/>
          <w:szCs w:val="24"/>
        </w:rPr>
        <w:t xml:space="preserve">Piemēram, ja budžeta iestāde saņem dāvinājumā tehnoloģisko iekārtu, tā atzīst pamatlīdzekli un ieņēmumus saskaņā ar </w:t>
      </w:r>
      <w:r w:rsidR="00B21F68" w:rsidRPr="00D9492B">
        <w:rPr>
          <w:rFonts w:ascii="Times New Roman" w:hAnsi="Times New Roman" w:cs="Times New Roman"/>
          <w:b/>
          <w:sz w:val="24"/>
          <w:szCs w:val="24"/>
        </w:rPr>
        <w:t xml:space="preserve">uzskaites kārtības </w:t>
      </w:r>
      <w:r w:rsidRPr="00D9492B">
        <w:rPr>
          <w:rFonts w:ascii="Times New Roman" w:hAnsi="Times New Roman" w:cs="Times New Roman"/>
          <w:b/>
          <w:sz w:val="24"/>
          <w:szCs w:val="24"/>
        </w:rPr>
        <w:t xml:space="preserve"> sadaļ</w:t>
      </w:r>
      <w:r w:rsidR="00B21F68" w:rsidRPr="00D9492B">
        <w:rPr>
          <w:rFonts w:ascii="Times New Roman" w:hAnsi="Times New Roman" w:cs="Times New Roman"/>
          <w:b/>
          <w:sz w:val="24"/>
          <w:szCs w:val="24"/>
        </w:rPr>
        <w:t>u</w:t>
      </w:r>
      <w:r w:rsidRPr="00D9492B">
        <w:rPr>
          <w:rFonts w:ascii="Times New Roman" w:hAnsi="Times New Roman" w:cs="Times New Roman"/>
          <w:b/>
          <w:sz w:val="24"/>
          <w:szCs w:val="24"/>
        </w:rPr>
        <w:t xml:space="preserve"> “Ieņēmumi no darījumiem bez atlīdzības (nodokļi un pārvedumi)” noteiktajiem uzskaites principiem.</w:t>
      </w:r>
    </w:p>
    <w:p w14:paraId="7AFEF55C"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197. Saņemot dāvinājumā pamatlīdzekli, budžeta iestāde nosaka tā patieso vērtību saņemšanas dienā un paredzamo lietderīgās lietošanas laiku, nepieciešamības gadījumā pieaicinot attiecīgās jomas speciālistu. Ja dāvinājumu saņem saskaņā ar pievienoto dokumentāciju, kurā norādīta attiecīgā pamatlīdzekļa vērtība, komisija izvērtē, vai norādītā vērtība atbilst aktīva patiesai vērtībai iegūšanas datumā, un pamatlīdzekli uzskaita komisijas apstiprinātajā vērtībā. Ieņēmumus no dāvinājuma budžeta iestāde atzīst saskaņā ar uzskaites kārtības sadaļā “Ieņēmumi no darījumiem bez atlīdzības (nodokļi un pārvedumi)” noteiktajiem uzskaites principiem.</w:t>
      </w:r>
    </w:p>
    <w:p w14:paraId="2217B306"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198. Ja budžeta iestāde sākotnēji atzīst pamatlīdzekli tā patiesajā vērtībā, atskaitot atsavināšanas izmaksas, tad patieso vērtību pieņem kā šī pamatlīdzekļa iegādes izmaksu vērtību</w:t>
      </w:r>
    </w:p>
    <w:p w14:paraId="023BB68A"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199. Gadījumā, ja budžeta iestāde dāvinājumā saņem pamatlīdzekli </w:t>
      </w:r>
      <w:r w:rsidRPr="00957029">
        <w:rPr>
          <w:rFonts w:ascii="Times New Roman" w:hAnsi="Times New Roman" w:cs="Times New Roman"/>
          <w:b/>
          <w:sz w:val="24"/>
          <w:szCs w:val="24"/>
        </w:rPr>
        <w:t>bez lietošanas</w:t>
      </w: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nosacījumiem</w:t>
      </w:r>
      <w:r w:rsidRPr="00957029">
        <w:rPr>
          <w:rFonts w:ascii="Times New Roman" w:hAnsi="Times New Roman" w:cs="Times New Roman"/>
          <w:sz w:val="24"/>
          <w:szCs w:val="24"/>
        </w:rPr>
        <w:t xml:space="preserve">, dāvinājuma saņemšanas dienā budžeta iestāde atzīst attiecīgo pamatlīdzekli un ieņēmumus no saņemtā dāvinājuma atbilstoši komisijas novērtēšanas aktā apstiprinātajai dāvinājuma vērtībai un veic sekojošu grāmatojumu: </w:t>
      </w:r>
    </w:p>
    <w:p w14:paraId="47D678F1" w14:textId="77777777" w:rsidR="00B21F68" w:rsidRPr="00957029" w:rsidRDefault="00B21F68"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1200* Pamatlīdzekļi</w:t>
      </w:r>
    </w:p>
    <w:p w14:paraId="09EA80DC" w14:textId="77777777" w:rsidR="00B21F68" w:rsidRPr="00957029" w:rsidRDefault="00B21F68"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6000 Pamatdarbības ieņēmumi </w:t>
      </w:r>
    </w:p>
    <w:p w14:paraId="045E3119"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attiecīgais pamatlīdzekļu analītiskais konts</w:t>
      </w:r>
    </w:p>
    <w:p w14:paraId="2C8E2FE6" w14:textId="77777777" w:rsidR="00B21F68"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200.</w:t>
      </w:r>
      <w:r w:rsidR="00574971" w:rsidRPr="00957029">
        <w:rPr>
          <w:rFonts w:ascii="Times New Roman" w:hAnsi="Times New Roman" w:cs="Times New Roman"/>
          <w:sz w:val="24"/>
          <w:szCs w:val="24"/>
        </w:rPr>
        <w:t xml:space="preserve"> Gadījumā, ja budžeta iestāde dāvinājumā saņem pamatlīdzekli </w:t>
      </w:r>
      <w:r w:rsidR="00574971" w:rsidRPr="00DF4380">
        <w:rPr>
          <w:rFonts w:ascii="Times New Roman" w:hAnsi="Times New Roman" w:cs="Times New Roman"/>
          <w:b/>
          <w:sz w:val="24"/>
          <w:szCs w:val="24"/>
        </w:rPr>
        <w:t>ar nosacījumu</w:t>
      </w:r>
      <w:r w:rsidR="00574971" w:rsidRPr="00957029">
        <w:rPr>
          <w:rFonts w:ascii="Times New Roman" w:hAnsi="Times New Roman" w:cs="Times New Roman"/>
          <w:sz w:val="24"/>
          <w:szCs w:val="24"/>
        </w:rPr>
        <w:t>, piemēram, nosacījumu atdot pamatlīdzekli dāvinātājam, ja netiek izpildīti konkrēti nosacījumi, budžeta iestāde atzīst nākamo periodu ieņēmumus no saņemtām materiālām vērtībām saskaņā ar uzskaites kārtības sadaļā “Ieņēmumi no darījumiem bez atlīdzības (nodokļi un pārvedumi)” noteiktajiem principiem.</w:t>
      </w:r>
      <w:r w:rsidR="00261132">
        <w:rPr>
          <w:rFonts w:ascii="Times New Roman" w:hAnsi="Times New Roman" w:cs="Times New Roman"/>
          <w:sz w:val="24"/>
          <w:szCs w:val="24"/>
        </w:rPr>
        <w:t xml:space="preserve"> Grāmatojumi:</w:t>
      </w:r>
    </w:p>
    <w:p w14:paraId="65D05DA6" w14:textId="77777777" w:rsidR="00261132" w:rsidRPr="00F36682" w:rsidRDefault="00261132" w:rsidP="00CD363C">
      <w:pPr>
        <w:spacing w:after="0" w:line="240" w:lineRule="auto"/>
        <w:ind w:left="-142" w:right="-142"/>
        <w:jc w:val="both"/>
        <w:rPr>
          <w:rFonts w:ascii="Times New Roman" w:hAnsi="Times New Roman" w:cs="Times New Roman"/>
          <w:b/>
          <w:sz w:val="24"/>
          <w:szCs w:val="24"/>
        </w:rPr>
      </w:pPr>
      <w:r w:rsidRPr="00F36682">
        <w:rPr>
          <w:rFonts w:ascii="Times New Roman" w:hAnsi="Times New Roman" w:cs="Times New Roman"/>
          <w:b/>
          <w:sz w:val="24"/>
          <w:szCs w:val="24"/>
        </w:rPr>
        <w:t xml:space="preserve">    D </w:t>
      </w:r>
      <w:r w:rsidR="00150DF4">
        <w:rPr>
          <w:rFonts w:ascii="Times New Roman" w:hAnsi="Times New Roman" w:cs="Times New Roman"/>
          <w:b/>
          <w:sz w:val="24"/>
          <w:szCs w:val="24"/>
        </w:rPr>
        <w:t xml:space="preserve">  </w:t>
      </w:r>
      <w:r w:rsidRPr="00F36682">
        <w:rPr>
          <w:rFonts w:ascii="Times New Roman" w:hAnsi="Times New Roman" w:cs="Times New Roman"/>
          <w:b/>
          <w:sz w:val="24"/>
          <w:szCs w:val="24"/>
        </w:rPr>
        <w:t xml:space="preserve">1200 </w:t>
      </w:r>
      <w:r w:rsidR="00F36682" w:rsidRPr="00F36682">
        <w:rPr>
          <w:rFonts w:ascii="Times New Roman" w:hAnsi="Times New Roman" w:cs="Times New Roman"/>
          <w:b/>
          <w:sz w:val="24"/>
          <w:szCs w:val="24"/>
        </w:rPr>
        <w:t>P</w:t>
      </w:r>
      <w:r w:rsidRPr="00F36682">
        <w:rPr>
          <w:rFonts w:ascii="Times New Roman" w:hAnsi="Times New Roman" w:cs="Times New Roman"/>
          <w:b/>
          <w:sz w:val="24"/>
          <w:szCs w:val="24"/>
        </w:rPr>
        <w:t>amatlīdzekļi</w:t>
      </w:r>
    </w:p>
    <w:p w14:paraId="05A59402" w14:textId="77777777" w:rsidR="00261132" w:rsidRDefault="00261132" w:rsidP="00CD363C">
      <w:pPr>
        <w:spacing w:after="0" w:line="240" w:lineRule="auto"/>
        <w:ind w:left="-142" w:right="-142"/>
        <w:jc w:val="both"/>
        <w:rPr>
          <w:rFonts w:ascii="Times New Roman" w:hAnsi="Times New Roman" w:cs="Times New Roman"/>
          <w:sz w:val="24"/>
          <w:szCs w:val="24"/>
        </w:rPr>
      </w:pPr>
      <w:r w:rsidRPr="00F36682">
        <w:rPr>
          <w:rFonts w:ascii="Times New Roman" w:hAnsi="Times New Roman" w:cs="Times New Roman"/>
          <w:b/>
          <w:sz w:val="24"/>
          <w:szCs w:val="24"/>
        </w:rPr>
        <w:t xml:space="preserve">    K </w:t>
      </w:r>
      <w:r w:rsidR="00150DF4">
        <w:rPr>
          <w:rFonts w:ascii="Times New Roman" w:hAnsi="Times New Roman" w:cs="Times New Roman"/>
          <w:b/>
          <w:sz w:val="24"/>
          <w:szCs w:val="24"/>
        </w:rPr>
        <w:t xml:space="preserve">  </w:t>
      </w:r>
      <w:r w:rsidRPr="00F36682">
        <w:rPr>
          <w:rFonts w:ascii="Times New Roman" w:hAnsi="Times New Roman" w:cs="Times New Roman"/>
          <w:b/>
          <w:sz w:val="24"/>
          <w:szCs w:val="24"/>
        </w:rPr>
        <w:t>5154</w:t>
      </w:r>
      <w:r w:rsidR="00F36682" w:rsidRPr="00F36682">
        <w:rPr>
          <w:rFonts w:ascii="Times New Roman" w:hAnsi="Times New Roman" w:cs="Times New Roman"/>
          <w:b/>
          <w:sz w:val="24"/>
          <w:szCs w:val="24"/>
        </w:rPr>
        <w:t xml:space="preserve"> Ilgtermiņa nākamo periodu ieņēmumi par saņemtajiem ziedojumiem dāvinājumiem</w:t>
      </w:r>
      <w:r w:rsidRPr="00F36682">
        <w:rPr>
          <w:rFonts w:ascii="Times New Roman" w:hAnsi="Times New Roman" w:cs="Times New Roman"/>
          <w:b/>
          <w:sz w:val="24"/>
          <w:szCs w:val="24"/>
        </w:rPr>
        <w:t xml:space="preserve"> </w:t>
      </w:r>
      <w:r w:rsidR="00F36682">
        <w:rPr>
          <w:rFonts w:ascii="Times New Roman" w:hAnsi="Times New Roman" w:cs="Times New Roman"/>
          <w:b/>
          <w:sz w:val="24"/>
          <w:szCs w:val="24"/>
        </w:rPr>
        <w:t xml:space="preserve">, </w:t>
      </w:r>
      <w:r w:rsidR="00F36682" w:rsidRPr="00F36682">
        <w:rPr>
          <w:rFonts w:ascii="Times New Roman" w:hAnsi="Times New Roman" w:cs="Times New Roman"/>
          <w:sz w:val="24"/>
          <w:szCs w:val="24"/>
        </w:rPr>
        <w:t>vai</w:t>
      </w:r>
    </w:p>
    <w:p w14:paraId="3C2BB704" w14:textId="77777777" w:rsidR="00F36682" w:rsidRPr="00F36682" w:rsidRDefault="00F36682" w:rsidP="00CD363C">
      <w:pPr>
        <w:spacing w:after="0" w:line="240" w:lineRule="auto"/>
        <w:ind w:left="-142" w:right="-142"/>
        <w:jc w:val="both"/>
        <w:rPr>
          <w:rFonts w:ascii="Times New Roman" w:hAnsi="Times New Roman" w:cs="Times New Roman"/>
          <w:b/>
          <w:sz w:val="24"/>
          <w:szCs w:val="24"/>
        </w:rPr>
      </w:pPr>
      <w:r>
        <w:rPr>
          <w:rFonts w:ascii="Times New Roman" w:hAnsi="Times New Roman" w:cs="Times New Roman"/>
          <w:b/>
          <w:sz w:val="24"/>
          <w:szCs w:val="24"/>
        </w:rPr>
        <w:t xml:space="preserve">    K 5914 Īstermiņa nākamo periodu ieņēmumi par saņemtajiem ziedojumiem un dāvinājumiem </w:t>
      </w:r>
    </w:p>
    <w:p w14:paraId="7418E752"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201. Ja budžeta iestāde pamatlīdzekli saņem bez atlīdzības no citas budžeta iestādes (vispārējās valdības institucionālā sektora ietvaros), budžeta iestāde pamatlīdzekļa iegūšanas datumā atzīst tā sākotnējo vērtību un uzkrāto nolietojumu, kā tas uzskaitīts tajā budžeta iestādē, kas nodeva aktīvu. Vienlaikus budžeta iestāde atzīst ieņēmumus no saņemtām vērtībām bez atlīdzības pamatlīdzekļa atlikušajā vērtībā atbilstoši darījuma būtībai saskaņā ar uzskaites kārtības sadaļā “Ieņēmumi no darījumiem bez atlīdzības (nodokļi un pārvedumi)” noteiktajiem principiem.</w:t>
      </w:r>
    </w:p>
    <w:p w14:paraId="7A6F30F1"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202. Budžeta iestāde turpina aprēķināt nolietojumu pamatlīdzekļa atlikušajā lietderīgās lietošanas laikā atbilstoši saņemtajai informācijai par pamatlīdzekli.</w:t>
      </w:r>
    </w:p>
    <w:p w14:paraId="16B58D02"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203. Budžeta iestāde pamatlīdzekli uzskaita tajā uzskaites kategorijā, kuru norādījusi budžeta iestāde, kas nodevusi attiecīgo pamatlīdzekli, ja nepieciešams, veicot pārklasifikāciju atbilstoši budžeta iestādes grāmatvedības uzskaites kārtībā noteiktajām prasībām. Piemēram, budžeta iestāde, kas nodevusi pamatlīdzekli, to bija uzskaitījusi kā dzīvojamo māju, bet budžeta iestāde, kas pieņēmusi pamatlīdzekli, to pārklasificē kā nedzīvojamu māju, jo paredzējusi tajā ierīkot muzeju.</w:t>
      </w:r>
    </w:p>
    <w:p w14:paraId="4DEF3827"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204. Budžeta iestāde pamatlīdzekli var iegūt arī apmaiņas darījumā – apmaiņā pret nemonetāru aktīvu vai aktīviem vai monetāru un nemonetāru aktīvu kombināciju. Ja apmaiņas darījums notiek ārpus vispārējā valdības sektora, budžeta iestāde nosaka šāda (iegūtā) pamatlīdzekļu izmaksu vērtību atbilstoši tā patiesajai vērtībai, izņemot gadījumus, kad budžeta iestāde nevar ticami novērtēt saņemtā aktīva patieso vērtību.</w:t>
      </w:r>
    </w:p>
    <w:p w14:paraId="6D4A135F"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205. Ja budžeta iestāde nevar novērtēt apmaiņas darījuma ietvaros iegūtā aktīva patieso vērtību, tā iegādes izmaksu vērtību nosaka pēc nodotā aktīva patiesās vērtības aktīva iegūšanas datumā. </w:t>
      </w:r>
    </w:p>
    <w:p w14:paraId="4DD6103B"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206. Aktīvu, kas iegūts apmaiņas darījumā starp budžeta iestādēm, sākotnēji novērtē tā iegūšanas datumā atbilstoši aktīva sākotnējai vērtībai un tā nolietojumam, kādā tas uzskaitīts budžeta iestādē, kura aktīvu nodevusi. Vērtības samazinājums netiek nodots. Budžeta iestāde turpina aprēķināt nolietojumu pamatlīdzekļa atlikušajā lietderīgās lietošanas laikā atbilstoši saņemtajai informācijai par pamatlīdzekli. Budžeta iestāde pamatlīdzekli uzskaita tajā uzskaites kategorijā, kuru norādījusi budžeta iestāde, kas nodevusi attiecīgo pamatlīdzekli, ja nepieciešams, pēc atzīšanas veicot pamatlīdzekļa pārklasifikāciju uz citu uzskaites kategoriju atbilstoši budžeta iestādes grāmatvedības uzskaites kārtībai.</w:t>
      </w:r>
    </w:p>
    <w:p w14:paraId="283996DB"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207. Budžeta iestāde var izmantot pamatlīdzekļa nosacīto izmaksu vērtību, sākotnēji atzīstot pamatlīdzekli uzskaitē sekojošos gadījumos: </w:t>
      </w:r>
    </w:p>
    <w:p w14:paraId="445D06DB"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atzīstot uzskaitē līdz šim neuzskaitītu pamatlīdzekli, piemēram, inventarizācijā konstatētos pamatlīdzekļus; </w:t>
      </w:r>
    </w:p>
    <w:p w14:paraId="3FDCDB59"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ziedojumu un dāvinājumu veidā saņemtu pamatlīdzekli; </w:t>
      </w:r>
    </w:p>
    <w:p w14:paraId="16D7AC5E"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maiņas ceļā saņemtu pamatlīdzekli, izņemot, ja tas saņemts vispārējās valdības sektora struktūru ietvaros.</w:t>
      </w:r>
    </w:p>
    <w:p w14:paraId="6AFC4D1D"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Nosacīto izmaksu vērtība kadastrālā vērtība – zemes un būvju vērtības noteikšanai; Meža valsts reģistrā norādītā pilnā vērtība – mežaudžu vērtības noteikšanai;  Ģeoloģiskās informācijas sistēmas dati – pazemes aktīvu vērtības noteikšanai.</w:t>
      </w:r>
    </w:p>
    <w:p w14:paraId="6C274FDD"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208. Tāda pamatlīdzekļa sākotnējo iegādes izmaksu vērtību, kuru budžeta iestāde ieguvusi saskaņā ar finanšu nomas līgumu, nosaka atbilstoši finanšu nomas nosacījumiem, kā aprakstīts uzskaites kārtības sadaļā "Noma", proti, aktīvu atzīst aktīva minimālo nomas maksājumu pašreizējā vērtībā, vienlaikus atzīstot saistības tādā pašā apmērā.</w:t>
      </w:r>
    </w:p>
    <w:p w14:paraId="3B2FB4B7" w14:textId="77777777" w:rsidR="003C6DBC" w:rsidRPr="00957029" w:rsidRDefault="003C6DBC"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10.2 Pamatlīdzekļu turpmākā novērtēšana</w:t>
      </w:r>
    </w:p>
    <w:p w14:paraId="3034ABD2"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209. Pēc sākotnējās atzīšanas budžeta iestāde uzskaita pamatlīdzekli izmaksu vērtībā, atskaitot uzkrāto nolietojumu un uzkrātos izdevumus (zaudējumus) no vērtības samazināšanās.</w:t>
      </w:r>
    </w:p>
    <w:p w14:paraId="6FB05ADF"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210. Veicot pamatlīdzekļu atjaunošanu, rekonstrukciju vai uzlabošanu, kā rezultātā tiek uzlabots attiecīgā pamatlīdzekļa stāvoklis tā lietderīgās lietošanas laikā vai būtiski mainītas tā īpašības, salīdzinot ar iepriekšējiem rādītājiem, šādus izdevumus iekļauj pamatlīdzekļa uzskaites vērtībā (kapitalizē). Piemēram, pamatlīdzekļa uzskaites vērtībai pieskaita izdevumus, kas rodas veco koka logu vietā ēkai ieliekot plastikāta logus, ēkai piebūvējot jaunu korpusu vai iegādājoties papildus funkcionalitātes serverim. Nomainītās daļas izslēdz no uzskaites. Pamatlīdzekļa uzskaites vērtībai nepieskaita izdevumus par eļļas un citu filtru nomaiņu automašīnai vai grīdu pārkrāsošanu skolai</w:t>
      </w:r>
      <w:r w:rsidR="009B6E2D">
        <w:rPr>
          <w:rFonts w:ascii="Times New Roman" w:hAnsi="Times New Roman" w:cs="Times New Roman"/>
          <w:sz w:val="24"/>
          <w:szCs w:val="24"/>
        </w:rPr>
        <w:t>- t</w:t>
      </w:r>
      <w:r w:rsidR="000F0C1F">
        <w:rPr>
          <w:rFonts w:ascii="Times New Roman" w:hAnsi="Times New Roman" w:cs="Times New Roman"/>
          <w:sz w:val="24"/>
          <w:szCs w:val="24"/>
        </w:rPr>
        <w:t>ā</w:t>
      </w:r>
      <w:r w:rsidR="009B6E2D">
        <w:rPr>
          <w:rFonts w:ascii="Times New Roman" w:hAnsi="Times New Roman" w:cs="Times New Roman"/>
          <w:sz w:val="24"/>
          <w:szCs w:val="24"/>
        </w:rPr>
        <w:t>s būs teko</w:t>
      </w:r>
      <w:r w:rsidR="000F0C1F">
        <w:rPr>
          <w:rFonts w:ascii="Times New Roman" w:hAnsi="Times New Roman" w:cs="Times New Roman"/>
          <w:sz w:val="24"/>
          <w:szCs w:val="24"/>
        </w:rPr>
        <w:t>šā remonta izmaksas , kuras tiek atzītas pamatdarbības izdevumos periodā, kad tās ir radušās</w:t>
      </w:r>
      <w:r w:rsidRPr="00957029">
        <w:rPr>
          <w:rFonts w:ascii="Times New Roman" w:hAnsi="Times New Roman" w:cs="Times New Roman"/>
          <w:sz w:val="24"/>
          <w:szCs w:val="24"/>
        </w:rPr>
        <w:t>.</w:t>
      </w:r>
      <w:r w:rsidR="000F0C1F">
        <w:rPr>
          <w:rFonts w:ascii="Times New Roman" w:hAnsi="Times New Roman" w:cs="Times New Roman"/>
          <w:sz w:val="24"/>
          <w:szCs w:val="24"/>
        </w:rPr>
        <w:t xml:space="preserve"> Ja pamatlīdzeklis tiek papildināts, mainīts apjoms( līdz šim nebijis piemēram pie skolas piebūvē sporta zāli), tad uzkrātās būvniecības izmaksas ir pievienojamas pamatlīdzekļa vērtībai un vadītāja izveidota komisija pārskata lietderīgās lietošanas laiku un nolietojuma normu.</w:t>
      </w:r>
    </w:p>
    <w:p w14:paraId="5B9B1712"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211. Budžeta iestāde, iekļaujot kapitalizētās izmaksas pamatlīdzekļa vērtībā, palielina aktīva sākotnējo vērtību. Sākot ar nākamo mēnesi, nolietojumu aprēķina no jaunās aktīva vērtības.</w:t>
      </w:r>
    </w:p>
    <w:p w14:paraId="67D0E354"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212. Veicot pamatlīdzekļa vai ieguldījuma īpašuma pārbūvi, restaurāciju</w:t>
      </w:r>
      <w:r w:rsidR="0002084A">
        <w:rPr>
          <w:rFonts w:ascii="Times New Roman" w:hAnsi="Times New Roman" w:cs="Times New Roman"/>
          <w:sz w:val="24"/>
          <w:szCs w:val="24"/>
        </w:rPr>
        <w:t>,rekonstrukciju</w:t>
      </w:r>
      <w:r w:rsidRPr="00957029">
        <w:rPr>
          <w:rFonts w:ascii="Times New Roman" w:hAnsi="Times New Roman" w:cs="Times New Roman"/>
          <w:sz w:val="24"/>
          <w:szCs w:val="24"/>
        </w:rPr>
        <w:t xml:space="preserve"> vai atjaunošanu, aktīva atlikušo lietderīgās lietošanas laiku pārskata, attiecīgi koriģējot aktīva nolietojuma aprēķinu kārtējam periodam un nākamajiem periodiem, ja paredzamais lietošanas laiks palielinās: </w:t>
      </w:r>
    </w:p>
    <w:p w14:paraId="53AE0CE5"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212.1</w:t>
      </w:r>
      <w:r w:rsidRPr="00957029">
        <w:rPr>
          <w:rFonts w:ascii="Times New Roman" w:hAnsi="Times New Roman" w:cs="Times New Roman"/>
          <w:b/>
          <w:sz w:val="24"/>
          <w:szCs w:val="24"/>
        </w:rPr>
        <w:t>. būvēm</w:t>
      </w:r>
      <w:r w:rsidRPr="00957029">
        <w:rPr>
          <w:rFonts w:ascii="Times New Roman" w:hAnsi="Times New Roman" w:cs="Times New Roman"/>
          <w:sz w:val="24"/>
          <w:szCs w:val="24"/>
        </w:rPr>
        <w:t xml:space="preserve"> – vairāk par </w:t>
      </w:r>
      <w:r w:rsidRPr="00957029">
        <w:rPr>
          <w:rFonts w:ascii="Times New Roman" w:hAnsi="Times New Roman" w:cs="Times New Roman"/>
          <w:b/>
          <w:sz w:val="24"/>
          <w:szCs w:val="24"/>
        </w:rPr>
        <w:t>10 procentiem</w:t>
      </w:r>
      <w:r w:rsidRPr="00957029">
        <w:rPr>
          <w:rFonts w:ascii="Times New Roman" w:hAnsi="Times New Roman" w:cs="Times New Roman"/>
          <w:sz w:val="24"/>
          <w:szCs w:val="24"/>
        </w:rPr>
        <w:t xml:space="preserve">; </w:t>
      </w:r>
    </w:p>
    <w:p w14:paraId="57317EF0"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212.2. </w:t>
      </w:r>
      <w:r w:rsidRPr="00957029">
        <w:rPr>
          <w:rFonts w:ascii="Times New Roman" w:hAnsi="Times New Roman" w:cs="Times New Roman"/>
          <w:b/>
          <w:sz w:val="24"/>
          <w:szCs w:val="24"/>
        </w:rPr>
        <w:t>pārējiem pamatlīdzekļiem un ieguldījuma īpašumiem, izņemot būve</w:t>
      </w:r>
      <w:r w:rsidRPr="00957029">
        <w:rPr>
          <w:rFonts w:ascii="Times New Roman" w:hAnsi="Times New Roman" w:cs="Times New Roman"/>
          <w:sz w:val="24"/>
          <w:szCs w:val="24"/>
        </w:rPr>
        <w:t xml:space="preserve">s, – vairāk par </w:t>
      </w:r>
      <w:r w:rsidRPr="00957029">
        <w:rPr>
          <w:rFonts w:ascii="Times New Roman" w:hAnsi="Times New Roman" w:cs="Times New Roman"/>
          <w:b/>
          <w:sz w:val="24"/>
          <w:szCs w:val="24"/>
        </w:rPr>
        <w:t>50 procentiem</w:t>
      </w:r>
      <w:r w:rsidRPr="00957029">
        <w:rPr>
          <w:rFonts w:ascii="Times New Roman" w:hAnsi="Times New Roman" w:cs="Times New Roman"/>
          <w:sz w:val="24"/>
          <w:szCs w:val="24"/>
        </w:rPr>
        <w:t>.</w:t>
      </w:r>
    </w:p>
    <w:p w14:paraId="20DF9D8C"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213.Pamatlīdzekļiem un ieguldījuma īpašumiem pēc pārbūves, restaurācijas vai atjaunošanas nolietojumu aprēķina atlikušajā vai pārskatītajā lietderīgās lietošanas laikā.</w:t>
      </w:r>
    </w:p>
    <w:p w14:paraId="3DABCDF7" w14:textId="77777777" w:rsidR="00C95E30"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214. Izmaksas, kas radušās, saglabājot vai uzturot pamatlīdzekļa esošo stāvokli, kā arī remontējot vai labojot to, atzīst kā pamatdarbības izdevumus periodā, kad tie radušies.</w:t>
      </w:r>
    </w:p>
    <w:p w14:paraId="030948DD" w14:textId="77777777" w:rsidR="000F0C1F" w:rsidRDefault="000F0C1F" w:rsidP="00CD363C">
      <w:pPr>
        <w:spacing w:after="0" w:line="240" w:lineRule="auto"/>
        <w:ind w:left="-142" w:right="-142"/>
        <w:jc w:val="both"/>
        <w:rPr>
          <w:rFonts w:ascii="Times New Roman" w:hAnsi="Times New Roman" w:cs="Times New Roman"/>
          <w:sz w:val="24"/>
          <w:szCs w:val="24"/>
        </w:rPr>
      </w:pPr>
      <w:r>
        <w:rPr>
          <w:rFonts w:ascii="Times New Roman" w:hAnsi="Times New Roman" w:cs="Times New Roman"/>
          <w:sz w:val="24"/>
          <w:szCs w:val="24"/>
        </w:rPr>
        <w:t>Tekošo remontu raksturojošas pazīmes ir:</w:t>
      </w:r>
    </w:p>
    <w:p w14:paraId="163CE861" w14:textId="77777777" w:rsidR="000F0C1F" w:rsidRDefault="000F0C1F" w:rsidP="00CD363C">
      <w:pPr>
        <w:spacing w:after="0" w:line="240" w:lineRule="auto"/>
        <w:ind w:left="-142" w:right="-142"/>
        <w:jc w:val="both"/>
        <w:rPr>
          <w:rFonts w:ascii="Times New Roman" w:hAnsi="Times New Roman" w:cs="Times New Roman"/>
          <w:sz w:val="24"/>
          <w:szCs w:val="24"/>
        </w:rPr>
      </w:pPr>
      <w:r>
        <w:rPr>
          <w:rFonts w:ascii="Times New Roman" w:hAnsi="Times New Roman" w:cs="Times New Roman"/>
          <w:sz w:val="24"/>
          <w:szCs w:val="24"/>
        </w:rPr>
        <w:t>- saglabāt;</w:t>
      </w:r>
    </w:p>
    <w:p w14:paraId="39AB9D85" w14:textId="77777777" w:rsidR="000F0C1F" w:rsidRDefault="000F0C1F" w:rsidP="00CD363C">
      <w:pPr>
        <w:spacing w:after="0" w:line="240" w:lineRule="auto"/>
        <w:ind w:left="-142" w:right="-142"/>
        <w:jc w:val="both"/>
        <w:rPr>
          <w:rFonts w:ascii="Times New Roman" w:hAnsi="Times New Roman" w:cs="Times New Roman"/>
          <w:sz w:val="24"/>
          <w:szCs w:val="24"/>
        </w:rPr>
      </w:pPr>
      <w:r>
        <w:rPr>
          <w:rFonts w:ascii="Times New Roman" w:hAnsi="Times New Roman" w:cs="Times New Roman"/>
          <w:sz w:val="24"/>
          <w:szCs w:val="24"/>
        </w:rPr>
        <w:t>-uzturēt pamatlīdzekli esošajā stāvoklī;</w:t>
      </w:r>
    </w:p>
    <w:p w14:paraId="07C6BE5A" w14:textId="77777777" w:rsidR="00A91072"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215. Atsevišķiem pamatlīdzekļu veidiem ir nepieciešama regulāra ilgstoši lietojamo daļu nomaiņa, aizstājot to ar jaunu (komplektējošo) daļu, kuru nevar izmantot atsevišķi. Piemēram, autoceļa seguma virskārtu nepieciešams atjaunot ik pēc dažiem gadiem.</w:t>
      </w:r>
    </w:p>
    <w:p w14:paraId="6E813DA9"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216. Ja pamatlīdzeklim ilgstoši lietojamu daļu aizstāj ar jaunu komplektējošo daļu, kuru nevar izmantot atsevišķi, no jauna uzstādītās daļas vērtību pievieno attiecīgā aktīva vērtībai. Nomainītās daļas sākotnējo vērtību, aprēķināto nolietojumu un vērtības samazinājumu izslēdz no uzskaites.</w:t>
      </w:r>
    </w:p>
    <w:p w14:paraId="6F277AB9" w14:textId="77777777" w:rsidR="00C95E30"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217. Ja nomainītās pamatlīdzekļa daļas uzskaites vērtība nav atsevišķi uzskaitīta, tas ir, ja izslēdzamā aktīva daļa nav nolietota atsevišķi no pārējā aktīva, nosaka izslēdzamās aktīva daļas vērtību. Šo vērtību var noteikt atbilstoši amortizētajām aizstāšanas izmaksām vai izmantojot citu metodi, atbilstoši komisijas vai speciālista lēmumam.</w:t>
      </w:r>
    </w:p>
    <w:p w14:paraId="589BEEA3" w14:textId="77777777" w:rsidR="006723A3" w:rsidRPr="00957029" w:rsidRDefault="006723A3" w:rsidP="00CD363C">
      <w:pPr>
        <w:spacing w:after="0" w:line="240" w:lineRule="auto"/>
        <w:ind w:left="-142" w:right="-142"/>
        <w:jc w:val="both"/>
        <w:rPr>
          <w:rFonts w:ascii="Times New Roman" w:hAnsi="Times New Roman" w:cs="Times New Roman"/>
          <w:sz w:val="24"/>
          <w:szCs w:val="24"/>
        </w:rPr>
      </w:pPr>
      <w:r w:rsidRPr="00CD363C">
        <w:rPr>
          <w:rFonts w:ascii="Times New Roman" w:hAnsi="Times New Roman" w:cs="Times New Roman"/>
          <w:b/>
          <w:sz w:val="24"/>
          <w:szCs w:val="24"/>
        </w:rPr>
        <w:t xml:space="preserve">Ar vadītāja rīkojumu noteikta komisija izvērtē </w:t>
      </w:r>
      <w:r w:rsidR="0002084A" w:rsidRPr="00CD363C">
        <w:rPr>
          <w:rFonts w:ascii="Times New Roman" w:hAnsi="Times New Roman" w:cs="Times New Roman"/>
          <w:b/>
          <w:sz w:val="24"/>
          <w:szCs w:val="24"/>
        </w:rPr>
        <w:t>un nosaka būtiskumu</w:t>
      </w:r>
      <w:r w:rsidR="0002084A" w:rsidRPr="00CD363C">
        <w:rPr>
          <w:rFonts w:ascii="Times New Roman" w:hAnsi="Times New Roman" w:cs="Times New Roman"/>
          <w:sz w:val="24"/>
          <w:szCs w:val="24"/>
        </w:rPr>
        <w:t xml:space="preserve">, </w:t>
      </w:r>
      <w:r w:rsidRPr="00CD363C">
        <w:rPr>
          <w:rFonts w:ascii="Times New Roman" w:hAnsi="Times New Roman" w:cs="Times New Roman"/>
          <w:sz w:val="24"/>
          <w:szCs w:val="24"/>
        </w:rPr>
        <w:t>vai ir jāpiemēro amortizētās aizstāšanas metode, ja kapitālā remonta  vai rekonstrukcijas izmaksas ir lielākas par pamatlīdzekļa bilances</w:t>
      </w:r>
      <w:r>
        <w:rPr>
          <w:rFonts w:ascii="Times New Roman" w:hAnsi="Times New Roman" w:cs="Times New Roman"/>
          <w:sz w:val="24"/>
          <w:szCs w:val="24"/>
        </w:rPr>
        <w:t xml:space="preserve"> vērtību( piem.  pamatlīdzekļa vērtība ir 5000 EUR nolietojums 4000 EUR, atlikusī vērtība ir 1000 EUR, bet kapitālā remonta izmaksas ir 10000 EUR) un ja pamat</w:t>
      </w:r>
      <w:r w:rsidR="00620CB2">
        <w:rPr>
          <w:rFonts w:ascii="Times New Roman" w:hAnsi="Times New Roman" w:cs="Times New Roman"/>
          <w:sz w:val="24"/>
          <w:szCs w:val="24"/>
        </w:rPr>
        <w:t>l</w:t>
      </w:r>
      <w:r>
        <w:rPr>
          <w:rFonts w:ascii="Times New Roman" w:hAnsi="Times New Roman" w:cs="Times New Roman"/>
          <w:sz w:val="24"/>
          <w:szCs w:val="24"/>
        </w:rPr>
        <w:t>īdzeklis ir pilnīgi nolietojies</w:t>
      </w:r>
      <w:r w:rsidR="00620CB2">
        <w:rPr>
          <w:rFonts w:ascii="Times New Roman" w:hAnsi="Times New Roman" w:cs="Times New Roman"/>
          <w:sz w:val="24"/>
          <w:szCs w:val="24"/>
        </w:rPr>
        <w:t>- visas kapitālās izmaksas pievienojam pamatlīdzekļa vērtībai un pārskatām lietderīgās lietošanas laiku , vai komisija var noteikt , kādu % no sākotnējās vērtības ir jāaizstāj ar amortizētās aizstāšanas metodi. Amortizētās aizstāšanas metodi nepiemēro tiem pamatlīdzekļiem, kuriem nerēķina nolietojumu.</w:t>
      </w:r>
    </w:p>
    <w:p w14:paraId="711EBE8D"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218. Veicot uzlabojumus, kas būtiski uzlabo pamatlīdzekļa funkcionalitāti, izmaksu summu par veikto uzlabojumu pieskaita pamatlīdzekļa uzskaites vērtībai vai uzkrāj pamatlīdzekļu izveidošanas un nepabeigtās būvniecības kontā:  </w:t>
      </w:r>
    </w:p>
    <w:p w14:paraId="4381112C"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1200 Pamatlīdzekļi vai </w:t>
      </w:r>
    </w:p>
    <w:p w14:paraId="497C98D4"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1240 Pamatlīdzekļu izveidošana un nepabeigtā būvniecība </w:t>
      </w:r>
    </w:p>
    <w:p w14:paraId="4BFFE0AB"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 </w:t>
      </w:r>
    </w:p>
    <w:p w14:paraId="325AF04A"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w:t>
      </w:r>
    </w:p>
    <w:p w14:paraId="65C11D7F"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w:t>
      </w:r>
    </w:p>
    <w:p w14:paraId="3C959071"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50D309D4"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219. “Pamatlīdzekļa komplektējošās daļas nomaiņa gadījumā, ja komplektējošā daļa ir uzskaitīta kā atsevišķa daļa” un “Pamatlīdzekļa komplektējošās daļas nomaiņa gadījumā, ja komplektējošās daļas uzskaites vērtība nav sākotnēji atdalīta” sniegti praktiski piemēri pamatlīdzekļu komplektējošās daļas nomaiņas uzskaitei.</w:t>
      </w:r>
    </w:p>
    <w:p w14:paraId="4B2CEE7E" w14:textId="77777777" w:rsidR="00705460"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b/>
          <w:sz w:val="24"/>
          <w:szCs w:val="24"/>
        </w:rPr>
        <w:t>219.1 Piemērs</w:t>
      </w:r>
      <w:r w:rsidRPr="00957029">
        <w:rPr>
          <w:rFonts w:ascii="Times New Roman" w:hAnsi="Times New Roman" w:cs="Times New Roman"/>
          <w:sz w:val="24"/>
          <w:szCs w:val="24"/>
        </w:rPr>
        <w:t xml:space="preserve"> - pamatlīdzekļa komplektējošās daļas nomaiņa gadījumā, ja komplektējošā daļa </w:t>
      </w:r>
      <w:r w:rsidRPr="00957029">
        <w:rPr>
          <w:rFonts w:ascii="Times New Roman" w:hAnsi="Times New Roman" w:cs="Times New Roman"/>
          <w:b/>
          <w:sz w:val="24"/>
          <w:szCs w:val="24"/>
        </w:rPr>
        <w:t>ir uzskaitīta kā atsevišķa komplektējošā daļa</w:t>
      </w:r>
      <w:r w:rsidRPr="00957029">
        <w:rPr>
          <w:rFonts w:ascii="Times New Roman" w:hAnsi="Times New Roman" w:cs="Times New Roman"/>
          <w:sz w:val="24"/>
          <w:szCs w:val="24"/>
        </w:rPr>
        <w:t>. Budžeta iestādes īpašumā no 1999. gada decembra ir dzīvojamā mūra ēka, kuras sākotnējā vērtība ir 500 000,00 EUR un sākotnēji noteikts lietderīgās lietošanas laiks – 100 gadi. 2019.gadā budžeta iestāde veic budžeta iestādei piederošas dzīvojamās ēkas jumta renovācijas darbus, kā rezultātā tiek veikta pilnīga jumta nomaiņa 450 m2 platībā. Uz piemēru attiecas sekojoša informācija: Konkursa publiskās izsludināšanas datums 2019.gada 1.aprīlis Iepirkuma līguma parakstīšanas datums 2019.gada 14.novembris Jaunā jumta pieņemšana lietošanā 2020.gada 17.maijs Pamatlīdzeklis (komplektējošā daļa) Ēkas jumts (šīfera) Pamatlīdzekļa (komplektējošās daļas) sākotnējā vērtība 60 000,00 EUR Pamatlīdzekļa (komplektējošās daļas) uzkrātais nolietojums 40 000,00 EUR Pamatlīdzekļa (komplektējošās daļas) atlikusī vērtība 20 000,00 EUR Pamatlīdzekļa (komplektējošās daļas) sākotnējais lietderīgās lietošanas laiks 30 gadi Pamatlīdzekļa (komplektējošās daļas) atlikušais lietderīgās lietošanas laiks 10 gadi Jauns pamatlīdzeklis (komplektējoša daļa) Ēkas jumts (bitumena) Pamatlīdzekļa (komplektējošas daļas) iegādes vērtība 45 000,00 EUR Pamatlīdzekļa (komplektējošas daļas) lietderīgās lietošanas laiks 20 gadi Budžeta iestāde izvērtē jumta nomaiņas izmaksas un pieņem lēmumu jumta remontu kapitalizēt. Izvērtēj</w:t>
      </w:r>
      <w:r w:rsidR="00314F6B">
        <w:rPr>
          <w:rFonts w:ascii="Times New Roman" w:hAnsi="Times New Roman" w:cs="Times New Roman"/>
          <w:sz w:val="24"/>
          <w:szCs w:val="24"/>
        </w:rPr>
        <w:t>u</w:t>
      </w:r>
      <w:r w:rsidRPr="00957029">
        <w:rPr>
          <w:rFonts w:ascii="Times New Roman" w:hAnsi="Times New Roman" w:cs="Times New Roman"/>
          <w:sz w:val="24"/>
          <w:szCs w:val="24"/>
        </w:rPr>
        <w:t xml:space="preserve">ms tiek dokumentēts. Jumts tiek nomainīts pilnībā un paredzēts, ka tiks lietots 20 gadus. Jaunais lietderīgās lietošanas laiks 20 gadi. Šajā gadījumā atlikušās daļas vērtība precīzi nosakāma grāmatvedības uzskaitē, jo ēkas uzskaite analītiski nodalīta pēc tās daļām. Atlikusī vērtība ir 20 000,00 EUR, kas nozīmē, ka no uzskaites grāmatvedībā izslēdzama vecā jumta pirkuma vērtība 60 000,00 EUR un uzkrātais nolietojums 40 000,00 EUR. </w:t>
      </w:r>
    </w:p>
    <w:p w14:paraId="15C647DE"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D 1290 Pamatlīdzekļu uzkrātais nolietojums un vērtības samazinājums 40 000,00 EUR</w:t>
      </w:r>
    </w:p>
    <w:p w14:paraId="72BFDF4B"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1211 Dzīvojamās ēkas 40 000,00 EUR </w:t>
      </w:r>
    </w:p>
    <w:p w14:paraId="45E643AC"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D 8611 Izdevumi no nefinanšu aktīvu norakstīšanas un likvidēšanas 20 000,00 EUR </w:t>
      </w:r>
    </w:p>
    <w:p w14:paraId="2DBEE80A"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1211 Dzīvojamās mājas 20 000,00 EUR</w:t>
      </w:r>
    </w:p>
    <w:p w14:paraId="0FD89736" w14:textId="77777777" w:rsidR="00705460"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Attiecīgais vērtības palielinājums tiek grāmatots, palielinot attiecīgā pamatlīdzekļa (komplektējošās daļas) vērtību un saistības pret piegādātājiem un darbuzņēmējiem, kā arī tiek atbilstoši koriģēts lietderīgās lietošanas laiks grāmatvedības sistēmā attiecīgā pamatlīdzekļa (komplektējošās daļas) kartiņā. Budžeta iestāde veic sekojošu grāmatojumu, atzīstot pamatlīdzekļa (komplektējošas daļas) un saistību palielinājumu: </w:t>
      </w:r>
    </w:p>
    <w:p w14:paraId="032DA25A"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1211 Dzīvojamās ēkas 45 000,00 EUR </w:t>
      </w:r>
    </w:p>
    <w:p w14:paraId="08B9FEDC" w14:textId="77777777" w:rsidR="00705460" w:rsidRPr="00957029" w:rsidRDefault="00705460" w:rsidP="00CD363C">
      <w:pPr>
        <w:spacing w:after="0" w:line="240" w:lineRule="auto"/>
        <w:ind w:right="-142" w:hanging="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45 000,00 </w:t>
      </w:r>
      <w:r w:rsidR="000D29C5">
        <w:rPr>
          <w:rFonts w:ascii="Times New Roman" w:hAnsi="Times New Roman" w:cs="Times New Roman"/>
          <w:b/>
          <w:sz w:val="24"/>
          <w:szCs w:val="24"/>
        </w:rPr>
        <w:t xml:space="preserve">   </w:t>
      </w:r>
      <w:r w:rsidRPr="00957029">
        <w:rPr>
          <w:rFonts w:ascii="Times New Roman" w:hAnsi="Times New Roman" w:cs="Times New Roman"/>
          <w:b/>
          <w:sz w:val="24"/>
          <w:szCs w:val="24"/>
        </w:rPr>
        <w:t>EUR</w:t>
      </w:r>
    </w:p>
    <w:p w14:paraId="6272FF2F" w14:textId="77777777" w:rsidR="00705460"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b/>
          <w:sz w:val="24"/>
          <w:szCs w:val="24"/>
        </w:rPr>
        <w:t>219.2  Piemērs</w:t>
      </w:r>
      <w:r w:rsidRPr="00957029">
        <w:rPr>
          <w:rFonts w:ascii="Times New Roman" w:hAnsi="Times New Roman" w:cs="Times New Roman"/>
          <w:sz w:val="24"/>
          <w:szCs w:val="24"/>
        </w:rPr>
        <w:t xml:space="preserve"> - pamatlīdzekļa komplektējošās daļas nomaiņa gadījumā, ja komplektējošās daļas uzskaites vērtība </w:t>
      </w:r>
      <w:r w:rsidRPr="00957029">
        <w:rPr>
          <w:rFonts w:ascii="Times New Roman" w:hAnsi="Times New Roman" w:cs="Times New Roman"/>
          <w:b/>
          <w:sz w:val="24"/>
          <w:szCs w:val="24"/>
        </w:rPr>
        <w:t>nav sākotnēji atdalīta</w:t>
      </w:r>
      <w:r w:rsidRPr="00957029">
        <w:rPr>
          <w:rFonts w:ascii="Times New Roman" w:hAnsi="Times New Roman" w:cs="Times New Roman"/>
          <w:sz w:val="24"/>
          <w:szCs w:val="24"/>
        </w:rPr>
        <w:t>. Budžeta iestādes īpašumā no 1989. gada jūnija ir koka guļbūves ēka, kuras sākotnējā vērtība ir 50 000,00 EUR un sākotnēji noteikts lietderīgās lietošanas laiks – 50 gadi. Koka guļbūves ēkas uzskaite netiek dalīta komplektējošajās daļās. 2019. gadā budžeta iestāde veic koka guļbūves ēkas jumta renovācijas darbus, kā rezultātā tiek veikta pilnīga jumta nomaiņa 200 m2 platībā. Uz piemēru attiecas sekojoša informācija: Konkursa publiskās izsludināšanas datums 2019.gada 1.aprīlis Iepirkuma līguma parakstīšanas datums 2019.gada 7.maijs Jaunā jumta pieņemšana lietošanā 2019.gada 25.jūnijs Pamatlīdzekļa daļas nomaiņa Ēkas jumts (dakstiņu) Pamatlīdzekļa (koka guļbūves ēka) sākotnējā vērtība 50 000,00 EUR Pamatlīdzekļa (koka guļbūves ēka) uzkrātais nolietojums 30 000,00 EUR Pamatlīdzekļa (koka guļbūves ēka) atlikusī vērtība 20 000,00 EUR Pamatlīdzekļa (koka guļbūves ēka) sākotnējais lietderīgās lietošanas laiks 50 gadi Jauns pamatlīdzeklis (komplektējoša daļa - jumts) Ēkas jumts (dakstiņu) Pamatlīdzekļa (jumta) iegādes vērtība 15 000,00 EUR Pamatlīdzekļa (jumta) lietderīgās lietošanas laiks 20 gadi Budžeta iestāde izvērtē jumta nomaiņas izmaksas un pieņem lēmumu jumta remontu kapitalizēt. Izvērtējums tiek dokumentēts. Jumts tiek nomainīts pilnībā un paredzēts, ka tiks lietots 20 gadus. Jaunais lietderīgās lietošanas laiks 20 gadi. Pamatlīdzekļa atlikušās daļas (jumta) vērtība nav precīzi nosakāma grāmatvedības uzskaitē. Šajā gadījumā budžeta iestāde:</w:t>
      </w:r>
    </w:p>
    <w:p w14:paraId="70B4A6EC" w14:textId="77777777" w:rsidR="00F33B7A"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 Aplēš jumta izmaksas pamatlīdzekļa iegādes brīdī, vai 2) Izmanto jumta aizvietošanas izmaksas, lai aplēstu jumta izmaksas ēkas iegādes brīdī. Šajā gadījumā jumta atlikušās daļas vērtība nav nosakāma grāmatvedības uzskaitē, jo ēkas uzskaite nav analītiski nodalīta pēc tās daļām. Budžeta iestāde veic izvērtējumu un, balstoties uz vēsturiskiem datiem, aplēš, ka jumta izmaksas 1989.gadā būtu bijušas 10 000,00 EUR. Attiecīgi, jumta nosacītais uzkrātais nolietojums 2019.gada jūnijā būtu 6 000,00 EUR (10 000,00 EUR/ 50 gadi * 30 gadi) un uzskaites vērtība 4 000,00 EUR. Secīgi, no uzskaites grāmatvedībā izslēdzama vecā jumta aplēstā uzskaites vērtība 4 000, 00 EUR apmērā, saslēdzot izmaksu vērtību 10 000,00 EUR ar uzkrāto nolietojumu 6 000,00 EUR. </w:t>
      </w:r>
    </w:p>
    <w:p w14:paraId="5D749C20" w14:textId="77777777" w:rsidR="00F33B7A" w:rsidRPr="00957029" w:rsidRDefault="00F33B7A"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D 1290 Pamatlīdzekļu uzkrātais nolietojums un vērtības samazinājums 6 000,00 EUR </w:t>
      </w:r>
    </w:p>
    <w:p w14:paraId="5D966325" w14:textId="77777777" w:rsidR="00F33B7A" w:rsidRPr="00957029" w:rsidRDefault="00F33B7A"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K 1211 Dzīvojamās ēkas 6 000,00 EUR </w:t>
      </w:r>
    </w:p>
    <w:p w14:paraId="6D667561" w14:textId="77777777" w:rsidR="00F33B7A" w:rsidRPr="00957029" w:rsidRDefault="00F33B7A"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D 8611 Izdevumi no nefinanšu aktīvu norakstīšanas un likvidēšanas 4 000,00 EUR</w:t>
      </w:r>
    </w:p>
    <w:p w14:paraId="0EB1FC82" w14:textId="77777777" w:rsidR="00F33B7A" w:rsidRPr="00957029" w:rsidRDefault="00F33B7A"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 K 1211 Dzīvojamās ēkas 4 000,00 EUR </w:t>
      </w:r>
    </w:p>
    <w:p w14:paraId="5D30BADA" w14:textId="77777777" w:rsidR="00F33B7A"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Budžeta iestāde atzīst jauno jumtu koka guļbūves ēkas sastāvā kā komplektējošo daļu tā izmaksu vērtībā un turpmāk to nodala analītiskajā uzskaitē.</w:t>
      </w:r>
    </w:p>
    <w:p w14:paraId="317D1CCE" w14:textId="77777777" w:rsidR="00F33B7A" w:rsidRPr="00957029" w:rsidRDefault="00F33B7A"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705460" w:rsidRPr="00957029">
        <w:rPr>
          <w:rFonts w:ascii="Times New Roman" w:hAnsi="Times New Roman" w:cs="Times New Roman"/>
          <w:sz w:val="24"/>
          <w:szCs w:val="24"/>
        </w:rPr>
        <w:t xml:space="preserve"> </w:t>
      </w:r>
      <w:r w:rsidR="00705460" w:rsidRPr="00957029">
        <w:rPr>
          <w:rFonts w:ascii="Times New Roman" w:hAnsi="Times New Roman" w:cs="Times New Roman"/>
          <w:b/>
          <w:sz w:val="24"/>
          <w:szCs w:val="24"/>
        </w:rPr>
        <w:t xml:space="preserve">D 1242 Nepabeigtā būvniecība 15 000,00 EUR </w:t>
      </w:r>
    </w:p>
    <w:p w14:paraId="27C6DBFC" w14:textId="77777777" w:rsidR="00705460" w:rsidRPr="00957029" w:rsidRDefault="00F33B7A"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K 5310 Īstermiņa saistības pret piegādātājiem un darbuzņēmējiem 15 000,00 EUR</w:t>
      </w:r>
    </w:p>
    <w:p w14:paraId="12F22186" w14:textId="77777777" w:rsidR="00F33B7A" w:rsidRPr="00957029" w:rsidRDefault="00F33B7A"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220</w:t>
      </w:r>
      <w:r w:rsidRPr="00957029">
        <w:rPr>
          <w:rFonts w:ascii="Times New Roman" w:hAnsi="Times New Roman" w:cs="Times New Roman"/>
          <w:b/>
          <w:sz w:val="24"/>
          <w:szCs w:val="24"/>
        </w:rPr>
        <w:t>.</w:t>
      </w:r>
      <w:r w:rsidRPr="00957029">
        <w:rPr>
          <w:rFonts w:ascii="Times New Roman" w:hAnsi="Times New Roman" w:cs="Times New Roman"/>
          <w:sz w:val="24"/>
          <w:szCs w:val="24"/>
        </w:rPr>
        <w:t xml:space="preserve"> Pamatlīdzekļu, kas ir pazemes aktīvi, sākotnējo vērtību turpmāk samazina un atzīst pārskata perioda pamatdarbības izdevumos, izmantojot vienu no zemāk minētajām metodēm:    </w:t>
      </w:r>
    </w:p>
    <w:p w14:paraId="6DFCD663" w14:textId="77777777" w:rsidR="00F33B7A" w:rsidRPr="00957029" w:rsidRDefault="00F33B7A"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220.1. atbilstoši izstrādātā materiāla daudzumam saskaņā ar budžeta iestādes iekšējos normatīvos aktos noteikto kārtību; </w:t>
      </w:r>
    </w:p>
    <w:p w14:paraId="17B98376" w14:textId="77777777" w:rsidR="001857C2" w:rsidRPr="002800AB" w:rsidRDefault="00F33B7A" w:rsidP="00CD363C">
      <w:pPr>
        <w:spacing w:after="0" w:line="240" w:lineRule="auto"/>
        <w:ind w:left="-142" w:right="-142"/>
        <w:jc w:val="both"/>
        <w:rPr>
          <w:rFonts w:ascii="Times New Roman" w:hAnsi="Times New Roman" w:cs="Times New Roman"/>
        </w:rPr>
      </w:pPr>
      <w:r w:rsidRPr="0075773F">
        <w:rPr>
          <w:rFonts w:ascii="Times New Roman" w:hAnsi="Times New Roman" w:cs="Times New Roman"/>
          <w:b/>
          <w:sz w:val="24"/>
          <w:szCs w:val="24"/>
        </w:rPr>
        <w:t>221.</w:t>
      </w:r>
      <w:r w:rsidR="00385425" w:rsidRPr="0075773F">
        <w:rPr>
          <w:rFonts w:ascii="Times New Roman" w:hAnsi="Times New Roman" w:cs="Times New Roman"/>
        </w:rPr>
        <w:t xml:space="preserve"> Kontā “1261 Pazemes aktīvi” uzskaita izpētītus minerālo atradņu krājumus, kas atrodas zem zemes virsmas un ir ekonomiski izmantojami, ņemot vērā pašreizējo tehnoloģiju un atbilstošās cenas.</w:t>
      </w:r>
      <w:r w:rsidR="001857C2" w:rsidRPr="0075773F">
        <w:rPr>
          <w:rFonts w:ascii="Times New Roman" w:hAnsi="Times New Roman" w:cs="Times New Roman"/>
        </w:rPr>
        <w:t xml:space="preserve"> Pazemes aktīvus sākotnēji atzīst iegādes vai izmaksu vērtībā. Ja vērtība nav zināma novērtē patiesajā vērtībā, atskaitot atsavināšanas izmaksas. Vērtības noteikšanai var izmantot Ģeoloģiskās informācijas sistēmas datus. Pazemes aktīva , kuru budžeta iestāde atzinusi grāmatvedības uzskaitē, sākotnējo vērtību samazina un atzīst pārskata perioda pamatdarbības izdevumos , piemērojot šādu metodi: atbilstoši izstrādātajam daudzumam vienlaicīgi ar atzītajiem krājumiem</w:t>
      </w:r>
      <w:r w:rsidR="00211DC8" w:rsidRPr="0075773F">
        <w:rPr>
          <w:rFonts w:ascii="Times New Roman" w:hAnsi="Times New Roman" w:cs="Times New Roman"/>
        </w:rPr>
        <w:t xml:space="preserve"> un ieņēmumiem no pazemes aktīvu izstrādes</w:t>
      </w:r>
      <w:r w:rsidR="00C23E4E" w:rsidRPr="0075773F">
        <w:rPr>
          <w:rFonts w:ascii="Times New Roman" w:hAnsi="Times New Roman" w:cs="Times New Roman"/>
        </w:rPr>
        <w:t xml:space="preserve">, proporcionāli kopējai sākotnēji atzītajai pazemes aktīvu vērtībai. </w:t>
      </w:r>
      <w:r w:rsidR="00211DC8" w:rsidRPr="0075773F">
        <w:rPr>
          <w:rFonts w:ascii="Times New Roman" w:hAnsi="Times New Roman" w:cs="Times New Roman"/>
        </w:rPr>
        <w:t>. Karjeru izstrādātos krājumus atzīst pēc karjeras žurnālā uzrādītajām izvestajām kravām- daudzumu, nosaka izstrādātā apjoma vai daudzuma summāro vērtību saskaņā ar grāmatvedības uzskaites datiem vienai daudzuma vai apjoma mērvienībai, aprēķina un samaksā dabas resursu nodokli. Līdz nākamā kalendār</w:t>
      </w:r>
      <w:r w:rsidR="002561CC" w:rsidRPr="0075773F">
        <w:rPr>
          <w:rFonts w:ascii="Times New Roman" w:hAnsi="Times New Roman" w:cs="Times New Roman"/>
        </w:rPr>
        <w:t>a gada 1. februārim zemes dzīļu izmantotājs iesniedz dienestā pārskatu par derīgo izrakteņu ieguvi. Vismaz vienu reizi gadā, veic pazemes aktīvu inventarizāciju.</w:t>
      </w:r>
    </w:p>
    <w:p w14:paraId="42F50422" w14:textId="77777777" w:rsidR="003A6579" w:rsidRPr="00957029" w:rsidRDefault="00F33B7A"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b/>
          <w:sz w:val="24"/>
          <w:szCs w:val="24"/>
        </w:rPr>
        <w:t xml:space="preserve"> Piemērs</w:t>
      </w:r>
      <w:r w:rsidRPr="00957029">
        <w:rPr>
          <w:rFonts w:ascii="Times New Roman" w:hAnsi="Times New Roman" w:cs="Times New Roman"/>
          <w:sz w:val="24"/>
          <w:szCs w:val="24"/>
        </w:rPr>
        <w:t xml:space="preserve"> - pazemes aktīva sākotnējā atzīšana un turpmākā novērtēšana. 2019. gadā budžeta iestāde iegādājas pazemes aktīvu – grants karjeru - 1 milj. EUR vērtībā. Priekšizpētes aplēses liecina par pazemes aktīva kopējo kapacitāti nodrošināt 100 000 t grants izstrādi visā grants karjera darbības periodā. 2020. gada (pirmā darbības gada) laikā budžeta iestāde izstrādā 20 000 t grants. Pārskata gada beigās budžeta iestāde novērtē pazemes aktīva (grants karjera) uzskaites vērtību pārskata perioda beigās atbilstoši pārskata periodā izstrādātās grants apjomam (20 000 t), kas noteikta proporcionāli kopējām grants karjera kapacitātes aplēsēm, ko paredzēts izstrādāt visā grants karjera darbības periodā (100 000 t). Budžeta iestāde aprēķina pazemes aktīva vērtības norakstījumu pārskata periodā sekojoši: Vērtības norakstījums = (20 000 t/100 000 t) × 1 milj. EUR = 200 000,00 EUR Budžeta iestāde pazemes aktīva uzskaitei veic sekojošus grāmatojumus:</w:t>
      </w:r>
    </w:p>
    <w:p w14:paraId="4CAC6404" w14:textId="77777777" w:rsidR="00873B6E" w:rsidRPr="00957029" w:rsidRDefault="00F33B7A"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pazemes aktīva iegādes brīdī, pamatojoties uz pazemes aktīva iegādi apliecinošu dokumentu: </w:t>
      </w:r>
    </w:p>
    <w:p w14:paraId="0C85DB3A" w14:textId="77777777" w:rsidR="00873B6E" w:rsidRPr="00957029"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33B7A" w:rsidRPr="00957029">
        <w:rPr>
          <w:rFonts w:ascii="Times New Roman" w:hAnsi="Times New Roman" w:cs="Times New Roman"/>
          <w:b/>
          <w:sz w:val="24"/>
          <w:szCs w:val="24"/>
        </w:rPr>
        <w:t xml:space="preserve">D 1261 Pazemes aktīvi 1 000 000,00 EUR </w:t>
      </w:r>
    </w:p>
    <w:p w14:paraId="0637F785" w14:textId="77777777" w:rsidR="00873B6E" w:rsidRPr="00957029"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33B7A" w:rsidRPr="00957029">
        <w:rPr>
          <w:rFonts w:ascii="Times New Roman" w:hAnsi="Times New Roman" w:cs="Times New Roman"/>
          <w:b/>
          <w:sz w:val="24"/>
          <w:szCs w:val="24"/>
        </w:rPr>
        <w:t>K 5310 Īstermiņa norēķini ar piegādātājiem un darbuzņēmējiem 1 000 000,00 EUR</w:t>
      </w:r>
    </w:p>
    <w:p w14:paraId="2C1F6CAE" w14:textId="77777777" w:rsidR="00873B6E" w:rsidRPr="00957029" w:rsidRDefault="00F33B7A"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Grāmatojums pārskata perioda datumā (gada beigās), atzīstot pazemes aktīva vērtības norakstījumu: </w:t>
      </w:r>
    </w:p>
    <w:p w14:paraId="4C990E00" w14:textId="77777777" w:rsidR="00873B6E" w:rsidRPr="00957029"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33B7A" w:rsidRPr="00957029">
        <w:rPr>
          <w:rFonts w:ascii="Times New Roman" w:hAnsi="Times New Roman" w:cs="Times New Roman"/>
          <w:b/>
          <w:sz w:val="24"/>
          <w:szCs w:val="24"/>
        </w:rPr>
        <w:t xml:space="preserve">D 7000 Pamatdarbības izdevumi 200 000,00 EUR </w:t>
      </w:r>
    </w:p>
    <w:p w14:paraId="26BAF815" w14:textId="77777777" w:rsidR="00F33B7A"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F33B7A" w:rsidRPr="00957029">
        <w:rPr>
          <w:rFonts w:ascii="Times New Roman" w:hAnsi="Times New Roman" w:cs="Times New Roman"/>
          <w:b/>
          <w:sz w:val="24"/>
          <w:szCs w:val="24"/>
        </w:rPr>
        <w:t>K 1261 Pazemes aktīvi 200 000,00 EUR</w:t>
      </w:r>
    </w:p>
    <w:p w14:paraId="6DCC0E8D" w14:textId="77777777" w:rsidR="00131F12" w:rsidRPr="0075773F" w:rsidRDefault="00131F12" w:rsidP="00CD363C">
      <w:pPr>
        <w:spacing w:after="0" w:line="240" w:lineRule="auto"/>
        <w:ind w:left="-284" w:right="-142"/>
        <w:jc w:val="both"/>
        <w:rPr>
          <w:rFonts w:ascii="Times New Roman" w:hAnsi="Times New Roman" w:cs="Times New Roman"/>
          <w:b/>
          <w:sz w:val="24"/>
          <w:szCs w:val="24"/>
        </w:rPr>
      </w:pPr>
      <w:r w:rsidRPr="0075773F">
        <w:rPr>
          <w:rFonts w:ascii="Times New Roman" w:hAnsi="Times New Roman" w:cs="Times New Roman"/>
          <w:b/>
          <w:sz w:val="24"/>
          <w:szCs w:val="24"/>
        </w:rPr>
        <w:t>Krājumos atzīst izstrādāto granti, smilti u.c.  grāmato:</w:t>
      </w:r>
    </w:p>
    <w:p w14:paraId="485717A8" w14:textId="77777777" w:rsidR="00C23E4E" w:rsidRPr="0075773F" w:rsidRDefault="00C23E4E" w:rsidP="00CD363C">
      <w:pPr>
        <w:spacing w:after="0" w:line="240" w:lineRule="auto"/>
        <w:ind w:left="-284" w:right="-142"/>
        <w:jc w:val="both"/>
        <w:rPr>
          <w:rFonts w:ascii="Times New Roman" w:hAnsi="Times New Roman" w:cs="Times New Roman"/>
          <w:b/>
          <w:sz w:val="24"/>
          <w:szCs w:val="24"/>
        </w:rPr>
      </w:pPr>
      <w:r w:rsidRPr="0075773F">
        <w:rPr>
          <w:rFonts w:ascii="Times New Roman" w:hAnsi="Times New Roman" w:cs="Times New Roman"/>
          <w:b/>
          <w:sz w:val="24"/>
          <w:szCs w:val="24"/>
        </w:rPr>
        <w:t xml:space="preserve">   </w:t>
      </w:r>
      <w:r w:rsidR="00CF63F1" w:rsidRPr="0075773F">
        <w:rPr>
          <w:rFonts w:ascii="Times New Roman" w:hAnsi="Times New Roman" w:cs="Times New Roman"/>
          <w:b/>
          <w:sz w:val="24"/>
          <w:szCs w:val="24"/>
        </w:rPr>
        <w:t xml:space="preserve"> </w:t>
      </w:r>
      <w:r w:rsidRPr="0075773F">
        <w:rPr>
          <w:rFonts w:ascii="Times New Roman" w:hAnsi="Times New Roman" w:cs="Times New Roman"/>
          <w:b/>
          <w:sz w:val="24"/>
          <w:szCs w:val="24"/>
        </w:rPr>
        <w:t xml:space="preserve"> </w:t>
      </w:r>
      <w:r w:rsidR="00CF63F1" w:rsidRPr="0075773F">
        <w:rPr>
          <w:rFonts w:ascii="Times New Roman" w:hAnsi="Times New Roman" w:cs="Times New Roman"/>
          <w:b/>
          <w:sz w:val="24"/>
          <w:szCs w:val="24"/>
        </w:rPr>
        <w:t xml:space="preserve">D 2114 Saimniecības materiāli  </w:t>
      </w:r>
    </w:p>
    <w:p w14:paraId="5033592E" w14:textId="77777777" w:rsidR="00CF63F1" w:rsidRPr="0075773F" w:rsidRDefault="00CF63F1" w:rsidP="00CD363C">
      <w:pPr>
        <w:spacing w:after="0" w:line="240" w:lineRule="auto"/>
        <w:ind w:left="-284" w:right="-142"/>
        <w:jc w:val="both"/>
        <w:rPr>
          <w:rFonts w:ascii="Times New Roman" w:hAnsi="Times New Roman" w:cs="Times New Roman"/>
          <w:b/>
          <w:sz w:val="24"/>
          <w:szCs w:val="24"/>
        </w:rPr>
      </w:pPr>
      <w:r w:rsidRPr="0075773F">
        <w:rPr>
          <w:rFonts w:ascii="Times New Roman" w:hAnsi="Times New Roman" w:cs="Times New Roman"/>
          <w:b/>
          <w:sz w:val="24"/>
          <w:szCs w:val="24"/>
        </w:rPr>
        <w:t xml:space="preserve">     K  8570  Ieņēmumi no īstermiņa aktīvu sākotnējās atzīšanas </w:t>
      </w:r>
    </w:p>
    <w:p w14:paraId="5CF108AF" w14:textId="77777777" w:rsidR="00EB51E9" w:rsidRPr="00EB51E9" w:rsidRDefault="00947653" w:rsidP="00CD363C">
      <w:pPr>
        <w:autoSpaceDE w:val="0"/>
        <w:autoSpaceDN w:val="0"/>
        <w:adjustRightInd w:val="0"/>
        <w:spacing w:after="0" w:line="240" w:lineRule="auto"/>
        <w:ind w:left="-284" w:right="-142"/>
        <w:jc w:val="both"/>
        <w:rPr>
          <w:rFonts w:ascii="Times New Roman" w:hAnsi="Times New Roman" w:cs="Times New Roman"/>
          <w:color w:val="000000"/>
          <w:sz w:val="24"/>
          <w:szCs w:val="24"/>
        </w:rPr>
      </w:pPr>
      <w:r>
        <w:rPr>
          <w:rFonts w:ascii="Times New Roman" w:hAnsi="Times New Roman" w:cs="Times New Roman"/>
          <w:b/>
          <w:sz w:val="24"/>
          <w:szCs w:val="24"/>
        </w:rPr>
        <w:t xml:space="preserve">221.1 </w:t>
      </w:r>
      <w:r w:rsidRPr="00947653">
        <w:rPr>
          <w:rFonts w:ascii="Times New Roman" w:hAnsi="Times New Roman" w:cs="Times New Roman"/>
          <w:sz w:val="24"/>
          <w:szCs w:val="24"/>
        </w:rPr>
        <w:t xml:space="preserve">Kontā 1263 </w:t>
      </w:r>
      <w:r w:rsidRPr="00EB51E9">
        <w:rPr>
          <w:rFonts w:ascii="Times New Roman" w:hAnsi="Times New Roman" w:cs="Times New Roman"/>
          <w:sz w:val="24"/>
          <w:szCs w:val="24"/>
        </w:rPr>
        <w:t xml:space="preserve">uzskaita </w:t>
      </w:r>
      <w:r w:rsidR="00EB51E9" w:rsidRPr="00EB51E9">
        <w:rPr>
          <w:rFonts w:ascii="Times New Roman" w:hAnsi="Times New Roman" w:cs="Times New Roman"/>
          <w:color w:val="000000"/>
          <w:sz w:val="24"/>
          <w:szCs w:val="24"/>
        </w:rPr>
        <w:t>Tādu mežaudžu uzskaites vērtību, kuras paredzētas zinātniskās pētniecības, izglītības, transporta, izklaides</w:t>
      </w:r>
      <w:r w:rsidR="00EB51E9">
        <w:rPr>
          <w:rFonts w:ascii="Times New Roman" w:hAnsi="Times New Roman" w:cs="Times New Roman"/>
          <w:color w:val="000000"/>
          <w:sz w:val="24"/>
          <w:szCs w:val="24"/>
        </w:rPr>
        <w:t xml:space="preserve"> </w:t>
      </w:r>
      <w:r w:rsidR="00EB51E9" w:rsidRPr="00EB51E9">
        <w:rPr>
          <w:rFonts w:ascii="Times New Roman" w:hAnsi="Times New Roman" w:cs="Times New Roman"/>
          <w:color w:val="000000"/>
          <w:sz w:val="24"/>
          <w:szCs w:val="24"/>
        </w:rPr>
        <w:t>vai atpūtas vai drošības un kontroles mērķiem, budžeta iestāde:</w:t>
      </w:r>
    </w:p>
    <w:p w14:paraId="25E70CA6" w14:textId="77777777" w:rsidR="00EB51E9" w:rsidRPr="00EB51E9" w:rsidRDefault="00EB51E9" w:rsidP="00CD363C">
      <w:pPr>
        <w:autoSpaceDE w:val="0"/>
        <w:autoSpaceDN w:val="0"/>
        <w:adjustRightInd w:val="0"/>
        <w:spacing w:after="0" w:line="240" w:lineRule="auto"/>
        <w:ind w:left="-284" w:right="-142"/>
        <w:jc w:val="both"/>
        <w:rPr>
          <w:rFonts w:ascii="Times New Roman" w:hAnsi="Times New Roman" w:cs="Times New Roman"/>
          <w:color w:val="000000"/>
          <w:sz w:val="24"/>
          <w:szCs w:val="24"/>
        </w:rPr>
      </w:pPr>
      <w:r>
        <w:rPr>
          <w:rFonts w:ascii="Times New Roman" w:hAnsi="Times New Roman" w:cs="Times New Roman"/>
          <w:color w:val="000000"/>
          <w:sz w:val="24"/>
          <w:szCs w:val="24"/>
        </w:rPr>
        <w:t>221.1</w:t>
      </w:r>
      <w:r w:rsidRPr="00EB51E9">
        <w:rPr>
          <w:rFonts w:ascii="Times New Roman" w:hAnsi="Times New Roman" w:cs="Times New Roman"/>
          <w:color w:val="000000"/>
          <w:sz w:val="24"/>
          <w:szCs w:val="24"/>
        </w:rPr>
        <w:t xml:space="preserve">.1. aktualizē atbilstoši Meža valsts reģistrā norādītajai pilnajai vērtībai, veicot meža inventarizāciju </w:t>
      </w:r>
      <w:r w:rsidRPr="00EB51E9">
        <w:rPr>
          <w:rFonts w:ascii="Times New Roman" w:hAnsi="Times New Roman" w:cs="Times New Roman"/>
          <w:color w:val="414142"/>
          <w:sz w:val="24"/>
          <w:szCs w:val="24"/>
        </w:rPr>
        <w:t>Meža</w:t>
      </w:r>
      <w:r>
        <w:rPr>
          <w:rFonts w:ascii="Times New Roman" w:hAnsi="Times New Roman" w:cs="Times New Roman"/>
          <w:color w:val="414142"/>
          <w:sz w:val="24"/>
          <w:szCs w:val="24"/>
        </w:rPr>
        <w:t xml:space="preserve"> </w:t>
      </w:r>
      <w:r w:rsidRPr="00EB51E9">
        <w:rPr>
          <w:rFonts w:ascii="Times New Roman" w:hAnsi="Times New Roman" w:cs="Times New Roman"/>
          <w:color w:val="414142"/>
          <w:sz w:val="24"/>
          <w:szCs w:val="24"/>
        </w:rPr>
        <w:t xml:space="preserve">likumā </w:t>
      </w:r>
      <w:r w:rsidRPr="00EB51E9">
        <w:rPr>
          <w:rFonts w:ascii="Times New Roman" w:hAnsi="Times New Roman" w:cs="Times New Roman"/>
          <w:color w:val="000000"/>
          <w:sz w:val="24"/>
          <w:szCs w:val="24"/>
        </w:rPr>
        <w:t>noteiktajā kārtībā, ja mežaudzes sākotnēji atzītas, pamatojoties uz Meža valsts reģistra datiem, un</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starpību atzīst pārskata perioda pamatdarbības ieņēmumos vai izdevumos;</w:t>
      </w:r>
    </w:p>
    <w:p w14:paraId="2BDD0570" w14:textId="77777777" w:rsidR="00EB51E9" w:rsidRPr="00EB51E9" w:rsidRDefault="00EB51E9" w:rsidP="00CD363C">
      <w:pPr>
        <w:autoSpaceDE w:val="0"/>
        <w:autoSpaceDN w:val="0"/>
        <w:adjustRightInd w:val="0"/>
        <w:spacing w:after="0" w:line="240" w:lineRule="auto"/>
        <w:ind w:left="-284" w:right="-142"/>
        <w:jc w:val="both"/>
        <w:rPr>
          <w:rFonts w:ascii="Times New Roman" w:hAnsi="Times New Roman" w:cs="Times New Roman"/>
          <w:color w:val="000000"/>
          <w:sz w:val="24"/>
          <w:szCs w:val="24"/>
        </w:rPr>
      </w:pPr>
      <w:r>
        <w:rPr>
          <w:rFonts w:ascii="Times New Roman" w:hAnsi="Times New Roman" w:cs="Times New Roman"/>
          <w:color w:val="000000"/>
          <w:sz w:val="24"/>
          <w:szCs w:val="24"/>
        </w:rPr>
        <w:t>221.1</w:t>
      </w:r>
      <w:r w:rsidRPr="00EB51E9">
        <w:rPr>
          <w:rFonts w:ascii="Times New Roman" w:hAnsi="Times New Roman" w:cs="Times New Roman"/>
          <w:color w:val="000000"/>
          <w:sz w:val="24"/>
          <w:szCs w:val="24"/>
        </w:rPr>
        <w:t>.2. samazina atbilstoši budžeta iestādes grāmatvedības uzskaites kārtībā noteiktajai metodei (piemēram,</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atbilstoši aktuālajai Meža valsts reģistrā norādītajai pilnajai vērtībai, ja informācija par veikto mežsaimniecisko</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darbību aktualizēta pārskata gada laikā, vai proporcionāli izstrādātajai platībai vai izcirsto kokmateriālu</w:t>
      </w:r>
    </w:p>
    <w:p w14:paraId="592657F4" w14:textId="77777777" w:rsidR="00EB51E9" w:rsidRPr="00EB51E9" w:rsidRDefault="00EB51E9" w:rsidP="00CD363C">
      <w:pPr>
        <w:autoSpaceDE w:val="0"/>
        <w:autoSpaceDN w:val="0"/>
        <w:adjustRightInd w:val="0"/>
        <w:spacing w:after="0" w:line="240" w:lineRule="auto"/>
        <w:ind w:right="-142"/>
        <w:jc w:val="both"/>
        <w:rPr>
          <w:rFonts w:ascii="Times New Roman" w:hAnsi="Times New Roman" w:cs="Times New Roman"/>
          <w:color w:val="000000"/>
          <w:sz w:val="24"/>
          <w:szCs w:val="24"/>
        </w:rPr>
      </w:pPr>
      <w:r w:rsidRPr="00EB51E9">
        <w:rPr>
          <w:rFonts w:ascii="Times New Roman" w:hAnsi="Times New Roman" w:cs="Times New Roman"/>
          <w:color w:val="000000"/>
          <w:sz w:val="24"/>
          <w:szCs w:val="24"/>
        </w:rPr>
        <w:t>daudzumam, ja informācija par veikto mežsaimniecisko darbību Meža valsts reģistrā nav aktualizēta pārskata</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gada laikā) un starpību atzīst pārskata perioda pamatdarbības izdevumos.</w:t>
      </w:r>
    </w:p>
    <w:p w14:paraId="2F09034F"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222. Zemesgabalus un ēkas uzskaita atsevišķi, pat tad, ja tie iegādāti kopā.</w:t>
      </w:r>
    </w:p>
    <w:p w14:paraId="07D0B51C"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223.</w:t>
      </w:r>
      <w:r w:rsidR="00EB51E9">
        <w:rPr>
          <w:rFonts w:ascii="Times New Roman" w:hAnsi="Times New Roman" w:cs="Times New Roman"/>
          <w:sz w:val="24"/>
          <w:szCs w:val="24"/>
        </w:rPr>
        <w:t xml:space="preserve"> </w:t>
      </w:r>
      <w:r w:rsidR="00D32515" w:rsidRPr="00947653">
        <w:rPr>
          <w:rFonts w:ascii="Times New Roman" w:hAnsi="Times New Roman" w:cs="Times New Roman"/>
          <w:b/>
          <w:sz w:val="24"/>
          <w:szCs w:val="24"/>
        </w:rPr>
        <w:t>Pārskata perioda bei</w:t>
      </w:r>
      <w:r w:rsidR="00947653" w:rsidRPr="00947653">
        <w:rPr>
          <w:rFonts w:ascii="Times New Roman" w:hAnsi="Times New Roman" w:cs="Times New Roman"/>
          <w:b/>
          <w:sz w:val="24"/>
          <w:szCs w:val="24"/>
        </w:rPr>
        <w:t>gās veicot salīdzināšanu ar Zemes dienesta datiem, zemes vienības</w:t>
      </w:r>
      <w:r w:rsidR="00947653">
        <w:rPr>
          <w:rFonts w:ascii="Times New Roman" w:hAnsi="Times New Roman" w:cs="Times New Roman"/>
          <w:b/>
          <w:sz w:val="24"/>
          <w:szCs w:val="24"/>
        </w:rPr>
        <w:t xml:space="preserve"> s</w:t>
      </w:r>
      <w:r w:rsidR="00947653" w:rsidRPr="00947653">
        <w:rPr>
          <w:rFonts w:ascii="Times New Roman" w:hAnsi="Times New Roman" w:cs="Times New Roman"/>
          <w:b/>
          <w:sz w:val="24"/>
          <w:szCs w:val="24"/>
        </w:rPr>
        <w:t>alīdzina</w:t>
      </w:r>
      <w:r w:rsidR="00947653">
        <w:rPr>
          <w:rFonts w:ascii="Times New Roman" w:hAnsi="Times New Roman" w:cs="Times New Roman"/>
          <w:b/>
          <w:sz w:val="24"/>
          <w:szCs w:val="24"/>
        </w:rPr>
        <w:t xml:space="preserve"> </w:t>
      </w:r>
      <w:r w:rsidR="00947653" w:rsidRPr="00947653">
        <w:rPr>
          <w:rFonts w:ascii="Times New Roman" w:hAnsi="Times New Roman" w:cs="Times New Roman"/>
          <w:b/>
          <w:sz w:val="24"/>
          <w:szCs w:val="24"/>
        </w:rPr>
        <w:t>pēc</w:t>
      </w:r>
      <w:r w:rsidR="00947653">
        <w:rPr>
          <w:rFonts w:ascii="Times New Roman" w:hAnsi="Times New Roman" w:cs="Times New Roman"/>
          <w:b/>
          <w:sz w:val="24"/>
          <w:szCs w:val="24"/>
        </w:rPr>
        <w:t xml:space="preserve"> </w:t>
      </w:r>
      <w:r w:rsidR="00947653" w:rsidRPr="00947653">
        <w:rPr>
          <w:rFonts w:ascii="Times New Roman" w:hAnsi="Times New Roman" w:cs="Times New Roman"/>
          <w:b/>
          <w:sz w:val="24"/>
          <w:szCs w:val="24"/>
        </w:rPr>
        <w:t>zemes lietošanas mērķa</w:t>
      </w:r>
      <w:r w:rsidR="00947653">
        <w:rPr>
          <w:rFonts w:ascii="Times New Roman" w:hAnsi="Times New Roman" w:cs="Times New Roman"/>
          <w:sz w:val="24"/>
          <w:szCs w:val="24"/>
        </w:rPr>
        <w:t xml:space="preserve">. </w:t>
      </w:r>
      <w:r w:rsidRPr="00957029">
        <w:rPr>
          <w:rFonts w:ascii="Times New Roman" w:hAnsi="Times New Roman" w:cs="Times New Roman"/>
          <w:sz w:val="24"/>
          <w:szCs w:val="24"/>
        </w:rPr>
        <w:t xml:space="preserve">Pārskata perioda beigās gadījumā, ja budžeta iestāde veicot salīdzināšanu par zemesgabala platību ar Nekustamā īpašuma valsts kadastra informācijas sistēmā norādītajiem datiem, konstatē zemesgabala platības izmaiņas (piemēram, precizēta grafiski noteiktā platība, veikta kadastrālā uzmērīšana),  budžeta iestāde: </w:t>
      </w:r>
    </w:p>
    <w:p w14:paraId="6CC0AA9E"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223.1. koriģē aktīva uzskaites vērtību atbilstoši aktuālajai kadastrālajai vērtībai</w:t>
      </w:r>
      <w:r w:rsidR="00494D1D" w:rsidRPr="00957029">
        <w:rPr>
          <w:rFonts w:ascii="Times New Roman" w:hAnsi="Times New Roman" w:cs="Times New Roman"/>
          <w:sz w:val="24"/>
          <w:szCs w:val="24"/>
        </w:rPr>
        <w:t>( izņemot pirktos īpašumus)</w:t>
      </w:r>
      <w:r w:rsidRPr="00957029">
        <w:rPr>
          <w:rFonts w:ascii="Times New Roman" w:hAnsi="Times New Roman" w:cs="Times New Roman"/>
          <w:sz w:val="24"/>
          <w:szCs w:val="24"/>
        </w:rPr>
        <w:t xml:space="preserve">; </w:t>
      </w:r>
    </w:p>
    <w:p w14:paraId="365E5920"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223.2. starpību starp aktuālo vērtību un iepriekš uzskaitīto vērtību atzīst pārskata perioda pamatdarbības ieņēmumos vai izdevumos; </w:t>
      </w:r>
    </w:p>
    <w:p w14:paraId="5C8DDF7D" w14:textId="77777777" w:rsidR="00873B6E" w:rsidRPr="00CD363C" w:rsidRDefault="00873B6E" w:rsidP="00CD363C">
      <w:pPr>
        <w:spacing w:after="0" w:line="240" w:lineRule="auto"/>
        <w:ind w:left="-284" w:right="-142"/>
        <w:jc w:val="both"/>
        <w:rPr>
          <w:rFonts w:ascii="Times New Roman" w:hAnsi="Times New Roman" w:cs="Times New Roman"/>
          <w:sz w:val="24"/>
          <w:szCs w:val="24"/>
        </w:rPr>
      </w:pPr>
      <w:r w:rsidRPr="00CD363C">
        <w:rPr>
          <w:rFonts w:ascii="Times New Roman" w:hAnsi="Times New Roman" w:cs="Times New Roman"/>
          <w:sz w:val="24"/>
          <w:szCs w:val="24"/>
        </w:rPr>
        <w:t xml:space="preserve">    223.3. precizē aktīva analītisko informāciju. </w:t>
      </w:r>
    </w:p>
    <w:p w14:paraId="49C3A776" w14:textId="77777777" w:rsidR="00873B6E" w:rsidRPr="00CD363C" w:rsidRDefault="00A000F8" w:rsidP="00CD363C">
      <w:pPr>
        <w:spacing w:after="0" w:line="240" w:lineRule="auto"/>
        <w:ind w:left="-284" w:right="-142"/>
        <w:jc w:val="both"/>
        <w:rPr>
          <w:rFonts w:ascii="Times New Roman" w:hAnsi="Times New Roman" w:cs="Times New Roman"/>
          <w:b/>
          <w:sz w:val="24"/>
          <w:szCs w:val="24"/>
        </w:rPr>
      </w:pPr>
      <w:r w:rsidRPr="00CD363C">
        <w:rPr>
          <w:rFonts w:ascii="Times New Roman" w:hAnsi="Times New Roman" w:cs="Times New Roman"/>
          <w:b/>
          <w:sz w:val="24"/>
          <w:szCs w:val="24"/>
        </w:rPr>
        <w:t>Uzskaites kārtība nosaka</w:t>
      </w:r>
      <w:r w:rsidR="0002084A" w:rsidRPr="00CD363C">
        <w:rPr>
          <w:rFonts w:ascii="Times New Roman" w:hAnsi="Times New Roman" w:cs="Times New Roman"/>
          <w:b/>
          <w:sz w:val="24"/>
          <w:szCs w:val="24"/>
        </w:rPr>
        <w:t xml:space="preserve"> uzskatīt par</w:t>
      </w:r>
      <w:r w:rsidR="007D0A35" w:rsidRPr="00CD363C">
        <w:rPr>
          <w:rFonts w:ascii="Times New Roman" w:hAnsi="Times New Roman" w:cs="Times New Roman"/>
          <w:b/>
          <w:sz w:val="24"/>
          <w:szCs w:val="24"/>
        </w:rPr>
        <w:t xml:space="preserve"> būtisk</w:t>
      </w:r>
      <w:r w:rsidR="0002084A" w:rsidRPr="00CD363C">
        <w:rPr>
          <w:rFonts w:ascii="Times New Roman" w:hAnsi="Times New Roman" w:cs="Times New Roman"/>
          <w:b/>
          <w:sz w:val="24"/>
          <w:szCs w:val="24"/>
        </w:rPr>
        <w:t>u</w:t>
      </w:r>
      <w:r w:rsidR="007D0A35" w:rsidRPr="00CD363C">
        <w:rPr>
          <w:rFonts w:ascii="Times New Roman" w:hAnsi="Times New Roman" w:cs="Times New Roman"/>
          <w:b/>
          <w:sz w:val="24"/>
          <w:szCs w:val="24"/>
        </w:rPr>
        <w:t xml:space="preserve"> </w:t>
      </w:r>
      <w:r w:rsidRPr="00CD363C">
        <w:rPr>
          <w:rFonts w:ascii="Times New Roman" w:hAnsi="Times New Roman" w:cs="Times New Roman"/>
          <w:b/>
          <w:sz w:val="24"/>
          <w:szCs w:val="24"/>
        </w:rPr>
        <w:t>, koriģēt grāmatvedības uzskaitē visas</w:t>
      </w:r>
      <w:r w:rsidR="00B00260" w:rsidRPr="00CD363C">
        <w:rPr>
          <w:rFonts w:ascii="Times New Roman" w:hAnsi="Times New Roman" w:cs="Times New Roman"/>
          <w:b/>
          <w:sz w:val="24"/>
          <w:szCs w:val="24"/>
        </w:rPr>
        <w:t xml:space="preserve"> platības izmaiņas</w:t>
      </w:r>
      <w:r w:rsidRPr="00CD363C">
        <w:rPr>
          <w:rFonts w:ascii="Times New Roman" w:hAnsi="Times New Roman" w:cs="Times New Roman"/>
          <w:b/>
          <w:sz w:val="24"/>
          <w:szCs w:val="24"/>
        </w:rPr>
        <w:t xml:space="preserve"> un neatbilstības, kuras rodas salīdzinot grāmatvedības uzskaites datus ar valsts kadastra informācijas sistēmā norādītajiem datiem</w:t>
      </w:r>
      <w:r w:rsidR="00B00260" w:rsidRPr="00CD363C">
        <w:rPr>
          <w:rFonts w:ascii="Times New Roman" w:hAnsi="Times New Roman" w:cs="Times New Roman"/>
          <w:b/>
          <w:sz w:val="24"/>
          <w:szCs w:val="24"/>
        </w:rPr>
        <w:t xml:space="preserve"> </w:t>
      </w:r>
      <w:r w:rsidRPr="00CD363C">
        <w:rPr>
          <w:rFonts w:ascii="Times New Roman" w:hAnsi="Times New Roman" w:cs="Times New Roman"/>
          <w:b/>
          <w:sz w:val="24"/>
          <w:szCs w:val="24"/>
        </w:rPr>
        <w:t>.</w:t>
      </w:r>
    </w:p>
    <w:p w14:paraId="71FC26AA"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CD363C">
        <w:rPr>
          <w:rFonts w:ascii="Times New Roman" w:hAnsi="Times New Roman" w:cs="Times New Roman"/>
          <w:sz w:val="24"/>
          <w:szCs w:val="24"/>
        </w:rPr>
        <w:t>Piemēram, budžeta iestādei uzskaitē ir zemes gabals 2 000,00 m</w:t>
      </w:r>
      <w:r w:rsidRPr="00CD363C">
        <w:rPr>
          <w:rFonts w:ascii="Times New Roman" w:hAnsi="Times New Roman" w:cs="Times New Roman"/>
          <w:sz w:val="24"/>
          <w:szCs w:val="24"/>
          <w:vertAlign w:val="superscript"/>
        </w:rPr>
        <w:t>2</w:t>
      </w:r>
      <w:r w:rsidRPr="00CD363C">
        <w:rPr>
          <w:rFonts w:ascii="Times New Roman" w:hAnsi="Times New Roman" w:cs="Times New Roman"/>
          <w:sz w:val="24"/>
          <w:szCs w:val="24"/>
        </w:rPr>
        <w:t xml:space="preserve"> platībā, kas sākotnēji uzskaitīts kadastrālajā vērtībā</w:t>
      </w:r>
      <w:r w:rsidRPr="00957029">
        <w:rPr>
          <w:rFonts w:ascii="Times New Roman" w:hAnsi="Times New Roman" w:cs="Times New Roman"/>
          <w:sz w:val="24"/>
          <w:szCs w:val="24"/>
        </w:rPr>
        <w:t>. Zemes gabala izmaksu vērtība gada sākumā ir 600,00 EUR. Pārskata gada beigās, veicot gada slēguma inventarizāciju, budžeta iestāde salīdzina grāmatvedības uzskaites datus ar Nekustamā īpašuma valsts kadastra informācijas sistēmas datiem par zemes vienības platību un konstatē, ka ir precizēta budžeta iestādei piederošā zemes gabala platība no 2 000,00 m2 uz 2 300,00 m2 . Budžeta iestāde izvērtē zemes platības izmaiņu iemeslus un veic korekcijas grāmatvedības uzskaitē - zemes uzskaites vērtību palielina atbilstoši aktuālai kadastrālai vērtībai.</w:t>
      </w:r>
    </w:p>
    <w:p w14:paraId="71644EED" w14:textId="77777777" w:rsidR="005F2B59" w:rsidRDefault="005F2B59"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224. Veicot izmaiņas grāmatvedības reģistros atbilstoši aktualizētajai zemes platībai, starpību starp aktualizēto vērtību un iepriekš uzskaitīto vērtību atzīst pārskata perioda pamatdarbības ieņēmumos vai izdevumos, veicot sekojošu grāmatojumu: </w:t>
      </w:r>
    </w:p>
    <w:p w14:paraId="3034CE03" w14:textId="77777777" w:rsidR="00CD363C" w:rsidRPr="00957029" w:rsidRDefault="00CD363C" w:rsidP="00CD363C">
      <w:pPr>
        <w:spacing w:after="0" w:line="240" w:lineRule="auto"/>
        <w:ind w:left="-284" w:right="-142"/>
        <w:jc w:val="both"/>
        <w:rPr>
          <w:rFonts w:ascii="Times New Roman" w:hAnsi="Times New Roman" w:cs="Times New Roman"/>
          <w:sz w:val="24"/>
          <w:szCs w:val="24"/>
        </w:rPr>
      </w:pPr>
    </w:p>
    <w:p w14:paraId="74D022ED" w14:textId="77777777" w:rsidR="005F2B59"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w:t>
      </w:r>
    </w:p>
    <w:p w14:paraId="6FD8D621" w14:textId="77777777" w:rsidR="00DD176F"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1210 Zeme un būves * budžeta iestāde grāmatvedības uzskaites kārtībā nosaka</w:t>
      </w:r>
    </w:p>
    <w:p w14:paraId="6C9BAFE3" w14:textId="77777777" w:rsidR="005F2B59" w:rsidRPr="00957029" w:rsidRDefault="00DD176F"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5F2B59" w:rsidRPr="00957029">
        <w:rPr>
          <w:rFonts w:ascii="Times New Roman" w:hAnsi="Times New Roman" w:cs="Times New Roman"/>
          <w:b/>
          <w:sz w:val="24"/>
          <w:szCs w:val="24"/>
        </w:rPr>
        <w:t xml:space="preserve"> analītisku </w:t>
      </w:r>
      <w:r w:rsidRPr="00957029">
        <w:rPr>
          <w:rFonts w:ascii="Times New Roman" w:hAnsi="Times New Roman" w:cs="Times New Roman"/>
          <w:b/>
          <w:sz w:val="24"/>
          <w:szCs w:val="24"/>
        </w:rPr>
        <w:t xml:space="preserve">   </w:t>
      </w:r>
      <w:r w:rsidR="005F2B59" w:rsidRPr="00957029">
        <w:rPr>
          <w:rFonts w:ascii="Times New Roman" w:hAnsi="Times New Roman" w:cs="Times New Roman"/>
          <w:b/>
          <w:sz w:val="24"/>
          <w:szCs w:val="24"/>
        </w:rPr>
        <w:t>izdevumu kontu</w:t>
      </w:r>
    </w:p>
    <w:p w14:paraId="2BB79A11" w14:textId="77777777" w:rsidR="005F2B59"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1210 Zeme un būves</w:t>
      </w:r>
    </w:p>
    <w:p w14:paraId="3D9E48BB" w14:textId="77777777" w:rsidR="005F2B59"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6000* Pamatdarbības ieņēmumi </w:t>
      </w:r>
    </w:p>
    <w:p w14:paraId="7C58FD81" w14:textId="77777777" w:rsidR="005F2B59" w:rsidRPr="00957029" w:rsidRDefault="005F2B59"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nosaka analītisku ieņēmumu kontu</w:t>
      </w:r>
    </w:p>
    <w:p w14:paraId="7D023A51" w14:textId="77777777" w:rsidR="00BB5B0D" w:rsidRPr="00957029" w:rsidRDefault="00DD176F"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225. Piemērs - zemes vērtības izmaiņu atzīšana gadījumos, ja pārskata periodā ir veiktas zemes platības izmaiņas un zeme sākotnēji atzīta pēc nosacīto izmaksu metodes. Pašvaldības īpašumā ir zemes gabals, kura īpašuma tiesības reģistrētas Zemesgrāmatā, ar kopējo platību 2 000,00 m2 . Zemes gabala kadastrālā vērtība uz 01.11.2010. ir 200 000,00 EUR. Pārskata gada beigās, veicot gada slēguma inventarizāciju, pašvaldība salīdzina grāmatvedības uzskaites datus ar Nekustamā īpašuma valsts kadastra informācijas sistēmas datiem par zemes vienības platību un konstatē sekojošo: Pārskata perioda beigu datums Zemes gabala platība, m2 Zemes gabala kadastrālā vērtība, EUR 31.12.2019 2 010,00 m2* 201 000 EUR* 31.12.2020 2 400,00 m2** 240 000 EUR** *Saskaņā ar budžeta iestādes noteikto </w:t>
      </w:r>
      <w:r w:rsidR="00194964" w:rsidRPr="00957029">
        <w:rPr>
          <w:rFonts w:ascii="Times New Roman" w:hAnsi="Times New Roman" w:cs="Times New Roman"/>
          <w:sz w:val="24"/>
          <w:szCs w:val="24"/>
        </w:rPr>
        <w:t>uzskaites kārtību</w:t>
      </w:r>
      <w:r w:rsidR="00BB5B0D" w:rsidRPr="00957029">
        <w:rPr>
          <w:rFonts w:ascii="Times New Roman" w:hAnsi="Times New Roman" w:cs="Times New Roman"/>
          <w:sz w:val="24"/>
          <w:szCs w:val="24"/>
        </w:rPr>
        <w:t>( nav noteikts būtiskuma līmenis, veicam korekcijas par visām izmaiņām)</w:t>
      </w:r>
      <w:r w:rsidRPr="00957029">
        <w:rPr>
          <w:rFonts w:ascii="Times New Roman" w:hAnsi="Times New Roman" w:cs="Times New Roman"/>
          <w:sz w:val="24"/>
          <w:szCs w:val="24"/>
        </w:rPr>
        <w:t xml:space="preserve"> starpība starp sākotnējo un pārskata perioda beigās (31.12.2019) precizēto zemes gabala platību un kadastrālo vērtību </w:t>
      </w:r>
      <w:r w:rsidR="00BB5B0D" w:rsidRPr="00957029">
        <w:rPr>
          <w:rFonts w:ascii="Times New Roman" w:hAnsi="Times New Roman" w:cs="Times New Roman"/>
          <w:sz w:val="24"/>
          <w:szCs w:val="24"/>
        </w:rPr>
        <w:t>, p</w:t>
      </w:r>
      <w:r w:rsidRPr="00957029">
        <w:rPr>
          <w:rFonts w:ascii="Times New Roman" w:hAnsi="Times New Roman" w:cs="Times New Roman"/>
          <w:sz w:val="24"/>
          <w:szCs w:val="24"/>
        </w:rPr>
        <w:t>ašvaldība veic korekcijas grāmatvedības uzskaitē, veicot sekojošus aprēķinus un grāmatojumus: 240 000,00 EUR - 200 000,00 EUR = 40 000,00 EUR (tā kā zemes platības vērtība ir palielinājusies, tad pašvaldība atzīst zemes vērtības palielinājumu un pamatdarbības ieņēmumus)</w:t>
      </w:r>
    </w:p>
    <w:p w14:paraId="59842A63" w14:textId="77777777" w:rsidR="00BB5B0D" w:rsidRPr="00957029" w:rsidRDefault="00DD176F"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 1210 Zeme un būves 40 000,00 EUR</w:t>
      </w:r>
    </w:p>
    <w:p w14:paraId="3E5B06A2" w14:textId="77777777" w:rsidR="00DD176F" w:rsidRPr="00957029" w:rsidRDefault="00DD176F"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K 6000 Pamatdarbības ieņēmumi 40 000,00 EUR</w:t>
      </w:r>
    </w:p>
    <w:p w14:paraId="451A598E" w14:textId="77777777" w:rsidR="00BB5B0D" w:rsidRPr="00957029" w:rsidRDefault="00BB5B0D"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226. Pēc zemesgabala sadalīšanas vai apvienošanas grāmatvedības reģistros veic šādas izmaiņas: </w:t>
      </w:r>
    </w:p>
    <w:p w14:paraId="1EEA7B39" w14:textId="77777777" w:rsidR="00BB5B0D" w:rsidRPr="00957029" w:rsidRDefault="00BB5B0D"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Izslēdz aktīva uzskaites vērtību un atzīst pārējos izdevumus; </w:t>
      </w:r>
    </w:p>
    <w:p w14:paraId="2485FCFF" w14:textId="77777777" w:rsidR="00BB5B0D" w:rsidRPr="00957029" w:rsidRDefault="00BB5B0D"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Atzīst aktīvu aktuālajā kadastrālajā vērtībā un pārējos ieņēmumus.</w:t>
      </w:r>
    </w:p>
    <w:p w14:paraId="43477A75" w14:textId="77777777" w:rsidR="00BB5B0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D 8</w:t>
      </w:r>
      <w:r w:rsidRPr="00957029">
        <w:rPr>
          <w:rFonts w:ascii="Times New Roman" w:hAnsi="Times New Roman" w:cs="Times New Roman"/>
          <w:b/>
          <w:sz w:val="24"/>
          <w:szCs w:val="24"/>
        </w:rPr>
        <w:t>6</w:t>
      </w:r>
      <w:r w:rsidR="00BB5B0D" w:rsidRPr="00957029">
        <w:rPr>
          <w:rFonts w:ascii="Times New Roman" w:hAnsi="Times New Roman" w:cs="Times New Roman"/>
          <w:b/>
          <w:sz w:val="24"/>
          <w:szCs w:val="24"/>
        </w:rPr>
        <w:t xml:space="preserve">90 Pārējie iepriekš neklasificētie </w:t>
      </w:r>
      <w:r w:rsidRPr="00957029">
        <w:rPr>
          <w:rFonts w:ascii="Times New Roman" w:hAnsi="Times New Roman" w:cs="Times New Roman"/>
          <w:b/>
          <w:sz w:val="24"/>
          <w:szCs w:val="24"/>
        </w:rPr>
        <w:t>izdevumi</w:t>
      </w:r>
    </w:p>
    <w:p w14:paraId="2831C0B5" w14:textId="77777777" w:rsidR="00BB5B0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K 1210 Zeme un būves</w:t>
      </w:r>
    </w:p>
    <w:p w14:paraId="17BAB04E" w14:textId="77777777" w:rsidR="00494D1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1210 Zeme un būves</w:t>
      </w:r>
    </w:p>
    <w:p w14:paraId="700A5DED" w14:textId="77777777" w:rsidR="00494D1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8590 Pārējie iepriekš neklasificētie ieņēmumi</w:t>
      </w:r>
    </w:p>
    <w:p w14:paraId="58C232C6" w14:textId="77777777" w:rsidR="000D5228" w:rsidRPr="00957029" w:rsidRDefault="000D5228" w:rsidP="00CD363C">
      <w:pPr>
        <w:spacing w:after="0" w:line="240" w:lineRule="auto"/>
        <w:ind w:left="-284" w:right="-142"/>
        <w:jc w:val="both"/>
        <w:rPr>
          <w:rFonts w:ascii="Times New Roman" w:hAnsi="Times New Roman" w:cs="Times New Roman"/>
          <w:b/>
          <w:sz w:val="24"/>
          <w:szCs w:val="24"/>
        </w:rPr>
      </w:pPr>
    </w:p>
    <w:p w14:paraId="2D22C281" w14:textId="77777777" w:rsidR="0075773F" w:rsidRDefault="0075773F" w:rsidP="00CD363C">
      <w:pPr>
        <w:spacing w:after="0" w:line="240" w:lineRule="auto"/>
        <w:ind w:left="-284" w:right="-142"/>
        <w:jc w:val="both"/>
        <w:rPr>
          <w:rFonts w:ascii="Times New Roman" w:hAnsi="Times New Roman" w:cs="Times New Roman"/>
          <w:b/>
          <w:sz w:val="24"/>
          <w:szCs w:val="24"/>
        </w:rPr>
      </w:pPr>
    </w:p>
    <w:p w14:paraId="298C89E9" w14:textId="77777777" w:rsidR="000D5228" w:rsidRPr="00957029" w:rsidRDefault="000D5228"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10.3. Pamatlīdzekļu nolietojums</w:t>
      </w:r>
    </w:p>
    <w:p w14:paraId="0F936838" w14:textId="77777777" w:rsidR="000D5228" w:rsidRPr="00957029" w:rsidRDefault="000D5228" w:rsidP="00CD363C">
      <w:pPr>
        <w:spacing w:after="0" w:line="240" w:lineRule="auto"/>
        <w:ind w:left="-284" w:right="-142"/>
        <w:jc w:val="both"/>
        <w:rPr>
          <w:rFonts w:ascii="Times New Roman" w:hAnsi="Times New Roman" w:cs="Times New Roman"/>
          <w:sz w:val="24"/>
          <w:szCs w:val="24"/>
        </w:rPr>
      </w:pPr>
    </w:p>
    <w:p w14:paraId="2511E524" w14:textId="77777777" w:rsidR="000D5228" w:rsidRPr="00957029" w:rsidRDefault="000D5228" w:rsidP="00CD363C">
      <w:pPr>
        <w:tabs>
          <w:tab w:val="left" w:pos="-75"/>
        </w:tabs>
        <w:spacing w:after="0" w:line="240" w:lineRule="auto"/>
        <w:ind w:left="-284" w:right="-142" w:hanging="425"/>
        <w:jc w:val="both"/>
        <w:rPr>
          <w:rFonts w:ascii="Times New Roman" w:hAnsi="Times New Roman" w:cs="Times New Roman"/>
          <w:sz w:val="24"/>
          <w:szCs w:val="24"/>
        </w:rPr>
      </w:pPr>
      <w:r w:rsidRPr="00957029">
        <w:rPr>
          <w:rFonts w:ascii="Times New Roman" w:hAnsi="Times New Roman" w:cs="Times New Roman"/>
          <w:sz w:val="24"/>
          <w:szCs w:val="24"/>
        </w:rPr>
        <w:tab/>
        <w:t>227. Pamatlīdzekļu nolietojumu aprēķina atbilstoši to paredzamajam lietderīgās lietošanas laikam, kas noteikts atbilstoši spēkā esošo normatīvo aktu prasībām</w:t>
      </w:r>
      <w:r w:rsidR="001B6903">
        <w:rPr>
          <w:rFonts w:ascii="Times New Roman" w:hAnsi="Times New Roman" w:cs="Times New Roman"/>
          <w:sz w:val="24"/>
          <w:szCs w:val="24"/>
        </w:rPr>
        <w:t>, tas ir 2018. gada 13 . februāra MK  noteikumu Nr.87 2. Pielikums.</w:t>
      </w:r>
      <w:r w:rsidR="00E8679A">
        <w:rPr>
          <w:rFonts w:ascii="Times New Roman" w:hAnsi="Times New Roman" w:cs="Times New Roman"/>
          <w:sz w:val="24"/>
          <w:szCs w:val="24"/>
        </w:rPr>
        <w:t xml:space="preserve"> </w:t>
      </w:r>
    </w:p>
    <w:p w14:paraId="3A9063C8"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228. Budžeta iestāde uzsāk pamatlīdzekļa nolietojuma aprēķināšanu ar nākamā mēneša pirmo datumu pēc pamatlīdzekļa nodošanas lietošanā.</w:t>
      </w:r>
    </w:p>
    <w:p w14:paraId="5050B0FE"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229. Budžeta iestāde beidz aprēķināt pamatlīdzekļa nolietojumu ar nākamā mēneša pirmo datumu sekojošos gadījumos:</w:t>
      </w:r>
    </w:p>
    <w:p w14:paraId="42A2E919"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229.1. pēc pamatlīdzekļa izslēgšanas no uzskaites; </w:t>
      </w:r>
    </w:p>
    <w:p w14:paraId="7ED54257"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229.2. klasificējot pamatlīdzekli kā atsavināšanai paredzētu ilgtermiņa ieguldījumu;</w:t>
      </w:r>
    </w:p>
    <w:p w14:paraId="565EF0C6"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229.3. pēc sākotnējās uzskaites vērtības pilnīgas iekļaušanas nolietojuma aprēķinā.</w:t>
      </w:r>
    </w:p>
    <w:p w14:paraId="1347CECC"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230. Budžeta iestāde turpina pamatlīdzekļa nolietojuma aprēķinu arī tajā laikā, kad pamatlīdzekli nelieto, izņemot gadījumus, ja pamatlīdzekļa vērtība ir pilnīgi nolietota vai tas ir klasificēts kā atsavināšanai paredzēts ilgtermiņa ieguldījums.</w:t>
      </w:r>
    </w:p>
    <w:p w14:paraId="44D52D0B" w14:textId="77777777" w:rsidR="00A7063A"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231.</w:t>
      </w:r>
      <w:r w:rsidR="00A7063A" w:rsidRPr="00957029">
        <w:rPr>
          <w:rFonts w:ascii="Times New Roman" w:hAnsi="Times New Roman" w:cs="Times New Roman"/>
          <w:sz w:val="24"/>
          <w:szCs w:val="24"/>
        </w:rPr>
        <w:t xml:space="preserve"> Pamatlīdzekļu nolietojumu aprēķina pēc lineārās metodes un atzīst kā pamatlīdzekļu uzkrāto nolietojumu un pārskata perioda izdevumus vai iekļauj cita aktīva vērtībā normatīvos aktos noteiktajos gadījumos ne retāk kā reizi pārskata periodā:</w:t>
      </w:r>
    </w:p>
    <w:p w14:paraId="412DDD08" w14:textId="77777777" w:rsidR="00A7063A" w:rsidRPr="00957029" w:rsidRDefault="00A7063A" w:rsidP="00CD363C">
      <w:pPr>
        <w:tabs>
          <w:tab w:val="left" w:pos="-75"/>
        </w:tabs>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D 7000* Pamatdarbības izdevumi</w:t>
      </w:r>
    </w:p>
    <w:p w14:paraId="1785542D" w14:textId="77777777" w:rsidR="00A7063A" w:rsidRPr="00957029" w:rsidRDefault="00A7063A" w:rsidP="00CD363C">
      <w:pPr>
        <w:tabs>
          <w:tab w:val="left" w:pos="-75"/>
        </w:tabs>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1290 Pamatlīdzekļu uzkrātais nolietojums un vērtības samazinājums </w:t>
      </w:r>
    </w:p>
    <w:p w14:paraId="70FAF4C6" w14:textId="77777777" w:rsidR="000D5228" w:rsidRPr="00957029" w:rsidRDefault="00A7063A"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nosaka analītisku izdevumu uzskaiti</w:t>
      </w:r>
    </w:p>
    <w:p w14:paraId="668D3322" w14:textId="77777777" w:rsidR="00A7063A" w:rsidRPr="00957029" w:rsidRDefault="00A7063A"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232.</w:t>
      </w:r>
      <w:r w:rsidR="002E5ED5" w:rsidRPr="00957029">
        <w:rPr>
          <w:rFonts w:ascii="Times New Roman" w:hAnsi="Times New Roman" w:cs="Times New Roman"/>
          <w:sz w:val="24"/>
          <w:szCs w:val="24"/>
        </w:rPr>
        <w:t xml:space="preserve"> Budžeta iestāde </w:t>
      </w:r>
      <w:r w:rsidR="002E5ED5" w:rsidRPr="00957029">
        <w:rPr>
          <w:rFonts w:ascii="Times New Roman" w:hAnsi="Times New Roman" w:cs="Times New Roman"/>
          <w:b/>
          <w:sz w:val="24"/>
          <w:szCs w:val="24"/>
        </w:rPr>
        <w:t xml:space="preserve">nenodrošina </w:t>
      </w:r>
      <w:r w:rsidR="002E5ED5" w:rsidRPr="00957029">
        <w:rPr>
          <w:rFonts w:ascii="Times New Roman" w:hAnsi="Times New Roman" w:cs="Times New Roman"/>
          <w:sz w:val="24"/>
          <w:szCs w:val="24"/>
        </w:rPr>
        <w:t xml:space="preserve">atsevišķu nolietojuma uzskaiti katrai atšķirīgai būves daļai,  bet  iekļauj būves kopējā vērtībā, sadalot proporcionāli kopējai vērtībai uz visām būves daļām. </w:t>
      </w:r>
    </w:p>
    <w:p w14:paraId="51EF8C12" w14:textId="77777777" w:rsidR="002E5ED5" w:rsidRPr="00957029" w:rsidRDefault="002E5ED5"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w:t>
      </w:r>
      <w:r w:rsidR="009E7B2C" w:rsidRPr="00957029">
        <w:rPr>
          <w:rFonts w:ascii="Times New Roman" w:hAnsi="Times New Roman" w:cs="Times New Roman"/>
          <w:sz w:val="24"/>
          <w:szCs w:val="24"/>
        </w:rPr>
        <w:t>3</w:t>
      </w:r>
      <w:r w:rsidRPr="00957029">
        <w:rPr>
          <w:rFonts w:ascii="Times New Roman" w:hAnsi="Times New Roman" w:cs="Times New Roman"/>
          <w:sz w:val="24"/>
          <w:szCs w:val="24"/>
        </w:rPr>
        <w:t>. Pamatlīdzekļiem, kurus budžeta iestāde ir iegādājusies saskaņā ar finanšu līzinga (nomas) nosacījumiem vai kurus budžeta iestāde ir nodevusi operatīvajā nomā, nolietojumu aprēķina atbilstoši tādiem pašiem principiem, kādi piemērojami pārējiem pamatlīdzekļiem.</w:t>
      </w:r>
    </w:p>
    <w:p w14:paraId="6DDD7DE1" w14:textId="77777777" w:rsidR="009E7B2C" w:rsidRPr="00957029" w:rsidRDefault="002E5ED5" w:rsidP="00CD363C">
      <w:pPr>
        <w:pStyle w:val="tv213"/>
        <w:spacing w:before="0" w:beforeAutospacing="0" w:after="0" w:afterAutospacing="0"/>
        <w:ind w:right="-142" w:hanging="284"/>
        <w:jc w:val="both"/>
        <w:rPr>
          <w:color w:val="414142"/>
        </w:rPr>
      </w:pPr>
      <w:r w:rsidRPr="00957029">
        <w:t>23</w:t>
      </w:r>
      <w:r w:rsidR="009E7B2C" w:rsidRPr="00957029">
        <w:t>4.</w:t>
      </w:r>
      <w:r w:rsidR="009E7B2C" w:rsidRPr="00957029">
        <w:rPr>
          <w:color w:val="414142"/>
        </w:rPr>
        <w:t>Nolietojumu neaprēķina:</w:t>
      </w:r>
    </w:p>
    <w:p w14:paraId="65331DCB" w14:textId="77777777" w:rsidR="009E7B2C" w:rsidRPr="00957029" w:rsidRDefault="009E7B2C" w:rsidP="00CD363C">
      <w:pPr>
        <w:pStyle w:val="tv213"/>
        <w:spacing w:before="0" w:beforeAutospacing="0" w:after="0" w:afterAutospacing="0"/>
        <w:ind w:left="142" w:right="-142"/>
        <w:jc w:val="both"/>
        <w:rPr>
          <w:color w:val="414142"/>
        </w:rPr>
      </w:pPr>
      <w:r w:rsidRPr="00957029">
        <w:rPr>
          <w:color w:val="414142"/>
        </w:rPr>
        <w:t>23</w:t>
      </w:r>
      <w:r w:rsidR="0019517D" w:rsidRPr="00957029">
        <w:rPr>
          <w:color w:val="414142"/>
        </w:rPr>
        <w:t>4</w:t>
      </w:r>
      <w:r w:rsidRPr="00957029">
        <w:rPr>
          <w:color w:val="414142"/>
        </w:rPr>
        <w:t>.1. zemei;</w:t>
      </w:r>
    </w:p>
    <w:p w14:paraId="750AD4BA" w14:textId="77777777" w:rsidR="009E7B2C" w:rsidRPr="00957029" w:rsidRDefault="009E7B2C" w:rsidP="00CD363C">
      <w:pPr>
        <w:pStyle w:val="tv213"/>
        <w:spacing w:before="0" w:beforeAutospacing="0" w:after="0" w:afterAutospacing="0"/>
        <w:ind w:left="142" w:right="-142"/>
        <w:jc w:val="both"/>
        <w:rPr>
          <w:color w:val="414142"/>
        </w:rPr>
      </w:pPr>
      <w:r w:rsidRPr="00957029">
        <w:rPr>
          <w:color w:val="414142"/>
        </w:rPr>
        <w:t>23</w:t>
      </w:r>
      <w:r w:rsidR="0019517D" w:rsidRPr="00957029">
        <w:rPr>
          <w:color w:val="414142"/>
        </w:rPr>
        <w:t>4</w:t>
      </w:r>
      <w:r w:rsidRPr="00957029">
        <w:rPr>
          <w:color w:val="414142"/>
        </w:rPr>
        <w:t>.2. bioloģiskajiem aktīviem;</w:t>
      </w:r>
    </w:p>
    <w:p w14:paraId="3B8FD78F"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.3. pazemes aktīviem;</w:t>
      </w:r>
    </w:p>
    <w:p w14:paraId="184D69AF"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.4. bibliotēku fondiem;</w:t>
      </w:r>
    </w:p>
    <w:p w14:paraId="6CDC2527"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.5. kultūras un mākslas priekšmetiem, muzeju krājuma priekšmetiem;</w:t>
      </w:r>
    </w:p>
    <w:p w14:paraId="548A4D6A"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.6. dārgakmeņiem, dārgmetāliem un to izstrādājumiem;</w:t>
      </w:r>
    </w:p>
    <w:p w14:paraId="58C8CC46" w14:textId="77777777" w:rsidR="009E7B2C" w:rsidRPr="00957029" w:rsidRDefault="009E7B2C" w:rsidP="00CD363C">
      <w:pPr>
        <w:pStyle w:val="tv213"/>
        <w:spacing w:before="0" w:beforeAutospacing="0" w:after="0" w:afterAutospacing="0"/>
        <w:ind w:left="142" w:right="-142"/>
        <w:jc w:val="both"/>
        <w:rPr>
          <w:color w:val="414142"/>
        </w:rPr>
      </w:pPr>
      <w:r w:rsidRPr="00957029">
        <w:rPr>
          <w:color w:val="414142"/>
        </w:rPr>
        <w:t>23</w:t>
      </w:r>
      <w:r w:rsidR="0019517D" w:rsidRPr="00957029">
        <w:rPr>
          <w:color w:val="414142"/>
        </w:rPr>
        <w:t>4</w:t>
      </w:r>
      <w:r w:rsidRPr="00957029">
        <w:rPr>
          <w:color w:val="414142"/>
        </w:rPr>
        <w:t>.7. vērtslietām;</w:t>
      </w:r>
    </w:p>
    <w:p w14:paraId="2A51816F" w14:textId="77777777" w:rsidR="009E7B2C" w:rsidRPr="00957029" w:rsidRDefault="009E7B2C" w:rsidP="00CD363C">
      <w:pPr>
        <w:pStyle w:val="tv213"/>
        <w:spacing w:before="0" w:beforeAutospacing="0" w:after="0" w:afterAutospacing="0"/>
        <w:ind w:left="600" w:right="-142" w:hanging="458"/>
        <w:jc w:val="both"/>
        <w:rPr>
          <w:b/>
          <w:color w:val="414142"/>
        </w:rPr>
      </w:pPr>
      <w:r w:rsidRPr="00957029">
        <w:rPr>
          <w:color w:val="414142"/>
        </w:rPr>
        <w:t>23</w:t>
      </w:r>
      <w:r w:rsidR="0019517D" w:rsidRPr="00957029">
        <w:rPr>
          <w:color w:val="414142"/>
        </w:rPr>
        <w:t>4</w:t>
      </w:r>
      <w:r w:rsidRPr="00957029">
        <w:rPr>
          <w:color w:val="414142"/>
        </w:rPr>
        <w:t xml:space="preserve">.8.valsts aizsargājamo kultūras pieminekļu sarakstā iekļautajiem </w:t>
      </w:r>
      <w:r w:rsidRPr="00957029">
        <w:rPr>
          <w:b/>
          <w:color w:val="414142"/>
        </w:rPr>
        <w:t xml:space="preserve">pasaules un valsts nozīmes kultūras </w:t>
      </w:r>
      <w:r w:rsidRPr="00CD363C">
        <w:rPr>
          <w:b/>
        </w:rPr>
        <w:t>pieminekļiem, izņemot tos, kuri tiek lietoti ikdienā.</w:t>
      </w:r>
    </w:p>
    <w:p w14:paraId="13DF374C" w14:textId="77777777" w:rsidR="00CB1B0D" w:rsidRPr="00957029" w:rsidRDefault="00CB1B0D" w:rsidP="00CD363C">
      <w:pPr>
        <w:pStyle w:val="tv213"/>
        <w:spacing w:before="0" w:beforeAutospacing="0" w:after="0" w:afterAutospacing="0"/>
        <w:ind w:left="-284" w:right="-142"/>
        <w:jc w:val="both"/>
        <w:rPr>
          <w:color w:val="414142"/>
        </w:rPr>
      </w:pPr>
      <w:r w:rsidRPr="00957029">
        <w:rPr>
          <w:color w:val="414142"/>
        </w:rPr>
        <w:t>235. Vietējās nozīmes kultūras pieminekļiem nolietojumu rēķina.</w:t>
      </w:r>
    </w:p>
    <w:p w14:paraId="75592C62" w14:textId="77777777" w:rsidR="00CB1B0D" w:rsidRPr="00957029" w:rsidRDefault="00CB1B0D" w:rsidP="00CD363C">
      <w:pPr>
        <w:pStyle w:val="tv213"/>
        <w:spacing w:before="0" w:beforeAutospacing="0" w:after="0" w:afterAutospacing="0"/>
        <w:ind w:left="-284" w:right="-142"/>
        <w:jc w:val="both"/>
        <w:rPr>
          <w:color w:val="414142"/>
        </w:rPr>
      </w:pPr>
      <w:r w:rsidRPr="00957029">
        <w:rPr>
          <w:color w:val="414142"/>
        </w:rPr>
        <w:t>236. Pasaules , valsts kultūras pieminekļiem, ja tos izmantojam, tad nolietojumu rēķina.</w:t>
      </w:r>
    </w:p>
    <w:p w14:paraId="79089A44" w14:textId="77777777" w:rsidR="00CB1B0D" w:rsidRPr="00957029" w:rsidRDefault="00CB1B0D" w:rsidP="00CD363C">
      <w:pPr>
        <w:pStyle w:val="tv213"/>
        <w:spacing w:before="0" w:beforeAutospacing="0" w:after="0" w:afterAutospacing="0"/>
        <w:ind w:left="-284" w:right="-142"/>
        <w:jc w:val="both"/>
        <w:rPr>
          <w:color w:val="414142"/>
        </w:rPr>
      </w:pPr>
      <w:r w:rsidRPr="00957029">
        <w:rPr>
          <w:color w:val="414142"/>
        </w:rPr>
        <w:t>237.Veicot pamatlīdzekļa vai ieguldījuma īpašuma pārbūvi, restaurāciju vai atjaunošanu, aktīva atlikušo lietderīgās lietošanas laiku pārskata, attiecīgi koriģējot aktīva nolietojuma aprēķinu kārtējam periodam un nākamajiem periodiem</w:t>
      </w:r>
      <w:r w:rsidR="0019517D" w:rsidRPr="00957029">
        <w:rPr>
          <w:color w:val="414142"/>
        </w:rPr>
        <w:t>, ja paredzamais lietošanas laiks palielinās:</w:t>
      </w:r>
    </w:p>
    <w:p w14:paraId="5A132DD8" w14:textId="77777777" w:rsidR="0019517D" w:rsidRPr="00957029" w:rsidRDefault="0019517D" w:rsidP="00CD363C">
      <w:pPr>
        <w:pStyle w:val="tv213"/>
        <w:spacing w:before="0" w:beforeAutospacing="0" w:after="0" w:afterAutospacing="0"/>
        <w:ind w:left="-284" w:right="-142"/>
        <w:jc w:val="both"/>
        <w:rPr>
          <w:color w:val="414142"/>
        </w:rPr>
      </w:pPr>
      <w:r w:rsidRPr="00957029">
        <w:rPr>
          <w:color w:val="414142"/>
        </w:rPr>
        <w:t xml:space="preserve">    - būvēm par 10 procentiem;</w:t>
      </w:r>
    </w:p>
    <w:p w14:paraId="2CD29D26" w14:textId="77777777" w:rsidR="0019517D" w:rsidRPr="00957029" w:rsidRDefault="0019517D" w:rsidP="00CD363C">
      <w:pPr>
        <w:pStyle w:val="tv213"/>
        <w:spacing w:before="0" w:beforeAutospacing="0" w:after="0" w:afterAutospacing="0"/>
        <w:ind w:left="-284" w:right="-142"/>
        <w:jc w:val="both"/>
        <w:rPr>
          <w:color w:val="414142"/>
        </w:rPr>
      </w:pPr>
      <w:r w:rsidRPr="00957029">
        <w:rPr>
          <w:color w:val="414142"/>
        </w:rPr>
        <w:t xml:space="preserve">    - pārējiem pamatlīdzekļiem un ieguldījuma īpašumiem vairāk par 50 procentiem.</w:t>
      </w:r>
    </w:p>
    <w:p w14:paraId="26E380F0" w14:textId="77777777" w:rsidR="004C6E70" w:rsidRPr="00957029" w:rsidRDefault="004C6E70" w:rsidP="00CD363C">
      <w:pPr>
        <w:pStyle w:val="tv213"/>
        <w:spacing w:before="0" w:beforeAutospacing="0" w:after="0" w:afterAutospacing="0"/>
        <w:ind w:left="-284" w:right="-142"/>
        <w:jc w:val="both"/>
        <w:rPr>
          <w:color w:val="414142"/>
          <w:shd w:val="clear" w:color="auto" w:fill="F1F1F1"/>
        </w:rPr>
      </w:pPr>
      <w:r w:rsidRPr="00957029">
        <w:rPr>
          <w:color w:val="414142"/>
        </w:rPr>
        <w:t>238.</w:t>
      </w:r>
      <w:r w:rsidRPr="00957029">
        <w:rPr>
          <w:color w:val="414142"/>
          <w:shd w:val="clear" w:color="auto" w:fill="F1F1F1"/>
        </w:rPr>
        <w:t xml:space="preserve"> Ilgtermiņa ieguldījumiem nomātajos pamatlīdzekļos lietderīgās lietošanas laiku nosaka atbilstoši noslēgtā nomas, īres vai apsaimniekošanas līguma darbības termiņam vai budžeta iestādes grāmatvedības uzskaites kārtībai.</w:t>
      </w:r>
    </w:p>
    <w:p w14:paraId="00D651A1" w14:textId="77777777" w:rsidR="004C6E70" w:rsidRPr="00957029" w:rsidRDefault="004C6E70" w:rsidP="00CD363C">
      <w:pPr>
        <w:pStyle w:val="tv213"/>
        <w:spacing w:before="0" w:beforeAutospacing="0" w:after="0" w:afterAutospacing="0"/>
        <w:ind w:left="-284" w:right="-142"/>
        <w:jc w:val="both"/>
        <w:rPr>
          <w:color w:val="414142"/>
          <w:shd w:val="clear" w:color="auto" w:fill="F1F1F1"/>
        </w:rPr>
      </w:pPr>
      <w:r w:rsidRPr="00957029">
        <w:rPr>
          <w:color w:val="414142"/>
        </w:rPr>
        <w:t>239.</w:t>
      </w:r>
      <w:r w:rsidRPr="00957029">
        <w:rPr>
          <w:color w:val="414142"/>
          <w:shd w:val="clear" w:color="auto" w:fill="F1F1F1"/>
        </w:rPr>
        <w:t xml:space="preserve"> Ja aktīvu saņem bez atlīdzības no budžeta iestādes, to turpina nolietot (amortizēt) atlikušajā lietderīgās lietošanas laikā un atbilstoši nolietojuma (amortizācijas) normai, pamatojoties uz saņemto informāciju par aktīvu.</w:t>
      </w:r>
    </w:p>
    <w:p w14:paraId="39064A2E" w14:textId="77777777" w:rsidR="004C6E70" w:rsidRPr="00957029" w:rsidRDefault="004C6E70" w:rsidP="00CD363C">
      <w:pPr>
        <w:pStyle w:val="tv213"/>
        <w:spacing w:before="0" w:beforeAutospacing="0" w:after="0" w:afterAutospacing="0"/>
        <w:ind w:left="-284" w:right="-142"/>
        <w:jc w:val="both"/>
        <w:rPr>
          <w:rFonts w:eastAsiaTheme="minorHAnsi"/>
          <w:color w:val="414142"/>
          <w:shd w:val="clear" w:color="auto" w:fill="F1F1F1"/>
          <w:lang w:eastAsia="en-US"/>
        </w:rPr>
      </w:pPr>
      <w:r w:rsidRPr="00957029">
        <w:rPr>
          <w:color w:val="414142"/>
        </w:rPr>
        <w:t>240.</w:t>
      </w:r>
      <w:r w:rsidRPr="00957029">
        <w:rPr>
          <w:rFonts w:eastAsiaTheme="minorHAnsi"/>
          <w:color w:val="414142"/>
          <w:shd w:val="clear" w:color="auto" w:fill="F1F1F1"/>
          <w:lang w:eastAsia="en-US"/>
        </w:rPr>
        <w:t xml:space="preserve">  Pieņemot uzskaitē lietotu pamatlīdzekli vai ieguldījuma īpašumu, izņemot šo noteikumu 239.punktā  minēto darījumu, komisija vai speciālists konstatē attiecīgā aktīva tehnisko stāvokli, nosaka aktīva paredzamo atlikušo lietderīgās lietošanas laiku un atbilstošās nolietojuma normas. Novērtēšanu dokumentē.</w:t>
      </w:r>
    </w:p>
    <w:p w14:paraId="4158A57F" w14:textId="77777777" w:rsidR="004C6E70" w:rsidRPr="00957029" w:rsidRDefault="004C6E70" w:rsidP="00CD363C">
      <w:pPr>
        <w:pStyle w:val="tv213"/>
        <w:spacing w:before="0" w:beforeAutospacing="0" w:after="0" w:afterAutospacing="0"/>
        <w:ind w:left="-284" w:right="-142"/>
        <w:jc w:val="both"/>
        <w:rPr>
          <w:color w:val="414142"/>
        </w:rPr>
      </w:pPr>
      <w:r w:rsidRPr="00957029">
        <w:rPr>
          <w:color w:val="414142"/>
        </w:rPr>
        <w:t>241.</w:t>
      </w:r>
      <w:r w:rsidRPr="00957029">
        <w:rPr>
          <w:rFonts w:eastAsiaTheme="minorHAnsi"/>
          <w:color w:val="414142"/>
          <w:shd w:val="clear" w:color="auto" w:fill="F1F1F1"/>
          <w:lang w:eastAsia="en-US"/>
        </w:rPr>
        <w:t>Budžeta iestāde īpašumā un valdījumā esošajiem valsts un pašvaldību īpašumiem, kas nodoti turējumā valsts vai pašvaldību kapitālsabiedrībām, ostu pārvaldēm vai atvasinātām publiskām personām, turpina aprēķināt nolietojumu aktīva atlikušajā lietderīgās lietošanas laikā atbilstoši noteikumos  norādītajām nolietojuma normām un to piemērošanas nosacījumiem.</w:t>
      </w:r>
      <w:r w:rsidRPr="00957029">
        <w:rPr>
          <w:color w:val="414142"/>
        </w:rPr>
        <w:t>.</w:t>
      </w:r>
    </w:p>
    <w:p w14:paraId="00D1D5D4" w14:textId="77777777" w:rsidR="00494D1D" w:rsidRPr="00957029" w:rsidRDefault="004C6E70"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color w:val="414142"/>
          <w:sz w:val="24"/>
          <w:szCs w:val="24"/>
          <w:shd w:val="clear" w:color="auto" w:fill="F1F1F1"/>
        </w:rPr>
        <w:t>242. Pamatlīdzekļiem un ieguldījuma īpašumiem pēc pārbūves, restaurācijas vai atjaunošanas nolietojumu aprēķina atlikušajā vai pārskatītajā lietderīgās lietošanas laikā.</w:t>
      </w:r>
    </w:p>
    <w:p w14:paraId="0D04CD95" w14:textId="77777777" w:rsidR="0075773F" w:rsidRDefault="0075773F" w:rsidP="00CD363C">
      <w:pPr>
        <w:spacing w:after="0" w:line="240" w:lineRule="auto"/>
        <w:ind w:right="-142"/>
        <w:jc w:val="both"/>
        <w:rPr>
          <w:rFonts w:ascii="Times New Roman" w:hAnsi="Times New Roman" w:cs="Times New Roman"/>
          <w:b/>
          <w:sz w:val="24"/>
          <w:szCs w:val="24"/>
        </w:rPr>
      </w:pPr>
    </w:p>
    <w:p w14:paraId="0C4F7D03" w14:textId="77777777" w:rsidR="003A6579" w:rsidRPr="00957029" w:rsidRDefault="00BB7691"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10.4. Pamatlīdzekļu vērtības samazināšanās</w:t>
      </w:r>
    </w:p>
    <w:p w14:paraId="607B9DB0" w14:textId="77777777" w:rsidR="003A6579" w:rsidRPr="00957029" w:rsidRDefault="003A6579" w:rsidP="00CD363C">
      <w:pPr>
        <w:spacing w:after="0" w:line="240" w:lineRule="auto"/>
        <w:ind w:right="-142"/>
        <w:jc w:val="both"/>
        <w:rPr>
          <w:rFonts w:ascii="Times New Roman" w:hAnsi="Times New Roman" w:cs="Times New Roman"/>
          <w:sz w:val="24"/>
          <w:szCs w:val="24"/>
        </w:rPr>
      </w:pPr>
    </w:p>
    <w:p w14:paraId="015D56F9" w14:textId="77777777" w:rsidR="003A6579" w:rsidRPr="000A4D64" w:rsidRDefault="00BB7691"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243.</w:t>
      </w:r>
      <w:r w:rsidR="007F7C59" w:rsidRPr="00957029">
        <w:rPr>
          <w:rFonts w:ascii="Times New Roman" w:hAnsi="Times New Roman" w:cs="Times New Roman"/>
          <w:sz w:val="24"/>
          <w:szCs w:val="24"/>
        </w:rPr>
        <w:t xml:space="preserve"> Katra pārskata perioda beigās novērtē, vai nepastāv pazīmes, kas norāda uz </w:t>
      </w:r>
      <w:r w:rsidR="007F7C59" w:rsidRPr="000A4D64">
        <w:rPr>
          <w:rFonts w:ascii="Times New Roman" w:hAnsi="Times New Roman" w:cs="Times New Roman"/>
          <w:sz w:val="24"/>
          <w:szCs w:val="24"/>
        </w:rPr>
        <w:t>būtisku pamatlīdzekļu vērtības samazinājumu.</w:t>
      </w:r>
    </w:p>
    <w:p w14:paraId="74DE4B25" w14:textId="77777777" w:rsidR="00C73D76" w:rsidRPr="000A4D64" w:rsidRDefault="007F7C59"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244.</w:t>
      </w:r>
      <w:r w:rsidR="00C73D76" w:rsidRPr="000A4D64">
        <w:rPr>
          <w:rFonts w:ascii="Times New Roman" w:hAnsi="Times New Roman" w:cs="Times New Roman"/>
          <w:sz w:val="24"/>
          <w:szCs w:val="24"/>
        </w:rPr>
        <w:t xml:space="preserve"> Budžeta iestāde izvērtē, vai pastāv vismaz šādas pazīmes attiecībā uz pamatlīdzekļa vērtības samazināšanos: </w:t>
      </w:r>
    </w:p>
    <w:p w14:paraId="0EF5CF98" w14:textId="77777777" w:rsidR="007F7C59"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C73D76" w:rsidRPr="000A4D64">
        <w:rPr>
          <w:rFonts w:ascii="Times New Roman" w:hAnsi="Times New Roman" w:cs="Times New Roman"/>
          <w:sz w:val="24"/>
          <w:szCs w:val="24"/>
        </w:rPr>
        <w:t>244.1. vismaz par 90 procentiem samazinājies vai nepastāv pieprasījums pēc pakalpojuma, kuru sniedz budžeta iestāde, lietojot attiecīgo pamatlīdzekli. Piemēram, skolēnu skaits skolā demogrāfisko izmaiņu rezultātā samazinājies vairāk par 90%, un nav paredzams, ka tuvākajā laikā skolēnu skaits atjaunosies sākotnējā līmenī, vai citā gadījumā jaunas ēkas nodošanas rezultātā atbrīvojas vecā ēka un nav plānots, ka tuvākajā laikā varētu aizņemt vecās ēkas tukšās telpas;</w:t>
      </w:r>
    </w:p>
    <w:p w14:paraId="0729B0B2" w14:textId="77777777" w:rsidR="000A4D64"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0A4D64">
        <w:rPr>
          <w:rFonts w:ascii="Times New Roman" w:hAnsi="Times New Roman" w:cs="Times New Roman"/>
          <w:sz w:val="24"/>
          <w:szCs w:val="24"/>
        </w:rPr>
        <w:t>244.2. pieņemts valdības vai pašvaldības lēmums, kas rada negatīvas izmaiņas budžeta iestādes darbībā. Piemēram, ir pieņemtas izmaiņas normatīvajos aktos, kas regulē vides drošību un ēku celtniecībā izmantojamo materiālu kvalitātes standartus, kā rezultātā ēku vairs nedrīkst izmantot ekspluatācijā; vai ir pieņemts jauns likums, kas regulē automašīnu radīto izplūdes gāžu sastāvu, kā rezultātā budžeta iestādei piederošas automašīnas vairs nedrīkst izmantot;</w:t>
      </w:r>
    </w:p>
    <w:p w14:paraId="656C5229" w14:textId="77777777" w:rsidR="000A4D64"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0A4D64">
        <w:rPr>
          <w:rFonts w:ascii="Times New Roman" w:hAnsi="Times New Roman" w:cs="Times New Roman"/>
          <w:sz w:val="24"/>
          <w:szCs w:val="24"/>
        </w:rPr>
        <w:t xml:space="preserve">244.3. pamatlīdzeklis ir novecojis vai fiziski bojāts, piemēram, ugunsgrēkā bojāta daļa no ēkas; </w:t>
      </w:r>
    </w:p>
    <w:p w14:paraId="0798E343" w14:textId="77777777" w:rsidR="000A4D64"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0A4D64">
        <w:rPr>
          <w:rFonts w:ascii="Times New Roman" w:hAnsi="Times New Roman" w:cs="Times New Roman"/>
          <w:sz w:val="24"/>
          <w:szCs w:val="24"/>
        </w:rPr>
        <w:t>244.4. budžeta iestādes darbībā notikušas vai tuvākajā laikā gaidāmas ilgtermiņa izmaiņas, kas negatīvi ietekmē pamatlīdzekļa paredzēto lietojumu. Šajās izmaiņās ietverta aktīva dīkstāve, plāni pārtraukt vai pārstrukturēt budžeta iestādes attiecīgu struktūrvienību vai funkciju darbību, vai likvidēt aktīvu pirms iepriekš paredzētā lietošanas termiņa beigām; 244.5. pieņemts lēmums apturēt pamatlīdzekļa izveidošanu pirms tā pabeigšanas vai nodošanas lietošanā (ekspluatācijā). Piemēram, pārskata periodā pieņemts lēmums uz nenoteiktu laiku apturēt skolas ēkas rekonstrukciju, kas uzsākta iepriekšējos pārskata periodos;</w:t>
      </w:r>
    </w:p>
    <w:p w14:paraId="0F533831" w14:textId="77777777" w:rsidR="000A4D64" w:rsidRPr="000A4D64" w:rsidRDefault="000A4D64"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4D64">
        <w:rPr>
          <w:rFonts w:ascii="Times New Roman" w:hAnsi="Times New Roman" w:cs="Times New Roman"/>
          <w:sz w:val="24"/>
          <w:szCs w:val="24"/>
        </w:rPr>
        <w:t>244.6. un citas pazīmes, kas varētu liecināt par pamatlīdzekļu vērtības samazināšanos, piemēram, no budžeta iestādes iekšējās informācijas (piemēram, struktūrvienību sniegtajiem pārskatiem) ir pieejami pierādījumi, kas liecina, ka pārskata periodā ir būtiski lielākas aktīva izmantošanas vai uzturēšanas izmaksas nekā sākotnēji paredzēts budžetā.</w:t>
      </w:r>
    </w:p>
    <w:p w14:paraId="069F61C8" w14:textId="77777777" w:rsidR="000A4D64" w:rsidRDefault="000A4D64"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245. Pārskata periodā notikušās izmaiņas aktīva lietošanā arī var liecināt par aktīva vērtības samazināšanos. Piemēram, pārskata periodā ēka, kurā agrāk atradusies skola, tiek slēgta un netiek izmantota jebkādu citu budžeta iestādes funkciju izpildei. Izvērtējot, vai ir notikusi vērtības samazināšanās, budžeta iestādei jāizvērtē nepieciešamība vai pieprasījums pēc pamatlīdzekļa budžeta iestādes funkciju izpildei ilgtermiņā. Aktīva ilgtermiņa lietošanas prognozes var mainīties, tāpēc budžeta iestāde veic aktīva vērtības samazinājuma izvērtējumu katrā pārskata datumā.</w:t>
      </w:r>
    </w:p>
    <w:p w14:paraId="2B76EF0E"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246</w:t>
      </w:r>
      <w:r w:rsidRPr="000A4D64">
        <w:rPr>
          <w:rFonts w:ascii="Times New Roman" w:hAnsi="Times New Roman" w:cs="Times New Roman"/>
          <w:sz w:val="24"/>
          <w:szCs w:val="24"/>
        </w:rPr>
        <w:t>. Ja saskaņā ar veikto vērtības samazinājuma pazīmju izvērtējumu, nav konstatētas pazīmes, kas varētu liecināt par aktīva vērtības samazināšanos, budžeta iestādei nav nepieciešams noteikt aktīva atgūstamo vērtību un veikt tālākos pasākumus pamatlīdzekļa vērtības samazinājuma izvērtēšanai.</w:t>
      </w:r>
    </w:p>
    <w:p w14:paraId="0CBDA4CF"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247</w:t>
      </w:r>
      <w:r w:rsidRPr="000A4D64">
        <w:rPr>
          <w:rFonts w:ascii="Times New Roman" w:hAnsi="Times New Roman" w:cs="Times New Roman"/>
          <w:sz w:val="24"/>
          <w:szCs w:val="24"/>
        </w:rPr>
        <w:t>. Ja pastāv kāda no iepriekš minētajām pazīmēm, budžeta iestāde veic attiecīgā pamatlīdzekļa atgūstamās vērtības aplēsi. Budžeta iestāde vispirms izvērtē, vai iespējams noteikt pamatlīdzekļa patieso vērtību, atskaitot atsavināšanas izmaksas.</w:t>
      </w:r>
    </w:p>
    <w:p w14:paraId="62685FEE"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248</w:t>
      </w:r>
      <w:r w:rsidRPr="000A4D64">
        <w:rPr>
          <w:rFonts w:ascii="Times New Roman" w:hAnsi="Times New Roman" w:cs="Times New Roman"/>
          <w:sz w:val="24"/>
          <w:szCs w:val="24"/>
        </w:rPr>
        <w:t xml:space="preserve">. Pamatlīdzekļa patieso vērtību iespējams noteikt šādos gadījumos: </w:t>
      </w:r>
    </w:p>
    <w:p w14:paraId="59351948"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248</w:t>
      </w:r>
      <w:r w:rsidRPr="000A4D64">
        <w:rPr>
          <w:rFonts w:ascii="Times New Roman" w:hAnsi="Times New Roman" w:cs="Times New Roman"/>
          <w:sz w:val="24"/>
          <w:szCs w:val="24"/>
        </w:rPr>
        <w:t xml:space="preserve">.1. ar nesaistītu personu ir noslēgts saistošs līgums par attiecīgā pamatlīdzekļa pārdošanu, kurā ir norādīta pārdošanas cena un ir zināmas visas saistītās atsavināšanas (pārdošanas) izmaksas; </w:t>
      </w:r>
    </w:p>
    <w:p w14:paraId="6517C79B"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248</w:t>
      </w:r>
      <w:r w:rsidRPr="000A4D64">
        <w:rPr>
          <w:rFonts w:ascii="Times New Roman" w:hAnsi="Times New Roman" w:cs="Times New Roman"/>
          <w:sz w:val="24"/>
          <w:szCs w:val="24"/>
        </w:rPr>
        <w:t>.2. ja nav pieejami saistoši pārdošanas līgumi, bet pamatlīdzeklis ir tirgots aktīvā tirgū, tad patiesā vērtība ir pamatlīdzekļa tirgus vērtība (pašreizējā piedāvājuma cena). Ja pašreizējās piedāvājuma cenas nav pieejamas, pamatlīdzekļa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atšķirības novērstu;</w:t>
      </w:r>
    </w:p>
    <w:p w14:paraId="5C516717" w14:textId="77777777" w:rsidR="000A4D64" w:rsidRDefault="000A4D64"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 xml:space="preserve"> </w:t>
      </w:r>
      <w:r>
        <w:rPr>
          <w:rFonts w:ascii="Times New Roman" w:hAnsi="Times New Roman" w:cs="Times New Roman"/>
          <w:sz w:val="24"/>
          <w:szCs w:val="24"/>
        </w:rPr>
        <w:t>248</w:t>
      </w:r>
      <w:r w:rsidRPr="000A4D64">
        <w:rPr>
          <w:rFonts w:ascii="Times New Roman" w:hAnsi="Times New Roman" w:cs="Times New Roman"/>
          <w:sz w:val="24"/>
          <w:szCs w:val="24"/>
        </w:rPr>
        <w:t>.3. ja nav pieejami saistoši pārdošanas līgumi un nepastāv aktīvs tirgus, patieso vērtību nosaka atbilstoši pieejamajai informācijai par vērtību, kādu budžeta iestāde varētu iegūt no pamatlīdzekļa pārdošanas nesaistītai personai aprēķinu datumā. Šīs vērtības noteikšanai var izvērtēt nesenu līdzīgu darījumu tajā pašā nozarē vai saimnieciskās darbības jomā. Šajā gadījumā koriģē līdzīga darījuma tirgus cenu, lai novērstu ekonomisko apstākļu atšķirības</w:t>
      </w:r>
      <w:r w:rsidR="006F5418">
        <w:rPr>
          <w:rFonts w:ascii="Times New Roman" w:hAnsi="Times New Roman" w:cs="Times New Roman"/>
          <w:sz w:val="24"/>
          <w:szCs w:val="24"/>
        </w:rPr>
        <w:t>.</w:t>
      </w:r>
    </w:p>
    <w:p w14:paraId="39ECB8C5"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249.</w:t>
      </w:r>
      <w:r w:rsidRPr="006F5418">
        <w:t xml:space="preserve"> </w:t>
      </w:r>
      <w:r w:rsidRPr="006F5418">
        <w:rPr>
          <w:rFonts w:ascii="Times New Roman" w:hAnsi="Times New Roman" w:cs="Times New Roman"/>
          <w:sz w:val="24"/>
          <w:szCs w:val="24"/>
        </w:rPr>
        <w:t>Ja aktīva patiesā vērtība, atskaitot atsavināšanas izmaksas, pārsniedz tā uzskaites (atlikušo) vērtību, aktīva lietošanas vērtību neaprēķina un vērtības samazinājumu neveic.</w:t>
      </w:r>
    </w:p>
    <w:p w14:paraId="4979281F"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250</w:t>
      </w:r>
      <w:r w:rsidRPr="006F5418">
        <w:rPr>
          <w:rFonts w:ascii="Times New Roman" w:hAnsi="Times New Roman" w:cs="Times New Roman"/>
          <w:sz w:val="24"/>
          <w:szCs w:val="24"/>
        </w:rPr>
        <w:t>. Ja pamatlīdzekļa patiesā vērtība, atskaitot atsavināšanas izmaksas, ir mazāka par tā uzskaites (atlikušo) vērtību vai, ja patieso vērtību nav iespējams noteikt (piemēram, specifiskām būvēm un iekārtām), nosaka pamatlīdzekļa lietošanas vērtību.</w:t>
      </w:r>
    </w:p>
    <w:p w14:paraId="4804FCD6" w14:textId="77777777" w:rsidR="006F5418" w:rsidRP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251</w:t>
      </w:r>
      <w:r w:rsidRPr="006F5418">
        <w:rPr>
          <w:rFonts w:ascii="Times New Roman" w:hAnsi="Times New Roman" w:cs="Times New Roman"/>
          <w:sz w:val="24"/>
          <w:szCs w:val="24"/>
        </w:rPr>
        <w:t xml:space="preserve">. Lietošanas vērtības noteikšanai izmanto šādas metodes: </w:t>
      </w:r>
    </w:p>
    <w:p w14:paraId="026473D7" w14:textId="77777777" w:rsidR="006F5418" w:rsidRDefault="006F5418" w:rsidP="00CD363C">
      <w:pPr>
        <w:spacing w:after="0" w:line="240" w:lineRule="auto"/>
        <w:ind w:right="-142"/>
        <w:jc w:val="both"/>
        <w:rPr>
          <w:rFonts w:ascii="Times New Roman" w:hAnsi="Times New Roman" w:cs="Times New Roman"/>
          <w:sz w:val="24"/>
          <w:szCs w:val="24"/>
        </w:rPr>
      </w:pPr>
      <w:r w:rsidRPr="006F5418">
        <w:rPr>
          <w:rFonts w:ascii="Times New Roman" w:hAnsi="Times New Roman" w:cs="Times New Roman"/>
          <w:sz w:val="24"/>
          <w:szCs w:val="24"/>
        </w:rPr>
        <w:t>- amortizēto aizstāšanas izmaksu metodi - pielietojot šo metodi, pamatlīdzekļa lietošanas vērtību nosaka, amortizējot pamatlīdzekļa aizstāšanas izmaksas atbilstoši esošā pamatlīdzekļa nolietojumam. Pamatlīdzekļa aizstāšanas izmaksas nosaka, salīdzinot pamatlīdzekļa reprodukcijas (tāda paša pamatlīdzekļa izveidošana vai iegāde) un aizstāšanas (līdzvērtīga pamatlīdzekļa izveidošana vai iegāde)</w:t>
      </w:r>
      <w:r>
        <w:rPr>
          <w:rFonts w:ascii="Times New Roman" w:hAnsi="Times New Roman" w:cs="Times New Roman"/>
          <w:sz w:val="24"/>
          <w:szCs w:val="24"/>
        </w:rPr>
        <w:t xml:space="preserve"> </w:t>
      </w:r>
      <w:r w:rsidRPr="006F5418">
        <w:rPr>
          <w:rFonts w:ascii="Times New Roman" w:hAnsi="Times New Roman" w:cs="Times New Roman"/>
          <w:sz w:val="24"/>
          <w:szCs w:val="24"/>
        </w:rPr>
        <w:t xml:space="preserve">izmaksas un izvēloties mazākās. Praksē šo metodi izmanto gadījumos, ja pamatlīdzeklim nav konstatējami būtiski fiziski bojājumi. Piemēram, budžeta iestāde piemeklē attiecīgajam pamatlīdzeklim līdzvērtīgu jaunu pamatlīdzekli, ko matemātiski nolieto līdz budžeta iestādes pamatlīdzekļa atlikušajam lietderīgās lietošanas laikam (salīdzināmajam pamatlīdzeklim jābūt līdzvērtīgam budžeta iestādes pamatlīdzeklim tā šī brīža lietojumā, lai nodrošinātu esošo pakalpojumu apmēru un līmeni, nevis sākotnēji plānoto); </w:t>
      </w:r>
    </w:p>
    <w:p w14:paraId="62BCA744"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F5418">
        <w:rPr>
          <w:rFonts w:ascii="Times New Roman" w:hAnsi="Times New Roman" w:cs="Times New Roman"/>
          <w:sz w:val="24"/>
          <w:szCs w:val="24"/>
        </w:rPr>
        <w:t xml:space="preserve"> atjaunošanas izmaksu metodi - izmanto, ja nav iespējams pielietot amortizēto aizstāšanas izmaksu metodi. Šajā gadījumā pamatlīdzekļa lietošanas vērtību nosaka, no amortizētajām aktīva aizstāšanas izmaksām pirms vērtības samazināšanās atskaitot aprēķinātās aktīva atjaunošanas izmaksas, kas nepieciešamas, lai atjaunotu aktīva darbību tādā līmenī, kāds tas bija pirms vērtības samazināšanās. Praksē šo metodi izmanto, piemēram, gadījumos, kad pamatlīdzeklis ir fiziski bojāts, kā arī gadījumos, kad pamatlīdzekļa izveidošana apturēta pirms tā pabeigšanas. Piemēram, tiek atrasts budžeta iestādes pamatlīdzeklim līdzvērtīgs jauns pamatlīdzeklis, kas tiek matemātiski nolietots līdz budžeta iestādes pamatlīdzekļa atlikušajam lietderīgās lietošanas laikam (salīdzināmajam pamatlīdzeklim jābūt līdzvērtīgam budžeta iestādes pamatlīdzeklim tā paredzētajā lietojumā, lai nodrošinātu plānoto pakalpojumu apmēru un līmeni). Pēc tam, kad ir aprēķināta pamatlīdzekļa vērtība, pielietojot amortizēto aizstāšanas izmaksu metodi, no tās tiek atņemtas rekonstrukcijas izmaksas, kuras būtu nepieciešamas, lai budžeta iestādes pamatlīdzekli atjaunotu (pabeigtu) tā plānotajā stāvoklī; </w:t>
      </w:r>
    </w:p>
    <w:p w14:paraId="7A69C354"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F5418">
        <w:rPr>
          <w:rFonts w:ascii="Times New Roman" w:hAnsi="Times New Roman" w:cs="Times New Roman"/>
          <w:sz w:val="24"/>
          <w:szCs w:val="24"/>
        </w:rPr>
        <w:t xml:space="preserve"> pakalpojumu vienību vērtības metodi - lietošanas vērtību nosaka, samazinot amortizētās aktīva aizstāšanas izmaksas pirms vērtības samazināšanās atbilstoši samazinātajam pakalpojuma vienību skaitam. Praksē šo metodi izmanto, ja nav iespējams pielietot amortizēto aizstāšanas izmaksu metodi un ir būtiski (vismaz par 90%) samazinājies sākotnēji plānoto pakalpojumu apmērs, ko var nodrošināt, izmantojot konkrēto pamatlīdzekli. Piemēram, arī šajā gadījumā sākotnēji tiek atrasts budžeta iestādes pamatlīdzeklim līdzvērtīgs pamatlīdzeklis, kas tiek matemātiski nolietots līdz budžeta iestādes pamatlīdzekļa atlikušajam lietderīgās lietošanas laikam (salīdzināmajam pamatlīdzeklim jābūt līdzvērtīgam budžeta iestādes pamatlīdzeklim tā sākotnēji plānotajā pielietojumā, nevis esošajā). Tāpat tiek noteikts apmērs, par kādu ir samazinājies sniegto pakalpojumu daudzums salīdzinājumā ar sākotnēji plānoto. Visbeidzot, saskaņā ar amortizēto aizstāšanas izmaksu metodi aprēķinātā pamatlīdzekļa vērtība tiek samazināta proporcionāli sniegto pakalpojumu samazinājumam</w:t>
      </w:r>
      <w:r>
        <w:rPr>
          <w:rFonts w:ascii="Times New Roman" w:hAnsi="Times New Roman" w:cs="Times New Roman"/>
          <w:sz w:val="24"/>
          <w:szCs w:val="24"/>
        </w:rPr>
        <w:t>.</w:t>
      </w:r>
    </w:p>
    <w:p w14:paraId="46776660"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252.</w:t>
      </w:r>
      <w:r w:rsidRPr="006F5418">
        <w:t xml:space="preserve"> </w:t>
      </w:r>
      <w:r w:rsidRPr="006F5418">
        <w:rPr>
          <w:rFonts w:ascii="Times New Roman" w:hAnsi="Times New Roman" w:cs="Times New Roman"/>
          <w:sz w:val="24"/>
          <w:szCs w:val="24"/>
        </w:rPr>
        <w:t>Aprēķināto attiecīgo pamatlīdzekļa lietošanas vērtību salīdzina ar tā patieso vērtību, atskaitot atsavināšanas izmaksas. Par pamatlīdzekļa atgūstamo vērtību nosaka to vērtību, kas ir lielākā no abām iepriekš minētajām vērtībām (patiesās vērtības un lietošanas vērtības). Ja patieso vērtību nav bijis iespējams noteikt, par tā atgūstamo vērtību, nosaka lietošanas vērtību</w:t>
      </w:r>
      <w:r>
        <w:rPr>
          <w:rFonts w:ascii="Times New Roman" w:hAnsi="Times New Roman" w:cs="Times New Roman"/>
          <w:sz w:val="24"/>
          <w:szCs w:val="24"/>
        </w:rPr>
        <w:t>.</w:t>
      </w:r>
    </w:p>
    <w:p w14:paraId="6D9F4A43"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253</w:t>
      </w:r>
      <w:r w:rsidRPr="006F5418">
        <w:rPr>
          <w:rFonts w:ascii="Times New Roman" w:hAnsi="Times New Roman" w:cs="Times New Roman"/>
          <w:sz w:val="24"/>
          <w:szCs w:val="24"/>
        </w:rPr>
        <w:t>. Budžeta iestāde salīdzina pamatlīdzekļa atgūstamo vērtību ar pamatlīdzekļa uzskaites vērtību, lai noteiktu, vai pastāv pamatlīdzekļa vērtības samazinājums.</w:t>
      </w:r>
    </w:p>
    <w:p w14:paraId="12F0E0EE" w14:textId="77777777" w:rsidR="000704F7"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254.</w:t>
      </w:r>
      <w:r w:rsidRPr="006F5418">
        <w:t xml:space="preserve"> </w:t>
      </w:r>
      <w:r w:rsidRPr="000704F7">
        <w:rPr>
          <w:rFonts w:ascii="Times New Roman" w:hAnsi="Times New Roman" w:cs="Times New Roman"/>
          <w:sz w:val="24"/>
          <w:szCs w:val="24"/>
        </w:rPr>
        <w:t>Ja pamatlīdzekļa atgūstamā vērtība ir mazāka par tā uzskaites vērtību</w:t>
      </w:r>
      <w:r w:rsidR="00BC447D">
        <w:rPr>
          <w:rFonts w:ascii="Times New Roman" w:hAnsi="Times New Roman" w:cs="Times New Roman"/>
          <w:sz w:val="24"/>
          <w:szCs w:val="24"/>
        </w:rPr>
        <w:t xml:space="preserve">, </w:t>
      </w:r>
      <w:r w:rsidRPr="000704F7">
        <w:rPr>
          <w:rFonts w:ascii="Times New Roman" w:hAnsi="Times New Roman" w:cs="Times New Roman"/>
          <w:sz w:val="24"/>
          <w:szCs w:val="24"/>
        </w:rPr>
        <w:t xml:space="preserve">tad budžeta iestāde atzīst pamatlīdzekļa vērtības samazinājumu līdz tā atgūstamajai vērtībai un pārējos izdevumus, veicot sekojošu grāmatojumus: </w:t>
      </w:r>
    </w:p>
    <w:p w14:paraId="3DF1D637" w14:textId="77777777" w:rsidR="000704F7" w:rsidRPr="000704F7" w:rsidRDefault="000704F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6F5418" w:rsidRPr="000704F7">
        <w:rPr>
          <w:rFonts w:ascii="Times New Roman" w:hAnsi="Times New Roman" w:cs="Times New Roman"/>
          <w:b/>
          <w:sz w:val="24"/>
          <w:szCs w:val="24"/>
        </w:rPr>
        <w:t xml:space="preserve">D 8652 Izdevumi no vērtības samazinājuma nefinanšu aktīviem </w:t>
      </w:r>
    </w:p>
    <w:p w14:paraId="01B3C7F6" w14:textId="77777777" w:rsidR="006F5418" w:rsidRPr="00CD363C" w:rsidRDefault="000704F7" w:rsidP="00CD363C">
      <w:pPr>
        <w:spacing w:after="0" w:line="240" w:lineRule="auto"/>
        <w:ind w:right="-142"/>
        <w:jc w:val="both"/>
        <w:rPr>
          <w:rFonts w:ascii="Times New Roman" w:hAnsi="Times New Roman" w:cs="Times New Roman"/>
          <w:b/>
          <w:sz w:val="24"/>
          <w:szCs w:val="24"/>
        </w:rPr>
      </w:pPr>
      <w:r w:rsidRPr="000704F7">
        <w:rPr>
          <w:rFonts w:ascii="Times New Roman" w:hAnsi="Times New Roman" w:cs="Times New Roman"/>
          <w:b/>
          <w:sz w:val="24"/>
          <w:szCs w:val="24"/>
        </w:rPr>
        <w:t xml:space="preserve">    </w:t>
      </w:r>
      <w:r w:rsidR="006F5418" w:rsidRPr="000704F7">
        <w:rPr>
          <w:rFonts w:ascii="Times New Roman" w:hAnsi="Times New Roman" w:cs="Times New Roman"/>
          <w:b/>
          <w:sz w:val="24"/>
          <w:szCs w:val="24"/>
        </w:rPr>
        <w:t xml:space="preserve">K </w:t>
      </w:r>
      <w:r w:rsidR="006F5418" w:rsidRPr="00CD363C">
        <w:rPr>
          <w:rFonts w:ascii="Times New Roman" w:hAnsi="Times New Roman" w:cs="Times New Roman"/>
          <w:b/>
          <w:sz w:val="24"/>
          <w:szCs w:val="24"/>
        </w:rPr>
        <w:t>1299 Pamatlīdzekļu vērtības samazinājums</w:t>
      </w:r>
    </w:p>
    <w:p w14:paraId="690AE2E2" w14:textId="77777777" w:rsidR="00BC447D" w:rsidRPr="00CD363C" w:rsidRDefault="00BC447D" w:rsidP="00CD363C">
      <w:pPr>
        <w:spacing w:after="0" w:line="240" w:lineRule="auto"/>
        <w:ind w:right="-142"/>
        <w:jc w:val="both"/>
        <w:rPr>
          <w:rFonts w:ascii="Times New Roman" w:hAnsi="Times New Roman" w:cs="Times New Roman"/>
          <w:b/>
          <w:sz w:val="24"/>
          <w:szCs w:val="24"/>
        </w:rPr>
      </w:pPr>
      <w:r w:rsidRPr="00CD363C">
        <w:rPr>
          <w:rFonts w:ascii="Times New Roman" w:hAnsi="Times New Roman" w:cs="Times New Roman"/>
          <w:b/>
          <w:sz w:val="24"/>
          <w:szCs w:val="24"/>
        </w:rPr>
        <w:t>Noteikt būtiskumu iepriekš minētajam atgūstamās vērtības salīdzinājumam ar uzskaites vērtību sekojoši ; ,, ja pamatlīdzekļu atgūstamā vērtība ir mazāka par tā uzskaites vērtību līdz 2</w:t>
      </w:r>
      <w:r w:rsidR="00CB2CBA" w:rsidRPr="00CD363C">
        <w:rPr>
          <w:rFonts w:ascii="Times New Roman" w:hAnsi="Times New Roman" w:cs="Times New Roman"/>
          <w:b/>
          <w:sz w:val="24"/>
          <w:szCs w:val="24"/>
        </w:rPr>
        <w:t>0</w:t>
      </w:r>
      <w:r w:rsidRPr="00CD363C">
        <w:rPr>
          <w:rFonts w:ascii="Times New Roman" w:hAnsi="Times New Roman" w:cs="Times New Roman"/>
          <w:b/>
          <w:sz w:val="24"/>
          <w:szCs w:val="24"/>
        </w:rPr>
        <w:t>%, tad vērtības samazinājumu neveic”.</w:t>
      </w:r>
    </w:p>
    <w:p w14:paraId="61AEF2FC" w14:textId="77777777" w:rsidR="00BC447D" w:rsidRDefault="00BC447D" w:rsidP="00CD363C">
      <w:pPr>
        <w:spacing w:after="0" w:line="240" w:lineRule="auto"/>
        <w:ind w:right="-142"/>
        <w:jc w:val="both"/>
        <w:rPr>
          <w:rFonts w:ascii="Times New Roman" w:hAnsi="Times New Roman" w:cs="Times New Roman"/>
          <w:b/>
          <w:sz w:val="24"/>
          <w:szCs w:val="24"/>
        </w:rPr>
      </w:pPr>
      <w:r w:rsidRPr="00CD363C">
        <w:rPr>
          <w:rFonts w:ascii="Times New Roman" w:hAnsi="Times New Roman" w:cs="Times New Roman"/>
          <w:b/>
          <w:sz w:val="24"/>
          <w:szCs w:val="24"/>
        </w:rPr>
        <w:t xml:space="preserve">Piemēram: pēc veiktajiem aprēķiniem ēkas atgūstamā vērtība sastāda </w:t>
      </w:r>
      <w:r w:rsidR="00CB2CBA" w:rsidRPr="00CD363C">
        <w:rPr>
          <w:rFonts w:ascii="Times New Roman" w:hAnsi="Times New Roman" w:cs="Times New Roman"/>
          <w:b/>
          <w:sz w:val="24"/>
          <w:szCs w:val="24"/>
        </w:rPr>
        <w:t xml:space="preserve">10500 </w:t>
      </w:r>
      <w:r w:rsidRPr="00CD363C">
        <w:rPr>
          <w:rFonts w:ascii="Times New Roman" w:hAnsi="Times New Roman" w:cs="Times New Roman"/>
          <w:b/>
          <w:sz w:val="24"/>
          <w:szCs w:val="24"/>
        </w:rPr>
        <w:t xml:space="preserve">EUR, uzskaites vērtība ir 12500 EUR </w:t>
      </w:r>
      <w:r w:rsidR="007D0A35" w:rsidRPr="00CD363C">
        <w:rPr>
          <w:rFonts w:ascii="Times New Roman" w:hAnsi="Times New Roman" w:cs="Times New Roman"/>
          <w:b/>
          <w:sz w:val="24"/>
          <w:szCs w:val="24"/>
        </w:rPr>
        <w:t>. Salīdzinot atgūstamo</w:t>
      </w:r>
      <w:r w:rsidR="007D0A35">
        <w:rPr>
          <w:rFonts w:ascii="Times New Roman" w:hAnsi="Times New Roman" w:cs="Times New Roman"/>
          <w:b/>
          <w:sz w:val="24"/>
          <w:szCs w:val="24"/>
        </w:rPr>
        <w:t xml:space="preserve"> vērtību ar uzskaites vērtību, atgūstamā vērtība ir par </w:t>
      </w:r>
      <w:r w:rsidR="00CB2CBA">
        <w:rPr>
          <w:rFonts w:ascii="Times New Roman" w:hAnsi="Times New Roman" w:cs="Times New Roman"/>
          <w:b/>
          <w:sz w:val="24"/>
          <w:szCs w:val="24"/>
        </w:rPr>
        <w:t>16</w:t>
      </w:r>
      <w:r w:rsidR="007D0A35">
        <w:rPr>
          <w:rFonts w:ascii="Times New Roman" w:hAnsi="Times New Roman" w:cs="Times New Roman"/>
          <w:b/>
          <w:sz w:val="24"/>
          <w:szCs w:val="24"/>
        </w:rPr>
        <w:t>% mazāka, šajā gadījumā vērtības samazinājumu neveicam.</w:t>
      </w:r>
    </w:p>
    <w:p w14:paraId="0FAC9A32" w14:textId="77777777" w:rsid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255.</w:t>
      </w:r>
      <w:r w:rsidRPr="000704F7">
        <w:t xml:space="preserve"> </w:t>
      </w:r>
      <w:r w:rsidRPr="000704F7">
        <w:rPr>
          <w:rFonts w:ascii="Times New Roman" w:hAnsi="Times New Roman" w:cs="Times New Roman"/>
          <w:sz w:val="24"/>
          <w:szCs w:val="24"/>
        </w:rPr>
        <w:t>Ja vērtības samazinājums ir lielāks par pamatlīdzekļa uzskaites vērtību, budžeta iestāde uzskaites vērtību samazina līdz nullei.</w:t>
      </w:r>
    </w:p>
    <w:p w14:paraId="6BA4322C" w14:textId="77777777" w:rsid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256. Pēc pamatlīdzekļa vērtības samazinājuma atzīšanas tam turpina aprēķināt nolietojumu, tā uzskaites (atlikušo) vērtību sistemātiski attiecinot uz atlikušo lietderīgās lietošanas laiku.</w:t>
      </w:r>
    </w:p>
    <w:p w14:paraId="1525C32A"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257.</w:t>
      </w:r>
      <w:r w:rsidRPr="000704F7">
        <w:t xml:space="preserve"> </w:t>
      </w:r>
      <w:r w:rsidRPr="000704F7">
        <w:rPr>
          <w:rFonts w:ascii="Times New Roman" w:hAnsi="Times New Roman" w:cs="Times New Roman"/>
          <w:sz w:val="24"/>
          <w:szCs w:val="24"/>
        </w:rPr>
        <w:t>Katra pārskata perioda beigās novērtē, vai nepastāv pazīmes, kas norāda, ka iepriekšējos pārskata periodos atzītais pamatlīdzekļa vērtības samazinājums vairs nepastāv vai ir mazinājies.</w:t>
      </w:r>
    </w:p>
    <w:p w14:paraId="64BCDB6D"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258.</w:t>
      </w:r>
      <w:r w:rsidRPr="000704F7">
        <w:t xml:space="preserve"> </w:t>
      </w:r>
      <w:r w:rsidRPr="000704F7">
        <w:rPr>
          <w:rFonts w:ascii="Times New Roman" w:hAnsi="Times New Roman" w:cs="Times New Roman"/>
          <w:sz w:val="24"/>
          <w:szCs w:val="24"/>
        </w:rPr>
        <w:t xml:space="preserve">Novērtējot, vai vērtības samazinājums vairs nepastāv vai ir samazinājies, budžeta iestāde attiecībā uz pamatlīdzekli izvērtē vismaz šādas pazīmes: </w:t>
      </w:r>
    </w:p>
    <w:p w14:paraId="3C3AD524"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0704F7">
        <w:rPr>
          <w:rFonts w:ascii="Times New Roman" w:hAnsi="Times New Roman" w:cs="Times New Roman"/>
          <w:sz w:val="24"/>
          <w:szCs w:val="24"/>
        </w:rPr>
        <w:t xml:space="preserve">vismaz par 90 procentiem palielinājies vai atjaunojies pieprasījums pēc pakalpojuma, kuru sniedz budžeta iestāde, lietojot attiecīgo pamatlīdzekli. Piemēram, skolā sākotnēji skolēnu skaits demogrāfisko izmaiņu rezultātā bija samazinājies par vairāk kā 90%, un tika atzīts pamatlīdzekļa vērtības samazinājums. Taču tagad skolas apkārtnē ir uzcelts jauns dzīvojamais rajons, tādejādi skolēnu skaits palielinājās attiecīgajā apmērā. Citā gadījumā, piemēram, pirms diviem gadiem tehnoloģisko jauninājumu rezultātā slimnīcas rentgena aparāts bija novecojis, un tika pieņemts lēmums to aizstāt ar jaunu. Līdz ar to vecais aparāts tika pārvietots uz citu medicīnas iestādi, kur tā izmantošana bija plānota par 90% mazāka nekā sākotnēji slimnīcā. Tika atzīts rentgena aparāta vērtības samazinājums. Taču tagad medicīnas iestādes reorganizācijas rezultātā apkalpojamo pacientu skaits ir palielinājies; </w:t>
      </w:r>
    </w:p>
    <w:p w14:paraId="380F992D"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0704F7">
        <w:rPr>
          <w:rFonts w:ascii="Times New Roman" w:hAnsi="Times New Roman" w:cs="Times New Roman"/>
          <w:sz w:val="24"/>
          <w:szCs w:val="24"/>
        </w:rPr>
        <w:t xml:space="preserve"> pieņemts valdības vai pašvaldības lēmums, kas rada pozitīvas izmaiņas budžeta iestādes darbībā; </w:t>
      </w:r>
    </w:p>
    <w:p w14:paraId="497417AF"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0704F7">
        <w:rPr>
          <w:rFonts w:ascii="Times New Roman" w:hAnsi="Times New Roman" w:cs="Times New Roman"/>
          <w:sz w:val="24"/>
          <w:szCs w:val="24"/>
        </w:rPr>
        <w:t>pārskata perioda laikā veikti pamatlīdzekļa uzlabojumi vai atjaunošana, lai uzlabotu tā darbību;</w:t>
      </w:r>
    </w:p>
    <w:p w14:paraId="05BD613B" w14:textId="77777777" w:rsidR="000704F7" w:rsidRP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 xml:space="preserve">-budžeta iestādes darbībā notikušas vai tuvākajā laikā gaidāmas ilgtermiņa izmaiņas, kas pozitīvi ietekmē pamatlīdzekļa paredzēto lietojumu; </w:t>
      </w:r>
    </w:p>
    <w:p w14:paraId="4D47C0F1" w14:textId="77777777" w:rsid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 pieņemts lēmums atsākt pamatlīdzekļa izveidi, kas iepriekš apturēta vai pārtraukta pirms tā pabeigšanas vai nodošanas lietošanā (ekspluatācijā).</w:t>
      </w:r>
    </w:p>
    <w:p w14:paraId="54C1B358"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259.</w:t>
      </w:r>
      <w:r w:rsidR="00C539C5" w:rsidRPr="00C539C5">
        <w:t xml:space="preserve"> </w:t>
      </w:r>
      <w:r w:rsidR="00C539C5" w:rsidRPr="00C539C5">
        <w:rPr>
          <w:rFonts w:ascii="Times New Roman" w:hAnsi="Times New Roman" w:cs="Times New Roman"/>
          <w:sz w:val="24"/>
          <w:szCs w:val="24"/>
        </w:rPr>
        <w:t>Ja pastāv kāda no iepriekš minētajām pazīmēm, budžeta iestāde veic attiecīgā pamatlīdzekļa atgūstamās vērtības aplēsi saskaņā ar šajā apakšnodaļā minēto.</w:t>
      </w:r>
    </w:p>
    <w:p w14:paraId="260A0FFC"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260.</w:t>
      </w:r>
      <w:r w:rsidRPr="00C539C5">
        <w:t xml:space="preserve"> </w:t>
      </w:r>
      <w:r w:rsidRPr="00C539C5">
        <w:rPr>
          <w:rFonts w:ascii="Times New Roman" w:hAnsi="Times New Roman" w:cs="Times New Roman"/>
          <w:sz w:val="24"/>
          <w:szCs w:val="24"/>
        </w:rPr>
        <w:t xml:space="preserve">Budžeta iestāde palielina pamatlīdzekļa uzskaites (atlikušo) vērtību, norakstot iepriekšējos pārskata periodos izveidoto vērtības samazinājumu tikai tādā gadījumā, ja pamatlīdzekļa atgūstamā vērtība ir lielāka par tā uzskaites vērtību. Šādā gadījumā aktīva uzskaites (atlikusī) vērtība jāpalielina līdz tā atgūstamajai vērtībai un jāatzīst pārskata perioda pārējie ieņēmumi, veicot sekojošu grāmatojumu: </w:t>
      </w:r>
    </w:p>
    <w:p w14:paraId="6B14084B" w14:textId="77777777" w:rsidR="00C539C5" w:rsidRPr="00C539C5" w:rsidRDefault="00C539C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C539C5">
        <w:rPr>
          <w:rFonts w:ascii="Times New Roman" w:hAnsi="Times New Roman" w:cs="Times New Roman"/>
          <w:b/>
          <w:sz w:val="24"/>
          <w:szCs w:val="24"/>
        </w:rPr>
        <w:t xml:space="preserve">D 1299 Pamatlīdzekļu vērtības samazinājums </w:t>
      </w:r>
    </w:p>
    <w:p w14:paraId="7A8F059A" w14:textId="77777777" w:rsidR="00C539C5" w:rsidRDefault="00C539C5" w:rsidP="00CD363C">
      <w:pPr>
        <w:spacing w:after="0" w:line="240" w:lineRule="auto"/>
        <w:ind w:right="-142"/>
        <w:jc w:val="both"/>
        <w:rPr>
          <w:rFonts w:ascii="Times New Roman" w:hAnsi="Times New Roman" w:cs="Times New Roman"/>
          <w:b/>
          <w:sz w:val="24"/>
          <w:szCs w:val="24"/>
        </w:rPr>
      </w:pPr>
      <w:r w:rsidRPr="00C539C5">
        <w:rPr>
          <w:rFonts w:ascii="Times New Roman" w:hAnsi="Times New Roman" w:cs="Times New Roman"/>
          <w:b/>
          <w:sz w:val="24"/>
          <w:szCs w:val="24"/>
        </w:rPr>
        <w:t xml:space="preserve">   K</w:t>
      </w:r>
      <w:r>
        <w:rPr>
          <w:rFonts w:ascii="Times New Roman" w:hAnsi="Times New Roman" w:cs="Times New Roman"/>
          <w:b/>
          <w:sz w:val="24"/>
          <w:szCs w:val="24"/>
        </w:rPr>
        <w:t xml:space="preserve"> </w:t>
      </w:r>
      <w:r w:rsidRPr="00C539C5">
        <w:rPr>
          <w:rFonts w:ascii="Times New Roman" w:hAnsi="Times New Roman" w:cs="Times New Roman"/>
          <w:b/>
          <w:sz w:val="24"/>
          <w:szCs w:val="24"/>
        </w:rPr>
        <w:t>8552 Ieņēmumi</w:t>
      </w:r>
      <w:r>
        <w:rPr>
          <w:rFonts w:ascii="Times New Roman" w:hAnsi="Times New Roman" w:cs="Times New Roman"/>
          <w:b/>
          <w:sz w:val="24"/>
          <w:szCs w:val="24"/>
        </w:rPr>
        <w:t xml:space="preserve"> </w:t>
      </w:r>
      <w:r w:rsidRPr="00C539C5">
        <w:rPr>
          <w:rFonts w:ascii="Times New Roman" w:hAnsi="Times New Roman" w:cs="Times New Roman"/>
          <w:b/>
          <w:sz w:val="24"/>
          <w:szCs w:val="24"/>
        </w:rPr>
        <w:t>no vērtības samazinājuma norakstīšanas nefinanšu aktīviem</w:t>
      </w:r>
    </w:p>
    <w:p w14:paraId="5BD6D590" w14:textId="77777777" w:rsidR="00C539C5" w:rsidRDefault="00C539C5" w:rsidP="00CD363C">
      <w:pPr>
        <w:spacing w:after="0" w:line="240" w:lineRule="auto"/>
        <w:ind w:right="-142"/>
        <w:jc w:val="both"/>
        <w:rPr>
          <w:rFonts w:ascii="Times New Roman" w:hAnsi="Times New Roman" w:cs="Times New Roman"/>
          <w:sz w:val="24"/>
          <w:szCs w:val="24"/>
        </w:rPr>
      </w:pPr>
      <w:r w:rsidRPr="00C539C5">
        <w:rPr>
          <w:rFonts w:ascii="Times New Roman" w:hAnsi="Times New Roman" w:cs="Times New Roman"/>
          <w:sz w:val="24"/>
          <w:szCs w:val="24"/>
        </w:rPr>
        <w:t>261.</w:t>
      </w:r>
      <w:r w:rsidRPr="00C539C5">
        <w:t xml:space="preserve"> </w:t>
      </w:r>
      <w:r w:rsidRPr="00C539C5">
        <w:rPr>
          <w:rFonts w:ascii="Times New Roman" w:hAnsi="Times New Roman" w:cs="Times New Roman"/>
          <w:sz w:val="24"/>
          <w:szCs w:val="24"/>
        </w:rPr>
        <w:t>Palielinātā pamatlīdzekļa uzskaites (atlikusī) vērtība nedrīkst pārsniegt uzskaites vērtību, kas būtu noteikta (atskaitot nolietojumu), ja aktīvam iepriekšējos periodos nebūtu atzīti izdevumi no vērtības samazinājuma.</w:t>
      </w:r>
    </w:p>
    <w:p w14:paraId="5BCBCF73"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262</w:t>
      </w:r>
      <w:r w:rsidRPr="00C539C5">
        <w:rPr>
          <w:rFonts w:ascii="Times New Roman" w:hAnsi="Times New Roman" w:cs="Times New Roman"/>
          <w:sz w:val="24"/>
          <w:szCs w:val="24"/>
        </w:rPr>
        <w:t>. Pēc pamatlīdzekļa vērtības samazinājuma koriģēšanas turpina aprēķināt nolietojumu, pamatlīdzekļa uzskaites (atlikušo) vērtību sistemātiski attiecinot uz atlikušo lietderīgās lietošanas laiku.</w:t>
      </w:r>
    </w:p>
    <w:p w14:paraId="34E25C53"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263.</w:t>
      </w:r>
      <w:r w:rsidRPr="00C539C5">
        <w:t xml:space="preserve"> </w:t>
      </w:r>
      <w:r w:rsidRPr="00C539C5">
        <w:rPr>
          <w:rFonts w:ascii="Times New Roman" w:hAnsi="Times New Roman" w:cs="Times New Roman"/>
          <w:sz w:val="24"/>
          <w:szCs w:val="24"/>
        </w:rPr>
        <w:t>Izveidoto pamatlīdzekļu vērtības samazinājumu var koriģēt tikai par konkrētā pamatlīdzekļa vērtības samazinājuma izmaiņu vērtību.</w:t>
      </w:r>
    </w:p>
    <w:p w14:paraId="6AFCA50E"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264.</w:t>
      </w:r>
      <w:r w:rsidRPr="00C539C5">
        <w:t xml:space="preserve"> </w:t>
      </w:r>
      <w:r w:rsidRPr="00C539C5">
        <w:rPr>
          <w:rFonts w:ascii="Times New Roman" w:hAnsi="Times New Roman" w:cs="Times New Roman"/>
          <w:sz w:val="24"/>
          <w:szCs w:val="24"/>
        </w:rPr>
        <w:t>Tā kā pēc pamatlīdzekļa vērtības samazinājuma koriģēšanas pamatlīdzekļa atlikušais lietderīgās lietošanas laiks nemainās, tad pamatlīdzekļa nolietojumu aprēķina, pamatlīdzekļa uzskaites vērtību pēc vērtības samazinājuma koriģēšanas sistemātiski attiecinot uz pamatlīdzekļa atlikušo lietderīgās lietošanas laiku.</w:t>
      </w:r>
    </w:p>
    <w:p w14:paraId="7955002B"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265.</w:t>
      </w:r>
      <w:r w:rsidRPr="00C539C5">
        <w:t xml:space="preserve"> </w:t>
      </w:r>
      <w:r w:rsidRPr="00C539C5">
        <w:rPr>
          <w:rFonts w:ascii="Times New Roman" w:hAnsi="Times New Roman" w:cs="Times New Roman"/>
          <w:sz w:val="24"/>
          <w:szCs w:val="24"/>
        </w:rPr>
        <w:t>Pamatlīdzekļu vērtības samazinājuma pārbaudi var veikt budžeta iestādes vadītāja apstiprināta komisija vai budžeta iestādes apstiprināts atbildīgais attiecīgās jomas speciālists. Komisijai vērtības samazinājuma pazīmju identifikācijai un aprēķinu veikšanai ir tiesības piesaistīt attiecīgās nozares speciālistus.</w:t>
      </w:r>
    </w:p>
    <w:p w14:paraId="4CF47C03" w14:textId="77777777" w:rsidR="00C539C5" w:rsidRP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266.</w:t>
      </w:r>
      <w:r w:rsidRPr="00C539C5">
        <w:t xml:space="preserve"> </w:t>
      </w:r>
      <w:r w:rsidRPr="00C539C5">
        <w:rPr>
          <w:rFonts w:ascii="Times New Roman" w:hAnsi="Times New Roman" w:cs="Times New Roman"/>
          <w:sz w:val="24"/>
          <w:szCs w:val="24"/>
        </w:rPr>
        <w:t>Pamatlīdzekļa vērtības samazinājuma un/vai atgūstamās vērtības aprēķins tiek dokumentēts.</w:t>
      </w:r>
    </w:p>
    <w:p w14:paraId="5A466BCF" w14:textId="77777777" w:rsidR="000A4D64" w:rsidRPr="00662744" w:rsidRDefault="00662744" w:rsidP="00CD363C">
      <w:pPr>
        <w:tabs>
          <w:tab w:val="left" w:pos="420"/>
        </w:tabs>
        <w:spacing w:after="0" w:line="240" w:lineRule="auto"/>
        <w:ind w:right="-142"/>
        <w:jc w:val="both"/>
        <w:rPr>
          <w:rFonts w:ascii="Times New Roman" w:hAnsi="Times New Roman" w:cs="Times New Roman"/>
          <w:b/>
          <w:sz w:val="24"/>
          <w:szCs w:val="24"/>
        </w:rPr>
      </w:pPr>
      <w:r w:rsidRPr="00662744">
        <w:rPr>
          <w:rFonts w:ascii="Times New Roman" w:hAnsi="Times New Roman" w:cs="Times New Roman"/>
          <w:b/>
          <w:sz w:val="24"/>
          <w:szCs w:val="24"/>
        </w:rPr>
        <w:t>10.5. Pamatlīdzekļu izslēgšana no uzskaites</w:t>
      </w:r>
    </w:p>
    <w:p w14:paraId="5AA2D38B"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267</w:t>
      </w:r>
      <w:r w:rsidRPr="00CD194B">
        <w:rPr>
          <w:rFonts w:ascii="Times New Roman" w:hAnsi="Times New Roman" w:cs="Times New Roman"/>
          <w:sz w:val="24"/>
          <w:szCs w:val="24"/>
        </w:rPr>
        <w:t xml:space="preserve"> Pamatlīdzekli izslēdz no uzskaites, norakstot tā vērtību un uzkrāto nolietojumu sekojošos gadījumos: </w:t>
      </w:r>
    </w:p>
    <w:p w14:paraId="339A5230"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.1. pamatlīdzekli norakstot; </w:t>
      </w:r>
    </w:p>
    <w:p w14:paraId="424FDB59"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.2. pamatlīdzekli atsavinot; </w:t>
      </w:r>
    </w:p>
    <w:p w14:paraId="0C9EABFE"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.3. pamatlīdzekli nododot citai budžeta iestādei; </w:t>
      </w:r>
    </w:p>
    <w:p w14:paraId="3E38EDC4" w14:textId="77777777" w:rsidR="00662744"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.4. konstatējot pamatlīdzekļa iznīcināšanu prettiesiskas darbības dēļ. </w:t>
      </w:r>
    </w:p>
    <w:p w14:paraId="29063E6A" w14:textId="77777777" w:rsidR="00662744"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268</w:t>
      </w:r>
      <w:r w:rsidRPr="00CD194B">
        <w:rPr>
          <w:rFonts w:ascii="Times New Roman" w:hAnsi="Times New Roman" w:cs="Times New Roman"/>
          <w:sz w:val="24"/>
          <w:szCs w:val="24"/>
        </w:rPr>
        <w:t>. Pamatlīdzekli noraksta, piemēram, gadījumos, ja ir pieņemt lēmums izbeigt tā lietošanu vai tas ir novecojis un tā tālāka lietošana nav iespējama neatkarīgi no tā atlikušās vērtības</w:t>
      </w:r>
    </w:p>
    <w:p w14:paraId="6F95238C" w14:textId="77777777" w:rsidR="00662744"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269</w:t>
      </w:r>
      <w:r w:rsidRPr="00CD194B">
        <w:rPr>
          <w:rFonts w:ascii="Times New Roman" w:hAnsi="Times New Roman" w:cs="Times New Roman"/>
          <w:sz w:val="24"/>
          <w:szCs w:val="24"/>
        </w:rPr>
        <w:t>. Gadījumā, ja budžeta iestāde pārtrauc pamatlīdzekļa turpmāku lietošanu, tā pamatlīdzekli noraksta, pamatojoties uz vadī</w:t>
      </w:r>
      <w:r>
        <w:rPr>
          <w:rFonts w:ascii="Times New Roman" w:hAnsi="Times New Roman" w:cs="Times New Roman"/>
          <w:sz w:val="24"/>
          <w:szCs w:val="24"/>
        </w:rPr>
        <w:t>tāja</w:t>
      </w:r>
      <w:r w:rsidRPr="00CD194B">
        <w:rPr>
          <w:rFonts w:ascii="Times New Roman" w:hAnsi="Times New Roman" w:cs="Times New Roman"/>
          <w:sz w:val="24"/>
          <w:szCs w:val="24"/>
        </w:rPr>
        <w:t xml:space="preserve"> apstiprināt</w:t>
      </w:r>
      <w:r>
        <w:rPr>
          <w:rFonts w:ascii="Times New Roman" w:hAnsi="Times New Roman" w:cs="Times New Roman"/>
          <w:sz w:val="24"/>
          <w:szCs w:val="24"/>
        </w:rPr>
        <w:t xml:space="preserve">as komisijas aktu par pamatlīdzekļa izslēgšanu- pamatlīdzekļus bilances vērtībā līdz 3000 EUR, pamatlīdzekļus bilances vērtībā virs 3000 EUR par vienību (komplektu) noraksta pamatojoties uz domes lēmumu, </w:t>
      </w:r>
      <w:r w:rsidRPr="00CD194B">
        <w:rPr>
          <w:rFonts w:ascii="Times New Roman" w:hAnsi="Times New Roman" w:cs="Times New Roman"/>
          <w:sz w:val="24"/>
          <w:szCs w:val="24"/>
        </w:rPr>
        <w:t xml:space="preserve">veicot sekojošus grāmatojumus: </w:t>
      </w:r>
    </w:p>
    <w:p w14:paraId="4781B728"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D 1290 Pamatlīdzekļu uzkrātais nolietojums un vērtības samazinājums</w:t>
      </w:r>
    </w:p>
    <w:p w14:paraId="565C58C4"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 xml:space="preserve">K 1200 Pamatlīdzekļi* </w:t>
      </w:r>
    </w:p>
    <w:p w14:paraId="2FC62BE0" w14:textId="77777777" w:rsidR="00662744"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2744" w:rsidRPr="00CD194B">
        <w:rPr>
          <w:rFonts w:ascii="Times New Roman" w:hAnsi="Times New Roman" w:cs="Times New Roman"/>
          <w:sz w:val="24"/>
          <w:szCs w:val="24"/>
        </w:rPr>
        <w:t xml:space="preserve">*uzkrātā nolietojuma un atzītā vērtības samazinājuma apmērā </w:t>
      </w:r>
    </w:p>
    <w:p w14:paraId="608DED97"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 xml:space="preserve">D 8611 Izdevumi no nefinanšu aktīvu norakstīšanas un likvidēšanas </w:t>
      </w:r>
    </w:p>
    <w:p w14:paraId="3FE0A30E"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 xml:space="preserve">K 1200 Pamatlīdzekļi* </w:t>
      </w:r>
    </w:p>
    <w:p w14:paraId="27DC2AD3" w14:textId="77777777" w:rsidR="00662744"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2744" w:rsidRPr="00CD194B">
        <w:rPr>
          <w:rFonts w:ascii="Times New Roman" w:hAnsi="Times New Roman" w:cs="Times New Roman"/>
          <w:sz w:val="24"/>
          <w:szCs w:val="24"/>
        </w:rPr>
        <w:t>*atlikusī uzskaites vērtība</w:t>
      </w:r>
    </w:p>
    <w:p w14:paraId="4463B938" w14:textId="77777777" w:rsidR="00BF30CA" w:rsidRDefault="00BF30CA" w:rsidP="00CD363C">
      <w:pPr>
        <w:spacing w:after="0" w:line="240" w:lineRule="auto"/>
        <w:ind w:right="-142"/>
        <w:jc w:val="both"/>
        <w:rPr>
          <w:rFonts w:ascii="Times New Roman" w:hAnsi="Times New Roman" w:cs="Times New Roman"/>
          <w:b/>
          <w:sz w:val="24"/>
          <w:szCs w:val="24"/>
        </w:rPr>
      </w:pPr>
      <w:r w:rsidRPr="004F1177">
        <w:rPr>
          <w:rFonts w:ascii="Times New Roman" w:hAnsi="Times New Roman" w:cs="Times New Roman"/>
          <w:b/>
          <w:sz w:val="24"/>
          <w:szCs w:val="24"/>
        </w:rPr>
        <w:t xml:space="preserve">Domes </w:t>
      </w:r>
      <w:r>
        <w:rPr>
          <w:rFonts w:ascii="Times New Roman" w:hAnsi="Times New Roman" w:cs="Times New Roman"/>
          <w:b/>
          <w:sz w:val="24"/>
          <w:szCs w:val="24"/>
        </w:rPr>
        <w:t>lēmums</w:t>
      </w:r>
      <w:r w:rsidRPr="004F1177">
        <w:rPr>
          <w:rFonts w:ascii="Times New Roman" w:hAnsi="Times New Roman" w:cs="Times New Roman"/>
          <w:b/>
          <w:sz w:val="24"/>
          <w:szCs w:val="24"/>
        </w:rPr>
        <w:t xml:space="preserve"> nepieciešam</w:t>
      </w:r>
      <w:r>
        <w:rPr>
          <w:rFonts w:ascii="Times New Roman" w:hAnsi="Times New Roman" w:cs="Times New Roman"/>
          <w:b/>
          <w:sz w:val="24"/>
          <w:szCs w:val="24"/>
        </w:rPr>
        <w:t>s</w:t>
      </w:r>
      <w:r w:rsidRPr="004F1177">
        <w:rPr>
          <w:rFonts w:ascii="Times New Roman" w:hAnsi="Times New Roman" w:cs="Times New Roman"/>
          <w:b/>
          <w:sz w:val="24"/>
          <w:szCs w:val="24"/>
        </w:rPr>
        <w:t xml:space="preserve"> visa veida ēku un būvju norakstīšanai, inženierteh</w:t>
      </w:r>
      <w:r>
        <w:rPr>
          <w:rFonts w:ascii="Times New Roman" w:hAnsi="Times New Roman" w:cs="Times New Roman"/>
          <w:b/>
          <w:sz w:val="24"/>
          <w:szCs w:val="24"/>
        </w:rPr>
        <w:t xml:space="preserve">nisko būvju, transporta būvju, </w:t>
      </w:r>
      <w:r w:rsidRPr="004F1177">
        <w:rPr>
          <w:rFonts w:ascii="Times New Roman" w:hAnsi="Times New Roman" w:cs="Times New Roman"/>
          <w:b/>
          <w:sz w:val="24"/>
          <w:szCs w:val="24"/>
        </w:rPr>
        <w:t>infrastruktūras objektu, autotransporta izslēgšanai no bilances</w:t>
      </w:r>
      <w:r>
        <w:rPr>
          <w:rFonts w:ascii="Times New Roman" w:hAnsi="Times New Roman" w:cs="Times New Roman"/>
          <w:b/>
          <w:sz w:val="24"/>
          <w:szCs w:val="24"/>
        </w:rPr>
        <w:t>.</w:t>
      </w:r>
    </w:p>
    <w:p w14:paraId="40C567A5"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270</w:t>
      </w:r>
      <w:r w:rsidRPr="00CD194B">
        <w:rPr>
          <w:rFonts w:ascii="Times New Roman" w:hAnsi="Times New Roman" w:cs="Times New Roman"/>
          <w:sz w:val="24"/>
          <w:szCs w:val="24"/>
        </w:rPr>
        <w:t xml:space="preserve">. Ja pamatlīdzekli paredzēts atsavināt, to pārdodot, tad to līdz atsavināšanai uzskaita krājumu sastāvā. Pamatlīdzekļus uzskaita kā atsavināšanai paredzētus, ja tie pašreizējā stāvoklī ir pieejami tūlītējai atsavināšanai un pakļauti normatīvajos aktos noteiktajiem atsavināšanas nosacījumiem, to lietderīgā lietošana ir pārtraukta un to atsavināšana ir ticama. Ilgtermiņa ieguldījumu, tai skaitā pamatlīdzekļu, atsavināšanu uzskata par ticamu, ja ir spēkā šādi nosacījumi: </w:t>
      </w:r>
    </w:p>
    <w:p w14:paraId="7025F7A9"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270.1.</w:t>
      </w:r>
      <w:r w:rsidRPr="00CD194B">
        <w:rPr>
          <w:rFonts w:ascii="Times New Roman" w:hAnsi="Times New Roman" w:cs="Times New Roman"/>
          <w:sz w:val="24"/>
          <w:szCs w:val="24"/>
        </w:rPr>
        <w:t xml:space="preserve">atsavināšana ir pamatota ar normatīvo aktu vai iestādes vadības lēmumu; </w:t>
      </w:r>
    </w:p>
    <w:p w14:paraId="7B9AFC9C"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270.2.</w:t>
      </w:r>
      <w:r w:rsidRPr="00CD194B">
        <w:rPr>
          <w:rFonts w:ascii="Times New Roman" w:hAnsi="Times New Roman" w:cs="Times New Roman"/>
          <w:sz w:val="24"/>
          <w:szCs w:val="24"/>
        </w:rPr>
        <w:t xml:space="preserve">atsavināšanas process ir uzsākts; </w:t>
      </w:r>
    </w:p>
    <w:p w14:paraId="03D9F45F" w14:textId="77777777" w:rsidR="00BF30CA"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270.3.</w:t>
      </w:r>
      <w:r w:rsidRPr="00CD194B">
        <w:rPr>
          <w:rFonts w:ascii="Times New Roman" w:hAnsi="Times New Roman" w:cs="Times New Roman"/>
          <w:sz w:val="24"/>
          <w:szCs w:val="24"/>
        </w:rPr>
        <w:t xml:space="preserve">ir pārliecība par atsavināšanas procesa pabeigšanu viena gada laikā no </w:t>
      </w: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atsavināšanas uzsākšanas datuma. </w:t>
      </w:r>
    </w:p>
    <w:p w14:paraId="5B809230" w14:textId="77777777" w:rsidR="00BF30CA"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271</w:t>
      </w:r>
      <w:r w:rsidRPr="00CD194B">
        <w:rPr>
          <w:rFonts w:ascii="Times New Roman" w:hAnsi="Times New Roman" w:cs="Times New Roman"/>
          <w:sz w:val="24"/>
          <w:szCs w:val="24"/>
        </w:rPr>
        <w:t xml:space="preserve">. Pamatlīdzekļiem, kuru atsavināšana ir ticama, pārtrauc aprēķināt nolietojumu un tos līdz to atsavināšanai uzskaita krājumu sastāvā to atlikušajā vērtībā, veicot sekojošus grāmatojumus: </w:t>
      </w:r>
    </w:p>
    <w:p w14:paraId="6E7525AF"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D 1290* Pamatlīdzekļu uzkrātais nolietojums un vērtības samazinājums </w:t>
      </w:r>
    </w:p>
    <w:p w14:paraId="1F339A25"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K 1200* Pamatlīdzekļi </w:t>
      </w:r>
    </w:p>
    <w:p w14:paraId="19AD42C1"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*uzkrātais nolietojums </w:t>
      </w:r>
    </w:p>
    <w:p w14:paraId="26E69A44"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D 1290* Pamatlīdzekļu uzkrātais nolietojums un vērtības samazinājums </w:t>
      </w:r>
    </w:p>
    <w:p w14:paraId="77B8E65C"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K 1200* Pamatlīdzekļi </w:t>
      </w:r>
    </w:p>
    <w:p w14:paraId="0B6A5874"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*iepriekš atzītais vērtības samazinājums</w:t>
      </w:r>
    </w:p>
    <w:p w14:paraId="09D00587" w14:textId="77777777" w:rsidR="00BF30CA" w:rsidRPr="00E56C37" w:rsidRDefault="00BF30CA"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E56C37">
        <w:rPr>
          <w:rFonts w:ascii="Times New Roman" w:hAnsi="Times New Roman" w:cs="Times New Roman"/>
          <w:b/>
          <w:sz w:val="24"/>
          <w:szCs w:val="24"/>
        </w:rPr>
        <w:t xml:space="preserve">D 2130 Gatavie ražojumi, pasūtījumi un krājumi atsavināšanai </w:t>
      </w:r>
    </w:p>
    <w:p w14:paraId="0C70C60A" w14:textId="77777777" w:rsidR="00BF30CA" w:rsidRPr="00E56C37" w:rsidRDefault="00BF30CA"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1200 Pamatlīdzekļi* </w:t>
      </w:r>
    </w:p>
    <w:p w14:paraId="5D6A37BC"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*atlikusī uzskaites vērtība</w:t>
      </w:r>
    </w:p>
    <w:p w14:paraId="4EE919C9" w14:textId="77777777" w:rsidR="00E56C37" w:rsidRPr="00CD194B"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272</w:t>
      </w:r>
      <w:r w:rsidRPr="00CD194B">
        <w:rPr>
          <w:rFonts w:ascii="Times New Roman" w:hAnsi="Times New Roman" w:cs="Times New Roman"/>
          <w:sz w:val="24"/>
          <w:szCs w:val="24"/>
        </w:rPr>
        <w:t xml:space="preserve">. Budžeta iestāde, kas nodod pamatlīdzekli citai budžeta iestādei bez atlīdzības, izslēdz uzkrāto vērtības samazinājumu un atzīst pārējos ieņēmumus no aktīvu vērtības samazinājuma, kā arī izslēdz sākotnējo vērtību un uzkrāto nolietojumu un atzīst izdevumus no nodotām vērtībām bez atlīdzības pamatlīdzekļa atlikušajā vērtībā, veicot sekojošus grāmatojumus: </w:t>
      </w:r>
    </w:p>
    <w:p w14:paraId="5F8F22D6"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D 1290* Pamatlīdzekļu uzkrātais nolietojums un vērtības samazinājums </w:t>
      </w:r>
    </w:p>
    <w:p w14:paraId="11385E63"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1200* Pamatlīdzekļi </w:t>
      </w:r>
    </w:p>
    <w:p w14:paraId="3A89ABFF" w14:textId="77777777" w:rsidR="00E56C37" w:rsidRPr="00CD194B"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*uzkrātais nolietojums </w:t>
      </w:r>
    </w:p>
    <w:p w14:paraId="4E9819AC"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D 1290* Pamatlīdzekļu uzkrātais nolietojums un vērtības samazinājums </w:t>
      </w:r>
    </w:p>
    <w:p w14:paraId="3C1DB2A0"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8552* Ieņēmumi no vērtības samazinājuma norakstīšanas nefinanšu aktīviem </w:t>
      </w:r>
    </w:p>
    <w:p w14:paraId="5A5A877B" w14:textId="77777777" w:rsidR="00E56C37" w:rsidRPr="00CD194B"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*iepriekš atzītais vērtības samazinājums </w:t>
      </w:r>
    </w:p>
    <w:p w14:paraId="5E0C4DFA"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D 8420 Izdevumi no saņemtām un nodotām vērtībām bez atlīdzības </w:t>
      </w:r>
    </w:p>
    <w:p w14:paraId="191856ED"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1200 Pamatlīdzekļi* </w:t>
      </w:r>
    </w:p>
    <w:p w14:paraId="55CB732D" w14:textId="77777777" w:rsidR="00E56C37"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*atlikusī uzskaites vērtība</w:t>
      </w:r>
    </w:p>
    <w:p w14:paraId="790E5E36" w14:textId="77777777" w:rsidR="00597B46" w:rsidRPr="00842D9D" w:rsidRDefault="00842D9D" w:rsidP="00CD363C">
      <w:pPr>
        <w:spacing w:after="0" w:line="240" w:lineRule="auto"/>
        <w:ind w:right="-142"/>
        <w:jc w:val="both"/>
        <w:rPr>
          <w:rFonts w:ascii="Times New Roman" w:hAnsi="Times New Roman" w:cs="Times New Roman"/>
          <w:b/>
          <w:sz w:val="24"/>
          <w:szCs w:val="24"/>
        </w:rPr>
      </w:pPr>
      <w:r w:rsidRPr="00842D9D">
        <w:rPr>
          <w:rFonts w:ascii="Times New Roman" w:hAnsi="Times New Roman" w:cs="Times New Roman"/>
          <w:b/>
          <w:sz w:val="24"/>
          <w:szCs w:val="24"/>
        </w:rPr>
        <w:t>10.6. Pamatlīdzekļu inventarizācija</w:t>
      </w:r>
    </w:p>
    <w:p w14:paraId="374127CB" w14:textId="77777777" w:rsidR="00842D9D" w:rsidRDefault="00842D9D" w:rsidP="00CD363C">
      <w:pPr>
        <w:widowControl w:val="0"/>
        <w:tabs>
          <w:tab w:val="left" w:pos="897"/>
          <w:tab w:val="left" w:pos="898"/>
        </w:tabs>
        <w:autoSpaceDE w:val="0"/>
        <w:autoSpaceDN w:val="0"/>
        <w:spacing w:after="0" w:line="240" w:lineRule="auto"/>
        <w:ind w:right="-142"/>
        <w:jc w:val="both"/>
        <w:rPr>
          <w:rFonts w:ascii="Times New Roman" w:hAnsi="Times New Roman" w:cs="Times New Roman"/>
          <w:sz w:val="24"/>
          <w:szCs w:val="24"/>
        </w:rPr>
      </w:pPr>
      <w:r w:rsidRPr="00842D9D">
        <w:rPr>
          <w:rFonts w:ascii="Times New Roman" w:hAnsi="Times New Roman" w:cs="Times New Roman"/>
          <w:sz w:val="24"/>
          <w:szCs w:val="24"/>
        </w:rPr>
        <w:t>273. Lai nodrošinātu, ka budžeta iestādes pārskatos ir ietverti visi pamatlīdzekļi, pārskata gada beigās budžeta iestāde veic pamatlīdzekļu</w:t>
      </w:r>
      <w:r w:rsidRPr="00842D9D">
        <w:rPr>
          <w:rFonts w:ascii="Times New Roman" w:hAnsi="Times New Roman" w:cs="Times New Roman"/>
          <w:spacing w:val="-2"/>
          <w:sz w:val="24"/>
          <w:szCs w:val="24"/>
        </w:rPr>
        <w:t xml:space="preserve"> </w:t>
      </w:r>
      <w:r w:rsidRPr="00842D9D">
        <w:rPr>
          <w:rFonts w:ascii="Times New Roman" w:hAnsi="Times New Roman" w:cs="Times New Roman"/>
          <w:sz w:val="24"/>
          <w:szCs w:val="24"/>
        </w:rPr>
        <w:t>inventarizāciju.</w:t>
      </w:r>
    </w:p>
    <w:p w14:paraId="59A0590E" w14:textId="77777777" w:rsidR="00842D9D" w:rsidRDefault="00842D9D"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274</w:t>
      </w:r>
      <w:r w:rsidRPr="00842D9D">
        <w:rPr>
          <w:rFonts w:ascii="Times New Roman" w:hAnsi="Times New Roman" w:cs="Times New Roman"/>
          <w:sz w:val="24"/>
          <w:szCs w:val="24"/>
        </w:rPr>
        <w:t xml:space="preserve">. Vienlaikus pārskata gada beigās budžeta iestāde novērtē, vai pastāv kādas pazīmes, kas liecina par iespējamo pamatlīdzekļa vērtības samazināšanos atbilstoši </w:t>
      </w:r>
      <w:r>
        <w:rPr>
          <w:rFonts w:ascii="Times New Roman" w:hAnsi="Times New Roman" w:cs="Times New Roman"/>
          <w:sz w:val="24"/>
          <w:szCs w:val="24"/>
        </w:rPr>
        <w:t>šīs grāmatvedības uzskaites kārtības Pamatlīdzekļu vērtības samazināšan</w:t>
      </w:r>
      <w:r w:rsidR="00263594">
        <w:rPr>
          <w:rFonts w:ascii="Times New Roman" w:hAnsi="Times New Roman" w:cs="Times New Roman"/>
          <w:sz w:val="24"/>
          <w:szCs w:val="24"/>
        </w:rPr>
        <w:t>ā</w:t>
      </w:r>
      <w:r>
        <w:rPr>
          <w:rFonts w:ascii="Times New Roman" w:hAnsi="Times New Roman" w:cs="Times New Roman"/>
          <w:sz w:val="24"/>
          <w:szCs w:val="24"/>
        </w:rPr>
        <w:t xml:space="preserve">s </w:t>
      </w:r>
      <w:r w:rsidR="00263594">
        <w:rPr>
          <w:rFonts w:ascii="Times New Roman" w:hAnsi="Times New Roman" w:cs="Times New Roman"/>
          <w:sz w:val="24"/>
          <w:szCs w:val="24"/>
        </w:rPr>
        <w:t>noteiktaj</w:t>
      </w:r>
      <w:r w:rsidRPr="00842D9D">
        <w:rPr>
          <w:rFonts w:ascii="Times New Roman" w:hAnsi="Times New Roman" w:cs="Times New Roman"/>
          <w:sz w:val="24"/>
          <w:szCs w:val="24"/>
        </w:rPr>
        <w:t>iem</w:t>
      </w:r>
      <w:r w:rsidRPr="00842D9D">
        <w:rPr>
          <w:rFonts w:ascii="Times New Roman" w:hAnsi="Times New Roman" w:cs="Times New Roman"/>
          <w:spacing w:val="-5"/>
          <w:sz w:val="24"/>
          <w:szCs w:val="24"/>
        </w:rPr>
        <w:t xml:space="preserve"> </w:t>
      </w:r>
      <w:r w:rsidRPr="00842D9D">
        <w:rPr>
          <w:rFonts w:ascii="Times New Roman" w:hAnsi="Times New Roman" w:cs="Times New Roman"/>
          <w:sz w:val="24"/>
          <w:szCs w:val="24"/>
        </w:rPr>
        <w:t>principiem.</w:t>
      </w:r>
    </w:p>
    <w:p w14:paraId="778564C5" w14:textId="77777777" w:rsidR="00263594" w:rsidRDefault="00263594" w:rsidP="00CD363C">
      <w:pPr>
        <w:pStyle w:val="Sarakstarindkopa"/>
        <w:widowControl w:val="0"/>
        <w:tabs>
          <w:tab w:val="left" w:pos="0"/>
        </w:tabs>
        <w:autoSpaceDE w:val="0"/>
        <w:autoSpaceDN w:val="0"/>
        <w:spacing w:after="0" w:line="240" w:lineRule="auto"/>
        <w:ind w:left="0" w:right="-142" w:hanging="898"/>
        <w:contextualSpacing w:val="0"/>
        <w:jc w:val="both"/>
        <w:rPr>
          <w:rFonts w:ascii="Times New Roman" w:hAnsi="Times New Roman" w:cs="Times New Roman"/>
          <w:sz w:val="24"/>
          <w:szCs w:val="24"/>
        </w:rPr>
      </w:pPr>
      <w:r w:rsidRPr="00263594">
        <w:rPr>
          <w:rFonts w:ascii="Times New Roman" w:hAnsi="Times New Roman" w:cs="Times New Roman"/>
          <w:sz w:val="24"/>
          <w:szCs w:val="24"/>
        </w:rPr>
        <w:t xml:space="preserve">              275. Inventarizāciju</w:t>
      </w:r>
      <w:r w:rsidRPr="00263594">
        <w:rPr>
          <w:rFonts w:ascii="Times New Roman" w:hAnsi="Times New Roman" w:cs="Times New Roman"/>
          <w:spacing w:val="-10"/>
          <w:sz w:val="24"/>
          <w:szCs w:val="24"/>
        </w:rPr>
        <w:t xml:space="preserve"> </w:t>
      </w:r>
      <w:r w:rsidRPr="00263594">
        <w:rPr>
          <w:rFonts w:ascii="Times New Roman" w:hAnsi="Times New Roman" w:cs="Times New Roman"/>
          <w:sz w:val="24"/>
          <w:szCs w:val="24"/>
        </w:rPr>
        <w:t>veic</w:t>
      </w:r>
      <w:r w:rsidRPr="00263594">
        <w:rPr>
          <w:rFonts w:ascii="Times New Roman" w:hAnsi="Times New Roman" w:cs="Times New Roman"/>
          <w:spacing w:val="-12"/>
          <w:sz w:val="24"/>
          <w:szCs w:val="24"/>
        </w:rPr>
        <w:t xml:space="preserve"> </w:t>
      </w:r>
      <w:r w:rsidRPr="00263594">
        <w:rPr>
          <w:rFonts w:ascii="Times New Roman" w:hAnsi="Times New Roman" w:cs="Times New Roman"/>
          <w:sz w:val="24"/>
          <w:szCs w:val="24"/>
        </w:rPr>
        <w:t>vismaz</w:t>
      </w:r>
      <w:r w:rsidRPr="00263594">
        <w:rPr>
          <w:rFonts w:ascii="Times New Roman" w:hAnsi="Times New Roman" w:cs="Times New Roman"/>
          <w:spacing w:val="-9"/>
          <w:sz w:val="24"/>
          <w:szCs w:val="24"/>
        </w:rPr>
        <w:t xml:space="preserve"> </w:t>
      </w:r>
      <w:r w:rsidRPr="00263594">
        <w:rPr>
          <w:rFonts w:ascii="Times New Roman" w:hAnsi="Times New Roman" w:cs="Times New Roman"/>
          <w:sz w:val="24"/>
          <w:szCs w:val="24"/>
        </w:rPr>
        <w:t>reizi</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gadā</w:t>
      </w:r>
      <w:r w:rsidRPr="00263594">
        <w:rPr>
          <w:rFonts w:ascii="Times New Roman" w:hAnsi="Times New Roman" w:cs="Times New Roman"/>
          <w:spacing w:val="-7"/>
          <w:sz w:val="24"/>
          <w:szCs w:val="24"/>
        </w:rPr>
        <w:t xml:space="preserve"> </w:t>
      </w:r>
      <w:r w:rsidRPr="00263594">
        <w:rPr>
          <w:rFonts w:ascii="Times New Roman" w:hAnsi="Times New Roman" w:cs="Times New Roman"/>
          <w:sz w:val="24"/>
          <w:szCs w:val="24"/>
        </w:rPr>
        <w:t>–</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pārskata</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gada</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slēguma</w:t>
      </w:r>
      <w:r w:rsidRPr="00263594">
        <w:rPr>
          <w:rFonts w:ascii="Times New Roman" w:hAnsi="Times New Roman" w:cs="Times New Roman"/>
          <w:spacing w:val="-9"/>
          <w:sz w:val="24"/>
          <w:szCs w:val="24"/>
        </w:rPr>
        <w:t xml:space="preserve"> </w:t>
      </w:r>
      <w:r w:rsidRPr="00263594">
        <w:rPr>
          <w:rFonts w:ascii="Times New Roman" w:hAnsi="Times New Roman" w:cs="Times New Roman"/>
          <w:sz w:val="24"/>
          <w:szCs w:val="24"/>
        </w:rPr>
        <w:t>inventarizāciju</w:t>
      </w:r>
      <w:r w:rsidRPr="00263594">
        <w:rPr>
          <w:rFonts w:ascii="Times New Roman" w:hAnsi="Times New Roman" w:cs="Times New Roman"/>
          <w:spacing w:val="34"/>
          <w:sz w:val="24"/>
          <w:szCs w:val="24"/>
        </w:rPr>
        <w:t xml:space="preserve"> </w:t>
      </w:r>
      <w:r w:rsidRPr="00263594">
        <w:rPr>
          <w:rFonts w:ascii="Times New Roman" w:hAnsi="Times New Roman" w:cs="Times New Roman"/>
          <w:sz w:val="24"/>
          <w:szCs w:val="24"/>
        </w:rPr>
        <w:t>veic</w:t>
      </w:r>
      <w:r w:rsidRPr="00263594">
        <w:rPr>
          <w:rFonts w:ascii="Times New Roman" w:hAnsi="Times New Roman" w:cs="Times New Roman"/>
          <w:spacing w:val="-10"/>
          <w:sz w:val="24"/>
          <w:szCs w:val="24"/>
        </w:rPr>
        <w:t xml:space="preserve"> </w:t>
      </w:r>
      <w:r w:rsidRPr="00263594">
        <w:rPr>
          <w:rFonts w:ascii="Times New Roman" w:hAnsi="Times New Roman" w:cs="Times New Roman"/>
          <w:sz w:val="24"/>
          <w:szCs w:val="24"/>
        </w:rPr>
        <w:t>triju</w:t>
      </w:r>
      <w:r w:rsidRPr="00263594">
        <w:rPr>
          <w:rFonts w:ascii="Times New Roman" w:hAnsi="Times New Roman" w:cs="Times New Roman"/>
          <w:spacing w:val="-12"/>
          <w:sz w:val="24"/>
          <w:szCs w:val="24"/>
        </w:rPr>
        <w:t xml:space="preserve"> </w:t>
      </w:r>
      <w:r w:rsidRPr="00263594">
        <w:rPr>
          <w:rFonts w:ascii="Times New Roman" w:hAnsi="Times New Roman" w:cs="Times New Roman"/>
          <w:sz w:val="24"/>
          <w:szCs w:val="24"/>
        </w:rPr>
        <w:t>mēnešu</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laikā pirms pārskata gada beigu dienas vai mēneša laikā pēc tās, pārrēķinot inventarizācijas dienā konstatētos</w:t>
      </w:r>
      <w:r w:rsidRPr="00263594">
        <w:rPr>
          <w:rFonts w:ascii="Times New Roman" w:hAnsi="Times New Roman" w:cs="Times New Roman"/>
          <w:spacing w:val="-15"/>
          <w:sz w:val="24"/>
          <w:szCs w:val="24"/>
        </w:rPr>
        <w:t xml:space="preserve"> </w:t>
      </w:r>
      <w:r w:rsidRPr="00263594">
        <w:rPr>
          <w:rFonts w:ascii="Times New Roman" w:hAnsi="Times New Roman" w:cs="Times New Roman"/>
          <w:sz w:val="24"/>
          <w:szCs w:val="24"/>
        </w:rPr>
        <w:t>atlikumus</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atbilstoši</w:t>
      </w:r>
      <w:r w:rsidRPr="00263594">
        <w:rPr>
          <w:rFonts w:ascii="Times New Roman" w:hAnsi="Times New Roman" w:cs="Times New Roman"/>
          <w:spacing w:val="-13"/>
          <w:sz w:val="24"/>
          <w:szCs w:val="24"/>
        </w:rPr>
        <w:t xml:space="preserve"> </w:t>
      </w:r>
      <w:r w:rsidRPr="00263594">
        <w:rPr>
          <w:rFonts w:ascii="Times New Roman" w:hAnsi="Times New Roman" w:cs="Times New Roman"/>
          <w:sz w:val="24"/>
          <w:szCs w:val="24"/>
        </w:rPr>
        <w:t>grāmatvedības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datiem</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uz</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pārskata</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datumu.</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Ja</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nepieciešams</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(atbildīgās personas maiņas gadījumā u.tml.), inventarizāciju var veikt arī</w:t>
      </w:r>
      <w:r w:rsidRPr="00263594">
        <w:rPr>
          <w:rFonts w:ascii="Times New Roman" w:hAnsi="Times New Roman" w:cs="Times New Roman"/>
          <w:spacing w:val="-1"/>
          <w:sz w:val="24"/>
          <w:szCs w:val="24"/>
        </w:rPr>
        <w:t xml:space="preserve"> </w:t>
      </w:r>
      <w:r w:rsidRPr="00263594">
        <w:rPr>
          <w:rFonts w:ascii="Times New Roman" w:hAnsi="Times New Roman" w:cs="Times New Roman"/>
          <w:sz w:val="24"/>
          <w:szCs w:val="24"/>
        </w:rPr>
        <w:t>biežāk.</w:t>
      </w:r>
    </w:p>
    <w:p w14:paraId="5377CEFA" w14:textId="77777777" w:rsidR="00263594" w:rsidRDefault="00263594"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276.</w:t>
      </w:r>
      <w:r w:rsidRPr="00263594">
        <w:t xml:space="preserve"> </w:t>
      </w:r>
      <w:r w:rsidRPr="00263594">
        <w:rPr>
          <w:rFonts w:ascii="Times New Roman" w:hAnsi="Times New Roman" w:cs="Times New Roman"/>
          <w:sz w:val="24"/>
          <w:szCs w:val="24"/>
        </w:rPr>
        <w:t>Inventarizāciju veic budžeta iestādes vadītāja apstiprināta inventarizācijas komisija, un tās rezultātus apstiprina inventarizācijas komisijas locekļi, budžeta iestādes vadītājs un atbildīgās</w:t>
      </w:r>
      <w:r w:rsidRPr="00263594">
        <w:rPr>
          <w:rFonts w:ascii="Times New Roman" w:hAnsi="Times New Roman" w:cs="Times New Roman"/>
          <w:spacing w:val="-15"/>
          <w:sz w:val="24"/>
          <w:szCs w:val="24"/>
        </w:rPr>
        <w:t xml:space="preserve"> </w:t>
      </w:r>
      <w:r w:rsidRPr="00263594">
        <w:rPr>
          <w:rFonts w:ascii="Times New Roman" w:hAnsi="Times New Roman" w:cs="Times New Roman"/>
          <w:sz w:val="24"/>
          <w:szCs w:val="24"/>
        </w:rPr>
        <w:t>personas.</w:t>
      </w:r>
    </w:p>
    <w:p w14:paraId="364C3EF0" w14:textId="77777777" w:rsidR="00263594" w:rsidRDefault="00263594"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sidRPr="00263594">
        <w:rPr>
          <w:rFonts w:ascii="Times New Roman" w:hAnsi="Times New Roman" w:cs="Times New Roman"/>
          <w:sz w:val="24"/>
          <w:szCs w:val="24"/>
        </w:rPr>
        <w:t>277.Inventarizācijas</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komisijas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personālsastāvu</w:t>
      </w:r>
      <w:r w:rsidRPr="00263594">
        <w:rPr>
          <w:rFonts w:ascii="Times New Roman" w:hAnsi="Times New Roman" w:cs="Times New Roman"/>
          <w:spacing w:val="-18"/>
          <w:sz w:val="24"/>
          <w:szCs w:val="24"/>
        </w:rPr>
        <w:t xml:space="preserve"> </w:t>
      </w:r>
      <w:r w:rsidRPr="00263594">
        <w:rPr>
          <w:rFonts w:ascii="Times New Roman" w:hAnsi="Times New Roman" w:cs="Times New Roman"/>
          <w:sz w:val="24"/>
          <w:szCs w:val="24"/>
        </w:rPr>
        <w:t>un</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inventarizācijas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sākšanas</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un</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beigšanas</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termiņus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Pr="00263594">
        <w:rPr>
          <w:rFonts w:ascii="Times New Roman" w:hAnsi="Times New Roman" w:cs="Times New Roman"/>
          <w:spacing w:val="-3"/>
          <w:sz w:val="24"/>
          <w:szCs w:val="24"/>
        </w:rPr>
        <w:t xml:space="preserve"> </w:t>
      </w:r>
      <w:r w:rsidRPr="00263594">
        <w:rPr>
          <w:rFonts w:ascii="Times New Roman" w:hAnsi="Times New Roman" w:cs="Times New Roman"/>
          <w:sz w:val="24"/>
          <w:szCs w:val="24"/>
        </w:rPr>
        <w:t>termiņus.</w:t>
      </w:r>
    </w:p>
    <w:p w14:paraId="2617492B" w14:textId="77777777" w:rsidR="00263594" w:rsidRDefault="00263594" w:rsidP="00CD363C">
      <w:pPr>
        <w:pStyle w:val="Sarakstarindkopa"/>
        <w:widowControl w:val="0"/>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278.</w:t>
      </w:r>
      <w:r w:rsidRPr="00263594">
        <w:t xml:space="preserve"> </w:t>
      </w:r>
      <w:r w:rsidRPr="00263594">
        <w:rPr>
          <w:rFonts w:ascii="Times New Roman" w:hAnsi="Times New Roman" w:cs="Times New Roman"/>
          <w:sz w:val="24"/>
          <w:szCs w:val="24"/>
        </w:rPr>
        <w:t>Pamatlīdzekļus inventarizē, to apjomu pārbaudot dabā, kā arī veicot pārbaudes pret iegādes un</w:t>
      </w:r>
      <w:r w:rsidRPr="00263594">
        <w:rPr>
          <w:rFonts w:ascii="Times New Roman" w:hAnsi="Times New Roman" w:cs="Times New Roman"/>
          <w:spacing w:val="-34"/>
          <w:sz w:val="24"/>
          <w:szCs w:val="24"/>
        </w:rPr>
        <w:t xml:space="preserve"> </w:t>
      </w:r>
      <w:r w:rsidRPr="00263594">
        <w:rPr>
          <w:rFonts w:ascii="Times New Roman" w:hAnsi="Times New Roman" w:cs="Times New Roman"/>
          <w:sz w:val="24"/>
          <w:szCs w:val="24"/>
        </w:rPr>
        <w:t>citiem attaisnojuma</w:t>
      </w:r>
      <w:r w:rsidRPr="00263594">
        <w:rPr>
          <w:rFonts w:ascii="Times New Roman" w:hAnsi="Times New Roman" w:cs="Times New Roman"/>
          <w:spacing w:val="-1"/>
          <w:sz w:val="24"/>
          <w:szCs w:val="24"/>
        </w:rPr>
        <w:t xml:space="preserve"> </w:t>
      </w:r>
      <w:r w:rsidRPr="00263594">
        <w:rPr>
          <w:rFonts w:ascii="Times New Roman" w:hAnsi="Times New Roman" w:cs="Times New Roman"/>
          <w:sz w:val="24"/>
          <w:szCs w:val="24"/>
        </w:rPr>
        <w:t>dokumentiem.</w:t>
      </w:r>
    </w:p>
    <w:p w14:paraId="665EB123" w14:textId="77777777" w:rsidR="00263594" w:rsidRDefault="00263594"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279.</w:t>
      </w:r>
      <w:r w:rsidRPr="00263594">
        <w:t xml:space="preserve"> </w:t>
      </w:r>
      <w:r w:rsidRPr="00263594">
        <w:rPr>
          <w:rFonts w:ascii="Times New Roman" w:hAnsi="Times New Roman" w:cs="Times New Roman"/>
          <w:sz w:val="24"/>
          <w:szCs w:val="24"/>
        </w:rPr>
        <w:t>Ja inventarizācijas rezultātā ir konstatēts pamatlīdzeklis, kas līdz šim nav bijis iekļauts uzskaitē, budžeta iestādes vadītāja apstiprināta komisija nosaka pamatlīdzekļa vērtību un sagatavo pamatlīdzekļa</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novērtēšanas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aktu</w:t>
      </w:r>
      <w:r w:rsidRPr="00263594">
        <w:rPr>
          <w:rFonts w:ascii="Times New Roman" w:hAnsi="Times New Roman" w:cs="Times New Roman"/>
          <w:spacing w:val="-13"/>
          <w:sz w:val="24"/>
          <w:szCs w:val="24"/>
        </w:rPr>
        <w:t xml:space="preserve"> </w:t>
      </w:r>
      <w:r w:rsidRPr="00263594">
        <w:rPr>
          <w:rFonts w:ascii="Times New Roman" w:hAnsi="Times New Roman" w:cs="Times New Roman"/>
          <w:sz w:val="24"/>
          <w:szCs w:val="24"/>
        </w:rPr>
        <w:t>, ja nepieciešams pieaicinot attiecīgās jomas speciālistu, kuram ir atzīta un atbilstoša</w:t>
      </w:r>
      <w:r w:rsidRPr="00263594">
        <w:rPr>
          <w:rFonts w:ascii="Times New Roman" w:hAnsi="Times New Roman" w:cs="Times New Roman"/>
          <w:spacing w:val="-1"/>
          <w:sz w:val="24"/>
          <w:szCs w:val="24"/>
        </w:rPr>
        <w:t xml:space="preserve"> </w:t>
      </w:r>
      <w:r w:rsidRPr="00263594">
        <w:rPr>
          <w:rFonts w:ascii="Times New Roman" w:hAnsi="Times New Roman" w:cs="Times New Roman"/>
          <w:sz w:val="24"/>
          <w:szCs w:val="24"/>
        </w:rPr>
        <w:t>kvalifikācija.</w:t>
      </w:r>
    </w:p>
    <w:p w14:paraId="59BE8699" w14:textId="77777777" w:rsidR="00263594" w:rsidRDefault="00263594"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280.</w:t>
      </w:r>
      <w:r w:rsidRPr="00263594">
        <w:t xml:space="preserve"> </w:t>
      </w:r>
      <w:r w:rsidRPr="00202C8B">
        <w:rPr>
          <w:rFonts w:ascii="Times New Roman" w:hAnsi="Times New Roman" w:cs="Times New Roman"/>
          <w:sz w:val="24"/>
          <w:szCs w:val="24"/>
        </w:rPr>
        <w:t>Budžeta</w:t>
      </w:r>
      <w:r w:rsidRPr="00202C8B">
        <w:rPr>
          <w:rFonts w:ascii="Times New Roman" w:hAnsi="Times New Roman" w:cs="Times New Roman"/>
          <w:spacing w:val="-5"/>
          <w:sz w:val="24"/>
          <w:szCs w:val="24"/>
        </w:rPr>
        <w:t xml:space="preserve"> </w:t>
      </w:r>
      <w:r w:rsidRPr="00202C8B">
        <w:rPr>
          <w:rFonts w:ascii="Times New Roman" w:hAnsi="Times New Roman" w:cs="Times New Roman"/>
          <w:sz w:val="24"/>
          <w:szCs w:val="24"/>
        </w:rPr>
        <w:t>iestāde,</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pamatojoties</w:t>
      </w:r>
      <w:r w:rsidRPr="00202C8B">
        <w:rPr>
          <w:rFonts w:ascii="Times New Roman" w:hAnsi="Times New Roman" w:cs="Times New Roman"/>
          <w:spacing w:val="-4"/>
          <w:sz w:val="24"/>
          <w:szCs w:val="24"/>
        </w:rPr>
        <w:t xml:space="preserve"> </w:t>
      </w:r>
      <w:r w:rsidRPr="00202C8B">
        <w:rPr>
          <w:rFonts w:ascii="Times New Roman" w:hAnsi="Times New Roman" w:cs="Times New Roman"/>
          <w:sz w:val="24"/>
          <w:szCs w:val="24"/>
        </w:rPr>
        <w:t>uz</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komisijas</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sagatavoto</w:t>
      </w:r>
      <w:r w:rsidRPr="00202C8B">
        <w:rPr>
          <w:rFonts w:ascii="Times New Roman" w:hAnsi="Times New Roman" w:cs="Times New Roman"/>
          <w:spacing w:val="-9"/>
          <w:sz w:val="24"/>
          <w:szCs w:val="24"/>
        </w:rPr>
        <w:t xml:space="preserve"> </w:t>
      </w:r>
      <w:r w:rsidRPr="00202C8B">
        <w:rPr>
          <w:rFonts w:ascii="Times New Roman" w:hAnsi="Times New Roman" w:cs="Times New Roman"/>
          <w:sz w:val="24"/>
          <w:szCs w:val="24"/>
        </w:rPr>
        <w:t>aktu,</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atzīst</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sākotnēji</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uzskaitē</w:t>
      </w:r>
      <w:r w:rsidRPr="00202C8B">
        <w:rPr>
          <w:rFonts w:ascii="Times New Roman" w:hAnsi="Times New Roman" w:cs="Times New Roman"/>
          <w:spacing w:val="-4"/>
          <w:sz w:val="24"/>
          <w:szCs w:val="24"/>
        </w:rPr>
        <w:t xml:space="preserve"> </w:t>
      </w:r>
      <w:r w:rsidRPr="00202C8B">
        <w:rPr>
          <w:rFonts w:ascii="Times New Roman" w:hAnsi="Times New Roman" w:cs="Times New Roman"/>
          <w:sz w:val="24"/>
          <w:szCs w:val="24"/>
        </w:rPr>
        <w:t>pamatlīdzekli,</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tā noteiktajā vērtībā palielinot atbilstošos pamatlīdzekļu un ieņēmumu kontus, un veicot sekojošu grāmatojumu:</w:t>
      </w:r>
    </w:p>
    <w:p w14:paraId="7D3E7139" w14:textId="77777777" w:rsidR="00202C8B" w:rsidRPr="00202C8B" w:rsidRDefault="00202C8B"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sz w:val="24"/>
          <w:szCs w:val="24"/>
        </w:rPr>
        <w:t xml:space="preserve">    </w:t>
      </w:r>
      <w:r w:rsidRPr="00202C8B">
        <w:rPr>
          <w:rFonts w:ascii="Times New Roman" w:hAnsi="Times New Roman" w:cs="Times New Roman"/>
          <w:b/>
          <w:sz w:val="24"/>
          <w:szCs w:val="24"/>
        </w:rPr>
        <w:t>D 1200 Pamatlīdzekļi</w:t>
      </w:r>
    </w:p>
    <w:p w14:paraId="5F8A8926" w14:textId="77777777" w:rsidR="00263594" w:rsidRDefault="00202C8B" w:rsidP="00CD363C">
      <w:pPr>
        <w:pStyle w:val="Pamatteksts"/>
        <w:ind w:right="-142"/>
        <w:jc w:val="both"/>
        <w:rPr>
          <w:b/>
          <w:sz w:val="24"/>
          <w:szCs w:val="24"/>
        </w:rPr>
      </w:pPr>
      <w:r w:rsidRPr="00202C8B">
        <w:rPr>
          <w:b/>
          <w:sz w:val="24"/>
          <w:szCs w:val="24"/>
        </w:rPr>
        <w:t xml:space="preserve">    K 8580 Ieņēmumi no ilgtermiņa aktīvu sākotnējās atzīšanas</w:t>
      </w:r>
    </w:p>
    <w:p w14:paraId="60BC50F1" w14:textId="77777777" w:rsidR="00202C8B" w:rsidRDefault="00202C8B" w:rsidP="00CD363C">
      <w:pPr>
        <w:pStyle w:val="Pamatteksts"/>
        <w:ind w:right="-142"/>
        <w:jc w:val="both"/>
        <w:rPr>
          <w:b/>
          <w:sz w:val="24"/>
          <w:szCs w:val="24"/>
        </w:rPr>
      </w:pPr>
    </w:p>
    <w:p w14:paraId="337A1B19" w14:textId="77777777" w:rsidR="00202C8B" w:rsidRDefault="00202C8B"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sidRPr="00DF4380">
        <w:rPr>
          <w:rFonts w:ascii="Times New Roman" w:hAnsi="Times New Roman" w:cs="Times New Roman"/>
          <w:sz w:val="24"/>
          <w:szCs w:val="24"/>
        </w:rPr>
        <w:t>281.</w:t>
      </w:r>
      <w:r w:rsidRPr="00DF4380">
        <w:rPr>
          <w:rFonts w:ascii="Times New Roman" w:hAnsi="Times New Roman" w:cs="Times New Roman"/>
        </w:rPr>
        <w:t xml:space="preserve"> </w:t>
      </w:r>
      <w:r w:rsidRPr="00DF4380">
        <w:rPr>
          <w:rFonts w:ascii="Times New Roman" w:hAnsi="Times New Roman" w:cs="Times New Roman"/>
          <w:sz w:val="24"/>
          <w:szCs w:val="24"/>
        </w:rPr>
        <w:t>Ja</w:t>
      </w:r>
      <w:r w:rsidRPr="00202C8B">
        <w:rPr>
          <w:rFonts w:ascii="Times New Roman" w:hAnsi="Times New Roman" w:cs="Times New Roman"/>
          <w:sz w:val="24"/>
          <w:szCs w:val="24"/>
        </w:rPr>
        <w:t xml:space="preserve"> inventarizācijas rezultātā ir konstatēts pamatlīdzekļu iztrūkums vai bojājums, kas liegtu tā tālāku izmantošanu</w:t>
      </w:r>
      <w:r w:rsidRPr="00202C8B">
        <w:rPr>
          <w:rFonts w:ascii="Times New Roman" w:hAnsi="Times New Roman" w:cs="Times New Roman"/>
          <w:spacing w:val="-10"/>
          <w:sz w:val="24"/>
          <w:szCs w:val="24"/>
        </w:rPr>
        <w:t xml:space="preserve"> </w:t>
      </w:r>
      <w:r w:rsidRPr="00202C8B">
        <w:rPr>
          <w:rFonts w:ascii="Times New Roman" w:hAnsi="Times New Roman" w:cs="Times New Roman"/>
          <w:sz w:val="24"/>
          <w:szCs w:val="24"/>
        </w:rPr>
        <w:t>budžeta</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iestādes</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darbībā,</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piemēram,</w:t>
      </w:r>
      <w:r w:rsidRPr="00202C8B">
        <w:rPr>
          <w:rFonts w:ascii="Times New Roman" w:hAnsi="Times New Roman" w:cs="Times New Roman"/>
          <w:spacing w:val="-9"/>
          <w:sz w:val="24"/>
          <w:szCs w:val="24"/>
        </w:rPr>
        <w:t xml:space="preserve"> </w:t>
      </w:r>
      <w:r w:rsidRPr="00202C8B">
        <w:rPr>
          <w:rFonts w:ascii="Times New Roman" w:hAnsi="Times New Roman" w:cs="Times New Roman"/>
          <w:sz w:val="24"/>
          <w:szCs w:val="24"/>
        </w:rPr>
        <w:t>fiziski</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bojājumi,</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budžeta</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iestāde</w:t>
      </w:r>
      <w:r w:rsidRPr="00202C8B">
        <w:rPr>
          <w:rFonts w:ascii="Times New Roman" w:hAnsi="Times New Roman" w:cs="Times New Roman"/>
          <w:spacing w:val="-10"/>
          <w:sz w:val="24"/>
          <w:szCs w:val="24"/>
        </w:rPr>
        <w:t xml:space="preserve"> </w:t>
      </w:r>
      <w:r w:rsidRPr="00202C8B">
        <w:rPr>
          <w:rFonts w:ascii="Times New Roman" w:hAnsi="Times New Roman" w:cs="Times New Roman"/>
          <w:sz w:val="24"/>
          <w:szCs w:val="24"/>
        </w:rPr>
        <w:t>saskaņā</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ar</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budžeta iestādes noteikto kārtību attiecīgo pamatlīdzekli izslēdz no uzskaites, veicot sekojošu</w:t>
      </w:r>
      <w:r w:rsidRPr="00202C8B">
        <w:rPr>
          <w:rFonts w:ascii="Times New Roman" w:hAnsi="Times New Roman" w:cs="Times New Roman"/>
          <w:spacing w:val="-26"/>
          <w:sz w:val="24"/>
          <w:szCs w:val="24"/>
        </w:rPr>
        <w:t xml:space="preserve"> </w:t>
      </w:r>
      <w:r w:rsidRPr="00202C8B">
        <w:rPr>
          <w:rFonts w:ascii="Times New Roman" w:hAnsi="Times New Roman" w:cs="Times New Roman"/>
          <w:sz w:val="24"/>
          <w:szCs w:val="24"/>
        </w:rPr>
        <w:t>grāmatojumu:</w:t>
      </w:r>
    </w:p>
    <w:p w14:paraId="6E6E56FC" w14:textId="77777777" w:rsidR="00202C8B" w:rsidRPr="00202C8B" w:rsidRDefault="00202C8B"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202C8B">
        <w:rPr>
          <w:rFonts w:ascii="Times New Roman" w:hAnsi="Times New Roman" w:cs="Times New Roman"/>
          <w:b/>
          <w:sz w:val="24"/>
          <w:szCs w:val="24"/>
        </w:rPr>
        <w:t>D  1290  Pamatlīdzekļu uzkrātais nolietojums un vērtības samazinājums</w:t>
      </w:r>
    </w:p>
    <w:p w14:paraId="1A0BF7A3" w14:textId="77777777" w:rsidR="00202C8B" w:rsidRDefault="00202C8B"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202C8B">
        <w:rPr>
          <w:rFonts w:ascii="Times New Roman" w:hAnsi="Times New Roman" w:cs="Times New Roman"/>
          <w:b/>
          <w:sz w:val="24"/>
          <w:szCs w:val="24"/>
        </w:rPr>
        <w:t>K  1200  Pamatlīdzekļi</w:t>
      </w:r>
    </w:p>
    <w:p w14:paraId="5827E5E1" w14:textId="77777777" w:rsidR="00202C8B" w:rsidRDefault="000C733E"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D  8611  Izdevumi no nefinanšu aktīvu norakstīšanas un likvidācijas</w:t>
      </w:r>
    </w:p>
    <w:p w14:paraId="0DAAD563" w14:textId="77777777" w:rsidR="000C733E" w:rsidRDefault="000C733E"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K  1200  Pamatlīdzekļi</w:t>
      </w:r>
    </w:p>
    <w:p w14:paraId="6DC8F8F9" w14:textId="77777777" w:rsidR="005A6C87" w:rsidRDefault="005A6C87"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p>
    <w:p w14:paraId="520469A2" w14:textId="77777777" w:rsidR="00DF4380" w:rsidRDefault="00DF4380" w:rsidP="00CD363C">
      <w:pPr>
        <w:pStyle w:val="Sarakstarindkopa"/>
        <w:widowControl w:val="0"/>
        <w:tabs>
          <w:tab w:val="left" w:pos="0"/>
        </w:tabs>
        <w:autoSpaceDE w:val="0"/>
        <w:autoSpaceDN w:val="0"/>
        <w:spacing w:after="0" w:line="240" w:lineRule="auto"/>
        <w:ind w:left="0" w:right="-142"/>
        <w:contextualSpacing w:val="0"/>
        <w:jc w:val="center"/>
        <w:rPr>
          <w:rFonts w:ascii="Times New Roman" w:hAnsi="Times New Roman" w:cs="Times New Roman"/>
          <w:b/>
          <w:sz w:val="24"/>
          <w:szCs w:val="24"/>
        </w:rPr>
      </w:pPr>
      <w:r>
        <w:rPr>
          <w:rFonts w:ascii="Times New Roman" w:hAnsi="Times New Roman" w:cs="Times New Roman"/>
          <w:b/>
          <w:sz w:val="24"/>
          <w:szCs w:val="24"/>
        </w:rPr>
        <w:t>11. Ieguldījumu īpašumi</w:t>
      </w:r>
    </w:p>
    <w:p w14:paraId="0E554B63" w14:textId="77777777" w:rsidR="00742F00" w:rsidRDefault="00742F00"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11.1. Ieguldījuma īpašumu atzīšana uzskaitē</w:t>
      </w:r>
    </w:p>
    <w:p w14:paraId="7939DF24" w14:textId="77777777" w:rsidR="00405A6B" w:rsidRDefault="00405A6B" w:rsidP="00CD363C">
      <w:pPr>
        <w:pStyle w:val="Sarakstarindkopa"/>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p>
    <w:p w14:paraId="3C32618A" w14:textId="77777777" w:rsidR="00DF4380" w:rsidRPr="00D1188A" w:rsidRDefault="00DF4380" w:rsidP="00CD363C">
      <w:pPr>
        <w:spacing w:after="0" w:line="240" w:lineRule="auto"/>
        <w:ind w:right="-142"/>
        <w:jc w:val="both"/>
        <w:rPr>
          <w:rFonts w:ascii="Times New Roman" w:hAnsi="Times New Roman" w:cs="Times New Roman"/>
          <w:sz w:val="24"/>
          <w:szCs w:val="24"/>
        </w:rPr>
      </w:pPr>
      <w:r w:rsidRPr="00DF4380">
        <w:rPr>
          <w:rFonts w:ascii="Times New Roman" w:hAnsi="Times New Roman" w:cs="Times New Roman"/>
          <w:sz w:val="24"/>
          <w:szCs w:val="24"/>
        </w:rPr>
        <w:t>282.</w:t>
      </w:r>
      <w:r w:rsidRPr="00D1188A">
        <w:rPr>
          <w:rFonts w:ascii="Times New Roman" w:hAnsi="Times New Roman" w:cs="Times New Roman"/>
          <w:sz w:val="24"/>
          <w:szCs w:val="24"/>
        </w:rPr>
        <w:t xml:space="preserve"> Ieguldījuma īpašumi zeme un būves, kas neatbilst pamatlīdzekļu izmantošanas kritērijiem un kurus budžeta iestāde tur:  </w:t>
      </w:r>
    </w:p>
    <w:p w14:paraId="73D4AF8A" w14:textId="77777777" w:rsidR="00DF4380" w:rsidRPr="00D1188A"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282</w:t>
      </w:r>
      <w:r w:rsidR="00DF4380">
        <w:rPr>
          <w:rFonts w:ascii="Times New Roman" w:hAnsi="Times New Roman" w:cs="Times New Roman"/>
          <w:sz w:val="24"/>
          <w:szCs w:val="24"/>
        </w:rPr>
        <w:t>.1.</w:t>
      </w:r>
      <w:r w:rsidR="00DF4380" w:rsidRPr="00D1188A">
        <w:rPr>
          <w:rFonts w:ascii="Times New Roman" w:hAnsi="Times New Roman" w:cs="Times New Roman"/>
          <w:sz w:val="24"/>
          <w:szCs w:val="24"/>
        </w:rPr>
        <w:t xml:space="preserve">iznomāšanai, izņemot vispārējās valdības sektora struktūru ietvaros, </w:t>
      </w:r>
    </w:p>
    <w:p w14:paraId="415F3B1E" w14:textId="77777777" w:rsidR="00DF4380" w:rsidRPr="00D1188A"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282</w:t>
      </w:r>
      <w:r w:rsidR="00DF4380">
        <w:rPr>
          <w:rFonts w:ascii="Times New Roman" w:hAnsi="Times New Roman" w:cs="Times New Roman"/>
          <w:sz w:val="24"/>
          <w:szCs w:val="24"/>
        </w:rPr>
        <w:t>.2.</w:t>
      </w:r>
      <w:r w:rsidR="00DF4380" w:rsidRPr="00D1188A">
        <w:rPr>
          <w:rFonts w:ascii="Times New Roman" w:hAnsi="Times New Roman" w:cs="Times New Roman"/>
          <w:sz w:val="24"/>
          <w:szCs w:val="24"/>
        </w:rPr>
        <w:t xml:space="preserve">kapitāla pieaugumam, </w:t>
      </w:r>
    </w:p>
    <w:p w14:paraId="7D6BBCA5" w14:textId="77777777" w:rsidR="00DF4380"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282</w:t>
      </w:r>
      <w:r w:rsidR="00DF4380">
        <w:rPr>
          <w:rFonts w:ascii="Times New Roman" w:hAnsi="Times New Roman" w:cs="Times New Roman"/>
          <w:sz w:val="24"/>
          <w:szCs w:val="24"/>
        </w:rPr>
        <w:t>.3.</w:t>
      </w:r>
      <w:r w:rsidR="00DF4380" w:rsidRPr="00D1188A">
        <w:rPr>
          <w:rFonts w:ascii="Times New Roman" w:hAnsi="Times New Roman" w:cs="Times New Roman"/>
          <w:sz w:val="24"/>
          <w:szCs w:val="24"/>
        </w:rPr>
        <w:t>nav pieņemts lēmums par to izmantošanu.</w:t>
      </w:r>
    </w:p>
    <w:p w14:paraId="29310279" w14:textId="77777777" w:rsidR="00405A6B" w:rsidRPr="00D1188A"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283</w:t>
      </w:r>
      <w:r w:rsidRPr="00D1188A">
        <w:rPr>
          <w:rFonts w:ascii="Times New Roman" w:hAnsi="Times New Roman" w:cs="Times New Roman"/>
          <w:sz w:val="24"/>
          <w:szCs w:val="24"/>
        </w:rPr>
        <w:t xml:space="preserve">. Zemi un būves (piemēram, zemesgabalus, ēkas, inženierbūves), sākotnēji atzīstot, grāmato kā pamatlīdzekļus, ja tās paredzētas: </w:t>
      </w:r>
    </w:p>
    <w:p w14:paraId="5838B199" w14:textId="77777777" w:rsidR="00405A6B" w:rsidRPr="00517882"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283.1.</w:t>
      </w:r>
      <w:r w:rsidRPr="00517882">
        <w:rPr>
          <w:rFonts w:ascii="Times New Roman" w:hAnsi="Times New Roman" w:cs="Times New Roman"/>
          <w:sz w:val="24"/>
          <w:szCs w:val="24"/>
        </w:rPr>
        <w:t xml:space="preserve">funkciju nodrošināšanai (piemēram, administratīvām vajadzībām, preču </w:t>
      </w:r>
      <w:r>
        <w:rPr>
          <w:rFonts w:ascii="Times New Roman" w:hAnsi="Times New Roman" w:cs="Times New Roman"/>
          <w:sz w:val="24"/>
          <w:szCs w:val="24"/>
        </w:rPr>
        <w:t xml:space="preserve">   </w:t>
      </w:r>
      <w:r w:rsidRPr="00517882">
        <w:rPr>
          <w:rFonts w:ascii="Times New Roman" w:hAnsi="Times New Roman" w:cs="Times New Roman"/>
          <w:sz w:val="24"/>
          <w:szCs w:val="24"/>
        </w:rPr>
        <w:t xml:space="preserve">ražošanai, pakalpojumu sniegšanai); </w:t>
      </w:r>
    </w:p>
    <w:p w14:paraId="12022C07" w14:textId="77777777" w:rsidR="00405A6B" w:rsidRPr="00517882"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283.2.</w:t>
      </w:r>
      <w:r w:rsidRPr="00517882">
        <w:rPr>
          <w:rFonts w:ascii="Times New Roman" w:hAnsi="Times New Roman" w:cs="Times New Roman"/>
          <w:sz w:val="24"/>
          <w:szCs w:val="24"/>
        </w:rPr>
        <w:t xml:space="preserve">iznomāšanai pilnībā vai daļēji vispārējā valdības sektora struktūru ietvaros; </w:t>
      </w:r>
    </w:p>
    <w:p w14:paraId="785FBC2A" w14:textId="77777777" w:rsidR="00405A6B"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283.3.</w:t>
      </w:r>
      <w:r w:rsidRPr="00517882">
        <w:rPr>
          <w:rFonts w:ascii="Times New Roman" w:hAnsi="Times New Roman" w:cs="Times New Roman"/>
          <w:sz w:val="24"/>
          <w:szCs w:val="24"/>
        </w:rPr>
        <w:t xml:space="preserve">funkciju nodrošināšanai un tajā pašā laikā arī iznomāšanai ārpus vispārējā valdības sektora struktūrām. </w:t>
      </w:r>
    </w:p>
    <w:p w14:paraId="0BC29D3C" w14:textId="77777777" w:rsidR="00405A6B"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284.</w:t>
      </w:r>
      <w:r w:rsidRPr="00D1188A">
        <w:rPr>
          <w:rFonts w:ascii="Times New Roman" w:hAnsi="Times New Roman" w:cs="Times New Roman"/>
          <w:sz w:val="24"/>
          <w:szCs w:val="24"/>
        </w:rPr>
        <w:t xml:space="preserve"> Zemi un būves, sākotnēji atzīstot, grāmato kā ieguldījuma īpašumu, ja tās neatbilst augstāk minētajiem kritērijiem (piemēram, tās pilnībā paredzētas iznomāšanai ārpus vispārējās valdības sektora struktūrām, vai nav pieņemts lēmums par to izmantošanu). </w:t>
      </w:r>
    </w:p>
    <w:p w14:paraId="4416B195" w14:textId="77777777" w:rsidR="00405A6B"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285.</w:t>
      </w:r>
      <w:r w:rsidRPr="00D1188A">
        <w:rPr>
          <w:rFonts w:ascii="Times New Roman" w:hAnsi="Times New Roman" w:cs="Times New Roman"/>
          <w:sz w:val="24"/>
          <w:szCs w:val="24"/>
        </w:rPr>
        <w:t xml:space="preserve"> Ja </w:t>
      </w:r>
      <w:r>
        <w:rPr>
          <w:rFonts w:ascii="Times New Roman" w:hAnsi="Times New Roman" w:cs="Times New Roman"/>
          <w:sz w:val="24"/>
          <w:szCs w:val="24"/>
        </w:rPr>
        <w:t>284</w:t>
      </w:r>
      <w:r w:rsidRPr="00D1188A">
        <w:rPr>
          <w:rFonts w:ascii="Times New Roman" w:hAnsi="Times New Roman" w:cs="Times New Roman"/>
          <w:sz w:val="24"/>
          <w:szCs w:val="24"/>
        </w:rPr>
        <w:t xml:space="preserve">. punktā minētos aktīvus iznomā kopā ar citiem aktīviem, tad ieguldījuma īpašumu sastāvā grāmato visus aktīvus un analītiski nodala nolietojuma aprēķināšanai. </w:t>
      </w:r>
    </w:p>
    <w:p w14:paraId="35A7701B" w14:textId="77777777" w:rsidR="00EE40E9" w:rsidRDefault="00405A6B"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EE40E9">
        <w:rPr>
          <w:rFonts w:ascii="Times New Roman" w:hAnsi="Times New Roman" w:cs="Times New Roman"/>
          <w:sz w:val="24"/>
          <w:szCs w:val="24"/>
        </w:rPr>
        <w:t>286.</w:t>
      </w:r>
      <w:r w:rsidR="00EE40E9" w:rsidRPr="00EE40E9">
        <w:t xml:space="preserve"> </w:t>
      </w:r>
      <w:r w:rsidR="00EE40E9" w:rsidRPr="00EE40E9">
        <w:rPr>
          <w:rFonts w:ascii="Times New Roman" w:hAnsi="Times New Roman" w:cs="Times New Roman"/>
          <w:sz w:val="24"/>
          <w:szCs w:val="24"/>
        </w:rPr>
        <w:t>Budžeta</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iestāde</w:t>
      </w:r>
      <w:r w:rsidR="00EE40E9" w:rsidRPr="00EE40E9">
        <w:rPr>
          <w:rFonts w:ascii="Times New Roman" w:hAnsi="Times New Roman" w:cs="Times New Roman"/>
          <w:spacing w:val="-3"/>
          <w:sz w:val="24"/>
          <w:szCs w:val="24"/>
        </w:rPr>
        <w:t xml:space="preserve"> </w:t>
      </w:r>
      <w:r w:rsidR="00EE40E9" w:rsidRPr="00EE40E9">
        <w:rPr>
          <w:rFonts w:ascii="Times New Roman" w:hAnsi="Times New Roman" w:cs="Times New Roman"/>
          <w:sz w:val="24"/>
          <w:szCs w:val="24"/>
        </w:rPr>
        <w:t>var</w:t>
      </w:r>
      <w:r w:rsidR="00EE40E9" w:rsidRPr="00EE40E9">
        <w:rPr>
          <w:rFonts w:ascii="Times New Roman" w:hAnsi="Times New Roman" w:cs="Times New Roman"/>
          <w:spacing w:val="-6"/>
          <w:sz w:val="24"/>
          <w:szCs w:val="24"/>
        </w:rPr>
        <w:t xml:space="preserve"> </w:t>
      </w:r>
      <w:r w:rsidR="00EE40E9" w:rsidRPr="00EE40E9">
        <w:rPr>
          <w:rFonts w:ascii="Times New Roman" w:hAnsi="Times New Roman" w:cs="Times New Roman"/>
          <w:sz w:val="24"/>
          <w:szCs w:val="24"/>
        </w:rPr>
        <w:t>turēt</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īpašumus,</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lai</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iegūtu</w:t>
      </w:r>
      <w:r w:rsidR="00EE40E9" w:rsidRPr="00EE40E9">
        <w:rPr>
          <w:rFonts w:ascii="Times New Roman" w:hAnsi="Times New Roman" w:cs="Times New Roman"/>
          <w:spacing w:val="-7"/>
          <w:sz w:val="24"/>
          <w:szCs w:val="24"/>
        </w:rPr>
        <w:t xml:space="preserve"> </w:t>
      </w:r>
      <w:r w:rsidR="00EE40E9" w:rsidRPr="00EE40E9">
        <w:rPr>
          <w:rFonts w:ascii="Times New Roman" w:hAnsi="Times New Roman" w:cs="Times New Roman"/>
          <w:sz w:val="24"/>
          <w:szCs w:val="24"/>
        </w:rPr>
        <w:t>nomas</w:t>
      </w:r>
      <w:r w:rsidR="00EE40E9" w:rsidRPr="00EE40E9">
        <w:rPr>
          <w:rFonts w:ascii="Times New Roman" w:hAnsi="Times New Roman" w:cs="Times New Roman"/>
          <w:spacing w:val="-3"/>
          <w:sz w:val="24"/>
          <w:szCs w:val="24"/>
        </w:rPr>
        <w:t xml:space="preserve"> </w:t>
      </w:r>
      <w:r w:rsidR="00EE40E9" w:rsidRPr="00EE40E9">
        <w:rPr>
          <w:rFonts w:ascii="Times New Roman" w:hAnsi="Times New Roman" w:cs="Times New Roman"/>
          <w:sz w:val="24"/>
          <w:szCs w:val="24"/>
        </w:rPr>
        <w:t>maksu</w:t>
      </w:r>
      <w:r w:rsidR="00EE40E9" w:rsidRPr="00EE40E9">
        <w:rPr>
          <w:rFonts w:ascii="Times New Roman" w:hAnsi="Times New Roman" w:cs="Times New Roman"/>
          <w:spacing w:val="-3"/>
          <w:sz w:val="24"/>
          <w:szCs w:val="24"/>
        </w:rPr>
        <w:t xml:space="preserve"> </w:t>
      </w:r>
      <w:r w:rsidR="00EE40E9" w:rsidRPr="00EE40E9">
        <w:rPr>
          <w:rFonts w:ascii="Times New Roman" w:hAnsi="Times New Roman" w:cs="Times New Roman"/>
          <w:sz w:val="24"/>
          <w:szCs w:val="24"/>
        </w:rPr>
        <w:t>vai</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sagaidītu</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cenas</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celšanos,</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un</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izmantot iegūtos naudas līdzekļus citu savu darbību (pakalpojumu sniegšanas) finansēšanai. Piemēram, pašvaldībai var piederēt ēka, kuru tā iznomā citām personām ārpus vispārējās valdības sektora ar mērķi iegūt naudas līdzekļus, nevis izmantot ēku pakalpojumu sniegšanai. Šāds īpašums atbilst ieguldījuma īpašuma</w:t>
      </w:r>
      <w:r w:rsidR="00EE40E9" w:rsidRPr="00EE40E9">
        <w:rPr>
          <w:rFonts w:ascii="Times New Roman" w:hAnsi="Times New Roman" w:cs="Times New Roman"/>
          <w:spacing w:val="-11"/>
          <w:sz w:val="24"/>
          <w:szCs w:val="24"/>
        </w:rPr>
        <w:t xml:space="preserve"> </w:t>
      </w:r>
      <w:r w:rsidR="00EE40E9" w:rsidRPr="00EE40E9">
        <w:rPr>
          <w:rFonts w:ascii="Times New Roman" w:hAnsi="Times New Roman" w:cs="Times New Roman"/>
          <w:sz w:val="24"/>
          <w:szCs w:val="24"/>
        </w:rPr>
        <w:t>definīcijai.</w:t>
      </w:r>
    </w:p>
    <w:p w14:paraId="73848084" w14:textId="77777777" w:rsidR="00EE40E9" w:rsidRPr="00EE40E9" w:rsidRDefault="00EE40E9" w:rsidP="00CD363C">
      <w:pPr>
        <w:widowControl w:val="0"/>
        <w:tabs>
          <w:tab w:val="left" w:pos="897"/>
          <w:tab w:val="left" w:pos="898"/>
        </w:tabs>
        <w:autoSpaceDE w:val="0"/>
        <w:autoSpaceDN w:val="0"/>
        <w:spacing w:after="0" w:line="240" w:lineRule="auto"/>
        <w:ind w:right="-142"/>
        <w:jc w:val="both"/>
        <w:rPr>
          <w:rFonts w:ascii="Times New Roman" w:hAnsi="Times New Roman" w:cs="Times New Roman"/>
          <w:sz w:val="24"/>
          <w:szCs w:val="24"/>
        </w:rPr>
      </w:pPr>
      <w:r w:rsidRPr="00EE40E9">
        <w:rPr>
          <w:rFonts w:ascii="Times New Roman" w:hAnsi="Times New Roman" w:cs="Times New Roman"/>
          <w:sz w:val="24"/>
          <w:szCs w:val="24"/>
        </w:rPr>
        <w:t>287. Ieguldījuma īpašumi ir, piemēram:</w:t>
      </w:r>
    </w:p>
    <w:p w14:paraId="3D433772" w14:textId="77777777" w:rsidR="00EE40E9" w:rsidRPr="00EE40E9" w:rsidRDefault="00EE40E9" w:rsidP="00CD363C">
      <w:pPr>
        <w:pStyle w:val="Sarakstarindkopa"/>
        <w:widowControl w:val="0"/>
        <w:autoSpaceDE w:val="0"/>
        <w:autoSpaceDN w:val="0"/>
        <w:spacing w:after="0" w:line="240" w:lineRule="auto"/>
        <w:ind w:left="284" w:right="-142"/>
        <w:contextualSpacing w:val="0"/>
        <w:jc w:val="both"/>
        <w:rPr>
          <w:rFonts w:ascii="Times New Roman" w:hAnsi="Times New Roman" w:cs="Times New Roman"/>
          <w:i/>
          <w:sz w:val="24"/>
          <w:szCs w:val="24"/>
        </w:rPr>
      </w:pPr>
      <w:r w:rsidRPr="00EE40E9">
        <w:rPr>
          <w:rFonts w:ascii="Times New Roman" w:hAnsi="Times New Roman" w:cs="Times New Roman"/>
          <w:sz w:val="24"/>
          <w:szCs w:val="24"/>
        </w:rPr>
        <w:t xml:space="preserve">-     zeme, kuru tur ilgtermiņa kapitāla vērtības palielināšanai. </w:t>
      </w:r>
      <w:r w:rsidRPr="00EE40E9">
        <w:rPr>
          <w:rFonts w:ascii="Times New Roman" w:hAnsi="Times New Roman" w:cs="Times New Roman"/>
          <w:i/>
          <w:sz w:val="24"/>
          <w:szCs w:val="24"/>
        </w:rPr>
        <w:t>Piemēram, budžeta iestādei var piederēt zeme, kas tiek turēta kapitāla vērtības pieaugumam nākotnē un nākotnē to plānots pārdot;</w:t>
      </w:r>
    </w:p>
    <w:p w14:paraId="56B2F50B" w14:textId="77777777" w:rsidR="00EE40E9" w:rsidRPr="00EE40E9" w:rsidRDefault="00EE40E9" w:rsidP="00CD363C">
      <w:pPr>
        <w:pStyle w:val="Sarakstarindkopa"/>
        <w:widowControl w:val="0"/>
        <w:numPr>
          <w:ilvl w:val="0"/>
          <w:numId w:val="1"/>
        </w:numPr>
        <w:tabs>
          <w:tab w:val="left" w:pos="1134"/>
        </w:tabs>
        <w:autoSpaceDE w:val="0"/>
        <w:autoSpaceDN w:val="0"/>
        <w:spacing w:after="0" w:line="240" w:lineRule="auto"/>
        <w:ind w:left="284" w:right="-142" w:firstLine="0"/>
        <w:contextualSpacing w:val="0"/>
        <w:jc w:val="both"/>
        <w:rPr>
          <w:rFonts w:ascii="Times New Roman" w:hAnsi="Times New Roman" w:cs="Times New Roman"/>
          <w:i/>
          <w:sz w:val="24"/>
          <w:szCs w:val="24"/>
        </w:rPr>
      </w:pPr>
      <w:r w:rsidRPr="00EE40E9">
        <w:rPr>
          <w:rFonts w:ascii="Times New Roman" w:hAnsi="Times New Roman" w:cs="Times New Roman"/>
          <w:sz w:val="24"/>
          <w:szCs w:val="24"/>
        </w:rPr>
        <w:t>zeme, kuru tur pašlaik nenoteiktai turpmākai lietošanai. Gadījumos, ja budžeta iestāde nav noteikusi,</w:t>
      </w:r>
      <w:r w:rsidRPr="00EE40E9">
        <w:rPr>
          <w:rFonts w:ascii="Times New Roman" w:hAnsi="Times New Roman" w:cs="Times New Roman"/>
          <w:spacing w:val="-15"/>
          <w:sz w:val="24"/>
          <w:szCs w:val="24"/>
        </w:rPr>
        <w:t xml:space="preserve"> </w:t>
      </w:r>
      <w:r w:rsidRPr="00EE40E9">
        <w:rPr>
          <w:rFonts w:ascii="Times New Roman" w:hAnsi="Times New Roman" w:cs="Times New Roman"/>
          <w:sz w:val="24"/>
          <w:szCs w:val="24"/>
        </w:rPr>
        <w:t>ka</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tā</w:t>
      </w:r>
      <w:r w:rsidRPr="00EE40E9">
        <w:rPr>
          <w:rFonts w:ascii="Times New Roman" w:hAnsi="Times New Roman" w:cs="Times New Roman"/>
          <w:spacing w:val="-16"/>
          <w:sz w:val="24"/>
          <w:szCs w:val="24"/>
        </w:rPr>
        <w:t xml:space="preserve"> </w:t>
      </w:r>
      <w:r w:rsidRPr="00EE40E9">
        <w:rPr>
          <w:rFonts w:ascii="Times New Roman" w:hAnsi="Times New Roman" w:cs="Times New Roman"/>
          <w:sz w:val="24"/>
          <w:szCs w:val="24"/>
        </w:rPr>
        <w:t>lietos</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zemi</w:t>
      </w:r>
      <w:r w:rsidRPr="00EE40E9">
        <w:rPr>
          <w:rFonts w:ascii="Times New Roman" w:hAnsi="Times New Roman" w:cs="Times New Roman"/>
          <w:spacing w:val="-13"/>
          <w:sz w:val="24"/>
          <w:szCs w:val="24"/>
        </w:rPr>
        <w:t xml:space="preserve"> </w:t>
      </w:r>
      <w:r w:rsidRPr="00EE40E9">
        <w:rPr>
          <w:rFonts w:ascii="Times New Roman" w:hAnsi="Times New Roman" w:cs="Times New Roman"/>
          <w:sz w:val="24"/>
          <w:szCs w:val="24"/>
        </w:rPr>
        <w:t>kā</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īpašnieka</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izmantotu</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īpašumu,</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lai</w:t>
      </w:r>
      <w:r w:rsidRPr="00EE40E9">
        <w:rPr>
          <w:rFonts w:ascii="Times New Roman" w:hAnsi="Times New Roman" w:cs="Times New Roman"/>
          <w:spacing w:val="-13"/>
          <w:sz w:val="24"/>
          <w:szCs w:val="24"/>
        </w:rPr>
        <w:t xml:space="preserve"> </w:t>
      </w:r>
      <w:r w:rsidRPr="00EE40E9">
        <w:rPr>
          <w:rFonts w:ascii="Times New Roman" w:hAnsi="Times New Roman" w:cs="Times New Roman"/>
          <w:sz w:val="24"/>
          <w:szCs w:val="24"/>
        </w:rPr>
        <w:t>sniegtu</w:t>
      </w:r>
      <w:r w:rsidRPr="00EE40E9">
        <w:rPr>
          <w:rFonts w:ascii="Times New Roman" w:hAnsi="Times New Roman" w:cs="Times New Roman"/>
          <w:spacing w:val="-15"/>
          <w:sz w:val="24"/>
          <w:szCs w:val="24"/>
        </w:rPr>
        <w:t xml:space="preserve"> </w:t>
      </w:r>
      <w:r w:rsidRPr="00EE40E9">
        <w:rPr>
          <w:rFonts w:ascii="Times New Roman" w:hAnsi="Times New Roman" w:cs="Times New Roman"/>
          <w:sz w:val="24"/>
          <w:szCs w:val="24"/>
        </w:rPr>
        <w:t>pakalpojumus,</w:t>
      </w:r>
      <w:r w:rsidRPr="00EE40E9">
        <w:rPr>
          <w:rFonts w:ascii="Times New Roman" w:hAnsi="Times New Roman" w:cs="Times New Roman"/>
          <w:spacing w:val="-9"/>
          <w:sz w:val="24"/>
          <w:szCs w:val="24"/>
        </w:rPr>
        <w:t xml:space="preserve"> </w:t>
      </w:r>
      <w:r w:rsidRPr="00EE40E9">
        <w:rPr>
          <w:rFonts w:ascii="Times New Roman" w:hAnsi="Times New Roman" w:cs="Times New Roman"/>
          <w:i/>
          <w:sz w:val="24"/>
          <w:szCs w:val="24"/>
        </w:rPr>
        <w:t>piemēram, tādus pakalpojumus, kādus esošajām un nākamajām paaudzēm nodrošina nacionālie dabas parki, vai nav paredzēta zemes pārdošana saimnieciskās darbības ietvaros īstermiņā, tiek uzskatīts, ka zeme ir ieguldījuma</w:t>
      </w:r>
      <w:r w:rsidRPr="00EE40E9">
        <w:rPr>
          <w:rFonts w:ascii="Times New Roman" w:hAnsi="Times New Roman" w:cs="Times New Roman"/>
          <w:i/>
          <w:spacing w:val="-3"/>
          <w:sz w:val="24"/>
          <w:szCs w:val="24"/>
        </w:rPr>
        <w:t xml:space="preserve"> </w:t>
      </w:r>
      <w:r w:rsidRPr="00EE40E9">
        <w:rPr>
          <w:rFonts w:ascii="Times New Roman" w:hAnsi="Times New Roman" w:cs="Times New Roman"/>
          <w:i/>
          <w:sz w:val="24"/>
          <w:szCs w:val="24"/>
        </w:rPr>
        <w:t>īpašums;</w:t>
      </w:r>
    </w:p>
    <w:p w14:paraId="2A6F7EAA" w14:textId="77777777" w:rsidR="00EE40E9" w:rsidRPr="00EE40E9" w:rsidRDefault="00EE40E9" w:rsidP="00CD363C">
      <w:pPr>
        <w:pStyle w:val="Sarakstarindkopa"/>
        <w:widowControl w:val="0"/>
        <w:numPr>
          <w:ilvl w:val="0"/>
          <w:numId w:val="1"/>
        </w:numPr>
        <w:tabs>
          <w:tab w:val="left" w:pos="0"/>
        </w:tabs>
        <w:autoSpaceDE w:val="0"/>
        <w:autoSpaceDN w:val="0"/>
        <w:spacing w:after="0" w:line="240" w:lineRule="auto"/>
        <w:ind w:left="284" w:right="-142" w:firstLine="0"/>
        <w:contextualSpacing w:val="0"/>
        <w:jc w:val="both"/>
        <w:rPr>
          <w:rFonts w:ascii="Times New Roman" w:hAnsi="Times New Roman" w:cs="Times New Roman"/>
          <w:i/>
          <w:sz w:val="24"/>
          <w:szCs w:val="24"/>
        </w:rPr>
      </w:pPr>
      <w:r w:rsidRPr="00EE40E9">
        <w:rPr>
          <w:rFonts w:ascii="Times New Roman" w:hAnsi="Times New Roman" w:cs="Times New Roman"/>
          <w:sz w:val="24"/>
          <w:szCs w:val="24"/>
        </w:rPr>
        <w:t>ēka, kuru budžeta iestāde tur kā īpašnieks (vai kā nomnieks finanšu nomas ietvaros) un kuru tā iznomā</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vai</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plāno</w:t>
      </w:r>
      <w:r w:rsidRPr="00EE40E9">
        <w:rPr>
          <w:rFonts w:ascii="Times New Roman" w:hAnsi="Times New Roman" w:cs="Times New Roman"/>
          <w:spacing w:val="-18"/>
          <w:sz w:val="24"/>
          <w:szCs w:val="24"/>
        </w:rPr>
        <w:t xml:space="preserve"> </w:t>
      </w:r>
      <w:r w:rsidRPr="00EE40E9">
        <w:rPr>
          <w:rFonts w:ascii="Times New Roman" w:hAnsi="Times New Roman" w:cs="Times New Roman"/>
          <w:sz w:val="24"/>
          <w:szCs w:val="24"/>
        </w:rPr>
        <w:t>iznomāt</w:t>
      </w:r>
      <w:r w:rsidRPr="00EE40E9">
        <w:rPr>
          <w:rFonts w:ascii="Times New Roman" w:hAnsi="Times New Roman" w:cs="Times New Roman"/>
          <w:spacing w:val="-13"/>
          <w:sz w:val="24"/>
          <w:szCs w:val="24"/>
        </w:rPr>
        <w:t xml:space="preserve"> </w:t>
      </w:r>
      <w:r w:rsidRPr="00EE40E9">
        <w:rPr>
          <w:rFonts w:ascii="Times New Roman" w:hAnsi="Times New Roman" w:cs="Times New Roman"/>
          <w:sz w:val="24"/>
          <w:szCs w:val="24"/>
        </w:rPr>
        <w:t>saskaņā</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ar</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vienu</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vai</w:t>
      </w:r>
      <w:r w:rsidRPr="00EE40E9">
        <w:rPr>
          <w:rFonts w:ascii="Times New Roman" w:hAnsi="Times New Roman" w:cs="Times New Roman"/>
          <w:spacing w:val="-15"/>
          <w:sz w:val="24"/>
          <w:szCs w:val="24"/>
        </w:rPr>
        <w:t xml:space="preserve"> </w:t>
      </w:r>
      <w:r w:rsidRPr="00EE40E9">
        <w:rPr>
          <w:rFonts w:ascii="Times New Roman" w:hAnsi="Times New Roman" w:cs="Times New Roman"/>
          <w:sz w:val="24"/>
          <w:szCs w:val="24"/>
        </w:rPr>
        <w:t>vairākiem</w:t>
      </w:r>
      <w:r w:rsidRPr="00EE40E9">
        <w:rPr>
          <w:rFonts w:ascii="Times New Roman" w:hAnsi="Times New Roman" w:cs="Times New Roman"/>
          <w:spacing w:val="-18"/>
          <w:sz w:val="24"/>
          <w:szCs w:val="24"/>
        </w:rPr>
        <w:t xml:space="preserve"> </w:t>
      </w:r>
      <w:r w:rsidRPr="00EE40E9">
        <w:rPr>
          <w:rFonts w:ascii="Times New Roman" w:hAnsi="Times New Roman" w:cs="Times New Roman"/>
          <w:sz w:val="24"/>
          <w:szCs w:val="24"/>
        </w:rPr>
        <w:t>operatīvās</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nomas</w:t>
      </w:r>
      <w:r w:rsidRPr="00EE40E9">
        <w:rPr>
          <w:rFonts w:ascii="Times New Roman" w:hAnsi="Times New Roman" w:cs="Times New Roman"/>
          <w:spacing w:val="-16"/>
          <w:sz w:val="24"/>
          <w:szCs w:val="24"/>
        </w:rPr>
        <w:t xml:space="preserve"> </w:t>
      </w:r>
      <w:r w:rsidRPr="00EE40E9">
        <w:rPr>
          <w:rFonts w:ascii="Times New Roman" w:hAnsi="Times New Roman" w:cs="Times New Roman"/>
          <w:sz w:val="24"/>
          <w:szCs w:val="24"/>
        </w:rPr>
        <w:t>līgumiem.</w:t>
      </w:r>
      <w:r w:rsidRPr="00EE40E9">
        <w:rPr>
          <w:rFonts w:ascii="Times New Roman" w:hAnsi="Times New Roman" w:cs="Times New Roman"/>
          <w:spacing w:val="-14"/>
          <w:sz w:val="24"/>
          <w:szCs w:val="24"/>
        </w:rPr>
        <w:t xml:space="preserve"> </w:t>
      </w:r>
      <w:r w:rsidRPr="00EE40E9">
        <w:rPr>
          <w:rFonts w:ascii="Times New Roman" w:hAnsi="Times New Roman" w:cs="Times New Roman"/>
          <w:i/>
          <w:sz w:val="24"/>
          <w:szCs w:val="24"/>
        </w:rPr>
        <w:t>Piemēram, budžeta iestādei var piederēt ēka, kuru tā iznomā citām personām privātajā</w:t>
      </w:r>
      <w:r w:rsidRPr="00EE40E9">
        <w:rPr>
          <w:rFonts w:ascii="Times New Roman" w:hAnsi="Times New Roman" w:cs="Times New Roman"/>
          <w:i/>
          <w:spacing w:val="-15"/>
          <w:sz w:val="24"/>
          <w:szCs w:val="24"/>
        </w:rPr>
        <w:t xml:space="preserve"> </w:t>
      </w:r>
      <w:r w:rsidRPr="00EE40E9">
        <w:rPr>
          <w:rFonts w:ascii="Times New Roman" w:hAnsi="Times New Roman" w:cs="Times New Roman"/>
          <w:i/>
          <w:sz w:val="24"/>
          <w:szCs w:val="24"/>
        </w:rPr>
        <w:t>sektorā;</w:t>
      </w:r>
    </w:p>
    <w:p w14:paraId="125B072B" w14:textId="77777777" w:rsidR="00EE40E9" w:rsidRDefault="00EE40E9" w:rsidP="00CD363C">
      <w:pPr>
        <w:pStyle w:val="Sarakstarindkopa"/>
        <w:widowControl w:val="0"/>
        <w:numPr>
          <w:ilvl w:val="0"/>
          <w:numId w:val="1"/>
        </w:numPr>
        <w:tabs>
          <w:tab w:val="left" w:pos="0"/>
        </w:tabs>
        <w:autoSpaceDE w:val="0"/>
        <w:autoSpaceDN w:val="0"/>
        <w:spacing w:after="0" w:line="240" w:lineRule="auto"/>
        <w:ind w:left="284" w:right="-142" w:firstLine="0"/>
        <w:contextualSpacing w:val="0"/>
        <w:jc w:val="both"/>
        <w:rPr>
          <w:rFonts w:ascii="Times New Roman" w:hAnsi="Times New Roman" w:cs="Times New Roman"/>
          <w:sz w:val="24"/>
          <w:szCs w:val="24"/>
        </w:rPr>
      </w:pPr>
      <w:r w:rsidRPr="00EE40E9">
        <w:rPr>
          <w:rFonts w:ascii="Times New Roman" w:hAnsi="Times New Roman" w:cs="Times New Roman"/>
          <w:sz w:val="24"/>
          <w:szCs w:val="24"/>
        </w:rPr>
        <w:t>nekustamais īpašums, kas tiek būvēts vai attīstīts, lai turpmāk to izmantotu kā ieguldījuma īpašumu.</w:t>
      </w:r>
    </w:p>
    <w:p w14:paraId="492EB411" w14:textId="77777777" w:rsidR="00E32CCB" w:rsidRPr="00D1188A"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288</w:t>
      </w:r>
      <w:r w:rsidRPr="00D1188A">
        <w:rPr>
          <w:rFonts w:ascii="Times New Roman" w:hAnsi="Times New Roman" w:cs="Times New Roman"/>
          <w:sz w:val="24"/>
          <w:szCs w:val="24"/>
        </w:rPr>
        <w:t xml:space="preserve">. Īpašumi, kuri nav ieguldījuma īpašumi ir, piemēram: </w:t>
      </w:r>
    </w:p>
    <w:p w14:paraId="1FBED9E7" w14:textId="77777777" w:rsidR="00E32CCB"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288.1.</w:t>
      </w:r>
      <w:r w:rsidRPr="00565383">
        <w:rPr>
          <w:rFonts w:ascii="Times New Roman" w:hAnsi="Times New Roman" w:cs="Times New Roman"/>
          <w:sz w:val="24"/>
          <w:szCs w:val="24"/>
        </w:rPr>
        <w:t>pamatlīdzeklis, kuru saskaņā ar budžeta iestādes vadības lēmumu plānots tuvākā laikā pārdot,</w:t>
      </w:r>
    </w:p>
    <w:p w14:paraId="77BA31B4" w14:textId="77777777" w:rsidR="00E32CCB" w:rsidRPr="00565383"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288.2.</w:t>
      </w:r>
      <w:r w:rsidRPr="00565383">
        <w:rPr>
          <w:rFonts w:ascii="Times New Roman" w:hAnsi="Times New Roman" w:cs="Times New Roman"/>
          <w:sz w:val="24"/>
          <w:szCs w:val="24"/>
        </w:rPr>
        <w:t>budžeta iestādes izmantots īpašums,</w:t>
      </w:r>
    </w:p>
    <w:p w14:paraId="3D11CED6" w14:textId="77777777" w:rsidR="00E32CCB" w:rsidRPr="00565383"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288.3.</w:t>
      </w:r>
      <w:r w:rsidRPr="00565383">
        <w:rPr>
          <w:rFonts w:ascii="Times New Roman" w:hAnsi="Times New Roman" w:cs="Times New Roman"/>
          <w:sz w:val="24"/>
          <w:szCs w:val="24"/>
        </w:rPr>
        <w:t>citai personai finanšu nomas ietvaros iznomāts īpašums,</w:t>
      </w:r>
    </w:p>
    <w:p w14:paraId="6F38B8BD" w14:textId="77777777" w:rsidR="00DC75A2" w:rsidRDefault="00DC75A2" w:rsidP="00CD363C">
      <w:pPr>
        <w:widowControl w:val="0"/>
        <w:tabs>
          <w:tab w:val="left" w:pos="1352"/>
        </w:tabs>
        <w:autoSpaceDE w:val="0"/>
        <w:autoSpaceDN w:val="0"/>
        <w:spacing w:after="0" w:line="240" w:lineRule="auto"/>
        <w:ind w:right="-142"/>
        <w:jc w:val="both"/>
        <w:rPr>
          <w:i/>
        </w:rPr>
      </w:pPr>
      <w:r w:rsidRPr="00DC75A2">
        <w:rPr>
          <w:b/>
          <w:i/>
        </w:rPr>
        <w:t>Piemēram,</w:t>
      </w:r>
      <w:r w:rsidRPr="00DC75A2">
        <w:rPr>
          <w:i/>
        </w:rPr>
        <w:t xml:space="preserve"> pašvaldība var turēt dzīvojamo fondu, kuru izmanto, lai nodrošinātu mājokļus ģimenēm ar zemiem ienākumiem par īres</w:t>
      </w:r>
      <w:r w:rsidRPr="00DC75A2">
        <w:rPr>
          <w:i/>
          <w:spacing w:val="-7"/>
        </w:rPr>
        <w:t xml:space="preserve"> </w:t>
      </w:r>
      <w:r w:rsidRPr="00DC75A2">
        <w:rPr>
          <w:i/>
        </w:rPr>
        <w:t>maksu,</w:t>
      </w:r>
      <w:r w:rsidRPr="00DC75A2">
        <w:rPr>
          <w:i/>
          <w:spacing w:val="-5"/>
        </w:rPr>
        <w:t xml:space="preserve"> </w:t>
      </w:r>
      <w:r w:rsidRPr="00DC75A2">
        <w:rPr>
          <w:i/>
        </w:rPr>
        <w:t>kas</w:t>
      </w:r>
      <w:r w:rsidRPr="00DC75A2">
        <w:rPr>
          <w:i/>
          <w:spacing w:val="-6"/>
        </w:rPr>
        <w:t xml:space="preserve"> </w:t>
      </w:r>
      <w:r w:rsidRPr="00DC75A2">
        <w:rPr>
          <w:i/>
        </w:rPr>
        <w:t>ir</w:t>
      </w:r>
      <w:r w:rsidRPr="00DC75A2">
        <w:rPr>
          <w:i/>
          <w:spacing w:val="-7"/>
        </w:rPr>
        <w:t xml:space="preserve"> </w:t>
      </w:r>
      <w:r w:rsidRPr="00DC75A2">
        <w:rPr>
          <w:i/>
        </w:rPr>
        <w:t>zemāka</w:t>
      </w:r>
      <w:r w:rsidRPr="00DC75A2">
        <w:rPr>
          <w:i/>
          <w:spacing w:val="-7"/>
        </w:rPr>
        <w:t xml:space="preserve"> </w:t>
      </w:r>
      <w:r w:rsidRPr="00DC75A2">
        <w:rPr>
          <w:i/>
        </w:rPr>
        <w:t>par</w:t>
      </w:r>
      <w:r w:rsidRPr="00DC75A2">
        <w:rPr>
          <w:i/>
          <w:spacing w:val="-3"/>
        </w:rPr>
        <w:t xml:space="preserve"> </w:t>
      </w:r>
      <w:r w:rsidRPr="00DC75A2">
        <w:rPr>
          <w:i/>
        </w:rPr>
        <w:t>tirgus</w:t>
      </w:r>
      <w:r w:rsidRPr="00DC75A2">
        <w:rPr>
          <w:i/>
          <w:spacing w:val="-6"/>
        </w:rPr>
        <w:t xml:space="preserve"> </w:t>
      </w:r>
      <w:r w:rsidRPr="00DC75A2">
        <w:rPr>
          <w:i/>
        </w:rPr>
        <w:t>likmēm.</w:t>
      </w:r>
      <w:r w:rsidRPr="00DC75A2">
        <w:rPr>
          <w:i/>
          <w:spacing w:val="-5"/>
        </w:rPr>
        <w:t xml:space="preserve"> </w:t>
      </w:r>
      <w:r w:rsidRPr="00DC75A2">
        <w:rPr>
          <w:i/>
        </w:rPr>
        <w:t>Šādā</w:t>
      </w:r>
      <w:r w:rsidRPr="00DC75A2">
        <w:rPr>
          <w:i/>
          <w:spacing w:val="-5"/>
        </w:rPr>
        <w:t xml:space="preserve"> </w:t>
      </w:r>
      <w:r w:rsidRPr="00DC75A2">
        <w:rPr>
          <w:i/>
        </w:rPr>
        <w:t>gadījumā</w:t>
      </w:r>
      <w:r w:rsidRPr="00DC75A2">
        <w:rPr>
          <w:i/>
          <w:spacing w:val="-6"/>
        </w:rPr>
        <w:t xml:space="preserve"> </w:t>
      </w:r>
      <w:r w:rsidRPr="00DC75A2">
        <w:rPr>
          <w:i/>
        </w:rPr>
        <w:t>īpašums</w:t>
      </w:r>
      <w:r w:rsidRPr="00DC75A2">
        <w:rPr>
          <w:i/>
          <w:spacing w:val="-7"/>
        </w:rPr>
        <w:t xml:space="preserve"> </w:t>
      </w:r>
      <w:r w:rsidRPr="00DC75A2">
        <w:rPr>
          <w:i/>
        </w:rPr>
        <w:t>tiek</w:t>
      </w:r>
      <w:r w:rsidRPr="00DC75A2">
        <w:rPr>
          <w:i/>
          <w:spacing w:val="-5"/>
        </w:rPr>
        <w:t xml:space="preserve"> </w:t>
      </w:r>
      <w:r w:rsidRPr="00DC75A2">
        <w:rPr>
          <w:i/>
        </w:rPr>
        <w:t>turēts,</w:t>
      </w:r>
      <w:r w:rsidRPr="00DC75A2">
        <w:rPr>
          <w:i/>
          <w:spacing w:val="-7"/>
        </w:rPr>
        <w:t xml:space="preserve"> </w:t>
      </w:r>
      <w:r w:rsidRPr="00DC75A2">
        <w:rPr>
          <w:i/>
        </w:rPr>
        <w:t>lai</w:t>
      </w:r>
      <w:r w:rsidRPr="00DC75A2">
        <w:rPr>
          <w:i/>
          <w:spacing w:val="-4"/>
        </w:rPr>
        <w:t xml:space="preserve"> </w:t>
      </w:r>
      <w:r w:rsidRPr="00DC75A2">
        <w:rPr>
          <w:i/>
        </w:rPr>
        <w:t xml:space="preserve">nodrošinātu mājokļa pieejamību, nevis nomas maksas gūšanai vai kapitāla vērtības pieaugumam, un gūtie nomas ieņēmumi ir saistīti ar šī īpašuma turēšanas galvenā mērķa īstenošanu. Šāds īpašums netiek uzskatīts par ieguldījuma īpašumu, un tas jāuzskaita saskaņā ar </w:t>
      </w:r>
      <w:r>
        <w:rPr>
          <w:i/>
        </w:rPr>
        <w:t xml:space="preserve">grāmatvedības uzskaites kārtības </w:t>
      </w:r>
      <w:r w:rsidRPr="00DC75A2">
        <w:rPr>
          <w:i/>
        </w:rPr>
        <w:t>sadaļ</w:t>
      </w:r>
      <w:r>
        <w:rPr>
          <w:i/>
        </w:rPr>
        <w:t>u</w:t>
      </w:r>
      <w:r w:rsidRPr="00DC75A2">
        <w:rPr>
          <w:i/>
        </w:rPr>
        <w:t xml:space="preserve"> </w:t>
      </w:r>
      <w:hyperlink w:anchor="_bookmark33" w:history="1">
        <w:r w:rsidRPr="00DC75A2">
          <w:rPr>
            <w:i/>
          </w:rPr>
          <w:t>"Pamatlīdzekļu uzskaite</w:t>
        </w:r>
      </w:hyperlink>
      <w:r w:rsidRPr="00DC75A2">
        <w:rPr>
          <w:i/>
        </w:rPr>
        <w:t>" noteiktajiem</w:t>
      </w:r>
      <w:r w:rsidRPr="00DC75A2">
        <w:rPr>
          <w:i/>
          <w:spacing w:val="-3"/>
        </w:rPr>
        <w:t xml:space="preserve"> </w:t>
      </w:r>
      <w:r w:rsidRPr="00DC75A2">
        <w:rPr>
          <w:i/>
        </w:rPr>
        <w:t>principiem;</w:t>
      </w:r>
    </w:p>
    <w:p w14:paraId="6E14120F" w14:textId="77777777" w:rsidR="00DC75A2" w:rsidRPr="00DC75A2" w:rsidRDefault="00DC75A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8021EB">
        <w:rPr>
          <w:rFonts w:ascii="Times New Roman" w:hAnsi="Times New Roman" w:cs="Times New Roman"/>
          <w:sz w:val="24"/>
          <w:szCs w:val="24"/>
        </w:rPr>
        <w:t>289</w:t>
      </w:r>
      <w:r w:rsidRPr="00DC75A2">
        <w:rPr>
          <w:rFonts w:ascii="Times New Roman" w:hAnsi="Times New Roman" w:cs="Times New Roman"/>
          <w:sz w:val="24"/>
          <w:szCs w:val="24"/>
        </w:rPr>
        <w:t>. Atsevišķos gadījumos budžeta iestādes tur īpašumu, kas sevī ietver gan daļu, kuru izmanto, lai gūtu nomas maksu vai sagaidītu cenas celšanos, gan daļu, kuru izmanto budžeta iestādes pakalpojumu sniegšanai vai administratīviem mērķiem.</w:t>
      </w:r>
    </w:p>
    <w:p w14:paraId="1305BCC4" w14:textId="77777777" w:rsidR="00DC75A2" w:rsidRDefault="00DC75A2" w:rsidP="00CD363C">
      <w:pPr>
        <w:widowControl w:val="0"/>
        <w:tabs>
          <w:tab w:val="left" w:pos="898"/>
        </w:tabs>
        <w:autoSpaceDE w:val="0"/>
        <w:autoSpaceDN w:val="0"/>
        <w:spacing w:after="0" w:line="240" w:lineRule="auto"/>
        <w:ind w:right="-142"/>
        <w:jc w:val="both"/>
        <w:rPr>
          <w:i/>
          <w:sz w:val="24"/>
          <w:szCs w:val="24"/>
        </w:rPr>
      </w:pPr>
      <w:r w:rsidRPr="00DC75A2">
        <w:rPr>
          <w:b/>
          <w:sz w:val="24"/>
          <w:szCs w:val="24"/>
        </w:rPr>
        <w:t xml:space="preserve"> </w:t>
      </w:r>
      <w:r w:rsidRPr="00DC75A2">
        <w:rPr>
          <w:b/>
          <w:i/>
          <w:sz w:val="24"/>
          <w:szCs w:val="24"/>
        </w:rPr>
        <w:t>Piemēram,</w:t>
      </w:r>
      <w:r w:rsidRPr="00DC75A2">
        <w:rPr>
          <w:i/>
          <w:sz w:val="24"/>
          <w:szCs w:val="24"/>
        </w:rPr>
        <w:t xml:space="preserve"> budžeta iestādei var piederēt ēka, kura tiek izmantota daļēji administrācijas vajadzībām, gan arī atsevišķa daļa tiek iznomāta kā biroja telpas. Šai gadījumā īpašumu uzskaita pamatlīdzekļu</w:t>
      </w:r>
      <w:r w:rsidRPr="00DC75A2">
        <w:rPr>
          <w:i/>
          <w:spacing w:val="-6"/>
          <w:sz w:val="24"/>
          <w:szCs w:val="24"/>
        </w:rPr>
        <w:t xml:space="preserve"> </w:t>
      </w:r>
      <w:r w:rsidRPr="00DC75A2">
        <w:rPr>
          <w:i/>
          <w:sz w:val="24"/>
          <w:szCs w:val="24"/>
        </w:rPr>
        <w:t>sastāvā.</w:t>
      </w:r>
    </w:p>
    <w:p w14:paraId="5E2773A8" w14:textId="77777777" w:rsidR="00DC75A2"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290</w:t>
      </w:r>
      <w:r w:rsidRPr="00D1188A">
        <w:rPr>
          <w:rFonts w:ascii="Times New Roman" w:hAnsi="Times New Roman" w:cs="Times New Roman"/>
          <w:sz w:val="24"/>
          <w:szCs w:val="24"/>
        </w:rPr>
        <w:t xml:space="preserve">. Ieguldījuma īpašumu atzīst par aktīvu tikai un vienīgi tad, ja: </w:t>
      </w:r>
    </w:p>
    <w:p w14:paraId="2A8CE6AC" w14:textId="77777777" w:rsidR="00DC75A2"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290</w:t>
      </w:r>
      <w:r w:rsidRPr="00D1188A">
        <w:rPr>
          <w:rFonts w:ascii="Times New Roman" w:hAnsi="Times New Roman" w:cs="Times New Roman"/>
          <w:sz w:val="24"/>
          <w:szCs w:val="24"/>
        </w:rPr>
        <w:t xml:space="preserve">.1. to pagātnes notikumu rezultātā kontrolē budžeta iestāde; </w:t>
      </w:r>
    </w:p>
    <w:p w14:paraId="7A7A2AE0" w14:textId="77777777" w:rsidR="00DC75A2"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290</w:t>
      </w:r>
      <w:r w:rsidRPr="00D1188A">
        <w:rPr>
          <w:rFonts w:ascii="Times New Roman" w:hAnsi="Times New Roman" w:cs="Times New Roman"/>
          <w:sz w:val="24"/>
          <w:szCs w:val="24"/>
        </w:rPr>
        <w:t xml:space="preserve">.2. ir ticams, ka nākotnē budžeta iestāde saņems ar ieguldījuma īpašumu saistītos saimnieciskos labumus; </w:t>
      </w:r>
    </w:p>
    <w:p w14:paraId="3BCBBDC6"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290</w:t>
      </w:r>
      <w:r w:rsidRPr="00D1188A">
        <w:rPr>
          <w:rFonts w:ascii="Times New Roman" w:hAnsi="Times New Roman" w:cs="Times New Roman"/>
          <w:sz w:val="24"/>
          <w:szCs w:val="24"/>
        </w:rPr>
        <w:t>.3. tā izmaksu vērtību vai patieso vērtību var ticami novērtēt.</w:t>
      </w:r>
    </w:p>
    <w:p w14:paraId="123C2C13"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291.</w:t>
      </w:r>
      <w:r w:rsidRPr="00D1188A">
        <w:rPr>
          <w:rFonts w:ascii="Times New Roman" w:hAnsi="Times New Roman" w:cs="Times New Roman"/>
          <w:sz w:val="24"/>
          <w:szCs w:val="24"/>
        </w:rPr>
        <w:t xml:space="preserve"> Nosakot, vai īpašums atbilst </w:t>
      </w:r>
      <w:r>
        <w:rPr>
          <w:rFonts w:ascii="Times New Roman" w:hAnsi="Times New Roman" w:cs="Times New Roman"/>
          <w:sz w:val="24"/>
          <w:szCs w:val="24"/>
        </w:rPr>
        <w:t>290</w:t>
      </w:r>
      <w:r w:rsidRPr="00D1188A">
        <w:rPr>
          <w:rFonts w:ascii="Times New Roman" w:hAnsi="Times New Roman" w:cs="Times New Roman"/>
          <w:sz w:val="24"/>
          <w:szCs w:val="24"/>
        </w:rPr>
        <w:t xml:space="preserve">.2. apakšpunktā minētajam kritērijam, budžeta iestādei jānovērtē, cik liela ir ticamības pakāpe apgalvojumam par saimniecisko labumu nonākšanu budžeta iestādē nākotnē, pamatojoties uz sākotnējās atzīšanas brīdī pieejamajiem pierādījumiem. Pietiekama  ticamības pakāpe tam, ka budžeta iestāde nākotnē saņems saimnieciskos labumus vai īpašumu izmantos funkciju izpildei, nozīmē, ka pastāv pārliecība par to, ka budžeta iestāde saņems ar attiecīgo aktīvu saistītus ieguvumus un uzņemsies ar to saistītos riskus. Šādu pārliecību parasti var gūt tad, ja ar aktīvu saistītie ieguvumi un riski ir nodoti budžeta iestādei (piemēram, noslēgts līgums par aktīva iegādi, kas paredz aktīva īpašumtiesību nodošanu līguma noslēgšanas brīdī). Pirms tas notiek, aktīva iegādes darījumu parasti var atsaukt bez būtiskiem sodiem, līdz ar to aktīvs netiek atzīts. </w:t>
      </w:r>
    </w:p>
    <w:p w14:paraId="297391E5"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292.</w:t>
      </w:r>
      <w:r w:rsidRPr="00D1188A">
        <w:rPr>
          <w:rFonts w:ascii="Times New Roman" w:hAnsi="Times New Roman" w:cs="Times New Roman"/>
          <w:sz w:val="24"/>
          <w:szCs w:val="24"/>
        </w:rPr>
        <w:t xml:space="preserve"> Iegādājoties ieguldījuma īpašumu, ieguldījuma īpašuma izmaksu vērtība ir ieguldījuma īpašuma patiesā vērtība iegūšanas datumā</w:t>
      </w:r>
      <w:r>
        <w:rPr>
          <w:rFonts w:ascii="Times New Roman" w:hAnsi="Times New Roman" w:cs="Times New Roman"/>
          <w:sz w:val="24"/>
          <w:szCs w:val="24"/>
        </w:rPr>
        <w:t>.</w:t>
      </w:r>
    </w:p>
    <w:p w14:paraId="51B0D27C"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293.</w:t>
      </w:r>
      <w:r w:rsidRPr="00DC75A2">
        <w:rPr>
          <w:rFonts w:ascii="Times New Roman" w:hAnsi="Times New Roman" w:cs="Times New Roman"/>
          <w:sz w:val="24"/>
          <w:szCs w:val="24"/>
        </w:rPr>
        <w:t xml:space="preserve"> </w:t>
      </w:r>
      <w:r w:rsidRPr="00D1188A">
        <w:rPr>
          <w:rFonts w:ascii="Times New Roman" w:hAnsi="Times New Roman" w:cs="Times New Roman"/>
          <w:sz w:val="24"/>
          <w:szCs w:val="24"/>
        </w:rPr>
        <w:t xml:space="preserve">Budžeta iestāde novērtē ieguldījuma īpašumu atbilstoši tā vērtībai iegādes vai izveidošanas brīdī. Šī vērtība ietver izmaksas, kas bijušas nepieciešamas ieguldījuma īpašuma iegādei vai izveidei, kā arī izmaksas, kas veiktas vēlākos periodos, lai papildinātu ieguldījuma īpašumu, aizvietotu kādu šī īpašuma daļu. </w:t>
      </w:r>
    </w:p>
    <w:p w14:paraId="0787C627" w14:textId="77777777" w:rsidR="001D19CC"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294.</w:t>
      </w:r>
      <w:r w:rsidR="001D19CC" w:rsidRPr="001D19CC">
        <w:rPr>
          <w:rFonts w:ascii="Times New Roman" w:hAnsi="Times New Roman" w:cs="Times New Roman"/>
          <w:sz w:val="24"/>
          <w:szCs w:val="24"/>
        </w:rPr>
        <w:t xml:space="preserve"> </w:t>
      </w:r>
      <w:r w:rsidR="001D19CC" w:rsidRPr="00D1188A">
        <w:rPr>
          <w:rFonts w:ascii="Times New Roman" w:hAnsi="Times New Roman" w:cs="Times New Roman"/>
          <w:sz w:val="24"/>
          <w:szCs w:val="24"/>
        </w:rPr>
        <w:t>. Budžeta iestāde atzīst ieguldījuma īpašumu savā grāmatvedības uzskaitē, kad tas atbilst ieguldījuma īpašuma atzīšanas kritērijiem. Parasti par ieguldījuma īpašuma iegādes datumu uzskata dienu, kas darījumu apliecinošos dokumentos norādīta kā īpašumtiesību pārejas diena. Ja ieguldījuma īpašums tiek būvēts, to atzīst ar datumu, kad to pieņem lietošanā, pamatojoties uz aktu par īpašuma nodošanu lietošanā (ekspluatācijā). Līdz tam ar ieguldījuma īpašuma izveidošanu saistītās izmaksas uzskaita atsevišķā postenī ilgtermiņa ieguldījumu sastāvā.</w:t>
      </w:r>
    </w:p>
    <w:p w14:paraId="7EC9773E" w14:textId="77777777" w:rsidR="001D19CC"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295.</w:t>
      </w:r>
      <w:r w:rsidRPr="00D1188A">
        <w:rPr>
          <w:rFonts w:ascii="Times New Roman" w:hAnsi="Times New Roman" w:cs="Times New Roman"/>
          <w:sz w:val="24"/>
          <w:szCs w:val="24"/>
        </w:rPr>
        <w:t xml:space="preserve"> Budžeta iestāde nosaka ieguldījuma īpašuma sākotnējo vērtību, tas ir, iegādes vai izveidošanas izmaksas, pamatojoties uz attaisnojuma dokumentiem par ieguldījuma īpašuma iegādi vai izveidošanu un tajos iekļauto informāciju. Šīs izmaksas apkopo un reģistrē aktā par ieguldījuma īpašuma nodošanu lietošanā.</w:t>
      </w:r>
    </w:p>
    <w:p w14:paraId="11F084C1" w14:textId="77777777" w:rsidR="001D19CC" w:rsidRPr="00D1188A"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296.</w:t>
      </w:r>
      <w:r w:rsidRPr="001D19CC">
        <w:rPr>
          <w:rFonts w:ascii="Times New Roman" w:hAnsi="Times New Roman" w:cs="Times New Roman"/>
          <w:sz w:val="24"/>
          <w:szCs w:val="24"/>
        </w:rPr>
        <w:t xml:space="preserve"> </w:t>
      </w:r>
      <w:r w:rsidRPr="00D1188A">
        <w:rPr>
          <w:rFonts w:ascii="Times New Roman" w:hAnsi="Times New Roman" w:cs="Times New Roman"/>
          <w:sz w:val="24"/>
          <w:szCs w:val="24"/>
        </w:rPr>
        <w:t xml:space="preserve">. Iegūstot ieguldījuma īpašumu, pamatojoties uz darījumu apliecinošiem dokumentiem, budžeta iestāde palielina attiecīgo ilgtermiņa ieguldījumu kontu un saistību kontu par dokumentā norādīto summu, veicot sekojošu grāmatojumu: </w:t>
      </w:r>
    </w:p>
    <w:p w14:paraId="5321A413" w14:textId="77777777" w:rsidR="001D19CC" w:rsidRPr="001D19CC" w:rsidRDefault="001D19CC"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1D19CC">
        <w:rPr>
          <w:rFonts w:ascii="Times New Roman" w:hAnsi="Times New Roman" w:cs="Times New Roman"/>
          <w:b/>
          <w:sz w:val="24"/>
          <w:szCs w:val="24"/>
        </w:rPr>
        <w:t xml:space="preserve">D 1500 Ieguldījuma īpašumi </w:t>
      </w:r>
    </w:p>
    <w:p w14:paraId="4CA03D13" w14:textId="77777777" w:rsidR="001D19CC" w:rsidRPr="001D19CC" w:rsidRDefault="001D19CC" w:rsidP="00CD363C">
      <w:pPr>
        <w:spacing w:after="0" w:line="240" w:lineRule="auto"/>
        <w:ind w:right="-142"/>
        <w:jc w:val="both"/>
        <w:rPr>
          <w:rFonts w:ascii="Times New Roman" w:hAnsi="Times New Roman" w:cs="Times New Roman"/>
          <w:b/>
          <w:sz w:val="24"/>
          <w:szCs w:val="24"/>
        </w:rPr>
      </w:pPr>
      <w:r w:rsidRPr="001D19CC">
        <w:rPr>
          <w:rFonts w:ascii="Times New Roman" w:hAnsi="Times New Roman" w:cs="Times New Roman"/>
          <w:b/>
          <w:sz w:val="24"/>
          <w:szCs w:val="24"/>
        </w:rPr>
        <w:t xml:space="preserve">    D* 5723 Pievienotās vērtības nodoklis </w:t>
      </w:r>
    </w:p>
    <w:p w14:paraId="3A53E961" w14:textId="77777777" w:rsidR="001D19CC" w:rsidRPr="001D19CC" w:rsidRDefault="001D19CC" w:rsidP="00CD363C">
      <w:pPr>
        <w:spacing w:after="0" w:line="240" w:lineRule="auto"/>
        <w:ind w:right="-142"/>
        <w:jc w:val="both"/>
        <w:rPr>
          <w:rFonts w:ascii="Times New Roman" w:hAnsi="Times New Roman" w:cs="Times New Roman"/>
          <w:b/>
          <w:sz w:val="24"/>
          <w:szCs w:val="24"/>
        </w:rPr>
      </w:pPr>
      <w:r w:rsidRPr="001D19CC">
        <w:rPr>
          <w:rFonts w:ascii="Times New Roman" w:hAnsi="Times New Roman" w:cs="Times New Roman"/>
          <w:b/>
          <w:sz w:val="24"/>
          <w:szCs w:val="24"/>
        </w:rPr>
        <w:t xml:space="preserve">    K 5310 Īstermiņa saistības pret piegādātājiem un darbuzņēmējiem </w:t>
      </w:r>
    </w:p>
    <w:p w14:paraId="402D0229" w14:textId="77777777" w:rsidR="001D19CC" w:rsidRPr="00D1188A"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D1188A">
        <w:rPr>
          <w:rFonts w:ascii="Times New Roman" w:hAnsi="Times New Roman" w:cs="Times New Roman"/>
          <w:sz w:val="24"/>
          <w:szCs w:val="24"/>
        </w:rPr>
        <w:t xml:space="preserve">* gadījumā, ja budžeta iestāde ir PVN maksātāja </w:t>
      </w:r>
    </w:p>
    <w:p w14:paraId="19B8A328" w14:textId="77777777" w:rsidR="00DA20F5" w:rsidRPr="00D1188A"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297.</w:t>
      </w:r>
      <w:r w:rsidR="00DA20F5">
        <w:rPr>
          <w:rFonts w:ascii="Times New Roman" w:hAnsi="Times New Roman" w:cs="Times New Roman"/>
          <w:sz w:val="24"/>
          <w:szCs w:val="24"/>
        </w:rPr>
        <w:t xml:space="preserve"> </w:t>
      </w:r>
      <w:r w:rsidR="00DA20F5" w:rsidRPr="00D1188A">
        <w:rPr>
          <w:rFonts w:ascii="Times New Roman" w:hAnsi="Times New Roman" w:cs="Times New Roman"/>
          <w:sz w:val="24"/>
          <w:szCs w:val="24"/>
        </w:rPr>
        <w:t>Saņemot avansa maksājuma rēķinu par ieguldījuma īpašuma iegādi, grāmatojumus neveic, bet rēķinu reģistrē budžeta iestādes uzskaites sistēmā. Avansa maksājuma dokumenta apmaksas dienā, pamatojoties uz maksājuma uzdevumu, atzīst attiecīgā aktīvu konta palielinājumu un tā naudas līdzekļu konta samazinājumu, no kura veic maksājumu, grāmatojot:</w:t>
      </w:r>
    </w:p>
    <w:p w14:paraId="5B57FB37"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1580 Avansa maksājumi par ieguldījum īpašumiem </w:t>
      </w:r>
    </w:p>
    <w:p w14:paraId="594D43F9"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5723 Pievienotās vērtības nodoklis </w:t>
      </w:r>
    </w:p>
    <w:p w14:paraId="04357CE1" w14:textId="77777777" w:rsidR="00DA20F5" w:rsidRPr="00D1188A"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K 2620 Norēķinu konti Valsts kasē, kredītiestādēs vai citās institūcijās </w:t>
      </w:r>
    </w:p>
    <w:p w14:paraId="130479EA" w14:textId="77777777" w:rsidR="00DA20F5"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 gadījumā, ja budžeta iestāde ir PVN maksātāja </w:t>
      </w:r>
    </w:p>
    <w:p w14:paraId="2DC5C5FF"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298.</w:t>
      </w:r>
      <w:r w:rsidRPr="00DA20F5">
        <w:rPr>
          <w:rFonts w:ascii="Times New Roman" w:hAnsi="Times New Roman" w:cs="Times New Roman"/>
          <w:sz w:val="24"/>
          <w:szCs w:val="24"/>
        </w:rPr>
        <w:t xml:space="preserve"> </w:t>
      </w:r>
      <w:r w:rsidRPr="00D1188A">
        <w:rPr>
          <w:rFonts w:ascii="Times New Roman" w:hAnsi="Times New Roman" w:cs="Times New Roman"/>
          <w:sz w:val="24"/>
          <w:szCs w:val="24"/>
        </w:rPr>
        <w:t xml:space="preserve"> Saņemot darījumu apliecinošu dokumentu par ieguldījuma īpašuma iegādi, par kuru iepriekš veikts avansa maksājums, to reģistrē budžeta iestādes uzskaites sistēmā un iegrāmato, palielinot ieguldījuma īpašuma kontu un saistību kontu attiecīgajā apmērā: </w:t>
      </w:r>
    </w:p>
    <w:p w14:paraId="1749A620"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1510 Ieguldījuma īpašumi </w:t>
      </w:r>
    </w:p>
    <w:p w14:paraId="7F76CEF8"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5723 Pievienotās vērtības nodoklis </w:t>
      </w:r>
    </w:p>
    <w:p w14:paraId="0BEF0CE3" w14:textId="77777777" w:rsidR="00DA20F5" w:rsidRPr="00D1188A"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K 5310 Īstermiņa saistības pret piegādātājiem un darbuzņēmējiem </w:t>
      </w:r>
    </w:p>
    <w:p w14:paraId="6CCE1FA1" w14:textId="77777777" w:rsidR="00DA20F5"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 gadījumā, ja budžeta iestāde ir PVN maksātāja </w:t>
      </w:r>
      <w:r>
        <w:rPr>
          <w:rFonts w:ascii="Times New Roman" w:hAnsi="Times New Roman" w:cs="Times New Roman"/>
          <w:sz w:val="24"/>
          <w:szCs w:val="24"/>
        </w:rPr>
        <w:t xml:space="preserve"> </w:t>
      </w:r>
    </w:p>
    <w:p w14:paraId="3AA0420C"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299.</w:t>
      </w:r>
      <w:r w:rsidRPr="00D1188A">
        <w:rPr>
          <w:rFonts w:ascii="Times New Roman" w:hAnsi="Times New Roman" w:cs="Times New Roman"/>
          <w:sz w:val="24"/>
          <w:szCs w:val="24"/>
        </w:rPr>
        <w:t xml:space="preserve"> Budžeta iestāde atzīst avansa maksājumu un saistību samazinājumu iepriekš veiktā avansa maksājuma vērtībā, veicot sekojošu grāmatojumu: </w:t>
      </w:r>
    </w:p>
    <w:p w14:paraId="3112A931"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5310 Īstermiņa saistības pret piegādātājiem un darbuzņēmējiem </w:t>
      </w:r>
    </w:p>
    <w:p w14:paraId="33F186AE"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K* 5723 Pievienotās vērtības nodoklis </w:t>
      </w:r>
    </w:p>
    <w:p w14:paraId="53C89ECC"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K 1580 Avansa maksājumi par ieguldījuma īpašumiem </w:t>
      </w:r>
    </w:p>
    <w:p w14:paraId="5280CCED" w14:textId="77777777" w:rsidR="00DA20F5"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D1188A">
        <w:rPr>
          <w:rFonts w:ascii="Times New Roman" w:hAnsi="Times New Roman" w:cs="Times New Roman"/>
          <w:sz w:val="24"/>
          <w:szCs w:val="24"/>
        </w:rPr>
        <w:t xml:space="preserve">* gadījumā, ja budžeta iestāde ir PVN maksātāja </w:t>
      </w:r>
    </w:p>
    <w:p w14:paraId="3242919D"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300.</w:t>
      </w:r>
      <w:r w:rsidRPr="00DA20F5">
        <w:rPr>
          <w:rFonts w:ascii="Times New Roman" w:hAnsi="Times New Roman" w:cs="Times New Roman"/>
          <w:sz w:val="24"/>
          <w:szCs w:val="24"/>
        </w:rPr>
        <w:t xml:space="preserve"> </w:t>
      </w:r>
      <w:r w:rsidRPr="00D1188A">
        <w:rPr>
          <w:rFonts w:ascii="Times New Roman" w:hAnsi="Times New Roman" w:cs="Times New Roman"/>
          <w:sz w:val="24"/>
          <w:szCs w:val="24"/>
        </w:rPr>
        <w:t xml:space="preserve">Budžeta iestāde sākotnēji novērtē ieguldījuma īpašumu tā iegādes izmaksu vērtībā, iekļaujot arī darījuma izmaksas. </w:t>
      </w:r>
    </w:p>
    <w:p w14:paraId="3ED914FE" w14:textId="77777777" w:rsidR="00DA20F5"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301.</w:t>
      </w:r>
      <w:r w:rsidRPr="00D1188A">
        <w:rPr>
          <w:rFonts w:ascii="Times New Roman" w:hAnsi="Times New Roman" w:cs="Times New Roman"/>
          <w:sz w:val="24"/>
          <w:szCs w:val="24"/>
        </w:rPr>
        <w:t xml:space="preserve"> Iegādāta ieguldījuma īpašuma iegādes izmaksu vērtībā iekļauj tā pirkšanas cenu un jebkuras tieši attiecināmās izmaksas. Tieši attiecināmās izmaksas ir, piemēram, maksa par juridiskiem pakalpojumiem un citas darījuma izmaksas.</w:t>
      </w:r>
    </w:p>
    <w:p w14:paraId="29072FC3"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302.</w:t>
      </w:r>
      <w:r w:rsidRPr="00DA20F5">
        <w:rPr>
          <w:rFonts w:ascii="Times New Roman" w:hAnsi="Times New Roman" w:cs="Times New Roman"/>
          <w:sz w:val="24"/>
          <w:szCs w:val="24"/>
        </w:rPr>
        <w:t xml:space="preserve"> </w:t>
      </w:r>
      <w:r w:rsidRPr="00D1188A">
        <w:rPr>
          <w:rFonts w:ascii="Times New Roman" w:hAnsi="Times New Roman" w:cs="Times New Roman"/>
          <w:sz w:val="24"/>
          <w:szCs w:val="24"/>
        </w:rPr>
        <w:t>. Ieguldījuma īpašuma iegādes izmaksu vērtību nepalielina par šādām izmaksām:</w:t>
      </w:r>
    </w:p>
    <w:p w14:paraId="13C01D5D" w14:textId="77777777" w:rsidR="00DA20F5" w:rsidRPr="00565383"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302</w:t>
      </w:r>
      <w:r w:rsidR="00DA20F5" w:rsidRPr="00565383">
        <w:rPr>
          <w:rFonts w:ascii="Times New Roman" w:hAnsi="Times New Roman" w:cs="Times New Roman"/>
          <w:sz w:val="24"/>
          <w:szCs w:val="24"/>
        </w:rPr>
        <w:t>.1.saimnieciskās darbības uzsākšanas izmaksas (ja vien tās nav nepieciešamas, lai īpašumu sagatavotu lietošanai);</w:t>
      </w:r>
    </w:p>
    <w:p w14:paraId="4C33443D" w14:textId="77777777" w:rsidR="00DA20F5" w:rsidRPr="00565383"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302</w:t>
      </w:r>
      <w:r w:rsidR="00DA20F5">
        <w:rPr>
          <w:rFonts w:ascii="Times New Roman" w:hAnsi="Times New Roman" w:cs="Times New Roman"/>
          <w:sz w:val="24"/>
          <w:szCs w:val="24"/>
        </w:rPr>
        <w:t>.2.</w:t>
      </w:r>
      <w:r w:rsidR="00DA20F5" w:rsidRPr="00565383">
        <w:rPr>
          <w:rFonts w:ascii="Times New Roman" w:hAnsi="Times New Roman" w:cs="Times New Roman"/>
          <w:sz w:val="24"/>
          <w:szCs w:val="24"/>
        </w:rPr>
        <w:t>saimnieciskās darbības izmaksas, kas radušās līdz brīdim, kad ieguldījuma īpašums sasniedz plānoto lietošanas apjomu;</w:t>
      </w:r>
    </w:p>
    <w:p w14:paraId="65CDAEA0" w14:textId="77777777" w:rsidR="00DA20F5"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302</w:t>
      </w:r>
      <w:r w:rsidR="00DA20F5">
        <w:rPr>
          <w:rFonts w:ascii="Times New Roman" w:hAnsi="Times New Roman" w:cs="Times New Roman"/>
          <w:sz w:val="24"/>
          <w:szCs w:val="24"/>
        </w:rPr>
        <w:t>.3.</w:t>
      </w:r>
      <w:r w:rsidR="00DA20F5" w:rsidRPr="00565383">
        <w:rPr>
          <w:rFonts w:ascii="Times New Roman" w:hAnsi="Times New Roman" w:cs="Times New Roman"/>
          <w:sz w:val="24"/>
          <w:szCs w:val="24"/>
        </w:rPr>
        <w:t xml:space="preserve">īpašuma būvniecības vai attīstības procesā radušos būtisku nelietderīgi izlietotu materiālu, darbaspēka vai citu resursu izmaksas. </w:t>
      </w:r>
    </w:p>
    <w:p w14:paraId="1EB1217E" w14:textId="77777777" w:rsidR="008021EB"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303.</w:t>
      </w:r>
      <w:r w:rsidRPr="008021EB">
        <w:rPr>
          <w:rFonts w:ascii="Times New Roman" w:hAnsi="Times New Roman" w:cs="Times New Roman"/>
          <w:sz w:val="24"/>
          <w:szCs w:val="24"/>
        </w:rPr>
        <w:t xml:space="preserve"> </w:t>
      </w:r>
      <w:r w:rsidRPr="00D1188A">
        <w:rPr>
          <w:rFonts w:ascii="Times New Roman" w:hAnsi="Times New Roman" w:cs="Times New Roman"/>
          <w:sz w:val="24"/>
          <w:szCs w:val="24"/>
        </w:rPr>
        <w:t>Budžeta iestāde ieguldījuma īpašuma uzskaites vērtībā neiekļauj īpašuma ikdienas uzturēšanas izmaksas. Šīs izmaksas atzīst izdevumos un uzrāda pārskatā par darbības finansiālajiem rezultātiem periodā, kurā tās radušās. Ikdienas uzturēšanas izmaksas, galvenokārt, ir darbaspēka un materiālu izmaksas. Šie izdevumi visbiežāk ir nekustamā īpašuma remonta un uzturēšanas (piemēram, kanalizācijas sistēmas atkaļķošanas vai dūmvadu tīrīšanas) izmaksas.</w:t>
      </w:r>
    </w:p>
    <w:p w14:paraId="0C5EB1CC" w14:textId="77777777" w:rsidR="008021EB"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304.</w:t>
      </w:r>
      <w:r w:rsidRPr="00D1188A">
        <w:rPr>
          <w:rFonts w:ascii="Times New Roman" w:hAnsi="Times New Roman" w:cs="Times New Roman"/>
          <w:sz w:val="24"/>
          <w:szCs w:val="24"/>
        </w:rPr>
        <w:t xml:space="preserve"> Gadījumā, ja budžeta iestāde veic norēķinus par ieguldījuma īpašuma iegādi ar atliktā maksājuma nosacījumiem un atliktā maksājuma periods ir ilgāks par 12 mēnešiem, budžeta iestāde nosaka ieguldījuma īpašuma iegādes izmaksu vērtību, ņemot vērā atbilstošo procenta likmi. Starpību starp šo summu un maksājumu kopējo vērtību atzīst par procentu izdevumiem atliktā maksājuma periodā. Piemēram, budžeta iestāde var iegādāties ieguldījuma īpašumu, par to norēķinoties trīs gadu laikā no līguma spēkā stāšanās brīža. Saskaņā ar līguma nosacījumiem līguma cenā ir iekļauti procenti par nenomaksāto saistību daļu. Papildus radušās izmaksas atzīst kā finanšu izdevumus nevis iekļauj ieguldījuma īpašuma iegādes izmaksu vērtībā.</w:t>
      </w:r>
    </w:p>
    <w:p w14:paraId="27D79C7A" w14:textId="77777777" w:rsidR="008021EB"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305. </w:t>
      </w:r>
      <w:r w:rsidRPr="00D1188A">
        <w:rPr>
          <w:rFonts w:ascii="Times New Roman" w:hAnsi="Times New Roman" w:cs="Times New Roman"/>
          <w:sz w:val="24"/>
          <w:szCs w:val="24"/>
        </w:rPr>
        <w:t>Gadījumā, ja budžeta iestāde iegūst ieguldījuma īpašumu darījumā bez atlīdzības, ieguldījuma īpašuma izmaksu vērtība ir tā patiesā vērtība iegūšanas datumā, izņemot aktīva saņemšanu vispārējās valdības struktūru sektora ietvaros. Budžeta iestāde atzīst ieguldījuma īpašumu un ieņēmumus no darījuma bez atlīdzības.</w:t>
      </w:r>
    </w:p>
    <w:p w14:paraId="159AC519" w14:textId="77777777" w:rsidR="008021EB" w:rsidRPr="00D1188A"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306.</w:t>
      </w:r>
      <w:r w:rsidRPr="008021EB">
        <w:rPr>
          <w:rFonts w:ascii="Times New Roman" w:hAnsi="Times New Roman" w:cs="Times New Roman"/>
          <w:sz w:val="24"/>
          <w:szCs w:val="24"/>
        </w:rPr>
        <w:t xml:space="preserve"> </w:t>
      </w:r>
      <w:r w:rsidRPr="00D1188A">
        <w:rPr>
          <w:rFonts w:ascii="Times New Roman" w:hAnsi="Times New Roman" w:cs="Times New Roman"/>
          <w:sz w:val="24"/>
          <w:szCs w:val="24"/>
        </w:rPr>
        <w:t>Saņemot dāvinājumā ieguldījuma īpašumu, saņemšanas dienā budžeta iestāde nosaka ieguldījuma īpašuma patieso vērtību un paredzamo lietderīgās lietošanas laiku, nepieciešamības gadījumā pieaicinot attiecīgās jomas speciālistu. Ja dāvinājumu saņem saskaņā ar pievienoto dokumentāciju, kurā norādīta attiecīgā ieguldījuma īpašuma vērtība, komisija izvērtē, vai norādītā vērtība atbilst aktīva patiesai vērtībai iegūšanas datumā, un ieguldījuma īpašumu uzskaita komisijas apstiprinātajā vērtībā.</w:t>
      </w:r>
    </w:p>
    <w:p w14:paraId="6D87FC36" w14:textId="77777777" w:rsidR="008021EB" w:rsidRPr="00D1188A"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307.</w:t>
      </w:r>
      <w:r w:rsidRPr="00D1188A">
        <w:rPr>
          <w:rFonts w:ascii="Times New Roman" w:hAnsi="Times New Roman" w:cs="Times New Roman"/>
          <w:sz w:val="24"/>
          <w:szCs w:val="24"/>
        </w:rPr>
        <w:t xml:space="preserve"> Gadījumā, ja budžeta iestāde saņem dāvinājumā ieguldījuma īpašumu, tā atzīst attiecīgo ieguldījuma īpašumu un ieņēmumus no saņemtā dāvinājuma atbilstoši komisijas novērtēšanas aktā apstiprinātajai dāvinājuma vērtībai un veic sekojošu grāmatojumu: </w:t>
      </w:r>
    </w:p>
    <w:p w14:paraId="14E3A34C" w14:textId="77777777" w:rsidR="008021EB" w:rsidRPr="008021EB" w:rsidRDefault="008021EB"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8021EB">
        <w:rPr>
          <w:rFonts w:ascii="Times New Roman" w:hAnsi="Times New Roman" w:cs="Times New Roman"/>
          <w:b/>
          <w:sz w:val="24"/>
          <w:szCs w:val="24"/>
        </w:rPr>
        <w:t xml:space="preserve">D 1500 Ieguldījuma īpašumi </w:t>
      </w:r>
    </w:p>
    <w:p w14:paraId="7BFC61DD" w14:textId="77777777" w:rsidR="008021EB" w:rsidRDefault="008021EB"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8021EB">
        <w:rPr>
          <w:rFonts w:ascii="Times New Roman" w:hAnsi="Times New Roman" w:cs="Times New Roman"/>
          <w:b/>
          <w:sz w:val="24"/>
          <w:szCs w:val="24"/>
        </w:rPr>
        <w:t>K 6000 Pamatdarbības ieņēmumi</w:t>
      </w:r>
    </w:p>
    <w:p w14:paraId="1C435186" w14:textId="77777777" w:rsidR="008021EB" w:rsidRDefault="008021EB" w:rsidP="00CD363C">
      <w:pPr>
        <w:spacing w:after="0" w:line="240" w:lineRule="auto"/>
        <w:ind w:right="-142"/>
        <w:jc w:val="both"/>
        <w:rPr>
          <w:rFonts w:ascii="Times New Roman" w:hAnsi="Times New Roman" w:cs="Times New Roman"/>
          <w:sz w:val="24"/>
          <w:szCs w:val="24"/>
        </w:rPr>
      </w:pPr>
      <w:r w:rsidRPr="008021EB">
        <w:rPr>
          <w:rFonts w:ascii="Times New Roman" w:hAnsi="Times New Roman" w:cs="Times New Roman"/>
          <w:sz w:val="24"/>
          <w:szCs w:val="24"/>
        </w:rPr>
        <w:t xml:space="preserve">308. </w:t>
      </w:r>
      <w:r w:rsidRPr="00D1188A">
        <w:rPr>
          <w:rFonts w:ascii="Times New Roman" w:hAnsi="Times New Roman" w:cs="Times New Roman"/>
          <w:sz w:val="24"/>
          <w:szCs w:val="24"/>
        </w:rPr>
        <w:t>Ja budžeta iestāde sākotnēji atzīst ieguldījuma īpašumu tā patiesajā vērtībā, tad patieso vērtību pieņem kā šī īpašuma iegādes izmaksu vērtību. Patieso vērtību nesamazina par ieguldījuma īpašuma paredzamām atsavināšanas izmaksām.</w:t>
      </w:r>
    </w:p>
    <w:p w14:paraId="5D9B4D6E" w14:textId="77777777" w:rsidR="00643DFF"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309.</w:t>
      </w:r>
      <w:r w:rsidR="00643DFF" w:rsidRPr="00643DFF">
        <w:rPr>
          <w:rFonts w:ascii="Times New Roman" w:hAnsi="Times New Roman" w:cs="Times New Roman"/>
          <w:sz w:val="24"/>
          <w:szCs w:val="24"/>
        </w:rPr>
        <w:t xml:space="preserve"> </w:t>
      </w:r>
      <w:r w:rsidR="00643DFF" w:rsidRPr="00D1188A">
        <w:rPr>
          <w:rFonts w:ascii="Times New Roman" w:hAnsi="Times New Roman" w:cs="Times New Roman"/>
          <w:sz w:val="24"/>
          <w:szCs w:val="24"/>
        </w:rPr>
        <w:t>Finanšu nomā nomāta īpašuma, kas klasificēts kā ieguldījuma īpašums, sākotnējo iegādes izmaksu vērtību nosaka atbilstoši finanšu nomas nosacījumiem,  proti, aktīvu atzīst īpašuma minimālo nomas maksājumu pašreizējā vērtībā, vienlaikus atzīstot saistības tādā pašā apmērā.</w:t>
      </w:r>
    </w:p>
    <w:p w14:paraId="29F6674E" w14:textId="77777777" w:rsidR="00643DFF"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310.</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 xml:space="preserve">Finanšu nomas darījuma ietvaros veiktu sākotnējo iemaksu uzskaita kā minimālā nomas maksājumu daļu, tādēļ to iekļauj aktīva iegādes izmaksu vērtībā un atskaita no saistībām. </w:t>
      </w:r>
    </w:p>
    <w:p w14:paraId="6CE5D5DA" w14:textId="77777777" w:rsidR="00643DFF"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311.</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 Budžeta iestāde ieguldījuma īpašumu var iegūt arī apmaiņas darījumā - apmaiņā pret nefinanšu aktīvu vai aktīviem, vai finanšu un nefinanšu aktīvu kombināciju. Budžeta iestāde nosaka šāda (iegūtā) ieguldījuma īpašuma izmaksu vērtību atbilstoši tā patiesajai vērtībai, izņemot gadījumus, kad budžeta iestāde nevar ticami novērtēt saņemtā aktīva patieso vērtību, kā arī, ja apmaiņas darījums veikts vispārējās valdības sektora ietvaros.</w:t>
      </w:r>
    </w:p>
    <w:p w14:paraId="484A0714" w14:textId="77777777" w:rsidR="00643DFF"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312.</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Gadījumos, ja budžeta iestāde nevar apmaiņas darījuma ietvaros iegūto aktīvu novērtēt pēc tā patiesās vērtības, tā iegādes izmaksu vērtību nosaka pēc nodotā aktīva patiesās vērtības. Ja nodotā aktīva patieso vērtību nevar ticami noteikt, iegūtā aktīva iegādes izmaksu vērtību nosaka atbilstoši nodotā aktīva uzskaites vērtībai. Budžeta iestāde vērtē iegūto aktīvu šādā veidā pat tad, ja tā nevar uzreiz pārtraukt nodotā aktīva atzīšanu.</w:t>
      </w:r>
    </w:p>
    <w:p w14:paraId="5AFE5FE8" w14:textId="77777777" w:rsidR="00643DFF" w:rsidRPr="00D1188A"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313.</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 xml:space="preserve">Aktīvu, kas iegūts apmaiņā starp budžeta iestādēm, sākotnēji novērtē tā iegūšanas datumā atbilstoši aktīva uzskaites (atlikušajai) vērtībai kādā tas uzskaitīts budžeta iestādē, kura aktīvu nodevusi. </w:t>
      </w:r>
    </w:p>
    <w:p w14:paraId="6BB238B8" w14:textId="77777777" w:rsidR="006333DB" w:rsidRPr="00D1188A"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314.</w:t>
      </w:r>
      <w:r w:rsidR="006333DB" w:rsidRPr="006333DB">
        <w:rPr>
          <w:rFonts w:ascii="Times New Roman" w:hAnsi="Times New Roman" w:cs="Times New Roman"/>
          <w:sz w:val="24"/>
          <w:szCs w:val="24"/>
        </w:rPr>
        <w:t xml:space="preserve"> </w:t>
      </w:r>
      <w:r w:rsidR="006333DB" w:rsidRPr="00D1188A">
        <w:rPr>
          <w:rFonts w:ascii="Times New Roman" w:hAnsi="Times New Roman" w:cs="Times New Roman"/>
          <w:sz w:val="24"/>
          <w:szCs w:val="24"/>
        </w:rPr>
        <w:t xml:space="preserve">Budžeta iestāde turpina aprēķināt nolietojumu ieguldījuma īpašuma atlikušajā lietderīgās lietošanas laikā atbilstoši saņemtajai informācijai par ieguldījuma īpašumu. </w:t>
      </w:r>
    </w:p>
    <w:p w14:paraId="2F36EB33" w14:textId="77777777" w:rsidR="006333DB" w:rsidRPr="00D1188A" w:rsidRDefault="006333D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315.</w:t>
      </w:r>
      <w:r w:rsidRPr="00D1188A">
        <w:rPr>
          <w:rFonts w:ascii="Times New Roman" w:hAnsi="Times New Roman" w:cs="Times New Roman"/>
          <w:sz w:val="24"/>
          <w:szCs w:val="24"/>
        </w:rPr>
        <w:t xml:space="preserve"> Budžeta iestāde ieguldījuma īpašumu uzskaita tajā uzskaites kategorijā, kuru norādījusi budžeta iestāde, kas nodevusi attiecīgo ieguldījuma īpašumu, ja nepieciešams, pēc atzīšanas veicot ieguldījuma īpašuma pārklasifikāciju uz citu uzskaites kategoriju atbilstoši normatīvo aktu prasībām.</w:t>
      </w:r>
    </w:p>
    <w:p w14:paraId="68E9BCD8" w14:textId="77777777" w:rsidR="00643DFF" w:rsidRPr="00742F00" w:rsidRDefault="00742F00" w:rsidP="00CD363C">
      <w:pPr>
        <w:spacing w:after="0" w:line="240" w:lineRule="auto"/>
        <w:ind w:right="-142"/>
        <w:jc w:val="both"/>
        <w:rPr>
          <w:rFonts w:ascii="Times New Roman" w:hAnsi="Times New Roman" w:cs="Times New Roman"/>
          <w:b/>
          <w:sz w:val="24"/>
          <w:szCs w:val="24"/>
        </w:rPr>
      </w:pPr>
      <w:r w:rsidRPr="00742F00">
        <w:rPr>
          <w:rFonts w:ascii="Times New Roman" w:hAnsi="Times New Roman" w:cs="Times New Roman"/>
          <w:b/>
          <w:sz w:val="24"/>
          <w:szCs w:val="24"/>
        </w:rPr>
        <w:t>11.2. Ieguldījuma īpašumu turpmākā novērtēšana</w:t>
      </w:r>
    </w:p>
    <w:p w14:paraId="69FEA8F2" w14:textId="77777777" w:rsidR="00643DFF" w:rsidRPr="00D1188A" w:rsidRDefault="00643DFF" w:rsidP="00CD363C">
      <w:pPr>
        <w:spacing w:after="0" w:line="240" w:lineRule="auto"/>
        <w:ind w:right="-142"/>
        <w:jc w:val="both"/>
        <w:rPr>
          <w:rFonts w:ascii="Times New Roman" w:hAnsi="Times New Roman" w:cs="Times New Roman"/>
          <w:sz w:val="24"/>
          <w:szCs w:val="24"/>
        </w:rPr>
      </w:pPr>
    </w:p>
    <w:p w14:paraId="69A43D21" w14:textId="77777777" w:rsidR="00742F00"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315</w:t>
      </w:r>
      <w:r w:rsidRPr="004C7A65">
        <w:rPr>
          <w:rFonts w:ascii="Times New Roman" w:hAnsi="Times New Roman" w:cs="Times New Roman"/>
          <w:sz w:val="24"/>
          <w:szCs w:val="24"/>
        </w:rPr>
        <w:t>. Pēc sākotnējās atzīšanas budžeta iestāde uzskaita ieguldījuma īpašumu tā izmaksu vērtībā, atskaitot uzkrāto nolietojumu un uzkrāto vērtības samazinājumu.</w:t>
      </w:r>
    </w:p>
    <w:p w14:paraId="5CCA066F" w14:textId="77777777" w:rsidR="00742F00"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316.</w:t>
      </w:r>
      <w:r w:rsidRPr="004C7A65">
        <w:rPr>
          <w:rFonts w:ascii="Times New Roman" w:hAnsi="Times New Roman" w:cs="Times New Roman"/>
          <w:sz w:val="24"/>
          <w:szCs w:val="24"/>
        </w:rPr>
        <w:t xml:space="preserve"> Ieguldījuma īpašuma lietderīgās lietošanas laikā radušās izmaksas, kas uzlabo attiecīgā ieguldījuma īpašuma stāvokli (rekonstrukcija, uzlabošana vai atjaunošana) vai būtiski maina esošā ieguldījuma īpašuma īpašības, salīdzinot ar tā iepriekšējiem rādītājiem, budžeta iestāde iekļauj ieguldījuma īpašuma vērtībā (kapitalizē). </w:t>
      </w:r>
    </w:p>
    <w:p w14:paraId="4D65BC4C" w14:textId="77777777" w:rsidR="00742F00"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317.</w:t>
      </w:r>
      <w:r w:rsidRPr="00742F00">
        <w:rPr>
          <w:rFonts w:ascii="Times New Roman" w:hAnsi="Times New Roman" w:cs="Times New Roman"/>
          <w:sz w:val="24"/>
          <w:szCs w:val="24"/>
        </w:rPr>
        <w:t xml:space="preserve"> </w:t>
      </w:r>
      <w:r w:rsidRPr="004C7A65">
        <w:rPr>
          <w:rFonts w:ascii="Times New Roman" w:hAnsi="Times New Roman" w:cs="Times New Roman"/>
          <w:sz w:val="24"/>
          <w:szCs w:val="24"/>
        </w:rPr>
        <w:t>Budžeta iestāde, iekļaujot kapitalizētās izmaksas ieguldījuma īpašuma vērtībā, palielina aktīva sākotnējo vērtību. Sākot ar nākamo mēnesi, nolietojumu aprēķina no jaunās aktīva vērtības, kurā iekļautas kapitalizētās izmaksas.</w:t>
      </w:r>
    </w:p>
    <w:p w14:paraId="52F57FA2" w14:textId="77777777" w:rsidR="00742F00" w:rsidRPr="004C7A65"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318.</w:t>
      </w:r>
      <w:r w:rsidRPr="00742F00">
        <w:rPr>
          <w:rFonts w:ascii="Times New Roman" w:hAnsi="Times New Roman" w:cs="Times New Roman"/>
          <w:sz w:val="24"/>
          <w:szCs w:val="24"/>
        </w:rPr>
        <w:t xml:space="preserve"> </w:t>
      </w:r>
      <w:r w:rsidRPr="004C7A65">
        <w:rPr>
          <w:rFonts w:ascii="Times New Roman" w:hAnsi="Times New Roman" w:cs="Times New Roman"/>
          <w:sz w:val="24"/>
          <w:szCs w:val="24"/>
        </w:rPr>
        <w:t xml:space="preserve">. Veicot ieguldījuma īpašuma pārbūvi, restaurāciju vai atjaunošanu, aktīva atlikušo lietderīgās lietošanas laiku pārskata, attiecīgi koriģējot nolietojuma aprēķinu kārtējam periodam un nākamajiem periodiem, ja paredzamais lietošanas laiks palielinās: </w:t>
      </w:r>
    </w:p>
    <w:p w14:paraId="2F2E4364" w14:textId="77777777" w:rsidR="00742F00" w:rsidRPr="004C7A65" w:rsidRDefault="00742F00" w:rsidP="00CD363C">
      <w:pPr>
        <w:pStyle w:val="Sarakstarindkopa"/>
        <w:spacing w:after="0" w:line="240" w:lineRule="auto"/>
        <w:ind w:left="0" w:right="-142"/>
        <w:jc w:val="both"/>
        <w:rPr>
          <w:rFonts w:ascii="Times New Roman" w:hAnsi="Times New Roman" w:cs="Times New Roman"/>
          <w:sz w:val="24"/>
          <w:szCs w:val="24"/>
        </w:rPr>
      </w:pPr>
      <w:r>
        <w:rPr>
          <w:rFonts w:ascii="Times New Roman" w:hAnsi="Times New Roman" w:cs="Times New Roman"/>
          <w:sz w:val="24"/>
          <w:szCs w:val="24"/>
        </w:rPr>
        <w:t>318.1.</w:t>
      </w:r>
      <w:r w:rsidRPr="004C7A65">
        <w:rPr>
          <w:rFonts w:ascii="Times New Roman" w:hAnsi="Times New Roman" w:cs="Times New Roman"/>
          <w:sz w:val="24"/>
          <w:szCs w:val="24"/>
        </w:rPr>
        <w:t>būvēm – vairāk par 10 procentiem;</w:t>
      </w:r>
    </w:p>
    <w:p w14:paraId="1CDC2F7E" w14:textId="77777777" w:rsidR="00742F00" w:rsidRDefault="00742F00" w:rsidP="00CD363C">
      <w:pPr>
        <w:pStyle w:val="Sarakstarindkopa"/>
        <w:spacing w:after="0" w:line="240" w:lineRule="auto"/>
        <w:ind w:left="0" w:right="-142"/>
        <w:jc w:val="both"/>
        <w:rPr>
          <w:rFonts w:ascii="Times New Roman" w:hAnsi="Times New Roman" w:cs="Times New Roman"/>
          <w:sz w:val="24"/>
          <w:szCs w:val="24"/>
        </w:rPr>
      </w:pPr>
      <w:r>
        <w:rPr>
          <w:rFonts w:ascii="Times New Roman" w:hAnsi="Times New Roman" w:cs="Times New Roman"/>
          <w:sz w:val="24"/>
          <w:szCs w:val="24"/>
        </w:rPr>
        <w:t>318.2.</w:t>
      </w:r>
      <w:r w:rsidRPr="004C7A65">
        <w:rPr>
          <w:rFonts w:ascii="Times New Roman" w:hAnsi="Times New Roman" w:cs="Times New Roman"/>
          <w:sz w:val="24"/>
          <w:szCs w:val="24"/>
        </w:rPr>
        <w:t>citiem ieguldījuma īpašumiem – vairāk par 50 procentiem.</w:t>
      </w:r>
    </w:p>
    <w:p w14:paraId="4616B849" w14:textId="77777777" w:rsidR="00742F00" w:rsidRDefault="00742F00" w:rsidP="00CD363C">
      <w:pPr>
        <w:spacing w:after="0" w:line="240" w:lineRule="auto"/>
        <w:ind w:right="-142"/>
        <w:jc w:val="both"/>
        <w:rPr>
          <w:i/>
        </w:rPr>
      </w:pPr>
      <w:r w:rsidRPr="00742F00">
        <w:rPr>
          <w:b/>
          <w:i/>
        </w:rPr>
        <w:t>Piemēram,</w:t>
      </w:r>
      <w:r>
        <w:rPr>
          <w:i/>
          <w:spacing w:val="-12"/>
        </w:rPr>
        <w:t xml:space="preserve"> </w:t>
      </w:r>
      <w:r>
        <w:rPr>
          <w:i/>
        </w:rPr>
        <w:t>budžeta</w:t>
      </w:r>
      <w:r>
        <w:rPr>
          <w:i/>
          <w:spacing w:val="-12"/>
        </w:rPr>
        <w:t xml:space="preserve"> </w:t>
      </w:r>
      <w:r>
        <w:rPr>
          <w:i/>
        </w:rPr>
        <w:t>iestāde</w:t>
      </w:r>
      <w:r>
        <w:rPr>
          <w:i/>
          <w:spacing w:val="-11"/>
        </w:rPr>
        <w:t xml:space="preserve"> </w:t>
      </w:r>
      <w:r>
        <w:rPr>
          <w:i/>
        </w:rPr>
        <w:t>veic</w:t>
      </w:r>
      <w:r>
        <w:rPr>
          <w:i/>
          <w:spacing w:val="-12"/>
        </w:rPr>
        <w:t xml:space="preserve"> </w:t>
      </w:r>
      <w:r>
        <w:rPr>
          <w:i/>
        </w:rPr>
        <w:t>renovāciju</w:t>
      </w:r>
      <w:r>
        <w:rPr>
          <w:i/>
          <w:spacing w:val="-9"/>
        </w:rPr>
        <w:t xml:space="preserve"> </w:t>
      </w:r>
      <w:r>
        <w:rPr>
          <w:i/>
        </w:rPr>
        <w:t>ēkā,</w:t>
      </w:r>
      <w:r>
        <w:rPr>
          <w:i/>
          <w:spacing w:val="-9"/>
        </w:rPr>
        <w:t xml:space="preserve"> </w:t>
      </w:r>
      <w:r>
        <w:rPr>
          <w:i/>
        </w:rPr>
        <w:t>kas</w:t>
      </w:r>
      <w:r>
        <w:rPr>
          <w:i/>
          <w:spacing w:val="-9"/>
        </w:rPr>
        <w:t xml:space="preserve"> </w:t>
      </w:r>
      <w:r>
        <w:rPr>
          <w:i/>
        </w:rPr>
        <w:t>uzskaitīta</w:t>
      </w:r>
      <w:r>
        <w:rPr>
          <w:i/>
          <w:spacing w:val="-9"/>
        </w:rPr>
        <w:t xml:space="preserve"> </w:t>
      </w:r>
      <w:r>
        <w:rPr>
          <w:i/>
        </w:rPr>
        <w:t>kā</w:t>
      </w:r>
      <w:r>
        <w:rPr>
          <w:i/>
          <w:spacing w:val="-12"/>
        </w:rPr>
        <w:t xml:space="preserve"> </w:t>
      </w:r>
      <w:r>
        <w:rPr>
          <w:i/>
        </w:rPr>
        <w:t>ieguldījuma</w:t>
      </w:r>
      <w:r>
        <w:rPr>
          <w:i/>
          <w:spacing w:val="-11"/>
        </w:rPr>
        <w:t xml:space="preserve"> </w:t>
      </w:r>
      <w:r>
        <w:rPr>
          <w:i/>
        </w:rPr>
        <w:t>īpašums.</w:t>
      </w:r>
      <w:r>
        <w:rPr>
          <w:i/>
          <w:spacing w:val="-9"/>
        </w:rPr>
        <w:t xml:space="preserve"> </w:t>
      </w:r>
      <w:r>
        <w:rPr>
          <w:i/>
        </w:rPr>
        <w:t>Pieņemot ekspluatācijā veiktos būvdarbus, budžeta iestāde izvērtē ēkas paredzamo lietošanas laiku un secina, ka ēkas paredzamais lietošanas laiks ir 50 gadi. Ēkas atlikušais lietderīgās lietošanas laiks uz būvdarbu pieņemšanas ekspluatācijā brīdi – 432 mēneši jeb 36 gadi. Ņemot vērā to, ka ēkas paredzamais lietošanas laiks ir par vairāk nekā 10% lielāks nekā atlikušais lietderīgās lietošanas laiks, budžeta iestāde koriģē ēkas nolietojuma aprēķinu kārtējam pārskata periodam un</w:t>
      </w:r>
      <w:r>
        <w:rPr>
          <w:i/>
          <w:spacing w:val="-7"/>
        </w:rPr>
        <w:t xml:space="preserve"> </w:t>
      </w:r>
      <w:r>
        <w:rPr>
          <w:i/>
        </w:rPr>
        <w:t>nākamajiem</w:t>
      </w:r>
      <w:r>
        <w:rPr>
          <w:i/>
          <w:spacing w:val="-8"/>
        </w:rPr>
        <w:t xml:space="preserve"> </w:t>
      </w:r>
      <w:r>
        <w:rPr>
          <w:i/>
        </w:rPr>
        <w:t>pārskata</w:t>
      </w:r>
      <w:r>
        <w:rPr>
          <w:i/>
          <w:spacing w:val="-10"/>
        </w:rPr>
        <w:t xml:space="preserve"> </w:t>
      </w:r>
      <w:r>
        <w:rPr>
          <w:i/>
        </w:rPr>
        <w:t>periodiem,</w:t>
      </w:r>
      <w:r>
        <w:rPr>
          <w:i/>
          <w:spacing w:val="-7"/>
        </w:rPr>
        <w:t xml:space="preserve"> </w:t>
      </w:r>
      <w:r>
        <w:rPr>
          <w:i/>
        </w:rPr>
        <w:t>par</w:t>
      </w:r>
      <w:r>
        <w:rPr>
          <w:i/>
          <w:spacing w:val="-6"/>
        </w:rPr>
        <w:t xml:space="preserve"> </w:t>
      </w:r>
      <w:r>
        <w:rPr>
          <w:i/>
        </w:rPr>
        <w:t>pamatu</w:t>
      </w:r>
      <w:r>
        <w:rPr>
          <w:i/>
          <w:spacing w:val="-10"/>
        </w:rPr>
        <w:t xml:space="preserve"> </w:t>
      </w:r>
      <w:r>
        <w:rPr>
          <w:i/>
        </w:rPr>
        <w:t>ņemot</w:t>
      </w:r>
      <w:r>
        <w:rPr>
          <w:i/>
          <w:spacing w:val="-9"/>
        </w:rPr>
        <w:t xml:space="preserve"> </w:t>
      </w:r>
      <w:r>
        <w:rPr>
          <w:i/>
        </w:rPr>
        <w:t>koriģēto</w:t>
      </w:r>
      <w:r>
        <w:rPr>
          <w:i/>
          <w:spacing w:val="-9"/>
        </w:rPr>
        <w:t xml:space="preserve"> </w:t>
      </w:r>
      <w:r>
        <w:rPr>
          <w:i/>
        </w:rPr>
        <w:t>lietderīgās</w:t>
      </w:r>
      <w:r>
        <w:rPr>
          <w:i/>
          <w:spacing w:val="-9"/>
        </w:rPr>
        <w:t xml:space="preserve"> </w:t>
      </w:r>
      <w:r>
        <w:rPr>
          <w:i/>
        </w:rPr>
        <w:t>lietošanas</w:t>
      </w:r>
      <w:r>
        <w:rPr>
          <w:i/>
          <w:spacing w:val="-9"/>
        </w:rPr>
        <w:t xml:space="preserve"> </w:t>
      </w:r>
      <w:r>
        <w:rPr>
          <w:i/>
        </w:rPr>
        <w:t>laiku</w:t>
      </w:r>
      <w:r>
        <w:rPr>
          <w:i/>
          <w:spacing w:val="-2"/>
        </w:rPr>
        <w:t xml:space="preserve"> </w:t>
      </w:r>
      <w:r>
        <w:rPr>
          <w:i/>
        </w:rPr>
        <w:t>–</w:t>
      </w:r>
      <w:r>
        <w:rPr>
          <w:i/>
          <w:spacing w:val="-8"/>
        </w:rPr>
        <w:t xml:space="preserve"> </w:t>
      </w:r>
      <w:r>
        <w:rPr>
          <w:i/>
        </w:rPr>
        <w:t>50 gadi.</w:t>
      </w:r>
    </w:p>
    <w:p w14:paraId="70A8953E" w14:textId="77777777" w:rsidR="00742F00" w:rsidRDefault="00742F00"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r w:rsidRPr="00742F00">
        <w:rPr>
          <w:rFonts w:ascii="Times New Roman" w:hAnsi="Times New Roman" w:cs="Times New Roman"/>
          <w:sz w:val="24"/>
          <w:szCs w:val="24"/>
        </w:rPr>
        <w:t>319. Ieguldījuma īpašumiem pēc pārbūves, restaurācijas vai atjaunošanas nolietojumu aprēķina atlikušajā vai pārskatītajā lietderīgās lietošanas</w:t>
      </w:r>
      <w:r w:rsidRPr="00742F00">
        <w:rPr>
          <w:rFonts w:ascii="Times New Roman" w:hAnsi="Times New Roman" w:cs="Times New Roman"/>
          <w:spacing w:val="-2"/>
          <w:sz w:val="24"/>
          <w:szCs w:val="24"/>
        </w:rPr>
        <w:t xml:space="preserve"> </w:t>
      </w:r>
      <w:r w:rsidRPr="00742F00">
        <w:rPr>
          <w:rFonts w:ascii="Times New Roman" w:hAnsi="Times New Roman" w:cs="Times New Roman"/>
          <w:sz w:val="24"/>
          <w:szCs w:val="24"/>
        </w:rPr>
        <w:t>laikā.</w:t>
      </w:r>
    </w:p>
    <w:p w14:paraId="0E726BBB" w14:textId="77777777" w:rsidR="00742F00" w:rsidRDefault="00742F00"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r w:rsidRPr="00742F00">
        <w:rPr>
          <w:rFonts w:ascii="Times New Roman" w:hAnsi="Times New Roman" w:cs="Times New Roman"/>
          <w:sz w:val="24"/>
          <w:szCs w:val="24"/>
        </w:rPr>
        <w:t>320. Izmaksas, kas radušās, saglabājot vai uzturot ieguldījuma īpašuma esošo stāvokli, kā arī remontējot vai labojot to, budžeta iestāde atzīst kā pamatdarbības izdevumus periodā, kad tie</w:t>
      </w:r>
      <w:r w:rsidRPr="00742F00">
        <w:rPr>
          <w:rFonts w:ascii="Times New Roman" w:hAnsi="Times New Roman" w:cs="Times New Roman"/>
          <w:spacing w:val="-9"/>
          <w:sz w:val="24"/>
          <w:szCs w:val="24"/>
        </w:rPr>
        <w:t xml:space="preserve"> </w:t>
      </w:r>
      <w:r w:rsidRPr="00742F00">
        <w:rPr>
          <w:rFonts w:ascii="Times New Roman" w:hAnsi="Times New Roman" w:cs="Times New Roman"/>
          <w:sz w:val="24"/>
          <w:szCs w:val="24"/>
        </w:rPr>
        <w:t>radušies.</w:t>
      </w:r>
    </w:p>
    <w:p w14:paraId="569B9051" w14:textId="77777777" w:rsidR="00F42B0E" w:rsidRDefault="00742F00"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r w:rsidRPr="00F42B0E">
        <w:rPr>
          <w:rFonts w:ascii="Times New Roman" w:hAnsi="Times New Roman" w:cs="Times New Roman"/>
          <w:sz w:val="24"/>
          <w:szCs w:val="24"/>
        </w:rPr>
        <w:t>321.</w:t>
      </w:r>
      <w:r w:rsidR="00F42B0E" w:rsidRPr="00F42B0E">
        <w:t xml:space="preserve"> </w:t>
      </w:r>
      <w:r w:rsidR="00F42B0E" w:rsidRPr="00F42B0E">
        <w:rPr>
          <w:rFonts w:ascii="Times New Roman" w:hAnsi="Times New Roman" w:cs="Times New Roman"/>
          <w:sz w:val="24"/>
          <w:szCs w:val="24"/>
        </w:rPr>
        <w:t xml:space="preserve">Pēc sākotnējās atzīšanas budžeta iestāde novērtē ieguldījuma īpašumu pēc iegādes izmaksu metodes, proti, iegādes izmaksu vērtībā, no kuras atskaitīts uzkrātais nolietojums un uzkrātais vērtības samazinājums saskaņā ar </w:t>
      </w:r>
      <w:r w:rsidR="00F42B0E">
        <w:rPr>
          <w:rFonts w:ascii="Times New Roman" w:hAnsi="Times New Roman" w:cs="Times New Roman"/>
          <w:sz w:val="24"/>
          <w:szCs w:val="24"/>
        </w:rPr>
        <w:t>Grāmatvedības uzskaites kārtības</w:t>
      </w:r>
      <w:r w:rsidR="00F42B0E" w:rsidRPr="00F42B0E">
        <w:rPr>
          <w:rFonts w:ascii="Times New Roman" w:hAnsi="Times New Roman" w:cs="Times New Roman"/>
          <w:sz w:val="24"/>
          <w:szCs w:val="24"/>
        </w:rPr>
        <w:t xml:space="preserve"> sadaļā</w:t>
      </w:r>
      <w:r w:rsidR="00F42B0E" w:rsidRPr="00F42B0E">
        <w:rPr>
          <w:rFonts w:ascii="Times New Roman" w:hAnsi="Times New Roman" w:cs="Times New Roman"/>
          <w:color w:val="0462C1"/>
          <w:sz w:val="24"/>
          <w:szCs w:val="24"/>
        </w:rPr>
        <w:t xml:space="preserve"> </w:t>
      </w:r>
      <w:r w:rsidR="00F42B0E" w:rsidRPr="00F42B0E">
        <w:rPr>
          <w:rFonts w:ascii="Times New Roman" w:hAnsi="Times New Roman" w:cs="Times New Roman"/>
          <w:color w:val="0462C1"/>
          <w:sz w:val="24"/>
          <w:szCs w:val="24"/>
          <w:u w:val="single" w:color="0462C1"/>
        </w:rPr>
        <w:t>“</w:t>
      </w:r>
      <w:hyperlink w:anchor="_bookmark33" w:history="1">
        <w:r w:rsidR="00F42B0E" w:rsidRPr="00F42B0E">
          <w:rPr>
            <w:rFonts w:ascii="Times New Roman" w:hAnsi="Times New Roman" w:cs="Times New Roman"/>
            <w:color w:val="0462C1"/>
            <w:sz w:val="24"/>
            <w:szCs w:val="24"/>
            <w:u w:val="single" w:color="0462C1"/>
          </w:rPr>
          <w:t>Pamatlīdzekļu uzskaite</w:t>
        </w:r>
      </w:hyperlink>
      <w:r w:rsidR="00F42B0E" w:rsidRPr="00F42B0E">
        <w:rPr>
          <w:rFonts w:ascii="Times New Roman" w:hAnsi="Times New Roman" w:cs="Times New Roman"/>
          <w:color w:val="0462C1"/>
          <w:sz w:val="24"/>
          <w:szCs w:val="24"/>
          <w:u w:val="single" w:color="0462C1"/>
        </w:rPr>
        <w:t>”</w:t>
      </w:r>
      <w:r w:rsidR="00F42B0E" w:rsidRPr="00F42B0E">
        <w:rPr>
          <w:rFonts w:ascii="Times New Roman" w:hAnsi="Times New Roman" w:cs="Times New Roman"/>
          <w:color w:val="0462C1"/>
          <w:sz w:val="24"/>
          <w:szCs w:val="24"/>
        </w:rPr>
        <w:t xml:space="preserve"> </w:t>
      </w:r>
      <w:r w:rsidR="00F42B0E" w:rsidRPr="00F42B0E">
        <w:rPr>
          <w:rFonts w:ascii="Times New Roman" w:hAnsi="Times New Roman" w:cs="Times New Roman"/>
          <w:sz w:val="24"/>
          <w:szCs w:val="24"/>
        </w:rPr>
        <w:t>noteiktajiem</w:t>
      </w:r>
      <w:r w:rsidR="00F42B0E" w:rsidRPr="00F42B0E">
        <w:rPr>
          <w:rFonts w:ascii="Times New Roman" w:hAnsi="Times New Roman" w:cs="Times New Roman"/>
          <w:spacing w:val="-25"/>
          <w:sz w:val="24"/>
          <w:szCs w:val="24"/>
        </w:rPr>
        <w:t xml:space="preserve"> </w:t>
      </w:r>
      <w:r w:rsidR="00F42B0E" w:rsidRPr="00F42B0E">
        <w:rPr>
          <w:rFonts w:ascii="Times New Roman" w:hAnsi="Times New Roman" w:cs="Times New Roman"/>
          <w:sz w:val="24"/>
          <w:szCs w:val="24"/>
        </w:rPr>
        <w:t>principiem.</w:t>
      </w:r>
    </w:p>
    <w:p w14:paraId="28FC53C9" w14:textId="77777777" w:rsidR="00F42B0E" w:rsidRDefault="00F42B0E"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p>
    <w:p w14:paraId="7327101F" w14:textId="77777777" w:rsidR="00F42B0E" w:rsidRDefault="00F42B0E" w:rsidP="00CD363C">
      <w:pPr>
        <w:widowControl w:val="0"/>
        <w:tabs>
          <w:tab w:val="left" w:pos="958"/>
        </w:tabs>
        <w:autoSpaceDE w:val="0"/>
        <w:autoSpaceDN w:val="0"/>
        <w:spacing w:after="0" w:line="240" w:lineRule="auto"/>
        <w:ind w:right="-142"/>
        <w:jc w:val="both"/>
        <w:rPr>
          <w:rFonts w:ascii="Times New Roman" w:hAnsi="Times New Roman" w:cs="Times New Roman"/>
          <w:b/>
          <w:sz w:val="24"/>
          <w:szCs w:val="24"/>
        </w:rPr>
      </w:pPr>
      <w:r w:rsidRPr="00F42B0E">
        <w:rPr>
          <w:rFonts w:ascii="Times New Roman" w:hAnsi="Times New Roman" w:cs="Times New Roman"/>
          <w:b/>
          <w:sz w:val="24"/>
          <w:szCs w:val="24"/>
        </w:rPr>
        <w:t>11.3. Ieguldījuma īpašumu nolietojums</w:t>
      </w:r>
    </w:p>
    <w:p w14:paraId="3CA267C1" w14:textId="77777777" w:rsidR="00305719" w:rsidRPr="004C7A65" w:rsidRDefault="00F42B0E" w:rsidP="00CD363C">
      <w:pPr>
        <w:spacing w:after="0" w:line="240" w:lineRule="auto"/>
        <w:ind w:right="-142"/>
        <w:jc w:val="both"/>
        <w:rPr>
          <w:rFonts w:ascii="Times New Roman" w:hAnsi="Times New Roman" w:cs="Times New Roman"/>
          <w:sz w:val="24"/>
          <w:szCs w:val="24"/>
        </w:rPr>
      </w:pPr>
      <w:r w:rsidRPr="00F42B0E">
        <w:rPr>
          <w:rFonts w:ascii="Times New Roman" w:hAnsi="Times New Roman" w:cs="Times New Roman"/>
          <w:sz w:val="24"/>
          <w:szCs w:val="24"/>
        </w:rPr>
        <w:t>322.</w:t>
      </w:r>
      <w:r w:rsidR="00305719" w:rsidRPr="004C7A65">
        <w:rPr>
          <w:rFonts w:ascii="Times New Roman" w:hAnsi="Times New Roman" w:cs="Times New Roman"/>
          <w:sz w:val="24"/>
          <w:szCs w:val="24"/>
        </w:rPr>
        <w:t xml:space="preserve"> Ieguldījuma īpašuma nolietojumu aprēķina atbilstoši tā paredzamajam lietderīgās lietošanas laikam, kas noteikts atbilstoši spēkā esošo normatīvo aktu prasībām. </w:t>
      </w:r>
    </w:p>
    <w:p w14:paraId="3D731F92"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321</w:t>
      </w:r>
      <w:r w:rsidRPr="004C7A65">
        <w:rPr>
          <w:rFonts w:ascii="Times New Roman" w:hAnsi="Times New Roman" w:cs="Times New Roman"/>
          <w:sz w:val="24"/>
          <w:szCs w:val="24"/>
        </w:rPr>
        <w:t>. Budžeta iestāde uzsāk ieguldījuma īpašuma nolietojuma aprēķināšanu ar nākamā mēneša pirmo datumu pēc ieguldījuma īpašuma nodošanas lietošanā.</w:t>
      </w:r>
    </w:p>
    <w:p w14:paraId="048EF052"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w:t>
      </w:r>
      <w:r w:rsidRPr="004C7A65">
        <w:rPr>
          <w:rFonts w:ascii="Times New Roman" w:hAnsi="Times New Roman" w:cs="Times New Roman"/>
          <w:sz w:val="24"/>
          <w:szCs w:val="24"/>
        </w:rPr>
        <w:t xml:space="preserve">. Budžeta iestāde beidz aprēķināt ieguldījuma īpašuma nolietojumu ar nākamā mēneša pirmo datumu sekojošos gadījumos: </w:t>
      </w:r>
    </w:p>
    <w:p w14:paraId="7AA629D1"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322.1.</w:t>
      </w:r>
      <w:r w:rsidRPr="004C7A65">
        <w:rPr>
          <w:rFonts w:ascii="Times New Roman" w:hAnsi="Times New Roman" w:cs="Times New Roman"/>
          <w:sz w:val="24"/>
          <w:szCs w:val="24"/>
        </w:rPr>
        <w:t xml:space="preserve">pēc ieguldījuma īpašuma izslēgšanas no uzskaites; </w:t>
      </w:r>
    </w:p>
    <w:p w14:paraId="539F2153"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322.2.</w:t>
      </w:r>
      <w:r w:rsidRPr="004C7A65">
        <w:rPr>
          <w:rFonts w:ascii="Times New Roman" w:hAnsi="Times New Roman" w:cs="Times New Roman"/>
          <w:sz w:val="24"/>
          <w:szCs w:val="24"/>
        </w:rPr>
        <w:t xml:space="preserve">klasificējot ieguldījuma īpašumu kā atsavināšanai paredzētu ilgtermiņa ieguldījumu; </w:t>
      </w:r>
    </w:p>
    <w:p w14:paraId="1ACE444C"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322.3.</w:t>
      </w:r>
      <w:r w:rsidRPr="004C7A65">
        <w:rPr>
          <w:rFonts w:ascii="Times New Roman" w:hAnsi="Times New Roman" w:cs="Times New Roman"/>
          <w:sz w:val="24"/>
          <w:szCs w:val="24"/>
        </w:rPr>
        <w:t>pēc nolietojamās vērtības pilnīgas iekļaušanas nolietojuma aprēķinā.</w:t>
      </w:r>
    </w:p>
    <w:p w14:paraId="761ED499"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323</w:t>
      </w:r>
      <w:r w:rsidRPr="004C7A65">
        <w:rPr>
          <w:rFonts w:ascii="Times New Roman" w:hAnsi="Times New Roman" w:cs="Times New Roman"/>
          <w:sz w:val="24"/>
          <w:szCs w:val="24"/>
        </w:rPr>
        <w:t>. Budžeta iestāde turpina ieguldījuma īpašuma nolietojuma aprēķinu arī tajā laikā, kad to nelieto, izņemot gadījumus, ja ieguldījuma īpašuma vērtība ir 14 pilnīgi nolietota vai tas ir klasificēts kā atsavināšanai paredzēts ilgtermiņa ieguldījums.</w:t>
      </w:r>
    </w:p>
    <w:p w14:paraId="17CEEC3E"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324</w:t>
      </w:r>
      <w:r w:rsidRPr="004C7A65">
        <w:rPr>
          <w:rFonts w:ascii="Times New Roman" w:hAnsi="Times New Roman" w:cs="Times New Roman"/>
          <w:sz w:val="24"/>
          <w:szCs w:val="24"/>
        </w:rPr>
        <w:t xml:space="preserve">. Ieguldījuma īpašumu nolietojumu aprēķina sistemātiski pēc lineārās metodes tā lietderīgās lietošanas laikā un atzīst kā ieguldījuma īpašuma uzkrāto nolietojumu un pārskata perioda izdevumus atbilstoši pārskatu sagatavošanas periodiem, bet ne retāk kā reizi pārskata periodā. </w:t>
      </w:r>
    </w:p>
    <w:p w14:paraId="7849C755" w14:textId="77777777" w:rsidR="00305719" w:rsidRPr="004C7A65" w:rsidRDefault="00305719" w:rsidP="00CD363C">
      <w:pPr>
        <w:spacing w:after="0" w:line="240" w:lineRule="auto"/>
        <w:ind w:right="-142"/>
        <w:jc w:val="both"/>
        <w:rPr>
          <w:rFonts w:ascii="Times New Roman" w:hAnsi="Times New Roman" w:cs="Times New Roman"/>
          <w:sz w:val="24"/>
          <w:szCs w:val="24"/>
        </w:rPr>
      </w:pPr>
      <w:r w:rsidRPr="004C7A65">
        <w:rPr>
          <w:rFonts w:ascii="Times New Roman" w:hAnsi="Times New Roman" w:cs="Times New Roman"/>
          <w:sz w:val="24"/>
          <w:szCs w:val="24"/>
        </w:rPr>
        <w:t xml:space="preserve">D 7000* Pamatdarbības izdevumi </w:t>
      </w:r>
    </w:p>
    <w:p w14:paraId="41710CA7" w14:textId="77777777" w:rsidR="00305719" w:rsidRPr="004C7A65" w:rsidRDefault="00305719" w:rsidP="00CD363C">
      <w:pPr>
        <w:spacing w:after="0" w:line="240" w:lineRule="auto"/>
        <w:ind w:right="-142"/>
        <w:jc w:val="both"/>
        <w:rPr>
          <w:rFonts w:ascii="Times New Roman" w:hAnsi="Times New Roman" w:cs="Times New Roman"/>
          <w:sz w:val="24"/>
          <w:szCs w:val="24"/>
        </w:rPr>
      </w:pPr>
      <w:r w:rsidRPr="004C7A65">
        <w:rPr>
          <w:rFonts w:ascii="Times New Roman" w:hAnsi="Times New Roman" w:cs="Times New Roman"/>
          <w:sz w:val="24"/>
          <w:szCs w:val="24"/>
        </w:rPr>
        <w:t>K 1590 Ieguldījuma īpašumu nolietojums un vērtības samazinājums</w:t>
      </w:r>
    </w:p>
    <w:p w14:paraId="28FF376A" w14:textId="77777777" w:rsidR="00305719" w:rsidRPr="004C7A65" w:rsidRDefault="00305719" w:rsidP="00CD363C">
      <w:pPr>
        <w:spacing w:after="0" w:line="240" w:lineRule="auto"/>
        <w:ind w:right="-142"/>
        <w:jc w:val="both"/>
        <w:rPr>
          <w:rFonts w:ascii="Times New Roman" w:hAnsi="Times New Roman" w:cs="Times New Roman"/>
          <w:sz w:val="24"/>
          <w:szCs w:val="24"/>
        </w:rPr>
      </w:pPr>
      <w:r w:rsidRPr="004C7A65">
        <w:rPr>
          <w:rFonts w:ascii="Times New Roman" w:hAnsi="Times New Roman" w:cs="Times New Roman"/>
          <w:sz w:val="24"/>
          <w:szCs w:val="24"/>
        </w:rPr>
        <w:t xml:space="preserve"> *budžeta iestāde grāmatvedības uzskaites kārtībā nosaka analītisku izdevumu uzskaiti</w:t>
      </w:r>
    </w:p>
    <w:p w14:paraId="61FDA1B1" w14:textId="77777777" w:rsidR="00F42B0E" w:rsidRPr="00F42B0E" w:rsidRDefault="00F42B0E"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p>
    <w:p w14:paraId="5A30E861" w14:textId="77777777" w:rsidR="00F42B0E" w:rsidRPr="00F42B0E" w:rsidRDefault="00305719" w:rsidP="00CD363C">
      <w:pPr>
        <w:widowControl w:val="0"/>
        <w:tabs>
          <w:tab w:val="left" w:pos="958"/>
        </w:tabs>
        <w:autoSpaceDE w:val="0"/>
        <w:autoSpaceDN w:val="0"/>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11.4. Ieguldījuma īpašumu vērtības samazināšanās</w:t>
      </w:r>
    </w:p>
    <w:p w14:paraId="214FAC5A"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325</w:t>
      </w:r>
      <w:r w:rsidRPr="004C7A65">
        <w:rPr>
          <w:rFonts w:ascii="Times New Roman" w:hAnsi="Times New Roman" w:cs="Times New Roman"/>
          <w:sz w:val="24"/>
          <w:szCs w:val="24"/>
        </w:rPr>
        <w:t xml:space="preserve">. Katra pārskata perioda beigās novērtē, vai nepastāv pazīmes, kas norāda uz ieguldījuma īpašumu vērtības būtisku samazinājumu. </w:t>
      </w:r>
    </w:p>
    <w:p w14:paraId="0893CDBE"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326</w:t>
      </w:r>
      <w:r w:rsidRPr="004C7A65">
        <w:rPr>
          <w:rFonts w:ascii="Times New Roman" w:hAnsi="Times New Roman" w:cs="Times New Roman"/>
          <w:sz w:val="24"/>
          <w:szCs w:val="24"/>
        </w:rPr>
        <w:t>. Budžeta iestāde izvērtē vismaz šādas pazīmes attiecībā uz ieguldījuma īpašumu:</w:t>
      </w:r>
    </w:p>
    <w:p w14:paraId="2948ABB8"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326</w:t>
      </w:r>
      <w:r w:rsidRPr="00517882">
        <w:rPr>
          <w:rFonts w:ascii="Times New Roman" w:hAnsi="Times New Roman" w:cs="Times New Roman"/>
          <w:sz w:val="24"/>
          <w:szCs w:val="24"/>
        </w:rPr>
        <w:t>.1.pārskata periodā tehnoloģiskajā, tirgus, ekonomiskajā vai juridiskajā vidē, kurā darbojas budžeta iestāde, vai tirgos, kuros ieguldījuma īpašums tiek izmantots, ir notikušas izmaiņas, kas nelabvēlīgi ietekmē budžeta iestādi. Piemēram, stājas spēkā tiesību aktos noteikts ierobežojums konkrētai iestādei iznomāt tās valdījumā esošos nekustamos īpašumus trešajām personām;</w:t>
      </w:r>
    </w:p>
    <w:p w14:paraId="63F08670"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6.2.pārskata periodā ir vismaz par vienu procentu palielinājusies diskonta likme, kas lietota, lai aprēķinātu aktīva lietošanas vērtību. Piemēram, pārskata periodā diskonta likme ir noteikta 7%, bet pēdējā aktīva lietošanas vērtības aprēķinā tika izmantota tā brīža aktuālā likme 6% - šajā gadījumā diskonta likme ir palielinājusies par 1% absolūtajās vienībās;</w:t>
      </w:r>
    </w:p>
    <w:p w14:paraId="1D62534D"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6.3.ieguldījuma īpašums ir novecojis vai fiziski bojāts, piemēram, ugunsgrēkā vai kanalizācijas avārijas rezultātā bojāta daļa no ēkas;</w:t>
      </w:r>
    </w:p>
    <w:p w14:paraId="602277EE"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6.4.budžeta iestādes darbībā notikušas vai tuvākajā laikā gaidāmas ilgtermiņa izmaiņas, kas negatīvi ietekmē ieguldījuma īpašuma paredzēto lietojumu. Šajās izmaiņās ietverta ieguldījuma īpašuma dīkstāve vai likvidēšana pirms iepriekš paredzētā lietošanas termiņa beigām;</w:t>
      </w:r>
    </w:p>
    <w:p w14:paraId="255FBFD4"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6.5.pieņemts lēmums apturēt ieguldījuma īpašuma izveidošanu pirms tā pabeigšanas vai nodošanas lietošanā (ekspluatācijā). Piemēram, pārskata periodā pieņemts lēmums uz nenoteiktu laiku apturēt ēkas rekonstrukciju, kas uzsākta iepriekšējos pārskata periodos;</w:t>
      </w:r>
    </w:p>
    <w:p w14:paraId="654EDDBD"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6.6.ar ieguldījuma īpašumu saistīto budžetā paredzēto ienākošo un izejošo naudas plūsmu kopsummas vai budžeta izpildes rezultāta samazināšanos vismaz par 50%, piemēram, ieguldījuma īpašuma uzturēšanas izmaksu būtisks palielinājums salīdzinot ar sākotnēji plānotajām izmaksām;</w:t>
      </w:r>
    </w:p>
    <w:p w14:paraId="1D9D7E91" w14:textId="77777777" w:rsidR="00305719"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6.7.un citas pazīmes, kas liecina par ieguldījuma īpašuma vērtības samazināšanos. Piemēram, no budžeta iestādes iekšējās informācijas (piemēram, struktūrvienību sniegtajiem pārskatiem) ir pieejami pierādījumi, kas liecina, ka pārskata periodā ir būtiski lielākas ieguldījuma īpašuma izmantošanas vai uzturēšanas izmaksas nekā sākotnēji paredzēts budžetā.</w:t>
      </w:r>
    </w:p>
    <w:p w14:paraId="3E0D5186"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327</w:t>
      </w:r>
      <w:r w:rsidRPr="004C7A65">
        <w:rPr>
          <w:rFonts w:ascii="Times New Roman" w:hAnsi="Times New Roman" w:cs="Times New Roman"/>
          <w:sz w:val="24"/>
          <w:szCs w:val="24"/>
        </w:rPr>
        <w:t xml:space="preserve">. Ja pastāv kāda no iepriekš minētajām pazīmēm, budžeta iestāde veic attiecīgā ieguldījuma īpašuma atgūstamās vērtības aplēsi. Ja nav konstatējamas pazīmes, kas varētu liecināt par aktīva vērtības samazināšanos, budžeta iestādei nav nepieciešams novērtēt aktīva atgūstamo vērtību un veikt tālākos pasākumus ieguldījuma īpašuma vērtības samazinājuma izvērtēšanai. </w:t>
      </w:r>
    </w:p>
    <w:p w14:paraId="1FFD5B25"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4C7A65">
        <w:rPr>
          <w:rFonts w:ascii="Times New Roman" w:hAnsi="Times New Roman" w:cs="Times New Roman"/>
          <w:sz w:val="24"/>
          <w:szCs w:val="24"/>
        </w:rPr>
        <w:t>8. Ja pastāv vismaz viena no iepriekšminētajām pazīmēm, vispirms izvērtē, vai iespējams noteikt ieguldījuma īpašuma patieso vērtību, atskaitot atsavināšanas izmaksas.</w:t>
      </w:r>
    </w:p>
    <w:p w14:paraId="559E6FA2"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4C7A65">
        <w:rPr>
          <w:rFonts w:ascii="Times New Roman" w:hAnsi="Times New Roman" w:cs="Times New Roman"/>
          <w:sz w:val="24"/>
          <w:szCs w:val="24"/>
        </w:rPr>
        <w:t>9. Ieguldījuma īpašuma patieso vērtību iespējams noteikt šādos gadījumos:</w:t>
      </w:r>
    </w:p>
    <w:p w14:paraId="3A2D87D9"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9.1.ar nesaistītu personu ir noslēgts saistošs līgums par attiecīgā ieguldījuma īpašuma pārdošanu, kurā ir norādīta pārdošanas cena un ir zināmas visas saistītās atsavināšanas (pārdošanas) izmaksas;</w:t>
      </w:r>
    </w:p>
    <w:p w14:paraId="7FC15C2E"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9.2.ja nav pieejami saistoši pārdošanas līgumi, bet ieguldījuma īpašums ir tirgots aktīvā tirgū, tad patiesā vērtība ir ieguldījuma īpašuma tirgus vērtība (pašreizējā piedāvājuma cena). Ja pašreizējās piedāvājuma cenas nav pieejamas, ieguldījuma īpašuma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atšķirības novērstu;</w:t>
      </w:r>
    </w:p>
    <w:p w14:paraId="37FA5470"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9.3.ja nav pieejami saistoši pārdošanas līgumi un nepastāv aktīvs tirgus, patieso vērtību nosaka atbilstoši pieejamajai informācijai par vērtību, kādu budžeta iestāde varētu iegūt no ieguldījuma īpašuma pārdošanas nesaistītai personai aprēķinu datumā. Šīs vērtības noteikšanai var izvērtēt nesenu līdzīgu darījumu tajā pašā nozarē vai saimnieciskās darbības jomā. Šajā gadījumā koriģē līdzīga darījuma tirgus cenu, lai novērstu ekonomisko apstākļu atšķirības.</w:t>
      </w:r>
    </w:p>
    <w:p w14:paraId="19860CC1"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330</w:t>
      </w:r>
      <w:r w:rsidRPr="00701747">
        <w:rPr>
          <w:rFonts w:ascii="Times New Roman" w:hAnsi="Times New Roman" w:cs="Times New Roman"/>
          <w:sz w:val="24"/>
          <w:szCs w:val="24"/>
        </w:rPr>
        <w:t xml:space="preserve">. Ja ieguldījuma īpašuma patiesā vērtība, atskaitot atsavināšanas izmaksas, pārsniedz tā uzskaites (atlikušo) vērtību, ieguldījuma īpašuma lietošanas vērtību neaprēķina un vērtības samazinājumu neveic. </w:t>
      </w:r>
    </w:p>
    <w:p w14:paraId="46A40734" w14:textId="77777777" w:rsidR="00305719" w:rsidRPr="00701747" w:rsidRDefault="00305719" w:rsidP="00CD363C">
      <w:pPr>
        <w:spacing w:after="0" w:line="240" w:lineRule="auto"/>
        <w:ind w:right="-290"/>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 xml:space="preserve">1. Ja ieguldījuma īpašuma patiesā vērtība, atskaitot atsavināšanas izmaksas, ir mazāka par tā uzskaites (atlikušo) vērtību vai to nav iespējams noteikt, nosaka ieguldījuma īpašuma lietošanas vērtību. </w:t>
      </w:r>
    </w:p>
    <w:p w14:paraId="1DB52D7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2. Ieguldījuma īpašuma lietošanas vērtību nosaka, aplēšot nākotnes ienākošo un izejošo naudas plūsmu pašreizējo (diskontēto) vērtību, ko budžeta iestāde plāno saņemt no turpmākas ieguldījuma īpašuma lietošanas tā pašreizējā stāvoklī un no tā atsavināšanas lietderīgās lietošanas laika beigās, ņemot vērā šo plūsmu apjoma vai rašanās laika iespējamās izmaiņas. Pašreizējo vērtību aprēķina, izmantojot atbilstošu Valsts kases interneta vietnē publicētu diskonta likmi.</w:t>
      </w:r>
    </w:p>
    <w:p w14:paraId="4A9EAE7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3. Nākotnes naudas plūsmu prognožu pamatā piemēro:</w:t>
      </w:r>
    </w:p>
    <w:p w14:paraId="4498ACFA" w14:textId="77777777" w:rsidR="00305719"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3.1.saprātīgus un pamatotus pieņēmumus, kas uzrāda visprecīzāko aplēsi par to saimniecisko apstākļu kopumu, kuri pastāvēs aktīva atlikušajā lietderīgās lietošanas laikā. Pieņēmumi atbilst pagātnes prognožu faktiskajam iznākumam, ja vien turpmākie notikumi vai apstākļi, kas nepastāvēja tad, kad šīs faktiskās naudas plūsmas radās, nenosaka atšķirīgu pieeju;</w:t>
      </w:r>
    </w:p>
    <w:p w14:paraId="3030DC2C"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3.2.aktuālo budžetu un prognozes par laika periodu, kas nepārsniedz piecus gadus, bet izslēdz jebkuras prognozētās nākotnes ienākošās vai izejošās naudas plūsmas, kas varētu rasties no nākotnes darbību pārstrukturēšanas, aktīvu darbības uzlabošanas vai veicināšanas;</w:t>
      </w:r>
    </w:p>
    <w:p w14:paraId="5D7B464B"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3.3.nemainīgu vai samazinošu pieauguma likmi turpmākajiem gadiem līdz aktīva lietderīgās lietošanas laika beigām, ja vien nevar pamatot pieaugošas likmes lietošanu. Minētā pieauguma likme nepārsniedz ilgtermiņa vidējo pieauguma likmi nozarē, valstī vai tirgū, kurā attiecīgo aktīvu izmanto, ja vien nevar pamatot augstākas likmes piemērošanu.</w:t>
      </w:r>
    </w:p>
    <w:p w14:paraId="5D44A1EE"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3.4.nākotnes naudas plūsmu aplēses ietver ienākošo naudas plūsmu prognozes saistībā ar ilgstošu ieguldījuma īpašumu lietošanu, t.i., naudas ieņēmumus un naudas ekvivalentus, kas jāsaņem no personām ārpus budžeta iestādes;</w:t>
      </w:r>
    </w:p>
    <w:p w14:paraId="2D051CE0"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3.5.zejošo naudas plūsmu prognozes, kuras nepieciešamas, lai radītu naudas līdzekļu saņemšanu ilgstošas ieguldījuma īpašuma lietošanas rezultātā, tai skaitā izejošas naudas plūsmas, lai sagatavotu ieguldījuma īpašumu lietošanai, un tā ikdienas apkalpošanai, tā pašreizējā stāvoklī, un kuras var tieši vai pamatoti un konsekventi attiecināt uz attiecīgo ieguldījuma īpašumu. Ieguldījuma īpašuma izveidošanas vai nepabeigtās būvniecības gadījumā izejošās naudas plūsmas ietver to turpmāko izejošo naudas plūsmu aplēsi, kuras paredzamas, pirms ieguldījuma īpašums būs gatavs lietošanai vai pārdošanai.</w:t>
      </w:r>
    </w:p>
    <w:p w14:paraId="3831890E" w14:textId="77777777" w:rsidR="00305719" w:rsidRPr="00701747" w:rsidRDefault="0030571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3.6.neto naudas plūsmas, kuras jāsaņem (vai jāmaksā) saistībā ar ieguldījuma īpašuma atsavināšanu tā lietderīgās lietošanas laika beigās. Naudas plūsmas aplēš, izmantojot cenas, kādas ir spēkā aplēses noteikšanas dienā līdzīgiem ieguldījuma īpašumiem, kuru lietderīgās lietošanas laiks ir beidzies un kuri darbojušies līdzīgos apstākļos. Attiecīgās cenas koriģē, lai ņemtu vērā nākotnes cenu pieaugumu vai samazinājumu.</w:t>
      </w:r>
    </w:p>
    <w:p w14:paraId="5F63A318"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 xml:space="preserve">4. Veicot nākotnes naudas plūsmu aplēses, ņem vērā specifisku nākotnes cenu pieaugumu vai samazinājumu, izņemot cenas pieaugumu vispārējas inflācijas dēļ. </w:t>
      </w:r>
    </w:p>
    <w:p w14:paraId="0C74B4BA" w14:textId="77777777" w:rsidR="00305719"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5. Gadījumos, kad ieguldījuma īpašuma uzskaites vērtībā vēl nav iekļautas visas izejošās naudas plūsmas, kuras radīsies, pirms ieguldījuma īpašums būs gatavs lietošanai vai pārdošanai, nākotnes naudas plūsmu aplēse ietver to turpmāko izejošo naudas plūsmu aplēsi, kuras paredzamas, pirms ieguldījuma īpašums būs gatavs lietošanai vai pārdošanai.</w:t>
      </w:r>
    </w:p>
    <w:p w14:paraId="7445F159" w14:textId="77777777" w:rsidR="00305719" w:rsidRPr="00701747" w:rsidRDefault="0030571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6. Nākotnes naudas plūsmu aplēses jāveic ieguldījuma īpašumam tā pašreizējā stāvoklī. Nākotnes naudas plūsmu aplēses nedrīkst ietvert nākotnes ienākošās vai izejošās naudas plūsmu aplēses, kas paredzamas saistībā ar turpmāko pārstrukturēšanu,</w:t>
      </w:r>
      <w:r w:rsidRPr="00305719">
        <w:rPr>
          <w:rFonts w:ascii="Times New Roman" w:hAnsi="Times New Roman" w:cs="Times New Roman"/>
          <w:sz w:val="24"/>
          <w:szCs w:val="24"/>
        </w:rPr>
        <w:t xml:space="preserve"> </w:t>
      </w:r>
      <w:r w:rsidRPr="00565383">
        <w:rPr>
          <w:rFonts w:ascii="Times New Roman" w:hAnsi="Times New Roman" w:cs="Times New Roman"/>
          <w:sz w:val="24"/>
          <w:szCs w:val="24"/>
        </w:rPr>
        <w:t>ko budžeta iestāde vēl nav apņēmusies veikt, vai ieguldījuma īpašuma darbības uzlabošanu vai veicināšanu.</w:t>
      </w:r>
    </w:p>
    <w:p w14:paraId="3A48E2DC"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7. Nākotnes naudas plūsmu aplēsēs neietver:</w:t>
      </w:r>
    </w:p>
    <w:p w14:paraId="1933F1C2"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7.1.ienākošās vai izejošās naudas plūsmas no finansēšanas darbības;</w:t>
      </w:r>
    </w:p>
    <w:p w14:paraId="78CE5F2A" w14:textId="77777777" w:rsidR="00305719" w:rsidRPr="00565383" w:rsidRDefault="0030571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7.2.aplēsto nākotnes ienākošo naudas plūsmu, kura sagaidāma no saimniecisko labumu palielināšanās no ieguldījuma īpašuma, līdz brīdim, kamēr budžeta iestādei rodas izejošās naudas plūsmas, kas uzlabo attiecīgā ieguldījuma īpašuma darbību.</w:t>
      </w:r>
    </w:p>
    <w:p w14:paraId="2025B73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8. Lai izvairītos no dubultas uzskaites, nākotnes naudas plūsmu aplēses neietver:</w:t>
      </w:r>
    </w:p>
    <w:p w14:paraId="61F33EB4"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8.1.ienākošās naudas plūsmas no citiem aktīviem, kuras lielā mērā ir neatkarīgas no ienākošām naudas plūsmām, ko rada ieguldījuma īpašums, piemēram, tādi finanšu aktīvi kā prasības;</w:t>
      </w:r>
    </w:p>
    <w:p w14:paraId="4BB96B49"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 xml:space="preserve">8.2.izejošās naudas plūsmas, kas saistītas ar pienākumiem, kas atzīti par saistībām, piemēram, saistības pret piegādātājiem un darba uzņēmējiem vai uzkrājumi. </w:t>
      </w:r>
    </w:p>
    <w:p w14:paraId="2355BEF1"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9. Nākotnes naudas plūsmas aplēš valūtā, kurā tās radīsies, un pēc tam diskontē, izmantojot šai valūtai atbilstošu Valsts kases interneta vietnē publicētu diskonta likmi. Budžeta iestāde aprēķina pašreizējo vērtību, izmantojot valūtas kursu lietošanas vērtības aprēķina dienā.</w:t>
      </w:r>
    </w:p>
    <w:p w14:paraId="2B8ADAD9"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340</w:t>
      </w:r>
      <w:r w:rsidRPr="00701747">
        <w:rPr>
          <w:rFonts w:ascii="Times New Roman" w:hAnsi="Times New Roman" w:cs="Times New Roman"/>
          <w:sz w:val="24"/>
          <w:szCs w:val="24"/>
        </w:rPr>
        <w:t>. Budžeta iestāde aprēķināto attiecīgo aktīva lietošanas vērtību salīdzina ar tā patieso vērtību, atskaitot atsavināšanas izmaksas. Aktīvu novērtē atgūstamajā vērtībā, kas ir lielākā no šīm abām vērtībām. Ja aktīva patieso vērtību nav iespējams noteikt, par tā atgūstamo vērtību nosaka lietošanas vērtību.</w:t>
      </w:r>
    </w:p>
    <w:p w14:paraId="08FA929F"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1. Budžeta iestāde salīdzina ieguldījuma īpašuma atgūstamo vērtību ar ieguldījuma īpašuma uzskaites vērtību, lai noteiktu, vai pastāv ieguldījuma īpašuma vērtības samazinājums.</w:t>
      </w:r>
    </w:p>
    <w:p w14:paraId="0FD7A4C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2. Ja ieguldījuma īpašuma atgūstamā vērtība ir mazāka par tā uzskaites vērtību, tad budžeta iestāde atzīst ieguldījuma īpašuma vērtības samazinājumu līdz tā atgūstamajai vērtībai un pārējos izdevumus, veicot sekojošu grāmatojumu:</w:t>
      </w:r>
    </w:p>
    <w:p w14:paraId="5ED9E114" w14:textId="77777777" w:rsidR="00305719"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w:t>
      </w:r>
      <w:r w:rsidR="00305719" w:rsidRPr="00CD541C">
        <w:rPr>
          <w:rFonts w:ascii="Times New Roman" w:hAnsi="Times New Roman" w:cs="Times New Roman"/>
          <w:b/>
          <w:sz w:val="24"/>
          <w:szCs w:val="24"/>
        </w:rPr>
        <w:t xml:space="preserve">D 8652 Izdevumi no vērtības samazinājuma nefinanšu aktīviem </w:t>
      </w:r>
    </w:p>
    <w:p w14:paraId="679C943B" w14:textId="77777777" w:rsidR="00305719"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w:t>
      </w:r>
      <w:r w:rsidR="00305719" w:rsidRPr="00CD541C">
        <w:rPr>
          <w:rFonts w:ascii="Times New Roman" w:hAnsi="Times New Roman" w:cs="Times New Roman"/>
          <w:b/>
          <w:sz w:val="24"/>
          <w:szCs w:val="24"/>
        </w:rPr>
        <w:t>K 1598 Vērtības samazinājums ieguldījuma īpašumiem</w:t>
      </w:r>
    </w:p>
    <w:p w14:paraId="7CEF7EB6" w14:textId="77777777" w:rsidR="00305719"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00305719" w:rsidRPr="00701747">
        <w:rPr>
          <w:rFonts w:ascii="Times New Roman" w:hAnsi="Times New Roman" w:cs="Times New Roman"/>
          <w:sz w:val="24"/>
          <w:szCs w:val="24"/>
        </w:rPr>
        <w:t>3. Ja atsevišķa aktīva atgūstamo vērtību nav iespējams noteikt, jo nav iespējams identificēt uz šo aktīvu specifiski attiecināmas ienākošās naudas plūsmas un aktīva lietošanas vērtība būtiski atšķiras no tā patiesās vērtības, no kuras atskaitītas atsavināšanas izmaksas, tad atgūstamo vērtību nosaka, apvienojot vairākus aktīvus (turpmāk – apvienotā uzskaites vienība).</w:t>
      </w:r>
    </w:p>
    <w:p w14:paraId="0ADCFFCF" w14:textId="77777777" w:rsidR="00305719"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00305719" w:rsidRPr="00701747">
        <w:rPr>
          <w:rFonts w:ascii="Times New Roman" w:hAnsi="Times New Roman" w:cs="Times New Roman"/>
          <w:sz w:val="24"/>
          <w:szCs w:val="24"/>
        </w:rPr>
        <w:t xml:space="preserve">4. Apvienotā uzskaites vienībā iekļauj aktīvus, kuri rada vai kurus izmanto nodalāmas ienākošās naudas plūsmu radīšanai, bet katram atsevišķi atgūstamo vērtību nav iespējams noteikt. </w:t>
      </w:r>
    </w:p>
    <w:p w14:paraId="5B4E6D0F"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5. Apvienotās uzskaites vienības uzskaites vērtību aprēķina:</w:t>
      </w:r>
    </w:p>
    <w:p w14:paraId="6ABAAF83"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565383">
        <w:rPr>
          <w:rFonts w:ascii="Times New Roman" w:hAnsi="Times New Roman" w:cs="Times New Roman"/>
          <w:sz w:val="24"/>
          <w:szCs w:val="24"/>
        </w:rPr>
        <w:t>5.1.summējot to aktīvu uzskaites vērtības, kurus var tieši iekļaut vai pamatoti un konsekventi attiecināt uz konkrēto apvienoto uzskaites  vienību un kuri radīs nākotnes ienākošās naudas plūsmas, kuras izmanto nosakot apvienotās uzskaites vienības lietošanas vērtību;</w:t>
      </w:r>
    </w:p>
    <w:p w14:paraId="16EC3758"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565383">
        <w:rPr>
          <w:rFonts w:ascii="Times New Roman" w:hAnsi="Times New Roman" w:cs="Times New Roman"/>
          <w:sz w:val="24"/>
          <w:szCs w:val="24"/>
        </w:rPr>
        <w:t>5.2.pieskaitot atzīto saistību uzskaites vērtību (gadījumos, ja apvienotās uzskaites vienības atgūstamo vērtību nav iespējams noteikt, neņemot vērā šīs saistības, piemēram, aktīva atsavināšanas gadījumā, pircējs pārņem saistības).</w:t>
      </w:r>
    </w:p>
    <w:p w14:paraId="7F13DD04"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 xml:space="preserve">6. Aktīvu vai apvienoto uzskaites vienību novērtē atbilstoši zemākajai vērtībai, ja aktīva vai apvienotās uzskaites vienības atgūstamā vērtība bilances datumā ir zemāka par tā uzskaites (atlikušo) vērtību. </w:t>
      </w:r>
    </w:p>
    <w:p w14:paraId="3812EF8B"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 xml:space="preserve">7. Apvienotās uzskaites vienības vērtības samazinājumu sadala proporcionāli katra vienībā ietilpstošā aktīva uzskaites vērtībai. </w:t>
      </w:r>
    </w:p>
    <w:p w14:paraId="497C8289"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 xml:space="preserve">8. Ja vērtības samazinājums ir lielāks par ieguldījuma īpašuma uzskaites vērtību (piemēram, lietošanas vērtība var būt negatīva, ja sagaidāmās izejošās naudas plūsmas pārsniedz sagaidāmās ienākošās naudas plūsmas), uzskaites vērtību samazina līdz nullei. </w:t>
      </w:r>
    </w:p>
    <w:p w14:paraId="48A88FD8"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9. Pēc ieguldījuma īpašuma vērtības samazinājuma atzīšanas tam turpina aprēķināt nolietojumu, tā uzskaites (atlikušo) vērtību sistemātiski attiecinot uz atlikušo lietderīgās lietošanas laiku.</w:t>
      </w:r>
    </w:p>
    <w:p w14:paraId="05A335A7"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350</w:t>
      </w:r>
      <w:r w:rsidRPr="00701747">
        <w:rPr>
          <w:rFonts w:ascii="Times New Roman" w:hAnsi="Times New Roman" w:cs="Times New Roman"/>
          <w:sz w:val="24"/>
          <w:szCs w:val="24"/>
        </w:rPr>
        <w:t>. Katra pārskata perioda beigās novērtē, vai nepastāv pazīmes, kas norāda, ka iepriekšējos pārskata periodos atzītais ieguldījuma īpašuma vērtības samazinājums vairs nepastāv vai ir mazinājies.</w:t>
      </w:r>
    </w:p>
    <w:p w14:paraId="614DF586"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1. Novērtējot, vai vērtības samazinājums vairs nepastāv vai ir samazinājies, budžeta iestāde attiecībā uz ieguldījuma īpašumu izvērtē vismaz šādas pazīmes:</w:t>
      </w:r>
    </w:p>
    <w:p w14:paraId="06D0F5D1"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1.1.tehnoloģiskajā, tirgus, ekonomiskajā vai juridiskajā vidē, kurā darbojas budžeta iestāde, vai arī tirgū, kam ir piesaistīts konkrētais ieguldījuma īpašums, pārskata periodā ir notikušas vai tuvākajā laikā notiks izmaiņas, kas labvēlīgi ietekmē budžeta iestādi, piemēram, ir atcelti ierobežojumi iznomāt budžeta iestādes valdījumā esošos nekustamos īpašumus trešajām personām;</w:t>
      </w:r>
    </w:p>
    <w:p w14:paraId="19730821"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1.2.pārskata periodā ir vismaz par vienu procentu samazinājusies diskonta likme, kas lietota, lai aprēķinātu aktīva lietošanas vērtību, kā rezultātā ieguldījuma īpašuma atgūstamā vērtība palielinās;</w:t>
      </w:r>
    </w:p>
    <w:p w14:paraId="6D0B8C1D"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1.3.pieņemts valdības vai pašvaldības lēmums, kas rada pozitīvas izmaiņas budžeta iestādes darbībā;</w:t>
      </w:r>
    </w:p>
    <w:p w14:paraId="6F0B223A"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 xml:space="preserve">1.4.pārskata perioda laikā veikti ieguldījuma īpašuma uzlabojumi vai atjaunošana, lai uzlabotu tā darbību; </w:t>
      </w:r>
    </w:p>
    <w:p w14:paraId="192D0847" w14:textId="77777777" w:rsidR="00CD541C"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1.5.budžeta iestādes darbībā notikušas vai tuvākajā laikā gaidāmas ilgtermiņa izmaiņas, kas pozitīvi ietekmē ieguldījuma īpašuma paredzēto lietojumu;</w:t>
      </w:r>
    </w:p>
    <w:p w14:paraId="6FA35359"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1.6.pieņemts lēmums atsākt ieguldījuma īpašuma izveidi, kas iepriekš apturēta vai pārtraukta pirms tā pabeigšanas vai nodošanas lietošanā (ekspluatācijā).</w:t>
      </w:r>
    </w:p>
    <w:p w14:paraId="67C16914"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 xml:space="preserve">2. Ja pastāv kāda no iepriekš minētajām pazīmēm, budžeta iestāde veic attiecīgā ieguldījuma īpašuma atgūstamās vērtības aplēsi saskaņā ar šajā apakšnodaļā minēto. </w:t>
      </w:r>
    </w:p>
    <w:p w14:paraId="01E905E7"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3. Ja ieguldījuma īpašuma vērtības samazinājums ir mazinājies vai vairs nepastāv, palielina tā uzskaites (atlikušo) vērtību līdz atgūstamajai vērtībai, norakstot izveidoto vērtības samazinājumu un atzīstot pārskata perioda pārējos ieņēmumus, veicot sekojošu grāmatojumu:</w:t>
      </w:r>
    </w:p>
    <w:p w14:paraId="63941607" w14:textId="77777777" w:rsidR="00CD541C"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D 1598 Vērtības samazinājums ieguldījuma īpašumiem </w:t>
      </w:r>
    </w:p>
    <w:p w14:paraId="431E03B4" w14:textId="77777777" w:rsidR="00CD541C"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K 8552 Ieņēmumi no vērtības samazinājuma norakstīšanas nefinanšu aktīviem </w:t>
      </w:r>
    </w:p>
    <w:p w14:paraId="7180F637"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4. Palielinātā ieguldījuma īpašuma uzskaites (atlikusī) vērtība nedrīkst pārsniegt uzskaites vērtību, kas būtu noteikta (atskaitot nolietojumu), ja ieguldījuma īpašumam iepriekšējos periodos nebūtu atzīti izdevumi no vērtības samazinājuma.</w:t>
      </w:r>
    </w:p>
    <w:p w14:paraId="7B729669"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5. Ja samazina iepriekš izveidoto apvienotās uzskaites vienības vērtības samazinājumu, summu sadala proporcionāli katra vienībā ietilpstošā aktīva uzskaites vērtībai.</w:t>
      </w:r>
    </w:p>
    <w:p w14:paraId="760132DA"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 xml:space="preserve">6. Izveidoto ieguldījuma īpašuma vērtības samazinājumu var koriģēt tikai par konkrētā ieguldījuma īpašuma vērtības samazinājuma izmaiņu vērtību. </w:t>
      </w:r>
    </w:p>
    <w:p w14:paraId="2708C703" w14:textId="77777777" w:rsidR="00CD541C"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7. Pēc ieguldījuma īpašuma vērtības samazinājuma koriģēšanas turpina aprēķināt nolietojumu, ieguldījuma īpašuma uzskaites (atlikušo) vērtību sistemātiski attiecinot uz atlikušo lietderīgās lietošanas laiku.</w:t>
      </w:r>
    </w:p>
    <w:p w14:paraId="16C794A3" w14:textId="77777777" w:rsidR="001A49A3" w:rsidRDefault="001A49A3" w:rsidP="00CD363C">
      <w:pPr>
        <w:spacing w:after="0" w:line="240" w:lineRule="auto"/>
        <w:ind w:right="-142"/>
        <w:jc w:val="both"/>
        <w:rPr>
          <w:rFonts w:ascii="Times New Roman" w:hAnsi="Times New Roman" w:cs="Times New Roman"/>
          <w:sz w:val="24"/>
          <w:szCs w:val="24"/>
        </w:rPr>
      </w:pPr>
    </w:p>
    <w:p w14:paraId="019DDCD4" w14:textId="77777777" w:rsidR="00DA7F1C" w:rsidRDefault="00DA7F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Piemēri:</w:t>
      </w:r>
    </w:p>
    <w:p w14:paraId="202D598E" w14:textId="77777777" w:rsidR="00DA7F1C" w:rsidRDefault="001A49A3" w:rsidP="00CD363C">
      <w:pPr>
        <w:spacing w:after="0" w:line="240" w:lineRule="auto"/>
        <w:ind w:left="278" w:right="-142"/>
        <w:jc w:val="both"/>
        <w:rPr>
          <w:b/>
          <w:i/>
          <w:sz w:val="24"/>
        </w:rPr>
      </w:pPr>
      <w:r>
        <w:rPr>
          <w:b/>
          <w:i/>
          <w:color w:val="002069"/>
          <w:sz w:val="24"/>
        </w:rPr>
        <w:t>1.</w:t>
      </w:r>
      <w:r w:rsidR="00DA7F1C">
        <w:rPr>
          <w:b/>
          <w:i/>
          <w:color w:val="002069"/>
          <w:sz w:val="24"/>
        </w:rPr>
        <w:t xml:space="preserve"> Piemērs – ieguldījuma īpašuma vērtības samazinājuma aprēķins, aplēšot atgūstamo vērtību no nākotnes ienākošās un izejošās naudas plūsmas.</w:t>
      </w:r>
    </w:p>
    <w:p w14:paraId="06D15A55" w14:textId="77777777" w:rsidR="00DA7F1C" w:rsidRDefault="00DA7F1C" w:rsidP="00CD363C">
      <w:pPr>
        <w:pStyle w:val="Pamatteksts"/>
        <w:ind w:right="-142"/>
        <w:jc w:val="both"/>
      </w:pPr>
      <w:r>
        <w:t>Budžeta iestādei uz pārskata gada beigām ir uzskaitīts ieguldījuma īpašums, kura atlikusī uzskaites vērtība 2019.gada beigās ir 150 000,00 EUR.</w:t>
      </w:r>
    </w:p>
    <w:p w14:paraId="28832145" w14:textId="77777777" w:rsidR="00DA7F1C" w:rsidRDefault="00DA7F1C" w:rsidP="00CD363C">
      <w:pPr>
        <w:pStyle w:val="Pamatteksts"/>
        <w:ind w:right="-142"/>
        <w:jc w:val="both"/>
      </w:pPr>
      <w:r>
        <w:t>Budžeta iestāde, izvērtējot vērtības samazinājuma kritērijus pārskata perioda beigās, konstatē pazīmes, kas norāda uz vērtības samazinājumu. Īpašuma specifiskā rakstura dēļ iestāde secina, ka nav iespējams noteikt tā patieso vērtību.</w:t>
      </w:r>
    </w:p>
    <w:p w14:paraId="49A0209B" w14:textId="77777777" w:rsidR="00DA7F1C" w:rsidRDefault="00DA7F1C" w:rsidP="00CD363C">
      <w:pPr>
        <w:pStyle w:val="Pamatteksts"/>
        <w:ind w:right="-142"/>
        <w:jc w:val="both"/>
      </w:pPr>
      <w:r>
        <w:t>Lai</w:t>
      </w:r>
      <w:r>
        <w:rPr>
          <w:spacing w:val="-13"/>
        </w:rPr>
        <w:t xml:space="preserve"> </w:t>
      </w:r>
      <w:r>
        <w:t>noteiktu,</w:t>
      </w:r>
      <w:r>
        <w:rPr>
          <w:spacing w:val="-14"/>
        </w:rPr>
        <w:t xml:space="preserve"> </w:t>
      </w:r>
      <w:r>
        <w:t>vai</w:t>
      </w:r>
      <w:r>
        <w:rPr>
          <w:spacing w:val="-13"/>
        </w:rPr>
        <w:t xml:space="preserve"> </w:t>
      </w:r>
      <w:r>
        <w:t>nepieciešams</w:t>
      </w:r>
      <w:r>
        <w:rPr>
          <w:spacing w:val="-14"/>
        </w:rPr>
        <w:t xml:space="preserve"> </w:t>
      </w:r>
      <w:r>
        <w:t>atzīt</w:t>
      </w:r>
      <w:r>
        <w:rPr>
          <w:spacing w:val="-13"/>
        </w:rPr>
        <w:t xml:space="preserve"> </w:t>
      </w:r>
      <w:r>
        <w:t>izdevumus</w:t>
      </w:r>
      <w:r>
        <w:rPr>
          <w:spacing w:val="-14"/>
        </w:rPr>
        <w:t xml:space="preserve"> </w:t>
      </w:r>
      <w:r>
        <w:t>no</w:t>
      </w:r>
      <w:r>
        <w:rPr>
          <w:spacing w:val="-14"/>
        </w:rPr>
        <w:t xml:space="preserve"> </w:t>
      </w:r>
      <w:r>
        <w:t>vērtības</w:t>
      </w:r>
      <w:r>
        <w:rPr>
          <w:spacing w:val="-14"/>
        </w:rPr>
        <w:t xml:space="preserve"> </w:t>
      </w:r>
      <w:r>
        <w:t>samazināšanās,</w:t>
      </w:r>
      <w:r>
        <w:rPr>
          <w:spacing w:val="-17"/>
        </w:rPr>
        <w:t xml:space="preserve"> </w:t>
      </w:r>
      <w:r>
        <w:t>budžeta</w:t>
      </w:r>
      <w:r>
        <w:rPr>
          <w:spacing w:val="-19"/>
        </w:rPr>
        <w:t xml:space="preserve"> </w:t>
      </w:r>
      <w:r>
        <w:t>iestāde</w:t>
      </w:r>
      <w:r>
        <w:rPr>
          <w:spacing w:val="-16"/>
        </w:rPr>
        <w:t xml:space="preserve"> </w:t>
      </w:r>
      <w:r>
        <w:t>nosaka</w:t>
      </w:r>
      <w:r>
        <w:rPr>
          <w:spacing w:val="-14"/>
        </w:rPr>
        <w:t xml:space="preserve"> </w:t>
      </w:r>
      <w:r>
        <w:t>ieguldījuma īpašuma atgūstamo vērtību. Atgūstamo vērtību nosaka, aplēšot pašreizējo vērtību nākotnē sagaidāmajām ienākošām un izejošām naudas plūsmām, kuras budžeta iestādei rastos saistībā ar ieguldījuma</w:t>
      </w:r>
      <w:r>
        <w:rPr>
          <w:spacing w:val="-17"/>
        </w:rPr>
        <w:t xml:space="preserve"> </w:t>
      </w:r>
      <w:r>
        <w:t>īpašumu.</w:t>
      </w:r>
    </w:p>
    <w:p w14:paraId="1F0FB5E9" w14:textId="77777777" w:rsidR="00DA7F1C" w:rsidRDefault="00DA7F1C" w:rsidP="00CD363C">
      <w:pPr>
        <w:pStyle w:val="Pamatteksts"/>
        <w:ind w:right="-142"/>
        <w:jc w:val="both"/>
      </w:pPr>
      <w:r>
        <w:t>Tabulā nākošajā lpp. norādītas izejošās un ienākošās naudas plūsmas 5 gadu periodam, aprēķinātā naudas plūsmu</w:t>
      </w:r>
      <w:r>
        <w:rPr>
          <w:spacing w:val="-6"/>
        </w:rPr>
        <w:t xml:space="preserve"> </w:t>
      </w:r>
      <w:r>
        <w:t>pašreizējā</w:t>
      </w:r>
      <w:r>
        <w:rPr>
          <w:spacing w:val="-5"/>
        </w:rPr>
        <w:t xml:space="preserve"> </w:t>
      </w:r>
      <w:r>
        <w:t>vērtība,</w:t>
      </w:r>
      <w:r>
        <w:rPr>
          <w:spacing w:val="-8"/>
        </w:rPr>
        <w:t xml:space="preserve"> </w:t>
      </w:r>
      <w:r>
        <w:t>likvidācijas</w:t>
      </w:r>
      <w:r>
        <w:rPr>
          <w:spacing w:val="-5"/>
        </w:rPr>
        <w:t xml:space="preserve"> </w:t>
      </w:r>
      <w:r>
        <w:t>vērtība</w:t>
      </w:r>
      <w:r>
        <w:rPr>
          <w:spacing w:val="-5"/>
        </w:rPr>
        <w:t xml:space="preserve"> </w:t>
      </w:r>
      <w:r>
        <w:t>un</w:t>
      </w:r>
      <w:r>
        <w:rPr>
          <w:spacing w:val="-8"/>
        </w:rPr>
        <w:t xml:space="preserve"> </w:t>
      </w:r>
      <w:r>
        <w:t>aprēķinātā</w:t>
      </w:r>
      <w:r>
        <w:rPr>
          <w:spacing w:val="-8"/>
        </w:rPr>
        <w:t xml:space="preserve"> </w:t>
      </w:r>
      <w:r>
        <w:t>atgūstamā</w:t>
      </w:r>
      <w:r>
        <w:rPr>
          <w:spacing w:val="-5"/>
        </w:rPr>
        <w:t xml:space="preserve"> </w:t>
      </w:r>
      <w:r>
        <w:t>vērtība,</w:t>
      </w:r>
      <w:r>
        <w:rPr>
          <w:spacing w:val="-6"/>
        </w:rPr>
        <w:t xml:space="preserve"> </w:t>
      </w:r>
      <w:r>
        <w:t>pēc</w:t>
      </w:r>
      <w:r>
        <w:rPr>
          <w:spacing w:val="-8"/>
        </w:rPr>
        <w:t xml:space="preserve"> </w:t>
      </w:r>
      <w:r>
        <w:t>kuras</w:t>
      </w:r>
      <w:r>
        <w:rPr>
          <w:spacing w:val="-5"/>
        </w:rPr>
        <w:t xml:space="preserve"> </w:t>
      </w:r>
      <w:r>
        <w:t>vadoties</w:t>
      </w:r>
      <w:r>
        <w:rPr>
          <w:spacing w:val="-4"/>
        </w:rPr>
        <w:t xml:space="preserve"> </w:t>
      </w:r>
      <w:r>
        <w:t>nosaka</w:t>
      </w:r>
      <w:r>
        <w:rPr>
          <w:spacing w:val="-5"/>
        </w:rPr>
        <w:t xml:space="preserve"> </w:t>
      </w:r>
      <w:r>
        <w:t>vai ir atzīstami izdevumi no vērtības</w:t>
      </w:r>
      <w:r>
        <w:rPr>
          <w:spacing w:val="-1"/>
        </w:rPr>
        <w:t xml:space="preserve"> </w:t>
      </w:r>
      <w:r>
        <w:t>samazinājuma.</w:t>
      </w:r>
    </w:p>
    <w:p w14:paraId="38C2747A" w14:textId="77777777" w:rsidR="00DA7F1C" w:rsidRDefault="00DA7F1C" w:rsidP="00CD363C">
      <w:pPr>
        <w:spacing w:after="0" w:line="240" w:lineRule="auto"/>
        <w:ind w:right="-142"/>
        <w:jc w:val="both"/>
        <w:sectPr w:rsidR="00DA7F1C" w:rsidSect="006D2D4D">
          <w:headerReference w:type="default" r:id="rId28"/>
          <w:pgSz w:w="11910" w:h="16840"/>
          <w:pgMar w:top="760" w:right="1137" w:bottom="1200" w:left="1140" w:header="0" w:footer="978" w:gutter="0"/>
          <w:cols w:space="720"/>
        </w:sectPr>
      </w:pPr>
    </w:p>
    <w:p w14:paraId="16FB3514" w14:textId="77777777" w:rsidR="00DA7F1C" w:rsidRDefault="00DA7F1C" w:rsidP="00CD363C">
      <w:pPr>
        <w:pStyle w:val="Pamatteksts"/>
        <w:ind w:right="-142"/>
        <w:jc w:val="both"/>
        <w:rPr>
          <w:sz w:val="4"/>
        </w:rPr>
      </w:pPr>
    </w:p>
    <w:tbl>
      <w:tblPr>
        <w:tblW w:w="0" w:type="auto"/>
        <w:tblInd w:w="67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523"/>
        <w:gridCol w:w="668"/>
        <w:gridCol w:w="1901"/>
        <w:gridCol w:w="1738"/>
        <w:gridCol w:w="1709"/>
        <w:gridCol w:w="1678"/>
        <w:gridCol w:w="2246"/>
      </w:tblGrid>
      <w:tr w:rsidR="00DA7F1C" w14:paraId="0DC8D24F" w14:textId="77777777" w:rsidTr="00D2408D">
        <w:trPr>
          <w:trHeight w:val="390"/>
        </w:trPr>
        <w:tc>
          <w:tcPr>
            <w:tcW w:w="3523" w:type="dxa"/>
            <w:shd w:val="clear" w:color="auto" w:fill="E7E6E6"/>
          </w:tcPr>
          <w:p w14:paraId="3E30020E" w14:textId="77777777" w:rsidR="00DA7F1C" w:rsidRDefault="00DA7F1C" w:rsidP="00CD363C">
            <w:pPr>
              <w:pStyle w:val="TableParagraph"/>
              <w:ind w:left="1489" w:right="-142"/>
              <w:jc w:val="both"/>
              <w:rPr>
                <w:b/>
                <w:sz w:val="20"/>
              </w:rPr>
            </w:pPr>
            <w:r>
              <w:rPr>
                <w:b/>
                <w:sz w:val="20"/>
              </w:rPr>
              <w:t>Gads</w:t>
            </w:r>
          </w:p>
        </w:tc>
        <w:tc>
          <w:tcPr>
            <w:tcW w:w="668" w:type="dxa"/>
            <w:shd w:val="clear" w:color="auto" w:fill="E7E6E6"/>
          </w:tcPr>
          <w:p w14:paraId="52CB98FE" w14:textId="77777777" w:rsidR="00DA7F1C" w:rsidRDefault="00DA7F1C" w:rsidP="00CD363C">
            <w:pPr>
              <w:pStyle w:val="TableParagraph"/>
              <w:ind w:right="-142"/>
              <w:jc w:val="both"/>
              <w:rPr>
                <w:sz w:val="20"/>
              </w:rPr>
            </w:pPr>
          </w:p>
        </w:tc>
        <w:tc>
          <w:tcPr>
            <w:tcW w:w="1901" w:type="dxa"/>
            <w:shd w:val="clear" w:color="auto" w:fill="E7E6E6"/>
          </w:tcPr>
          <w:p w14:paraId="67B9342B" w14:textId="77777777" w:rsidR="00DA7F1C" w:rsidRDefault="00DA7F1C" w:rsidP="00CD363C">
            <w:pPr>
              <w:pStyle w:val="TableParagraph"/>
              <w:ind w:left="702" w:right="-142"/>
              <w:jc w:val="both"/>
              <w:rPr>
                <w:b/>
                <w:sz w:val="20"/>
              </w:rPr>
            </w:pPr>
            <w:r>
              <w:rPr>
                <w:b/>
                <w:sz w:val="20"/>
              </w:rPr>
              <w:t>2020</w:t>
            </w:r>
          </w:p>
        </w:tc>
        <w:tc>
          <w:tcPr>
            <w:tcW w:w="1738" w:type="dxa"/>
            <w:shd w:val="clear" w:color="auto" w:fill="E7E6E6"/>
          </w:tcPr>
          <w:p w14:paraId="4713450A" w14:textId="77777777" w:rsidR="00DA7F1C" w:rsidRDefault="00DA7F1C" w:rsidP="00CD363C">
            <w:pPr>
              <w:pStyle w:val="TableParagraph"/>
              <w:ind w:left="621" w:right="-142"/>
              <w:jc w:val="both"/>
              <w:rPr>
                <w:b/>
                <w:sz w:val="20"/>
              </w:rPr>
            </w:pPr>
            <w:r>
              <w:rPr>
                <w:b/>
                <w:sz w:val="20"/>
              </w:rPr>
              <w:t>2021</w:t>
            </w:r>
          </w:p>
        </w:tc>
        <w:tc>
          <w:tcPr>
            <w:tcW w:w="1709" w:type="dxa"/>
            <w:shd w:val="clear" w:color="auto" w:fill="E7E6E6"/>
          </w:tcPr>
          <w:p w14:paraId="494C6E4B" w14:textId="77777777" w:rsidR="00DA7F1C" w:rsidRDefault="00DA7F1C" w:rsidP="00CD363C">
            <w:pPr>
              <w:pStyle w:val="TableParagraph"/>
              <w:ind w:left="609" w:right="-142"/>
              <w:jc w:val="both"/>
              <w:rPr>
                <w:b/>
                <w:sz w:val="20"/>
              </w:rPr>
            </w:pPr>
            <w:r>
              <w:rPr>
                <w:b/>
                <w:sz w:val="20"/>
              </w:rPr>
              <w:t>2022</w:t>
            </w:r>
          </w:p>
        </w:tc>
        <w:tc>
          <w:tcPr>
            <w:tcW w:w="1678" w:type="dxa"/>
            <w:shd w:val="clear" w:color="auto" w:fill="E7E6E6"/>
          </w:tcPr>
          <w:p w14:paraId="14300F09" w14:textId="77777777" w:rsidR="00DA7F1C" w:rsidRDefault="00DA7F1C" w:rsidP="00CD363C">
            <w:pPr>
              <w:pStyle w:val="TableParagraph"/>
              <w:ind w:left="594" w:right="-142"/>
              <w:jc w:val="both"/>
              <w:rPr>
                <w:b/>
                <w:sz w:val="20"/>
              </w:rPr>
            </w:pPr>
            <w:r>
              <w:rPr>
                <w:b/>
                <w:sz w:val="20"/>
              </w:rPr>
              <w:t>2023</w:t>
            </w:r>
          </w:p>
        </w:tc>
        <w:tc>
          <w:tcPr>
            <w:tcW w:w="2246" w:type="dxa"/>
            <w:shd w:val="clear" w:color="auto" w:fill="E7E6E6"/>
          </w:tcPr>
          <w:p w14:paraId="12BD934E" w14:textId="77777777" w:rsidR="00DA7F1C" w:rsidRDefault="00DA7F1C" w:rsidP="00CD363C">
            <w:pPr>
              <w:pStyle w:val="TableParagraph"/>
              <w:ind w:left="877" w:right="-142"/>
              <w:jc w:val="both"/>
              <w:rPr>
                <w:b/>
                <w:sz w:val="20"/>
              </w:rPr>
            </w:pPr>
            <w:r>
              <w:rPr>
                <w:b/>
                <w:sz w:val="20"/>
              </w:rPr>
              <w:t>2024</w:t>
            </w:r>
          </w:p>
        </w:tc>
      </w:tr>
      <w:tr w:rsidR="00DA7F1C" w14:paraId="037797AC" w14:textId="77777777" w:rsidTr="00D2408D">
        <w:trPr>
          <w:trHeight w:val="390"/>
        </w:trPr>
        <w:tc>
          <w:tcPr>
            <w:tcW w:w="3523" w:type="dxa"/>
          </w:tcPr>
          <w:p w14:paraId="6C38D24D" w14:textId="77777777" w:rsidR="00DA7F1C" w:rsidRDefault="00DA7F1C" w:rsidP="00CD363C">
            <w:pPr>
              <w:pStyle w:val="TableParagraph"/>
              <w:ind w:right="-142"/>
              <w:jc w:val="both"/>
              <w:rPr>
                <w:sz w:val="20"/>
              </w:rPr>
            </w:pPr>
            <w:r>
              <w:rPr>
                <w:sz w:val="20"/>
              </w:rPr>
              <w:t>Gads pēc kārtas</w:t>
            </w:r>
          </w:p>
        </w:tc>
        <w:tc>
          <w:tcPr>
            <w:tcW w:w="668" w:type="dxa"/>
          </w:tcPr>
          <w:p w14:paraId="5AE8B740" w14:textId="77777777" w:rsidR="00DA7F1C" w:rsidRDefault="00DA7F1C" w:rsidP="00CD363C">
            <w:pPr>
              <w:pStyle w:val="TableParagraph"/>
              <w:ind w:right="-142"/>
              <w:jc w:val="both"/>
              <w:rPr>
                <w:sz w:val="20"/>
              </w:rPr>
            </w:pPr>
          </w:p>
        </w:tc>
        <w:tc>
          <w:tcPr>
            <w:tcW w:w="1901" w:type="dxa"/>
          </w:tcPr>
          <w:p w14:paraId="2CCB0604" w14:textId="77777777" w:rsidR="00DA7F1C" w:rsidRDefault="00DA7F1C" w:rsidP="00CD363C">
            <w:pPr>
              <w:pStyle w:val="TableParagraph"/>
              <w:ind w:right="-142"/>
              <w:jc w:val="both"/>
              <w:rPr>
                <w:sz w:val="20"/>
              </w:rPr>
            </w:pPr>
            <w:r>
              <w:rPr>
                <w:w w:val="99"/>
                <w:sz w:val="20"/>
              </w:rPr>
              <w:t>1</w:t>
            </w:r>
          </w:p>
        </w:tc>
        <w:tc>
          <w:tcPr>
            <w:tcW w:w="1738" w:type="dxa"/>
          </w:tcPr>
          <w:p w14:paraId="03B29349" w14:textId="77777777" w:rsidR="00DA7F1C" w:rsidRDefault="00DA7F1C" w:rsidP="00CD363C">
            <w:pPr>
              <w:pStyle w:val="TableParagraph"/>
              <w:ind w:right="-142"/>
              <w:jc w:val="both"/>
              <w:rPr>
                <w:sz w:val="20"/>
              </w:rPr>
            </w:pPr>
            <w:r>
              <w:rPr>
                <w:w w:val="99"/>
                <w:sz w:val="20"/>
              </w:rPr>
              <w:t>2</w:t>
            </w:r>
          </w:p>
        </w:tc>
        <w:tc>
          <w:tcPr>
            <w:tcW w:w="1709" w:type="dxa"/>
          </w:tcPr>
          <w:p w14:paraId="74C90419" w14:textId="77777777" w:rsidR="00DA7F1C" w:rsidRDefault="00DA7F1C" w:rsidP="00CD363C">
            <w:pPr>
              <w:pStyle w:val="TableParagraph"/>
              <w:ind w:right="-142"/>
              <w:jc w:val="both"/>
              <w:rPr>
                <w:sz w:val="20"/>
              </w:rPr>
            </w:pPr>
            <w:r>
              <w:rPr>
                <w:w w:val="99"/>
                <w:sz w:val="20"/>
              </w:rPr>
              <w:t>3</w:t>
            </w:r>
          </w:p>
        </w:tc>
        <w:tc>
          <w:tcPr>
            <w:tcW w:w="1678" w:type="dxa"/>
          </w:tcPr>
          <w:p w14:paraId="5EAF3634" w14:textId="77777777" w:rsidR="00DA7F1C" w:rsidRDefault="00DA7F1C" w:rsidP="00CD363C">
            <w:pPr>
              <w:pStyle w:val="TableParagraph"/>
              <w:ind w:right="-142"/>
              <w:jc w:val="both"/>
              <w:rPr>
                <w:sz w:val="20"/>
              </w:rPr>
            </w:pPr>
            <w:r>
              <w:rPr>
                <w:w w:val="99"/>
                <w:sz w:val="20"/>
              </w:rPr>
              <w:t>4</w:t>
            </w:r>
          </w:p>
        </w:tc>
        <w:tc>
          <w:tcPr>
            <w:tcW w:w="2246" w:type="dxa"/>
          </w:tcPr>
          <w:p w14:paraId="02BF644D" w14:textId="77777777" w:rsidR="00DA7F1C" w:rsidRDefault="00DA7F1C" w:rsidP="00CD363C">
            <w:pPr>
              <w:pStyle w:val="TableParagraph"/>
              <w:ind w:right="-142"/>
              <w:jc w:val="both"/>
              <w:rPr>
                <w:sz w:val="20"/>
              </w:rPr>
            </w:pPr>
            <w:r>
              <w:rPr>
                <w:w w:val="99"/>
                <w:sz w:val="20"/>
              </w:rPr>
              <w:t>5</w:t>
            </w:r>
          </w:p>
        </w:tc>
      </w:tr>
      <w:tr w:rsidR="00DA7F1C" w14:paraId="59ECD26A" w14:textId="77777777" w:rsidTr="00D2408D">
        <w:trPr>
          <w:trHeight w:val="405"/>
        </w:trPr>
        <w:tc>
          <w:tcPr>
            <w:tcW w:w="3523" w:type="dxa"/>
          </w:tcPr>
          <w:p w14:paraId="1E024FB8" w14:textId="77777777" w:rsidR="00DA7F1C" w:rsidRDefault="00DA7F1C" w:rsidP="00CD363C">
            <w:pPr>
              <w:pStyle w:val="TableParagraph"/>
              <w:ind w:right="-142"/>
              <w:jc w:val="both"/>
              <w:rPr>
                <w:sz w:val="20"/>
              </w:rPr>
            </w:pPr>
            <w:r>
              <w:rPr>
                <w:sz w:val="20"/>
              </w:rPr>
              <w:t>Ieņēmumi, EUR</w:t>
            </w:r>
          </w:p>
        </w:tc>
        <w:tc>
          <w:tcPr>
            <w:tcW w:w="668" w:type="dxa"/>
          </w:tcPr>
          <w:p w14:paraId="59B91316" w14:textId="77777777" w:rsidR="00DA7F1C" w:rsidRDefault="00DA7F1C" w:rsidP="00CD363C">
            <w:pPr>
              <w:pStyle w:val="TableParagraph"/>
              <w:ind w:right="-142"/>
              <w:jc w:val="both"/>
              <w:rPr>
                <w:sz w:val="20"/>
              </w:rPr>
            </w:pPr>
            <w:r>
              <w:rPr>
                <w:sz w:val="20"/>
              </w:rPr>
              <w:t>(1)</w:t>
            </w:r>
          </w:p>
        </w:tc>
        <w:tc>
          <w:tcPr>
            <w:tcW w:w="1901" w:type="dxa"/>
          </w:tcPr>
          <w:p w14:paraId="2C1E0800" w14:textId="77777777" w:rsidR="00DA7F1C" w:rsidRDefault="00DA7F1C" w:rsidP="00CD363C">
            <w:pPr>
              <w:pStyle w:val="TableParagraph"/>
              <w:ind w:right="-142"/>
              <w:jc w:val="both"/>
              <w:rPr>
                <w:sz w:val="20"/>
              </w:rPr>
            </w:pPr>
            <w:r>
              <w:rPr>
                <w:sz w:val="20"/>
              </w:rPr>
              <w:t>100 000</w:t>
            </w:r>
          </w:p>
        </w:tc>
        <w:tc>
          <w:tcPr>
            <w:tcW w:w="1738" w:type="dxa"/>
          </w:tcPr>
          <w:p w14:paraId="1725B16F" w14:textId="77777777" w:rsidR="00DA7F1C" w:rsidRDefault="00DA7F1C" w:rsidP="00CD363C">
            <w:pPr>
              <w:pStyle w:val="TableParagraph"/>
              <w:ind w:right="-142"/>
              <w:jc w:val="both"/>
              <w:rPr>
                <w:sz w:val="20"/>
              </w:rPr>
            </w:pPr>
            <w:r>
              <w:rPr>
                <w:sz w:val="20"/>
              </w:rPr>
              <w:t>100 000</w:t>
            </w:r>
          </w:p>
        </w:tc>
        <w:tc>
          <w:tcPr>
            <w:tcW w:w="1709" w:type="dxa"/>
          </w:tcPr>
          <w:p w14:paraId="1C14A31A" w14:textId="77777777" w:rsidR="00DA7F1C" w:rsidRDefault="00DA7F1C" w:rsidP="00CD363C">
            <w:pPr>
              <w:pStyle w:val="TableParagraph"/>
              <w:ind w:right="-142"/>
              <w:jc w:val="both"/>
              <w:rPr>
                <w:sz w:val="20"/>
              </w:rPr>
            </w:pPr>
            <w:r>
              <w:rPr>
                <w:sz w:val="20"/>
              </w:rPr>
              <w:t>100 000</w:t>
            </w:r>
          </w:p>
        </w:tc>
        <w:tc>
          <w:tcPr>
            <w:tcW w:w="1678" w:type="dxa"/>
          </w:tcPr>
          <w:p w14:paraId="5EC1E3A0" w14:textId="77777777" w:rsidR="00DA7F1C" w:rsidRDefault="00DA7F1C" w:rsidP="00CD363C">
            <w:pPr>
              <w:pStyle w:val="TableParagraph"/>
              <w:ind w:right="-142"/>
              <w:jc w:val="both"/>
              <w:rPr>
                <w:sz w:val="20"/>
              </w:rPr>
            </w:pPr>
            <w:r>
              <w:rPr>
                <w:sz w:val="20"/>
              </w:rPr>
              <w:t>100 000</w:t>
            </w:r>
          </w:p>
        </w:tc>
        <w:tc>
          <w:tcPr>
            <w:tcW w:w="2246" w:type="dxa"/>
          </w:tcPr>
          <w:p w14:paraId="4F466065" w14:textId="77777777" w:rsidR="00DA7F1C" w:rsidRDefault="00DA7F1C" w:rsidP="00CD363C">
            <w:pPr>
              <w:pStyle w:val="TableParagraph"/>
              <w:ind w:right="-142"/>
              <w:jc w:val="both"/>
              <w:rPr>
                <w:sz w:val="20"/>
              </w:rPr>
            </w:pPr>
            <w:r>
              <w:rPr>
                <w:sz w:val="20"/>
              </w:rPr>
              <w:t>100 000</w:t>
            </w:r>
          </w:p>
        </w:tc>
      </w:tr>
      <w:tr w:rsidR="00DA7F1C" w14:paraId="1F71F6F4" w14:textId="77777777" w:rsidTr="00D2408D">
        <w:trPr>
          <w:trHeight w:val="402"/>
        </w:trPr>
        <w:tc>
          <w:tcPr>
            <w:tcW w:w="3523" w:type="dxa"/>
          </w:tcPr>
          <w:p w14:paraId="6D511089" w14:textId="77777777" w:rsidR="00DA7F1C" w:rsidRDefault="00DA7F1C" w:rsidP="00CD363C">
            <w:pPr>
              <w:pStyle w:val="TableParagraph"/>
              <w:ind w:right="-142"/>
              <w:jc w:val="both"/>
              <w:rPr>
                <w:sz w:val="20"/>
              </w:rPr>
            </w:pPr>
            <w:r>
              <w:rPr>
                <w:sz w:val="20"/>
              </w:rPr>
              <w:t>Izdevumi, EUR</w:t>
            </w:r>
          </w:p>
        </w:tc>
        <w:tc>
          <w:tcPr>
            <w:tcW w:w="668" w:type="dxa"/>
          </w:tcPr>
          <w:p w14:paraId="59F4446A" w14:textId="77777777" w:rsidR="00DA7F1C" w:rsidRDefault="00DA7F1C" w:rsidP="00CD363C">
            <w:pPr>
              <w:pStyle w:val="TableParagraph"/>
              <w:ind w:right="-142"/>
              <w:jc w:val="both"/>
              <w:rPr>
                <w:sz w:val="20"/>
              </w:rPr>
            </w:pPr>
            <w:r>
              <w:rPr>
                <w:sz w:val="20"/>
              </w:rPr>
              <w:t>(2)</w:t>
            </w:r>
          </w:p>
        </w:tc>
        <w:tc>
          <w:tcPr>
            <w:tcW w:w="1901" w:type="dxa"/>
          </w:tcPr>
          <w:p w14:paraId="0AF17F09" w14:textId="77777777" w:rsidR="00DA7F1C" w:rsidRDefault="00DA7F1C" w:rsidP="00CD363C">
            <w:pPr>
              <w:pStyle w:val="TableParagraph"/>
              <w:ind w:right="-142"/>
              <w:jc w:val="both"/>
              <w:rPr>
                <w:sz w:val="20"/>
              </w:rPr>
            </w:pPr>
            <w:r>
              <w:rPr>
                <w:sz w:val="20"/>
              </w:rPr>
              <w:t>65 000</w:t>
            </w:r>
          </w:p>
        </w:tc>
        <w:tc>
          <w:tcPr>
            <w:tcW w:w="1738" w:type="dxa"/>
          </w:tcPr>
          <w:p w14:paraId="6DA33EA7" w14:textId="77777777" w:rsidR="00DA7F1C" w:rsidRDefault="00DA7F1C" w:rsidP="00CD363C">
            <w:pPr>
              <w:pStyle w:val="TableParagraph"/>
              <w:ind w:right="-142"/>
              <w:jc w:val="both"/>
              <w:rPr>
                <w:sz w:val="20"/>
              </w:rPr>
            </w:pPr>
            <w:r>
              <w:rPr>
                <w:sz w:val="20"/>
              </w:rPr>
              <w:t>65 000</w:t>
            </w:r>
          </w:p>
        </w:tc>
        <w:tc>
          <w:tcPr>
            <w:tcW w:w="1709" w:type="dxa"/>
          </w:tcPr>
          <w:p w14:paraId="2AA78A53" w14:textId="77777777" w:rsidR="00DA7F1C" w:rsidRDefault="00DA7F1C" w:rsidP="00CD363C">
            <w:pPr>
              <w:pStyle w:val="TableParagraph"/>
              <w:ind w:right="-142"/>
              <w:jc w:val="both"/>
              <w:rPr>
                <w:sz w:val="20"/>
              </w:rPr>
            </w:pPr>
            <w:r>
              <w:rPr>
                <w:sz w:val="20"/>
              </w:rPr>
              <w:t>65 000</w:t>
            </w:r>
          </w:p>
        </w:tc>
        <w:tc>
          <w:tcPr>
            <w:tcW w:w="1678" w:type="dxa"/>
          </w:tcPr>
          <w:p w14:paraId="78725D27" w14:textId="77777777" w:rsidR="00DA7F1C" w:rsidRDefault="00DA7F1C" w:rsidP="00CD363C">
            <w:pPr>
              <w:pStyle w:val="TableParagraph"/>
              <w:ind w:right="-142"/>
              <w:jc w:val="both"/>
              <w:rPr>
                <w:sz w:val="20"/>
              </w:rPr>
            </w:pPr>
            <w:r>
              <w:rPr>
                <w:sz w:val="20"/>
              </w:rPr>
              <w:t>65 000</w:t>
            </w:r>
          </w:p>
        </w:tc>
        <w:tc>
          <w:tcPr>
            <w:tcW w:w="2246" w:type="dxa"/>
          </w:tcPr>
          <w:p w14:paraId="566C9A8D" w14:textId="77777777" w:rsidR="00DA7F1C" w:rsidRDefault="00DA7F1C" w:rsidP="00CD363C">
            <w:pPr>
              <w:pStyle w:val="TableParagraph"/>
              <w:ind w:right="-142"/>
              <w:jc w:val="both"/>
              <w:rPr>
                <w:sz w:val="20"/>
              </w:rPr>
            </w:pPr>
            <w:r>
              <w:rPr>
                <w:sz w:val="20"/>
              </w:rPr>
              <w:t>65 000</w:t>
            </w:r>
          </w:p>
        </w:tc>
      </w:tr>
      <w:tr w:rsidR="00DA7F1C" w14:paraId="07931BB6" w14:textId="77777777" w:rsidTr="00D2408D">
        <w:trPr>
          <w:trHeight w:val="402"/>
        </w:trPr>
        <w:tc>
          <w:tcPr>
            <w:tcW w:w="3523" w:type="dxa"/>
          </w:tcPr>
          <w:p w14:paraId="721BBF69" w14:textId="77777777" w:rsidR="00DA7F1C" w:rsidRDefault="00DA7F1C" w:rsidP="00CD363C">
            <w:pPr>
              <w:pStyle w:val="TableParagraph"/>
              <w:ind w:right="-142"/>
              <w:jc w:val="both"/>
              <w:rPr>
                <w:sz w:val="20"/>
              </w:rPr>
            </w:pPr>
            <w:r>
              <w:rPr>
                <w:sz w:val="20"/>
              </w:rPr>
              <w:t>Ieguldījuma īpašuma nolietojums, EUR</w:t>
            </w:r>
          </w:p>
        </w:tc>
        <w:tc>
          <w:tcPr>
            <w:tcW w:w="668" w:type="dxa"/>
          </w:tcPr>
          <w:p w14:paraId="2D8B1801" w14:textId="77777777" w:rsidR="00DA7F1C" w:rsidRDefault="00DA7F1C" w:rsidP="00CD363C">
            <w:pPr>
              <w:pStyle w:val="TableParagraph"/>
              <w:ind w:right="-142"/>
              <w:jc w:val="both"/>
              <w:rPr>
                <w:sz w:val="20"/>
              </w:rPr>
            </w:pPr>
            <w:r>
              <w:rPr>
                <w:sz w:val="20"/>
              </w:rPr>
              <w:t>(3)</w:t>
            </w:r>
          </w:p>
        </w:tc>
        <w:tc>
          <w:tcPr>
            <w:tcW w:w="1901" w:type="dxa"/>
          </w:tcPr>
          <w:p w14:paraId="4C24B7C1" w14:textId="77777777" w:rsidR="00DA7F1C" w:rsidRDefault="00DA7F1C" w:rsidP="00CD363C">
            <w:pPr>
              <w:pStyle w:val="TableParagraph"/>
              <w:ind w:right="-142"/>
              <w:jc w:val="both"/>
              <w:rPr>
                <w:sz w:val="20"/>
              </w:rPr>
            </w:pPr>
            <w:r>
              <w:rPr>
                <w:sz w:val="20"/>
              </w:rPr>
              <w:t>2 000</w:t>
            </w:r>
          </w:p>
        </w:tc>
        <w:tc>
          <w:tcPr>
            <w:tcW w:w="1738" w:type="dxa"/>
          </w:tcPr>
          <w:p w14:paraId="37AA3557" w14:textId="77777777" w:rsidR="00DA7F1C" w:rsidRDefault="00DA7F1C" w:rsidP="00CD363C">
            <w:pPr>
              <w:pStyle w:val="TableParagraph"/>
              <w:ind w:right="-142"/>
              <w:jc w:val="both"/>
              <w:rPr>
                <w:sz w:val="20"/>
              </w:rPr>
            </w:pPr>
            <w:r>
              <w:rPr>
                <w:sz w:val="20"/>
              </w:rPr>
              <w:t>2 000</w:t>
            </w:r>
          </w:p>
        </w:tc>
        <w:tc>
          <w:tcPr>
            <w:tcW w:w="1709" w:type="dxa"/>
          </w:tcPr>
          <w:p w14:paraId="17CD165C" w14:textId="77777777" w:rsidR="00DA7F1C" w:rsidRDefault="00DA7F1C" w:rsidP="00CD363C">
            <w:pPr>
              <w:pStyle w:val="TableParagraph"/>
              <w:ind w:right="-142"/>
              <w:jc w:val="both"/>
              <w:rPr>
                <w:sz w:val="20"/>
              </w:rPr>
            </w:pPr>
            <w:r>
              <w:rPr>
                <w:sz w:val="20"/>
              </w:rPr>
              <w:t>2 000</w:t>
            </w:r>
          </w:p>
        </w:tc>
        <w:tc>
          <w:tcPr>
            <w:tcW w:w="1678" w:type="dxa"/>
          </w:tcPr>
          <w:p w14:paraId="31DF9366" w14:textId="77777777" w:rsidR="00DA7F1C" w:rsidRDefault="00DA7F1C" w:rsidP="00CD363C">
            <w:pPr>
              <w:pStyle w:val="TableParagraph"/>
              <w:ind w:right="-142"/>
              <w:jc w:val="both"/>
              <w:rPr>
                <w:sz w:val="20"/>
              </w:rPr>
            </w:pPr>
            <w:r>
              <w:rPr>
                <w:sz w:val="20"/>
              </w:rPr>
              <w:t>2 000</w:t>
            </w:r>
          </w:p>
        </w:tc>
        <w:tc>
          <w:tcPr>
            <w:tcW w:w="2246" w:type="dxa"/>
          </w:tcPr>
          <w:p w14:paraId="692690EF" w14:textId="77777777" w:rsidR="00DA7F1C" w:rsidRDefault="00DA7F1C" w:rsidP="00CD363C">
            <w:pPr>
              <w:pStyle w:val="TableParagraph"/>
              <w:ind w:right="-142"/>
              <w:jc w:val="both"/>
              <w:rPr>
                <w:sz w:val="20"/>
              </w:rPr>
            </w:pPr>
            <w:r>
              <w:rPr>
                <w:sz w:val="20"/>
              </w:rPr>
              <w:t>2 000</w:t>
            </w:r>
          </w:p>
        </w:tc>
      </w:tr>
      <w:tr w:rsidR="00DA7F1C" w14:paraId="56622012" w14:textId="77777777" w:rsidTr="00D2408D">
        <w:trPr>
          <w:trHeight w:val="403"/>
        </w:trPr>
        <w:tc>
          <w:tcPr>
            <w:tcW w:w="3523" w:type="dxa"/>
          </w:tcPr>
          <w:p w14:paraId="319AC466" w14:textId="77777777" w:rsidR="00DA7F1C" w:rsidRDefault="00DA7F1C" w:rsidP="00CD363C">
            <w:pPr>
              <w:pStyle w:val="TableParagraph"/>
              <w:ind w:right="-142"/>
              <w:jc w:val="both"/>
              <w:rPr>
                <w:sz w:val="20"/>
              </w:rPr>
            </w:pPr>
            <w:r>
              <w:rPr>
                <w:sz w:val="20"/>
              </w:rPr>
              <w:t>Kapitālie izdevumi*, EUR</w:t>
            </w:r>
          </w:p>
        </w:tc>
        <w:tc>
          <w:tcPr>
            <w:tcW w:w="668" w:type="dxa"/>
          </w:tcPr>
          <w:p w14:paraId="196D4823" w14:textId="77777777" w:rsidR="00DA7F1C" w:rsidRDefault="00DA7F1C" w:rsidP="00CD363C">
            <w:pPr>
              <w:pStyle w:val="TableParagraph"/>
              <w:ind w:right="-142"/>
              <w:jc w:val="both"/>
              <w:rPr>
                <w:sz w:val="20"/>
              </w:rPr>
            </w:pPr>
            <w:r>
              <w:rPr>
                <w:sz w:val="20"/>
              </w:rPr>
              <w:t>(4)</w:t>
            </w:r>
          </w:p>
        </w:tc>
        <w:tc>
          <w:tcPr>
            <w:tcW w:w="1901" w:type="dxa"/>
          </w:tcPr>
          <w:p w14:paraId="10751A58" w14:textId="77777777" w:rsidR="00DA7F1C" w:rsidRDefault="00DA7F1C" w:rsidP="00CD363C">
            <w:pPr>
              <w:pStyle w:val="TableParagraph"/>
              <w:ind w:right="-142"/>
              <w:jc w:val="both"/>
              <w:rPr>
                <w:sz w:val="20"/>
              </w:rPr>
            </w:pPr>
            <w:r>
              <w:rPr>
                <w:sz w:val="20"/>
              </w:rPr>
              <w:t>3 000</w:t>
            </w:r>
          </w:p>
        </w:tc>
        <w:tc>
          <w:tcPr>
            <w:tcW w:w="1738" w:type="dxa"/>
          </w:tcPr>
          <w:p w14:paraId="77805B36" w14:textId="77777777" w:rsidR="00DA7F1C" w:rsidRDefault="00DA7F1C" w:rsidP="00CD363C">
            <w:pPr>
              <w:pStyle w:val="TableParagraph"/>
              <w:ind w:right="-142"/>
              <w:jc w:val="both"/>
              <w:rPr>
                <w:sz w:val="20"/>
              </w:rPr>
            </w:pPr>
            <w:r>
              <w:rPr>
                <w:sz w:val="20"/>
              </w:rPr>
              <w:t>3 000</w:t>
            </w:r>
          </w:p>
        </w:tc>
        <w:tc>
          <w:tcPr>
            <w:tcW w:w="1709" w:type="dxa"/>
          </w:tcPr>
          <w:p w14:paraId="12381E22" w14:textId="77777777" w:rsidR="00DA7F1C" w:rsidRDefault="00DA7F1C" w:rsidP="00CD363C">
            <w:pPr>
              <w:pStyle w:val="TableParagraph"/>
              <w:ind w:right="-142"/>
              <w:jc w:val="both"/>
              <w:rPr>
                <w:sz w:val="20"/>
              </w:rPr>
            </w:pPr>
            <w:r>
              <w:rPr>
                <w:sz w:val="20"/>
              </w:rPr>
              <w:t>3 000</w:t>
            </w:r>
          </w:p>
        </w:tc>
        <w:tc>
          <w:tcPr>
            <w:tcW w:w="1678" w:type="dxa"/>
          </w:tcPr>
          <w:p w14:paraId="0DE8A70A" w14:textId="77777777" w:rsidR="00DA7F1C" w:rsidRDefault="00DA7F1C" w:rsidP="00CD363C">
            <w:pPr>
              <w:pStyle w:val="TableParagraph"/>
              <w:ind w:right="-142"/>
              <w:jc w:val="both"/>
              <w:rPr>
                <w:sz w:val="20"/>
              </w:rPr>
            </w:pPr>
            <w:r>
              <w:rPr>
                <w:sz w:val="20"/>
              </w:rPr>
              <w:t>3 000</w:t>
            </w:r>
          </w:p>
        </w:tc>
        <w:tc>
          <w:tcPr>
            <w:tcW w:w="2246" w:type="dxa"/>
          </w:tcPr>
          <w:p w14:paraId="315CF650" w14:textId="77777777" w:rsidR="00DA7F1C" w:rsidRDefault="00DA7F1C" w:rsidP="00CD363C">
            <w:pPr>
              <w:pStyle w:val="TableParagraph"/>
              <w:ind w:right="-142"/>
              <w:jc w:val="both"/>
              <w:rPr>
                <w:sz w:val="20"/>
              </w:rPr>
            </w:pPr>
            <w:r>
              <w:rPr>
                <w:sz w:val="20"/>
              </w:rPr>
              <w:t>3 000</w:t>
            </w:r>
          </w:p>
        </w:tc>
      </w:tr>
      <w:tr w:rsidR="00DA7F1C" w14:paraId="06E145C8" w14:textId="77777777" w:rsidTr="00D2408D">
        <w:trPr>
          <w:trHeight w:val="551"/>
        </w:trPr>
        <w:tc>
          <w:tcPr>
            <w:tcW w:w="3523" w:type="dxa"/>
          </w:tcPr>
          <w:p w14:paraId="0D75378C" w14:textId="77777777" w:rsidR="00DA7F1C" w:rsidRDefault="00DA7F1C" w:rsidP="00CD363C">
            <w:pPr>
              <w:pStyle w:val="TableParagraph"/>
              <w:ind w:left="1811" w:right="-142" w:hanging="519"/>
              <w:jc w:val="both"/>
              <w:rPr>
                <w:sz w:val="20"/>
              </w:rPr>
            </w:pPr>
            <w:r>
              <w:rPr>
                <w:sz w:val="20"/>
              </w:rPr>
              <w:t>Tīrā naudas plūsma, EUR (1) – (2) + (3) – (4)</w:t>
            </w:r>
          </w:p>
        </w:tc>
        <w:tc>
          <w:tcPr>
            <w:tcW w:w="668" w:type="dxa"/>
          </w:tcPr>
          <w:p w14:paraId="64E0A3A3" w14:textId="77777777" w:rsidR="00DA7F1C" w:rsidRDefault="00DA7F1C" w:rsidP="00CD363C">
            <w:pPr>
              <w:pStyle w:val="TableParagraph"/>
              <w:ind w:right="-142"/>
              <w:jc w:val="both"/>
              <w:rPr>
                <w:sz w:val="20"/>
              </w:rPr>
            </w:pPr>
            <w:r>
              <w:rPr>
                <w:sz w:val="20"/>
              </w:rPr>
              <w:t>(5)</w:t>
            </w:r>
          </w:p>
        </w:tc>
        <w:tc>
          <w:tcPr>
            <w:tcW w:w="1901" w:type="dxa"/>
          </w:tcPr>
          <w:p w14:paraId="18F2A3BF" w14:textId="77777777" w:rsidR="00DA7F1C" w:rsidRDefault="00DA7F1C" w:rsidP="00CD363C">
            <w:pPr>
              <w:pStyle w:val="TableParagraph"/>
              <w:ind w:right="-142"/>
              <w:jc w:val="both"/>
              <w:rPr>
                <w:sz w:val="20"/>
              </w:rPr>
            </w:pPr>
            <w:r>
              <w:rPr>
                <w:sz w:val="20"/>
              </w:rPr>
              <w:t>34 000</w:t>
            </w:r>
          </w:p>
        </w:tc>
        <w:tc>
          <w:tcPr>
            <w:tcW w:w="1738" w:type="dxa"/>
          </w:tcPr>
          <w:p w14:paraId="2F808FB5" w14:textId="77777777" w:rsidR="00DA7F1C" w:rsidRDefault="00DA7F1C" w:rsidP="00CD363C">
            <w:pPr>
              <w:pStyle w:val="TableParagraph"/>
              <w:ind w:right="-142"/>
              <w:jc w:val="both"/>
              <w:rPr>
                <w:sz w:val="20"/>
              </w:rPr>
            </w:pPr>
            <w:r>
              <w:rPr>
                <w:sz w:val="20"/>
              </w:rPr>
              <w:t>34 000</w:t>
            </w:r>
          </w:p>
        </w:tc>
        <w:tc>
          <w:tcPr>
            <w:tcW w:w="1709" w:type="dxa"/>
          </w:tcPr>
          <w:p w14:paraId="7215EADE" w14:textId="77777777" w:rsidR="00DA7F1C" w:rsidRDefault="00DA7F1C" w:rsidP="00CD363C">
            <w:pPr>
              <w:pStyle w:val="TableParagraph"/>
              <w:ind w:right="-142"/>
              <w:jc w:val="both"/>
              <w:rPr>
                <w:sz w:val="20"/>
              </w:rPr>
            </w:pPr>
            <w:r>
              <w:rPr>
                <w:sz w:val="20"/>
              </w:rPr>
              <w:t>34 000</w:t>
            </w:r>
          </w:p>
        </w:tc>
        <w:tc>
          <w:tcPr>
            <w:tcW w:w="1678" w:type="dxa"/>
          </w:tcPr>
          <w:p w14:paraId="4DE037DD" w14:textId="77777777" w:rsidR="00DA7F1C" w:rsidRDefault="00DA7F1C" w:rsidP="00CD363C">
            <w:pPr>
              <w:pStyle w:val="TableParagraph"/>
              <w:ind w:right="-142"/>
              <w:jc w:val="both"/>
              <w:rPr>
                <w:sz w:val="20"/>
              </w:rPr>
            </w:pPr>
            <w:r>
              <w:rPr>
                <w:sz w:val="20"/>
              </w:rPr>
              <w:t>34 000</w:t>
            </w:r>
          </w:p>
        </w:tc>
        <w:tc>
          <w:tcPr>
            <w:tcW w:w="2246" w:type="dxa"/>
          </w:tcPr>
          <w:p w14:paraId="2DCC04CF" w14:textId="77777777" w:rsidR="00DA7F1C" w:rsidRDefault="00DA7F1C" w:rsidP="00CD363C">
            <w:pPr>
              <w:pStyle w:val="TableParagraph"/>
              <w:ind w:right="-142"/>
              <w:jc w:val="both"/>
              <w:rPr>
                <w:sz w:val="20"/>
              </w:rPr>
            </w:pPr>
            <w:r>
              <w:rPr>
                <w:sz w:val="20"/>
              </w:rPr>
              <w:t>34 000</w:t>
            </w:r>
          </w:p>
        </w:tc>
      </w:tr>
      <w:tr w:rsidR="00DA7F1C" w14:paraId="27BD37A0" w14:textId="77777777" w:rsidTr="00D2408D">
        <w:trPr>
          <w:trHeight w:val="553"/>
        </w:trPr>
        <w:tc>
          <w:tcPr>
            <w:tcW w:w="3523" w:type="dxa"/>
          </w:tcPr>
          <w:p w14:paraId="0B3EAF33" w14:textId="77777777" w:rsidR="00DA7F1C" w:rsidRDefault="00DA7F1C" w:rsidP="00CD363C">
            <w:pPr>
              <w:pStyle w:val="TableParagraph"/>
              <w:ind w:left="124" w:right="-142" w:firstLine="98"/>
              <w:jc w:val="both"/>
              <w:rPr>
                <w:sz w:val="20"/>
              </w:rPr>
            </w:pPr>
            <w:r>
              <w:rPr>
                <w:sz w:val="20"/>
              </w:rPr>
              <w:t>Diskonta likme saskaņā ar Valsts kases interneta vietnē publicēto diskonta likmi</w:t>
            </w:r>
          </w:p>
        </w:tc>
        <w:tc>
          <w:tcPr>
            <w:tcW w:w="668" w:type="dxa"/>
          </w:tcPr>
          <w:p w14:paraId="7ED3EB13" w14:textId="77777777" w:rsidR="00DA7F1C" w:rsidRDefault="00DA7F1C" w:rsidP="00CD363C">
            <w:pPr>
              <w:pStyle w:val="TableParagraph"/>
              <w:ind w:right="-142"/>
              <w:jc w:val="both"/>
              <w:rPr>
                <w:sz w:val="20"/>
              </w:rPr>
            </w:pPr>
            <w:r>
              <w:rPr>
                <w:sz w:val="20"/>
              </w:rPr>
              <w:t>(6)</w:t>
            </w:r>
          </w:p>
        </w:tc>
        <w:tc>
          <w:tcPr>
            <w:tcW w:w="9272" w:type="dxa"/>
            <w:gridSpan w:val="5"/>
          </w:tcPr>
          <w:p w14:paraId="22EE36E8" w14:textId="77777777" w:rsidR="00DA7F1C" w:rsidRDefault="00DA7F1C" w:rsidP="00CD363C">
            <w:pPr>
              <w:pStyle w:val="TableParagraph"/>
              <w:ind w:right="-142"/>
              <w:jc w:val="both"/>
              <w:rPr>
                <w:sz w:val="20"/>
              </w:rPr>
            </w:pPr>
            <w:r>
              <w:rPr>
                <w:sz w:val="20"/>
              </w:rPr>
              <w:t>5,00%</w:t>
            </w:r>
          </w:p>
        </w:tc>
      </w:tr>
      <w:tr w:rsidR="00DA7F1C" w14:paraId="476F3BB0" w14:textId="77777777" w:rsidTr="00D2408D">
        <w:trPr>
          <w:trHeight w:val="1149"/>
        </w:trPr>
        <w:tc>
          <w:tcPr>
            <w:tcW w:w="3523" w:type="dxa"/>
          </w:tcPr>
          <w:p w14:paraId="210BCAB2" w14:textId="77777777" w:rsidR="00DA7F1C" w:rsidRDefault="00DA7F1C" w:rsidP="00CD363C">
            <w:pPr>
              <w:pStyle w:val="TableParagraph"/>
              <w:ind w:left="174" w:right="-142"/>
              <w:jc w:val="both"/>
              <w:rPr>
                <w:sz w:val="20"/>
              </w:rPr>
            </w:pPr>
            <w:r>
              <w:rPr>
                <w:sz w:val="20"/>
              </w:rPr>
              <w:t>Diskonta faktors* (1/(1+0,05)^gads</w:t>
            </w:r>
            <w:r>
              <w:rPr>
                <w:spacing w:val="-20"/>
                <w:sz w:val="20"/>
              </w:rPr>
              <w:t xml:space="preserve"> </w:t>
            </w:r>
            <w:r>
              <w:rPr>
                <w:sz w:val="20"/>
              </w:rPr>
              <w:t>pēc</w:t>
            </w:r>
          </w:p>
          <w:p w14:paraId="5C6BD2C6" w14:textId="77777777" w:rsidR="00DA7F1C" w:rsidRDefault="00DA7F1C" w:rsidP="00CD363C">
            <w:pPr>
              <w:pStyle w:val="TableParagraph"/>
              <w:ind w:right="-142"/>
              <w:jc w:val="both"/>
              <w:rPr>
                <w:sz w:val="20"/>
              </w:rPr>
            </w:pPr>
            <w:r>
              <w:rPr>
                <w:spacing w:val="-1"/>
                <w:sz w:val="20"/>
              </w:rPr>
              <w:t>kārtas)</w:t>
            </w:r>
          </w:p>
          <w:p w14:paraId="2F81D40A" w14:textId="77777777" w:rsidR="00DA7F1C" w:rsidRDefault="00DA7F1C" w:rsidP="00CD363C">
            <w:pPr>
              <w:pStyle w:val="TableParagraph"/>
              <w:ind w:left="779" w:right="-142" w:hanging="272"/>
              <w:jc w:val="both"/>
              <w:rPr>
                <w:i/>
                <w:sz w:val="20"/>
              </w:rPr>
            </w:pPr>
            <w:r>
              <w:rPr>
                <w:i/>
                <w:sz w:val="20"/>
              </w:rPr>
              <w:t>*piemērā sniegtais</w:t>
            </w:r>
            <w:r>
              <w:rPr>
                <w:i/>
                <w:spacing w:val="-6"/>
                <w:sz w:val="20"/>
              </w:rPr>
              <w:t xml:space="preserve"> </w:t>
            </w:r>
            <w:r>
              <w:rPr>
                <w:i/>
                <w:sz w:val="20"/>
              </w:rPr>
              <w:t>diskonta</w:t>
            </w:r>
            <w:r>
              <w:rPr>
                <w:i/>
                <w:spacing w:val="-2"/>
                <w:sz w:val="20"/>
              </w:rPr>
              <w:t xml:space="preserve"> </w:t>
            </w:r>
            <w:r>
              <w:rPr>
                <w:i/>
                <w:sz w:val="20"/>
              </w:rPr>
              <w:t>faktors</w:t>
            </w:r>
            <w:r>
              <w:rPr>
                <w:i/>
                <w:w w:val="99"/>
                <w:sz w:val="20"/>
              </w:rPr>
              <w:t xml:space="preserve"> </w:t>
            </w:r>
            <w:r>
              <w:rPr>
                <w:i/>
                <w:sz w:val="20"/>
              </w:rPr>
              <w:t>noapaļots līdz četrām zīmēm</w:t>
            </w:r>
            <w:r>
              <w:rPr>
                <w:i/>
                <w:spacing w:val="-8"/>
                <w:sz w:val="20"/>
              </w:rPr>
              <w:t xml:space="preserve"> </w:t>
            </w:r>
            <w:r>
              <w:rPr>
                <w:i/>
                <w:sz w:val="20"/>
              </w:rPr>
              <w:t>aiz</w:t>
            </w:r>
          </w:p>
          <w:p w14:paraId="22B062DE" w14:textId="77777777" w:rsidR="00DA7F1C" w:rsidRDefault="00DA7F1C" w:rsidP="00CD363C">
            <w:pPr>
              <w:pStyle w:val="TableParagraph"/>
              <w:ind w:right="-142"/>
              <w:jc w:val="both"/>
              <w:rPr>
                <w:i/>
                <w:sz w:val="20"/>
              </w:rPr>
            </w:pPr>
            <w:r>
              <w:rPr>
                <w:i/>
                <w:w w:val="95"/>
                <w:sz w:val="20"/>
              </w:rPr>
              <w:t>komata.</w:t>
            </w:r>
          </w:p>
        </w:tc>
        <w:tc>
          <w:tcPr>
            <w:tcW w:w="668" w:type="dxa"/>
          </w:tcPr>
          <w:p w14:paraId="63CDB351" w14:textId="77777777" w:rsidR="00DA7F1C" w:rsidRDefault="00DA7F1C" w:rsidP="00CD363C">
            <w:pPr>
              <w:pStyle w:val="TableParagraph"/>
              <w:ind w:right="-142"/>
              <w:jc w:val="both"/>
              <w:rPr>
                <w:sz w:val="20"/>
              </w:rPr>
            </w:pPr>
            <w:r>
              <w:rPr>
                <w:sz w:val="20"/>
              </w:rPr>
              <w:t>(7)</w:t>
            </w:r>
          </w:p>
        </w:tc>
        <w:tc>
          <w:tcPr>
            <w:tcW w:w="1901" w:type="dxa"/>
          </w:tcPr>
          <w:p w14:paraId="65650E01" w14:textId="77777777" w:rsidR="00DA7F1C" w:rsidRDefault="00DA7F1C" w:rsidP="00CD363C">
            <w:pPr>
              <w:pStyle w:val="TableParagraph"/>
              <w:ind w:right="-142"/>
              <w:jc w:val="both"/>
              <w:rPr>
                <w:sz w:val="20"/>
              </w:rPr>
            </w:pPr>
            <w:r>
              <w:rPr>
                <w:w w:val="95"/>
                <w:sz w:val="20"/>
              </w:rPr>
              <w:t>0,9524</w:t>
            </w:r>
          </w:p>
        </w:tc>
        <w:tc>
          <w:tcPr>
            <w:tcW w:w="1738" w:type="dxa"/>
          </w:tcPr>
          <w:p w14:paraId="70D7258F" w14:textId="77777777" w:rsidR="00DA7F1C" w:rsidRDefault="00DA7F1C" w:rsidP="00CD363C">
            <w:pPr>
              <w:pStyle w:val="TableParagraph"/>
              <w:ind w:right="-142"/>
              <w:jc w:val="both"/>
              <w:rPr>
                <w:sz w:val="20"/>
              </w:rPr>
            </w:pPr>
            <w:r>
              <w:rPr>
                <w:w w:val="95"/>
                <w:sz w:val="20"/>
              </w:rPr>
              <w:t>0,9070</w:t>
            </w:r>
          </w:p>
        </w:tc>
        <w:tc>
          <w:tcPr>
            <w:tcW w:w="1709" w:type="dxa"/>
          </w:tcPr>
          <w:p w14:paraId="08C8E00E" w14:textId="77777777" w:rsidR="00DA7F1C" w:rsidRDefault="00DA7F1C" w:rsidP="00CD363C">
            <w:pPr>
              <w:pStyle w:val="TableParagraph"/>
              <w:ind w:right="-142"/>
              <w:jc w:val="both"/>
              <w:rPr>
                <w:sz w:val="20"/>
              </w:rPr>
            </w:pPr>
            <w:r>
              <w:rPr>
                <w:w w:val="95"/>
                <w:sz w:val="20"/>
              </w:rPr>
              <w:t>0,8638</w:t>
            </w:r>
          </w:p>
        </w:tc>
        <w:tc>
          <w:tcPr>
            <w:tcW w:w="1678" w:type="dxa"/>
          </w:tcPr>
          <w:p w14:paraId="1D482B5E" w14:textId="77777777" w:rsidR="00DA7F1C" w:rsidRDefault="00DA7F1C" w:rsidP="00CD363C">
            <w:pPr>
              <w:pStyle w:val="TableParagraph"/>
              <w:ind w:right="-142"/>
              <w:jc w:val="both"/>
              <w:rPr>
                <w:sz w:val="20"/>
              </w:rPr>
            </w:pPr>
            <w:r>
              <w:rPr>
                <w:w w:val="95"/>
                <w:sz w:val="20"/>
              </w:rPr>
              <w:t>0,8227</w:t>
            </w:r>
          </w:p>
        </w:tc>
        <w:tc>
          <w:tcPr>
            <w:tcW w:w="2246" w:type="dxa"/>
          </w:tcPr>
          <w:p w14:paraId="74B4640D" w14:textId="77777777" w:rsidR="00DA7F1C" w:rsidRDefault="00DA7F1C" w:rsidP="00CD363C">
            <w:pPr>
              <w:pStyle w:val="TableParagraph"/>
              <w:ind w:right="-142"/>
              <w:jc w:val="both"/>
              <w:rPr>
                <w:sz w:val="20"/>
              </w:rPr>
            </w:pPr>
            <w:r>
              <w:rPr>
                <w:w w:val="95"/>
                <w:sz w:val="20"/>
              </w:rPr>
              <w:t>0,7835</w:t>
            </w:r>
          </w:p>
        </w:tc>
      </w:tr>
      <w:tr w:rsidR="00DA7F1C" w14:paraId="2CFACAE9" w14:textId="77777777" w:rsidTr="00D2408D">
        <w:trPr>
          <w:trHeight w:val="460"/>
        </w:trPr>
        <w:tc>
          <w:tcPr>
            <w:tcW w:w="3523" w:type="dxa"/>
          </w:tcPr>
          <w:p w14:paraId="1151973F" w14:textId="77777777" w:rsidR="00DA7F1C" w:rsidRDefault="00DA7F1C" w:rsidP="00CD363C">
            <w:pPr>
              <w:pStyle w:val="TableParagraph"/>
              <w:ind w:left="232" w:right="-142"/>
              <w:jc w:val="both"/>
              <w:rPr>
                <w:sz w:val="20"/>
              </w:rPr>
            </w:pPr>
            <w:r>
              <w:rPr>
                <w:sz w:val="20"/>
              </w:rPr>
              <w:t>Pašreizējā vērtība tīrai naudas</w:t>
            </w:r>
            <w:r>
              <w:rPr>
                <w:spacing w:val="-15"/>
                <w:sz w:val="20"/>
              </w:rPr>
              <w:t xml:space="preserve"> </w:t>
            </w:r>
            <w:r>
              <w:rPr>
                <w:sz w:val="20"/>
              </w:rPr>
              <w:t>plūsmai,</w:t>
            </w:r>
          </w:p>
          <w:p w14:paraId="02240A3B" w14:textId="77777777" w:rsidR="00DA7F1C" w:rsidRDefault="00DA7F1C" w:rsidP="00CD363C">
            <w:pPr>
              <w:pStyle w:val="TableParagraph"/>
              <w:ind w:left="2238" w:right="-142"/>
              <w:jc w:val="both"/>
              <w:rPr>
                <w:sz w:val="20"/>
              </w:rPr>
            </w:pPr>
            <w:r>
              <w:rPr>
                <w:sz w:val="20"/>
              </w:rPr>
              <w:t>EUR (5) x</w:t>
            </w:r>
            <w:r>
              <w:rPr>
                <w:spacing w:val="-4"/>
                <w:sz w:val="20"/>
              </w:rPr>
              <w:t xml:space="preserve"> </w:t>
            </w:r>
            <w:r>
              <w:rPr>
                <w:sz w:val="20"/>
              </w:rPr>
              <w:t>(7)</w:t>
            </w:r>
          </w:p>
        </w:tc>
        <w:tc>
          <w:tcPr>
            <w:tcW w:w="668" w:type="dxa"/>
          </w:tcPr>
          <w:p w14:paraId="3BA931B5" w14:textId="77777777" w:rsidR="00DA7F1C" w:rsidRDefault="00DA7F1C" w:rsidP="00CD363C">
            <w:pPr>
              <w:pStyle w:val="TableParagraph"/>
              <w:ind w:right="-142"/>
              <w:jc w:val="both"/>
              <w:rPr>
                <w:sz w:val="20"/>
              </w:rPr>
            </w:pPr>
            <w:r>
              <w:rPr>
                <w:sz w:val="20"/>
              </w:rPr>
              <w:t>(8)</w:t>
            </w:r>
          </w:p>
        </w:tc>
        <w:tc>
          <w:tcPr>
            <w:tcW w:w="1901" w:type="dxa"/>
          </w:tcPr>
          <w:p w14:paraId="64E4B00A" w14:textId="77777777" w:rsidR="00DA7F1C" w:rsidRDefault="00DA7F1C" w:rsidP="00CD363C">
            <w:pPr>
              <w:pStyle w:val="TableParagraph"/>
              <w:ind w:right="-142"/>
              <w:jc w:val="both"/>
              <w:rPr>
                <w:sz w:val="20"/>
              </w:rPr>
            </w:pPr>
            <w:r>
              <w:rPr>
                <w:sz w:val="20"/>
              </w:rPr>
              <w:t>32 380,95</w:t>
            </w:r>
          </w:p>
        </w:tc>
        <w:tc>
          <w:tcPr>
            <w:tcW w:w="1738" w:type="dxa"/>
          </w:tcPr>
          <w:p w14:paraId="344264D2" w14:textId="77777777" w:rsidR="00DA7F1C" w:rsidRDefault="00DA7F1C" w:rsidP="00CD363C">
            <w:pPr>
              <w:pStyle w:val="TableParagraph"/>
              <w:ind w:right="-142"/>
              <w:jc w:val="both"/>
              <w:rPr>
                <w:sz w:val="20"/>
              </w:rPr>
            </w:pPr>
            <w:r>
              <w:rPr>
                <w:sz w:val="20"/>
              </w:rPr>
              <w:t>30 839,00</w:t>
            </w:r>
          </w:p>
        </w:tc>
        <w:tc>
          <w:tcPr>
            <w:tcW w:w="1709" w:type="dxa"/>
          </w:tcPr>
          <w:p w14:paraId="7222A96C" w14:textId="77777777" w:rsidR="00DA7F1C" w:rsidRDefault="00DA7F1C" w:rsidP="00CD363C">
            <w:pPr>
              <w:pStyle w:val="TableParagraph"/>
              <w:ind w:right="-142"/>
              <w:jc w:val="both"/>
              <w:rPr>
                <w:sz w:val="20"/>
              </w:rPr>
            </w:pPr>
            <w:r>
              <w:rPr>
                <w:sz w:val="20"/>
              </w:rPr>
              <w:t>29 370,48</w:t>
            </w:r>
          </w:p>
        </w:tc>
        <w:tc>
          <w:tcPr>
            <w:tcW w:w="1678" w:type="dxa"/>
          </w:tcPr>
          <w:p w14:paraId="36CA8BF8" w14:textId="77777777" w:rsidR="00DA7F1C" w:rsidRDefault="00DA7F1C" w:rsidP="00CD363C">
            <w:pPr>
              <w:pStyle w:val="TableParagraph"/>
              <w:ind w:right="-142"/>
              <w:jc w:val="both"/>
              <w:rPr>
                <w:sz w:val="20"/>
              </w:rPr>
            </w:pPr>
            <w:r>
              <w:rPr>
                <w:sz w:val="20"/>
              </w:rPr>
              <w:t>27 971,88</w:t>
            </w:r>
          </w:p>
        </w:tc>
        <w:tc>
          <w:tcPr>
            <w:tcW w:w="2246" w:type="dxa"/>
          </w:tcPr>
          <w:p w14:paraId="13688D20" w14:textId="77777777" w:rsidR="00DA7F1C" w:rsidRDefault="00DA7F1C" w:rsidP="00CD363C">
            <w:pPr>
              <w:pStyle w:val="TableParagraph"/>
              <w:ind w:right="-142"/>
              <w:jc w:val="both"/>
              <w:rPr>
                <w:sz w:val="20"/>
              </w:rPr>
            </w:pPr>
            <w:r>
              <w:rPr>
                <w:sz w:val="20"/>
              </w:rPr>
              <w:t>26 639,89</w:t>
            </w:r>
          </w:p>
        </w:tc>
      </w:tr>
      <w:tr w:rsidR="00DA7F1C" w14:paraId="50BE898D" w14:textId="77777777" w:rsidTr="00D2408D">
        <w:trPr>
          <w:trHeight w:val="553"/>
        </w:trPr>
        <w:tc>
          <w:tcPr>
            <w:tcW w:w="3523" w:type="dxa"/>
          </w:tcPr>
          <w:p w14:paraId="2C470EA8" w14:textId="77777777" w:rsidR="00DA7F1C" w:rsidRDefault="00DA7F1C" w:rsidP="00CD363C">
            <w:pPr>
              <w:pStyle w:val="TableParagraph"/>
              <w:ind w:left="371" w:right="-142"/>
              <w:jc w:val="both"/>
              <w:rPr>
                <w:sz w:val="20"/>
              </w:rPr>
            </w:pPr>
            <w:r>
              <w:rPr>
                <w:sz w:val="20"/>
              </w:rPr>
              <w:t>Sagaidāmo naudas plūsmu</w:t>
            </w:r>
            <w:r>
              <w:rPr>
                <w:spacing w:val="-12"/>
                <w:sz w:val="20"/>
              </w:rPr>
              <w:t xml:space="preserve"> </w:t>
            </w:r>
            <w:r>
              <w:rPr>
                <w:sz w:val="20"/>
              </w:rPr>
              <w:t>pašreizējā</w:t>
            </w:r>
          </w:p>
          <w:p w14:paraId="3D0A1DD8" w14:textId="77777777" w:rsidR="00DA7F1C" w:rsidRDefault="00DA7F1C" w:rsidP="00CD363C">
            <w:pPr>
              <w:pStyle w:val="TableParagraph"/>
              <w:ind w:left="1775" w:right="-142"/>
              <w:jc w:val="both"/>
              <w:rPr>
                <w:sz w:val="20"/>
              </w:rPr>
            </w:pPr>
            <w:r>
              <w:rPr>
                <w:sz w:val="20"/>
              </w:rPr>
              <w:t>vērtība, EUR, ∑</w:t>
            </w:r>
            <w:r>
              <w:rPr>
                <w:spacing w:val="-7"/>
                <w:sz w:val="20"/>
              </w:rPr>
              <w:t xml:space="preserve"> </w:t>
            </w:r>
            <w:r>
              <w:rPr>
                <w:sz w:val="20"/>
              </w:rPr>
              <w:t>(8)</w:t>
            </w:r>
          </w:p>
        </w:tc>
        <w:tc>
          <w:tcPr>
            <w:tcW w:w="668" w:type="dxa"/>
          </w:tcPr>
          <w:p w14:paraId="4827C701" w14:textId="77777777" w:rsidR="00DA7F1C" w:rsidRDefault="00DA7F1C" w:rsidP="00CD363C">
            <w:pPr>
              <w:pStyle w:val="TableParagraph"/>
              <w:ind w:right="-142"/>
              <w:jc w:val="both"/>
              <w:rPr>
                <w:sz w:val="20"/>
              </w:rPr>
            </w:pPr>
            <w:r>
              <w:rPr>
                <w:sz w:val="20"/>
              </w:rPr>
              <w:t>(9)</w:t>
            </w:r>
          </w:p>
        </w:tc>
        <w:tc>
          <w:tcPr>
            <w:tcW w:w="1901" w:type="dxa"/>
          </w:tcPr>
          <w:p w14:paraId="390A3B8B" w14:textId="77777777" w:rsidR="00DA7F1C" w:rsidRDefault="00DA7F1C" w:rsidP="00CD363C">
            <w:pPr>
              <w:pStyle w:val="TableParagraph"/>
              <w:ind w:right="-142"/>
              <w:jc w:val="both"/>
              <w:rPr>
                <w:sz w:val="20"/>
              </w:rPr>
            </w:pPr>
            <w:r>
              <w:rPr>
                <w:sz w:val="20"/>
              </w:rPr>
              <w:t>147 202,21</w:t>
            </w:r>
          </w:p>
        </w:tc>
        <w:tc>
          <w:tcPr>
            <w:tcW w:w="7371" w:type="dxa"/>
            <w:gridSpan w:val="4"/>
          </w:tcPr>
          <w:p w14:paraId="589B1697" w14:textId="77777777" w:rsidR="00DA7F1C" w:rsidRDefault="00DA7F1C" w:rsidP="00CD363C">
            <w:pPr>
              <w:pStyle w:val="TableParagraph"/>
              <w:ind w:right="-142"/>
              <w:jc w:val="both"/>
              <w:rPr>
                <w:sz w:val="20"/>
              </w:rPr>
            </w:pPr>
          </w:p>
        </w:tc>
      </w:tr>
      <w:tr w:rsidR="00DA7F1C" w14:paraId="5B3137BE" w14:textId="77777777" w:rsidTr="00D2408D">
        <w:trPr>
          <w:trHeight w:val="412"/>
        </w:trPr>
        <w:tc>
          <w:tcPr>
            <w:tcW w:w="3523" w:type="dxa"/>
          </w:tcPr>
          <w:p w14:paraId="38AFD93D" w14:textId="77777777" w:rsidR="00DA7F1C" w:rsidRDefault="00DA7F1C" w:rsidP="00CD363C">
            <w:pPr>
              <w:pStyle w:val="TableParagraph"/>
              <w:ind w:right="-142"/>
              <w:jc w:val="both"/>
              <w:rPr>
                <w:sz w:val="20"/>
              </w:rPr>
            </w:pPr>
            <w:r>
              <w:rPr>
                <w:sz w:val="20"/>
              </w:rPr>
              <w:t>Likvidācijas vērtība**, EUR</w:t>
            </w:r>
          </w:p>
        </w:tc>
        <w:tc>
          <w:tcPr>
            <w:tcW w:w="668" w:type="dxa"/>
          </w:tcPr>
          <w:p w14:paraId="4D2DCC08" w14:textId="77777777" w:rsidR="00DA7F1C" w:rsidRDefault="00DA7F1C" w:rsidP="00CD363C">
            <w:pPr>
              <w:pStyle w:val="TableParagraph"/>
              <w:ind w:right="-142"/>
              <w:jc w:val="both"/>
              <w:rPr>
                <w:sz w:val="20"/>
              </w:rPr>
            </w:pPr>
            <w:r>
              <w:rPr>
                <w:sz w:val="20"/>
              </w:rPr>
              <w:t>(10)</w:t>
            </w:r>
          </w:p>
        </w:tc>
        <w:tc>
          <w:tcPr>
            <w:tcW w:w="1901" w:type="dxa"/>
          </w:tcPr>
          <w:p w14:paraId="70F924B2" w14:textId="77777777" w:rsidR="00DA7F1C" w:rsidRDefault="00DA7F1C" w:rsidP="00CD363C">
            <w:pPr>
              <w:pStyle w:val="TableParagraph"/>
              <w:ind w:right="-142"/>
              <w:jc w:val="both"/>
              <w:rPr>
                <w:sz w:val="20"/>
              </w:rPr>
            </w:pPr>
            <w:r>
              <w:rPr>
                <w:sz w:val="20"/>
              </w:rPr>
              <w:t>50 000,00</w:t>
            </w:r>
          </w:p>
        </w:tc>
        <w:tc>
          <w:tcPr>
            <w:tcW w:w="7371" w:type="dxa"/>
            <w:gridSpan w:val="4"/>
          </w:tcPr>
          <w:p w14:paraId="2101C00B" w14:textId="77777777" w:rsidR="00DA7F1C" w:rsidRDefault="00DA7F1C" w:rsidP="00CD363C">
            <w:pPr>
              <w:pStyle w:val="TableParagraph"/>
              <w:ind w:left="4737" w:right="-142"/>
              <w:jc w:val="both"/>
              <w:rPr>
                <w:sz w:val="20"/>
              </w:rPr>
            </w:pPr>
            <w:r>
              <w:rPr>
                <w:sz w:val="20"/>
              </w:rPr>
              <w:t>Formula sniegta nākamajā lpp.</w:t>
            </w:r>
          </w:p>
        </w:tc>
      </w:tr>
      <w:tr w:rsidR="00DA7F1C" w14:paraId="5CED1376" w14:textId="77777777" w:rsidTr="00D2408D">
        <w:trPr>
          <w:trHeight w:val="461"/>
        </w:trPr>
        <w:tc>
          <w:tcPr>
            <w:tcW w:w="3523" w:type="dxa"/>
          </w:tcPr>
          <w:p w14:paraId="0A345463" w14:textId="77777777" w:rsidR="00DA7F1C" w:rsidRDefault="00DA7F1C" w:rsidP="00CD363C">
            <w:pPr>
              <w:pStyle w:val="TableParagraph"/>
              <w:ind w:right="-142"/>
              <w:jc w:val="both"/>
              <w:rPr>
                <w:sz w:val="20"/>
              </w:rPr>
            </w:pPr>
            <w:r>
              <w:rPr>
                <w:sz w:val="20"/>
              </w:rPr>
              <w:t>Pārdošanas vērtības pašreizējā</w:t>
            </w:r>
            <w:r>
              <w:rPr>
                <w:spacing w:val="-11"/>
                <w:sz w:val="20"/>
              </w:rPr>
              <w:t xml:space="preserve"> </w:t>
            </w:r>
            <w:r>
              <w:rPr>
                <w:sz w:val="20"/>
              </w:rPr>
              <w:t>vērtība,</w:t>
            </w:r>
          </w:p>
          <w:p w14:paraId="1495FDB5" w14:textId="77777777" w:rsidR="00DA7F1C" w:rsidRDefault="00DA7F1C" w:rsidP="00CD363C">
            <w:pPr>
              <w:pStyle w:val="TableParagraph"/>
              <w:ind w:right="-142"/>
              <w:jc w:val="both"/>
              <w:rPr>
                <w:sz w:val="20"/>
              </w:rPr>
            </w:pPr>
            <w:r>
              <w:rPr>
                <w:w w:val="95"/>
                <w:sz w:val="20"/>
              </w:rPr>
              <w:t>EUR</w:t>
            </w:r>
          </w:p>
        </w:tc>
        <w:tc>
          <w:tcPr>
            <w:tcW w:w="668" w:type="dxa"/>
          </w:tcPr>
          <w:p w14:paraId="5932D4E1" w14:textId="77777777" w:rsidR="00DA7F1C" w:rsidRDefault="00DA7F1C" w:rsidP="00CD363C">
            <w:pPr>
              <w:pStyle w:val="TableParagraph"/>
              <w:ind w:right="-142"/>
              <w:jc w:val="both"/>
              <w:rPr>
                <w:sz w:val="20"/>
              </w:rPr>
            </w:pPr>
            <w:r>
              <w:rPr>
                <w:sz w:val="20"/>
              </w:rPr>
              <w:t>(11)</w:t>
            </w:r>
          </w:p>
        </w:tc>
        <w:tc>
          <w:tcPr>
            <w:tcW w:w="1901" w:type="dxa"/>
          </w:tcPr>
          <w:p w14:paraId="0E1DAA90" w14:textId="77777777" w:rsidR="00DA7F1C" w:rsidRDefault="00DA7F1C" w:rsidP="00CD363C">
            <w:pPr>
              <w:pStyle w:val="TableParagraph"/>
              <w:ind w:right="-142"/>
              <w:jc w:val="both"/>
              <w:rPr>
                <w:sz w:val="20"/>
              </w:rPr>
            </w:pPr>
            <w:r>
              <w:rPr>
                <w:sz w:val="20"/>
              </w:rPr>
              <w:t>39 176,31</w:t>
            </w:r>
          </w:p>
        </w:tc>
        <w:tc>
          <w:tcPr>
            <w:tcW w:w="7371" w:type="dxa"/>
            <w:gridSpan w:val="4"/>
          </w:tcPr>
          <w:p w14:paraId="2324FC3A" w14:textId="77777777" w:rsidR="00DA7F1C" w:rsidRDefault="00DA7F1C" w:rsidP="00CD363C">
            <w:pPr>
              <w:pStyle w:val="TableParagraph"/>
              <w:ind w:left="2344" w:right="-142"/>
              <w:jc w:val="both"/>
              <w:rPr>
                <w:sz w:val="20"/>
              </w:rPr>
            </w:pPr>
            <w:r>
              <w:rPr>
                <w:sz w:val="20"/>
              </w:rPr>
              <w:t>(10) x 0,7835 (pēdējā gada naudas plūsmas diskonta faktors)</w:t>
            </w:r>
          </w:p>
        </w:tc>
      </w:tr>
      <w:tr w:rsidR="00DA7F1C" w14:paraId="3AAB4104" w14:textId="77777777" w:rsidTr="00D2408D">
        <w:trPr>
          <w:trHeight w:val="407"/>
        </w:trPr>
        <w:tc>
          <w:tcPr>
            <w:tcW w:w="3523" w:type="dxa"/>
          </w:tcPr>
          <w:p w14:paraId="0E108045" w14:textId="77777777" w:rsidR="00DA7F1C" w:rsidRDefault="00DA7F1C" w:rsidP="00CD363C">
            <w:pPr>
              <w:pStyle w:val="TableParagraph"/>
              <w:ind w:right="-142"/>
              <w:jc w:val="both"/>
              <w:rPr>
                <w:sz w:val="20"/>
              </w:rPr>
            </w:pPr>
            <w:r>
              <w:rPr>
                <w:sz w:val="20"/>
              </w:rPr>
              <w:t>Atgūstamā vērtība, EUR</w:t>
            </w:r>
          </w:p>
        </w:tc>
        <w:tc>
          <w:tcPr>
            <w:tcW w:w="668" w:type="dxa"/>
          </w:tcPr>
          <w:p w14:paraId="2A1587D9" w14:textId="77777777" w:rsidR="00DA7F1C" w:rsidRDefault="00DA7F1C" w:rsidP="00CD363C">
            <w:pPr>
              <w:pStyle w:val="TableParagraph"/>
              <w:ind w:right="-142"/>
              <w:jc w:val="both"/>
              <w:rPr>
                <w:sz w:val="20"/>
              </w:rPr>
            </w:pPr>
            <w:r>
              <w:rPr>
                <w:sz w:val="20"/>
              </w:rPr>
              <w:t>(12)</w:t>
            </w:r>
          </w:p>
        </w:tc>
        <w:tc>
          <w:tcPr>
            <w:tcW w:w="1901" w:type="dxa"/>
          </w:tcPr>
          <w:p w14:paraId="17094CD4" w14:textId="77777777" w:rsidR="00DA7F1C" w:rsidRDefault="00DA7F1C" w:rsidP="00CD363C">
            <w:pPr>
              <w:pStyle w:val="TableParagraph"/>
              <w:ind w:right="-142"/>
              <w:jc w:val="both"/>
              <w:rPr>
                <w:sz w:val="20"/>
              </w:rPr>
            </w:pPr>
            <w:r>
              <w:rPr>
                <w:sz w:val="20"/>
              </w:rPr>
              <w:t>186 378,52</w:t>
            </w:r>
          </w:p>
        </w:tc>
        <w:tc>
          <w:tcPr>
            <w:tcW w:w="7371" w:type="dxa"/>
            <w:gridSpan w:val="4"/>
          </w:tcPr>
          <w:p w14:paraId="5AD50EF2" w14:textId="77777777" w:rsidR="00DA7F1C" w:rsidRDefault="00DA7F1C" w:rsidP="00CD363C">
            <w:pPr>
              <w:pStyle w:val="TableParagraph"/>
              <w:ind w:right="-142"/>
              <w:jc w:val="both"/>
              <w:rPr>
                <w:sz w:val="20"/>
              </w:rPr>
            </w:pPr>
            <w:r>
              <w:rPr>
                <w:sz w:val="20"/>
              </w:rPr>
              <w:t>(9) + (11)</w:t>
            </w:r>
          </w:p>
        </w:tc>
      </w:tr>
    </w:tbl>
    <w:p w14:paraId="56EA0DE5" w14:textId="77777777" w:rsidR="00DA7F1C" w:rsidRDefault="00DA7F1C" w:rsidP="00CD363C">
      <w:pPr>
        <w:pStyle w:val="Pamatteksts"/>
        <w:ind w:left="118" w:right="-142"/>
        <w:jc w:val="both"/>
      </w:pPr>
      <w:r>
        <w:t>Pašreizējo vērtību aprēķina, izmantojot atbilstošu Valsts kases interneta vietnē publicētu diskonta likmi.</w:t>
      </w:r>
    </w:p>
    <w:p w14:paraId="6C23E30E" w14:textId="77777777" w:rsidR="00DA7F1C" w:rsidRDefault="00DA7F1C" w:rsidP="00CD363C">
      <w:pPr>
        <w:pStyle w:val="Pamatteksts"/>
        <w:ind w:right="-142"/>
        <w:jc w:val="both"/>
        <w:rPr>
          <w:sz w:val="21"/>
        </w:rPr>
      </w:pPr>
    </w:p>
    <w:p w14:paraId="37CA7A43" w14:textId="77777777" w:rsidR="00DA7F1C" w:rsidRDefault="00DA7F1C" w:rsidP="00CD363C">
      <w:pPr>
        <w:pStyle w:val="Sarakstarindkopa"/>
        <w:widowControl w:val="0"/>
        <w:numPr>
          <w:ilvl w:val="0"/>
          <w:numId w:val="2"/>
        </w:numPr>
        <w:tabs>
          <w:tab w:val="left" w:pos="270"/>
        </w:tabs>
        <w:autoSpaceDE w:val="0"/>
        <w:autoSpaceDN w:val="0"/>
        <w:spacing w:after="0" w:line="240" w:lineRule="auto"/>
        <w:ind w:right="-142"/>
        <w:contextualSpacing w:val="0"/>
        <w:jc w:val="both"/>
        <w:rPr>
          <w:i/>
          <w:sz w:val="20"/>
        </w:rPr>
      </w:pPr>
      <w:r>
        <w:rPr>
          <w:i/>
          <w:sz w:val="20"/>
        </w:rPr>
        <w:t>Kapitālie izdevumi ir izdevumi, kuri rodas budžeta iestādei, lai uzturētu aktīvus to lietošanas kārtībā</w:t>
      </w:r>
    </w:p>
    <w:p w14:paraId="6DC11EA6" w14:textId="77777777" w:rsidR="00DA7F1C" w:rsidRDefault="00DA7F1C" w:rsidP="00CD363C">
      <w:pPr>
        <w:pStyle w:val="Pamatteksts"/>
        <w:ind w:right="-142"/>
        <w:jc w:val="both"/>
        <w:rPr>
          <w:i/>
          <w:sz w:val="20"/>
        </w:rPr>
      </w:pPr>
    </w:p>
    <w:p w14:paraId="24C1BCFE" w14:textId="77777777" w:rsidR="00DA7F1C" w:rsidRDefault="00DA7F1C" w:rsidP="00CD363C">
      <w:pPr>
        <w:spacing w:after="0" w:line="240" w:lineRule="auto"/>
        <w:ind w:left="118" w:right="-142"/>
        <w:jc w:val="both"/>
        <w:rPr>
          <w:i/>
          <w:sz w:val="20"/>
        </w:rPr>
      </w:pPr>
      <w:r>
        <w:rPr>
          <w:i/>
          <w:sz w:val="20"/>
        </w:rPr>
        <w:t>**</w:t>
      </w:r>
      <w:r>
        <w:rPr>
          <w:i/>
          <w:spacing w:val="-3"/>
          <w:sz w:val="20"/>
        </w:rPr>
        <w:t xml:space="preserve"> </w:t>
      </w:r>
      <w:r>
        <w:rPr>
          <w:i/>
          <w:sz w:val="20"/>
        </w:rPr>
        <w:t>Likvidācijas</w:t>
      </w:r>
      <w:r>
        <w:rPr>
          <w:i/>
          <w:spacing w:val="-5"/>
          <w:sz w:val="20"/>
        </w:rPr>
        <w:t xml:space="preserve"> </w:t>
      </w:r>
      <w:r>
        <w:rPr>
          <w:i/>
          <w:sz w:val="20"/>
        </w:rPr>
        <w:t>vērtība</w:t>
      </w:r>
      <w:r>
        <w:rPr>
          <w:i/>
          <w:spacing w:val="-3"/>
          <w:sz w:val="20"/>
        </w:rPr>
        <w:t xml:space="preserve"> </w:t>
      </w:r>
      <w:r>
        <w:rPr>
          <w:i/>
          <w:sz w:val="20"/>
        </w:rPr>
        <w:t>ir</w:t>
      </w:r>
      <w:r>
        <w:rPr>
          <w:i/>
          <w:spacing w:val="-5"/>
          <w:sz w:val="20"/>
        </w:rPr>
        <w:t xml:space="preserve"> </w:t>
      </w:r>
      <w:r>
        <w:rPr>
          <w:i/>
          <w:sz w:val="20"/>
        </w:rPr>
        <w:t>aplēstā</w:t>
      </w:r>
      <w:r>
        <w:rPr>
          <w:i/>
          <w:spacing w:val="-4"/>
          <w:sz w:val="20"/>
        </w:rPr>
        <w:t xml:space="preserve"> </w:t>
      </w:r>
      <w:r>
        <w:rPr>
          <w:i/>
          <w:sz w:val="20"/>
        </w:rPr>
        <w:t>vērtība,</w:t>
      </w:r>
      <w:r>
        <w:rPr>
          <w:i/>
          <w:spacing w:val="-4"/>
          <w:sz w:val="20"/>
        </w:rPr>
        <w:t xml:space="preserve"> </w:t>
      </w:r>
      <w:r>
        <w:rPr>
          <w:i/>
          <w:sz w:val="20"/>
        </w:rPr>
        <w:t>kuru</w:t>
      </w:r>
      <w:r>
        <w:rPr>
          <w:i/>
          <w:spacing w:val="-3"/>
          <w:sz w:val="20"/>
        </w:rPr>
        <w:t xml:space="preserve"> </w:t>
      </w:r>
      <w:r>
        <w:rPr>
          <w:i/>
          <w:sz w:val="20"/>
        </w:rPr>
        <w:t>budžeta</w:t>
      </w:r>
      <w:r>
        <w:rPr>
          <w:i/>
          <w:spacing w:val="-3"/>
          <w:sz w:val="20"/>
        </w:rPr>
        <w:t xml:space="preserve"> </w:t>
      </w:r>
      <w:r>
        <w:rPr>
          <w:i/>
          <w:sz w:val="20"/>
        </w:rPr>
        <w:t>varētu</w:t>
      </w:r>
      <w:r>
        <w:rPr>
          <w:i/>
          <w:spacing w:val="-3"/>
          <w:sz w:val="20"/>
        </w:rPr>
        <w:t xml:space="preserve"> </w:t>
      </w:r>
      <w:r>
        <w:rPr>
          <w:i/>
          <w:sz w:val="20"/>
        </w:rPr>
        <w:t>iegūt</w:t>
      </w:r>
      <w:r>
        <w:rPr>
          <w:i/>
          <w:spacing w:val="-5"/>
          <w:sz w:val="20"/>
        </w:rPr>
        <w:t xml:space="preserve"> </w:t>
      </w:r>
      <w:r>
        <w:rPr>
          <w:i/>
          <w:sz w:val="20"/>
        </w:rPr>
        <w:t>no</w:t>
      </w:r>
      <w:r>
        <w:rPr>
          <w:i/>
          <w:spacing w:val="-3"/>
          <w:sz w:val="20"/>
        </w:rPr>
        <w:t xml:space="preserve"> </w:t>
      </w:r>
      <w:r>
        <w:rPr>
          <w:i/>
          <w:sz w:val="20"/>
        </w:rPr>
        <w:t>aktīva</w:t>
      </w:r>
      <w:r>
        <w:rPr>
          <w:i/>
          <w:spacing w:val="-5"/>
          <w:sz w:val="20"/>
        </w:rPr>
        <w:t xml:space="preserve"> </w:t>
      </w:r>
      <w:r>
        <w:rPr>
          <w:i/>
          <w:sz w:val="20"/>
        </w:rPr>
        <w:t>pēc</w:t>
      </w:r>
      <w:r>
        <w:rPr>
          <w:i/>
          <w:spacing w:val="-4"/>
          <w:sz w:val="20"/>
        </w:rPr>
        <w:t xml:space="preserve"> </w:t>
      </w:r>
      <w:r>
        <w:rPr>
          <w:i/>
          <w:sz w:val="20"/>
        </w:rPr>
        <w:t>prognozētā</w:t>
      </w:r>
      <w:r>
        <w:rPr>
          <w:i/>
          <w:spacing w:val="-3"/>
          <w:sz w:val="20"/>
        </w:rPr>
        <w:t xml:space="preserve"> </w:t>
      </w:r>
      <w:r>
        <w:rPr>
          <w:i/>
          <w:sz w:val="20"/>
        </w:rPr>
        <w:t>naudas</w:t>
      </w:r>
      <w:r>
        <w:rPr>
          <w:i/>
          <w:spacing w:val="-5"/>
          <w:sz w:val="20"/>
        </w:rPr>
        <w:t xml:space="preserve"> </w:t>
      </w:r>
      <w:r>
        <w:rPr>
          <w:i/>
          <w:sz w:val="20"/>
        </w:rPr>
        <w:t>plūsmu</w:t>
      </w:r>
      <w:r>
        <w:rPr>
          <w:i/>
          <w:spacing w:val="-3"/>
          <w:sz w:val="20"/>
        </w:rPr>
        <w:t xml:space="preserve"> </w:t>
      </w:r>
      <w:r>
        <w:rPr>
          <w:i/>
          <w:sz w:val="20"/>
        </w:rPr>
        <w:t>perioda.</w:t>
      </w:r>
      <w:r>
        <w:rPr>
          <w:i/>
          <w:spacing w:val="-4"/>
          <w:sz w:val="20"/>
        </w:rPr>
        <w:t xml:space="preserve"> </w:t>
      </w:r>
      <w:r>
        <w:rPr>
          <w:i/>
          <w:sz w:val="20"/>
        </w:rPr>
        <w:t>Ieguldījuma</w:t>
      </w:r>
      <w:r>
        <w:rPr>
          <w:i/>
          <w:spacing w:val="-3"/>
          <w:sz w:val="20"/>
        </w:rPr>
        <w:t xml:space="preserve"> </w:t>
      </w:r>
      <w:r>
        <w:rPr>
          <w:i/>
          <w:sz w:val="20"/>
        </w:rPr>
        <w:t>īpašumu</w:t>
      </w:r>
      <w:r>
        <w:rPr>
          <w:i/>
          <w:spacing w:val="-6"/>
          <w:sz w:val="20"/>
        </w:rPr>
        <w:t xml:space="preserve"> </w:t>
      </w:r>
      <w:r>
        <w:rPr>
          <w:i/>
          <w:sz w:val="20"/>
        </w:rPr>
        <w:t>gadījumā</w:t>
      </w:r>
      <w:r>
        <w:rPr>
          <w:i/>
          <w:spacing w:val="-3"/>
          <w:sz w:val="20"/>
        </w:rPr>
        <w:t xml:space="preserve"> </w:t>
      </w:r>
      <w:r>
        <w:rPr>
          <w:i/>
          <w:sz w:val="20"/>
        </w:rPr>
        <w:t>likvidācijas</w:t>
      </w:r>
      <w:r>
        <w:rPr>
          <w:i/>
          <w:spacing w:val="-4"/>
          <w:sz w:val="20"/>
        </w:rPr>
        <w:t xml:space="preserve"> </w:t>
      </w:r>
      <w:r>
        <w:rPr>
          <w:i/>
          <w:sz w:val="20"/>
        </w:rPr>
        <w:t>vērtību</w:t>
      </w:r>
      <w:r>
        <w:rPr>
          <w:i/>
          <w:spacing w:val="-3"/>
          <w:sz w:val="20"/>
        </w:rPr>
        <w:t xml:space="preserve"> </w:t>
      </w:r>
      <w:r>
        <w:rPr>
          <w:i/>
          <w:sz w:val="20"/>
        </w:rPr>
        <w:t>nosaka,</w:t>
      </w:r>
      <w:r>
        <w:rPr>
          <w:i/>
          <w:spacing w:val="-4"/>
          <w:sz w:val="20"/>
        </w:rPr>
        <w:t xml:space="preserve"> </w:t>
      </w:r>
      <w:r>
        <w:rPr>
          <w:i/>
          <w:sz w:val="20"/>
        </w:rPr>
        <w:t xml:space="preserve">vai nu aplēšos ieguldījuma īpašuma pārdošanas vērtību pēc prognozēto naudas plūsmu perioda, vai arī aplēšot ieguldījuma īpašuma sagaidāmās </w:t>
      </w:r>
      <w:r>
        <w:rPr>
          <w:i/>
          <w:spacing w:val="2"/>
          <w:sz w:val="20"/>
        </w:rPr>
        <w:t xml:space="preserve">naudas </w:t>
      </w:r>
      <w:r>
        <w:rPr>
          <w:i/>
          <w:sz w:val="20"/>
        </w:rPr>
        <w:t>plūsmas aktīva atlikušajā lietderīgās lietošanas laikā. Piemērā kā likvidācijas vērtība ir izmantota aktīva aplēstā pārdošanas vērtība 2024.gada</w:t>
      </w:r>
      <w:r>
        <w:rPr>
          <w:i/>
          <w:spacing w:val="-4"/>
          <w:sz w:val="20"/>
        </w:rPr>
        <w:t xml:space="preserve"> </w:t>
      </w:r>
      <w:r>
        <w:rPr>
          <w:i/>
          <w:sz w:val="20"/>
        </w:rPr>
        <w:t>beigās.</w:t>
      </w:r>
    </w:p>
    <w:p w14:paraId="377C2B53" w14:textId="77777777" w:rsidR="00DA7F1C" w:rsidRDefault="00DA7F1C" w:rsidP="00CD363C">
      <w:pPr>
        <w:pStyle w:val="Pamatteksts"/>
        <w:ind w:right="-142"/>
        <w:jc w:val="both"/>
        <w:rPr>
          <w:i/>
          <w:sz w:val="20"/>
        </w:rPr>
      </w:pPr>
    </w:p>
    <w:p w14:paraId="3196DAD5" w14:textId="77777777" w:rsidR="00DA7F1C" w:rsidRDefault="00DA7F1C" w:rsidP="00CD363C">
      <w:pPr>
        <w:pStyle w:val="Pamatteksts"/>
        <w:ind w:right="-142"/>
        <w:jc w:val="both"/>
        <w:rPr>
          <w:i/>
          <w:sz w:val="23"/>
        </w:rPr>
      </w:pPr>
    </w:p>
    <w:p w14:paraId="0355E264" w14:textId="77777777" w:rsidR="00DA7F1C" w:rsidRDefault="00DA7F1C" w:rsidP="00CD363C">
      <w:pPr>
        <w:pStyle w:val="Pamatteksts"/>
        <w:ind w:right="-142"/>
        <w:jc w:val="both"/>
      </w:pPr>
      <w:r>
        <w:t>125</w:t>
      </w:r>
    </w:p>
    <w:p w14:paraId="10DAD4F9" w14:textId="77777777" w:rsidR="00DA7F1C" w:rsidRDefault="00DA7F1C" w:rsidP="00CD363C">
      <w:pPr>
        <w:spacing w:after="0" w:line="240" w:lineRule="auto"/>
        <w:ind w:right="-142"/>
        <w:jc w:val="both"/>
        <w:sectPr w:rsidR="00DA7F1C" w:rsidSect="00C612A0">
          <w:footerReference w:type="default" r:id="rId29"/>
          <w:pgSz w:w="16840" w:h="11910" w:orient="landscape"/>
          <w:pgMar w:top="1100" w:right="991" w:bottom="280" w:left="1300" w:header="0" w:footer="0" w:gutter="0"/>
          <w:cols w:space="720"/>
        </w:sectPr>
      </w:pPr>
    </w:p>
    <w:p w14:paraId="3629023D" w14:textId="77777777" w:rsidR="00DA7F1C" w:rsidRDefault="00870ECE" w:rsidP="00CD363C">
      <w:pPr>
        <w:pStyle w:val="Pamatteksts"/>
        <w:ind w:left="142" w:right="-142" w:hanging="142"/>
        <w:jc w:val="both"/>
      </w:pPr>
      <w:r>
        <w:rPr>
          <w:noProof/>
        </w:rPr>
        <mc:AlternateContent>
          <mc:Choice Requires="wps">
            <w:drawing>
              <wp:anchor distT="0" distB="0" distL="0" distR="0" simplePos="0" relativeHeight="251659264" behindDoc="0" locked="0" layoutInCell="1" allowOverlap="1" wp14:anchorId="14BB0E5B" wp14:editId="67227CCB">
                <wp:simplePos x="0" y="0"/>
                <wp:positionH relativeFrom="page">
                  <wp:posOffset>900430</wp:posOffset>
                </wp:positionH>
                <wp:positionV relativeFrom="paragraph">
                  <wp:posOffset>480695</wp:posOffset>
                </wp:positionV>
                <wp:extent cx="5248275" cy="523875"/>
                <wp:effectExtent l="5080" t="10160" r="13970" b="8890"/>
                <wp:wrapTopAndBottom/>
                <wp:docPr id="3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23875"/>
                        </a:xfrm>
                        <a:prstGeom prst="rect">
                          <a:avLst/>
                        </a:prstGeom>
                        <a:noFill/>
                        <a:ln w="6350">
                          <a:solidFill>
                            <a:srgbClr val="C3C4C5"/>
                          </a:solidFill>
                          <a:miter lim="800000"/>
                          <a:headEnd/>
                          <a:tailEnd/>
                        </a:ln>
                        <a:extLst>
                          <a:ext uri="{909E8E84-426E-40DD-AFC4-6F175D3DCCD1}">
                            <a14:hiddenFill xmlns:a14="http://schemas.microsoft.com/office/drawing/2010/main">
                              <a:solidFill>
                                <a:srgbClr val="FFFFFF"/>
                              </a:solidFill>
                            </a14:hiddenFill>
                          </a:ext>
                        </a:extLst>
                      </wps:spPr>
                      <wps:txbx>
                        <w:txbxContent>
                          <w:p w14:paraId="508CDE0F" w14:textId="77777777" w:rsidR="00335490" w:rsidRDefault="00335490" w:rsidP="00DA7F1C">
                            <w:pPr>
                              <w:pStyle w:val="Pamatteksts"/>
                              <w:spacing w:before="174"/>
                              <w:ind w:left="144"/>
                            </w:pPr>
                            <w:r>
                              <w:t>Likvidācijas vērtības pašreizējā vērtība = likvidācijas vērtība x diskonta faktors n gadā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B0E5B" id="_x0000_t202" coordsize="21600,21600" o:spt="202" path="m,l,21600r21600,l21600,xe">
                <v:stroke joinstyle="miter"/>
                <v:path gradientshapeok="t" o:connecttype="rect"/>
              </v:shapetype>
              <v:shape id="Text Box 4" o:spid="_x0000_s1026" type="#_x0000_t202" style="position:absolute;left:0;text-align:left;margin-left:70.9pt;margin-top:37.85pt;width:413.25pt;height:41.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" filled="f" strokecolor="#c3c4c5" strokeweight=".5pt">
                <v:textbox inset="0,0,0,0">
                  <w:txbxContent>
                    <w:p w14:paraId="508CDE0F" w14:textId="77777777" w:rsidR="00335490" w:rsidRDefault="00335490" w:rsidP="00DA7F1C">
                      <w:pPr>
                        <w:pStyle w:val="Pamatteksts"/>
                        <w:spacing w:before="174"/>
                        <w:ind w:left="144"/>
                      </w:pPr>
                      <w:r>
                        <w:t>Likvidācijas vērtības pašreizējā vērtība = likvidācijas vērtība x diskonta faktors n gadā</w:t>
                      </w:r>
                    </w:p>
                  </w:txbxContent>
                </v:textbox>
                <w10:wrap type="topAndBottom" anchorx="page"/>
              </v:shape>
            </w:pict>
          </mc:Fallback>
        </mc:AlternateContent>
      </w:r>
      <w:r w:rsidR="00DA7F1C">
        <w:t>Likvidācijas (terminālo) vērtību diskontē atbilstoši attiecīgajam periodam (gadu skaitam), lai iegūtu likvidācijas (terminālās) vērtības pašreizējo vērtību.</w:t>
      </w:r>
    </w:p>
    <w:p w14:paraId="5E47B753" w14:textId="77777777" w:rsidR="00DA7F1C" w:rsidRDefault="00DA7F1C" w:rsidP="00CD363C">
      <w:pPr>
        <w:pStyle w:val="Pamatteksts"/>
        <w:ind w:right="-142"/>
        <w:jc w:val="both"/>
      </w:pPr>
      <w:r>
        <w:t>Pēc aprēķinu veikšanas budžeta iestāde salīdzina ieguldījuma īpašuma uzskaites vērtību ar aplēsto atgūstamo vērtību un novērtē ieguldījuma īpašumu atbilstoši zemākajai vērtībai.</w:t>
      </w:r>
    </w:p>
    <w:p w14:paraId="0050CAD7" w14:textId="77777777" w:rsidR="00DA7F1C" w:rsidRDefault="00DA7F1C" w:rsidP="00CD363C">
      <w:pPr>
        <w:spacing w:after="0" w:line="240" w:lineRule="auto"/>
        <w:ind w:left="218" w:right="-142" w:hanging="218"/>
        <w:jc w:val="both"/>
        <w:rPr>
          <w:b/>
        </w:rPr>
      </w:pPr>
      <w:r>
        <w:t xml:space="preserve">Ieguldījuma īpašuma atgūstamā vērtība </w:t>
      </w:r>
      <w:r>
        <w:rPr>
          <w:b/>
        </w:rPr>
        <w:t xml:space="preserve">ir lielāka par </w:t>
      </w:r>
      <w:r>
        <w:t>uzskaites vērtību</w:t>
      </w:r>
      <w:r>
        <w:rPr>
          <w:b/>
        </w:rPr>
        <w:t>:</w:t>
      </w:r>
    </w:p>
    <w:p w14:paraId="36824BDC" w14:textId="77777777" w:rsidR="00DA7F1C" w:rsidRDefault="00DA7F1C" w:rsidP="00CD363C">
      <w:pPr>
        <w:pStyle w:val="Pamatteksts"/>
        <w:ind w:right="-142" w:hanging="218"/>
        <w:jc w:val="both"/>
        <w:rPr>
          <w:b/>
          <w:sz w:val="20"/>
        </w:rPr>
      </w:pPr>
    </w:p>
    <w:p w14:paraId="3FA501C7" w14:textId="77777777" w:rsidR="00DA7F1C" w:rsidRDefault="00DA7F1C" w:rsidP="00CD363C">
      <w:pPr>
        <w:spacing w:after="0" w:line="240" w:lineRule="auto"/>
        <w:ind w:left="218" w:right="-142" w:hanging="218"/>
        <w:jc w:val="both"/>
        <w:rPr>
          <w:b/>
        </w:rPr>
      </w:pPr>
      <w:r>
        <w:rPr>
          <w:i/>
        </w:rPr>
        <w:t xml:space="preserve">Atgūstamā vērtība </w:t>
      </w:r>
      <w:r>
        <w:rPr>
          <w:b/>
        </w:rPr>
        <w:t xml:space="preserve">186 378,52 EUR </w:t>
      </w:r>
      <w:r>
        <w:rPr>
          <w:i/>
        </w:rPr>
        <w:t xml:space="preserve">&gt; Uzskaites vērtība </w:t>
      </w:r>
      <w:r>
        <w:rPr>
          <w:b/>
        </w:rPr>
        <w:t>150 000,00 EUR</w:t>
      </w:r>
    </w:p>
    <w:p w14:paraId="384202C4" w14:textId="77777777" w:rsidR="00DA7F1C" w:rsidRDefault="00DA7F1C" w:rsidP="00CD363C">
      <w:pPr>
        <w:pStyle w:val="Pamatteksts"/>
        <w:ind w:right="-142" w:hanging="218"/>
        <w:jc w:val="both"/>
        <w:rPr>
          <w:b/>
          <w:sz w:val="20"/>
        </w:rPr>
      </w:pPr>
    </w:p>
    <w:p w14:paraId="5770DA04" w14:textId="77777777" w:rsidR="00DA7F1C" w:rsidRDefault="00DA7F1C" w:rsidP="00CD363C">
      <w:pPr>
        <w:pStyle w:val="Pamatteksts"/>
        <w:ind w:right="-142"/>
        <w:jc w:val="both"/>
      </w:pPr>
      <w:r>
        <w:t>Tā kā atgūstamā vērtība ir augstāka par uzskaites vērtību, budžeta iestāde neatzīst izdevumus no vērtības samazinājuma.</w:t>
      </w:r>
    </w:p>
    <w:p w14:paraId="1F68A9DD" w14:textId="77777777" w:rsidR="00DA7F1C" w:rsidRDefault="001A49A3" w:rsidP="00CD363C">
      <w:pPr>
        <w:pStyle w:val="Virsraksts4"/>
        <w:spacing w:before="0"/>
        <w:ind w:left="218" w:right="-142" w:hanging="218"/>
        <w:jc w:val="both"/>
      </w:pPr>
      <w:bookmarkStart w:id="53" w:name="14.5._Ieguldījuma_īpašuma_vērtības_samaz"/>
      <w:bookmarkStart w:id="54" w:name="_bookmark92"/>
      <w:bookmarkEnd w:id="53"/>
      <w:bookmarkEnd w:id="54"/>
      <w:r>
        <w:rPr>
          <w:color w:val="002069"/>
        </w:rPr>
        <w:t>2.</w:t>
      </w:r>
      <w:r w:rsidR="00DA7F1C">
        <w:rPr>
          <w:color w:val="002069"/>
        </w:rPr>
        <w:t xml:space="preserve"> Ieguldījuma īpašuma vērtības samazināšanās aprēķins apvienotās uzskaites vienībai</w:t>
      </w:r>
    </w:p>
    <w:p w14:paraId="0D495808" w14:textId="77777777" w:rsidR="00DA7F1C" w:rsidRDefault="00DA7F1C" w:rsidP="00CD363C">
      <w:pPr>
        <w:pStyle w:val="Pamatteksts"/>
        <w:ind w:right="-142"/>
        <w:jc w:val="both"/>
      </w:pPr>
      <w:r>
        <w:t>Budžeta iestāde iznomā ēku, noliktavu un apkārtējo asfaltētu teritoriju ražotājam. Nomas līgumā noteikta fiksēta</w:t>
      </w:r>
      <w:r>
        <w:rPr>
          <w:spacing w:val="-10"/>
        </w:rPr>
        <w:t xml:space="preserve"> </w:t>
      </w:r>
      <w:r>
        <w:t>mēneša</w:t>
      </w:r>
      <w:r>
        <w:rPr>
          <w:spacing w:val="-9"/>
        </w:rPr>
        <w:t xml:space="preserve"> </w:t>
      </w:r>
      <w:r>
        <w:t>nomas</w:t>
      </w:r>
      <w:r>
        <w:rPr>
          <w:spacing w:val="-9"/>
        </w:rPr>
        <w:t xml:space="preserve"> </w:t>
      </w:r>
      <w:r>
        <w:t>maksa</w:t>
      </w:r>
      <w:r>
        <w:rPr>
          <w:spacing w:val="-9"/>
        </w:rPr>
        <w:t xml:space="preserve"> </w:t>
      </w:r>
      <w:r>
        <w:t>par</w:t>
      </w:r>
      <w:r>
        <w:rPr>
          <w:spacing w:val="-11"/>
        </w:rPr>
        <w:t xml:space="preserve"> </w:t>
      </w:r>
      <w:r>
        <w:t>visu</w:t>
      </w:r>
      <w:r>
        <w:rPr>
          <w:spacing w:val="-9"/>
        </w:rPr>
        <w:t xml:space="preserve"> </w:t>
      </w:r>
      <w:r>
        <w:t>kompleksu</w:t>
      </w:r>
      <w:r>
        <w:rPr>
          <w:spacing w:val="-7"/>
        </w:rPr>
        <w:t xml:space="preserve"> </w:t>
      </w:r>
      <w:r>
        <w:t>–</w:t>
      </w:r>
      <w:r>
        <w:rPr>
          <w:spacing w:val="-9"/>
        </w:rPr>
        <w:t xml:space="preserve"> </w:t>
      </w:r>
      <w:r>
        <w:t>1</w:t>
      </w:r>
      <w:r>
        <w:rPr>
          <w:spacing w:val="-10"/>
        </w:rPr>
        <w:t xml:space="preserve"> </w:t>
      </w:r>
      <w:r>
        <w:t>000,00</w:t>
      </w:r>
      <w:r>
        <w:rPr>
          <w:spacing w:val="-10"/>
        </w:rPr>
        <w:t xml:space="preserve"> </w:t>
      </w:r>
      <w:r>
        <w:t>EUR.</w:t>
      </w:r>
      <w:r>
        <w:rPr>
          <w:spacing w:val="-10"/>
        </w:rPr>
        <w:t xml:space="preserve"> </w:t>
      </w:r>
      <w:r>
        <w:t>2020.gadā</w:t>
      </w:r>
      <w:r>
        <w:rPr>
          <w:spacing w:val="-11"/>
        </w:rPr>
        <w:t xml:space="preserve"> </w:t>
      </w:r>
      <w:r>
        <w:t>diskonta</w:t>
      </w:r>
      <w:r>
        <w:rPr>
          <w:spacing w:val="-11"/>
        </w:rPr>
        <w:t xml:space="preserve"> </w:t>
      </w:r>
      <w:r>
        <w:t>likme</w:t>
      </w:r>
      <w:r>
        <w:rPr>
          <w:spacing w:val="-9"/>
        </w:rPr>
        <w:t xml:space="preserve"> </w:t>
      </w:r>
      <w:r>
        <w:t>ir</w:t>
      </w:r>
      <w:r>
        <w:rPr>
          <w:spacing w:val="-9"/>
        </w:rPr>
        <w:t xml:space="preserve"> </w:t>
      </w:r>
      <w:r>
        <w:t>palielinājusies par 2%, līdz ar to tiek veikts atgūstamās vērtības aprēķins iznomātajam kompleksam kā apvienotai uzskaites vērtībai. Aprēķinu rezultātā kompleksa uzskaites vērtība par 10 000,00 EUR pārsniedz tā atgūstamo vērtību, un budžeta iestādei ir jāatzīst kompleksa vērtības</w:t>
      </w:r>
      <w:r>
        <w:rPr>
          <w:spacing w:val="-6"/>
        </w:rPr>
        <w:t xml:space="preserve"> </w:t>
      </w:r>
      <w:r>
        <w:t>samazinājums.</w:t>
      </w:r>
    </w:p>
    <w:p w14:paraId="51C2EF17" w14:textId="77777777" w:rsidR="00DA7F1C" w:rsidRDefault="00DA7F1C" w:rsidP="00CD363C">
      <w:pPr>
        <w:pStyle w:val="Pamatteksts"/>
        <w:ind w:right="-142"/>
        <w:jc w:val="both"/>
      </w:pPr>
      <w:r>
        <w:t>Budžeta iestādei jāsadala aprēķinātais vērtības samazinājums proporcionāli apvienotās uzskaites vienībā ietilpstošo aktīvu uzskaites vērtībai.</w:t>
      </w:r>
    </w:p>
    <w:p w14:paraId="3E5B2A6F" w14:textId="77777777" w:rsidR="00DA7F1C" w:rsidRDefault="00DA7F1C" w:rsidP="00CD363C">
      <w:pPr>
        <w:pStyle w:val="Pamatteksts"/>
        <w:ind w:right="-142"/>
        <w:jc w:val="both"/>
        <w:rPr>
          <w:sz w:val="17"/>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272"/>
        <w:gridCol w:w="1985"/>
        <w:gridCol w:w="2268"/>
        <w:gridCol w:w="1983"/>
        <w:gridCol w:w="2127"/>
      </w:tblGrid>
      <w:tr w:rsidR="00DA7F1C" w14:paraId="41BDE748" w14:textId="77777777" w:rsidTr="00D2408D">
        <w:trPr>
          <w:trHeight w:val="887"/>
        </w:trPr>
        <w:tc>
          <w:tcPr>
            <w:tcW w:w="1272" w:type="dxa"/>
            <w:shd w:val="clear" w:color="auto" w:fill="F1F1F1"/>
          </w:tcPr>
          <w:p w14:paraId="4A77BF70" w14:textId="77777777" w:rsidR="00DA7F1C" w:rsidRDefault="00DA7F1C" w:rsidP="00CD363C">
            <w:pPr>
              <w:pStyle w:val="TableParagraph"/>
              <w:ind w:right="-142"/>
              <w:jc w:val="both"/>
              <w:rPr>
                <w:sz w:val="20"/>
              </w:rPr>
            </w:pPr>
          </w:p>
          <w:p w14:paraId="6EF800BB" w14:textId="77777777" w:rsidR="00DA7F1C" w:rsidRDefault="00DA7F1C" w:rsidP="00CD363C">
            <w:pPr>
              <w:pStyle w:val="TableParagraph"/>
              <w:ind w:left="357" w:right="-142"/>
              <w:jc w:val="both"/>
              <w:rPr>
                <w:b/>
                <w:sz w:val="18"/>
              </w:rPr>
            </w:pPr>
            <w:r>
              <w:rPr>
                <w:b/>
                <w:sz w:val="18"/>
              </w:rPr>
              <w:t>Aktīvs</w:t>
            </w:r>
          </w:p>
        </w:tc>
        <w:tc>
          <w:tcPr>
            <w:tcW w:w="1985" w:type="dxa"/>
            <w:shd w:val="clear" w:color="auto" w:fill="F1F1F1"/>
          </w:tcPr>
          <w:p w14:paraId="3B40E5FE" w14:textId="77777777" w:rsidR="00DA7F1C" w:rsidRDefault="00DA7F1C" w:rsidP="00CD363C">
            <w:pPr>
              <w:pStyle w:val="TableParagraph"/>
              <w:ind w:left="116" w:right="-142"/>
              <w:jc w:val="both"/>
              <w:rPr>
                <w:b/>
                <w:sz w:val="18"/>
              </w:rPr>
            </w:pPr>
            <w:r>
              <w:rPr>
                <w:b/>
                <w:sz w:val="18"/>
              </w:rPr>
              <w:t>Uzskaites vērtība pirms vērtības</w:t>
            </w:r>
          </w:p>
          <w:p w14:paraId="43C41604" w14:textId="77777777" w:rsidR="00DA7F1C" w:rsidRDefault="00DA7F1C" w:rsidP="00CD363C">
            <w:pPr>
              <w:pStyle w:val="TableParagraph"/>
              <w:ind w:left="111" w:right="-142"/>
              <w:jc w:val="both"/>
              <w:rPr>
                <w:b/>
                <w:sz w:val="18"/>
              </w:rPr>
            </w:pPr>
            <w:r>
              <w:rPr>
                <w:b/>
                <w:sz w:val="18"/>
              </w:rPr>
              <w:t>samazinājuma, 31.12.2020.</w:t>
            </w:r>
          </w:p>
        </w:tc>
        <w:tc>
          <w:tcPr>
            <w:tcW w:w="2268" w:type="dxa"/>
            <w:shd w:val="clear" w:color="auto" w:fill="F1F1F1"/>
          </w:tcPr>
          <w:p w14:paraId="548D8200" w14:textId="77777777" w:rsidR="00DA7F1C" w:rsidRDefault="00DA7F1C" w:rsidP="00CD363C">
            <w:pPr>
              <w:pStyle w:val="TableParagraph"/>
              <w:ind w:left="319" w:right="-142" w:hanging="3"/>
              <w:jc w:val="both"/>
              <w:rPr>
                <w:b/>
                <w:sz w:val="18"/>
              </w:rPr>
            </w:pPr>
            <w:r>
              <w:rPr>
                <w:b/>
                <w:sz w:val="18"/>
              </w:rPr>
              <w:t>Proporcija no ēku kompleksa uzskaites vērtības</w:t>
            </w:r>
          </w:p>
        </w:tc>
        <w:tc>
          <w:tcPr>
            <w:tcW w:w="1983" w:type="dxa"/>
            <w:shd w:val="clear" w:color="auto" w:fill="F1F1F1"/>
          </w:tcPr>
          <w:p w14:paraId="53C11F14" w14:textId="77777777" w:rsidR="00DA7F1C" w:rsidRDefault="00DA7F1C" w:rsidP="00CD363C">
            <w:pPr>
              <w:pStyle w:val="TableParagraph"/>
              <w:ind w:left="406" w:right="-142" w:hanging="3"/>
              <w:jc w:val="both"/>
              <w:rPr>
                <w:b/>
                <w:sz w:val="18"/>
              </w:rPr>
            </w:pPr>
            <w:r>
              <w:rPr>
                <w:b/>
                <w:sz w:val="18"/>
              </w:rPr>
              <w:t xml:space="preserve">Vērtības </w:t>
            </w:r>
            <w:r>
              <w:rPr>
                <w:b/>
                <w:spacing w:val="-1"/>
                <w:sz w:val="18"/>
              </w:rPr>
              <w:t xml:space="preserve">samazinājuma </w:t>
            </w:r>
            <w:r>
              <w:rPr>
                <w:b/>
                <w:sz w:val="18"/>
              </w:rPr>
              <w:t>attiecināšana</w:t>
            </w:r>
          </w:p>
        </w:tc>
        <w:tc>
          <w:tcPr>
            <w:tcW w:w="2127" w:type="dxa"/>
            <w:shd w:val="clear" w:color="auto" w:fill="F1F1F1"/>
          </w:tcPr>
          <w:p w14:paraId="32D21D61" w14:textId="77777777" w:rsidR="00DA7F1C" w:rsidRDefault="00DA7F1C" w:rsidP="00CD363C">
            <w:pPr>
              <w:pStyle w:val="TableParagraph"/>
              <w:ind w:left="120" w:right="-142" w:hanging="1"/>
              <w:jc w:val="both"/>
              <w:rPr>
                <w:b/>
                <w:sz w:val="18"/>
              </w:rPr>
            </w:pPr>
            <w:r>
              <w:rPr>
                <w:b/>
                <w:sz w:val="18"/>
              </w:rPr>
              <w:t>Uzskaites vērtība, pēc vērtības samazinājuma, 31.12.2020</w:t>
            </w:r>
          </w:p>
        </w:tc>
      </w:tr>
      <w:tr w:rsidR="00DA7F1C" w14:paraId="31025FC0" w14:textId="77777777" w:rsidTr="00D2408D">
        <w:trPr>
          <w:trHeight w:val="749"/>
        </w:trPr>
        <w:tc>
          <w:tcPr>
            <w:tcW w:w="1272" w:type="dxa"/>
            <w:shd w:val="clear" w:color="auto" w:fill="F1F1F1"/>
          </w:tcPr>
          <w:p w14:paraId="2D5E9537" w14:textId="77777777" w:rsidR="00DA7F1C" w:rsidRDefault="00DA7F1C" w:rsidP="00CD363C">
            <w:pPr>
              <w:pStyle w:val="TableParagraph"/>
              <w:ind w:right="-142"/>
              <w:jc w:val="both"/>
              <w:rPr>
                <w:sz w:val="24"/>
              </w:rPr>
            </w:pPr>
          </w:p>
          <w:p w14:paraId="208F3394" w14:textId="77777777" w:rsidR="00DA7F1C" w:rsidRDefault="00DA7F1C" w:rsidP="00CD363C">
            <w:pPr>
              <w:pStyle w:val="TableParagraph"/>
              <w:ind w:left="469" w:right="-142"/>
              <w:jc w:val="both"/>
              <w:rPr>
                <w:i/>
                <w:sz w:val="20"/>
              </w:rPr>
            </w:pPr>
            <w:r>
              <w:rPr>
                <w:i/>
                <w:sz w:val="20"/>
              </w:rPr>
              <w:t>(1)</w:t>
            </w:r>
          </w:p>
        </w:tc>
        <w:tc>
          <w:tcPr>
            <w:tcW w:w="1985" w:type="dxa"/>
            <w:shd w:val="clear" w:color="auto" w:fill="F1F1F1"/>
          </w:tcPr>
          <w:p w14:paraId="30BA6B04" w14:textId="77777777" w:rsidR="00DA7F1C" w:rsidRDefault="00DA7F1C" w:rsidP="00CD363C">
            <w:pPr>
              <w:pStyle w:val="TableParagraph"/>
              <w:ind w:right="-142"/>
              <w:jc w:val="both"/>
              <w:rPr>
                <w:sz w:val="24"/>
              </w:rPr>
            </w:pPr>
          </w:p>
          <w:p w14:paraId="7AA83F68" w14:textId="77777777" w:rsidR="00DA7F1C" w:rsidRDefault="00DA7F1C" w:rsidP="00CD363C">
            <w:pPr>
              <w:pStyle w:val="TableParagraph"/>
              <w:ind w:left="116" w:right="-142"/>
              <w:jc w:val="both"/>
              <w:rPr>
                <w:i/>
                <w:sz w:val="20"/>
              </w:rPr>
            </w:pPr>
            <w:r>
              <w:rPr>
                <w:i/>
                <w:sz w:val="20"/>
              </w:rPr>
              <w:t>(2)</w:t>
            </w:r>
          </w:p>
        </w:tc>
        <w:tc>
          <w:tcPr>
            <w:tcW w:w="2268" w:type="dxa"/>
            <w:shd w:val="clear" w:color="auto" w:fill="F1F1F1"/>
          </w:tcPr>
          <w:p w14:paraId="23957983" w14:textId="77777777" w:rsidR="00DA7F1C" w:rsidRDefault="00DA7F1C" w:rsidP="00CD363C">
            <w:pPr>
              <w:pStyle w:val="TableParagraph"/>
              <w:ind w:left="297" w:right="-142" w:firstLine="163"/>
              <w:jc w:val="both"/>
              <w:rPr>
                <w:i/>
                <w:sz w:val="20"/>
              </w:rPr>
            </w:pPr>
            <w:r>
              <w:rPr>
                <w:i/>
                <w:sz w:val="20"/>
              </w:rPr>
              <w:t>(3) = (2)/kopējā kompleksa uzskaites</w:t>
            </w:r>
          </w:p>
          <w:p w14:paraId="38634C77" w14:textId="77777777" w:rsidR="00DA7F1C" w:rsidRDefault="00DA7F1C" w:rsidP="00CD363C">
            <w:pPr>
              <w:pStyle w:val="TableParagraph"/>
              <w:ind w:left="502" w:right="-142"/>
              <w:jc w:val="both"/>
              <w:rPr>
                <w:i/>
                <w:sz w:val="20"/>
              </w:rPr>
            </w:pPr>
            <w:r>
              <w:rPr>
                <w:i/>
                <w:sz w:val="20"/>
              </w:rPr>
              <w:t>vērtības</w:t>
            </w:r>
          </w:p>
        </w:tc>
        <w:tc>
          <w:tcPr>
            <w:tcW w:w="1983" w:type="dxa"/>
            <w:shd w:val="clear" w:color="auto" w:fill="F1F1F1"/>
          </w:tcPr>
          <w:p w14:paraId="54793BB5" w14:textId="77777777" w:rsidR="00DA7F1C" w:rsidRDefault="00DA7F1C" w:rsidP="00CD363C">
            <w:pPr>
              <w:pStyle w:val="TableParagraph"/>
              <w:ind w:left="144" w:right="-142"/>
              <w:jc w:val="both"/>
              <w:rPr>
                <w:i/>
                <w:sz w:val="20"/>
              </w:rPr>
            </w:pPr>
            <w:r>
              <w:rPr>
                <w:i/>
                <w:sz w:val="20"/>
              </w:rPr>
              <w:t>(4) = 10 000 EUR x</w:t>
            </w:r>
          </w:p>
          <w:p w14:paraId="49F47DB9" w14:textId="77777777" w:rsidR="00DA7F1C" w:rsidRDefault="00DA7F1C" w:rsidP="00CD363C">
            <w:pPr>
              <w:pStyle w:val="TableParagraph"/>
              <w:ind w:left="144" w:right="-142"/>
              <w:jc w:val="both"/>
              <w:rPr>
                <w:i/>
                <w:sz w:val="20"/>
              </w:rPr>
            </w:pPr>
            <w:r>
              <w:rPr>
                <w:i/>
                <w:sz w:val="20"/>
              </w:rPr>
              <w:t>(3)</w:t>
            </w:r>
          </w:p>
        </w:tc>
        <w:tc>
          <w:tcPr>
            <w:tcW w:w="2127" w:type="dxa"/>
            <w:shd w:val="clear" w:color="auto" w:fill="F1F1F1"/>
          </w:tcPr>
          <w:p w14:paraId="4387FC6C" w14:textId="77777777" w:rsidR="00DA7F1C" w:rsidRDefault="00DA7F1C" w:rsidP="00CD363C">
            <w:pPr>
              <w:pStyle w:val="TableParagraph"/>
              <w:ind w:right="-142"/>
              <w:jc w:val="both"/>
              <w:rPr>
                <w:sz w:val="24"/>
              </w:rPr>
            </w:pPr>
          </w:p>
          <w:p w14:paraId="52EB8962" w14:textId="77777777" w:rsidR="00DA7F1C" w:rsidRDefault="00DA7F1C" w:rsidP="00CD363C">
            <w:pPr>
              <w:pStyle w:val="TableParagraph"/>
              <w:ind w:left="466" w:right="-142"/>
              <w:jc w:val="both"/>
              <w:rPr>
                <w:i/>
                <w:sz w:val="20"/>
              </w:rPr>
            </w:pPr>
            <w:r>
              <w:rPr>
                <w:i/>
                <w:sz w:val="20"/>
              </w:rPr>
              <w:t>(5) = (2) – (4)</w:t>
            </w:r>
          </w:p>
        </w:tc>
      </w:tr>
      <w:tr w:rsidR="00DA7F1C" w14:paraId="3136E4F6" w14:textId="77777777" w:rsidTr="00D2408D">
        <w:trPr>
          <w:trHeight w:val="477"/>
        </w:trPr>
        <w:tc>
          <w:tcPr>
            <w:tcW w:w="1272" w:type="dxa"/>
          </w:tcPr>
          <w:p w14:paraId="432018D9" w14:textId="77777777" w:rsidR="00DA7F1C" w:rsidRDefault="00DA7F1C" w:rsidP="00CD363C">
            <w:pPr>
              <w:pStyle w:val="TableParagraph"/>
              <w:ind w:left="107" w:right="-142"/>
              <w:jc w:val="both"/>
              <w:rPr>
                <w:sz w:val="18"/>
              </w:rPr>
            </w:pPr>
            <w:r>
              <w:rPr>
                <w:sz w:val="18"/>
              </w:rPr>
              <w:t>Ēka</w:t>
            </w:r>
          </w:p>
        </w:tc>
        <w:tc>
          <w:tcPr>
            <w:tcW w:w="1985" w:type="dxa"/>
          </w:tcPr>
          <w:p w14:paraId="41661D57" w14:textId="77777777" w:rsidR="00DA7F1C" w:rsidRDefault="00DA7F1C" w:rsidP="00CD363C">
            <w:pPr>
              <w:pStyle w:val="TableParagraph"/>
              <w:ind w:right="-142"/>
              <w:jc w:val="both"/>
              <w:rPr>
                <w:sz w:val="18"/>
              </w:rPr>
            </w:pPr>
            <w:r>
              <w:rPr>
                <w:sz w:val="18"/>
              </w:rPr>
              <w:t>52 500,00</w:t>
            </w:r>
          </w:p>
        </w:tc>
        <w:tc>
          <w:tcPr>
            <w:tcW w:w="2268" w:type="dxa"/>
          </w:tcPr>
          <w:p w14:paraId="05806AA6" w14:textId="77777777" w:rsidR="00DA7F1C" w:rsidRDefault="00DA7F1C" w:rsidP="00CD363C">
            <w:pPr>
              <w:pStyle w:val="TableParagraph"/>
              <w:ind w:right="-142"/>
              <w:jc w:val="both"/>
              <w:rPr>
                <w:sz w:val="18"/>
              </w:rPr>
            </w:pPr>
            <w:r>
              <w:rPr>
                <w:sz w:val="18"/>
              </w:rPr>
              <w:t>70%</w:t>
            </w:r>
          </w:p>
        </w:tc>
        <w:tc>
          <w:tcPr>
            <w:tcW w:w="1983" w:type="dxa"/>
          </w:tcPr>
          <w:p w14:paraId="2A882631" w14:textId="77777777" w:rsidR="00DA7F1C" w:rsidRDefault="00DA7F1C" w:rsidP="00CD363C">
            <w:pPr>
              <w:pStyle w:val="TableParagraph"/>
              <w:ind w:right="-142"/>
              <w:jc w:val="both"/>
              <w:rPr>
                <w:sz w:val="18"/>
              </w:rPr>
            </w:pPr>
            <w:r>
              <w:rPr>
                <w:sz w:val="18"/>
              </w:rPr>
              <w:t>7 000,00</w:t>
            </w:r>
          </w:p>
        </w:tc>
        <w:tc>
          <w:tcPr>
            <w:tcW w:w="2127" w:type="dxa"/>
          </w:tcPr>
          <w:p w14:paraId="442DEF01" w14:textId="77777777" w:rsidR="00DA7F1C" w:rsidRDefault="00DA7F1C" w:rsidP="00CD363C">
            <w:pPr>
              <w:pStyle w:val="TableParagraph"/>
              <w:ind w:right="-142"/>
              <w:jc w:val="both"/>
              <w:rPr>
                <w:sz w:val="18"/>
              </w:rPr>
            </w:pPr>
            <w:r>
              <w:rPr>
                <w:sz w:val="18"/>
              </w:rPr>
              <w:t>45 500,00</w:t>
            </w:r>
          </w:p>
        </w:tc>
      </w:tr>
      <w:tr w:rsidR="00DA7F1C" w14:paraId="2201CCEF" w14:textId="77777777" w:rsidTr="00D2408D">
        <w:trPr>
          <w:trHeight w:val="426"/>
        </w:trPr>
        <w:tc>
          <w:tcPr>
            <w:tcW w:w="1272" w:type="dxa"/>
          </w:tcPr>
          <w:p w14:paraId="21FA84EA" w14:textId="77777777" w:rsidR="00DA7F1C" w:rsidRDefault="00DA7F1C" w:rsidP="00CD363C">
            <w:pPr>
              <w:pStyle w:val="TableParagraph"/>
              <w:ind w:left="107" w:right="-142"/>
              <w:jc w:val="both"/>
              <w:rPr>
                <w:sz w:val="18"/>
              </w:rPr>
            </w:pPr>
            <w:r>
              <w:rPr>
                <w:sz w:val="18"/>
              </w:rPr>
              <w:t>Laukums</w:t>
            </w:r>
          </w:p>
        </w:tc>
        <w:tc>
          <w:tcPr>
            <w:tcW w:w="1985" w:type="dxa"/>
          </w:tcPr>
          <w:p w14:paraId="22C9CCCB" w14:textId="77777777" w:rsidR="00DA7F1C" w:rsidRDefault="00DA7F1C" w:rsidP="00CD363C">
            <w:pPr>
              <w:pStyle w:val="TableParagraph"/>
              <w:ind w:right="-142"/>
              <w:jc w:val="both"/>
              <w:rPr>
                <w:sz w:val="18"/>
              </w:rPr>
            </w:pPr>
            <w:r>
              <w:rPr>
                <w:sz w:val="18"/>
              </w:rPr>
              <w:t>15 000,00</w:t>
            </w:r>
          </w:p>
        </w:tc>
        <w:tc>
          <w:tcPr>
            <w:tcW w:w="2268" w:type="dxa"/>
          </w:tcPr>
          <w:p w14:paraId="32C23BAC" w14:textId="77777777" w:rsidR="00DA7F1C" w:rsidRDefault="00DA7F1C" w:rsidP="00CD363C">
            <w:pPr>
              <w:pStyle w:val="TableParagraph"/>
              <w:ind w:right="-142"/>
              <w:jc w:val="both"/>
              <w:rPr>
                <w:sz w:val="18"/>
              </w:rPr>
            </w:pPr>
            <w:r>
              <w:rPr>
                <w:sz w:val="18"/>
              </w:rPr>
              <w:t>20%</w:t>
            </w:r>
          </w:p>
        </w:tc>
        <w:tc>
          <w:tcPr>
            <w:tcW w:w="1983" w:type="dxa"/>
          </w:tcPr>
          <w:p w14:paraId="60780A9A" w14:textId="77777777" w:rsidR="00DA7F1C" w:rsidRDefault="00DA7F1C" w:rsidP="00CD363C">
            <w:pPr>
              <w:pStyle w:val="TableParagraph"/>
              <w:ind w:right="-142"/>
              <w:jc w:val="both"/>
              <w:rPr>
                <w:sz w:val="18"/>
              </w:rPr>
            </w:pPr>
            <w:r>
              <w:rPr>
                <w:sz w:val="18"/>
              </w:rPr>
              <w:t>2 000,00</w:t>
            </w:r>
          </w:p>
        </w:tc>
        <w:tc>
          <w:tcPr>
            <w:tcW w:w="2127" w:type="dxa"/>
          </w:tcPr>
          <w:p w14:paraId="783B9CF8" w14:textId="77777777" w:rsidR="00DA7F1C" w:rsidRDefault="00DA7F1C" w:rsidP="00CD363C">
            <w:pPr>
              <w:pStyle w:val="TableParagraph"/>
              <w:ind w:right="-142"/>
              <w:jc w:val="both"/>
              <w:rPr>
                <w:sz w:val="18"/>
              </w:rPr>
            </w:pPr>
            <w:r>
              <w:rPr>
                <w:sz w:val="18"/>
              </w:rPr>
              <w:t>13 000,00</w:t>
            </w:r>
          </w:p>
        </w:tc>
      </w:tr>
      <w:tr w:rsidR="00DA7F1C" w14:paraId="478BD210" w14:textId="77777777" w:rsidTr="00D2408D">
        <w:trPr>
          <w:trHeight w:val="417"/>
        </w:trPr>
        <w:tc>
          <w:tcPr>
            <w:tcW w:w="1272" w:type="dxa"/>
          </w:tcPr>
          <w:p w14:paraId="3A1FA399" w14:textId="77777777" w:rsidR="00DA7F1C" w:rsidRDefault="00DA7F1C" w:rsidP="00CD363C">
            <w:pPr>
              <w:pStyle w:val="TableParagraph"/>
              <w:ind w:left="107" w:right="-142"/>
              <w:jc w:val="both"/>
              <w:rPr>
                <w:sz w:val="18"/>
              </w:rPr>
            </w:pPr>
            <w:r>
              <w:rPr>
                <w:sz w:val="18"/>
              </w:rPr>
              <w:t>Noliktava</w:t>
            </w:r>
          </w:p>
        </w:tc>
        <w:tc>
          <w:tcPr>
            <w:tcW w:w="1985" w:type="dxa"/>
          </w:tcPr>
          <w:p w14:paraId="6AD3F5F4" w14:textId="77777777" w:rsidR="00DA7F1C" w:rsidRDefault="00DA7F1C" w:rsidP="00CD363C">
            <w:pPr>
              <w:pStyle w:val="TableParagraph"/>
              <w:ind w:right="-142"/>
              <w:jc w:val="both"/>
              <w:rPr>
                <w:sz w:val="18"/>
              </w:rPr>
            </w:pPr>
            <w:r>
              <w:rPr>
                <w:sz w:val="18"/>
              </w:rPr>
              <w:t>7 500,00</w:t>
            </w:r>
          </w:p>
        </w:tc>
        <w:tc>
          <w:tcPr>
            <w:tcW w:w="2268" w:type="dxa"/>
          </w:tcPr>
          <w:p w14:paraId="608F7585" w14:textId="77777777" w:rsidR="00DA7F1C" w:rsidRDefault="00DA7F1C" w:rsidP="00CD363C">
            <w:pPr>
              <w:pStyle w:val="TableParagraph"/>
              <w:ind w:right="-142"/>
              <w:jc w:val="both"/>
              <w:rPr>
                <w:sz w:val="18"/>
              </w:rPr>
            </w:pPr>
            <w:r>
              <w:rPr>
                <w:sz w:val="18"/>
              </w:rPr>
              <w:t>10%</w:t>
            </w:r>
          </w:p>
        </w:tc>
        <w:tc>
          <w:tcPr>
            <w:tcW w:w="1983" w:type="dxa"/>
          </w:tcPr>
          <w:p w14:paraId="7A9C4E19" w14:textId="77777777" w:rsidR="00DA7F1C" w:rsidRDefault="00DA7F1C" w:rsidP="00CD363C">
            <w:pPr>
              <w:pStyle w:val="TableParagraph"/>
              <w:ind w:right="-142"/>
              <w:jc w:val="both"/>
              <w:rPr>
                <w:sz w:val="18"/>
              </w:rPr>
            </w:pPr>
            <w:r>
              <w:rPr>
                <w:sz w:val="18"/>
              </w:rPr>
              <w:t>1 000,00</w:t>
            </w:r>
          </w:p>
        </w:tc>
        <w:tc>
          <w:tcPr>
            <w:tcW w:w="2127" w:type="dxa"/>
          </w:tcPr>
          <w:p w14:paraId="596D0CAB" w14:textId="77777777" w:rsidR="00DA7F1C" w:rsidRDefault="00DA7F1C" w:rsidP="00CD363C">
            <w:pPr>
              <w:pStyle w:val="TableParagraph"/>
              <w:ind w:right="-142"/>
              <w:jc w:val="both"/>
              <w:rPr>
                <w:sz w:val="18"/>
              </w:rPr>
            </w:pPr>
            <w:r>
              <w:rPr>
                <w:sz w:val="18"/>
              </w:rPr>
              <w:t>6 500,00</w:t>
            </w:r>
          </w:p>
        </w:tc>
      </w:tr>
      <w:tr w:rsidR="00DA7F1C" w14:paraId="76E9C53C" w14:textId="77777777" w:rsidTr="00D2408D">
        <w:trPr>
          <w:trHeight w:val="337"/>
        </w:trPr>
        <w:tc>
          <w:tcPr>
            <w:tcW w:w="1272" w:type="dxa"/>
          </w:tcPr>
          <w:p w14:paraId="5A0696C3" w14:textId="77777777" w:rsidR="00DA7F1C" w:rsidRDefault="00DA7F1C" w:rsidP="00CD363C">
            <w:pPr>
              <w:pStyle w:val="TableParagraph"/>
              <w:ind w:left="107" w:right="-142"/>
              <w:jc w:val="both"/>
              <w:rPr>
                <w:sz w:val="18"/>
              </w:rPr>
            </w:pPr>
            <w:r>
              <w:rPr>
                <w:sz w:val="18"/>
              </w:rPr>
              <w:t>Kopā</w:t>
            </w:r>
          </w:p>
        </w:tc>
        <w:tc>
          <w:tcPr>
            <w:tcW w:w="1985" w:type="dxa"/>
          </w:tcPr>
          <w:p w14:paraId="49D2A6B5" w14:textId="77777777" w:rsidR="00DA7F1C" w:rsidRDefault="00DA7F1C" w:rsidP="00CD363C">
            <w:pPr>
              <w:pStyle w:val="TableParagraph"/>
              <w:ind w:right="-142"/>
              <w:jc w:val="both"/>
              <w:rPr>
                <w:sz w:val="18"/>
              </w:rPr>
            </w:pPr>
            <w:r>
              <w:rPr>
                <w:sz w:val="18"/>
              </w:rPr>
              <w:t>75 000,00</w:t>
            </w:r>
          </w:p>
        </w:tc>
        <w:tc>
          <w:tcPr>
            <w:tcW w:w="2268" w:type="dxa"/>
          </w:tcPr>
          <w:p w14:paraId="31524EDD" w14:textId="77777777" w:rsidR="00DA7F1C" w:rsidRDefault="00DA7F1C" w:rsidP="00CD363C">
            <w:pPr>
              <w:pStyle w:val="TableParagraph"/>
              <w:ind w:right="-142"/>
              <w:jc w:val="both"/>
              <w:rPr>
                <w:sz w:val="18"/>
              </w:rPr>
            </w:pPr>
            <w:r>
              <w:rPr>
                <w:sz w:val="18"/>
              </w:rPr>
              <w:t>100%</w:t>
            </w:r>
          </w:p>
        </w:tc>
        <w:tc>
          <w:tcPr>
            <w:tcW w:w="1983" w:type="dxa"/>
          </w:tcPr>
          <w:p w14:paraId="3DA83759" w14:textId="77777777" w:rsidR="00DA7F1C" w:rsidRDefault="00DA7F1C" w:rsidP="00CD363C">
            <w:pPr>
              <w:pStyle w:val="TableParagraph"/>
              <w:ind w:right="-142"/>
              <w:jc w:val="both"/>
              <w:rPr>
                <w:sz w:val="18"/>
              </w:rPr>
            </w:pPr>
            <w:r>
              <w:rPr>
                <w:sz w:val="18"/>
              </w:rPr>
              <w:t>10 000,00</w:t>
            </w:r>
          </w:p>
        </w:tc>
        <w:tc>
          <w:tcPr>
            <w:tcW w:w="2127" w:type="dxa"/>
          </w:tcPr>
          <w:p w14:paraId="79601A9C" w14:textId="77777777" w:rsidR="00DA7F1C" w:rsidRDefault="00DA7F1C" w:rsidP="00CD363C">
            <w:pPr>
              <w:pStyle w:val="TableParagraph"/>
              <w:ind w:right="-142"/>
              <w:jc w:val="both"/>
              <w:rPr>
                <w:sz w:val="18"/>
              </w:rPr>
            </w:pPr>
            <w:r>
              <w:rPr>
                <w:sz w:val="18"/>
              </w:rPr>
              <w:t>65 000,00</w:t>
            </w:r>
          </w:p>
        </w:tc>
      </w:tr>
    </w:tbl>
    <w:p w14:paraId="014084AA" w14:textId="77777777" w:rsidR="00DA7F1C" w:rsidRDefault="00DA7F1C" w:rsidP="00CD363C">
      <w:pPr>
        <w:pStyle w:val="Pamatteksts"/>
        <w:ind w:right="-142"/>
        <w:jc w:val="both"/>
        <w:rPr>
          <w:sz w:val="24"/>
        </w:rPr>
      </w:pPr>
    </w:p>
    <w:p w14:paraId="232E1699" w14:textId="77777777" w:rsidR="00DA7F1C" w:rsidRDefault="00DA7F1C" w:rsidP="00CD363C">
      <w:pPr>
        <w:pStyle w:val="Pamatteksts"/>
        <w:ind w:right="-142"/>
        <w:jc w:val="both"/>
        <w:rPr>
          <w:sz w:val="26"/>
        </w:rPr>
      </w:pPr>
    </w:p>
    <w:p w14:paraId="3A259ED6" w14:textId="77777777" w:rsidR="00DA7F1C" w:rsidRDefault="00DA7F1C" w:rsidP="00CD363C">
      <w:pPr>
        <w:pStyle w:val="Pamatteksts"/>
        <w:ind w:right="-142"/>
        <w:jc w:val="both"/>
      </w:pPr>
      <w:r>
        <w:t>2021.gadā budžeta iestāde aprēķina ieguldījuma īpašuma aktīvu nolietojumu, tā uzskaites (atlikušo) vērtību sistemātiski attiecinot uz katra aktīva atlikušo lietderīgās lietošanas laiku.</w:t>
      </w:r>
    </w:p>
    <w:p w14:paraId="504B4003" w14:textId="77777777" w:rsidR="00DA7F1C" w:rsidRDefault="00DA7F1C" w:rsidP="00CD363C">
      <w:pPr>
        <w:pStyle w:val="Pamatteksts"/>
        <w:ind w:right="-142"/>
        <w:jc w:val="both"/>
        <w:rPr>
          <w:sz w:val="17"/>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47"/>
        <w:gridCol w:w="2110"/>
        <w:gridCol w:w="2268"/>
        <w:gridCol w:w="1983"/>
        <w:gridCol w:w="2079"/>
      </w:tblGrid>
      <w:tr w:rsidR="00DA7F1C" w14:paraId="787D5B93" w14:textId="77777777" w:rsidTr="00D2408D">
        <w:trPr>
          <w:trHeight w:val="681"/>
        </w:trPr>
        <w:tc>
          <w:tcPr>
            <w:tcW w:w="1147" w:type="dxa"/>
            <w:shd w:val="clear" w:color="auto" w:fill="F1F1F1"/>
          </w:tcPr>
          <w:p w14:paraId="71E3812A" w14:textId="77777777" w:rsidR="00DA7F1C" w:rsidRDefault="00DA7F1C" w:rsidP="00CD363C">
            <w:pPr>
              <w:pStyle w:val="TableParagraph"/>
              <w:ind w:right="-142"/>
              <w:jc w:val="both"/>
              <w:rPr>
                <w:sz w:val="23"/>
              </w:rPr>
            </w:pPr>
          </w:p>
          <w:p w14:paraId="3FDF0C70" w14:textId="77777777" w:rsidR="00DA7F1C" w:rsidRDefault="00DA7F1C" w:rsidP="00CD363C">
            <w:pPr>
              <w:pStyle w:val="TableParagraph"/>
              <w:ind w:left="295" w:right="-142"/>
              <w:jc w:val="both"/>
              <w:rPr>
                <w:b/>
                <w:sz w:val="18"/>
              </w:rPr>
            </w:pPr>
            <w:r>
              <w:rPr>
                <w:b/>
                <w:sz w:val="18"/>
              </w:rPr>
              <w:t>Aktīvs</w:t>
            </w:r>
          </w:p>
        </w:tc>
        <w:tc>
          <w:tcPr>
            <w:tcW w:w="2110" w:type="dxa"/>
            <w:shd w:val="clear" w:color="auto" w:fill="F1F1F1"/>
          </w:tcPr>
          <w:p w14:paraId="6AECF8FB" w14:textId="77777777" w:rsidR="00DA7F1C" w:rsidRDefault="00DA7F1C" w:rsidP="00CD363C">
            <w:pPr>
              <w:pStyle w:val="TableParagraph"/>
              <w:ind w:left="110" w:right="-142" w:firstLine="79"/>
              <w:jc w:val="both"/>
              <w:rPr>
                <w:b/>
                <w:sz w:val="18"/>
              </w:rPr>
            </w:pPr>
            <w:r>
              <w:rPr>
                <w:b/>
                <w:sz w:val="18"/>
              </w:rPr>
              <w:t>Uzskaites vērtība, pēc</w:t>
            </w:r>
          </w:p>
          <w:p w14:paraId="20189C4A" w14:textId="77777777" w:rsidR="00DA7F1C" w:rsidRDefault="00DA7F1C" w:rsidP="00CD363C">
            <w:pPr>
              <w:pStyle w:val="TableParagraph"/>
              <w:ind w:left="619" w:right="-142" w:hanging="509"/>
              <w:jc w:val="both"/>
              <w:rPr>
                <w:b/>
                <w:sz w:val="18"/>
              </w:rPr>
            </w:pPr>
            <w:r>
              <w:rPr>
                <w:b/>
                <w:sz w:val="18"/>
              </w:rPr>
              <w:t>vērtības samazinājuma, 31.12.2020</w:t>
            </w:r>
          </w:p>
        </w:tc>
        <w:tc>
          <w:tcPr>
            <w:tcW w:w="2268" w:type="dxa"/>
            <w:shd w:val="clear" w:color="auto" w:fill="F1F1F1"/>
          </w:tcPr>
          <w:p w14:paraId="6B3073F5" w14:textId="77777777" w:rsidR="00DA7F1C" w:rsidRDefault="00DA7F1C" w:rsidP="00CD363C">
            <w:pPr>
              <w:pStyle w:val="TableParagraph"/>
              <w:ind w:left="523" w:right="-142" w:hanging="250"/>
              <w:jc w:val="both"/>
              <w:rPr>
                <w:b/>
                <w:sz w:val="18"/>
              </w:rPr>
            </w:pPr>
            <w:r>
              <w:rPr>
                <w:b/>
                <w:sz w:val="18"/>
              </w:rPr>
              <w:t>Lietderīgās lietošanas</w:t>
            </w:r>
          </w:p>
          <w:p w14:paraId="3CDD7D3C" w14:textId="77777777" w:rsidR="00DA7F1C" w:rsidRDefault="00DA7F1C" w:rsidP="00CD363C">
            <w:pPr>
              <w:pStyle w:val="TableParagraph"/>
              <w:ind w:left="502" w:right="-142"/>
              <w:jc w:val="both"/>
              <w:rPr>
                <w:b/>
                <w:sz w:val="18"/>
              </w:rPr>
            </w:pPr>
            <w:r>
              <w:rPr>
                <w:b/>
                <w:sz w:val="18"/>
              </w:rPr>
              <w:t>laiks (sākotnēji noteiktais)</w:t>
            </w:r>
          </w:p>
        </w:tc>
        <w:tc>
          <w:tcPr>
            <w:tcW w:w="1983" w:type="dxa"/>
            <w:shd w:val="clear" w:color="auto" w:fill="F1F1F1"/>
          </w:tcPr>
          <w:p w14:paraId="181A2AC2" w14:textId="77777777" w:rsidR="00DA7F1C" w:rsidRDefault="00DA7F1C" w:rsidP="00CD363C">
            <w:pPr>
              <w:pStyle w:val="TableParagraph"/>
              <w:ind w:left="274" w:right="-142" w:hanging="118"/>
              <w:jc w:val="both"/>
              <w:rPr>
                <w:b/>
                <w:sz w:val="18"/>
              </w:rPr>
            </w:pPr>
            <w:r>
              <w:rPr>
                <w:b/>
                <w:sz w:val="18"/>
              </w:rPr>
              <w:t>Atlikušais lietderīgās</w:t>
            </w:r>
          </w:p>
          <w:p w14:paraId="3EE724A6" w14:textId="77777777" w:rsidR="00DA7F1C" w:rsidRDefault="00DA7F1C" w:rsidP="00CD363C">
            <w:pPr>
              <w:pStyle w:val="TableParagraph"/>
              <w:ind w:left="144" w:right="-142"/>
              <w:jc w:val="both"/>
              <w:rPr>
                <w:b/>
                <w:sz w:val="18"/>
              </w:rPr>
            </w:pPr>
            <w:r>
              <w:rPr>
                <w:b/>
                <w:sz w:val="18"/>
              </w:rPr>
              <w:t>lietošanas laiks uz 31.12.2020</w:t>
            </w:r>
          </w:p>
        </w:tc>
        <w:tc>
          <w:tcPr>
            <w:tcW w:w="2079" w:type="dxa"/>
            <w:shd w:val="clear" w:color="auto" w:fill="F1F1F1"/>
          </w:tcPr>
          <w:p w14:paraId="4475DBC8" w14:textId="77777777" w:rsidR="00DA7F1C" w:rsidRDefault="00DA7F1C" w:rsidP="00CD363C">
            <w:pPr>
              <w:pStyle w:val="TableParagraph"/>
              <w:ind w:left="622" w:right="-142" w:hanging="459"/>
              <w:jc w:val="both"/>
              <w:rPr>
                <w:b/>
                <w:sz w:val="18"/>
              </w:rPr>
            </w:pPr>
            <w:r>
              <w:rPr>
                <w:b/>
                <w:sz w:val="18"/>
              </w:rPr>
              <w:t>Nolietojuma izmaksas 2021.gadā</w:t>
            </w:r>
          </w:p>
        </w:tc>
      </w:tr>
      <w:tr w:rsidR="00DA7F1C" w14:paraId="38CF58C2" w14:textId="77777777" w:rsidTr="00D2408D">
        <w:trPr>
          <w:trHeight w:val="335"/>
        </w:trPr>
        <w:tc>
          <w:tcPr>
            <w:tcW w:w="1147" w:type="dxa"/>
            <w:shd w:val="clear" w:color="auto" w:fill="F1F1F1"/>
          </w:tcPr>
          <w:p w14:paraId="7C2F0106" w14:textId="77777777" w:rsidR="00DA7F1C" w:rsidRDefault="00DA7F1C" w:rsidP="00CD363C">
            <w:pPr>
              <w:pStyle w:val="TableParagraph"/>
              <w:ind w:left="422" w:right="-142"/>
              <w:jc w:val="both"/>
              <w:rPr>
                <w:i/>
                <w:sz w:val="18"/>
              </w:rPr>
            </w:pPr>
            <w:r>
              <w:rPr>
                <w:i/>
                <w:sz w:val="18"/>
              </w:rPr>
              <w:t>(1)</w:t>
            </w:r>
          </w:p>
        </w:tc>
        <w:tc>
          <w:tcPr>
            <w:tcW w:w="2110" w:type="dxa"/>
            <w:shd w:val="clear" w:color="auto" w:fill="F1F1F1"/>
          </w:tcPr>
          <w:p w14:paraId="32472F4D" w14:textId="77777777" w:rsidR="00DA7F1C" w:rsidRDefault="00DA7F1C" w:rsidP="00CD363C">
            <w:pPr>
              <w:pStyle w:val="TableParagraph"/>
              <w:ind w:left="902" w:right="-142"/>
              <w:jc w:val="both"/>
              <w:rPr>
                <w:i/>
                <w:sz w:val="18"/>
              </w:rPr>
            </w:pPr>
            <w:r>
              <w:rPr>
                <w:i/>
                <w:sz w:val="18"/>
              </w:rPr>
              <w:t>(2)</w:t>
            </w:r>
          </w:p>
        </w:tc>
        <w:tc>
          <w:tcPr>
            <w:tcW w:w="2268" w:type="dxa"/>
            <w:shd w:val="clear" w:color="auto" w:fill="F1F1F1"/>
          </w:tcPr>
          <w:p w14:paraId="6FEE7B01" w14:textId="77777777" w:rsidR="00DA7F1C" w:rsidRDefault="00DA7F1C" w:rsidP="00CD363C">
            <w:pPr>
              <w:pStyle w:val="TableParagraph"/>
              <w:ind w:left="502" w:right="-142"/>
              <w:jc w:val="both"/>
              <w:rPr>
                <w:i/>
                <w:sz w:val="18"/>
              </w:rPr>
            </w:pPr>
            <w:r>
              <w:rPr>
                <w:i/>
                <w:sz w:val="18"/>
              </w:rPr>
              <w:t>(3)</w:t>
            </w:r>
          </w:p>
        </w:tc>
        <w:tc>
          <w:tcPr>
            <w:tcW w:w="1983" w:type="dxa"/>
            <w:shd w:val="clear" w:color="auto" w:fill="F1F1F1"/>
          </w:tcPr>
          <w:p w14:paraId="2AF1D3FE" w14:textId="77777777" w:rsidR="00DA7F1C" w:rsidRDefault="00DA7F1C" w:rsidP="00CD363C">
            <w:pPr>
              <w:pStyle w:val="TableParagraph"/>
              <w:ind w:left="144" w:right="-142"/>
              <w:jc w:val="both"/>
              <w:rPr>
                <w:i/>
                <w:sz w:val="18"/>
              </w:rPr>
            </w:pPr>
            <w:r>
              <w:rPr>
                <w:i/>
                <w:sz w:val="18"/>
              </w:rPr>
              <w:t>(4)</w:t>
            </w:r>
          </w:p>
        </w:tc>
        <w:tc>
          <w:tcPr>
            <w:tcW w:w="2079" w:type="dxa"/>
            <w:shd w:val="clear" w:color="auto" w:fill="F1F1F1"/>
          </w:tcPr>
          <w:p w14:paraId="1A5E9037" w14:textId="77777777" w:rsidR="00DA7F1C" w:rsidRDefault="00DA7F1C" w:rsidP="00CD363C">
            <w:pPr>
              <w:pStyle w:val="TableParagraph"/>
              <w:ind w:left="542" w:right="-142"/>
              <w:jc w:val="both"/>
              <w:rPr>
                <w:i/>
                <w:sz w:val="18"/>
              </w:rPr>
            </w:pPr>
            <w:r>
              <w:rPr>
                <w:i/>
                <w:sz w:val="18"/>
              </w:rPr>
              <w:t>(5) = (2) /(4)</w:t>
            </w:r>
          </w:p>
        </w:tc>
      </w:tr>
      <w:tr w:rsidR="00DA7F1C" w14:paraId="613DECB5" w14:textId="77777777" w:rsidTr="00D2408D">
        <w:trPr>
          <w:trHeight w:val="412"/>
        </w:trPr>
        <w:tc>
          <w:tcPr>
            <w:tcW w:w="1147" w:type="dxa"/>
          </w:tcPr>
          <w:p w14:paraId="058CEEF6" w14:textId="77777777" w:rsidR="00DA7F1C" w:rsidRDefault="00DA7F1C" w:rsidP="00CD363C">
            <w:pPr>
              <w:pStyle w:val="TableParagraph"/>
              <w:ind w:left="107" w:right="-142"/>
              <w:jc w:val="both"/>
              <w:rPr>
                <w:sz w:val="18"/>
              </w:rPr>
            </w:pPr>
            <w:r>
              <w:rPr>
                <w:sz w:val="18"/>
              </w:rPr>
              <w:t>Ēka</w:t>
            </w:r>
          </w:p>
        </w:tc>
        <w:tc>
          <w:tcPr>
            <w:tcW w:w="2110" w:type="dxa"/>
          </w:tcPr>
          <w:p w14:paraId="0AB7F6BD" w14:textId="77777777" w:rsidR="00DA7F1C" w:rsidRDefault="00DA7F1C" w:rsidP="00CD363C">
            <w:pPr>
              <w:pStyle w:val="TableParagraph"/>
              <w:ind w:right="-142"/>
              <w:jc w:val="both"/>
              <w:rPr>
                <w:sz w:val="18"/>
              </w:rPr>
            </w:pPr>
            <w:r>
              <w:rPr>
                <w:sz w:val="18"/>
              </w:rPr>
              <w:t>45 500,00</w:t>
            </w:r>
          </w:p>
        </w:tc>
        <w:tc>
          <w:tcPr>
            <w:tcW w:w="2268" w:type="dxa"/>
          </w:tcPr>
          <w:p w14:paraId="4E8159F2" w14:textId="77777777" w:rsidR="00DA7F1C" w:rsidRDefault="00DA7F1C" w:rsidP="00CD363C">
            <w:pPr>
              <w:pStyle w:val="TableParagraph"/>
              <w:ind w:right="-142"/>
              <w:jc w:val="both"/>
              <w:rPr>
                <w:sz w:val="18"/>
              </w:rPr>
            </w:pPr>
            <w:r>
              <w:rPr>
                <w:sz w:val="18"/>
              </w:rPr>
              <w:t>100 gadi</w:t>
            </w:r>
          </w:p>
        </w:tc>
        <w:tc>
          <w:tcPr>
            <w:tcW w:w="1983" w:type="dxa"/>
          </w:tcPr>
          <w:p w14:paraId="536475F9" w14:textId="77777777" w:rsidR="00DA7F1C" w:rsidRDefault="00DA7F1C" w:rsidP="00CD363C">
            <w:pPr>
              <w:pStyle w:val="TableParagraph"/>
              <w:ind w:right="-142"/>
              <w:jc w:val="both"/>
              <w:rPr>
                <w:sz w:val="18"/>
              </w:rPr>
            </w:pPr>
            <w:r>
              <w:rPr>
                <w:sz w:val="18"/>
              </w:rPr>
              <w:t>35 gadi</w:t>
            </w:r>
          </w:p>
        </w:tc>
        <w:tc>
          <w:tcPr>
            <w:tcW w:w="2079" w:type="dxa"/>
          </w:tcPr>
          <w:p w14:paraId="500EC239" w14:textId="77777777" w:rsidR="00DA7F1C" w:rsidRDefault="00DA7F1C" w:rsidP="00CD363C">
            <w:pPr>
              <w:pStyle w:val="TableParagraph"/>
              <w:ind w:right="-142"/>
              <w:jc w:val="both"/>
              <w:rPr>
                <w:sz w:val="18"/>
              </w:rPr>
            </w:pPr>
            <w:r>
              <w:rPr>
                <w:sz w:val="18"/>
              </w:rPr>
              <w:t>1 300,00</w:t>
            </w:r>
          </w:p>
        </w:tc>
      </w:tr>
      <w:tr w:rsidR="00DA7F1C" w14:paraId="7CBD611B" w14:textId="77777777" w:rsidTr="00D2408D">
        <w:trPr>
          <w:trHeight w:val="366"/>
        </w:trPr>
        <w:tc>
          <w:tcPr>
            <w:tcW w:w="1147" w:type="dxa"/>
          </w:tcPr>
          <w:p w14:paraId="1FAEBA17" w14:textId="77777777" w:rsidR="00DA7F1C" w:rsidRDefault="00DA7F1C" w:rsidP="00CD363C">
            <w:pPr>
              <w:pStyle w:val="TableParagraph"/>
              <w:ind w:left="107" w:right="-142"/>
              <w:jc w:val="both"/>
              <w:rPr>
                <w:sz w:val="18"/>
              </w:rPr>
            </w:pPr>
            <w:r>
              <w:rPr>
                <w:sz w:val="18"/>
              </w:rPr>
              <w:t>Laukums</w:t>
            </w:r>
          </w:p>
        </w:tc>
        <w:tc>
          <w:tcPr>
            <w:tcW w:w="2110" w:type="dxa"/>
          </w:tcPr>
          <w:p w14:paraId="0D25D222" w14:textId="77777777" w:rsidR="00DA7F1C" w:rsidRDefault="00DA7F1C" w:rsidP="00CD363C">
            <w:pPr>
              <w:pStyle w:val="TableParagraph"/>
              <w:ind w:right="-142"/>
              <w:jc w:val="both"/>
              <w:rPr>
                <w:sz w:val="18"/>
              </w:rPr>
            </w:pPr>
            <w:r>
              <w:rPr>
                <w:sz w:val="18"/>
              </w:rPr>
              <w:t>13 000,00</w:t>
            </w:r>
          </w:p>
        </w:tc>
        <w:tc>
          <w:tcPr>
            <w:tcW w:w="2268" w:type="dxa"/>
          </w:tcPr>
          <w:p w14:paraId="7EFB2AA7" w14:textId="77777777" w:rsidR="00DA7F1C" w:rsidRDefault="00DA7F1C" w:rsidP="00CD363C">
            <w:pPr>
              <w:pStyle w:val="TableParagraph"/>
              <w:ind w:right="-142"/>
              <w:jc w:val="both"/>
              <w:rPr>
                <w:sz w:val="18"/>
              </w:rPr>
            </w:pPr>
            <w:r>
              <w:rPr>
                <w:sz w:val="18"/>
              </w:rPr>
              <w:t>15 gadi</w:t>
            </w:r>
          </w:p>
        </w:tc>
        <w:tc>
          <w:tcPr>
            <w:tcW w:w="1983" w:type="dxa"/>
          </w:tcPr>
          <w:p w14:paraId="04A053BD" w14:textId="77777777" w:rsidR="00DA7F1C" w:rsidRDefault="00DA7F1C" w:rsidP="00CD363C">
            <w:pPr>
              <w:pStyle w:val="TableParagraph"/>
              <w:ind w:right="-142"/>
              <w:jc w:val="both"/>
              <w:rPr>
                <w:sz w:val="18"/>
              </w:rPr>
            </w:pPr>
            <w:r>
              <w:rPr>
                <w:sz w:val="18"/>
              </w:rPr>
              <w:t>8 gadi</w:t>
            </w:r>
          </w:p>
        </w:tc>
        <w:tc>
          <w:tcPr>
            <w:tcW w:w="2079" w:type="dxa"/>
          </w:tcPr>
          <w:p w14:paraId="15B931EF" w14:textId="77777777" w:rsidR="00DA7F1C" w:rsidRDefault="00DA7F1C" w:rsidP="00CD363C">
            <w:pPr>
              <w:pStyle w:val="TableParagraph"/>
              <w:ind w:right="-142"/>
              <w:jc w:val="both"/>
              <w:rPr>
                <w:sz w:val="18"/>
              </w:rPr>
            </w:pPr>
            <w:r>
              <w:rPr>
                <w:sz w:val="18"/>
              </w:rPr>
              <w:t>1 625,00</w:t>
            </w:r>
          </w:p>
        </w:tc>
      </w:tr>
      <w:tr w:rsidR="00DA7F1C" w14:paraId="3E1AC0BA" w14:textId="77777777" w:rsidTr="00D2408D">
        <w:trPr>
          <w:trHeight w:val="361"/>
        </w:trPr>
        <w:tc>
          <w:tcPr>
            <w:tcW w:w="1147" w:type="dxa"/>
          </w:tcPr>
          <w:p w14:paraId="08434D5C" w14:textId="77777777" w:rsidR="00DA7F1C" w:rsidRDefault="00DA7F1C" w:rsidP="00CD363C">
            <w:pPr>
              <w:pStyle w:val="TableParagraph"/>
              <w:ind w:left="107" w:right="-142"/>
              <w:jc w:val="both"/>
              <w:rPr>
                <w:sz w:val="18"/>
              </w:rPr>
            </w:pPr>
            <w:r>
              <w:rPr>
                <w:sz w:val="18"/>
              </w:rPr>
              <w:t>Noliktava</w:t>
            </w:r>
          </w:p>
        </w:tc>
        <w:tc>
          <w:tcPr>
            <w:tcW w:w="2110" w:type="dxa"/>
          </w:tcPr>
          <w:p w14:paraId="18FB8257" w14:textId="77777777" w:rsidR="00DA7F1C" w:rsidRDefault="00DA7F1C" w:rsidP="00CD363C">
            <w:pPr>
              <w:pStyle w:val="TableParagraph"/>
              <w:ind w:right="-142"/>
              <w:jc w:val="both"/>
              <w:rPr>
                <w:sz w:val="18"/>
              </w:rPr>
            </w:pPr>
            <w:r>
              <w:rPr>
                <w:sz w:val="18"/>
              </w:rPr>
              <w:t>6 500,00</w:t>
            </w:r>
          </w:p>
        </w:tc>
        <w:tc>
          <w:tcPr>
            <w:tcW w:w="2268" w:type="dxa"/>
          </w:tcPr>
          <w:p w14:paraId="03C3F4C3" w14:textId="77777777" w:rsidR="00DA7F1C" w:rsidRDefault="00DA7F1C" w:rsidP="00CD363C">
            <w:pPr>
              <w:pStyle w:val="TableParagraph"/>
              <w:ind w:right="-142"/>
              <w:jc w:val="both"/>
              <w:rPr>
                <w:sz w:val="18"/>
              </w:rPr>
            </w:pPr>
            <w:r>
              <w:rPr>
                <w:sz w:val="18"/>
              </w:rPr>
              <w:t>30 gadi</w:t>
            </w:r>
          </w:p>
        </w:tc>
        <w:tc>
          <w:tcPr>
            <w:tcW w:w="1983" w:type="dxa"/>
          </w:tcPr>
          <w:p w14:paraId="0F919650" w14:textId="77777777" w:rsidR="00DA7F1C" w:rsidRDefault="00DA7F1C" w:rsidP="00CD363C">
            <w:pPr>
              <w:pStyle w:val="TableParagraph"/>
              <w:ind w:right="-142"/>
              <w:jc w:val="both"/>
              <w:rPr>
                <w:sz w:val="18"/>
              </w:rPr>
            </w:pPr>
            <w:r>
              <w:rPr>
                <w:sz w:val="18"/>
              </w:rPr>
              <w:t>25 gadi</w:t>
            </w:r>
          </w:p>
        </w:tc>
        <w:tc>
          <w:tcPr>
            <w:tcW w:w="2079" w:type="dxa"/>
          </w:tcPr>
          <w:p w14:paraId="5F403AC0" w14:textId="77777777" w:rsidR="00DA7F1C" w:rsidRDefault="00DA7F1C" w:rsidP="00CD363C">
            <w:pPr>
              <w:pStyle w:val="TableParagraph"/>
              <w:ind w:right="-142"/>
              <w:jc w:val="both"/>
              <w:rPr>
                <w:sz w:val="18"/>
              </w:rPr>
            </w:pPr>
            <w:r>
              <w:rPr>
                <w:sz w:val="18"/>
              </w:rPr>
              <w:t>260,00</w:t>
            </w:r>
          </w:p>
        </w:tc>
      </w:tr>
      <w:tr w:rsidR="00DA7F1C" w14:paraId="228E8F24" w14:textId="77777777" w:rsidTr="00D2408D">
        <w:trPr>
          <w:trHeight w:val="290"/>
        </w:trPr>
        <w:tc>
          <w:tcPr>
            <w:tcW w:w="1147" w:type="dxa"/>
          </w:tcPr>
          <w:p w14:paraId="23606568" w14:textId="77777777" w:rsidR="00DA7F1C" w:rsidRDefault="00DA7F1C" w:rsidP="00CD363C">
            <w:pPr>
              <w:pStyle w:val="TableParagraph"/>
              <w:ind w:left="107" w:right="-142"/>
              <w:jc w:val="both"/>
              <w:rPr>
                <w:sz w:val="18"/>
              </w:rPr>
            </w:pPr>
            <w:r>
              <w:rPr>
                <w:sz w:val="18"/>
              </w:rPr>
              <w:t>Kopā</w:t>
            </w:r>
          </w:p>
        </w:tc>
        <w:tc>
          <w:tcPr>
            <w:tcW w:w="2110" w:type="dxa"/>
          </w:tcPr>
          <w:p w14:paraId="441F0559" w14:textId="77777777" w:rsidR="00DA7F1C" w:rsidRDefault="00DA7F1C" w:rsidP="00CD363C">
            <w:pPr>
              <w:pStyle w:val="TableParagraph"/>
              <w:ind w:right="-142"/>
              <w:jc w:val="both"/>
              <w:rPr>
                <w:sz w:val="18"/>
              </w:rPr>
            </w:pPr>
            <w:r>
              <w:rPr>
                <w:sz w:val="18"/>
              </w:rPr>
              <w:t>65 000,00</w:t>
            </w:r>
          </w:p>
        </w:tc>
        <w:tc>
          <w:tcPr>
            <w:tcW w:w="2268" w:type="dxa"/>
          </w:tcPr>
          <w:p w14:paraId="751CF481" w14:textId="77777777" w:rsidR="00DA7F1C" w:rsidRDefault="00DA7F1C" w:rsidP="00CD363C">
            <w:pPr>
              <w:pStyle w:val="TableParagraph"/>
              <w:ind w:right="-142"/>
              <w:jc w:val="both"/>
              <w:rPr>
                <w:sz w:val="20"/>
              </w:rPr>
            </w:pPr>
          </w:p>
        </w:tc>
        <w:tc>
          <w:tcPr>
            <w:tcW w:w="1983" w:type="dxa"/>
          </w:tcPr>
          <w:p w14:paraId="72DCFC82" w14:textId="77777777" w:rsidR="00DA7F1C" w:rsidRDefault="00DA7F1C" w:rsidP="00CD363C">
            <w:pPr>
              <w:pStyle w:val="TableParagraph"/>
              <w:ind w:right="-142"/>
              <w:jc w:val="both"/>
              <w:rPr>
                <w:sz w:val="20"/>
              </w:rPr>
            </w:pPr>
          </w:p>
        </w:tc>
        <w:tc>
          <w:tcPr>
            <w:tcW w:w="2079" w:type="dxa"/>
          </w:tcPr>
          <w:p w14:paraId="22D00CFA" w14:textId="77777777" w:rsidR="00DA7F1C" w:rsidRDefault="00DA7F1C" w:rsidP="00CD363C">
            <w:pPr>
              <w:pStyle w:val="TableParagraph"/>
              <w:ind w:right="-142"/>
              <w:jc w:val="both"/>
              <w:rPr>
                <w:sz w:val="18"/>
              </w:rPr>
            </w:pPr>
            <w:r>
              <w:rPr>
                <w:sz w:val="18"/>
              </w:rPr>
              <w:t>3 185,00</w:t>
            </w:r>
          </w:p>
        </w:tc>
      </w:tr>
    </w:tbl>
    <w:p w14:paraId="52161405" w14:textId="77777777" w:rsidR="00DA7F1C" w:rsidRDefault="00DA7F1C" w:rsidP="00CD363C">
      <w:pPr>
        <w:spacing w:after="0" w:line="240" w:lineRule="auto"/>
        <w:ind w:right="-142"/>
        <w:jc w:val="both"/>
        <w:rPr>
          <w:sz w:val="18"/>
        </w:rPr>
        <w:sectPr w:rsidR="00DA7F1C" w:rsidSect="00C612A0">
          <w:footerReference w:type="default" r:id="rId30"/>
          <w:pgSz w:w="11910" w:h="16840"/>
          <w:pgMar w:top="760" w:right="991" w:bottom="1200" w:left="1200" w:header="0" w:footer="1010" w:gutter="0"/>
          <w:pgNumType w:start="126"/>
          <w:cols w:space="720"/>
        </w:sectPr>
      </w:pPr>
    </w:p>
    <w:p w14:paraId="340AE9A5" w14:textId="77777777" w:rsidR="00DA7F1C" w:rsidRDefault="00DA7F1C" w:rsidP="00CD363C">
      <w:pPr>
        <w:spacing w:after="0" w:line="240" w:lineRule="auto"/>
        <w:ind w:right="-142"/>
        <w:jc w:val="both"/>
        <w:rPr>
          <w:sz w:val="20"/>
        </w:rPr>
        <w:sectPr w:rsidR="00DA7F1C" w:rsidSect="00C612A0">
          <w:type w:val="continuous"/>
          <w:pgSz w:w="11910" w:h="16840"/>
          <w:pgMar w:top="840" w:right="991" w:bottom="740" w:left="1200" w:header="720" w:footer="720" w:gutter="0"/>
          <w:cols w:num="4" w:space="720" w:equalWidth="0">
            <w:col w:w="1221" w:space="2058"/>
            <w:col w:w="3027" w:space="418"/>
            <w:col w:w="1856" w:space="41"/>
            <w:col w:w="1409"/>
          </w:cols>
        </w:sectPr>
      </w:pPr>
      <w:bookmarkStart w:id="55" w:name="15._Attaisnojuma_dokumentu_paraugi"/>
      <w:bookmarkStart w:id="56" w:name="_bookmark93"/>
      <w:bookmarkEnd w:id="55"/>
      <w:bookmarkEnd w:id="56"/>
    </w:p>
    <w:p w14:paraId="21B23303" w14:textId="77777777" w:rsidR="00DA7F1C" w:rsidRDefault="00DA7F1C" w:rsidP="00CD363C">
      <w:pPr>
        <w:pStyle w:val="Pamatteksts"/>
        <w:ind w:right="-142"/>
        <w:jc w:val="both"/>
        <w:rPr>
          <w:i/>
          <w:sz w:val="13"/>
        </w:rPr>
      </w:pPr>
    </w:p>
    <w:p w14:paraId="4C5BCC49" w14:textId="77777777" w:rsidR="001A49A3" w:rsidRDefault="001A49A3" w:rsidP="00CD363C">
      <w:pPr>
        <w:spacing w:after="0" w:line="240" w:lineRule="auto"/>
        <w:ind w:left="567" w:right="-142"/>
        <w:jc w:val="both"/>
        <w:rPr>
          <w:rFonts w:ascii="Times New Roman" w:hAnsi="Times New Roman" w:cs="Times New Roman"/>
          <w:b/>
          <w:sz w:val="24"/>
          <w:szCs w:val="24"/>
        </w:rPr>
      </w:pPr>
      <w:r>
        <w:rPr>
          <w:rFonts w:ascii="Times New Roman" w:hAnsi="Times New Roman" w:cs="Times New Roman"/>
          <w:b/>
          <w:sz w:val="24"/>
          <w:szCs w:val="24"/>
        </w:rPr>
        <w:t>11.5.</w:t>
      </w:r>
      <w:r w:rsidRPr="003C10B4">
        <w:rPr>
          <w:rFonts w:ascii="Times New Roman" w:hAnsi="Times New Roman" w:cs="Times New Roman"/>
          <w:b/>
          <w:sz w:val="24"/>
          <w:szCs w:val="24"/>
        </w:rPr>
        <w:t>Ieguldījuma īpašumu pārklasifikācija un izslēgšana no uzskaites</w:t>
      </w:r>
    </w:p>
    <w:p w14:paraId="78B8F052" w14:textId="77777777" w:rsidR="001A49A3" w:rsidRPr="00701747" w:rsidRDefault="001A49A3" w:rsidP="00CD363C">
      <w:pPr>
        <w:spacing w:after="0" w:line="240" w:lineRule="auto"/>
        <w:ind w:right="-142"/>
        <w:jc w:val="both"/>
        <w:rPr>
          <w:rFonts w:ascii="Times New Roman" w:hAnsi="Times New Roman" w:cs="Times New Roman"/>
          <w:sz w:val="24"/>
          <w:szCs w:val="24"/>
        </w:rPr>
      </w:pPr>
      <w:r w:rsidRPr="001A49A3">
        <w:rPr>
          <w:rFonts w:ascii="Times New Roman" w:hAnsi="Times New Roman" w:cs="Times New Roman"/>
          <w:sz w:val="24"/>
          <w:szCs w:val="24"/>
        </w:rPr>
        <w:t xml:space="preserve">358. </w:t>
      </w:r>
      <w:r w:rsidRPr="00701747">
        <w:rPr>
          <w:rFonts w:ascii="Times New Roman" w:hAnsi="Times New Roman" w:cs="Times New Roman"/>
          <w:sz w:val="24"/>
          <w:szCs w:val="24"/>
        </w:rPr>
        <w:t xml:space="preserve"> Budžeta iestāde veic pārklasifikāciju uz ieguldījuma īpašuma posteni vai no tā tikai tad, ja notiek īpašuma lietošanas veida maiņa, kuru pierāda šādi apstākļi:</w:t>
      </w:r>
    </w:p>
    <w:p w14:paraId="69E877E4"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358.1.</w:t>
      </w:r>
      <w:r w:rsidRPr="00701747">
        <w:rPr>
          <w:rFonts w:ascii="Times New Roman" w:hAnsi="Times New Roman" w:cs="Times New Roman"/>
          <w:sz w:val="24"/>
          <w:szCs w:val="24"/>
        </w:rPr>
        <w:t>ja īpašnieks pats sāk izmantot īpašumu – īpašumu pārklasificē no ieguldījuma īpašuma uz īpašnieka izmantotu īpašumu (pamatlīdzekļi);</w:t>
      </w:r>
    </w:p>
    <w:p w14:paraId="164C5AA5" w14:textId="77777777" w:rsidR="001A49A3" w:rsidRPr="00701747" w:rsidRDefault="001A49A3"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w:t>
      </w:r>
      <w:r>
        <w:rPr>
          <w:rFonts w:ascii="Times New Roman" w:hAnsi="Times New Roman" w:cs="Times New Roman"/>
          <w:sz w:val="24"/>
          <w:szCs w:val="24"/>
        </w:rPr>
        <w:t>358.2.</w:t>
      </w:r>
      <w:r w:rsidRPr="00701747">
        <w:rPr>
          <w:rFonts w:ascii="Times New Roman" w:hAnsi="Times New Roman" w:cs="Times New Roman"/>
          <w:sz w:val="24"/>
          <w:szCs w:val="24"/>
        </w:rPr>
        <w:t>ieguldījuma īpašumu atsavinot - īpašumu pārklasificē no ieguldījuma īpašuma uz krājumiem;</w:t>
      </w:r>
    </w:p>
    <w:p w14:paraId="0A3E263D" w14:textId="77777777" w:rsidR="001A49A3" w:rsidRPr="00701747" w:rsidRDefault="001A49A3"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w:t>
      </w:r>
      <w:r>
        <w:rPr>
          <w:rFonts w:ascii="Times New Roman" w:hAnsi="Times New Roman" w:cs="Times New Roman"/>
          <w:sz w:val="24"/>
          <w:szCs w:val="24"/>
        </w:rPr>
        <w:t>358.3.</w:t>
      </w:r>
      <w:r w:rsidRPr="00701747">
        <w:rPr>
          <w:rFonts w:ascii="Times New Roman" w:hAnsi="Times New Roman" w:cs="Times New Roman"/>
          <w:sz w:val="24"/>
          <w:szCs w:val="24"/>
        </w:rPr>
        <w:t>īpašnieks pārstāj izmantot īpašumu – īpašumu pārklasificē no īpašnieka izmantota īpašuma (pamatlīdzekļi) uz ieguldījuma īpašumu;</w:t>
      </w:r>
    </w:p>
    <w:p w14:paraId="0D4DB1C7"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358.4.</w:t>
      </w:r>
      <w:r w:rsidRPr="00701747">
        <w:rPr>
          <w:rFonts w:ascii="Times New Roman" w:hAnsi="Times New Roman" w:cs="Times New Roman"/>
          <w:sz w:val="24"/>
          <w:szCs w:val="24"/>
        </w:rPr>
        <w:t>krājumos uzskaitītu atsavināšanai paredzētu īpašumu iznomā saskaņā ar operatīvās nomas noteikumiem trešajai pusei – īpašumu pārklasificē no krājumiem uz ieguldījuma īpašumu.</w:t>
      </w:r>
    </w:p>
    <w:p w14:paraId="78A9DAEF"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9. Veids, kādā budžeta iestāde izmanto īpašumu, laika gaitā var mainīties. Piemēram, budžeta iestāde var nolemt pati izmantot ēku, kas šobrīd tiek izmantota kā ieguldījuma īpašums. Šajā gadījumā ēka būtu jāuzskaita kā ieguldījuma īpašums līdz brīdim, kad budžeta iestāde sāk to izmantot savām (administratīvajām) vajadzībām, ko apliecina pamatojoši dokumenti. Kā arī budžeta iestāde var pārveidot ēku, kas šobrīd tiek izmantota administratīviem nolūkiem, un iznomāt to, piemēram, privātā sektora viesnīcu pārvaldītājam. Šajā gadījumā ēka būtu jāuzskaita kā pamatlīdzeklis līdz tās izmantošana tiek pārtraukta, un tā tiek pārklasificēta par ieguldījuma īpašumu.</w:t>
      </w:r>
    </w:p>
    <w:p w14:paraId="2740F325"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0. Budžeta iestādes iekšēja struktūrvienība normatīvajos aktos noteiktajā kārtībā var regulāri pārbaudīt savas ēkas, lai noteiktu, vai tās atbilst normatīvajos aktos noteiktajām prasībām, un šī procesa ietvaros var identificēt atsevišķas ēkas, kas tiks atsavinātas. Atsavināšanai (izņemot ieguldījuma īpašuma nodošanu bez atlīdzības citai budžeta iestādei) paredzētos ieguldījuma īpašumus līdz to atsavināšanai uzskaita krājumu (apgrozāmo līdzekļu) sastāvā. Budžeta iestāde uzskaita ilgtermiņa ieguldījumu, tai skaitā ieguldījuma īpašumu, kā atsavināšanai paredzētu, ja tas pašreizējā stāvoklī ir pieejams tūlītējai atsavināšanai un atbilst normatīvajos aktos noteiktajiem atsavināšanas nosacījumiem, tā lietderīgā lietošana ir pārtraukta un atsavināšana ir ticama. Budžeta iestāde uzskata ilgtermiņa ieguldījuma atsavināšanu par ticamu, ja ir spēkā šādi nosacījumi:</w:t>
      </w:r>
    </w:p>
    <w:p w14:paraId="01BC90B6" w14:textId="77777777" w:rsidR="001A49A3" w:rsidRPr="00701747" w:rsidRDefault="001A49A3" w:rsidP="00CD363C">
      <w:pPr>
        <w:pStyle w:val="Sarakstarindkopa"/>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360.1.</w:t>
      </w:r>
      <w:r w:rsidRPr="00701747">
        <w:rPr>
          <w:rFonts w:ascii="Times New Roman" w:hAnsi="Times New Roman" w:cs="Times New Roman"/>
          <w:sz w:val="24"/>
          <w:szCs w:val="24"/>
        </w:rPr>
        <w:t xml:space="preserve">atsavināšana ir pamatota ar normatīvo aktu vai iestādes vadības lēmumu; </w:t>
      </w:r>
    </w:p>
    <w:p w14:paraId="3A08476C" w14:textId="77777777" w:rsidR="001A49A3" w:rsidRPr="00701747" w:rsidRDefault="001A49A3" w:rsidP="00CD363C">
      <w:pPr>
        <w:pStyle w:val="Sarakstarindkopa"/>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360.2.</w:t>
      </w:r>
      <w:r w:rsidRPr="00701747">
        <w:rPr>
          <w:rFonts w:ascii="Times New Roman" w:hAnsi="Times New Roman" w:cs="Times New Roman"/>
          <w:sz w:val="24"/>
          <w:szCs w:val="24"/>
        </w:rPr>
        <w:t>atsavināšanas process ir uzsākts;</w:t>
      </w:r>
    </w:p>
    <w:p w14:paraId="6AA8C1A4" w14:textId="77777777" w:rsidR="001A49A3" w:rsidRDefault="001A49A3" w:rsidP="00CD363C">
      <w:pPr>
        <w:pStyle w:val="Sarakstarindkopa"/>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360.3.</w:t>
      </w:r>
      <w:r w:rsidRPr="00701747">
        <w:rPr>
          <w:rFonts w:ascii="Times New Roman" w:hAnsi="Times New Roman" w:cs="Times New Roman"/>
          <w:sz w:val="24"/>
          <w:szCs w:val="24"/>
        </w:rPr>
        <w:t>ir pārliecība par atsavināšanas procesa pabeigšanu</w:t>
      </w:r>
    </w:p>
    <w:p w14:paraId="6719A564"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1. Tomēr, ja budžeta iestāde izlemj turēt ēku nomas ieņēmumu gūšanas nolūkā vai ēkas vērtības pieauguma nolūkā, ēka būtu jāpārklasificē par ieguldījuma īpašumu brīdī, kad tā atbilst ieguldījuma īpašuma definīcijai un atzīšanas kritērijiem.</w:t>
      </w:r>
    </w:p>
    <w:p w14:paraId="5DEACDFC"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2. Budžeta iestādei pārklasifikācija starp ieguldījuma īpašumu, īpašnieka izmantotu īpašumu un krājumiem nemaina pārklasificētā īpašuma uzskaites vērtību, un nemaina arī šī īpašuma iegādes izmaksu vērtību novērtēšanas vai informācijas atklāšanas nolūkā.</w:t>
      </w:r>
    </w:p>
    <w:p w14:paraId="13ED2287"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3. Tomēr gadījumos, ja budžeta iestāde veic krājumos uzskaitīta atsavināšanai paredzēta ieguldījuma īpašuma pārklasifikāciju atpakaļ no krājumiem uz ilgtermiņa aktīvu posteni, aktīvu atzīst zemākajā vērtībā no atgūstamās vērtības pārklasifikācijas datumā un tās aktīva uzskaites vērtības, ņemot vērā nolietojumu, kas būtu aprēķināts, ja aktīvs netiktu pārklasificēts iepriekš uz krājumiem.</w:t>
      </w:r>
    </w:p>
    <w:p w14:paraId="0B5250B0"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4. Budžeta iestāde izslēdz ieguldījuma īpašumu no uzskaites, norakstot tā vērtību un uzkrāto nolietojumu sekojošos gadījumos:</w:t>
      </w:r>
    </w:p>
    <w:p w14:paraId="6FEE39E4" w14:textId="77777777" w:rsidR="001A49A3" w:rsidRPr="00701747" w:rsidRDefault="001A49A3" w:rsidP="00CD363C">
      <w:pPr>
        <w:pStyle w:val="Sarakstarindkopa"/>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364.1.</w:t>
      </w:r>
      <w:r w:rsidRPr="00701747">
        <w:rPr>
          <w:rFonts w:ascii="Times New Roman" w:hAnsi="Times New Roman" w:cs="Times New Roman"/>
          <w:sz w:val="24"/>
          <w:szCs w:val="24"/>
        </w:rPr>
        <w:t>izbeidzot ieguldījuma īpašuma turpmāku lietošanu, to likvidējot;</w:t>
      </w:r>
    </w:p>
    <w:p w14:paraId="212FC462" w14:textId="77777777" w:rsidR="001A49A3" w:rsidRPr="00701747" w:rsidRDefault="001A49A3" w:rsidP="00CD363C">
      <w:pPr>
        <w:pStyle w:val="Sarakstarindkopa"/>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364.2.</w:t>
      </w:r>
      <w:r w:rsidRPr="00701747">
        <w:rPr>
          <w:rFonts w:ascii="Times New Roman" w:hAnsi="Times New Roman" w:cs="Times New Roman"/>
          <w:sz w:val="24"/>
          <w:szCs w:val="24"/>
        </w:rPr>
        <w:t>ieguldījuma īpašumu atsavinot;</w:t>
      </w:r>
    </w:p>
    <w:p w14:paraId="408DB473" w14:textId="77777777" w:rsidR="001A49A3" w:rsidRPr="00701747" w:rsidRDefault="001A49A3" w:rsidP="00CD363C">
      <w:pPr>
        <w:pStyle w:val="Sarakstarindkopa"/>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364.3.</w:t>
      </w:r>
      <w:r w:rsidRPr="00701747">
        <w:rPr>
          <w:rFonts w:ascii="Times New Roman" w:hAnsi="Times New Roman" w:cs="Times New Roman"/>
          <w:sz w:val="24"/>
          <w:szCs w:val="24"/>
        </w:rPr>
        <w:t>ieguldījuma īpašumu nododot citai budžeta iestādei.</w:t>
      </w:r>
    </w:p>
    <w:p w14:paraId="1750793F" w14:textId="77777777" w:rsidR="001A49A3"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001A49A3" w:rsidRPr="00701747">
        <w:rPr>
          <w:rFonts w:ascii="Times New Roman" w:hAnsi="Times New Roman" w:cs="Times New Roman"/>
          <w:sz w:val="24"/>
          <w:szCs w:val="24"/>
        </w:rPr>
        <w:t>5. Gadījumā, ja budžeta iestāde likvidē ieguldījuma īpašumu, tā ieguldījuma īpašumu noraksta, pamatojoties uz vadības apstiprinātu attaisnojuma dokumentu, budžeta iestāde ieguldījuma īpašumu noraksta, samazinot tā sākotnējo uzskaites vērtību par uzkrāto nolietojumu un vērtības samazinājumu, un pēc tam atlikušo vērtību noraksta atbilstošajā izdevumu kontā, veicot sekojošu grāmatojumus:</w:t>
      </w:r>
    </w:p>
    <w:p w14:paraId="054814B9" w14:textId="77777777" w:rsidR="001A49A3"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w:t>
      </w:r>
      <w:r w:rsidR="001A49A3" w:rsidRPr="006300AC">
        <w:rPr>
          <w:rFonts w:ascii="Times New Roman" w:hAnsi="Times New Roman" w:cs="Times New Roman"/>
          <w:b/>
          <w:sz w:val="24"/>
          <w:szCs w:val="24"/>
        </w:rPr>
        <w:t xml:space="preserve">D 1590 Ieguldījuma īpašumu nolietojums un vērtības samazinājums </w:t>
      </w:r>
    </w:p>
    <w:p w14:paraId="394F9E7A" w14:textId="77777777" w:rsidR="001A49A3"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w:t>
      </w:r>
      <w:r w:rsidR="001A49A3" w:rsidRPr="006300AC">
        <w:rPr>
          <w:rFonts w:ascii="Times New Roman" w:hAnsi="Times New Roman" w:cs="Times New Roman"/>
          <w:b/>
          <w:sz w:val="24"/>
          <w:szCs w:val="24"/>
        </w:rPr>
        <w:t>K 1500 Ieguldījuma īpašumi</w:t>
      </w:r>
    </w:p>
    <w:p w14:paraId="3E7F7AAC"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8610 Izdevumi no nefinanšu aktīvu izslēgšanas</w:t>
      </w:r>
    </w:p>
    <w:p w14:paraId="3B91F5D8"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 </w:t>
      </w:r>
    </w:p>
    <w:p w14:paraId="699145BE" w14:textId="77777777" w:rsidR="006300AC" w:rsidRPr="00701747" w:rsidRDefault="006300AC"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atlikusī uzskaites vērtība </w:t>
      </w:r>
    </w:p>
    <w:p w14:paraId="052D87E8"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6. Ja ieguldījuma īpašumu paredzēts atsavināt, to pārdodot, tad to līdz atsavināšanai uzskaita krājumu sastāvā. Ieguldījuma īpašumiem, kuru atsavināšana ir ticama, pārtrauc aprēķināt nolietojumu un tos līdz to atsavināšanai uzskaita apgrozāmo līdzekļu sastāvā to atlikušajā vērtībā, veicot sekojošus grāmatojumus:</w:t>
      </w:r>
    </w:p>
    <w:p w14:paraId="3EC388C0"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1590 Ieguldījumu īpašumu nolietojums un vērtības samazinājums</w:t>
      </w:r>
    </w:p>
    <w:p w14:paraId="6E6213CD"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w:t>
      </w:r>
    </w:p>
    <w:p w14:paraId="439E8873"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2130 Gatavie ražojumi, pasūtījumi un krājumi atsavināšanai </w:t>
      </w:r>
    </w:p>
    <w:p w14:paraId="33E569B0"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w:t>
      </w:r>
    </w:p>
    <w:p w14:paraId="03144A7A"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701747">
        <w:rPr>
          <w:rFonts w:ascii="Times New Roman" w:hAnsi="Times New Roman" w:cs="Times New Roman"/>
          <w:sz w:val="24"/>
          <w:szCs w:val="24"/>
        </w:rPr>
        <w:t>* atlikusī uzskaites vērtība</w:t>
      </w:r>
    </w:p>
    <w:p w14:paraId="3C79CD03"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7. Budžeta iestāde, kas nodod ieguldījuma īpašumu citai budžeta iestādei bezatlīdzības ceļā, attiecīgo ieguldījuma īpašumu izslēdz no uzskaites un atzīst izdevumus no bezatlīdzības ceļā nodotām vērtībām ilgtermiņa ieguldījuma atlikušajā vērtībā, veicot sekojošus grāmatojumus:</w:t>
      </w:r>
    </w:p>
    <w:p w14:paraId="27BAC9C1"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1590* Ieguldījuma īpašumu nolietojums un vērtības samazinājums </w:t>
      </w:r>
    </w:p>
    <w:p w14:paraId="43DABD8A"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w:t>
      </w:r>
    </w:p>
    <w:p w14:paraId="39A63B76"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701747">
        <w:rPr>
          <w:rFonts w:ascii="Times New Roman" w:hAnsi="Times New Roman" w:cs="Times New Roman"/>
          <w:sz w:val="24"/>
          <w:szCs w:val="24"/>
        </w:rPr>
        <w:t xml:space="preserve">*iepriekš atzītais uzkrātais nolietojums </w:t>
      </w:r>
    </w:p>
    <w:p w14:paraId="39440006"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1590* Ieguldījuma īpašumu nolietojums un vērtības samazinājums </w:t>
      </w:r>
    </w:p>
    <w:p w14:paraId="00C1BE13"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8552 Ieņēmumi no vērtības samazinājuma norakstīšanas nefinanšu aktīviem </w:t>
      </w:r>
    </w:p>
    <w:p w14:paraId="23A594DA"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701747">
        <w:rPr>
          <w:rFonts w:ascii="Times New Roman" w:hAnsi="Times New Roman" w:cs="Times New Roman"/>
          <w:sz w:val="24"/>
          <w:szCs w:val="24"/>
        </w:rPr>
        <w:t xml:space="preserve">*iepriekš atzītais vērtības samazinājums </w:t>
      </w:r>
    </w:p>
    <w:p w14:paraId="224C40A5"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8420 Izdevumi no saņemtām un nodotām vērtībām bez atlīdzības</w:t>
      </w:r>
    </w:p>
    <w:p w14:paraId="6258C9ED"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w:t>
      </w:r>
    </w:p>
    <w:p w14:paraId="03477257" w14:textId="77777777" w:rsidR="006300AC" w:rsidRPr="00701747" w:rsidRDefault="006300AC"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 atlikusī uzskaites vērtība</w:t>
      </w:r>
    </w:p>
    <w:p w14:paraId="66FA1851"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8. Izdevumus, kas rodas no ieguldījuma īpašuma norakstīšanas, budžeta iestāde uzrāda pārskatā par darbības finansiālajiem rezultātiem kā izdevumus periodā, kad atsavināšana notikusi.</w:t>
      </w:r>
    </w:p>
    <w:p w14:paraId="2383DBC8" w14:textId="77777777" w:rsidR="006300AC"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9. Atlīdzību, kas saņemama, atsavinot ieguldījuma īpašumu, budžeta iestāde sākotnēji atzīst patiesajā vērtībā. Ja norēķini par ieguldījuma īpašumu atsavināšanu veikti ar atliktā maksājuma nosacījumiem un atliktā maksājuma periods ir ilgāks par 12 mēnešiem, saņemto atlīdzību sākotnēji atzīst naudā izteiktas cenas ekvivalentā. Starpību starp nominālo atlīdzības summu un naudā izteiktas cenas ekvivalentu budžeta iestāde atzīst kā procentu ieņēmumus, piemērojot efektīvās procentu likmes metodi.</w:t>
      </w:r>
    </w:p>
    <w:p w14:paraId="149357E8" w14:textId="77777777" w:rsidR="006300AC"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701747">
        <w:rPr>
          <w:rFonts w:ascii="Times New Roman" w:hAnsi="Times New Roman" w:cs="Times New Roman"/>
          <w:sz w:val="24"/>
          <w:szCs w:val="24"/>
        </w:rPr>
        <w:t>0. Tādu kompensāciju, kas saņemta no trešajām personām, par zaudētu vai atdotu ieguldījuma īpašumu vai par ieguldījuma īpašumu, kuram samazinājusies vērtība, budžeta iestāde atzīst ieņēmumos un uzrāda to pārskatā par darbības finansiālajiem rezultātiem dienā, kad kompensācijas saņemšana ir droši ticama.</w:t>
      </w:r>
    </w:p>
    <w:p w14:paraId="73A0275C" w14:textId="77777777" w:rsidR="006300AC" w:rsidRDefault="006300AC" w:rsidP="00CD363C">
      <w:pPr>
        <w:pStyle w:val="Sarakstarindkopa"/>
        <w:spacing w:after="0" w:line="240" w:lineRule="auto"/>
        <w:ind w:left="360" w:right="-142"/>
        <w:jc w:val="center"/>
        <w:rPr>
          <w:rFonts w:ascii="Times New Roman" w:hAnsi="Times New Roman" w:cs="Times New Roman"/>
          <w:b/>
          <w:sz w:val="24"/>
          <w:szCs w:val="24"/>
        </w:rPr>
      </w:pPr>
      <w:r>
        <w:rPr>
          <w:rFonts w:ascii="Times New Roman" w:hAnsi="Times New Roman" w:cs="Times New Roman"/>
          <w:b/>
          <w:sz w:val="24"/>
          <w:szCs w:val="24"/>
        </w:rPr>
        <w:t>12.Bioloģisko aktīvu uzskaite</w:t>
      </w:r>
    </w:p>
    <w:p w14:paraId="6212EA95" w14:textId="77777777" w:rsidR="006300AC" w:rsidRDefault="006300AC" w:rsidP="00CD363C">
      <w:pPr>
        <w:pStyle w:val="Sarakstarindkopa"/>
        <w:spacing w:after="0" w:line="240" w:lineRule="auto"/>
        <w:ind w:left="360" w:right="-142"/>
        <w:jc w:val="both"/>
        <w:rPr>
          <w:rFonts w:ascii="Times New Roman" w:hAnsi="Times New Roman" w:cs="Times New Roman"/>
          <w:b/>
          <w:sz w:val="24"/>
          <w:szCs w:val="24"/>
        </w:rPr>
      </w:pPr>
    </w:p>
    <w:p w14:paraId="0ABE4134" w14:textId="77777777" w:rsidR="006300AC" w:rsidRDefault="006300AC" w:rsidP="00CD363C">
      <w:pPr>
        <w:pStyle w:val="Sarakstarindkopa"/>
        <w:spacing w:after="0" w:line="240" w:lineRule="auto"/>
        <w:ind w:left="360" w:right="-142"/>
        <w:jc w:val="both"/>
        <w:rPr>
          <w:rFonts w:ascii="Times New Roman" w:hAnsi="Times New Roman" w:cs="Times New Roman"/>
          <w:b/>
          <w:sz w:val="24"/>
          <w:szCs w:val="24"/>
        </w:rPr>
      </w:pPr>
      <w:r>
        <w:rPr>
          <w:rFonts w:ascii="Times New Roman" w:hAnsi="Times New Roman" w:cs="Times New Roman"/>
          <w:b/>
          <w:sz w:val="24"/>
          <w:szCs w:val="24"/>
        </w:rPr>
        <w:t xml:space="preserve">12.1. </w:t>
      </w:r>
      <w:r w:rsidRPr="00F81CB5">
        <w:rPr>
          <w:rFonts w:ascii="Times New Roman" w:hAnsi="Times New Roman" w:cs="Times New Roman"/>
          <w:b/>
          <w:sz w:val="24"/>
          <w:szCs w:val="24"/>
        </w:rPr>
        <w:t>Bioloģisko aktīvu iegāde, saņemšana, atzīšana uzskaitē un izveidošana</w:t>
      </w:r>
    </w:p>
    <w:p w14:paraId="3FD83105" w14:textId="77777777" w:rsidR="006300AC" w:rsidRDefault="006300AC" w:rsidP="00CD363C">
      <w:pPr>
        <w:pStyle w:val="Sarakstarindkopa"/>
        <w:spacing w:after="0" w:line="240" w:lineRule="auto"/>
        <w:ind w:left="360" w:right="-142"/>
        <w:jc w:val="both"/>
        <w:rPr>
          <w:rFonts w:ascii="Times New Roman" w:hAnsi="Times New Roman" w:cs="Times New Roman"/>
          <w:b/>
          <w:sz w:val="24"/>
          <w:szCs w:val="24"/>
        </w:rPr>
      </w:pPr>
    </w:p>
    <w:p w14:paraId="63DD7171"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B05FF9">
        <w:rPr>
          <w:rFonts w:ascii="Times New Roman" w:hAnsi="Times New Roman" w:cs="Times New Roman"/>
          <w:sz w:val="24"/>
          <w:szCs w:val="24"/>
        </w:rPr>
        <w:t xml:space="preserve">371. </w:t>
      </w:r>
      <w:r w:rsidRPr="0047166B">
        <w:rPr>
          <w:rFonts w:ascii="Times New Roman" w:hAnsi="Times New Roman" w:cs="Times New Roman"/>
          <w:sz w:val="24"/>
          <w:szCs w:val="24"/>
        </w:rPr>
        <w:t xml:space="preserve">Budžeta iestādei jāatzīst bioloģiskais aktīvs tikai tad, kad: </w:t>
      </w:r>
    </w:p>
    <w:p w14:paraId="4155FA15"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371.1.</w:t>
      </w:r>
      <w:r w:rsidRPr="00884902">
        <w:rPr>
          <w:rFonts w:ascii="Times New Roman" w:hAnsi="Times New Roman" w:cs="Times New Roman"/>
          <w:sz w:val="24"/>
          <w:szCs w:val="24"/>
        </w:rPr>
        <w:t xml:space="preserve">budžeta iestāde kontrolē aktīvu pagātnes notikumu rezultātā (lauksaimnieciskajā darbībā kontroli var pierādīt, piemēram, ar likumīgām īpašuma tiesībām uz mežaudzēm); </w:t>
      </w:r>
    </w:p>
    <w:p w14:paraId="1A67BF0A"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371.2.</w:t>
      </w:r>
      <w:r w:rsidRPr="00884902">
        <w:rPr>
          <w:rFonts w:ascii="Times New Roman" w:hAnsi="Times New Roman" w:cs="Times New Roman"/>
          <w:sz w:val="24"/>
          <w:szCs w:val="24"/>
        </w:rPr>
        <w:t xml:space="preserve">ir ticams, ka budžeta iestādē ieplūdīs ar aktīvu saistītie nākotnes saimnieciskie labumi vai tas tiks izmantots funkciju nodrošināšanai; </w:t>
      </w:r>
    </w:p>
    <w:p w14:paraId="19189A15"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371.3.</w:t>
      </w:r>
      <w:r w:rsidRPr="00884902">
        <w:rPr>
          <w:rFonts w:ascii="Times New Roman" w:hAnsi="Times New Roman" w:cs="Times New Roman"/>
          <w:sz w:val="24"/>
          <w:szCs w:val="24"/>
        </w:rPr>
        <w:t xml:space="preserve">aktīva patieso vērtību vai aktīva izmaksas var ticami novērtēt. </w:t>
      </w:r>
    </w:p>
    <w:p w14:paraId="5FDBDAFD"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2. Bioloģiskos aktīvus uzskaita ilgtermiņa ieguldījumu sastāvā atbilstošos kontos neatkarīgi no vienas aktīva vienības atzīšanas vērtības.</w:t>
      </w:r>
      <w:r>
        <w:rPr>
          <w:rFonts w:ascii="Times New Roman" w:hAnsi="Times New Roman" w:cs="Times New Roman"/>
          <w:sz w:val="24"/>
          <w:szCs w:val="24"/>
        </w:rPr>
        <w:t xml:space="preserve"> </w:t>
      </w:r>
      <w:r w:rsidRPr="0047166B">
        <w:rPr>
          <w:rFonts w:ascii="Times New Roman" w:hAnsi="Times New Roman" w:cs="Times New Roman"/>
          <w:sz w:val="24"/>
          <w:szCs w:val="24"/>
        </w:rPr>
        <w:t>Bioloģiskos aktīvus, kurus paredzēts izmantot lauksaimnieciskajā darbībā, uzskaita atsevišķā kontu grupā 1600 “Bioloģiskie aktīvi lauksaimnieciskajai darbībai”.</w:t>
      </w:r>
    </w:p>
    <w:p w14:paraId="106D0111"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3. Bioloģiskos aktīvus, kurus nav paredzēts izmantot lauksaimnieciskajā darbībā, bet zinātniskās pētniecības, izglītības, transporta, izklaides vai atpūtas vai drošības un kontroles mērķiem uzskaita atsevišķā kontu grupā 1260 “Bioloģiskie un pazemes aktīvi”.</w:t>
      </w:r>
    </w:p>
    <w:p w14:paraId="40CEA4E5"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 xml:space="preserve">4. To bioloģisko aktīvu vērtību un uzkrāto vērtības samazinājumu, kurus paredzēts izmantot lauksaimnieciskajā darbībā, 2019. gada 1. janvārī izslēdz no pamatlīdzekļu sastāva un atlikušo uzskaites vērtību pārklasificē kontu grupā 1600 “Bioloģiskie aktīvi lauksaimnieciskajai darbībai”. </w:t>
      </w:r>
    </w:p>
    <w:p w14:paraId="5298B61D"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5. Pārējās rezerves, kas izveidotas, sākotnēji atzīstot mežaudzes, līdz 2019. gada 31. decembrim izslēdz un atzīst pārējos ieņēmumus.</w:t>
      </w:r>
    </w:p>
    <w:p w14:paraId="478F56F8"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6. Iegādājoties bioloģisko aktīvu, budžeta iestāde atzīst bioloģisko aktīvu tā izmaksu vērtībā un, pamatojoties uz darījumu apliecinošiem dokumentiem, palielina attiecīgo bioloģisko aktīvu kontu un saistību kontu par dokumentā norādīto summu, veicot sekojošu grāmatojumu:</w:t>
      </w:r>
    </w:p>
    <w:p w14:paraId="6108392A"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1260 Bioloģiskie un pazemes aktīvi vai </w:t>
      </w:r>
    </w:p>
    <w:p w14:paraId="1385EEA1"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14205F52"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5310 Īstermiņa saistības pret piegādātājiem un darbuzņēmējiem* </w:t>
      </w:r>
    </w:p>
    <w:p w14:paraId="38F5958C" w14:textId="77777777" w:rsidR="00B05FF9"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7166B">
        <w:rPr>
          <w:rFonts w:ascii="Times New Roman" w:hAnsi="Times New Roman" w:cs="Times New Roman"/>
          <w:sz w:val="24"/>
          <w:szCs w:val="24"/>
        </w:rPr>
        <w:t>* ja budžeta iestāde, kas veic attiecīgo ar PVN apliekamo darījumu, ir PVN maksātāja.</w:t>
      </w:r>
    </w:p>
    <w:p w14:paraId="4076DDA6" w14:textId="77777777" w:rsidR="00B05FF9"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377</w:t>
      </w:r>
      <w:r w:rsidRPr="0047166B">
        <w:rPr>
          <w:rFonts w:ascii="Times New Roman" w:hAnsi="Times New Roman" w:cs="Times New Roman"/>
          <w:sz w:val="24"/>
          <w:szCs w:val="24"/>
        </w:rPr>
        <w:t>. Saņemot avansa maksājuma rēķinu par bioloģiskā aktīva iegādi, grāmatojumus neveic, bet rēķinu reģistrē budžeta iestādes uzskaites sistēmā. Avansa maksājuma dokumenta apmaksas dienā, pamatojoties uz maksājuma uzdevumu, atzīst attiecīgā aktīvu konta palielinājumu un tā naudas līdzekļu konta samazinājumu, no kura veic maksājumu, grāmatojot:</w:t>
      </w:r>
    </w:p>
    <w:p w14:paraId="2B21EF37" w14:textId="77777777" w:rsidR="00B05FF9" w:rsidRPr="00B05FF9" w:rsidRDefault="00B05FF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05FF9">
        <w:rPr>
          <w:rFonts w:ascii="Times New Roman" w:hAnsi="Times New Roman" w:cs="Times New Roman"/>
          <w:b/>
          <w:sz w:val="24"/>
          <w:szCs w:val="24"/>
        </w:rPr>
        <w:t xml:space="preserve">D 1286 Avansa maksājumi par bioloģiskajiem un pazemes aktīviem vai </w:t>
      </w:r>
    </w:p>
    <w:p w14:paraId="4FE2D683"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1681 Avansa maksājumi par bioloģiskajiem aktīviem lauksaimnieciskajai darbībai </w:t>
      </w:r>
    </w:p>
    <w:p w14:paraId="4C4C4F02" w14:textId="77777777" w:rsidR="00B05FF9" w:rsidRPr="00B05FF9" w:rsidRDefault="00B05FF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05FF9">
        <w:rPr>
          <w:rFonts w:ascii="Times New Roman" w:hAnsi="Times New Roman" w:cs="Times New Roman"/>
          <w:b/>
          <w:sz w:val="24"/>
          <w:szCs w:val="24"/>
        </w:rPr>
        <w:t xml:space="preserve">K 2600 Naudas līdzekļi </w:t>
      </w:r>
    </w:p>
    <w:p w14:paraId="267FDD64"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8. Saņemot darījumu apliecinošu dokumentu par bioloģiskā aktīva iegādi, par kuru iepriekš veikts avansa maksājums, to reģistrē budžeta iestādes uzskaites sistēmā un iegrāmato, palielinot attiecīgo bioloģisko aktīvu kontu un saistību kontu attiecīgajā apmērā. Sekojoši budžeta iestāde atzīst avansa maksājumu un saistību samazinājumu iepriekš veiktā avansa maksājuma vērtībā. Budžeta iestāde veic sekojošus grāmatojumus: Grāmatojums, atzīstot bioloģiskā aktīva iegādi:</w:t>
      </w:r>
    </w:p>
    <w:p w14:paraId="125CFAC1"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4716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5FF9">
        <w:rPr>
          <w:rFonts w:ascii="Times New Roman" w:hAnsi="Times New Roman" w:cs="Times New Roman"/>
          <w:b/>
          <w:sz w:val="24"/>
          <w:szCs w:val="24"/>
        </w:rPr>
        <w:t xml:space="preserve">D 1260 Bioloģiskie un pazemes aktīvi vai </w:t>
      </w:r>
    </w:p>
    <w:p w14:paraId="140C8526"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3F5CBDC6"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5310 Īstermiņa saistības pret piegādātājiem un darbuzņēmējiem </w:t>
      </w:r>
    </w:p>
    <w:p w14:paraId="63E92CE5"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47166B">
        <w:rPr>
          <w:rFonts w:ascii="Times New Roman" w:hAnsi="Times New Roman" w:cs="Times New Roman"/>
          <w:sz w:val="24"/>
          <w:szCs w:val="24"/>
        </w:rPr>
        <w:t xml:space="preserve">Grāmatojums, samazinot iepriekš veiktā avansa maksājuma apmēru: </w:t>
      </w:r>
    </w:p>
    <w:p w14:paraId="036C307A"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5310 Īstermiņa saistības pret piegādātājiem un darbuzņēmējiem </w:t>
      </w:r>
    </w:p>
    <w:p w14:paraId="688C5F48"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1286 Avansa maksājumi par bioloģiskajiem un pazemes aktīviem vai </w:t>
      </w:r>
    </w:p>
    <w:p w14:paraId="6C303860"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B05FF9">
        <w:rPr>
          <w:rFonts w:ascii="Times New Roman" w:hAnsi="Times New Roman" w:cs="Times New Roman"/>
          <w:b/>
          <w:sz w:val="24"/>
          <w:szCs w:val="24"/>
        </w:rPr>
        <w:t xml:space="preserve">    D 1681 Avansa maksājumi par bioloģiskajiem aktīviem lauksaimnieciskajai</w:t>
      </w:r>
      <w:r w:rsidRPr="0047166B">
        <w:rPr>
          <w:rFonts w:ascii="Times New Roman" w:hAnsi="Times New Roman" w:cs="Times New Roman"/>
          <w:sz w:val="24"/>
          <w:szCs w:val="24"/>
        </w:rPr>
        <w:t xml:space="preserve"> </w:t>
      </w:r>
      <w:r w:rsidRPr="00B05FF9">
        <w:rPr>
          <w:rFonts w:ascii="Times New Roman" w:hAnsi="Times New Roman" w:cs="Times New Roman"/>
          <w:b/>
          <w:sz w:val="24"/>
          <w:szCs w:val="24"/>
        </w:rPr>
        <w:t>darbībai.</w:t>
      </w:r>
    </w:p>
    <w:p w14:paraId="10EFB84F"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9. Bioloģisko aktīvu sākotnēji novērtē patiesajā vērtībā, atskaitot atsavināšanas izmaksas, atbilstoši visticamākajai aplēsei aktīva iegūšanas datumā sekojošos gadījumos</w:t>
      </w:r>
    </w:p>
    <w:p w14:paraId="577E64DF"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379.1.</w:t>
      </w:r>
      <w:r w:rsidRPr="00884902">
        <w:rPr>
          <w:rFonts w:ascii="Times New Roman" w:hAnsi="Times New Roman" w:cs="Times New Roman"/>
          <w:sz w:val="24"/>
          <w:szCs w:val="24"/>
        </w:rPr>
        <w:t>iekļaujot bilancē līdz šim neuzskaitītu esošu bioloģisko aktīvu; Grāmatojums, sākotnēji atzīstot uzskaitē, piemēram, inventarizācijā konstatētu pārpalikumu:</w:t>
      </w:r>
    </w:p>
    <w:p w14:paraId="26F0A55E"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1260 Bioloģiskie un pazemes aktīvi vai </w:t>
      </w:r>
    </w:p>
    <w:p w14:paraId="7904BF44"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462A95C7"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8580 Ieņēmumi no ilgtermiņa aktīvu sākotnējās atzīšanas</w:t>
      </w:r>
    </w:p>
    <w:p w14:paraId="6AC0D9B8"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379.2.</w:t>
      </w:r>
      <w:r w:rsidRPr="00884902">
        <w:rPr>
          <w:rFonts w:ascii="Times New Roman" w:hAnsi="Times New Roman" w:cs="Times New Roman"/>
          <w:sz w:val="24"/>
          <w:szCs w:val="24"/>
        </w:rPr>
        <w:t xml:space="preserve">iekļaujot bilancē ziedojumu vai dāvinājumu veidā saņemtu bioloģisko aktīvu; </w:t>
      </w:r>
    </w:p>
    <w:p w14:paraId="036D4D4D"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47166B">
        <w:rPr>
          <w:rFonts w:ascii="Times New Roman" w:hAnsi="Times New Roman" w:cs="Times New Roman"/>
          <w:sz w:val="24"/>
          <w:szCs w:val="24"/>
        </w:rPr>
        <w:t xml:space="preserve">Grāmatojums, sākotnēji atzīstot uzskaitē ziedojumu vai dāvinājumu veidā saņemtu bioloģisko aktīvu: </w:t>
      </w:r>
    </w:p>
    <w:p w14:paraId="133B3434"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1260 Bioloģiskie un pazemes aktīvi vai </w:t>
      </w:r>
    </w:p>
    <w:p w14:paraId="614E6F54"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1911CB73" w14:textId="77777777" w:rsid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6000 Pamatdarbības ieņēmumi</w:t>
      </w:r>
    </w:p>
    <w:p w14:paraId="5AB6BDC3" w14:textId="77777777" w:rsidR="00B05FF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00B05FF9">
        <w:rPr>
          <w:rFonts w:ascii="Times New Roman" w:hAnsi="Times New Roman" w:cs="Times New Roman"/>
          <w:sz w:val="24"/>
          <w:szCs w:val="24"/>
        </w:rPr>
        <w:t>9.3.</w:t>
      </w:r>
      <w:r w:rsidR="00B05FF9" w:rsidRPr="00884902">
        <w:rPr>
          <w:rFonts w:ascii="Times New Roman" w:hAnsi="Times New Roman" w:cs="Times New Roman"/>
          <w:sz w:val="24"/>
          <w:szCs w:val="24"/>
        </w:rPr>
        <w:t xml:space="preserve">iekļaujot bilancē maiņas ceļā saņemtu bioloģisko aktīvu; </w:t>
      </w:r>
    </w:p>
    <w:p w14:paraId="2F9ACA84" w14:textId="77777777" w:rsidR="00B05FF9" w:rsidRPr="00884902" w:rsidRDefault="00B05FF9" w:rsidP="00CD363C">
      <w:pPr>
        <w:spacing w:after="0" w:line="240" w:lineRule="auto"/>
        <w:ind w:right="-142"/>
        <w:jc w:val="both"/>
        <w:rPr>
          <w:rFonts w:ascii="Times New Roman" w:hAnsi="Times New Roman" w:cs="Times New Roman"/>
          <w:sz w:val="24"/>
          <w:szCs w:val="24"/>
        </w:rPr>
      </w:pPr>
      <w:r w:rsidRPr="00884902">
        <w:rPr>
          <w:rFonts w:ascii="Times New Roman" w:hAnsi="Times New Roman" w:cs="Times New Roman"/>
          <w:sz w:val="24"/>
          <w:szCs w:val="24"/>
        </w:rPr>
        <w:t xml:space="preserve">Grāmatojums, sākotnēji atzīstot uzskaitē maiņas ceļā saņemtu bioloģisko aktīvu: Saņemtā bioloģiskā aktīva atzīšana </w:t>
      </w:r>
    </w:p>
    <w:p w14:paraId="6057FA46"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1260 Bioloģiskie un pazemes aktīvi vai </w:t>
      </w:r>
    </w:p>
    <w:p w14:paraId="2A2944D8"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1600 Bioloģiskie aktīvi lauksaimnieciskajai darbībai </w:t>
      </w:r>
    </w:p>
    <w:p w14:paraId="0C42DE26" w14:textId="77777777" w:rsidR="00B05FF9" w:rsidRPr="004F534E" w:rsidRDefault="00B05FF9" w:rsidP="00CD363C">
      <w:pPr>
        <w:spacing w:after="0" w:line="240" w:lineRule="auto"/>
        <w:ind w:right="-142"/>
        <w:jc w:val="both"/>
        <w:rPr>
          <w:rFonts w:ascii="Times New Roman" w:hAnsi="Times New Roman" w:cs="Times New Roman"/>
          <w:sz w:val="24"/>
          <w:szCs w:val="24"/>
        </w:rPr>
      </w:pPr>
      <w:r w:rsidRPr="004F534E">
        <w:rPr>
          <w:rFonts w:ascii="Times New Roman" w:hAnsi="Times New Roman" w:cs="Times New Roman"/>
          <w:sz w:val="24"/>
          <w:szCs w:val="24"/>
        </w:rPr>
        <w:t xml:space="preserve">Nodotā pamatlīdzekļa izslēgšana </w:t>
      </w:r>
    </w:p>
    <w:p w14:paraId="7C511CCF" w14:textId="77777777" w:rsidR="00B05FF9" w:rsidRPr="004F534E" w:rsidRDefault="00B05FF9" w:rsidP="00CD363C">
      <w:pPr>
        <w:spacing w:after="0" w:line="240" w:lineRule="auto"/>
        <w:ind w:right="-142"/>
        <w:jc w:val="both"/>
        <w:rPr>
          <w:rFonts w:ascii="Times New Roman" w:hAnsi="Times New Roman" w:cs="Times New Roman"/>
          <w:sz w:val="24"/>
          <w:szCs w:val="24"/>
        </w:rPr>
      </w:pPr>
      <w:r w:rsidRPr="004F534E">
        <w:rPr>
          <w:rFonts w:ascii="Times New Roman" w:hAnsi="Times New Roman" w:cs="Times New Roman"/>
          <w:sz w:val="24"/>
          <w:szCs w:val="24"/>
        </w:rPr>
        <w:t>Ieņēmumi vai izdevumi maiņas darījuma rezultātā</w:t>
      </w:r>
    </w:p>
    <w:p w14:paraId="4ECB3C91" w14:textId="77777777" w:rsidR="00B05FF9" w:rsidRPr="00ED62E9" w:rsidRDefault="00ED62E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B05FF9" w:rsidRPr="00ED62E9">
        <w:rPr>
          <w:rFonts w:ascii="Times New Roman" w:hAnsi="Times New Roman" w:cs="Times New Roman"/>
          <w:b/>
          <w:sz w:val="24"/>
          <w:szCs w:val="24"/>
        </w:rPr>
        <w:t xml:space="preserve">K 1200* Pamatlīdzekļi  </w:t>
      </w:r>
    </w:p>
    <w:p w14:paraId="65DF5AD1"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6000 Pamatdarbības ieņēmumi vai </w:t>
      </w:r>
    </w:p>
    <w:p w14:paraId="44AC0374"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7000 Pamatdarbības izdevumi </w:t>
      </w:r>
    </w:p>
    <w:p w14:paraId="160D58D4" w14:textId="77777777" w:rsidR="00B05FF9" w:rsidRPr="004F534E"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05FF9" w:rsidRPr="004F534E">
        <w:rPr>
          <w:rFonts w:ascii="Times New Roman" w:hAnsi="Times New Roman" w:cs="Times New Roman"/>
          <w:sz w:val="24"/>
          <w:szCs w:val="24"/>
        </w:rPr>
        <w:t xml:space="preserve">*izslēgtā pamatlīdzekļa atlikusī uzskaites vērtība </w:t>
      </w:r>
    </w:p>
    <w:p w14:paraId="19156EC5" w14:textId="77777777" w:rsidR="00B05FF9" w:rsidRPr="004F534E"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05FF9" w:rsidRPr="004F534E">
        <w:rPr>
          <w:rFonts w:ascii="Times New Roman" w:hAnsi="Times New Roman" w:cs="Times New Roman"/>
          <w:sz w:val="24"/>
          <w:szCs w:val="24"/>
        </w:rPr>
        <w:t>**gadījumā, ja rodas starpība starp nodotā aktīva un saņemtā aktīva vērtībām</w:t>
      </w:r>
    </w:p>
    <w:p w14:paraId="6647466B" w14:textId="77777777" w:rsidR="00B05FF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00B05FF9">
        <w:rPr>
          <w:rFonts w:ascii="Times New Roman" w:hAnsi="Times New Roman" w:cs="Times New Roman"/>
          <w:sz w:val="24"/>
          <w:szCs w:val="24"/>
        </w:rPr>
        <w:t>9.4.</w:t>
      </w:r>
      <w:r w:rsidR="00B05FF9" w:rsidRPr="00884902">
        <w:rPr>
          <w:rFonts w:ascii="Times New Roman" w:hAnsi="Times New Roman" w:cs="Times New Roman"/>
          <w:sz w:val="24"/>
          <w:szCs w:val="24"/>
        </w:rPr>
        <w:t xml:space="preserve">iekļaujot bilancē bioloģiskos aktīvus, kuri iepriekš uzskaitīti bioloģisko aktīvu produktu sastāvā. </w:t>
      </w:r>
    </w:p>
    <w:p w14:paraId="57656251" w14:textId="77777777" w:rsidR="00B05FF9" w:rsidRPr="00F22CD3" w:rsidRDefault="00B05FF9" w:rsidP="00CD363C">
      <w:pPr>
        <w:spacing w:after="0" w:line="240" w:lineRule="auto"/>
        <w:ind w:right="-142"/>
        <w:jc w:val="both"/>
        <w:rPr>
          <w:rFonts w:ascii="Times New Roman" w:hAnsi="Times New Roman" w:cs="Times New Roman"/>
          <w:sz w:val="24"/>
          <w:szCs w:val="24"/>
        </w:rPr>
      </w:pPr>
      <w:r w:rsidRPr="00F22CD3">
        <w:rPr>
          <w:rFonts w:ascii="Times New Roman" w:hAnsi="Times New Roman" w:cs="Times New Roman"/>
          <w:sz w:val="24"/>
          <w:szCs w:val="24"/>
        </w:rPr>
        <w:t xml:space="preserve">Grāmatojums, sākotnēji atzīstot uzskaitē bioloģiskos aktīvus, kuri iepriekš uzskaitīti bioloģisko aktīvu produktu sastāvā: </w:t>
      </w:r>
    </w:p>
    <w:p w14:paraId="6779A965" w14:textId="77777777" w:rsidR="00B05FF9" w:rsidRPr="00ED62E9" w:rsidRDefault="00ED62E9" w:rsidP="00CD363C">
      <w:pPr>
        <w:pStyle w:val="Sarakstarindkopa"/>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1260 Bioloģiskie un pazemes aktīvi vai </w:t>
      </w:r>
    </w:p>
    <w:p w14:paraId="41647E14" w14:textId="77777777" w:rsidR="00B05FF9" w:rsidRPr="00ED62E9" w:rsidRDefault="00ED62E9" w:rsidP="00CD363C">
      <w:pPr>
        <w:pStyle w:val="Sarakstarindkopa"/>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w:t>
      </w:r>
      <w:r w:rsidRPr="00ED62E9">
        <w:rPr>
          <w:rFonts w:ascii="Times New Roman" w:hAnsi="Times New Roman" w:cs="Times New Roman"/>
          <w:b/>
          <w:sz w:val="24"/>
          <w:szCs w:val="24"/>
        </w:rPr>
        <w:t xml:space="preserve">1600 </w:t>
      </w:r>
      <w:r w:rsidR="00B05FF9" w:rsidRPr="00ED62E9">
        <w:rPr>
          <w:rFonts w:ascii="Times New Roman" w:hAnsi="Times New Roman" w:cs="Times New Roman"/>
          <w:b/>
          <w:sz w:val="24"/>
          <w:szCs w:val="24"/>
        </w:rPr>
        <w:t xml:space="preserve">Bioloģiskie aktīvi lauksaimnieciskajai darbībai </w:t>
      </w:r>
    </w:p>
    <w:p w14:paraId="47459ECE" w14:textId="77777777" w:rsidR="00B05FF9" w:rsidRPr="00ED62E9" w:rsidRDefault="00ED62E9" w:rsidP="00CD363C">
      <w:pPr>
        <w:pStyle w:val="Sarakstarindkopa"/>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2140 Bioloģisko aktīvu produkti un krājumi to uzturēšanai </w:t>
      </w:r>
    </w:p>
    <w:p w14:paraId="54EA20FF" w14:textId="77777777" w:rsidR="00B05FF9" w:rsidRPr="00ED62E9" w:rsidRDefault="00ED62E9" w:rsidP="00CD363C">
      <w:pPr>
        <w:pStyle w:val="Sarakstarindkopa"/>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6000 Pamatdarbības ieņēmumi </w:t>
      </w:r>
    </w:p>
    <w:p w14:paraId="3500C083" w14:textId="77777777" w:rsidR="00B05FF9" w:rsidRPr="00BB1A6A" w:rsidRDefault="00ED62E9" w:rsidP="00CD363C">
      <w:pPr>
        <w:pStyle w:val="Sarakstarindkopa"/>
        <w:spacing w:after="0" w:line="240" w:lineRule="auto"/>
        <w:ind w:left="0"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05FF9" w:rsidRPr="00BB1A6A">
        <w:rPr>
          <w:rFonts w:ascii="Times New Roman" w:hAnsi="Times New Roman" w:cs="Times New Roman"/>
          <w:sz w:val="24"/>
          <w:szCs w:val="24"/>
        </w:rPr>
        <w:t>*ja rodas starpība starp krājumu uzskaites vērtību un patieso vērtību, atskaitot atsavināšanas izmaksas</w:t>
      </w:r>
    </w:p>
    <w:p w14:paraId="78E62E50" w14:textId="77777777" w:rsidR="00B05FF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380</w:t>
      </w:r>
      <w:r w:rsidR="00B05FF9" w:rsidRPr="00BB1A6A">
        <w:rPr>
          <w:rFonts w:ascii="Times New Roman" w:hAnsi="Times New Roman" w:cs="Times New Roman"/>
          <w:sz w:val="24"/>
          <w:szCs w:val="24"/>
        </w:rPr>
        <w:t xml:space="preserve">. Gadījumā, ja budžeta iestāde iegūst bioloģisko aktīvu bez atlīdzības no citas budžeta iestādes, bioloģisko aktīvu saņemošā budžeta iestāde atzīst aktīvu tādā vērtībā, kādā tas uzskaitīts nododošās budžeta iestādes uzskaitē, un veic sekojošu grāmatojumu: </w:t>
      </w:r>
    </w:p>
    <w:p w14:paraId="318BB344" w14:textId="77777777" w:rsidR="00B05FF9" w:rsidRPr="00ED62E9" w:rsidRDefault="00ED62E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B05FF9" w:rsidRPr="00ED62E9">
        <w:rPr>
          <w:rFonts w:ascii="Times New Roman" w:hAnsi="Times New Roman" w:cs="Times New Roman"/>
          <w:b/>
          <w:sz w:val="24"/>
          <w:szCs w:val="24"/>
        </w:rPr>
        <w:t xml:space="preserve">D 1260 Bioloģiskie un pazemes aktīvi vai </w:t>
      </w:r>
    </w:p>
    <w:p w14:paraId="57690973"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1600 Bioloģiskie aktīvi lauksaimnieciskajai darbībai </w:t>
      </w:r>
    </w:p>
    <w:p w14:paraId="739C6122"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8410 Ieņēmumi no saņemtām un nodotām vērtībām bez atlīdzības </w:t>
      </w:r>
    </w:p>
    <w:p w14:paraId="514745D1" w14:textId="77777777" w:rsidR="00B05FF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00B05FF9" w:rsidRPr="00BB1A6A">
        <w:rPr>
          <w:rFonts w:ascii="Times New Roman" w:hAnsi="Times New Roman" w:cs="Times New Roman"/>
          <w:sz w:val="24"/>
          <w:szCs w:val="24"/>
        </w:rPr>
        <w:t>1. Patiesā vērtība, atskaitot atsavināšanas (pārdošanas) izmaksas, ir summa, kādu iespējams iegūt aktīva atsavināšanas (pārdošanas) darījumā starp labi informētām, savstarpēji ieinteresētām un nesaistītām personām. Atsavināšanas izmaksās iekļauj, piemēram, komisijas brokeriem vai dīleriem un kontrolējošo iestāžu nodevas. Atsavināšanas izmaksās neiekļauj transporta izmaksas un citas izmaksas, kas nepieciešamas, lai aktīvu atsavinātu, piemēram, aktīva novērtēšanas izmaksas.</w:t>
      </w:r>
    </w:p>
    <w:p w14:paraId="364E557E"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00B05FF9" w:rsidRPr="00BB1A6A">
        <w:rPr>
          <w:rFonts w:ascii="Times New Roman" w:hAnsi="Times New Roman" w:cs="Times New Roman"/>
          <w:sz w:val="24"/>
          <w:szCs w:val="24"/>
        </w:rPr>
        <w:t>2. Bioloģiskā aktīva patiesās vērtības noteikšanā bioloģiskos aktīvus var grupēt pēc nozīmīgām to īpašībām, piemēram, pēc vecuma vai kvalitātes. Budžeta iestāde izvēlas</w:t>
      </w:r>
      <w:r>
        <w:rPr>
          <w:rFonts w:ascii="Times New Roman" w:hAnsi="Times New Roman" w:cs="Times New Roman"/>
          <w:sz w:val="24"/>
          <w:szCs w:val="24"/>
        </w:rPr>
        <w:t xml:space="preserve"> </w:t>
      </w:r>
      <w:r w:rsidRPr="00BB1A6A">
        <w:rPr>
          <w:rFonts w:ascii="Times New Roman" w:hAnsi="Times New Roman" w:cs="Times New Roman"/>
          <w:sz w:val="24"/>
          <w:szCs w:val="24"/>
        </w:rPr>
        <w:t>tādas pazīmes, kas atbilst tām īpašībām, kas izmantotas cenas noteikšanai tirgū. Aktīva patieso vērtību ietekmē tā pašreizējā atrašanās vieta un stāvoklis.</w:t>
      </w:r>
    </w:p>
    <w:p w14:paraId="76329232"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3.</w:t>
      </w:r>
      <w:r>
        <w:rPr>
          <w:rFonts w:ascii="Times New Roman" w:hAnsi="Times New Roman" w:cs="Times New Roman"/>
          <w:sz w:val="24"/>
          <w:szCs w:val="24"/>
        </w:rPr>
        <w:t xml:space="preserve"> 376</w:t>
      </w:r>
      <w:r w:rsidRPr="00BB1A6A">
        <w:rPr>
          <w:rFonts w:ascii="Times New Roman" w:hAnsi="Times New Roman" w:cs="Times New Roman"/>
          <w:sz w:val="24"/>
          <w:szCs w:val="24"/>
        </w:rPr>
        <w:t xml:space="preserve"> punktā minētajos gadījumos mežaudzes vērtības noteikšanai var izmantot to nosacīto izmaksu vērtību, kas ir mežaudzes inventarizācijas veikšanas datumā, pamatojoties uz Meža valsts reģistrā norādīto pilno vērtību.</w:t>
      </w:r>
    </w:p>
    <w:p w14:paraId="0D1F76B0"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4. Gadījumā, ja budžeta iestāde iegūst bioloģisko aktīvu bez atlīdzības no citas budžeta iestādes, bioloģisko aktīvu saņemošā budžeta iestāde atzīst aktīvu tādā vērtībā, kādā tas uzskaitīts nododošās budžeta iestādes uzskaitē, un veic sekojošu grāmatojumu: </w:t>
      </w:r>
    </w:p>
    <w:p w14:paraId="0B18EE6B" w14:textId="77777777" w:rsidR="00ED62E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D Bioloģiskie un pazemes aktīvi vai </w:t>
      </w:r>
    </w:p>
    <w:p w14:paraId="567F465A" w14:textId="77777777" w:rsidR="00ED62E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D 1600 Bioloģiskie aktīvi lauksaimnieciskajai darbībai </w:t>
      </w:r>
    </w:p>
    <w:p w14:paraId="6BBACF79" w14:textId="77777777" w:rsidR="00ED62E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K 8410 Ieņēmumi no saņemtām un nodotām vērtībām bez atlīdzības </w:t>
      </w:r>
    </w:p>
    <w:p w14:paraId="78B63A8F"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5. Ja bioloģiskajam aktīvam tā pašreizējā atrašanās vietā un stāvoklī pastāv aktīvs tirgus, šajā tirgū noteiktā cena tiek izmantota šī bioloģiskā aktīva patiesās vērtības noteikšanai. Ja ir ticams, ka budžeta iestādei ir iespēja veikt darījumus ar bioloģiskajiem aktīviem vairākos aktīvos tirgos, budžeta iestāde izmanto visatbilstošāko. Piemēram, ja ir ticams, ka budžeta iestādei ir iespēja realizēt bioloģisko aktīvu divos aktīvos tirgos, budžeta iestāde izmanto tā aktīvā tirgus cenu, kurā paredzēts bioloģisko aktīvu pārdot. </w:t>
      </w:r>
    </w:p>
    <w:p w14:paraId="01F1657B"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6. Ja bioloģiskajam aktīvam tā pašreizējā atrašanās vietā un stāvoklī nepastāv aktīvs tirgus, budžeta iestāde patiesās vērtības noteikšanai izmanto vismaz vienu vai vairākus šādus rādītājus, ja tie ir pieejami: </w:t>
      </w:r>
    </w:p>
    <w:p w14:paraId="24CED7F5"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386.1.</w:t>
      </w:r>
      <w:r w:rsidRPr="00884902">
        <w:rPr>
          <w:rFonts w:ascii="Times New Roman" w:hAnsi="Times New Roman" w:cs="Times New Roman"/>
          <w:sz w:val="24"/>
          <w:szCs w:val="24"/>
        </w:rPr>
        <w:t xml:space="preserve">pēdējā tirgus darījuma cena ar nosacījumu, ka saimnieciskie apstākļi laikā starp darījuma datumu un pārskata datumu nav būtiski mainījušies; </w:t>
      </w:r>
    </w:p>
    <w:p w14:paraId="2E3F954B"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386.2.</w:t>
      </w:r>
      <w:r w:rsidRPr="00884902">
        <w:rPr>
          <w:rFonts w:ascii="Times New Roman" w:hAnsi="Times New Roman" w:cs="Times New Roman"/>
          <w:sz w:val="24"/>
          <w:szCs w:val="24"/>
        </w:rPr>
        <w:t xml:space="preserve">tirgus cenas līdzīgiem aktīviem, kas koriģētas, lai uzrādītu atšķirības; </w:t>
      </w:r>
    </w:p>
    <w:p w14:paraId="584F2D12"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386.3.</w:t>
      </w:r>
      <w:r w:rsidRPr="00884902">
        <w:rPr>
          <w:rFonts w:ascii="Times New Roman" w:hAnsi="Times New Roman" w:cs="Times New Roman"/>
          <w:sz w:val="24"/>
          <w:szCs w:val="24"/>
        </w:rPr>
        <w:t>nozares rādītāji, piemēram, meža vērtība, kas izteikta hektāros, un liellopu vērtība, kas izteikta gaļas kilogramos.</w:t>
      </w:r>
    </w:p>
    <w:p w14:paraId="7080E8AC"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387</w:t>
      </w:r>
      <w:r w:rsidRPr="00BB1A6A">
        <w:rPr>
          <w:rFonts w:ascii="Times New Roman" w:hAnsi="Times New Roman" w:cs="Times New Roman"/>
          <w:sz w:val="24"/>
          <w:szCs w:val="24"/>
        </w:rPr>
        <w:t xml:space="preserve">. Dažos gadījumos bioloģiskā aktīva patiesās vērtības vērtējums var būt atšķirīgs, izvēloties dažādus kritērijus tās noteikšanai. Budžeta iestāde apsver šo atšķirību iemeslus, lai iegūtu visticamāko patiesās vērtības aplēsi. </w:t>
      </w:r>
    </w:p>
    <w:p w14:paraId="1C6B0639" w14:textId="77777777" w:rsidR="00ED62E9"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388</w:t>
      </w:r>
      <w:r w:rsidRPr="00BB1A6A">
        <w:rPr>
          <w:rFonts w:ascii="Times New Roman" w:hAnsi="Times New Roman" w:cs="Times New Roman"/>
          <w:sz w:val="24"/>
          <w:szCs w:val="24"/>
        </w:rPr>
        <w:t xml:space="preserve">. Dažos gadījumos var nebūt pieejamas tirgus noteiktās cenas vai vērtības par bioloģisko aktīvu tā esošajā stāvoklī. Tādos gadījumos, lai noteiktu patieso vērtību, budžeta iestāde izmanto no aktīva sagaidāmo neto naudas plūsmu pašreizējo vērtību, kas diskontēta, izmantojot Valsts kases interneta vietnē publicēto atbilstošo diskonta likmi. Gaidāmo naudas plūsmu pašreizējās vērtības aprēķina mērķis ir noteikt bioloģiskā aktīva patieso vērtību tā pašreizējā atrašanās vietā un stāvoklī. Nosakot gaidāmo neto naudas plūsmu pašreizējo vērtību, budžeta iestāde aprēķinā iekļauj neto naudas plūsmas, ko tirgus dalībnieki varētu gaidīt no attiecīgā aktīva tā  visatbilstošākajā tirgū, un diskontē tās ar Valsts kases tīmekļa vietnē publicēto piemērojamo diskonta likmi. </w:t>
      </w:r>
    </w:p>
    <w:p w14:paraId="50DA765F"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9. Budžeta iestāde, aprēķinot bioloģiskā aktīva pašreizējo vērtību, sagaidāmajās naudas plūsmās neiekļauj: </w:t>
      </w:r>
    </w:p>
    <w:p w14:paraId="67FC0728"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389.1.</w:t>
      </w:r>
      <w:r w:rsidRPr="00884902">
        <w:rPr>
          <w:rFonts w:ascii="Times New Roman" w:hAnsi="Times New Roman" w:cs="Times New Roman"/>
          <w:sz w:val="24"/>
          <w:szCs w:val="24"/>
        </w:rPr>
        <w:t xml:space="preserve">vērtības pieaugumu no bioloģisko aktīvu papildus pārveides un nākotnes darbībām; </w:t>
      </w:r>
    </w:p>
    <w:p w14:paraId="4AAB71E8"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389.2.</w:t>
      </w:r>
      <w:r w:rsidRPr="00884902">
        <w:rPr>
          <w:rFonts w:ascii="Times New Roman" w:hAnsi="Times New Roman" w:cs="Times New Roman"/>
          <w:sz w:val="24"/>
          <w:szCs w:val="24"/>
        </w:rPr>
        <w:t>naudas plūsmas aktīvu finansēšanai, nodokļiem vai bioloģisko aktīvu atjaunošanai pēc ražas novākšanas un meža izstrādes (piemēram, koku stādījumu atjaunošanas izmaksas stādītā mežā pēc meža izstrādes).</w:t>
      </w:r>
    </w:p>
    <w:p w14:paraId="2E3DAC19" w14:textId="77777777" w:rsidR="00ED62E9"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390</w:t>
      </w:r>
      <w:r w:rsidRPr="00BB1A6A">
        <w:rPr>
          <w:rFonts w:ascii="Times New Roman" w:hAnsi="Times New Roman" w:cs="Times New Roman"/>
          <w:sz w:val="24"/>
          <w:szCs w:val="24"/>
        </w:rPr>
        <w:t>. Bioloģiskie aktīvi bieži ir fiziski saistīti ar zemi, piemēram, koki stādītā mežā. Bioloģiskajiem aktīviem, kuri ir saistīti ar zemi, var nebūt atsevišķs tirgus, bet var pastāvēt aktīvs tirgus apvienotiem aktīviem, tas ir, bioloģiskajiem aktīviem, neapstrādātai zemei un zemes uzlabojumiem kopumā. Budžeta iestāde var izmantot informāciju par apvienotajiem aktīviem, lai noteiktu bioloģisko aktīvu patieso vērtību. Piemēram, neapstrādātas zemes un zemes uzlabojumu patieso vērtību var atskaitīt no apvienoto aktīvu patiesās vērtības, lai iegūtu bioloģisko aktīvu patieso vērtību.</w:t>
      </w:r>
    </w:p>
    <w:p w14:paraId="0EFFF441" w14:textId="77777777" w:rsidR="0075773F" w:rsidRDefault="0075773F" w:rsidP="00CD363C">
      <w:pPr>
        <w:spacing w:after="0" w:line="240" w:lineRule="auto"/>
        <w:ind w:right="-142"/>
        <w:jc w:val="both"/>
        <w:rPr>
          <w:rFonts w:ascii="Times New Roman" w:hAnsi="Times New Roman" w:cs="Times New Roman"/>
          <w:b/>
          <w:sz w:val="24"/>
          <w:szCs w:val="24"/>
        </w:rPr>
      </w:pPr>
    </w:p>
    <w:p w14:paraId="0C4A2BCC"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12.2.</w:t>
      </w:r>
      <w:r>
        <w:rPr>
          <w:rFonts w:ascii="Times New Roman" w:hAnsi="Times New Roman" w:cs="Times New Roman"/>
          <w:b/>
          <w:sz w:val="24"/>
          <w:szCs w:val="24"/>
        </w:rPr>
        <w:t xml:space="preserve"> </w:t>
      </w:r>
      <w:r w:rsidRPr="00B375D4">
        <w:rPr>
          <w:rFonts w:ascii="Times New Roman" w:hAnsi="Times New Roman" w:cs="Times New Roman"/>
          <w:b/>
          <w:sz w:val="24"/>
          <w:szCs w:val="24"/>
        </w:rPr>
        <w:t>Bioloģisko aktīvu turpmākā novērtēšana</w:t>
      </w:r>
    </w:p>
    <w:p w14:paraId="147EDDD8" w14:textId="77777777" w:rsidR="00B375D4" w:rsidRPr="00B375D4" w:rsidRDefault="00B375D4" w:rsidP="00CD363C">
      <w:pPr>
        <w:spacing w:after="0" w:line="240" w:lineRule="auto"/>
        <w:ind w:right="-142"/>
        <w:jc w:val="both"/>
        <w:rPr>
          <w:rFonts w:ascii="Times New Roman" w:hAnsi="Times New Roman" w:cs="Times New Roman"/>
          <w:b/>
          <w:sz w:val="24"/>
          <w:szCs w:val="24"/>
        </w:rPr>
      </w:pPr>
    </w:p>
    <w:p w14:paraId="62116BCD" w14:textId="77777777" w:rsidR="00B375D4"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1. Bioloģiskos aktīvus pēc sākotnējās atzīšanas turpmāk novērtē (uzskaita) pēc zemāk uzrādītajiem uzskaites principiem; nolietojumu bioloģiskajiem aktīviem neaprēķina.</w:t>
      </w:r>
    </w:p>
    <w:p w14:paraId="51618A7D" w14:textId="77777777" w:rsidR="00B375D4" w:rsidRDefault="00B375D4" w:rsidP="00CD363C">
      <w:pPr>
        <w:spacing w:after="0" w:line="240" w:lineRule="auto"/>
        <w:ind w:right="-142"/>
        <w:jc w:val="both"/>
        <w:rPr>
          <w:rFonts w:ascii="Times New Roman" w:hAnsi="Times New Roman" w:cs="Times New Roman"/>
          <w:b/>
          <w:i/>
          <w:color w:val="4472C4" w:themeColor="accent1"/>
          <w:sz w:val="24"/>
          <w:szCs w:val="24"/>
        </w:rPr>
      </w:pPr>
      <w:r w:rsidRPr="00B375D4">
        <w:rPr>
          <w:rFonts w:ascii="Times New Roman" w:hAnsi="Times New Roman" w:cs="Times New Roman"/>
          <w:b/>
          <w:i/>
          <w:color w:val="4472C4" w:themeColor="accent1"/>
          <w:sz w:val="24"/>
          <w:szCs w:val="24"/>
        </w:rPr>
        <w:t xml:space="preserve"> Bioloģiskie aktīvi, kas tiek uzskaitīti kontu grupā 1600 “Bioloģiskie aktīvi lauksaimnieciskajai darbībai” </w:t>
      </w:r>
    </w:p>
    <w:p w14:paraId="260AB048" w14:textId="77777777" w:rsidR="00B375D4" w:rsidRPr="00BB1A6A" w:rsidRDefault="00B375D4" w:rsidP="00CD363C">
      <w:pPr>
        <w:spacing w:after="0" w:line="240" w:lineRule="auto"/>
        <w:ind w:right="-142"/>
        <w:jc w:val="both"/>
        <w:rPr>
          <w:rFonts w:ascii="Times New Roman" w:hAnsi="Times New Roman" w:cs="Times New Roman"/>
          <w:sz w:val="24"/>
          <w:szCs w:val="24"/>
        </w:rPr>
      </w:pPr>
      <w:r w:rsidRPr="00B375D4">
        <w:rPr>
          <w:rFonts w:ascii="Times New Roman" w:hAnsi="Times New Roman" w:cs="Times New Roman"/>
          <w:sz w:val="24"/>
          <w:szCs w:val="24"/>
        </w:rPr>
        <w:t>392.</w:t>
      </w:r>
      <w:r w:rsidRPr="00BB1A6A">
        <w:rPr>
          <w:rFonts w:ascii="Times New Roman" w:hAnsi="Times New Roman" w:cs="Times New Roman"/>
          <w:sz w:val="24"/>
          <w:szCs w:val="24"/>
        </w:rPr>
        <w:t xml:space="preserve">Pēc sākotnējās atzīšanas budžeta iestāde katra pārskata perioda beigās bioloģiskos aktīvus, kurus paredzēts izmantot lauksaimnieciskajā darbībā, novērtē sekojoši: </w:t>
      </w:r>
    </w:p>
    <w:p w14:paraId="03198FF4"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392.1.</w:t>
      </w:r>
      <w:r w:rsidRPr="00884902">
        <w:rPr>
          <w:rFonts w:ascii="Times New Roman" w:hAnsi="Times New Roman" w:cs="Times New Roman"/>
          <w:sz w:val="24"/>
          <w:szCs w:val="24"/>
        </w:rPr>
        <w:t xml:space="preserve">mežaudzes – Meža valsts reģistrā norādītajā pilnajā vērtībā; </w:t>
      </w:r>
    </w:p>
    <w:p w14:paraId="06B4364C"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392.2.</w:t>
      </w:r>
      <w:r w:rsidRPr="00884902">
        <w:rPr>
          <w:rFonts w:ascii="Times New Roman" w:hAnsi="Times New Roman" w:cs="Times New Roman"/>
          <w:sz w:val="24"/>
          <w:szCs w:val="24"/>
        </w:rPr>
        <w:t>pārējos bioloģiskos aktīvus – patiesajā vērtībā, atskaitot atsavināšanas izmaksas.</w:t>
      </w:r>
    </w:p>
    <w:p w14:paraId="4A93ACFF"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 xml:space="preserve">3. Starpību starp bioloģiskā aktīva, kuru paredzēts izmantot lauksaimnieciskajā darbībā, uzskaites vērtību un patieso vērtību (vai mežaudzes gadījumā – Meža valsts reģistra noteikto vērtību) pārskata perioda beigās atzīst pārskata perioda pamatdarbības ieņēmumos vai izdevumos. </w:t>
      </w:r>
    </w:p>
    <w:p w14:paraId="1E6083A1"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4. Gadījumā, ja pārskata perioda beigās bioloģiskā aktīva, kuru paredzēts izmantot lauksaimnieciskajā darbībā, uzskaites vērtība ir mazāka par patieso vērtību (vai mežaudzes gadījumā – Meža valsts reģistra norādīto pilno vērtību), budžeta iestāde atzīst bioloģiskā aktīva vērtības izmaiņas (palielinājumu) pamatdarbības ieņēmumos pārskata datumā, veicot sekojošu grāmatojumu:</w:t>
      </w:r>
    </w:p>
    <w:p w14:paraId="77A6693D"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375D4">
        <w:rPr>
          <w:rFonts w:ascii="Times New Roman" w:hAnsi="Times New Roman" w:cs="Times New Roman"/>
          <w:b/>
          <w:sz w:val="24"/>
          <w:szCs w:val="24"/>
        </w:rPr>
        <w:t xml:space="preserve">D 1600 Bioloģiskie aktīvi lauksaimnieciskajai darbībai </w:t>
      </w:r>
    </w:p>
    <w:p w14:paraId="46203A60"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6000 Pamatdarbības ieņēmumi </w:t>
      </w:r>
    </w:p>
    <w:p w14:paraId="5D6C6065"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D 1611 Mežaudzes lauksaimnieciskajai darbībai </w:t>
      </w:r>
    </w:p>
    <w:p w14:paraId="21BAF5A2"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6000 Pamatdarbības ieņēmumi </w:t>
      </w:r>
    </w:p>
    <w:p w14:paraId="1C6E13C2"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 xml:space="preserve">5. Gadījumā, ja pārskata perioda beigās bioloģiskā aktīva, kuru paredzēts izmantot lauksaimnieciskajā darbībā, uzskaites vērtība ir lielāka par patieso vērtību (vai mežaudzes gadījumā – Meža valsts reģistra norādīto pilno vērtību), budžeta iestāde atzīst bioloģiskā aktīva vērtības izmaiņas (samazinājumu) pamatdarbības izdevumos pārskata datumā, veicot sekojošu grāmatojumu: </w:t>
      </w:r>
    </w:p>
    <w:p w14:paraId="45F8AD07"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 xml:space="preserve">D 7000 Pamatdarbības izdevumi </w:t>
      </w:r>
    </w:p>
    <w:p w14:paraId="7012BE2E"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 xml:space="preserve">K 1600 Bioloģiskie aktīvi lauksaimnieciskajai darbībai </w:t>
      </w:r>
    </w:p>
    <w:p w14:paraId="1A16E658"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 xml:space="preserve">D 7000 Pamatdarbības izdevumi </w:t>
      </w:r>
    </w:p>
    <w:p w14:paraId="7B8F8CB7" w14:textId="77777777" w:rsid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K 1611 Mežaudzes lauksaimnieciskajai darbībai</w:t>
      </w:r>
    </w:p>
    <w:p w14:paraId="4D164503" w14:textId="77777777" w:rsidR="00B375D4" w:rsidRPr="00B375D4" w:rsidRDefault="00B375D4" w:rsidP="00CD363C">
      <w:pPr>
        <w:spacing w:after="0" w:line="240" w:lineRule="auto"/>
        <w:ind w:right="-142"/>
        <w:jc w:val="both"/>
        <w:rPr>
          <w:rFonts w:ascii="Times New Roman" w:hAnsi="Times New Roman" w:cs="Times New Roman"/>
          <w:b/>
          <w:i/>
          <w:color w:val="4472C4" w:themeColor="accent1"/>
          <w:sz w:val="24"/>
          <w:szCs w:val="24"/>
        </w:rPr>
      </w:pPr>
      <w:r w:rsidRPr="00B375D4">
        <w:rPr>
          <w:rFonts w:ascii="Times New Roman" w:hAnsi="Times New Roman" w:cs="Times New Roman"/>
          <w:b/>
          <w:i/>
          <w:color w:val="4472C4" w:themeColor="accent1"/>
          <w:sz w:val="24"/>
          <w:szCs w:val="24"/>
        </w:rPr>
        <w:t>Bioloģiskie aktīvi, kas tiek uzskaitīti kontu grupā 1260 “Bioloģiskie un pazemes aktīvi”</w:t>
      </w:r>
    </w:p>
    <w:p w14:paraId="6A6259BB"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6. Bioloģiskos aktīvus – augus un dzīvniekus, kurus paredzēts izmantot zinātniskās pētniecības, izglītības, transporta, izklaides vai atpūtas vai drošības un kontroles mērķiem, – uzskaita pamatlīdzekļu sastāvā un turpmāk novērtē saskaņā ar pamatlīdzekļu uzskaites pamatprincipiem.</w:t>
      </w:r>
    </w:p>
    <w:p w14:paraId="5A194C60"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7. Mežaudzēm, kuras paredzētas zinātniskās pētniecības, izglītības, transporta, izklaides vai atpūtas vai drošības un kontroles mērķiem un sākotnēji atzītas, pamatojoties uz Meža valsts reģistra datiem, budžeta iestāde šo mežaudžu uzskaites vērtību:</w:t>
      </w:r>
    </w:p>
    <w:p w14:paraId="1793D8DE"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397.1.</w:t>
      </w:r>
      <w:r w:rsidRPr="00884902">
        <w:rPr>
          <w:rFonts w:ascii="Times New Roman" w:hAnsi="Times New Roman" w:cs="Times New Roman"/>
          <w:sz w:val="24"/>
          <w:szCs w:val="24"/>
        </w:rPr>
        <w:t xml:space="preserve">aktualizē atbilstoši Meža valsts reģistrā norādītajai pilnajai vērtībai, veicot meža inventarizāciju Meža likumā noteiktajā kārtībā; </w:t>
      </w:r>
    </w:p>
    <w:p w14:paraId="1DF375E5"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397.2.</w:t>
      </w:r>
      <w:r w:rsidRPr="00884902">
        <w:rPr>
          <w:rFonts w:ascii="Times New Roman" w:hAnsi="Times New Roman" w:cs="Times New Roman"/>
          <w:sz w:val="24"/>
          <w:szCs w:val="24"/>
        </w:rPr>
        <w:t xml:space="preserve">starpību starp uzskaites vērtību un Meža valsts reģistrā norādīto pilno vērtību atzīst pārskata perioda pamatdarbības ieņēmumos vai izdevumos: </w:t>
      </w:r>
    </w:p>
    <w:p w14:paraId="1FFEA357" w14:textId="77777777" w:rsidR="00B375D4" w:rsidRPr="00BB1A6A" w:rsidRDefault="00B375D4"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Gadījumā, ja pārskata perioda beigās mežaudzes uzskaites vērtība ir mazāka par Meža valsts reģistrā norādīto vērtību, budžeta iestāde atzīst mežaudzes vērtības palielinājumu pamatdarbības ieņēmumos pārskata datumā: </w:t>
      </w:r>
    </w:p>
    <w:p w14:paraId="06CD0F95"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375D4">
        <w:rPr>
          <w:rFonts w:ascii="Times New Roman" w:hAnsi="Times New Roman" w:cs="Times New Roman"/>
          <w:b/>
          <w:sz w:val="24"/>
          <w:szCs w:val="24"/>
        </w:rPr>
        <w:t xml:space="preserve">D 1263 Mežaudzes </w:t>
      </w:r>
    </w:p>
    <w:p w14:paraId="03DB8BD8"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6000 Pamatdarbības ieņēmumi </w:t>
      </w:r>
    </w:p>
    <w:p w14:paraId="1890803D" w14:textId="77777777" w:rsidR="00B375D4" w:rsidRPr="00BB1A6A" w:rsidRDefault="00B375D4"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Gadījumā, ja pārskata perioda beigās mežaudzes uzskaites vērtība ir lielāka par Meža valsts reģistrā norādīto pilno vērtību, budžeta iestāde atzīst mežaudzes uzskaites vērtības samazinājumu un pamatdarbības izdevumus pārskata datumā: </w:t>
      </w:r>
    </w:p>
    <w:p w14:paraId="7A94626C"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375D4">
        <w:rPr>
          <w:rFonts w:ascii="Times New Roman" w:hAnsi="Times New Roman" w:cs="Times New Roman"/>
          <w:b/>
          <w:sz w:val="24"/>
          <w:szCs w:val="24"/>
        </w:rPr>
        <w:t xml:space="preserve">D 7000 Pamatdarbības izdevumi </w:t>
      </w:r>
    </w:p>
    <w:p w14:paraId="2990C744"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1263 Mežaudzes</w:t>
      </w:r>
    </w:p>
    <w:p w14:paraId="32394343"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398</w:t>
      </w:r>
      <w:r w:rsidRPr="00BB1A6A">
        <w:rPr>
          <w:rFonts w:ascii="Times New Roman" w:hAnsi="Times New Roman" w:cs="Times New Roman"/>
          <w:sz w:val="24"/>
          <w:szCs w:val="24"/>
        </w:rPr>
        <w:t xml:space="preserve">. Budžeta iestāde mežaudzes uzskaites vērtību samazina atbilstoši budžeta iestādes grāmatvedības uzskaites kārtībā noteiktajai metodei un starpību atzīst pārskata perioda pamatdarbības izdevumos, veicot sekojošu grāmatojumu: </w:t>
      </w:r>
    </w:p>
    <w:p w14:paraId="59D626B9"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D 7000 Pamatdarbības izdevumi </w:t>
      </w:r>
    </w:p>
    <w:p w14:paraId="079868B1" w14:textId="77777777" w:rsid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1263 Mežaudzes</w:t>
      </w:r>
    </w:p>
    <w:p w14:paraId="7CF50DD6" w14:textId="77777777" w:rsidR="00B025B5" w:rsidRDefault="00B025B5" w:rsidP="00CD363C">
      <w:pPr>
        <w:spacing w:after="0" w:line="240" w:lineRule="auto"/>
        <w:ind w:right="-142"/>
        <w:jc w:val="both"/>
        <w:rPr>
          <w:rFonts w:ascii="Times New Roman" w:hAnsi="Times New Roman" w:cs="Times New Roman"/>
          <w:b/>
          <w:i/>
          <w:color w:val="4472C4" w:themeColor="accent1"/>
          <w:sz w:val="24"/>
          <w:szCs w:val="24"/>
        </w:rPr>
      </w:pPr>
      <w:r w:rsidRPr="00B025B5">
        <w:rPr>
          <w:rFonts w:ascii="Times New Roman" w:hAnsi="Times New Roman" w:cs="Times New Roman"/>
          <w:b/>
          <w:i/>
          <w:color w:val="4472C4" w:themeColor="accent1"/>
          <w:sz w:val="24"/>
          <w:szCs w:val="24"/>
        </w:rPr>
        <w:t>Bioloģisko aktīvu produkti</w:t>
      </w:r>
    </w:p>
    <w:p w14:paraId="6020CC24" w14:textId="77777777" w:rsidR="00B025B5" w:rsidRPr="00B025B5" w:rsidRDefault="00B025B5"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B025B5">
        <w:rPr>
          <w:rFonts w:ascii="Times New Roman" w:hAnsi="Times New Roman" w:cs="Times New Roman"/>
          <w:i/>
          <w:sz w:val="24"/>
          <w:szCs w:val="24"/>
        </w:rPr>
        <w:t>399.</w:t>
      </w:r>
      <w:r w:rsidRPr="00B025B5">
        <w:rPr>
          <w:rFonts w:ascii="Times New Roman" w:hAnsi="Times New Roman" w:cs="Times New Roman"/>
          <w:sz w:val="24"/>
          <w:szCs w:val="24"/>
        </w:rPr>
        <w:t xml:space="preserve"> Zemāk norādītie bioloģisko aktīvu produktu sākotnējās atzīšanas principi attiecas uz produktiem, kas iegūti gan no tiem bioloģiskajiem aktīviem, kas tiek uzskaitīti kontu grupā 1600 “Bioloģiskie aktīvi lauksaimnieciskajai darbībai”, gan no tiem bioloģiskajiem aktīviem, kas tiek uzskaitīti kontu grupā 1260 “Bioloģiskie un pazemes</w:t>
      </w:r>
      <w:r w:rsidRPr="00B025B5">
        <w:rPr>
          <w:rFonts w:ascii="Times New Roman" w:hAnsi="Times New Roman" w:cs="Times New Roman"/>
          <w:spacing w:val="-3"/>
          <w:sz w:val="24"/>
          <w:szCs w:val="24"/>
        </w:rPr>
        <w:t xml:space="preserve"> </w:t>
      </w:r>
      <w:r w:rsidRPr="00B025B5">
        <w:rPr>
          <w:rFonts w:ascii="Times New Roman" w:hAnsi="Times New Roman" w:cs="Times New Roman"/>
          <w:sz w:val="24"/>
          <w:szCs w:val="24"/>
        </w:rPr>
        <w:t>aktīvi”.</w:t>
      </w:r>
    </w:p>
    <w:p w14:paraId="65447597" w14:textId="77777777" w:rsidR="00B025B5" w:rsidRPr="00B025B5" w:rsidRDefault="00B025B5" w:rsidP="00CD363C">
      <w:pPr>
        <w:widowControl w:val="0"/>
        <w:tabs>
          <w:tab w:val="left" w:pos="898"/>
        </w:tabs>
        <w:autoSpaceDE w:val="0"/>
        <w:autoSpaceDN w:val="0"/>
        <w:spacing w:after="0" w:line="240" w:lineRule="auto"/>
        <w:ind w:right="-142" w:firstLine="142"/>
        <w:jc w:val="both"/>
        <w:rPr>
          <w:rFonts w:ascii="Times New Roman" w:hAnsi="Times New Roman" w:cs="Times New Roman"/>
          <w:sz w:val="24"/>
          <w:szCs w:val="24"/>
        </w:rPr>
      </w:pPr>
      <w:r w:rsidRPr="00B025B5">
        <w:rPr>
          <w:rFonts w:ascii="Times New Roman" w:hAnsi="Times New Roman" w:cs="Times New Roman"/>
          <w:sz w:val="24"/>
          <w:szCs w:val="24"/>
        </w:rPr>
        <w:t xml:space="preserve">400.Lauksaimniecības produkts, kas novākts no budžeta iestādes bioloģiskajiem aktīviem, jānovērtē tā patiesajā vērtībā, no kuras atskaitītas atsavināšanas izmaksas ražas novākšanas dienā vai meža izstrādes dienā. Šis novērtējums tiek veikts lauksaimniecības produkta sākotnējās atzīšanas datumā saskaņā ar </w:t>
      </w:r>
      <w:r>
        <w:rPr>
          <w:rFonts w:ascii="Times New Roman" w:hAnsi="Times New Roman" w:cs="Times New Roman"/>
          <w:sz w:val="24"/>
          <w:szCs w:val="24"/>
        </w:rPr>
        <w:t xml:space="preserve">Grāmatvedības uzskaites kārtības </w:t>
      </w:r>
      <w:r w:rsidRPr="00B025B5">
        <w:rPr>
          <w:rFonts w:ascii="Times New Roman" w:hAnsi="Times New Roman" w:cs="Times New Roman"/>
          <w:sz w:val="24"/>
          <w:szCs w:val="24"/>
        </w:rPr>
        <w:t>sadaļā</w:t>
      </w:r>
      <w:r w:rsidRPr="00B025B5">
        <w:rPr>
          <w:rFonts w:ascii="Times New Roman" w:hAnsi="Times New Roman" w:cs="Times New Roman"/>
          <w:color w:val="0462C1"/>
          <w:sz w:val="24"/>
          <w:szCs w:val="24"/>
        </w:rPr>
        <w:t xml:space="preserve"> </w:t>
      </w:r>
      <w:r w:rsidRPr="00B025B5">
        <w:rPr>
          <w:rFonts w:ascii="Times New Roman" w:hAnsi="Times New Roman" w:cs="Times New Roman"/>
          <w:color w:val="0462C1"/>
          <w:sz w:val="24"/>
          <w:szCs w:val="24"/>
          <w:u w:val="single" w:color="0462C1"/>
        </w:rPr>
        <w:t>“</w:t>
      </w:r>
      <w:hyperlink w:anchor="_bookmark154" w:history="1">
        <w:r w:rsidRPr="00B025B5">
          <w:rPr>
            <w:rFonts w:ascii="Times New Roman" w:hAnsi="Times New Roman" w:cs="Times New Roman"/>
            <w:color w:val="0462C1"/>
            <w:sz w:val="24"/>
            <w:szCs w:val="24"/>
            <w:u w:val="single" w:color="0462C1"/>
          </w:rPr>
          <w:t>Krājumu uzskaite</w:t>
        </w:r>
      </w:hyperlink>
      <w:r w:rsidRPr="00B025B5">
        <w:rPr>
          <w:rFonts w:ascii="Times New Roman" w:hAnsi="Times New Roman" w:cs="Times New Roman"/>
          <w:color w:val="0462C1"/>
          <w:sz w:val="24"/>
          <w:szCs w:val="24"/>
          <w:u w:val="single" w:color="0462C1"/>
        </w:rPr>
        <w:t>”</w:t>
      </w:r>
      <w:r w:rsidRPr="00B025B5">
        <w:rPr>
          <w:rFonts w:ascii="Times New Roman" w:hAnsi="Times New Roman" w:cs="Times New Roman"/>
          <w:color w:val="0462C1"/>
          <w:sz w:val="24"/>
          <w:szCs w:val="24"/>
        </w:rPr>
        <w:t xml:space="preserve"> </w:t>
      </w:r>
      <w:r w:rsidRPr="00B025B5">
        <w:rPr>
          <w:rFonts w:ascii="Times New Roman" w:hAnsi="Times New Roman" w:cs="Times New Roman"/>
          <w:sz w:val="24"/>
          <w:szCs w:val="24"/>
        </w:rPr>
        <w:t>noteiktajiem uzskaites</w:t>
      </w:r>
      <w:r w:rsidRPr="00B025B5">
        <w:rPr>
          <w:rFonts w:ascii="Times New Roman" w:hAnsi="Times New Roman" w:cs="Times New Roman"/>
          <w:spacing w:val="-11"/>
          <w:sz w:val="24"/>
          <w:szCs w:val="24"/>
        </w:rPr>
        <w:t xml:space="preserve"> </w:t>
      </w:r>
      <w:r w:rsidRPr="00B025B5">
        <w:rPr>
          <w:rFonts w:ascii="Times New Roman" w:hAnsi="Times New Roman" w:cs="Times New Roman"/>
          <w:sz w:val="24"/>
          <w:szCs w:val="24"/>
        </w:rPr>
        <w:t>principiem.</w:t>
      </w:r>
    </w:p>
    <w:p w14:paraId="0E600D02" w14:textId="77777777" w:rsidR="00B025B5" w:rsidRPr="00B025B5" w:rsidRDefault="00B025B5"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B025B5">
        <w:rPr>
          <w:rFonts w:ascii="Times New Roman" w:hAnsi="Times New Roman" w:cs="Times New Roman"/>
          <w:sz w:val="24"/>
          <w:szCs w:val="24"/>
        </w:rPr>
        <w:t>401.Uzskaitot lauksaimniecības produktu, kas novākts no bioloģiskā aktīva, budžeta iestāde sākotnēji atzīst krājumus un ieņēmumus novāktā lauksaimniecības produkta patiesajā vērtībā, atskaitot atsavināšanas izmaksas, veicot sekojošu</w:t>
      </w:r>
      <w:r w:rsidRPr="00B025B5">
        <w:rPr>
          <w:rFonts w:ascii="Times New Roman" w:hAnsi="Times New Roman" w:cs="Times New Roman"/>
          <w:spacing w:val="-3"/>
          <w:sz w:val="24"/>
          <w:szCs w:val="24"/>
        </w:rPr>
        <w:t xml:space="preserve"> </w:t>
      </w:r>
      <w:r w:rsidRPr="00B025B5">
        <w:rPr>
          <w:rFonts w:ascii="Times New Roman" w:hAnsi="Times New Roman" w:cs="Times New Roman"/>
          <w:sz w:val="24"/>
          <w:szCs w:val="24"/>
        </w:rPr>
        <w:t>grāmatojumu:</w:t>
      </w:r>
    </w:p>
    <w:p w14:paraId="15DFAF77" w14:textId="77777777" w:rsidR="00B025B5" w:rsidRDefault="00B025B5" w:rsidP="00CD363C">
      <w:pPr>
        <w:pStyle w:val="Pamatteksts"/>
        <w:ind w:right="-142"/>
        <w:jc w:val="both"/>
        <w:rPr>
          <w:sz w:val="13"/>
        </w:rPr>
      </w:pPr>
    </w:p>
    <w:p w14:paraId="415B2260" w14:textId="77777777" w:rsidR="00B375D4" w:rsidRPr="00B025B5" w:rsidRDefault="00B025B5" w:rsidP="00CD363C">
      <w:pPr>
        <w:spacing w:after="0" w:line="240" w:lineRule="auto"/>
        <w:ind w:right="-142"/>
        <w:jc w:val="both"/>
        <w:rPr>
          <w:rFonts w:ascii="Times New Roman" w:hAnsi="Times New Roman" w:cs="Times New Roman"/>
          <w:b/>
          <w:sz w:val="24"/>
          <w:szCs w:val="24"/>
        </w:rPr>
      </w:pPr>
      <w:r w:rsidRPr="00B025B5">
        <w:rPr>
          <w:rFonts w:ascii="Times New Roman" w:hAnsi="Times New Roman" w:cs="Times New Roman"/>
          <w:b/>
          <w:sz w:val="24"/>
          <w:szCs w:val="24"/>
        </w:rPr>
        <w:t xml:space="preserve">    D 2140 Bioloģisko aktīvu produkti un krājumi to uzturēšanai</w:t>
      </w:r>
    </w:p>
    <w:p w14:paraId="604294EA" w14:textId="77777777" w:rsidR="00B025B5" w:rsidRDefault="00B025B5" w:rsidP="00CD363C">
      <w:pPr>
        <w:spacing w:after="0" w:line="240" w:lineRule="auto"/>
        <w:ind w:right="-142"/>
        <w:jc w:val="both"/>
        <w:rPr>
          <w:rFonts w:ascii="Times New Roman" w:hAnsi="Times New Roman" w:cs="Times New Roman"/>
          <w:b/>
          <w:sz w:val="24"/>
          <w:szCs w:val="24"/>
        </w:rPr>
      </w:pPr>
      <w:r w:rsidRPr="00B025B5">
        <w:rPr>
          <w:rFonts w:ascii="Times New Roman" w:hAnsi="Times New Roman" w:cs="Times New Roman"/>
          <w:b/>
          <w:sz w:val="24"/>
          <w:szCs w:val="24"/>
        </w:rPr>
        <w:t xml:space="preserve">    K  6000 Pamatdarbības ieņēmumi</w:t>
      </w:r>
    </w:p>
    <w:p w14:paraId="7557BF41" w14:textId="77777777" w:rsidR="00D2408D" w:rsidRDefault="00D2408D" w:rsidP="00CD363C">
      <w:pPr>
        <w:pStyle w:val="Virsraksts4"/>
        <w:tabs>
          <w:tab w:val="left" w:pos="759"/>
        </w:tabs>
        <w:spacing w:before="0"/>
        <w:ind w:left="0" w:right="-142"/>
        <w:jc w:val="both"/>
      </w:pPr>
      <w:r>
        <w:rPr>
          <w:color w:val="002069"/>
        </w:rPr>
        <w:t>Piemērs – mežaudzes turpmākā novērtēšana un kokmateriālu krājumu</w:t>
      </w:r>
      <w:r>
        <w:rPr>
          <w:color w:val="002069"/>
          <w:spacing w:val="-11"/>
        </w:rPr>
        <w:t xml:space="preserve"> </w:t>
      </w:r>
      <w:r>
        <w:rPr>
          <w:color w:val="002069"/>
        </w:rPr>
        <w:t>atzīšana</w:t>
      </w:r>
    </w:p>
    <w:p w14:paraId="4251102F" w14:textId="77777777" w:rsidR="00D2408D" w:rsidRDefault="00D2408D" w:rsidP="00CD363C">
      <w:pPr>
        <w:pStyle w:val="Pamatteksts"/>
        <w:ind w:right="-142"/>
        <w:jc w:val="both"/>
      </w:pPr>
      <w:r>
        <w:t>Budžeta iestādes īpašumā ir mežaudze, kas tiek izmantota lauksaimnieciskajā darbībā un kas uzskaitīta kontu grupā 1611 “Mežaudzes lauksaimnieciskajai darbībai”. Pārskata periodā budžeta iestāde plāno veikt meža izstrādi 50 m</w:t>
      </w:r>
      <w:r>
        <w:rPr>
          <w:position w:val="8"/>
          <w:sz w:val="14"/>
        </w:rPr>
        <w:t xml:space="preserve">3 </w:t>
      </w:r>
      <w:r>
        <w:t>mežaudzes apjomā. Budžeta iestāde ir noslēgusi līgumu par kokmateriālu realizāciju</w:t>
      </w:r>
      <w:r>
        <w:rPr>
          <w:spacing w:val="-8"/>
        </w:rPr>
        <w:t xml:space="preserve"> </w:t>
      </w:r>
      <w:r>
        <w:t>–</w:t>
      </w:r>
      <w:r>
        <w:rPr>
          <w:spacing w:val="-11"/>
        </w:rPr>
        <w:t xml:space="preserve"> </w:t>
      </w:r>
      <w:r>
        <w:t>līgums</w:t>
      </w:r>
      <w:r>
        <w:rPr>
          <w:spacing w:val="-8"/>
        </w:rPr>
        <w:t xml:space="preserve"> </w:t>
      </w:r>
      <w:r>
        <w:t>noslēgts</w:t>
      </w:r>
      <w:r>
        <w:rPr>
          <w:spacing w:val="-7"/>
        </w:rPr>
        <w:t xml:space="preserve"> </w:t>
      </w:r>
      <w:r>
        <w:t>par</w:t>
      </w:r>
      <w:r>
        <w:rPr>
          <w:spacing w:val="-7"/>
        </w:rPr>
        <w:t xml:space="preserve"> </w:t>
      </w:r>
      <w:r>
        <w:t>40</w:t>
      </w:r>
      <w:r>
        <w:rPr>
          <w:spacing w:val="-9"/>
        </w:rPr>
        <w:t xml:space="preserve"> </w:t>
      </w:r>
      <w:r>
        <w:t>m</w:t>
      </w:r>
      <w:r>
        <w:rPr>
          <w:position w:val="8"/>
          <w:sz w:val="14"/>
        </w:rPr>
        <w:t>3</w:t>
      </w:r>
      <w:r>
        <w:rPr>
          <w:spacing w:val="-4"/>
          <w:position w:val="8"/>
          <w:sz w:val="14"/>
        </w:rPr>
        <w:t xml:space="preserve"> </w:t>
      </w:r>
      <w:r>
        <w:t>kokmateriālu</w:t>
      </w:r>
      <w:r>
        <w:rPr>
          <w:spacing w:val="-9"/>
        </w:rPr>
        <w:t xml:space="preserve"> </w:t>
      </w:r>
      <w:r>
        <w:t>pārdošanu</w:t>
      </w:r>
      <w:r>
        <w:rPr>
          <w:spacing w:val="-9"/>
        </w:rPr>
        <w:t xml:space="preserve"> </w:t>
      </w:r>
      <w:r>
        <w:t>par</w:t>
      </w:r>
      <w:r>
        <w:rPr>
          <w:spacing w:val="-9"/>
        </w:rPr>
        <w:t xml:space="preserve"> </w:t>
      </w:r>
      <w:r>
        <w:t>cenu</w:t>
      </w:r>
      <w:r>
        <w:rPr>
          <w:spacing w:val="-9"/>
        </w:rPr>
        <w:t xml:space="preserve"> </w:t>
      </w:r>
      <w:r>
        <w:t>19,80</w:t>
      </w:r>
      <w:r>
        <w:rPr>
          <w:spacing w:val="-9"/>
        </w:rPr>
        <w:t xml:space="preserve"> </w:t>
      </w:r>
      <w:r>
        <w:t>EUR/m</w:t>
      </w:r>
      <w:r>
        <w:rPr>
          <w:position w:val="8"/>
          <w:sz w:val="14"/>
        </w:rPr>
        <w:t>3</w:t>
      </w:r>
      <w:r>
        <w:t>.</w:t>
      </w:r>
      <w:r>
        <w:rPr>
          <w:spacing w:val="-9"/>
        </w:rPr>
        <w:t xml:space="preserve"> </w:t>
      </w:r>
      <w:r>
        <w:t>Atlikušos</w:t>
      </w:r>
      <w:r>
        <w:rPr>
          <w:spacing w:val="-7"/>
        </w:rPr>
        <w:t xml:space="preserve"> </w:t>
      </w:r>
      <w:r>
        <w:t>10</w:t>
      </w:r>
      <w:r>
        <w:rPr>
          <w:spacing w:val="-9"/>
        </w:rPr>
        <w:t xml:space="preserve"> </w:t>
      </w:r>
      <w:r>
        <w:t>m</w:t>
      </w:r>
      <w:r>
        <w:rPr>
          <w:position w:val="8"/>
          <w:sz w:val="14"/>
        </w:rPr>
        <w:t xml:space="preserve">3 </w:t>
      </w:r>
      <w:r>
        <w:t>kokmateriālu budžeta iestāde plāno izmantot savām vajadzībām, pārstrādājot tos apdares</w:t>
      </w:r>
      <w:r>
        <w:rPr>
          <w:spacing w:val="-15"/>
        </w:rPr>
        <w:t xml:space="preserve"> </w:t>
      </w:r>
      <w:r>
        <w:t>dēļos.</w:t>
      </w:r>
    </w:p>
    <w:p w14:paraId="3AE6A062" w14:textId="77777777" w:rsidR="00D2408D" w:rsidRDefault="00D2408D" w:rsidP="00CD363C">
      <w:pPr>
        <w:pStyle w:val="Pamatteksts"/>
        <w:ind w:right="-142"/>
        <w:jc w:val="both"/>
      </w:pPr>
      <w:r>
        <w:t>Pārskata</w:t>
      </w:r>
      <w:r>
        <w:rPr>
          <w:spacing w:val="-16"/>
        </w:rPr>
        <w:t xml:space="preserve"> </w:t>
      </w:r>
      <w:r>
        <w:t>periodā</w:t>
      </w:r>
      <w:r>
        <w:rPr>
          <w:spacing w:val="-14"/>
        </w:rPr>
        <w:t xml:space="preserve"> </w:t>
      </w:r>
      <w:r>
        <w:t>budžeta</w:t>
      </w:r>
      <w:r>
        <w:rPr>
          <w:spacing w:val="-16"/>
        </w:rPr>
        <w:t xml:space="preserve"> </w:t>
      </w:r>
      <w:r>
        <w:t>iestāde</w:t>
      </w:r>
      <w:r>
        <w:rPr>
          <w:spacing w:val="-14"/>
        </w:rPr>
        <w:t xml:space="preserve"> </w:t>
      </w:r>
      <w:r>
        <w:t>veic</w:t>
      </w:r>
      <w:r>
        <w:rPr>
          <w:spacing w:val="-14"/>
        </w:rPr>
        <w:t xml:space="preserve"> </w:t>
      </w:r>
      <w:r>
        <w:t>meža</w:t>
      </w:r>
      <w:r>
        <w:rPr>
          <w:spacing w:val="-13"/>
        </w:rPr>
        <w:t xml:space="preserve"> </w:t>
      </w:r>
      <w:r>
        <w:t>izstrādi</w:t>
      </w:r>
      <w:r>
        <w:rPr>
          <w:spacing w:val="-15"/>
        </w:rPr>
        <w:t xml:space="preserve"> </w:t>
      </w:r>
      <w:r>
        <w:t>50</w:t>
      </w:r>
      <w:r>
        <w:rPr>
          <w:spacing w:val="-17"/>
        </w:rPr>
        <w:t xml:space="preserve"> </w:t>
      </w:r>
      <w:r>
        <w:t>m</w:t>
      </w:r>
      <w:r>
        <w:rPr>
          <w:position w:val="8"/>
          <w:sz w:val="14"/>
        </w:rPr>
        <w:t>3</w:t>
      </w:r>
      <w:r>
        <w:rPr>
          <w:spacing w:val="8"/>
          <w:position w:val="8"/>
          <w:sz w:val="14"/>
        </w:rPr>
        <w:t xml:space="preserve"> </w:t>
      </w:r>
      <w:r>
        <w:t>mežaudzes</w:t>
      </w:r>
      <w:r>
        <w:rPr>
          <w:spacing w:val="-14"/>
        </w:rPr>
        <w:t xml:space="preserve"> </w:t>
      </w:r>
      <w:r>
        <w:t>apjomā.</w:t>
      </w:r>
      <w:r>
        <w:rPr>
          <w:spacing w:val="-13"/>
        </w:rPr>
        <w:t xml:space="preserve"> </w:t>
      </w:r>
      <w:r>
        <w:t>Kokmateriālu</w:t>
      </w:r>
      <w:r>
        <w:rPr>
          <w:spacing w:val="-14"/>
        </w:rPr>
        <w:t xml:space="preserve"> </w:t>
      </w:r>
      <w:r>
        <w:t>cena</w:t>
      </w:r>
      <w:r>
        <w:rPr>
          <w:spacing w:val="-15"/>
        </w:rPr>
        <w:t xml:space="preserve"> </w:t>
      </w:r>
      <w:r>
        <w:t>(patiesā vērtība, atskaitot atsavināšanas izmaksas) meža izstrādes dienā – 16,90</w:t>
      </w:r>
      <w:r>
        <w:rPr>
          <w:spacing w:val="-3"/>
        </w:rPr>
        <w:t xml:space="preserve"> </w:t>
      </w:r>
      <w:r>
        <w:t>EUR/m</w:t>
      </w:r>
      <w:r>
        <w:rPr>
          <w:position w:val="8"/>
          <w:sz w:val="14"/>
        </w:rPr>
        <w:t>3</w:t>
      </w:r>
      <w:r>
        <w:t>.</w:t>
      </w:r>
    </w:p>
    <w:p w14:paraId="3CA3AA1E" w14:textId="77777777" w:rsidR="00D2408D" w:rsidRDefault="00D2408D" w:rsidP="00CD363C">
      <w:pPr>
        <w:pStyle w:val="Pamatteksts"/>
        <w:ind w:right="-142"/>
        <w:jc w:val="both"/>
      </w:pPr>
      <w:r>
        <w:t>Budžeta iestāde meža izstrādes rezultātā iegūtos kokmateriālus sākotnēji uzskaita krājumu sastāvā patiesajā vērtībā, atskaitot atsavināšanas izmaksas.</w:t>
      </w:r>
    </w:p>
    <w:p w14:paraId="6DC2048E" w14:textId="77777777" w:rsidR="00D2408D" w:rsidRDefault="00D2408D" w:rsidP="00CD363C">
      <w:pPr>
        <w:pStyle w:val="Pamatteksts"/>
        <w:ind w:right="-142"/>
        <w:jc w:val="both"/>
        <w:rPr>
          <w:i/>
        </w:rPr>
      </w:pPr>
      <w:r>
        <w:t xml:space="preserve">Krājumu patiesā vērtība meža izstrādes dienā, atskaitot atsavināšanas izmaksas, ir 845,00 EUR </w:t>
      </w:r>
      <w:r>
        <w:rPr>
          <w:i/>
        </w:rPr>
        <w:t>(845 EUR</w:t>
      </w:r>
    </w:p>
    <w:p w14:paraId="4735BC9D" w14:textId="77777777" w:rsidR="00D2408D" w:rsidRDefault="00D2408D" w:rsidP="00CD363C">
      <w:pPr>
        <w:spacing w:after="0" w:line="240" w:lineRule="auto"/>
        <w:ind w:left="218" w:right="-142" w:hanging="218"/>
        <w:jc w:val="both"/>
        <w:rPr>
          <w:i/>
        </w:rPr>
      </w:pPr>
      <w:r>
        <w:rPr>
          <w:i/>
        </w:rPr>
        <w:t>= 50 m</w:t>
      </w:r>
      <w:r>
        <w:rPr>
          <w:i/>
          <w:vertAlign w:val="superscript"/>
        </w:rPr>
        <w:t>3</w:t>
      </w:r>
      <w:r>
        <w:rPr>
          <w:i/>
        </w:rPr>
        <w:t xml:space="preserve"> x 16,90 EUR/m</w:t>
      </w:r>
      <w:r>
        <w:rPr>
          <w:i/>
          <w:vertAlign w:val="superscript"/>
        </w:rPr>
        <w:t>3</w:t>
      </w:r>
      <w:r>
        <w:rPr>
          <w:i/>
        </w:rPr>
        <w:t>).</w:t>
      </w:r>
    </w:p>
    <w:p w14:paraId="7391A4C7" w14:textId="77777777" w:rsidR="00D2408D" w:rsidRDefault="00D2408D" w:rsidP="00CD363C">
      <w:pPr>
        <w:pStyle w:val="Pamatteksts"/>
        <w:ind w:right="-142"/>
        <w:jc w:val="both"/>
        <w:rPr>
          <w:i/>
          <w:sz w:val="20"/>
        </w:rPr>
      </w:pPr>
    </w:p>
    <w:p w14:paraId="356B6D04" w14:textId="77777777" w:rsidR="00D2408D" w:rsidRDefault="00D2408D" w:rsidP="00CD363C">
      <w:pPr>
        <w:pStyle w:val="Pamatteksts"/>
        <w:ind w:left="218" w:right="-142" w:hanging="218"/>
        <w:jc w:val="both"/>
      </w:pPr>
      <w:r>
        <w:t>Budžeta</w:t>
      </w:r>
      <w:r>
        <w:rPr>
          <w:spacing w:val="-15"/>
        </w:rPr>
        <w:t xml:space="preserve"> </w:t>
      </w:r>
      <w:r>
        <w:t>iestāde</w:t>
      </w:r>
      <w:r>
        <w:rPr>
          <w:spacing w:val="-11"/>
        </w:rPr>
        <w:t xml:space="preserve"> </w:t>
      </w:r>
      <w:r>
        <w:t>atzīst</w:t>
      </w:r>
      <w:r>
        <w:rPr>
          <w:spacing w:val="-12"/>
        </w:rPr>
        <w:t xml:space="preserve"> </w:t>
      </w:r>
      <w:r>
        <w:t>kokmateriālu</w:t>
      </w:r>
      <w:r>
        <w:rPr>
          <w:spacing w:val="-14"/>
        </w:rPr>
        <w:t xml:space="preserve"> </w:t>
      </w:r>
      <w:r>
        <w:t>krājumus</w:t>
      </w:r>
      <w:r>
        <w:rPr>
          <w:spacing w:val="-12"/>
        </w:rPr>
        <w:t xml:space="preserve"> </w:t>
      </w:r>
      <w:r>
        <w:t>meža</w:t>
      </w:r>
      <w:r>
        <w:rPr>
          <w:spacing w:val="-11"/>
        </w:rPr>
        <w:t xml:space="preserve"> </w:t>
      </w:r>
      <w:r>
        <w:t>izstrādes</w:t>
      </w:r>
      <w:r>
        <w:rPr>
          <w:spacing w:val="-15"/>
        </w:rPr>
        <w:t xml:space="preserve"> </w:t>
      </w:r>
      <w:r>
        <w:t>dienā,</w:t>
      </w:r>
      <w:r>
        <w:rPr>
          <w:spacing w:val="-14"/>
        </w:rPr>
        <w:t xml:space="preserve"> </w:t>
      </w:r>
      <w:r>
        <w:t>pamatojoties</w:t>
      </w:r>
      <w:r>
        <w:rPr>
          <w:spacing w:val="-13"/>
        </w:rPr>
        <w:t xml:space="preserve"> </w:t>
      </w:r>
      <w:r>
        <w:t>uz</w:t>
      </w:r>
      <w:r>
        <w:rPr>
          <w:spacing w:val="-17"/>
        </w:rPr>
        <w:t xml:space="preserve"> </w:t>
      </w:r>
      <w:r>
        <w:t>darījumu</w:t>
      </w:r>
      <w:r>
        <w:rPr>
          <w:spacing w:val="-12"/>
        </w:rPr>
        <w:t xml:space="preserve"> </w:t>
      </w:r>
      <w:r>
        <w:t>apliecinošu (iekšēju vai ārēju) dokumentu.</w:t>
      </w:r>
    </w:p>
    <w:p w14:paraId="7541FCB4" w14:textId="77777777" w:rsidR="00D2408D" w:rsidRDefault="00D2408D" w:rsidP="00CD363C">
      <w:pPr>
        <w:spacing w:after="0" w:line="240" w:lineRule="auto"/>
        <w:ind w:left="218" w:right="-142" w:hanging="218"/>
        <w:jc w:val="both"/>
        <w:rPr>
          <w:i/>
        </w:rPr>
      </w:pPr>
      <w:r>
        <w:rPr>
          <w:i/>
        </w:rPr>
        <w:t>Grāmatojums, atzīstot kokmateriālu krājumus meža izstrādes dienā:</w:t>
      </w:r>
    </w:p>
    <w:p w14:paraId="7F8885D0" w14:textId="77777777" w:rsidR="00D2408D" w:rsidRDefault="00D2408D" w:rsidP="00CD363C">
      <w:pPr>
        <w:pStyle w:val="Pamatteksts"/>
        <w:ind w:right="-142"/>
        <w:jc w:val="both"/>
        <w:rPr>
          <w:i/>
          <w:sz w:val="7"/>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920"/>
        <w:gridCol w:w="4146"/>
        <w:gridCol w:w="1426"/>
      </w:tblGrid>
      <w:tr w:rsidR="00D2408D" w14:paraId="7FEC0A61" w14:textId="77777777" w:rsidTr="00D2408D">
        <w:trPr>
          <w:trHeight w:val="541"/>
        </w:trPr>
        <w:tc>
          <w:tcPr>
            <w:tcW w:w="514" w:type="dxa"/>
          </w:tcPr>
          <w:p w14:paraId="338289A7" w14:textId="77777777" w:rsidR="00D2408D" w:rsidRDefault="00D2408D" w:rsidP="00CD363C">
            <w:pPr>
              <w:pStyle w:val="TableParagraph"/>
              <w:ind w:right="-142" w:hanging="1125"/>
              <w:jc w:val="both"/>
              <w:rPr>
                <w:i/>
              </w:rPr>
            </w:pPr>
            <w:r>
              <w:rPr>
                <w:i/>
              </w:rPr>
              <w:t>D</w:t>
            </w:r>
          </w:p>
        </w:tc>
        <w:tc>
          <w:tcPr>
            <w:tcW w:w="920" w:type="dxa"/>
          </w:tcPr>
          <w:p w14:paraId="31E7A6B5" w14:textId="77777777" w:rsidR="00D2408D" w:rsidRDefault="00D2408D" w:rsidP="00CD363C">
            <w:pPr>
              <w:pStyle w:val="TableParagraph"/>
              <w:ind w:left="153" w:right="-142"/>
              <w:jc w:val="both"/>
              <w:rPr>
                <w:i/>
              </w:rPr>
            </w:pPr>
            <w:r>
              <w:rPr>
                <w:i/>
              </w:rPr>
              <w:t>2140</w:t>
            </w:r>
          </w:p>
        </w:tc>
        <w:tc>
          <w:tcPr>
            <w:tcW w:w="4146" w:type="dxa"/>
          </w:tcPr>
          <w:p w14:paraId="1EF33BD5" w14:textId="77777777" w:rsidR="00D2408D" w:rsidRDefault="00D2408D" w:rsidP="00CD363C">
            <w:pPr>
              <w:pStyle w:val="TableParagraph"/>
              <w:ind w:left="324" w:right="-142"/>
              <w:jc w:val="both"/>
              <w:rPr>
                <w:i/>
              </w:rPr>
            </w:pPr>
            <w:r>
              <w:rPr>
                <w:i/>
              </w:rPr>
              <w:t>Bioloģisko aktīvu produkti un krājumi to uzturēšanai</w:t>
            </w:r>
          </w:p>
        </w:tc>
        <w:tc>
          <w:tcPr>
            <w:tcW w:w="1426" w:type="dxa"/>
          </w:tcPr>
          <w:p w14:paraId="744B1831" w14:textId="77777777" w:rsidR="00D2408D" w:rsidRDefault="00D2408D" w:rsidP="00CD363C">
            <w:pPr>
              <w:pStyle w:val="TableParagraph"/>
              <w:ind w:left="136" w:right="-142"/>
              <w:jc w:val="both"/>
              <w:rPr>
                <w:i/>
              </w:rPr>
            </w:pPr>
            <w:r>
              <w:rPr>
                <w:i/>
              </w:rPr>
              <w:t>845,00 EUR</w:t>
            </w:r>
          </w:p>
        </w:tc>
      </w:tr>
      <w:tr w:rsidR="00D2408D" w14:paraId="15AC3827" w14:textId="77777777" w:rsidTr="00D2408D">
        <w:trPr>
          <w:trHeight w:val="289"/>
        </w:trPr>
        <w:tc>
          <w:tcPr>
            <w:tcW w:w="514" w:type="dxa"/>
          </w:tcPr>
          <w:p w14:paraId="1D5731BD" w14:textId="77777777" w:rsidR="00D2408D" w:rsidRDefault="00D2408D" w:rsidP="00CD363C">
            <w:pPr>
              <w:pStyle w:val="TableParagraph"/>
              <w:ind w:right="-142"/>
              <w:jc w:val="both"/>
              <w:rPr>
                <w:i/>
              </w:rPr>
            </w:pPr>
            <w:r>
              <w:rPr>
                <w:i/>
              </w:rPr>
              <w:t>K</w:t>
            </w:r>
          </w:p>
        </w:tc>
        <w:tc>
          <w:tcPr>
            <w:tcW w:w="920" w:type="dxa"/>
          </w:tcPr>
          <w:p w14:paraId="351BD4EF" w14:textId="77777777" w:rsidR="00D2408D" w:rsidRDefault="00D2408D" w:rsidP="00CD363C">
            <w:pPr>
              <w:pStyle w:val="TableParagraph"/>
              <w:ind w:left="153" w:right="-142"/>
              <w:jc w:val="both"/>
              <w:rPr>
                <w:i/>
              </w:rPr>
            </w:pPr>
            <w:r>
              <w:rPr>
                <w:i/>
              </w:rPr>
              <w:t>6000</w:t>
            </w:r>
          </w:p>
        </w:tc>
        <w:tc>
          <w:tcPr>
            <w:tcW w:w="4146" w:type="dxa"/>
          </w:tcPr>
          <w:p w14:paraId="07C4B449" w14:textId="77777777" w:rsidR="00D2408D" w:rsidRDefault="00D2408D" w:rsidP="00CD363C">
            <w:pPr>
              <w:pStyle w:val="TableParagraph"/>
              <w:ind w:left="324" w:right="-142"/>
              <w:jc w:val="both"/>
              <w:rPr>
                <w:i/>
              </w:rPr>
            </w:pPr>
            <w:r>
              <w:rPr>
                <w:i/>
              </w:rPr>
              <w:t>Pamatdarbības ieņēmumi</w:t>
            </w:r>
          </w:p>
        </w:tc>
        <w:tc>
          <w:tcPr>
            <w:tcW w:w="1426" w:type="dxa"/>
          </w:tcPr>
          <w:p w14:paraId="204517BC" w14:textId="77777777" w:rsidR="00D2408D" w:rsidRDefault="00D2408D" w:rsidP="00CD363C">
            <w:pPr>
              <w:pStyle w:val="TableParagraph"/>
              <w:ind w:left="136" w:right="-142"/>
              <w:jc w:val="both"/>
              <w:rPr>
                <w:i/>
              </w:rPr>
            </w:pPr>
            <w:r>
              <w:rPr>
                <w:i/>
              </w:rPr>
              <w:t>845,00 EUR</w:t>
            </w:r>
          </w:p>
        </w:tc>
      </w:tr>
    </w:tbl>
    <w:p w14:paraId="0AF2F422" w14:textId="77777777" w:rsidR="00D2408D" w:rsidRDefault="00D2408D" w:rsidP="00CD363C">
      <w:pPr>
        <w:pStyle w:val="Pamatteksts"/>
        <w:ind w:right="-142"/>
        <w:jc w:val="both"/>
      </w:pPr>
      <w:r>
        <w:t>Atzītie kokmateriālu krājumi turpmāk tiek uzskaitīti saskaņā ar Rokasgrāmatas sadaļas “Krājumi” noteiktajiem uzskaites pamatprincipiem.</w:t>
      </w:r>
    </w:p>
    <w:p w14:paraId="258C662A" w14:textId="77777777" w:rsidR="00D2408D" w:rsidRDefault="00D2408D" w:rsidP="00CD363C">
      <w:pPr>
        <w:pStyle w:val="Pamatteksts"/>
        <w:ind w:left="218" w:right="-142" w:hanging="218"/>
        <w:jc w:val="both"/>
      </w:pPr>
      <w:r>
        <w:t>Mežaudze pārskata perioda beigās tiek novērtēta atbilstoši Mežu Valsts reģistrā norādītajai pilnajai vērtībai.</w:t>
      </w:r>
    </w:p>
    <w:p w14:paraId="16381A60" w14:textId="77777777" w:rsidR="00D2408D" w:rsidRDefault="00D2408D" w:rsidP="00CD363C">
      <w:pPr>
        <w:pStyle w:val="Virsraksts6"/>
        <w:ind w:left="218" w:right="-142"/>
        <w:jc w:val="both"/>
      </w:pPr>
      <w:r>
        <w:rPr>
          <w:color w:val="002069"/>
          <w:u w:val="thick" w:color="002069"/>
        </w:rPr>
        <w:t>Realizācijai paredzēto kokmateriālu uzskaite</w:t>
      </w:r>
    </w:p>
    <w:p w14:paraId="01588270" w14:textId="77777777" w:rsidR="00D2408D" w:rsidRDefault="00D2408D" w:rsidP="00CD363C">
      <w:pPr>
        <w:pStyle w:val="Pamatteksts"/>
        <w:ind w:right="-142"/>
        <w:jc w:val="both"/>
      </w:pPr>
      <w:r>
        <w:t>Pamatojoties uz noslēgto līgumu, budžeta iestāde izraksta rēķinu par kokmateriālu realizāciju un veic grāmatojumus, atzīstot ieņēmumus un prasību, kā arī norakstot pārdoto krājumu pašizmaksu.</w:t>
      </w:r>
    </w:p>
    <w:p w14:paraId="3B90A096" w14:textId="77777777" w:rsidR="00D2408D" w:rsidRDefault="00D2408D" w:rsidP="00CD363C">
      <w:pPr>
        <w:spacing w:after="0" w:line="240" w:lineRule="auto"/>
        <w:ind w:left="-567" w:right="-142"/>
        <w:jc w:val="both"/>
        <w:rPr>
          <w:i/>
        </w:rPr>
      </w:pPr>
      <w:r>
        <w:t xml:space="preserve">Ieņēmumi no kokmateriālu pārdošanas ir 792,00 EUR </w:t>
      </w:r>
      <w:r>
        <w:rPr>
          <w:i/>
        </w:rPr>
        <w:t>(792 EUR = 40 m</w:t>
      </w:r>
      <w:r>
        <w:rPr>
          <w:i/>
          <w:vertAlign w:val="superscript"/>
        </w:rPr>
        <w:t>3</w:t>
      </w:r>
      <w:r>
        <w:rPr>
          <w:i/>
        </w:rPr>
        <w:t xml:space="preserve"> x 19,80 EUR/m</w:t>
      </w:r>
      <w:r>
        <w:rPr>
          <w:i/>
          <w:vertAlign w:val="superscript"/>
        </w:rPr>
        <w:t>3</w:t>
      </w:r>
      <w:r>
        <w:rPr>
          <w:i/>
        </w:rPr>
        <w:t>)</w:t>
      </w:r>
      <w:r>
        <w:t xml:space="preserve">. </w:t>
      </w:r>
      <w:r>
        <w:rPr>
          <w:i/>
        </w:rPr>
        <w:t>Grāmatojums, izrakstot rēķinu par kokmateriālu realizāciju</w:t>
      </w:r>
    </w:p>
    <w:tbl>
      <w:tblPr>
        <w:tblW w:w="0" w:type="auto"/>
        <w:tblInd w:w="1120" w:type="dxa"/>
        <w:tblLayout w:type="fixed"/>
        <w:tblCellMar>
          <w:left w:w="0" w:type="dxa"/>
          <w:right w:w="0" w:type="dxa"/>
        </w:tblCellMar>
        <w:tblLook w:val="01E0" w:firstRow="1" w:lastRow="1" w:firstColumn="1" w:lastColumn="1" w:noHBand="0" w:noVBand="0"/>
      </w:tblPr>
      <w:tblGrid>
        <w:gridCol w:w="617"/>
        <w:gridCol w:w="1047"/>
        <w:gridCol w:w="3869"/>
        <w:gridCol w:w="1427"/>
      </w:tblGrid>
      <w:tr w:rsidR="00D2408D" w14:paraId="48381BDB" w14:textId="77777777" w:rsidTr="00D2408D">
        <w:trPr>
          <w:trHeight w:val="287"/>
        </w:trPr>
        <w:tc>
          <w:tcPr>
            <w:tcW w:w="617" w:type="dxa"/>
          </w:tcPr>
          <w:p w14:paraId="366D602D" w14:textId="77777777" w:rsidR="00D2408D" w:rsidRDefault="00D2408D" w:rsidP="00CD363C">
            <w:pPr>
              <w:pStyle w:val="TableParagraph"/>
              <w:ind w:left="200" w:right="-142"/>
              <w:jc w:val="both"/>
              <w:rPr>
                <w:i/>
              </w:rPr>
            </w:pPr>
            <w:r>
              <w:rPr>
                <w:i/>
              </w:rPr>
              <w:t>D</w:t>
            </w:r>
          </w:p>
        </w:tc>
        <w:tc>
          <w:tcPr>
            <w:tcW w:w="1047" w:type="dxa"/>
          </w:tcPr>
          <w:p w14:paraId="1D0F80CE" w14:textId="77777777" w:rsidR="00D2408D" w:rsidRDefault="00D2408D" w:rsidP="00CD363C">
            <w:pPr>
              <w:pStyle w:val="TableParagraph"/>
              <w:ind w:left="149" w:right="-142"/>
              <w:jc w:val="both"/>
              <w:rPr>
                <w:i/>
              </w:rPr>
            </w:pPr>
            <w:r>
              <w:rPr>
                <w:i/>
              </w:rPr>
              <w:t>2310</w:t>
            </w:r>
          </w:p>
        </w:tc>
        <w:tc>
          <w:tcPr>
            <w:tcW w:w="3869" w:type="dxa"/>
          </w:tcPr>
          <w:p w14:paraId="76CD2C3C" w14:textId="77777777" w:rsidR="00D2408D" w:rsidRDefault="00D2408D" w:rsidP="00CD363C">
            <w:pPr>
              <w:pStyle w:val="TableParagraph"/>
              <w:ind w:left="235" w:right="-142"/>
              <w:jc w:val="both"/>
              <w:rPr>
                <w:i/>
              </w:rPr>
            </w:pPr>
            <w:r>
              <w:rPr>
                <w:i/>
              </w:rPr>
              <w:t>Prasības pret pircējiem un pasūtītājiem</w:t>
            </w:r>
          </w:p>
        </w:tc>
        <w:tc>
          <w:tcPr>
            <w:tcW w:w="1427" w:type="dxa"/>
          </w:tcPr>
          <w:p w14:paraId="3826EBFD" w14:textId="77777777" w:rsidR="00D2408D" w:rsidRDefault="00D2408D" w:rsidP="00CD363C">
            <w:pPr>
              <w:pStyle w:val="TableParagraph"/>
              <w:ind w:left="116" w:right="-142"/>
              <w:jc w:val="both"/>
              <w:rPr>
                <w:i/>
              </w:rPr>
            </w:pPr>
            <w:r>
              <w:rPr>
                <w:i/>
              </w:rPr>
              <w:t>792,00 EUR</w:t>
            </w:r>
          </w:p>
        </w:tc>
      </w:tr>
      <w:tr w:rsidR="00D2408D" w14:paraId="4C99155D" w14:textId="77777777" w:rsidTr="00D2408D">
        <w:trPr>
          <w:trHeight w:val="332"/>
        </w:trPr>
        <w:tc>
          <w:tcPr>
            <w:tcW w:w="617" w:type="dxa"/>
          </w:tcPr>
          <w:p w14:paraId="2B917D52" w14:textId="77777777" w:rsidR="00D2408D" w:rsidRDefault="00D2408D" w:rsidP="00CD363C">
            <w:pPr>
              <w:pStyle w:val="TableParagraph"/>
              <w:ind w:left="200" w:right="-142"/>
              <w:jc w:val="both"/>
              <w:rPr>
                <w:i/>
              </w:rPr>
            </w:pPr>
            <w:r>
              <w:rPr>
                <w:i/>
              </w:rPr>
              <w:t>D*</w:t>
            </w:r>
          </w:p>
        </w:tc>
        <w:tc>
          <w:tcPr>
            <w:tcW w:w="1047" w:type="dxa"/>
          </w:tcPr>
          <w:p w14:paraId="078187B0" w14:textId="77777777" w:rsidR="00D2408D" w:rsidRDefault="00D2408D" w:rsidP="00CD363C">
            <w:pPr>
              <w:pStyle w:val="TableParagraph"/>
              <w:ind w:left="149" w:right="-142"/>
              <w:jc w:val="both"/>
              <w:rPr>
                <w:i/>
              </w:rPr>
            </w:pPr>
            <w:r>
              <w:rPr>
                <w:i/>
              </w:rPr>
              <w:t>5723**</w:t>
            </w:r>
          </w:p>
        </w:tc>
        <w:tc>
          <w:tcPr>
            <w:tcW w:w="3869" w:type="dxa"/>
          </w:tcPr>
          <w:p w14:paraId="0F3F16B3" w14:textId="77777777" w:rsidR="00D2408D" w:rsidRDefault="00D2408D" w:rsidP="00CD363C">
            <w:pPr>
              <w:pStyle w:val="TableParagraph"/>
              <w:ind w:left="235" w:right="-142"/>
              <w:jc w:val="both"/>
              <w:rPr>
                <w:i/>
              </w:rPr>
            </w:pPr>
            <w:r>
              <w:rPr>
                <w:i/>
              </w:rPr>
              <w:t>Pievienotās vērtības nodoklis</w:t>
            </w:r>
          </w:p>
        </w:tc>
        <w:tc>
          <w:tcPr>
            <w:tcW w:w="1427" w:type="dxa"/>
          </w:tcPr>
          <w:p w14:paraId="02568781" w14:textId="77777777" w:rsidR="00D2408D" w:rsidRDefault="00D2408D" w:rsidP="00CD363C">
            <w:pPr>
              <w:pStyle w:val="TableParagraph"/>
              <w:ind w:left="116" w:right="-142"/>
              <w:jc w:val="both"/>
              <w:rPr>
                <w:i/>
              </w:rPr>
            </w:pPr>
            <w:r>
              <w:rPr>
                <w:i/>
              </w:rPr>
              <w:t>166,32 EUR</w:t>
            </w:r>
          </w:p>
        </w:tc>
      </w:tr>
      <w:tr w:rsidR="00D2408D" w14:paraId="04B5FD46" w14:textId="77777777" w:rsidTr="00D2408D">
        <w:trPr>
          <w:trHeight w:val="333"/>
        </w:trPr>
        <w:tc>
          <w:tcPr>
            <w:tcW w:w="617" w:type="dxa"/>
          </w:tcPr>
          <w:p w14:paraId="27D55ECA" w14:textId="77777777" w:rsidR="00D2408D" w:rsidRDefault="00D2408D" w:rsidP="00CD363C">
            <w:pPr>
              <w:pStyle w:val="TableParagraph"/>
              <w:ind w:left="200" w:right="-142"/>
              <w:jc w:val="both"/>
              <w:rPr>
                <w:i/>
              </w:rPr>
            </w:pPr>
            <w:r>
              <w:rPr>
                <w:i/>
              </w:rPr>
              <w:t>K</w:t>
            </w:r>
          </w:p>
        </w:tc>
        <w:tc>
          <w:tcPr>
            <w:tcW w:w="1047" w:type="dxa"/>
          </w:tcPr>
          <w:p w14:paraId="3FA2393C" w14:textId="77777777" w:rsidR="00D2408D" w:rsidRDefault="00D2408D" w:rsidP="00CD363C">
            <w:pPr>
              <w:pStyle w:val="TableParagraph"/>
              <w:ind w:left="149" w:right="-142"/>
              <w:jc w:val="both"/>
              <w:rPr>
                <w:i/>
              </w:rPr>
            </w:pPr>
            <w:r>
              <w:rPr>
                <w:i/>
              </w:rPr>
              <w:t>6000</w:t>
            </w:r>
          </w:p>
        </w:tc>
        <w:tc>
          <w:tcPr>
            <w:tcW w:w="3869" w:type="dxa"/>
          </w:tcPr>
          <w:p w14:paraId="4D7A8212" w14:textId="77777777" w:rsidR="00D2408D" w:rsidRDefault="00D2408D" w:rsidP="00CD363C">
            <w:pPr>
              <w:pStyle w:val="TableParagraph"/>
              <w:ind w:left="235" w:right="-142"/>
              <w:jc w:val="both"/>
              <w:rPr>
                <w:i/>
              </w:rPr>
            </w:pPr>
            <w:r>
              <w:rPr>
                <w:i/>
              </w:rPr>
              <w:t>Pamatdarbības ieņēmumi</w:t>
            </w:r>
          </w:p>
        </w:tc>
        <w:tc>
          <w:tcPr>
            <w:tcW w:w="1427" w:type="dxa"/>
          </w:tcPr>
          <w:p w14:paraId="6FDCCD1E" w14:textId="77777777" w:rsidR="00D2408D" w:rsidRDefault="00D2408D" w:rsidP="00CD363C">
            <w:pPr>
              <w:pStyle w:val="TableParagraph"/>
              <w:ind w:left="116" w:right="-142"/>
              <w:jc w:val="both"/>
              <w:rPr>
                <w:i/>
              </w:rPr>
            </w:pPr>
            <w:r>
              <w:rPr>
                <w:i/>
              </w:rPr>
              <w:t>792,00 EUR</w:t>
            </w:r>
          </w:p>
        </w:tc>
      </w:tr>
      <w:tr w:rsidR="00D2408D" w:rsidRPr="00D2408D" w14:paraId="1B41C59F" w14:textId="77777777" w:rsidTr="00D2408D">
        <w:trPr>
          <w:trHeight w:val="289"/>
        </w:trPr>
        <w:tc>
          <w:tcPr>
            <w:tcW w:w="617" w:type="dxa"/>
          </w:tcPr>
          <w:p w14:paraId="54C22631" w14:textId="77777777" w:rsidR="00D2408D" w:rsidRPr="00D2408D" w:rsidRDefault="00D2408D" w:rsidP="00CD363C">
            <w:pPr>
              <w:pStyle w:val="TableParagraph"/>
              <w:ind w:left="200" w:right="-142"/>
              <w:jc w:val="both"/>
              <w:rPr>
                <w:i/>
              </w:rPr>
            </w:pPr>
            <w:r w:rsidRPr="00D2408D">
              <w:rPr>
                <w:i/>
              </w:rPr>
              <w:t>K*</w:t>
            </w:r>
          </w:p>
        </w:tc>
        <w:tc>
          <w:tcPr>
            <w:tcW w:w="1047" w:type="dxa"/>
          </w:tcPr>
          <w:p w14:paraId="374015BF" w14:textId="77777777" w:rsidR="00D2408D" w:rsidRPr="00D2408D" w:rsidRDefault="00D2408D" w:rsidP="00CD363C">
            <w:pPr>
              <w:pStyle w:val="TableParagraph"/>
              <w:ind w:left="149" w:right="-142"/>
              <w:jc w:val="both"/>
              <w:rPr>
                <w:i/>
              </w:rPr>
            </w:pPr>
            <w:r w:rsidRPr="00D2408D">
              <w:rPr>
                <w:i/>
              </w:rPr>
              <w:t>5723**</w:t>
            </w:r>
          </w:p>
        </w:tc>
        <w:tc>
          <w:tcPr>
            <w:tcW w:w="3869" w:type="dxa"/>
          </w:tcPr>
          <w:p w14:paraId="308F021A" w14:textId="77777777" w:rsidR="00D2408D" w:rsidRPr="00D2408D" w:rsidRDefault="00D2408D" w:rsidP="00CD363C">
            <w:pPr>
              <w:pStyle w:val="TableParagraph"/>
              <w:ind w:left="235" w:right="-142"/>
              <w:jc w:val="both"/>
              <w:rPr>
                <w:i/>
              </w:rPr>
            </w:pPr>
            <w:r w:rsidRPr="00D2408D">
              <w:rPr>
                <w:i/>
              </w:rPr>
              <w:t>Pievienotās vērtības nodoklis</w:t>
            </w:r>
          </w:p>
        </w:tc>
        <w:tc>
          <w:tcPr>
            <w:tcW w:w="1427" w:type="dxa"/>
          </w:tcPr>
          <w:p w14:paraId="79505E62" w14:textId="77777777" w:rsidR="00D2408D" w:rsidRPr="00D2408D" w:rsidRDefault="00D2408D" w:rsidP="00CD363C">
            <w:pPr>
              <w:pStyle w:val="TableParagraph"/>
              <w:ind w:left="116" w:right="-142"/>
              <w:jc w:val="both"/>
              <w:rPr>
                <w:i/>
              </w:rPr>
            </w:pPr>
            <w:r w:rsidRPr="00D2408D">
              <w:rPr>
                <w:i/>
              </w:rPr>
              <w:t>166,32 EUR</w:t>
            </w:r>
          </w:p>
        </w:tc>
      </w:tr>
    </w:tbl>
    <w:p w14:paraId="45472D84" w14:textId="77777777" w:rsidR="00D2408D" w:rsidRPr="00D2408D" w:rsidRDefault="00D2408D" w:rsidP="00CD363C">
      <w:pPr>
        <w:spacing w:after="0" w:line="240" w:lineRule="auto"/>
        <w:ind w:left="218" w:right="-142"/>
        <w:jc w:val="both"/>
        <w:rPr>
          <w:i/>
        </w:rPr>
      </w:pPr>
      <w:r w:rsidRPr="00D2408D">
        <w:rPr>
          <w:i/>
        </w:rPr>
        <w:t>* gadījumā, ja budžeta iestāde ir PVN maksātāja. Budžeta iestāde grāmatvedības uzskaites kārtībā var noteikt detalizētu PVN uzskaites kontu pielietojumu un pārskata perioda slēguma grāmatojumus, piemēram, pārskata perioda beigās PVN summu, kas ir atzīstama kā priekšnodoklis pārgrāmatojot uz aktīva kontu</w:t>
      </w:r>
    </w:p>
    <w:p w14:paraId="56AA091A" w14:textId="77777777" w:rsidR="00D2408D" w:rsidRPr="00D2408D" w:rsidRDefault="00D2408D" w:rsidP="00CD363C">
      <w:pPr>
        <w:spacing w:after="0" w:line="240" w:lineRule="auto"/>
        <w:ind w:left="218" w:right="-142"/>
        <w:jc w:val="both"/>
        <w:rPr>
          <w:i/>
        </w:rPr>
      </w:pPr>
      <w:r w:rsidRPr="00D2408D">
        <w:rPr>
          <w:i/>
        </w:rPr>
        <w:t xml:space="preserve">** saskaņā ar </w:t>
      </w:r>
      <w:hyperlink r:id="rId31" w:anchor="p-640517">
        <w:r w:rsidRPr="00D2408D">
          <w:rPr>
            <w:color w:val="0462C1"/>
            <w:u w:val="single" w:color="0462C1"/>
          </w:rPr>
          <w:t>PVN likuma 42. panta 11. daļas</w:t>
        </w:r>
      </w:hyperlink>
      <w:r w:rsidRPr="00D2408D">
        <w:rPr>
          <w:color w:val="0462C1"/>
        </w:rPr>
        <w:t xml:space="preserve"> </w:t>
      </w:r>
      <w:r w:rsidRPr="00D2408D">
        <w:rPr>
          <w:i/>
        </w:rPr>
        <w:t>prasībām darījums nav apliekams ar pievienotās vērtības nodokli, bet tas ir jāuzrāda PVN deklarācijā, tāpēc jāveic darījuma reģistrēšana</w:t>
      </w:r>
    </w:p>
    <w:p w14:paraId="542C16B7" w14:textId="77777777" w:rsidR="00D2408D" w:rsidRDefault="00D2408D" w:rsidP="00CD363C">
      <w:pPr>
        <w:pStyle w:val="Pamatteksts"/>
        <w:ind w:right="-142"/>
        <w:jc w:val="both"/>
        <w:rPr>
          <w:i/>
        </w:rPr>
      </w:pPr>
    </w:p>
    <w:p w14:paraId="3A705661" w14:textId="77777777" w:rsidR="00D2408D" w:rsidRDefault="00D2408D" w:rsidP="00CD363C">
      <w:pPr>
        <w:pStyle w:val="Pamatteksts"/>
        <w:ind w:left="-567" w:right="-142" w:firstLine="66"/>
        <w:jc w:val="both"/>
      </w:pPr>
      <w:r>
        <w:t>Pārdošanas</w:t>
      </w:r>
      <w:r>
        <w:rPr>
          <w:spacing w:val="-5"/>
        </w:rPr>
        <w:t xml:space="preserve"> </w:t>
      </w:r>
      <w:r>
        <w:t>dienā</w:t>
      </w:r>
      <w:r>
        <w:rPr>
          <w:spacing w:val="-4"/>
        </w:rPr>
        <w:t xml:space="preserve"> </w:t>
      </w:r>
      <w:r>
        <w:t>budžeta</w:t>
      </w:r>
      <w:r>
        <w:rPr>
          <w:spacing w:val="-4"/>
        </w:rPr>
        <w:t xml:space="preserve"> </w:t>
      </w:r>
      <w:r>
        <w:t>iestāde</w:t>
      </w:r>
      <w:r>
        <w:rPr>
          <w:spacing w:val="-4"/>
        </w:rPr>
        <w:t xml:space="preserve"> </w:t>
      </w:r>
      <w:r>
        <w:t>noraksta</w:t>
      </w:r>
      <w:r>
        <w:rPr>
          <w:spacing w:val="-7"/>
        </w:rPr>
        <w:t xml:space="preserve"> </w:t>
      </w:r>
      <w:r>
        <w:t>realizēto</w:t>
      </w:r>
      <w:r>
        <w:rPr>
          <w:spacing w:val="-5"/>
        </w:rPr>
        <w:t xml:space="preserve"> </w:t>
      </w:r>
      <w:r>
        <w:t>krājumu</w:t>
      </w:r>
      <w:r>
        <w:rPr>
          <w:spacing w:val="-4"/>
        </w:rPr>
        <w:t xml:space="preserve"> </w:t>
      </w:r>
      <w:r>
        <w:t>daudzumu</w:t>
      </w:r>
      <w:r>
        <w:rPr>
          <w:spacing w:val="-5"/>
        </w:rPr>
        <w:t xml:space="preserve"> </w:t>
      </w:r>
      <w:r>
        <w:t>atbilstoši</w:t>
      </w:r>
      <w:r>
        <w:rPr>
          <w:spacing w:val="-6"/>
        </w:rPr>
        <w:t xml:space="preserve"> </w:t>
      </w:r>
      <w:r>
        <w:t>krājumu</w:t>
      </w:r>
      <w:r>
        <w:rPr>
          <w:spacing w:val="-5"/>
        </w:rPr>
        <w:t xml:space="preserve"> </w:t>
      </w:r>
      <w:r>
        <w:t>norakstīšanas metodei “pirmais iekšā – pirmais ārā” (FIFO metode). Realizēto kokmateriālu krājumu vērtība ir 676,00 EUR (</w:t>
      </w:r>
      <w:r>
        <w:rPr>
          <w:i/>
        </w:rPr>
        <w:t>676 EUR = 40 m</w:t>
      </w:r>
      <w:r>
        <w:rPr>
          <w:i/>
          <w:vertAlign w:val="superscript"/>
        </w:rPr>
        <w:t>3</w:t>
      </w:r>
      <w:r>
        <w:rPr>
          <w:i/>
        </w:rPr>
        <w:t xml:space="preserve"> x 16,90 EUR/m</w:t>
      </w:r>
      <w:r>
        <w:rPr>
          <w:i/>
          <w:vertAlign w:val="superscript"/>
        </w:rPr>
        <w:t>3</w:t>
      </w:r>
      <w:r>
        <w:t>). Piemērā pieņemts, ka budžeta iestādei uzskaitē nav bijuši citi</w:t>
      </w:r>
      <w:r>
        <w:rPr>
          <w:spacing w:val="-1"/>
        </w:rPr>
        <w:t xml:space="preserve"> </w:t>
      </w:r>
      <w:r>
        <w:t>kokmateriāli.</w:t>
      </w:r>
    </w:p>
    <w:p w14:paraId="02AE904C" w14:textId="77777777" w:rsidR="00D2408D" w:rsidRDefault="00D2408D" w:rsidP="00CD363C">
      <w:pPr>
        <w:pStyle w:val="Pamatteksts"/>
        <w:ind w:right="-142"/>
        <w:jc w:val="both"/>
        <w:rPr>
          <w:sz w:val="21"/>
        </w:rPr>
      </w:pPr>
    </w:p>
    <w:tbl>
      <w:tblPr>
        <w:tblW w:w="0" w:type="auto"/>
        <w:tblInd w:w="1120" w:type="dxa"/>
        <w:tblLayout w:type="fixed"/>
        <w:tblCellMar>
          <w:left w:w="0" w:type="dxa"/>
          <w:right w:w="0" w:type="dxa"/>
        </w:tblCellMar>
        <w:tblLook w:val="01E0" w:firstRow="1" w:lastRow="1" w:firstColumn="1" w:lastColumn="1" w:noHBand="0" w:noVBand="0"/>
      </w:tblPr>
      <w:tblGrid>
        <w:gridCol w:w="625"/>
        <w:gridCol w:w="1034"/>
        <w:gridCol w:w="4357"/>
        <w:gridCol w:w="1428"/>
      </w:tblGrid>
      <w:tr w:rsidR="00D2408D" w14:paraId="0BE315C9" w14:textId="77777777" w:rsidTr="00D2408D">
        <w:trPr>
          <w:trHeight w:val="289"/>
        </w:trPr>
        <w:tc>
          <w:tcPr>
            <w:tcW w:w="625" w:type="dxa"/>
          </w:tcPr>
          <w:p w14:paraId="7DE26AE7" w14:textId="77777777" w:rsidR="00D2408D" w:rsidRDefault="00D2408D" w:rsidP="00CD363C">
            <w:pPr>
              <w:pStyle w:val="TableParagraph"/>
              <w:ind w:left="200" w:right="-142"/>
              <w:jc w:val="both"/>
              <w:rPr>
                <w:i/>
              </w:rPr>
            </w:pPr>
            <w:r>
              <w:rPr>
                <w:i/>
              </w:rPr>
              <w:t>D</w:t>
            </w:r>
          </w:p>
        </w:tc>
        <w:tc>
          <w:tcPr>
            <w:tcW w:w="1034" w:type="dxa"/>
          </w:tcPr>
          <w:p w14:paraId="722C2211" w14:textId="77777777" w:rsidR="00D2408D" w:rsidRDefault="00D2408D" w:rsidP="00CD363C">
            <w:pPr>
              <w:pStyle w:val="TableParagraph"/>
              <w:ind w:left="266" w:right="-142"/>
              <w:jc w:val="both"/>
              <w:rPr>
                <w:i/>
              </w:rPr>
            </w:pPr>
            <w:r>
              <w:rPr>
                <w:i/>
              </w:rPr>
              <w:t>8610</w:t>
            </w:r>
          </w:p>
        </w:tc>
        <w:tc>
          <w:tcPr>
            <w:tcW w:w="4357" w:type="dxa"/>
          </w:tcPr>
          <w:p w14:paraId="2223EA94" w14:textId="77777777" w:rsidR="00D2408D" w:rsidRDefault="00D2408D" w:rsidP="00CD363C">
            <w:pPr>
              <w:pStyle w:val="TableParagraph"/>
              <w:ind w:left="216" w:right="-142"/>
              <w:jc w:val="both"/>
              <w:rPr>
                <w:i/>
              </w:rPr>
            </w:pPr>
            <w:r>
              <w:rPr>
                <w:i/>
              </w:rPr>
              <w:t>Izdevumi no nefinanšu aktīvu izslēgšanas</w:t>
            </w:r>
          </w:p>
        </w:tc>
        <w:tc>
          <w:tcPr>
            <w:tcW w:w="1428" w:type="dxa"/>
          </w:tcPr>
          <w:p w14:paraId="56EAE1BE" w14:textId="77777777" w:rsidR="00D2408D" w:rsidRDefault="00D2408D" w:rsidP="00CD363C">
            <w:pPr>
              <w:pStyle w:val="TableParagraph"/>
              <w:ind w:left="120" w:right="-142"/>
              <w:jc w:val="both"/>
              <w:rPr>
                <w:i/>
              </w:rPr>
            </w:pPr>
            <w:r>
              <w:rPr>
                <w:i/>
              </w:rPr>
              <w:t>676,00 EUR</w:t>
            </w:r>
          </w:p>
        </w:tc>
      </w:tr>
      <w:tr w:rsidR="00D2408D" w14:paraId="5AFF7615" w14:textId="77777777" w:rsidTr="00D2408D">
        <w:trPr>
          <w:trHeight w:val="541"/>
        </w:trPr>
        <w:tc>
          <w:tcPr>
            <w:tcW w:w="625" w:type="dxa"/>
          </w:tcPr>
          <w:p w14:paraId="21C778BE" w14:textId="77777777" w:rsidR="00D2408D" w:rsidRDefault="00D2408D" w:rsidP="00CD363C">
            <w:pPr>
              <w:pStyle w:val="TableParagraph"/>
              <w:ind w:left="200" w:right="-142"/>
              <w:jc w:val="both"/>
              <w:rPr>
                <w:i/>
              </w:rPr>
            </w:pPr>
            <w:r>
              <w:rPr>
                <w:i/>
              </w:rPr>
              <w:t>K</w:t>
            </w:r>
          </w:p>
        </w:tc>
        <w:tc>
          <w:tcPr>
            <w:tcW w:w="1034" w:type="dxa"/>
          </w:tcPr>
          <w:p w14:paraId="7C6FD7C1" w14:textId="77777777" w:rsidR="00D2408D" w:rsidRDefault="00D2408D" w:rsidP="00CD363C">
            <w:pPr>
              <w:pStyle w:val="TableParagraph"/>
              <w:ind w:left="266" w:right="-142"/>
              <w:jc w:val="both"/>
              <w:rPr>
                <w:i/>
              </w:rPr>
            </w:pPr>
            <w:r>
              <w:rPr>
                <w:i/>
              </w:rPr>
              <w:t>2132*</w:t>
            </w:r>
          </w:p>
        </w:tc>
        <w:tc>
          <w:tcPr>
            <w:tcW w:w="4357" w:type="dxa"/>
          </w:tcPr>
          <w:p w14:paraId="69B4F2EF" w14:textId="77777777" w:rsidR="00D2408D" w:rsidRDefault="00D2408D" w:rsidP="00CD363C">
            <w:pPr>
              <w:pStyle w:val="TableParagraph"/>
              <w:tabs>
                <w:tab w:val="left" w:pos="1329"/>
                <w:tab w:val="left" w:pos="1924"/>
                <w:tab w:val="left" w:pos="3218"/>
              </w:tabs>
              <w:ind w:left="216" w:right="-142"/>
              <w:jc w:val="both"/>
              <w:rPr>
                <w:i/>
              </w:rPr>
            </w:pPr>
            <w:r>
              <w:rPr>
                <w:i/>
              </w:rPr>
              <w:t>Krājumi</w:t>
            </w:r>
            <w:r>
              <w:rPr>
                <w:i/>
              </w:rPr>
              <w:tab/>
              <w:t>un</w:t>
            </w:r>
            <w:r>
              <w:rPr>
                <w:i/>
              </w:rPr>
              <w:tab/>
              <w:t>ilgtermiņa</w:t>
            </w:r>
            <w:r>
              <w:rPr>
                <w:i/>
              </w:rPr>
              <w:tab/>
            </w:r>
            <w:r>
              <w:rPr>
                <w:i/>
                <w:spacing w:val="-1"/>
              </w:rPr>
              <w:t xml:space="preserve">ieguldījumi </w:t>
            </w:r>
            <w:r>
              <w:rPr>
                <w:i/>
              </w:rPr>
              <w:t>atsavināšanai</w:t>
            </w:r>
          </w:p>
        </w:tc>
        <w:tc>
          <w:tcPr>
            <w:tcW w:w="1428" w:type="dxa"/>
          </w:tcPr>
          <w:p w14:paraId="5DD8A359" w14:textId="77777777" w:rsidR="00D2408D" w:rsidRDefault="00D2408D" w:rsidP="00CD363C">
            <w:pPr>
              <w:pStyle w:val="TableParagraph"/>
              <w:ind w:left="120" w:right="-142"/>
              <w:jc w:val="both"/>
              <w:rPr>
                <w:i/>
              </w:rPr>
            </w:pPr>
            <w:r>
              <w:rPr>
                <w:i/>
              </w:rPr>
              <w:t>676,00 EUR</w:t>
            </w:r>
          </w:p>
        </w:tc>
      </w:tr>
    </w:tbl>
    <w:p w14:paraId="1561DAEC" w14:textId="77777777" w:rsidR="00D2408D" w:rsidRPr="00D2408D" w:rsidRDefault="00D2408D" w:rsidP="00CD363C">
      <w:pPr>
        <w:spacing w:after="0" w:line="240" w:lineRule="auto"/>
        <w:ind w:left="218" w:right="-142"/>
        <w:jc w:val="both"/>
        <w:rPr>
          <w:i/>
        </w:rPr>
      </w:pPr>
      <w:r w:rsidRPr="00D2408D">
        <w:rPr>
          <w:i/>
        </w:rPr>
        <w:t>*iepriekš veikts atsavināšanai paredzēto krājumu pārgrāmatojums no 2140 konta uz 2132 kontu</w:t>
      </w:r>
    </w:p>
    <w:p w14:paraId="66185AA9" w14:textId="77777777" w:rsidR="00D2408D" w:rsidRDefault="00D2408D" w:rsidP="00CD363C">
      <w:pPr>
        <w:pStyle w:val="Pamatteksts"/>
        <w:ind w:right="-142"/>
        <w:jc w:val="both"/>
        <w:rPr>
          <w:i/>
        </w:rPr>
      </w:pPr>
    </w:p>
    <w:p w14:paraId="4F5AF7CF" w14:textId="77777777" w:rsidR="00D2408D" w:rsidRDefault="00D2408D" w:rsidP="00CD363C">
      <w:pPr>
        <w:pStyle w:val="Pamatteksts"/>
        <w:ind w:right="-142"/>
        <w:jc w:val="both"/>
        <w:rPr>
          <w:i/>
          <w:sz w:val="25"/>
        </w:rPr>
      </w:pPr>
    </w:p>
    <w:p w14:paraId="6FE1A80C" w14:textId="77777777" w:rsidR="00D2408D" w:rsidRDefault="00D2408D" w:rsidP="00CD363C">
      <w:pPr>
        <w:pStyle w:val="Virsraksts6"/>
        <w:ind w:left="218" w:right="-142"/>
        <w:jc w:val="both"/>
      </w:pPr>
      <w:r>
        <w:rPr>
          <w:color w:val="002069"/>
          <w:u w:val="thick" w:color="002069"/>
        </w:rPr>
        <w:t>Tālākajai pārstrādei paredzēto kokmateriālu uzskaite</w:t>
      </w:r>
    </w:p>
    <w:p w14:paraId="3EF8CB1F" w14:textId="77777777" w:rsidR="00D2408D" w:rsidRDefault="00D2408D" w:rsidP="00CD363C">
      <w:pPr>
        <w:pStyle w:val="Pamatteksts"/>
        <w:ind w:left="-567" w:right="-142"/>
        <w:jc w:val="both"/>
      </w:pPr>
      <w:r>
        <w:t>Krājumu patiesā vērtība – 169,00 EUR – pēc krājumu sākotnējās atzīšanas kļūst par krājumu uzskaites vērtību.</w:t>
      </w:r>
    </w:p>
    <w:p w14:paraId="69953A5A" w14:textId="77777777" w:rsidR="00D2408D" w:rsidRDefault="00D2408D" w:rsidP="00CD363C">
      <w:pPr>
        <w:spacing w:after="0" w:line="240" w:lineRule="auto"/>
        <w:ind w:left="218" w:right="-142"/>
        <w:jc w:val="both"/>
        <w:rPr>
          <w:i/>
        </w:rPr>
      </w:pPr>
      <w:r>
        <w:rPr>
          <w:i/>
        </w:rPr>
        <w:t>Grāmatojums, pārklasificējot kokmateriālu krājumus, kas tiks pārstrādāti apdares dēļos, uz nepabeigtajiem ražojumiem:</w:t>
      </w:r>
    </w:p>
    <w:p w14:paraId="1CEC8396" w14:textId="77777777" w:rsidR="00D2408D" w:rsidRDefault="00D2408D" w:rsidP="00CD363C">
      <w:pPr>
        <w:pStyle w:val="Pamatteksts"/>
        <w:ind w:right="-142"/>
        <w:jc w:val="both"/>
        <w:rPr>
          <w:i/>
          <w:sz w:val="14"/>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920"/>
        <w:gridCol w:w="4145"/>
        <w:gridCol w:w="1427"/>
      </w:tblGrid>
      <w:tr w:rsidR="00D2408D" w14:paraId="2F4FB110" w14:textId="77777777" w:rsidTr="00D2408D">
        <w:trPr>
          <w:trHeight w:val="289"/>
        </w:trPr>
        <w:tc>
          <w:tcPr>
            <w:tcW w:w="514" w:type="dxa"/>
          </w:tcPr>
          <w:p w14:paraId="3880D2C1" w14:textId="77777777" w:rsidR="00D2408D" w:rsidRDefault="00D2408D" w:rsidP="00CD363C">
            <w:pPr>
              <w:pStyle w:val="TableParagraph"/>
              <w:ind w:right="-142"/>
              <w:jc w:val="both"/>
              <w:rPr>
                <w:i/>
              </w:rPr>
            </w:pPr>
            <w:r>
              <w:rPr>
                <w:i/>
              </w:rPr>
              <w:t>D</w:t>
            </w:r>
          </w:p>
        </w:tc>
        <w:tc>
          <w:tcPr>
            <w:tcW w:w="920" w:type="dxa"/>
          </w:tcPr>
          <w:p w14:paraId="412217F8" w14:textId="77777777" w:rsidR="00D2408D" w:rsidRDefault="00D2408D" w:rsidP="00CD363C">
            <w:pPr>
              <w:pStyle w:val="TableParagraph"/>
              <w:ind w:left="153" w:right="-142"/>
              <w:jc w:val="both"/>
              <w:rPr>
                <w:i/>
              </w:rPr>
            </w:pPr>
            <w:r>
              <w:rPr>
                <w:i/>
              </w:rPr>
              <w:t>2120</w:t>
            </w:r>
          </w:p>
        </w:tc>
        <w:tc>
          <w:tcPr>
            <w:tcW w:w="4145" w:type="dxa"/>
          </w:tcPr>
          <w:p w14:paraId="53FE6779" w14:textId="77777777" w:rsidR="00D2408D" w:rsidRDefault="00D2408D" w:rsidP="00CD363C">
            <w:pPr>
              <w:pStyle w:val="TableParagraph"/>
              <w:ind w:left="324" w:right="-142"/>
              <w:jc w:val="both"/>
              <w:rPr>
                <w:i/>
              </w:rPr>
            </w:pPr>
            <w:r>
              <w:rPr>
                <w:i/>
              </w:rPr>
              <w:t>Nepabeigtie ražojumi un pasūtījumi</w:t>
            </w:r>
          </w:p>
        </w:tc>
        <w:tc>
          <w:tcPr>
            <w:tcW w:w="1427" w:type="dxa"/>
          </w:tcPr>
          <w:p w14:paraId="61D479C0" w14:textId="77777777" w:rsidR="00D2408D" w:rsidRDefault="00D2408D" w:rsidP="00CD363C">
            <w:pPr>
              <w:pStyle w:val="TableParagraph"/>
              <w:ind w:left="137" w:right="-142"/>
              <w:jc w:val="both"/>
              <w:rPr>
                <w:i/>
              </w:rPr>
            </w:pPr>
            <w:r>
              <w:rPr>
                <w:i/>
              </w:rPr>
              <w:t>169,00 EUR</w:t>
            </w:r>
          </w:p>
        </w:tc>
      </w:tr>
      <w:tr w:rsidR="00D2408D" w14:paraId="6894B93E" w14:textId="77777777" w:rsidTr="00D2408D">
        <w:trPr>
          <w:trHeight w:val="541"/>
        </w:trPr>
        <w:tc>
          <w:tcPr>
            <w:tcW w:w="514" w:type="dxa"/>
          </w:tcPr>
          <w:p w14:paraId="1F488563" w14:textId="77777777" w:rsidR="00D2408D" w:rsidRDefault="00D2408D" w:rsidP="00CD363C">
            <w:pPr>
              <w:pStyle w:val="TableParagraph"/>
              <w:ind w:right="-142"/>
              <w:jc w:val="both"/>
              <w:rPr>
                <w:i/>
              </w:rPr>
            </w:pPr>
            <w:r>
              <w:rPr>
                <w:i/>
              </w:rPr>
              <w:t>K</w:t>
            </w:r>
          </w:p>
        </w:tc>
        <w:tc>
          <w:tcPr>
            <w:tcW w:w="920" w:type="dxa"/>
          </w:tcPr>
          <w:p w14:paraId="3C31E0E3" w14:textId="77777777" w:rsidR="00D2408D" w:rsidRDefault="00D2408D" w:rsidP="00CD363C">
            <w:pPr>
              <w:pStyle w:val="TableParagraph"/>
              <w:ind w:left="153" w:right="-142"/>
              <w:jc w:val="both"/>
              <w:rPr>
                <w:i/>
              </w:rPr>
            </w:pPr>
            <w:r>
              <w:rPr>
                <w:i/>
              </w:rPr>
              <w:t>2140</w:t>
            </w:r>
          </w:p>
        </w:tc>
        <w:tc>
          <w:tcPr>
            <w:tcW w:w="4145" w:type="dxa"/>
          </w:tcPr>
          <w:p w14:paraId="608D2799" w14:textId="77777777" w:rsidR="00D2408D" w:rsidRDefault="00D2408D" w:rsidP="00CD363C">
            <w:pPr>
              <w:pStyle w:val="TableParagraph"/>
              <w:ind w:left="324" w:right="-142"/>
              <w:jc w:val="both"/>
              <w:rPr>
                <w:i/>
              </w:rPr>
            </w:pPr>
            <w:r>
              <w:rPr>
                <w:i/>
              </w:rPr>
              <w:t>Bioloģisko aktīvu produkti un krājumi to uzturēšanai</w:t>
            </w:r>
          </w:p>
        </w:tc>
        <w:tc>
          <w:tcPr>
            <w:tcW w:w="1427" w:type="dxa"/>
          </w:tcPr>
          <w:p w14:paraId="22350F32" w14:textId="77777777" w:rsidR="00D2408D" w:rsidRDefault="00D2408D" w:rsidP="00CD363C">
            <w:pPr>
              <w:pStyle w:val="TableParagraph"/>
              <w:ind w:left="137" w:right="-142"/>
              <w:jc w:val="both"/>
              <w:rPr>
                <w:i/>
              </w:rPr>
            </w:pPr>
            <w:r>
              <w:rPr>
                <w:i/>
              </w:rPr>
              <w:t>169,00 EUR</w:t>
            </w:r>
          </w:p>
        </w:tc>
      </w:tr>
    </w:tbl>
    <w:p w14:paraId="2C9375B0" w14:textId="77777777" w:rsidR="00D2408D" w:rsidRDefault="00D2408D" w:rsidP="00CD363C">
      <w:pPr>
        <w:pStyle w:val="Pamatteksts"/>
        <w:ind w:left="-567" w:right="-142"/>
        <w:jc w:val="both"/>
      </w:pPr>
      <w:r>
        <w:t>Budžeta iestāde noslēdz līgumu ar piegādātāju par kokmateriālu tālāko pārstrādi apdares dēļos, pakalpojuma cena – 60,00 EUR.</w:t>
      </w:r>
    </w:p>
    <w:p w14:paraId="3016A593" w14:textId="77777777" w:rsidR="00D2408D" w:rsidRDefault="00D2408D" w:rsidP="00CD363C">
      <w:pPr>
        <w:spacing w:after="0" w:line="240" w:lineRule="auto"/>
        <w:ind w:left="218" w:right="-142"/>
        <w:jc w:val="both"/>
        <w:rPr>
          <w:i/>
        </w:rPr>
      </w:pPr>
      <w:r>
        <w:rPr>
          <w:i/>
        </w:rPr>
        <w:t>Grāmatojums, saņemot rēķinu par kokmateriālu pārstrādi:</w:t>
      </w:r>
    </w:p>
    <w:p w14:paraId="6FDABA90" w14:textId="77777777" w:rsidR="00D2408D" w:rsidRDefault="00D2408D" w:rsidP="00CD363C">
      <w:pPr>
        <w:pStyle w:val="Pamatteksts"/>
        <w:ind w:right="-142"/>
        <w:jc w:val="both"/>
        <w:rPr>
          <w:i/>
          <w:sz w:val="18"/>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850"/>
        <w:gridCol w:w="4075"/>
        <w:gridCol w:w="1318"/>
      </w:tblGrid>
      <w:tr w:rsidR="00D2408D" w14:paraId="69D82A5F" w14:textId="77777777" w:rsidTr="00D2408D">
        <w:trPr>
          <w:trHeight w:val="289"/>
        </w:trPr>
        <w:tc>
          <w:tcPr>
            <w:tcW w:w="514" w:type="dxa"/>
          </w:tcPr>
          <w:p w14:paraId="35340F10" w14:textId="77777777" w:rsidR="00D2408D" w:rsidRDefault="00D2408D" w:rsidP="00CD363C">
            <w:pPr>
              <w:pStyle w:val="TableParagraph"/>
              <w:ind w:right="-142"/>
              <w:jc w:val="both"/>
              <w:rPr>
                <w:i/>
              </w:rPr>
            </w:pPr>
            <w:r>
              <w:rPr>
                <w:i/>
              </w:rPr>
              <w:t>D</w:t>
            </w:r>
          </w:p>
        </w:tc>
        <w:tc>
          <w:tcPr>
            <w:tcW w:w="850" w:type="dxa"/>
          </w:tcPr>
          <w:p w14:paraId="2932B041" w14:textId="77777777" w:rsidR="00D2408D" w:rsidRDefault="00D2408D" w:rsidP="00CD363C">
            <w:pPr>
              <w:pStyle w:val="TableParagraph"/>
              <w:ind w:left="153" w:right="-142"/>
              <w:jc w:val="both"/>
              <w:rPr>
                <w:i/>
              </w:rPr>
            </w:pPr>
            <w:r>
              <w:rPr>
                <w:i/>
              </w:rPr>
              <w:t>2120</w:t>
            </w:r>
          </w:p>
        </w:tc>
        <w:tc>
          <w:tcPr>
            <w:tcW w:w="4075" w:type="dxa"/>
          </w:tcPr>
          <w:p w14:paraId="18A0867B" w14:textId="77777777" w:rsidR="00D2408D" w:rsidRDefault="00D2408D" w:rsidP="00CD363C">
            <w:pPr>
              <w:pStyle w:val="TableParagraph"/>
              <w:ind w:left="252" w:right="-142"/>
              <w:jc w:val="both"/>
              <w:rPr>
                <w:i/>
              </w:rPr>
            </w:pPr>
            <w:r>
              <w:rPr>
                <w:i/>
              </w:rPr>
              <w:t>Nepabeigtie ražojumi un pasūtījumi</w:t>
            </w:r>
          </w:p>
        </w:tc>
        <w:tc>
          <w:tcPr>
            <w:tcW w:w="1318" w:type="dxa"/>
          </w:tcPr>
          <w:p w14:paraId="6153E07E" w14:textId="77777777" w:rsidR="00D2408D" w:rsidRDefault="00D2408D" w:rsidP="00CD363C">
            <w:pPr>
              <w:pStyle w:val="TableParagraph"/>
              <w:ind w:left="24" w:right="-142"/>
              <w:jc w:val="both"/>
              <w:rPr>
                <w:i/>
              </w:rPr>
            </w:pPr>
            <w:r>
              <w:rPr>
                <w:i/>
              </w:rPr>
              <w:t>60,00 EUR</w:t>
            </w:r>
          </w:p>
        </w:tc>
      </w:tr>
      <w:tr w:rsidR="00D2408D" w14:paraId="671C4DEB" w14:textId="77777777" w:rsidTr="00D2408D">
        <w:trPr>
          <w:trHeight w:val="541"/>
        </w:trPr>
        <w:tc>
          <w:tcPr>
            <w:tcW w:w="514" w:type="dxa"/>
          </w:tcPr>
          <w:p w14:paraId="24DE6E3B" w14:textId="77777777" w:rsidR="00D2408D" w:rsidRDefault="00D2408D" w:rsidP="00CD363C">
            <w:pPr>
              <w:pStyle w:val="TableParagraph"/>
              <w:ind w:right="-142"/>
              <w:jc w:val="both"/>
              <w:rPr>
                <w:i/>
              </w:rPr>
            </w:pPr>
            <w:r>
              <w:rPr>
                <w:i/>
              </w:rPr>
              <w:t>K</w:t>
            </w:r>
          </w:p>
        </w:tc>
        <w:tc>
          <w:tcPr>
            <w:tcW w:w="850" w:type="dxa"/>
          </w:tcPr>
          <w:p w14:paraId="0437A09C" w14:textId="77777777" w:rsidR="00D2408D" w:rsidRDefault="00D2408D" w:rsidP="00CD363C">
            <w:pPr>
              <w:pStyle w:val="TableParagraph"/>
              <w:ind w:left="153" w:right="-142"/>
              <w:jc w:val="both"/>
              <w:rPr>
                <w:i/>
              </w:rPr>
            </w:pPr>
            <w:r>
              <w:rPr>
                <w:i/>
              </w:rPr>
              <w:t>5310</w:t>
            </w:r>
          </w:p>
        </w:tc>
        <w:tc>
          <w:tcPr>
            <w:tcW w:w="4075" w:type="dxa"/>
          </w:tcPr>
          <w:p w14:paraId="6519259C" w14:textId="77777777" w:rsidR="00D2408D" w:rsidRDefault="00D2408D" w:rsidP="00CD363C">
            <w:pPr>
              <w:pStyle w:val="TableParagraph"/>
              <w:ind w:left="252" w:right="-142"/>
              <w:jc w:val="both"/>
              <w:rPr>
                <w:i/>
              </w:rPr>
            </w:pPr>
            <w:r>
              <w:rPr>
                <w:i/>
              </w:rPr>
              <w:t>Īstermiņa saistības pret piegādātājiem un darbuzņēmējiem</w:t>
            </w:r>
          </w:p>
        </w:tc>
        <w:tc>
          <w:tcPr>
            <w:tcW w:w="1318" w:type="dxa"/>
          </w:tcPr>
          <w:p w14:paraId="10C4C092" w14:textId="77777777" w:rsidR="00D2408D" w:rsidRDefault="00D2408D" w:rsidP="00CD363C">
            <w:pPr>
              <w:pStyle w:val="TableParagraph"/>
              <w:ind w:left="24" w:right="-142"/>
              <w:jc w:val="both"/>
              <w:rPr>
                <w:i/>
              </w:rPr>
            </w:pPr>
            <w:r>
              <w:rPr>
                <w:i/>
              </w:rPr>
              <w:t>60,00 EUR</w:t>
            </w:r>
          </w:p>
        </w:tc>
      </w:tr>
    </w:tbl>
    <w:p w14:paraId="43E62901" w14:textId="77777777" w:rsidR="00D2408D" w:rsidRDefault="00D2408D" w:rsidP="00CD363C">
      <w:pPr>
        <w:spacing w:after="0" w:line="240" w:lineRule="auto"/>
        <w:ind w:right="-142"/>
        <w:jc w:val="both"/>
        <w:rPr>
          <w:i/>
        </w:rPr>
      </w:pPr>
      <w:r>
        <w:rPr>
          <w:i/>
        </w:rPr>
        <w:t>Grāmatojums, pārklasificējot pārstrādātos apdares dēļus uz krājumiem, jo tie tiks izmantoti budžeta iestādes funkciju nodrošināšanai:</w:t>
      </w:r>
    </w:p>
    <w:p w14:paraId="6FBFF622" w14:textId="77777777" w:rsidR="00D2408D" w:rsidRDefault="00D2408D" w:rsidP="00CD363C">
      <w:pPr>
        <w:pStyle w:val="Pamatteksts"/>
        <w:ind w:right="-142"/>
        <w:jc w:val="both"/>
        <w:rPr>
          <w:i/>
          <w:sz w:val="14"/>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779"/>
        <w:gridCol w:w="3742"/>
        <w:gridCol w:w="1691"/>
      </w:tblGrid>
      <w:tr w:rsidR="00D2408D" w14:paraId="25F46701" w14:textId="77777777" w:rsidTr="00D2408D">
        <w:trPr>
          <w:trHeight w:val="287"/>
        </w:trPr>
        <w:tc>
          <w:tcPr>
            <w:tcW w:w="514" w:type="dxa"/>
          </w:tcPr>
          <w:p w14:paraId="32527056" w14:textId="77777777" w:rsidR="00D2408D" w:rsidRDefault="00D2408D" w:rsidP="00CD363C">
            <w:pPr>
              <w:pStyle w:val="TableParagraph"/>
              <w:ind w:right="-142"/>
              <w:jc w:val="both"/>
              <w:rPr>
                <w:i/>
              </w:rPr>
            </w:pPr>
            <w:r>
              <w:rPr>
                <w:i/>
              </w:rPr>
              <w:t>D</w:t>
            </w:r>
          </w:p>
        </w:tc>
        <w:tc>
          <w:tcPr>
            <w:tcW w:w="779" w:type="dxa"/>
          </w:tcPr>
          <w:p w14:paraId="1FAC61FE" w14:textId="77777777" w:rsidR="00D2408D" w:rsidRDefault="00D2408D" w:rsidP="00CD363C">
            <w:pPr>
              <w:pStyle w:val="TableParagraph"/>
              <w:ind w:left="136" w:right="-142"/>
              <w:jc w:val="both"/>
              <w:rPr>
                <w:i/>
              </w:rPr>
            </w:pPr>
            <w:r>
              <w:rPr>
                <w:i/>
              </w:rPr>
              <w:t>2119</w:t>
            </w:r>
          </w:p>
        </w:tc>
        <w:tc>
          <w:tcPr>
            <w:tcW w:w="3742" w:type="dxa"/>
          </w:tcPr>
          <w:p w14:paraId="33382371" w14:textId="77777777" w:rsidR="00D2408D" w:rsidRDefault="00D2408D" w:rsidP="00CD363C">
            <w:pPr>
              <w:pStyle w:val="TableParagraph"/>
              <w:ind w:left="181" w:right="-142"/>
              <w:jc w:val="both"/>
              <w:rPr>
                <w:i/>
              </w:rPr>
            </w:pPr>
            <w:r>
              <w:rPr>
                <w:i/>
              </w:rPr>
              <w:t>Pārējie materiāli</w:t>
            </w:r>
          </w:p>
        </w:tc>
        <w:tc>
          <w:tcPr>
            <w:tcW w:w="1691" w:type="dxa"/>
          </w:tcPr>
          <w:p w14:paraId="0BB47B8C" w14:textId="77777777" w:rsidR="00D2408D" w:rsidRDefault="00D2408D" w:rsidP="00CD363C">
            <w:pPr>
              <w:pStyle w:val="TableParagraph"/>
              <w:ind w:right="-142"/>
              <w:jc w:val="both"/>
              <w:rPr>
                <w:i/>
              </w:rPr>
            </w:pPr>
            <w:r>
              <w:rPr>
                <w:i/>
              </w:rPr>
              <w:t>229,00 EUR</w:t>
            </w:r>
          </w:p>
        </w:tc>
      </w:tr>
      <w:tr w:rsidR="00D2408D" w14:paraId="37201C6D" w14:textId="77777777" w:rsidTr="00D2408D">
        <w:trPr>
          <w:trHeight w:val="287"/>
        </w:trPr>
        <w:tc>
          <w:tcPr>
            <w:tcW w:w="514" w:type="dxa"/>
          </w:tcPr>
          <w:p w14:paraId="2C204D3C" w14:textId="77777777" w:rsidR="00D2408D" w:rsidRDefault="00D2408D" w:rsidP="00CD363C">
            <w:pPr>
              <w:pStyle w:val="TableParagraph"/>
              <w:ind w:right="-142"/>
              <w:jc w:val="both"/>
              <w:rPr>
                <w:i/>
              </w:rPr>
            </w:pPr>
            <w:r>
              <w:rPr>
                <w:i/>
              </w:rPr>
              <w:t>K</w:t>
            </w:r>
          </w:p>
        </w:tc>
        <w:tc>
          <w:tcPr>
            <w:tcW w:w="779" w:type="dxa"/>
          </w:tcPr>
          <w:p w14:paraId="6E3FAF4A" w14:textId="77777777" w:rsidR="00D2408D" w:rsidRDefault="00D2408D" w:rsidP="00CD363C">
            <w:pPr>
              <w:pStyle w:val="TableParagraph"/>
              <w:ind w:left="136" w:right="-142"/>
              <w:jc w:val="both"/>
              <w:rPr>
                <w:i/>
              </w:rPr>
            </w:pPr>
            <w:r>
              <w:rPr>
                <w:i/>
              </w:rPr>
              <w:t>2120</w:t>
            </w:r>
          </w:p>
        </w:tc>
        <w:tc>
          <w:tcPr>
            <w:tcW w:w="3742" w:type="dxa"/>
          </w:tcPr>
          <w:p w14:paraId="1C34A870" w14:textId="77777777" w:rsidR="00D2408D" w:rsidRDefault="00D2408D" w:rsidP="00CD363C">
            <w:pPr>
              <w:pStyle w:val="TableParagraph"/>
              <w:ind w:left="181" w:right="-142"/>
              <w:jc w:val="both"/>
              <w:rPr>
                <w:i/>
              </w:rPr>
            </w:pPr>
            <w:r>
              <w:rPr>
                <w:i/>
              </w:rPr>
              <w:t>Nepabeigtie ražojumi un pasūtījumi</w:t>
            </w:r>
          </w:p>
        </w:tc>
        <w:tc>
          <w:tcPr>
            <w:tcW w:w="1691" w:type="dxa"/>
          </w:tcPr>
          <w:p w14:paraId="2B2EA296" w14:textId="77777777" w:rsidR="00D2408D" w:rsidRDefault="00D2408D" w:rsidP="00CD363C">
            <w:pPr>
              <w:pStyle w:val="TableParagraph"/>
              <w:ind w:right="-142"/>
              <w:jc w:val="both"/>
              <w:rPr>
                <w:i/>
              </w:rPr>
            </w:pPr>
            <w:r>
              <w:rPr>
                <w:i/>
              </w:rPr>
              <w:t>229,00 EUR</w:t>
            </w:r>
          </w:p>
        </w:tc>
      </w:tr>
    </w:tbl>
    <w:p w14:paraId="65EF4375" w14:textId="77777777" w:rsidR="00D2408D" w:rsidRPr="00B025B5" w:rsidRDefault="00D2408D" w:rsidP="00CD363C">
      <w:pPr>
        <w:spacing w:after="0" w:line="240" w:lineRule="auto"/>
        <w:ind w:right="-142"/>
        <w:jc w:val="both"/>
        <w:rPr>
          <w:rFonts w:ascii="Times New Roman" w:hAnsi="Times New Roman" w:cs="Times New Roman"/>
          <w:b/>
          <w:sz w:val="24"/>
          <w:szCs w:val="24"/>
        </w:rPr>
      </w:pPr>
    </w:p>
    <w:p w14:paraId="26FBD2BF" w14:textId="77777777" w:rsidR="00B025B5" w:rsidRDefault="00B025B5" w:rsidP="00CD363C">
      <w:pPr>
        <w:spacing w:after="0" w:line="240" w:lineRule="auto"/>
        <w:ind w:right="-142"/>
        <w:jc w:val="both"/>
        <w:rPr>
          <w:rFonts w:ascii="Times New Roman" w:hAnsi="Times New Roman" w:cs="Times New Roman"/>
          <w:b/>
          <w:sz w:val="24"/>
          <w:szCs w:val="24"/>
        </w:rPr>
      </w:pPr>
    </w:p>
    <w:p w14:paraId="25D0AACD"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12.3. Bioloģisko aktīvu vērtības samazināšanās</w:t>
      </w:r>
    </w:p>
    <w:p w14:paraId="513543E7"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9. Budžeta iestāde veic darbības attiecībā uz vērtības samazināšanās izvērtējumu tikai tādiem bioloģiskajiem aktīviem, kas uzskaitīti kā pamatlīdzekļi. Budžeta iestāde katra pārskata perioda beigās veic darbības attiecībā uz vērtības samazināšanās izvērtējumu saskaņā ar vispārīgajiem ilgtermiņa ieguldījumu vērtības samazināšanās uzskaites principiem.</w:t>
      </w:r>
    </w:p>
    <w:p w14:paraId="037ACF10" w14:textId="77777777" w:rsidR="00B375D4"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400</w:t>
      </w:r>
      <w:r w:rsidRPr="00BB1A6A">
        <w:rPr>
          <w:rFonts w:ascii="Times New Roman" w:hAnsi="Times New Roman" w:cs="Times New Roman"/>
          <w:sz w:val="24"/>
          <w:szCs w:val="24"/>
        </w:rPr>
        <w:t>. Bioloģiskajiem aktīviem, kas izmantoti lauksaimnieciskajā darbībā, vērtības samazināšanās nav attiecināma.</w:t>
      </w:r>
    </w:p>
    <w:p w14:paraId="196639A2" w14:textId="77777777" w:rsidR="00852F31" w:rsidRDefault="00852F31" w:rsidP="00CD363C">
      <w:pPr>
        <w:spacing w:after="0" w:line="240" w:lineRule="auto"/>
        <w:ind w:right="-142"/>
        <w:jc w:val="both"/>
        <w:rPr>
          <w:rFonts w:ascii="Times New Roman" w:hAnsi="Times New Roman" w:cs="Times New Roman"/>
          <w:sz w:val="24"/>
          <w:szCs w:val="24"/>
        </w:rPr>
      </w:pPr>
    </w:p>
    <w:p w14:paraId="01BDC4C3" w14:textId="77777777" w:rsid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12.4. Bioloģisko aktīvu izslēgšana no uzskaites</w:t>
      </w:r>
    </w:p>
    <w:p w14:paraId="68321633" w14:textId="77777777" w:rsidR="00852F31" w:rsidRPr="00BB1A6A" w:rsidRDefault="00852F31" w:rsidP="00CD363C">
      <w:pPr>
        <w:spacing w:after="0" w:line="240" w:lineRule="auto"/>
        <w:ind w:right="-142"/>
        <w:jc w:val="both"/>
        <w:rPr>
          <w:rFonts w:ascii="Times New Roman" w:hAnsi="Times New Roman" w:cs="Times New Roman"/>
          <w:sz w:val="24"/>
          <w:szCs w:val="24"/>
        </w:rPr>
      </w:pPr>
      <w:r w:rsidRPr="00852F31">
        <w:rPr>
          <w:rFonts w:ascii="Times New Roman" w:hAnsi="Times New Roman" w:cs="Times New Roman"/>
          <w:sz w:val="24"/>
          <w:szCs w:val="24"/>
        </w:rPr>
        <w:t>401.</w:t>
      </w:r>
      <w:r w:rsidRPr="00BB1A6A">
        <w:rPr>
          <w:rFonts w:ascii="Times New Roman" w:hAnsi="Times New Roman" w:cs="Times New Roman"/>
          <w:sz w:val="24"/>
          <w:szCs w:val="24"/>
        </w:rPr>
        <w:t xml:space="preserve"> Zemāk norādītie bioloģisko aktīvu izslēgšanas principi attiecas gan uz tiem bioloģiskajiem aktīviem, kas tiek uzskaitīti kontu grupā 1600 “Bioloģiskie aktīvi lauksaimnieciskajai darbībai”, gan uz tiem bioloģiskajiem aktīviem, kas tiek uzskaitīti kontu grupā 1260 “Bioloģiskie un pazemes aktīvi”. </w:t>
      </w:r>
    </w:p>
    <w:p w14:paraId="648A868F" w14:textId="77777777" w:rsidR="00852F31" w:rsidRPr="00BB1A6A"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w:t>
      </w:r>
      <w:r w:rsidRPr="00BB1A6A">
        <w:rPr>
          <w:rFonts w:ascii="Times New Roman" w:hAnsi="Times New Roman" w:cs="Times New Roman"/>
          <w:sz w:val="24"/>
          <w:szCs w:val="24"/>
        </w:rPr>
        <w:t xml:space="preserve">. Budžeta iestāde pārtrauc bioloģiskā aktīva atzīšanu un izslēdz to no uzskaites sekojošos gadījumos: </w:t>
      </w:r>
    </w:p>
    <w:p w14:paraId="3158F93C"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402.1.</w:t>
      </w:r>
      <w:r w:rsidRPr="00F22CD3">
        <w:rPr>
          <w:rFonts w:ascii="Times New Roman" w:hAnsi="Times New Roman" w:cs="Times New Roman"/>
          <w:sz w:val="24"/>
          <w:szCs w:val="24"/>
        </w:rPr>
        <w:t xml:space="preserve">bioloģisko aktīvu norakstot; </w:t>
      </w:r>
    </w:p>
    <w:p w14:paraId="3D5E521B"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402.2.</w:t>
      </w:r>
      <w:r w:rsidRPr="00F22CD3">
        <w:rPr>
          <w:rFonts w:ascii="Times New Roman" w:hAnsi="Times New Roman" w:cs="Times New Roman"/>
          <w:sz w:val="24"/>
          <w:szCs w:val="24"/>
        </w:rPr>
        <w:t xml:space="preserve">bioloģisko aktīvu atsavinot; </w:t>
      </w:r>
    </w:p>
    <w:p w14:paraId="6680B172"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402.3.</w:t>
      </w:r>
      <w:r w:rsidRPr="00F22CD3">
        <w:rPr>
          <w:rFonts w:ascii="Times New Roman" w:hAnsi="Times New Roman" w:cs="Times New Roman"/>
          <w:sz w:val="24"/>
          <w:szCs w:val="24"/>
        </w:rPr>
        <w:t xml:space="preserve">bioloģisko aktīvu nododot citai budžeta iestādei; </w:t>
      </w:r>
    </w:p>
    <w:p w14:paraId="722441DF"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402.4.</w:t>
      </w:r>
      <w:r w:rsidRPr="00F22CD3">
        <w:rPr>
          <w:rFonts w:ascii="Times New Roman" w:hAnsi="Times New Roman" w:cs="Times New Roman"/>
          <w:sz w:val="24"/>
          <w:szCs w:val="24"/>
        </w:rPr>
        <w:t xml:space="preserve">konstatējot bioloģisko aktīvu iznīcināšanu prettiesiskas darbības dēļ. </w:t>
      </w:r>
    </w:p>
    <w:p w14:paraId="73FFF195" w14:textId="77777777" w:rsidR="00852F31" w:rsidRPr="00BB1A6A"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Pr="00BB1A6A">
        <w:rPr>
          <w:rFonts w:ascii="Times New Roman" w:hAnsi="Times New Roman" w:cs="Times New Roman"/>
          <w:sz w:val="24"/>
          <w:szCs w:val="24"/>
        </w:rPr>
        <w:t xml:space="preserve">3. Gadījumā, ja budžeta iestāde pārtrauc bioloģiskā aktīva turpmāku lietošanu, tā bioloģisko aktīvu noraksta, pamatojoties uz apstiprinātu attaisnojuma dokumentu, piemēram, inventarizācijas aktu vai aktu par bioloģiskā aktīva izslēgšanu. Budžeta iestāde izslēdz bioloģiskā aktīva uzskaites vērtību atbilstošajā izdevumu kontā, veicot sekojošu grāmatojumu: </w:t>
      </w:r>
    </w:p>
    <w:p w14:paraId="3CE3DEC9" w14:textId="77777777" w:rsidR="00852F31" w:rsidRP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 xml:space="preserve">    D 8611 Izdevumi no nefinanšu aktīvu norakstīšanas un likvidēšanas </w:t>
      </w:r>
    </w:p>
    <w:p w14:paraId="0CE69007" w14:textId="77777777" w:rsidR="00852F31" w:rsidRP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 xml:space="preserve">    K 1260 Bioloģiskie un pazemes aktīvi vai </w:t>
      </w:r>
    </w:p>
    <w:p w14:paraId="04300934" w14:textId="77777777" w:rsidR="00852F31" w:rsidRP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 xml:space="preserve">    K 1600 Bioloģiskie aktīvi lauksaimnieciskajai darbībai </w:t>
      </w:r>
    </w:p>
    <w:p w14:paraId="41DDCD42" w14:textId="77777777" w:rsidR="00852F31" w:rsidRPr="00BB1A6A" w:rsidRDefault="008B64E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00852F31" w:rsidRPr="00BB1A6A">
        <w:rPr>
          <w:rFonts w:ascii="Times New Roman" w:hAnsi="Times New Roman" w:cs="Times New Roman"/>
          <w:sz w:val="24"/>
          <w:szCs w:val="24"/>
        </w:rPr>
        <w:t xml:space="preserve">4. Bioloģiskos aktīvus, kurus paredzēts atsavināt, tos pārdodot, un to atsavināšana ir ticama, līdz to atsavināšanai uzskaita apgrozāmo līdzekļu sastāvā to uzskaites vērtībā. Pamatojoties uz attaisnojuma dokumentu budžeta iestāde veic sekojošu grāmatojumu: </w:t>
      </w:r>
    </w:p>
    <w:p w14:paraId="75182DBF" w14:textId="77777777" w:rsidR="00852F31" w:rsidRPr="00C11075" w:rsidRDefault="00C11075" w:rsidP="00CD363C">
      <w:pPr>
        <w:spacing w:after="0" w:line="240" w:lineRule="auto"/>
        <w:ind w:right="-142"/>
        <w:jc w:val="both"/>
        <w:rPr>
          <w:rFonts w:ascii="Times New Roman" w:hAnsi="Times New Roman" w:cs="Times New Roman"/>
          <w:b/>
          <w:sz w:val="24"/>
          <w:szCs w:val="24"/>
        </w:rPr>
      </w:pPr>
      <w:r w:rsidRPr="00C11075">
        <w:rPr>
          <w:rFonts w:ascii="Times New Roman" w:hAnsi="Times New Roman" w:cs="Times New Roman"/>
          <w:b/>
          <w:sz w:val="24"/>
          <w:szCs w:val="24"/>
        </w:rPr>
        <w:t xml:space="preserve">    </w:t>
      </w:r>
      <w:r w:rsidR="00852F31" w:rsidRPr="00C11075">
        <w:rPr>
          <w:rFonts w:ascii="Times New Roman" w:hAnsi="Times New Roman" w:cs="Times New Roman"/>
          <w:b/>
          <w:sz w:val="24"/>
          <w:szCs w:val="24"/>
        </w:rPr>
        <w:t xml:space="preserve">D 2130 Gatavie ražojumi, pasūtījumi un krājumi atsavināšanai </w:t>
      </w:r>
    </w:p>
    <w:p w14:paraId="3B9FF13F" w14:textId="77777777" w:rsidR="00852F31" w:rsidRDefault="00C11075" w:rsidP="00CD363C">
      <w:pPr>
        <w:spacing w:after="0" w:line="240" w:lineRule="auto"/>
        <w:ind w:right="-142"/>
        <w:jc w:val="both"/>
        <w:rPr>
          <w:rFonts w:ascii="Times New Roman" w:hAnsi="Times New Roman" w:cs="Times New Roman"/>
          <w:b/>
          <w:sz w:val="24"/>
          <w:szCs w:val="24"/>
        </w:rPr>
      </w:pPr>
      <w:r w:rsidRPr="00C11075">
        <w:rPr>
          <w:rFonts w:ascii="Times New Roman" w:hAnsi="Times New Roman" w:cs="Times New Roman"/>
          <w:b/>
          <w:sz w:val="24"/>
          <w:szCs w:val="24"/>
        </w:rPr>
        <w:t xml:space="preserve">    </w:t>
      </w:r>
      <w:r w:rsidR="00852F31" w:rsidRPr="00C11075">
        <w:rPr>
          <w:rFonts w:ascii="Times New Roman" w:hAnsi="Times New Roman" w:cs="Times New Roman"/>
          <w:b/>
          <w:sz w:val="24"/>
          <w:szCs w:val="24"/>
        </w:rPr>
        <w:t xml:space="preserve">K 1260 Bioloģiskie un pazemes aktīvi vai </w:t>
      </w:r>
    </w:p>
    <w:p w14:paraId="01F6D748"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K 1600 Bioloģiskie aktīvi lauksaimnieciskajai darbībai </w:t>
      </w:r>
    </w:p>
    <w:p w14:paraId="75AD8D04" w14:textId="77777777" w:rsidR="008B64E2" w:rsidRPr="00BB1A6A" w:rsidRDefault="008B64E2"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Budžeta iestāde veic turpmāku atsavināšanai paredzētā bioloģiskā aktīva uzskaiti.</w:t>
      </w:r>
    </w:p>
    <w:p w14:paraId="1E07C493" w14:textId="77777777" w:rsidR="008B64E2" w:rsidRPr="00BB1A6A" w:rsidRDefault="008B64E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Pr="00BB1A6A">
        <w:rPr>
          <w:rFonts w:ascii="Times New Roman" w:hAnsi="Times New Roman" w:cs="Times New Roman"/>
          <w:sz w:val="24"/>
          <w:szCs w:val="24"/>
        </w:rPr>
        <w:t xml:space="preserve">5. Budžeta iestāde, kas nodod bioloģisko aktīvu citai budžeta iestādei bez atlīdzības, attiecīgo bioloģisko aktīvu izslēdz no uzskaites un atzīst izdevumus no nodotām vērtībām bioloģiskā aktīva uzskaites vērtībā, veicot sekojošu grāmatojumu: </w:t>
      </w:r>
    </w:p>
    <w:p w14:paraId="2B0CF805"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D 8420 Izdevumi no saņemtām un nodotām vērtībām bez atlīdzības </w:t>
      </w:r>
    </w:p>
    <w:p w14:paraId="2B93AFA2"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K 1260 Bioloģiskie un pazemes aktīvi vai </w:t>
      </w:r>
    </w:p>
    <w:p w14:paraId="5BC5AF32"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K 1600 Bioloģiskie aktīvi lauksaimnieciskajai darbībai </w:t>
      </w:r>
    </w:p>
    <w:p w14:paraId="49DEE6BB" w14:textId="77777777" w:rsidR="008B64E2" w:rsidRDefault="008B64E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Pr="00BB1A6A">
        <w:rPr>
          <w:rFonts w:ascii="Times New Roman" w:hAnsi="Times New Roman" w:cs="Times New Roman"/>
          <w:sz w:val="24"/>
          <w:szCs w:val="24"/>
        </w:rPr>
        <w:t>6. Mežaudzes, kurām pārdod cirsmas tiesības, neizslēdz no uzskaites un nepārklasificē krājumu sastāvā.</w:t>
      </w:r>
    </w:p>
    <w:p w14:paraId="07467E69" w14:textId="77777777" w:rsidR="008B64E2" w:rsidRDefault="008B64E2" w:rsidP="00CD363C">
      <w:pPr>
        <w:spacing w:after="0" w:line="240" w:lineRule="auto"/>
        <w:ind w:right="-142"/>
        <w:jc w:val="both"/>
        <w:rPr>
          <w:rFonts w:ascii="Times New Roman" w:hAnsi="Times New Roman" w:cs="Times New Roman"/>
          <w:sz w:val="24"/>
          <w:szCs w:val="24"/>
        </w:rPr>
      </w:pPr>
    </w:p>
    <w:p w14:paraId="366C39E4" w14:textId="77777777" w:rsid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12.5. Bioloģisko aktīvu inventarizācija</w:t>
      </w:r>
    </w:p>
    <w:p w14:paraId="70F5BF0F"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407.</w:t>
      </w:r>
      <w:r w:rsidRPr="008B64E2">
        <w:rPr>
          <w:rFonts w:ascii="Times New Roman" w:hAnsi="Times New Roman" w:cs="Times New Roman"/>
          <w:sz w:val="24"/>
          <w:szCs w:val="24"/>
        </w:rPr>
        <w:t>Lai nodrošinātu, ka budžeta iestādes pārskatos ir ietverti visi bioloģiskie aktīvi, pārskata perioda beigās veic bioloģisko aktīvu</w:t>
      </w:r>
      <w:r w:rsidRPr="008B64E2">
        <w:rPr>
          <w:rFonts w:ascii="Times New Roman" w:hAnsi="Times New Roman" w:cs="Times New Roman"/>
          <w:spacing w:val="-1"/>
          <w:sz w:val="24"/>
          <w:szCs w:val="24"/>
        </w:rPr>
        <w:t xml:space="preserve"> </w:t>
      </w:r>
      <w:r w:rsidRPr="008B64E2">
        <w:rPr>
          <w:rFonts w:ascii="Times New Roman" w:hAnsi="Times New Roman" w:cs="Times New Roman"/>
          <w:sz w:val="24"/>
          <w:szCs w:val="24"/>
        </w:rPr>
        <w:t>inventarizāciju.</w:t>
      </w:r>
    </w:p>
    <w:p w14:paraId="1EAF9D7C"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408.</w:t>
      </w:r>
      <w:r w:rsidRPr="008B64E2">
        <w:rPr>
          <w:rFonts w:ascii="Times New Roman" w:hAnsi="Times New Roman" w:cs="Times New Roman"/>
          <w:sz w:val="24"/>
          <w:szCs w:val="24"/>
        </w:rPr>
        <w:t>Vienlaikus pārskata gada beigās budžeta iestāde novērtē, vai pastāv kādas pazīmes, kas liecina par iespējamo bioloģisko aktīvu vērtības</w:t>
      </w:r>
      <w:r w:rsidRPr="008B64E2">
        <w:rPr>
          <w:rFonts w:ascii="Times New Roman" w:hAnsi="Times New Roman" w:cs="Times New Roman"/>
          <w:spacing w:val="-1"/>
          <w:sz w:val="24"/>
          <w:szCs w:val="24"/>
        </w:rPr>
        <w:t xml:space="preserve"> </w:t>
      </w:r>
      <w:r w:rsidRPr="008B64E2">
        <w:rPr>
          <w:rFonts w:ascii="Times New Roman" w:hAnsi="Times New Roman" w:cs="Times New Roman"/>
          <w:sz w:val="24"/>
          <w:szCs w:val="24"/>
        </w:rPr>
        <w:t>samazināšanos.</w:t>
      </w:r>
    </w:p>
    <w:p w14:paraId="52395B6A"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409.</w:t>
      </w:r>
      <w:r w:rsidRPr="008B64E2">
        <w:rPr>
          <w:rFonts w:ascii="Times New Roman" w:hAnsi="Times New Roman" w:cs="Times New Roman"/>
          <w:sz w:val="24"/>
          <w:szCs w:val="24"/>
        </w:rPr>
        <w:t>Bioloģisko aktīvu inventarizāciju veic saskaņā ar normatīvajos aktos noteikto kārtību, kā arī budžeta iestādē</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apstiprināto</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inventarizācijas</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kārtību.</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Vienlaikus</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mežaudžu</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inventarizācijas</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veikšanā</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ņem</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vērā</w:t>
      </w:r>
      <w:r w:rsidRPr="008B64E2">
        <w:rPr>
          <w:rFonts w:ascii="Times New Roman" w:hAnsi="Times New Roman" w:cs="Times New Roman"/>
          <w:color w:val="0462C1"/>
          <w:sz w:val="24"/>
          <w:szCs w:val="24"/>
          <w:u w:val="single" w:color="0462C1"/>
        </w:rPr>
        <w:t xml:space="preserve"> </w:t>
      </w:r>
      <w:hyperlink r:id="rId32">
        <w:r w:rsidRPr="008B64E2">
          <w:rPr>
            <w:rFonts w:ascii="Times New Roman" w:hAnsi="Times New Roman" w:cs="Times New Roman"/>
            <w:color w:val="0462C1"/>
            <w:sz w:val="24"/>
            <w:szCs w:val="24"/>
            <w:u w:val="single" w:color="0462C1"/>
          </w:rPr>
          <w:t>Meža likumā</w:t>
        </w:r>
        <w:r w:rsidRPr="008B64E2">
          <w:rPr>
            <w:rFonts w:ascii="Times New Roman" w:hAnsi="Times New Roman" w:cs="Times New Roman"/>
            <w:color w:val="0462C1"/>
            <w:sz w:val="24"/>
            <w:szCs w:val="24"/>
          </w:rPr>
          <w:t xml:space="preserve"> </w:t>
        </w:r>
      </w:hyperlink>
      <w:r w:rsidRPr="008B64E2">
        <w:rPr>
          <w:rFonts w:ascii="Times New Roman" w:hAnsi="Times New Roman" w:cs="Times New Roman"/>
          <w:sz w:val="24"/>
          <w:szCs w:val="24"/>
        </w:rPr>
        <w:t>noteiktās</w:t>
      </w:r>
      <w:r w:rsidRPr="008B64E2">
        <w:rPr>
          <w:rFonts w:ascii="Times New Roman" w:hAnsi="Times New Roman" w:cs="Times New Roman"/>
          <w:spacing w:val="3"/>
          <w:sz w:val="24"/>
          <w:szCs w:val="24"/>
        </w:rPr>
        <w:t xml:space="preserve"> </w:t>
      </w:r>
      <w:r w:rsidRPr="008B64E2">
        <w:rPr>
          <w:rFonts w:ascii="Times New Roman" w:hAnsi="Times New Roman" w:cs="Times New Roman"/>
          <w:sz w:val="24"/>
          <w:szCs w:val="24"/>
        </w:rPr>
        <w:t>prasības.</w:t>
      </w:r>
    </w:p>
    <w:p w14:paraId="7D74C247"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410.</w:t>
      </w:r>
      <w:r w:rsidRPr="008B64E2">
        <w:rPr>
          <w:rFonts w:ascii="Times New Roman" w:hAnsi="Times New Roman" w:cs="Times New Roman"/>
          <w:sz w:val="24"/>
          <w:szCs w:val="24"/>
        </w:rPr>
        <w:t>Inventarizāciju</w:t>
      </w:r>
      <w:r w:rsidRPr="008B64E2">
        <w:rPr>
          <w:rFonts w:ascii="Times New Roman" w:hAnsi="Times New Roman" w:cs="Times New Roman"/>
          <w:spacing w:val="-8"/>
          <w:sz w:val="24"/>
          <w:szCs w:val="24"/>
        </w:rPr>
        <w:t xml:space="preserve"> </w:t>
      </w:r>
      <w:r w:rsidRPr="008B64E2">
        <w:rPr>
          <w:rFonts w:ascii="Times New Roman" w:hAnsi="Times New Roman" w:cs="Times New Roman"/>
          <w:sz w:val="24"/>
          <w:szCs w:val="24"/>
        </w:rPr>
        <w:t>veic</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vismaz</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reizi</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gadā</w:t>
      </w:r>
      <w:r w:rsidRPr="008B64E2">
        <w:rPr>
          <w:rFonts w:ascii="Times New Roman" w:hAnsi="Times New Roman" w:cs="Times New Roman"/>
          <w:spacing w:val="-4"/>
          <w:sz w:val="24"/>
          <w:szCs w:val="24"/>
        </w:rPr>
        <w:t xml:space="preserve"> </w:t>
      </w:r>
      <w:r w:rsidRPr="008B64E2">
        <w:rPr>
          <w:rFonts w:ascii="Times New Roman" w:hAnsi="Times New Roman" w:cs="Times New Roman"/>
          <w:sz w:val="24"/>
          <w:szCs w:val="24"/>
        </w:rPr>
        <w:t>–</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pārskata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gada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slēguma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inventarizāciju</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veic</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triju</w:t>
      </w:r>
      <w:r w:rsidRPr="008B64E2">
        <w:rPr>
          <w:rFonts w:ascii="Times New Roman" w:hAnsi="Times New Roman" w:cs="Times New Roman"/>
          <w:spacing w:val="-8"/>
          <w:sz w:val="24"/>
          <w:szCs w:val="24"/>
        </w:rPr>
        <w:t xml:space="preserve"> </w:t>
      </w:r>
      <w:r w:rsidRPr="008B64E2">
        <w:rPr>
          <w:rFonts w:ascii="Times New Roman" w:hAnsi="Times New Roman" w:cs="Times New Roman"/>
          <w:sz w:val="24"/>
          <w:szCs w:val="24"/>
        </w:rPr>
        <w:t>mēnešu</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laikā pirms pārskata gada beigu dienas vai mēneša laikā pēc tās, pārrēķinot inventarizācijas dienā konstatētos</w:t>
      </w:r>
      <w:r w:rsidRPr="008B64E2">
        <w:rPr>
          <w:rFonts w:ascii="Times New Roman" w:hAnsi="Times New Roman" w:cs="Times New Roman"/>
          <w:spacing w:val="-8"/>
          <w:sz w:val="24"/>
          <w:szCs w:val="24"/>
        </w:rPr>
        <w:t xml:space="preserve"> </w:t>
      </w:r>
      <w:r w:rsidRPr="008B64E2">
        <w:rPr>
          <w:rFonts w:ascii="Times New Roman" w:hAnsi="Times New Roman" w:cs="Times New Roman"/>
          <w:sz w:val="24"/>
          <w:szCs w:val="24"/>
        </w:rPr>
        <w:t>atlikumus</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atbilstoši</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grāmatvedības</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datiem</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pārskata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gada</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beigu</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dienā,</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bet,</w:t>
      </w:r>
      <w:r w:rsidRPr="008B64E2">
        <w:rPr>
          <w:rFonts w:ascii="Times New Roman" w:hAnsi="Times New Roman" w:cs="Times New Roman"/>
          <w:spacing w:val="-12"/>
          <w:sz w:val="24"/>
          <w:szCs w:val="24"/>
        </w:rPr>
        <w:t xml:space="preserve"> </w:t>
      </w:r>
      <w:r w:rsidRPr="008B64E2">
        <w:rPr>
          <w:rFonts w:ascii="Times New Roman" w:hAnsi="Times New Roman" w:cs="Times New Roman"/>
          <w:sz w:val="24"/>
          <w:szCs w:val="24"/>
        </w:rPr>
        <w:t>ja</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nepieciešams (atbildīgās personas maiņas gadījumā u.tml.), arī</w:t>
      </w:r>
      <w:r w:rsidRPr="008B64E2">
        <w:rPr>
          <w:rFonts w:ascii="Times New Roman" w:hAnsi="Times New Roman" w:cs="Times New Roman"/>
          <w:spacing w:val="-3"/>
          <w:sz w:val="24"/>
          <w:szCs w:val="24"/>
        </w:rPr>
        <w:t xml:space="preserve"> </w:t>
      </w:r>
      <w:r w:rsidRPr="008B64E2">
        <w:rPr>
          <w:rFonts w:ascii="Times New Roman" w:hAnsi="Times New Roman" w:cs="Times New Roman"/>
          <w:sz w:val="24"/>
          <w:szCs w:val="24"/>
        </w:rPr>
        <w:t>biežāk.</w:t>
      </w:r>
    </w:p>
    <w:p w14:paraId="034E16A8"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411.</w:t>
      </w:r>
      <w:r w:rsidRPr="008B64E2">
        <w:rPr>
          <w:rFonts w:ascii="Times New Roman" w:hAnsi="Times New Roman" w:cs="Times New Roman"/>
          <w:sz w:val="24"/>
          <w:szCs w:val="24"/>
        </w:rPr>
        <w:t>Inventarizāciju veic budžeta iestādes vadītāja apstiprināta inventarizācijas komisija, un tās rezultātus apstiprina inventarizācijas komisijas locekļi, budžeta iestādes vadītājs un materiāli atbildīgās personas.</w:t>
      </w:r>
    </w:p>
    <w:p w14:paraId="65C7DE0E"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412.</w:t>
      </w:r>
      <w:r w:rsidRPr="008B64E2">
        <w:rPr>
          <w:rFonts w:ascii="Times New Roman" w:hAnsi="Times New Roman" w:cs="Times New Roman"/>
          <w:sz w:val="24"/>
          <w:szCs w:val="24"/>
        </w:rPr>
        <w:t>Inventarizācijas</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komisijas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personālsastāvu</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un</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inventarizācijas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sākšanas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un</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beigšanas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termiņus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Pr="008B64E2">
        <w:rPr>
          <w:rFonts w:ascii="Times New Roman" w:hAnsi="Times New Roman" w:cs="Times New Roman"/>
          <w:spacing w:val="-3"/>
          <w:sz w:val="24"/>
          <w:szCs w:val="24"/>
        </w:rPr>
        <w:t xml:space="preserve"> </w:t>
      </w:r>
      <w:r w:rsidRPr="008B64E2">
        <w:rPr>
          <w:rFonts w:ascii="Times New Roman" w:hAnsi="Times New Roman" w:cs="Times New Roman"/>
          <w:sz w:val="24"/>
          <w:szCs w:val="24"/>
        </w:rPr>
        <w:t>termiņus.</w:t>
      </w:r>
    </w:p>
    <w:p w14:paraId="3F9EB3AD"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413.</w:t>
      </w:r>
      <w:r w:rsidRPr="008B64E2">
        <w:rPr>
          <w:rFonts w:ascii="Times New Roman" w:hAnsi="Times New Roman" w:cs="Times New Roman"/>
          <w:sz w:val="24"/>
          <w:szCs w:val="24"/>
        </w:rPr>
        <w:t>Gadījumā, ja inventarizācijas rezultātā ir konstatēts bioloģisks aktīvs, kas līdz šim nav bijis iekļauts uzskaitē, budžeta iestādes vadītāja apstiprināta komisija, ja nepieciešams, pieaicinot attiecīgās jomas speciālistus,</w:t>
      </w:r>
      <w:r w:rsidRPr="008B64E2">
        <w:rPr>
          <w:rFonts w:ascii="Times New Roman" w:hAnsi="Times New Roman" w:cs="Times New Roman"/>
          <w:spacing w:val="-16"/>
          <w:sz w:val="24"/>
          <w:szCs w:val="24"/>
        </w:rPr>
        <w:t xml:space="preserve"> </w:t>
      </w:r>
      <w:r w:rsidRPr="008B64E2">
        <w:rPr>
          <w:rFonts w:ascii="Times New Roman" w:hAnsi="Times New Roman" w:cs="Times New Roman"/>
          <w:sz w:val="24"/>
          <w:szCs w:val="24"/>
        </w:rPr>
        <w:t>vai</w:t>
      </w:r>
      <w:r w:rsidRPr="008B64E2">
        <w:rPr>
          <w:rFonts w:ascii="Times New Roman" w:hAnsi="Times New Roman" w:cs="Times New Roman"/>
          <w:spacing w:val="-12"/>
          <w:sz w:val="24"/>
          <w:szCs w:val="24"/>
        </w:rPr>
        <w:t xml:space="preserve"> </w:t>
      </w:r>
      <w:r w:rsidRPr="008B64E2">
        <w:rPr>
          <w:rFonts w:ascii="Times New Roman" w:hAnsi="Times New Roman" w:cs="Times New Roman"/>
          <w:sz w:val="24"/>
          <w:szCs w:val="24"/>
        </w:rPr>
        <w:t>budžeta</w:t>
      </w:r>
      <w:r w:rsidRPr="008B64E2">
        <w:rPr>
          <w:rFonts w:ascii="Times New Roman" w:hAnsi="Times New Roman" w:cs="Times New Roman"/>
          <w:spacing w:val="-15"/>
          <w:sz w:val="24"/>
          <w:szCs w:val="24"/>
        </w:rPr>
        <w:t xml:space="preserve"> </w:t>
      </w:r>
      <w:r w:rsidRPr="008B64E2">
        <w:rPr>
          <w:rFonts w:ascii="Times New Roman" w:hAnsi="Times New Roman" w:cs="Times New Roman"/>
          <w:sz w:val="24"/>
          <w:szCs w:val="24"/>
        </w:rPr>
        <w:t>iestādes</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apstiprināts</w:t>
      </w:r>
      <w:r w:rsidRPr="008B64E2">
        <w:rPr>
          <w:rFonts w:ascii="Times New Roman" w:hAnsi="Times New Roman" w:cs="Times New Roman"/>
          <w:spacing w:val="-14"/>
          <w:sz w:val="24"/>
          <w:szCs w:val="24"/>
        </w:rPr>
        <w:t xml:space="preserve"> </w:t>
      </w:r>
      <w:r w:rsidRPr="008B64E2">
        <w:rPr>
          <w:rFonts w:ascii="Times New Roman" w:hAnsi="Times New Roman" w:cs="Times New Roman"/>
          <w:sz w:val="24"/>
          <w:szCs w:val="24"/>
        </w:rPr>
        <w:t>atbildīgais</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attiecīgās</w:t>
      </w:r>
      <w:r w:rsidRPr="008B64E2">
        <w:rPr>
          <w:rFonts w:ascii="Times New Roman" w:hAnsi="Times New Roman" w:cs="Times New Roman"/>
          <w:spacing w:val="-15"/>
          <w:sz w:val="24"/>
          <w:szCs w:val="24"/>
        </w:rPr>
        <w:t xml:space="preserve"> </w:t>
      </w:r>
      <w:r w:rsidRPr="008B64E2">
        <w:rPr>
          <w:rFonts w:ascii="Times New Roman" w:hAnsi="Times New Roman" w:cs="Times New Roman"/>
          <w:sz w:val="24"/>
          <w:szCs w:val="24"/>
        </w:rPr>
        <w:t>jomas</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speciālists</w:t>
      </w:r>
      <w:r w:rsidRPr="008B64E2">
        <w:rPr>
          <w:rFonts w:ascii="Times New Roman" w:hAnsi="Times New Roman" w:cs="Times New Roman"/>
          <w:spacing w:val="-1"/>
          <w:sz w:val="24"/>
          <w:szCs w:val="24"/>
        </w:rPr>
        <w:t xml:space="preserve"> </w:t>
      </w:r>
      <w:r w:rsidRPr="008B64E2">
        <w:rPr>
          <w:rFonts w:ascii="Times New Roman" w:hAnsi="Times New Roman" w:cs="Times New Roman"/>
          <w:sz w:val="24"/>
          <w:szCs w:val="24"/>
        </w:rPr>
        <w:t>nosaka</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bioloģiskā aktīva vērtību un sagatavo bioloģiskā aktīva novērtēšanas</w:t>
      </w:r>
      <w:r w:rsidRPr="008B64E2">
        <w:rPr>
          <w:rFonts w:ascii="Times New Roman" w:hAnsi="Times New Roman" w:cs="Times New Roman"/>
          <w:spacing w:val="-5"/>
          <w:sz w:val="24"/>
          <w:szCs w:val="24"/>
        </w:rPr>
        <w:t xml:space="preserve"> </w:t>
      </w:r>
      <w:r w:rsidRPr="008B64E2">
        <w:rPr>
          <w:rFonts w:ascii="Times New Roman" w:hAnsi="Times New Roman" w:cs="Times New Roman"/>
          <w:sz w:val="24"/>
          <w:szCs w:val="24"/>
        </w:rPr>
        <w:t>aktu.</w:t>
      </w:r>
    </w:p>
    <w:p w14:paraId="465FD69A" w14:textId="77777777" w:rsid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414.</w:t>
      </w:r>
      <w:r w:rsidRPr="008B64E2">
        <w:rPr>
          <w:rFonts w:ascii="Times New Roman" w:hAnsi="Times New Roman" w:cs="Times New Roman"/>
          <w:sz w:val="24"/>
          <w:szCs w:val="24"/>
        </w:rPr>
        <w:t>Budžeta iestāde, pamatojoties uz komisijas vai speciālista sagatavoto aktu, atzīst sākotnēji uzskaitē bioloģisko aktīvu, komisijas noteiktajā vērtībā palielinot attiecīgo bioloģisko aktīvu un atbilstošo ieņēmumu kontu, veicot sekojošu grāmatojumu:</w:t>
      </w:r>
    </w:p>
    <w:p w14:paraId="65B8BB38" w14:textId="77777777" w:rsidR="008B64E2" w:rsidRDefault="008B64E2" w:rsidP="00CD363C">
      <w:pPr>
        <w:pStyle w:val="Pamatteksts"/>
        <w:ind w:right="-142"/>
        <w:jc w:val="both"/>
        <w:rPr>
          <w:b/>
          <w:sz w:val="24"/>
          <w:szCs w:val="24"/>
        </w:rPr>
      </w:pPr>
      <w:r w:rsidRPr="008B64E2">
        <w:rPr>
          <w:b/>
          <w:sz w:val="24"/>
          <w:szCs w:val="24"/>
        </w:rPr>
        <w:t xml:space="preserve">    D 1260 Bioloģiskie un pazemes aktīvi, vai</w:t>
      </w:r>
    </w:p>
    <w:p w14:paraId="7AF3350C" w14:textId="77777777" w:rsidR="00090DA6" w:rsidRPr="008B64E2" w:rsidRDefault="00090DA6" w:rsidP="00CD363C">
      <w:pPr>
        <w:pStyle w:val="Pamatteksts"/>
        <w:ind w:right="-142"/>
        <w:jc w:val="both"/>
        <w:rPr>
          <w:b/>
          <w:sz w:val="24"/>
          <w:szCs w:val="24"/>
        </w:rPr>
      </w:pPr>
    </w:p>
    <w:p w14:paraId="5F47082A" w14:textId="77777777" w:rsidR="008B64E2" w:rsidRDefault="008B64E2" w:rsidP="00CD363C">
      <w:pPr>
        <w:pStyle w:val="Pamatteksts"/>
        <w:ind w:right="-142"/>
        <w:jc w:val="both"/>
        <w:rPr>
          <w:b/>
          <w:sz w:val="24"/>
          <w:szCs w:val="24"/>
        </w:rPr>
      </w:pPr>
      <w:r w:rsidRPr="008B64E2">
        <w:rPr>
          <w:b/>
          <w:sz w:val="24"/>
          <w:szCs w:val="24"/>
        </w:rPr>
        <w:t xml:space="preserve">    D 1600 Bioloģiskie aktīvi lauksaimnieciskajai darbībai</w:t>
      </w:r>
    </w:p>
    <w:p w14:paraId="4311285F" w14:textId="77777777" w:rsidR="00090DA6" w:rsidRPr="008B64E2" w:rsidRDefault="00090DA6" w:rsidP="00CD363C">
      <w:pPr>
        <w:pStyle w:val="Pamatteksts"/>
        <w:ind w:right="-142"/>
        <w:jc w:val="both"/>
        <w:rPr>
          <w:b/>
          <w:sz w:val="24"/>
          <w:szCs w:val="24"/>
        </w:rPr>
      </w:pPr>
    </w:p>
    <w:p w14:paraId="04469AAF" w14:textId="77777777" w:rsidR="008B64E2" w:rsidRDefault="008B64E2" w:rsidP="00CD363C">
      <w:pPr>
        <w:pStyle w:val="Pamatteksts"/>
        <w:ind w:right="-142"/>
        <w:jc w:val="both"/>
        <w:rPr>
          <w:b/>
          <w:sz w:val="24"/>
          <w:szCs w:val="24"/>
        </w:rPr>
      </w:pPr>
      <w:r w:rsidRPr="008B64E2">
        <w:rPr>
          <w:b/>
          <w:sz w:val="24"/>
          <w:szCs w:val="24"/>
        </w:rPr>
        <w:t xml:space="preserve">    K 8580 Ieņēmumi no ilgtermiņa aktīvu sākotnējās atzīšanas </w:t>
      </w:r>
    </w:p>
    <w:p w14:paraId="23A8DAB5" w14:textId="77777777" w:rsidR="00090DA6" w:rsidRDefault="00090DA6" w:rsidP="00CD363C">
      <w:pPr>
        <w:pStyle w:val="Pamatteksts"/>
        <w:ind w:right="-142"/>
        <w:jc w:val="both"/>
        <w:rPr>
          <w:b/>
          <w:sz w:val="24"/>
          <w:szCs w:val="24"/>
        </w:rPr>
      </w:pPr>
    </w:p>
    <w:p w14:paraId="1FDB0EE6" w14:textId="77777777" w:rsid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415.</w:t>
      </w:r>
      <w:r w:rsidRPr="008B64E2">
        <w:rPr>
          <w:rFonts w:ascii="Times New Roman" w:hAnsi="Times New Roman" w:cs="Times New Roman"/>
          <w:sz w:val="24"/>
          <w:szCs w:val="24"/>
        </w:rPr>
        <w:t>Gadījumā, ja inventarizācijas rezultātā ir konstatēts bioloģiskā aktīva iztrūkums vai iznīcināšana prettiesiskas darbības dēļ, budžeta iestāde, pamatojoties uz iestādes vadītāja apstiprinātu kārtību, attiecīgo bioloģisko aktīvu noraksta no uzskaites, veicot sekojošu</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grāmatojumu:</w:t>
      </w:r>
    </w:p>
    <w:p w14:paraId="31D7496C" w14:textId="77777777" w:rsidR="008B64E2" w:rsidRDefault="00090DA6" w:rsidP="00CD363C">
      <w:pPr>
        <w:widowControl w:val="0"/>
        <w:tabs>
          <w:tab w:val="left" w:pos="898"/>
        </w:tabs>
        <w:autoSpaceDE w:val="0"/>
        <w:autoSpaceDN w:val="0"/>
        <w:spacing w:after="0" w:line="240" w:lineRule="auto"/>
        <w:ind w:right="-142"/>
        <w:jc w:val="both"/>
        <w:rPr>
          <w:rFonts w:ascii="Times New Roman" w:hAnsi="Times New Roman" w:cs="Times New Roman"/>
          <w:b/>
          <w:sz w:val="24"/>
          <w:szCs w:val="24"/>
        </w:rPr>
      </w:pPr>
      <w:r w:rsidRPr="00090DA6">
        <w:rPr>
          <w:rFonts w:ascii="Times New Roman" w:hAnsi="Times New Roman" w:cs="Times New Roman"/>
          <w:b/>
          <w:sz w:val="24"/>
          <w:szCs w:val="24"/>
        </w:rPr>
        <w:t xml:space="preserve">    </w:t>
      </w:r>
      <w:r w:rsidR="008B64E2" w:rsidRPr="00090DA6">
        <w:rPr>
          <w:rFonts w:ascii="Times New Roman" w:hAnsi="Times New Roman" w:cs="Times New Roman"/>
          <w:b/>
          <w:sz w:val="24"/>
          <w:szCs w:val="24"/>
        </w:rPr>
        <w:t>D 8610 Izdevumi no nefinanšu aktīvu izslēgšanas</w:t>
      </w:r>
    </w:p>
    <w:p w14:paraId="2B289318" w14:textId="77777777" w:rsidR="008B64E2" w:rsidRDefault="00090DA6" w:rsidP="00CD363C">
      <w:pPr>
        <w:pStyle w:val="Pamatteksts"/>
        <w:ind w:right="-142"/>
        <w:jc w:val="both"/>
        <w:rPr>
          <w:b/>
          <w:sz w:val="24"/>
          <w:szCs w:val="24"/>
        </w:rPr>
      </w:pPr>
      <w:r w:rsidRPr="00090DA6">
        <w:rPr>
          <w:b/>
          <w:sz w:val="24"/>
          <w:szCs w:val="24"/>
        </w:rPr>
        <w:t xml:space="preserve">    K 1260 Bioloģiskie un pazemes aktīvi</w:t>
      </w:r>
      <w:r>
        <w:rPr>
          <w:b/>
          <w:sz w:val="24"/>
          <w:szCs w:val="24"/>
        </w:rPr>
        <w:t>, vai</w:t>
      </w:r>
    </w:p>
    <w:p w14:paraId="4E9FD7E9" w14:textId="77777777" w:rsidR="00090DA6" w:rsidRDefault="00090DA6" w:rsidP="00CD363C">
      <w:pPr>
        <w:pStyle w:val="Pamatteksts"/>
        <w:ind w:right="-142"/>
        <w:jc w:val="both"/>
        <w:rPr>
          <w:b/>
          <w:sz w:val="24"/>
          <w:szCs w:val="24"/>
        </w:rPr>
      </w:pPr>
      <w:r>
        <w:rPr>
          <w:b/>
          <w:sz w:val="24"/>
          <w:szCs w:val="24"/>
        </w:rPr>
        <w:t xml:space="preserve">    K 1600 Bioloģiskie aktīvi lauksaimnieciskajai darbībai</w:t>
      </w:r>
    </w:p>
    <w:p w14:paraId="652AD777" w14:textId="77777777" w:rsidR="00090DA6" w:rsidRDefault="00090DA6" w:rsidP="00CD363C">
      <w:pPr>
        <w:pStyle w:val="Pamatteksts"/>
        <w:ind w:right="-142"/>
        <w:jc w:val="both"/>
        <w:rPr>
          <w:b/>
          <w:sz w:val="24"/>
          <w:szCs w:val="24"/>
        </w:rPr>
      </w:pPr>
    </w:p>
    <w:p w14:paraId="3798D78F" w14:textId="77777777" w:rsidR="00090DA6" w:rsidRDefault="00090DA6" w:rsidP="00CD363C">
      <w:pPr>
        <w:pStyle w:val="Pamatteksts"/>
        <w:ind w:right="-142"/>
        <w:jc w:val="center"/>
        <w:rPr>
          <w:b/>
          <w:sz w:val="24"/>
          <w:szCs w:val="24"/>
        </w:rPr>
      </w:pPr>
      <w:r>
        <w:rPr>
          <w:b/>
          <w:sz w:val="24"/>
          <w:szCs w:val="24"/>
        </w:rPr>
        <w:t>13. Līdzdalības radniecīgajās un asociētajās kapit</w:t>
      </w:r>
      <w:r w:rsidR="00DC15D2">
        <w:rPr>
          <w:b/>
          <w:sz w:val="24"/>
          <w:szCs w:val="24"/>
        </w:rPr>
        <w:t>ā</w:t>
      </w:r>
      <w:r>
        <w:rPr>
          <w:b/>
          <w:sz w:val="24"/>
          <w:szCs w:val="24"/>
        </w:rPr>
        <w:t>lsabiedrībās uzskaite</w:t>
      </w:r>
    </w:p>
    <w:p w14:paraId="7D924EEE" w14:textId="77777777" w:rsidR="00090DA6" w:rsidRPr="00090DA6" w:rsidRDefault="00090DA6"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416.</w:t>
      </w:r>
      <w:r w:rsidRPr="00BB1A6A">
        <w:rPr>
          <w:rFonts w:ascii="Times New Roman" w:hAnsi="Times New Roman" w:cs="Times New Roman"/>
          <w:sz w:val="24"/>
          <w:szCs w:val="24"/>
        </w:rPr>
        <w:t xml:space="preserve"> Budžeta iestāde atzīst līdzdalību kapitālsabiedrības kapitālā, ja budžeta iestādei tieši vai netieši (piemēram, ar citu kapitālsabiedrību starpniecību) pieder </w:t>
      </w:r>
      <w:r w:rsidRPr="00090DA6">
        <w:rPr>
          <w:rFonts w:ascii="Times New Roman" w:hAnsi="Times New Roman" w:cs="Times New Roman"/>
          <w:b/>
          <w:sz w:val="24"/>
          <w:szCs w:val="24"/>
        </w:rPr>
        <w:t xml:space="preserve">20,001 vai vairāk procentu </w:t>
      </w:r>
      <w:r w:rsidRPr="00090DA6">
        <w:rPr>
          <w:rFonts w:ascii="Times New Roman" w:hAnsi="Times New Roman" w:cs="Times New Roman"/>
          <w:b/>
          <w:color w:val="FF0000"/>
          <w:sz w:val="24"/>
          <w:szCs w:val="24"/>
        </w:rPr>
        <w:t>no balsstiesībām</w:t>
      </w:r>
      <w:r w:rsidRPr="00090DA6">
        <w:rPr>
          <w:rFonts w:ascii="Times New Roman" w:hAnsi="Times New Roman" w:cs="Times New Roman"/>
          <w:b/>
          <w:sz w:val="24"/>
          <w:szCs w:val="24"/>
        </w:rPr>
        <w:t xml:space="preserve"> kapitālsabiedrības kapitālā. </w:t>
      </w:r>
    </w:p>
    <w:p w14:paraId="70EAF353" w14:textId="77777777" w:rsidR="00090DA6" w:rsidRPr="00BB1A6A" w:rsidRDefault="00090DA6"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417</w:t>
      </w:r>
      <w:r w:rsidRPr="00BB1A6A">
        <w:rPr>
          <w:rFonts w:ascii="Times New Roman" w:hAnsi="Times New Roman" w:cs="Times New Roman"/>
          <w:sz w:val="24"/>
          <w:szCs w:val="24"/>
        </w:rPr>
        <w:t xml:space="preserve">. Budžeta iestādei var piederēt akciju pirkšanas iespēju līgumi, parāda vai pašu kapitāla finanšu instrumenti, kuri ir pārvēršami parastajās akcijās, vai citi līdzīgi finanšu instrumenti, kuri (ja tos izmanto vai pārvērš) potenciāli var sniegt budžeta iestādei papildu balsstiesības vai samazināt citas puses balsstiesības par kapitālsabiedrības finanšu un pamatdarbības lēmumu pieņemšanu. </w:t>
      </w:r>
    </w:p>
    <w:p w14:paraId="0085A287" w14:textId="77777777" w:rsidR="00090DA6" w:rsidRDefault="00090DA6"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418.</w:t>
      </w:r>
      <w:r w:rsidRPr="00BB1A6A">
        <w:rPr>
          <w:rFonts w:ascii="Times New Roman" w:hAnsi="Times New Roman" w:cs="Times New Roman"/>
          <w:sz w:val="24"/>
          <w:szCs w:val="24"/>
        </w:rPr>
        <w:t xml:space="preserve"> Budžeta iestāde ņem vērā arī potenciālo balsstiesību, kuras ir pašlaik realizējamas vai pārvēršamas, esamību un ietekmi, ieskaitot tās potenciālās balsstiesības, kas pieder citai personai. Potenciālās balsstiesības ir tādas tiesības iegūt balsstiesības kapitālsabiedrībā, kas, piemēram, izriet no pārvēršamiem (konvertējamiem) finanšu instrumentiem vai iespējas līgumiem, tai skaitā nākotnes līgumiem. Potenciālās balsstiesības nav pašlaik realizējamas vai pārvēršamas, ja, piemēram, tās nevar realizēt vai pārvērst līdz kādam noteiktam datumam nākotnē vai nākotnes notikumam.</w:t>
      </w:r>
    </w:p>
    <w:p w14:paraId="21B8D3C3" w14:textId="77777777" w:rsidR="00090DA6" w:rsidRDefault="00090DA6" w:rsidP="00CD363C">
      <w:pPr>
        <w:spacing w:after="0" w:line="240" w:lineRule="auto"/>
        <w:ind w:left="218" w:right="-142"/>
        <w:jc w:val="both"/>
        <w:rPr>
          <w:i/>
        </w:rPr>
      </w:pPr>
      <w:r>
        <w:rPr>
          <w:i/>
        </w:rPr>
        <w:t>Potenciālās balsstiesības var rasties saistībā ar, piemēram, akciju vai daļu pirkšanas iespējas līgumiem un pārvēršamām</w:t>
      </w:r>
      <w:r>
        <w:rPr>
          <w:i/>
          <w:spacing w:val="-19"/>
        </w:rPr>
        <w:t xml:space="preserve"> </w:t>
      </w:r>
      <w:r>
        <w:rPr>
          <w:i/>
        </w:rPr>
        <w:t>parādzīmēm,</w:t>
      </w:r>
      <w:r>
        <w:rPr>
          <w:i/>
          <w:spacing w:val="-17"/>
        </w:rPr>
        <w:t xml:space="preserve"> </w:t>
      </w:r>
      <w:r>
        <w:rPr>
          <w:i/>
        </w:rPr>
        <w:t>kas</w:t>
      </w:r>
      <w:r>
        <w:rPr>
          <w:i/>
          <w:spacing w:val="-16"/>
        </w:rPr>
        <w:t xml:space="preserve"> </w:t>
      </w:r>
      <w:r>
        <w:rPr>
          <w:i/>
        </w:rPr>
        <w:t>var</w:t>
      </w:r>
      <w:r>
        <w:rPr>
          <w:i/>
          <w:spacing w:val="-17"/>
        </w:rPr>
        <w:t xml:space="preserve"> </w:t>
      </w:r>
      <w:r>
        <w:rPr>
          <w:i/>
        </w:rPr>
        <w:t>mainīt</w:t>
      </w:r>
      <w:r>
        <w:rPr>
          <w:i/>
          <w:spacing w:val="-16"/>
        </w:rPr>
        <w:t xml:space="preserve"> </w:t>
      </w:r>
      <w:r>
        <w:rPr>
          <w:i/>
        </w:rPr>
        <w:t>iestādes</w:t>
      </w:r>
      <w:r>
        <w:rPr>
          <w:i/>
          <w:spacing w:val="-16"/>
        </w:rPr>
        <w:t xml:space="preserve"> </w:t>
      </w:r>
      <w:r>
        <w:rPr>
          <w:i/>
        </w:rPr>
        <w:t>balsstiesību</w:t>
      </w:r>
      <w:r>
        <w:rPr>
          <w:i/>
          <w:spacing w:val="-18"/>
        </w:rPr>
        <w:t xml:space="preserve"> </w:t>
      </w:r>
      <w:r>
        <w:rPr>
          <w:i/>
        </w:rPr>
        <w:t>apjomu</w:t>
      </w:r>
      <w:r>
        <w:rPr>
          <w:i/>
          <w:spacing w:val="-17"/>
        </w:rPr>
        <w:t xml:space="preserve"> </w:t>
      </w:r>
      <w:r>
        <w:rPr>
          <w:i/>
        </w:rPr>
        <w:t>attiecīgajā</w:t>
      </w:r>
      <w:r>
        <w:rPr>
          <w:i/>
          <w:spacing w:val="-19"/>
        </w:rPr>
        <w:t xml:space="preserve"> </w:t>
      </w:r>
      <w:r>
        <w:rPr>
          <w:i/>
        </w:rPr>
        <w:t>kapitālsabiedrībā.</w:t>
      </w:r>
      <w:r>
        <w:rPr>
          <w:i/>
          <w:spacing w:val="-17"/>
        </w:rPr>
        <w:t xml:space="preserve"> </w:t>
      </w:r>
      <w:r>
        <w:rPr>
          <w:i/>
        </w:rPr>
        <w:t>Budžeta iestādēm A, B un C pieder attiecīgi 40, 30 un 30 procentu no kapitālsabiedrības D parasto akciju, kas nodrošina balsstiesības kapitālsabiedrības D akcionāru sapulcē. Budžeta iestādei A pieder arī pirkšanas iespējas līgumi, kurus iespējams izmantot jebkurā laikā, samaksājot summu, kas atbilst akciju patiesajai vērtībai. Ja šie līgumi tiktu izmantoti, budžeta iestādes A rīcībā nonāktu papildu 20 procentu balsstiesību kapitālsabiedrībā D, kamēr budžeta iestāžu B un C līdzdalība samazinātos par 10 procentiem, tas  ir, līdz  20 procentiem katrai. Izmantojot iespējas līgumus, budžeta iestādei A piederētu vairāk nekā 50,001</w:t>
      </w:r>
      <w:r>
        <w:rPr>
          <w:i/>
          <w:spacing w:val="-8"/>
        </w:rPr>
        <w:t xml:space="preserve"> </w:t>
      </w:r>
      <w:r>
        <w:rPr>
          <w:i/>
        </w:rPr>
        <w:t>procenti</w:t>
      </w:r>
    </w:p>
    <w:p w14:paraId="4AA09497" w14:textId="77777777" w:rsidR="00090DA6" w:rsidRDefault="00090DA6" w:rsidP="00CD363C">
      <w:pPr>
        <w:spacing w:after="0" w:line="240" w:lineRule="auto"/>
        <w:ind w:left="218" w:right="-142"/>
        <w:jc w:val="both"/>
        <w:rPr>
          <w:i/>
        </w:rPr>
      </w:pPr>
      <w:r>
        <w:rPr>
          <w:i/>
        </w:rPr>
        <w:t>balsstiesību. Ņemot vērā potenciālo balsstiesību esamību, secināms, ka kapitālsabiedrība D ir budžeta iestādes A radniecīgā kapitālsabiedrība, savukārt budžeta iestādes B un C izvērtē, vai kapitālsabiedrība D joprojām atbilst asociētas kapitālsabiedrības kritērijiem.</w:t>
      </w:r>
    </w:p>
    <w:p w14:paraId="0D714567" w14:textId="77777777" w:rsidR="00090DA6" w:rsidRPr="00BB1A6A" w:rsidRDefault="00090DA6" w:rsidP="00CD363C">
      <w:pPr>
        <w:spacing w:after="0" w:line="240" w:lineRule="auto"/>
        <w:ind w:right="-142"/>
        <w:jc w:val="both"/>
        <w:rPr>
          <w:rFonts w:ascii="Times New Roman" w:hAnsi="Times New Roman" w:cs="Times New Roman"/>
          <w:sz w:val="24"/>
          <w:szCs w:val="24"/>
        </w:rPr>
      </w:pPr>
    </w:p>
    <w:p w14:paraId="4D8048CC" w14:textId="77777777" w:rsidR="00090DA6" w:rsidRPr="00BB1A6A" w:rsidRDefault="00090DA6"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419</w:t>
      </w:r>
      <w:r w:rsidRPr="00BB1A6A">
        <w:rPr>
          <w:rFonts w:ascii="Times New Roman" w:hAnsi="Times New Roman" w:cs="Times New Roman"/>
          <w:sz w:val="24"/>
          <w:szCs w:val="24"/>
        </w:rPr>
        <w:t>. Novērtējot potenciālās balsstiesības, budžeta iestāde izskata visus faktus un apstākļus (tai skaitā atsevišķi vai kopumā novērtējot potenciālo balsstiesību realizēšanas nosacījumus un jebkuras citas saistošas vienošanās), kas  ietekmē potenciālās balsstiesības, izņemot vadības nodomus un finansiālo spēju tās realizēt un pārvērst.</w:t>
      </w:r>
    </w:p>
    <w:p w14:paraId="4D75A5C8" w14:textId="77777777" w:rsidR="00090DA6" w:rsidRDefault="00DC15D2" w:rsidP="00CD363C">
      <w:pPr>
        <w:pStyle w:val="Pamatteksts"/>
        <w:ind w:right="-142"/>
        <w:jc w:val="both"/>
        <w:rPr>
          <w:b/>
          <w:sz w:val="24"/>
          <w:szCs w:val="24"/>
        </w:rPr>
      </w:pPr>
      <w:r>
        <w:rPr>
          <w:b/>
          <w:sz w:val="24"/>
          <w:szCs w:val="24"/>
        </w:rPr>
        <w:t>13.1. Līdzdalības radniecīgajās un asociētajās kapitālsabiedrībās sākotnējā atzīšana</w:t>
      </w:r>
    </w:p>
    <w:p w14:paraId="3565C42C" w14:textId="77777777" w:rsidR="00B63262" w:rsidRPr="00BB1A6A" w:rsidRDefault="00DC15D2" w:rsidP="00CD363C">
      <w:pPr>
        <w:spacing w:after="0" w:line="240" w:lineRule="auto"/>
        <w:ind w:right="-142"/>
        <w:jc w:val="both"/>
        <w:rPr>
          <w:rFonts w:ascii="Times New Roman" w:hAnsi="Times New Roman" w:cs="Times New Roman"/>
          <w:sz w:val="24"/>
          <w:szCs w:val="24"/>
        </w:rPr>
      </w:pPr>
      <w:r w:rsidRPr="00DC15D2">
        <w:rPr>
          <w:sz w:val="24"/>
          <w:szCs w:val="24"/>
        </w:rPr>
        <w:t>420.</w:t>
      </w:r>
      <w:r w:rsidR="00B63262" w:rsidRPr="00BB1A6A">
        <w:rPr>
          <w:rFonts w:ascii="Times New Roman" w:hAnsi="Times New Roman" w:cs="Times New Roman"/>
          <w:sz w:val="24"/>
          <w:szCs w:val="24"/>
        </w:rPr>
        <w:t xml:space="preserve"> Līdzdalību radniecīgajās un asociētajās kapitālsabiedrībās sākotnēji novērtē un atzīst izmaksu vērtībā atbilstoši iegādes izmaksām.</w:t>
      </w:r>
    </w:p>
    <w:p w14:paraId="1C238FA6"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421</w:t>
      </w:r>
      <w:r w:rsidRPr="00BB1A6A">
        <w:rPr>
          <w:rFonts w:ascii="Times New Roman" w:hAnsi="Times New Roman" w:cs="Times New Roman"/>
          <w:sz w:val="24"/>
          <w:szCs w:val="24"/>
        </w:rPr>
        <w:t xml:space="preserve">. Budžeta iestāde atzīst ieguldījumu radniecīgajā kapitālsabiedrībā dienā, kad tā iegūst 50,001 – 100% no akcionāru vai dalībnieku balsstiesībām kapitālsabiedrībā. </w:t>
      </w:r>
    </w:p>
    <w:p w14:paraId="1B4A879B"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1311 Līdzdalība radniecīgo kapitālsabiedrību kapitālā vai</w:t>
      </w:r>
    </w:p>
    <w:p w14:paraId="154116E9"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1380 Avansa maksājumi par ilgtermiņa finanšu ieguldījumiem </w:t>
      </w:r>
    </w:p>
    <w:p w14:paraId="7D1894B3"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K 2620 Norēķinu konti Valsts kasē, kredītiestādēs vai citās institūcijās </w:t>
      </w:r>
    </w:p>
    <w:p w14:paraId="330D8FBD"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422.</w:t>
      </w:r>
      <w:r w:rsidRPr="00BB1A6A">
        <w:rPr>
          <w:rFonts w:ascii="Times New Roman" w:hAnsi="Times New Roman" w:cs="Times New Roman"/>
          <w:sz w:val="24"/>
          <w:szCs w:val="24"/>
        </w:rPr>
        <w:t xml:space="preserve"> Budžeta iestāde atzīst ieguldījumu asociētajā kapitālsabiedrībā dienā, kad tā iegūst 20,001 – 50 % no akcionāru vai dalībnieku balsstiesībām kapitālsabiedrībā. </w:t>
      </w:r>
    </w:p>
    <w:p w14:paraId="2A50111D"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1321 Līdzdalība asociēto kapitālsabiedrību kapitālā vai</w:t>
      </w:r>
    </w:p>
    <w:p w14:paraId="5CAD5C00"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1380 Avansa maksājumi par ilgtermiņa finanšu ieguldījumiem </w:t>
      </w:r>
    </w:p>
    <w:p w14:paraId="01AF5D5F"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K 2620 Norēķinu konti Valsts kasē, kredītiestādēs vai citās institūcijās </w:t>
      </w:r>
    </w:p>
    <w:p w14:paraId="3F9DB22B"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423</w:t>
      </w:r>
      <w:r w:rsidRPr="00BB1A6A">
        <w:rPr>
          <w:rFonts w:ascii="Times New Roman" w:hAnsi="Times New Roman" w:cs="Times New Roman"/>
          <w:sz w:val="24"/>
          <w:szCs w:val="24"/>
        </w:rPr>
        <w:t xml:space="preserve">. Ja līdzdalības iegādes dienā tās iegādes izmaksas nesakrīt ar budžeta iestādes daļu kapitālsabiedrības aktīvu un saistību neto patiesajā vērtībā, tad šo starpību uzskaita sekojoši: </w:t>
      </w:r>
    </w:p>
    <w:p w14:paraId="1FC8FF5B" w14:textId="77777777" w:rsidR="00B63262" w:rsidRPr="00F22CD3"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423.1.</w:t>
      </w:r>
      <w:r w:rsidRPr="00F22CD3">
        <w:rPr>
          <w:rFonts w:ascii="Times New Roman" w:hAnsi="Times New Roman" w:cs="Times New Roman"/>
          <w:sz w:val="24"/>
          <w:szCs w:val="24"/>
        </w:rPr>
        <w:t xml:space="preserve">iegādes izmaksu pārsniegumu pār kapitālsabiedrības aktīvu un saistību neto patieso vērtību iekļauj ieguldījuma uzskaites vērtībā; </w:t>
      </w:r>
    </w:p>
    <w:p w14:paraId="7CF90778" w14:textId="77777777" w:rsidR="00B63262" w:rsidRPr="00F22CD3"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423.2</w:t>
      </w:r>
      <w:r w:rsidRPr="00F22CD3">
        <w:rPr>
          <w:rFonts w:ascii="Times New Roman" w:hAnsi="Times New Roman" w:cs="Times New Roman"/>
          <w:sz w:val="24"/>
          <w:szCs w:val="24"/>
        </w:rPr>
        <w:t>.kapitālsabiedrības aktīvu un saistību neto patiesās vērtības pārsniegumu pār iegādes izmaksām atzīst finanšu ieņēmumos pārskata periodā, kurā sākotnēji atzīta līdzdalība.</w:t>
      </w:r>
    </w:p>
    <w:p w14:paraId="78A07662"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Ja budžeta iestāde iegūst kapitālsabiedrības kapitāla daļas, veicot mantisko ieguldījumu, tad:</w:t>
      </w:r>
    </w:p>
    <w:p w14:paraId="3EEA8E1B"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1.saskaņā ar budžeta iestādes vadības lēmumu konkrēto aktīvu izslēdz no ilgtermiņa ieguldījumu sastāva un atzīst apgrozāmo līdzekļu sastāvā aktīva atlikušajā vērtībā; </w:t>
      </w:r>
    </w:p>
    <w:p w14:paraId="475A6911"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.2. saskaņā ar pieņemšanas un nodošanas aktu aktīvu izslēdz no apgrozāmo līdzekļu sastāva un atzīst atbilstošos pārējos vai finanšu izdevumus; </w:t>
      </w:r>
    </w:p>
    <w:p w14:paraId="727D810C"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.3.iegūtās kapitālsabiedrības kapitāla daļas atzīst finanšu ieguldījumos un finanšu ieņēmumos kapitāla daļu patiesajā vērtībā; </w:t>
      </w:r>
    </w:p>
    <w:p w14:paraId="53CC9B53"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.4. ja iepriekš mantiskajam ieguldījumam atzītas rezerves, tās izslēdz un atzīst finanšu ieņēmumus. </w:t>
      </w:r>
    </w:p>
    <w:p w14:paraId="6B6FA3A1" w14:textId="77777777" w:rsidR="00B63262" w:rsidRPr="00BB1A6A" w:rsidRDefault="00B63262"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Piemēram, ieguldot pamatlīdzekli, budžeta iestāde veic sekojošus grāmatojumus: </w:t>
      </w:r>
    </w:p>
    <w:p w14:paraId="34E54795" w14:textId="77777777" w:rsidR="00B63262" w:rsidRPr="00BB1A6A" w:rsidRDefault="00B63262" w:rsidP="00CD363C">
      <w:pPr>
        <w:pStyle w:val="Sarakstarindkopa"/>
        <w:numPr>
          <w:ilvl w:val="0"/>
          <w:numId w:val="3"/>
        </w:num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Budžeta iestāde pamatlīdzekli izslēdz no pamatlīdzekļu sastāva, tā uzskaites (atlikušo) vērtību atzīstot krājumu sastāvā saskaņā ar budžeta iestādes vadības pieņemto lēmumu: </w:t>
      </w:r>
    </w:p>
    <w:p w14:paraId="5AF7EEC7"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2132 Krājumi un ilgtermiņa ieguldījumi atsavināšanai </w:t>
      </w:r>
    </w:p>
    <w:p w14:paraId="7490255A"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1290 Pamatlīdzekļu uzkrātais nolietojums un vērtības samazinājums </w:t>
      </w:r>
    </w:p>
    <w:p w14:paraId="58F5DE76"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K 1200 Pamatlīdzekļi* *sākotnējā uzskaites vērtība </w:t>
      </w:r>
    </w:p>
    <w:p w14:paraId="6B643CF1" w14:textId="77777777" w:rsidR="00B63262" w:rsidRPr="00BB1A6A" w:rsidRDefault="00B63262" w:rsidP="00CD363C">
      <w:pPr>
        <w:pStyle w:val="Sarakstarindkopa"/>
        <w:numPr>
          <w:ilvl w:val="0"/>
          <w:numId w:val="3"/>
        </w:num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Veicot ieguldījumu kapitālsabiedrībā un ieguldot nefinanšu aktīvu, pamatojoties uz pieņemšanas un nodošanas aktu, izslēdz nefinanšu aktīvu un atzīst pārējos izdevumus: </w:t>
      </w:r>
    </w:p>
    <w:p w14:paraId="7F82CEDA"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8610 Izdevumi no nefinanšu aktīvu izslēgšanas </w:t>
      </w:r>
    </w:p>
    <w:p w14:paraId="58467136"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K 2132 Krājumi un ilgtermiņa ieguldījumi atsavināšanai</w:t>
      </w:r>
    </w:p>
    <w:p w14:paraId="217213BD" w14:textId="77777777" w:rsidR="00B63262" w:rsidRDefault="00B63262" w:rsidP="00CD363C">
      <w:pPr>
        <w:pStyle w:val="Sarakstarindkopa"/>
        <w:numPr>
          <w:ilvl w:val="0"/>
          <w:numId w:val="3"/>
        </w:num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Veicot ieguldījumu kapitālsabiedrībā un ieguldot finanšu aktīvu, pamatojoties uz pieņemšanas un nodošanas aktu, izslēdz finanšu aktīvu un atzīst finanšu izdevumus:</w:t>
      </w:r>
    </w:p>
    <w:p w14:paraId="306BFB73" w14:textId="77777777" w:rsidR="00B63262" w:rsidRPr="00B63262" w:rsidRDefault="00B63262" w:rsidP="00CD363C">
      <w:pPr>
        <w:pStyle w:val="Sarakstarindkopa"/>
        <w:spacing w:after="0" w:line="240" w:lineRule="auto"/>
        <w:ind w:left="426"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8290 Pārējie finanšu izdevumi </w:t>
      </w:r>
    </w:p>
    <w:p w14:paraId="399A30B0" w14:textId="77777777" w:rsidR="00B63262" w:rsidRPr="00B63262" w:rsidRDefault="00B63262" w:rsidP="00CD363C">
      <w:pPr>
        <w:spacing w:after="0" w:line="240" w:lineRule="auto"/>
        <w:ind w:left="360" w:right="-142" w:hanging="76"/>
        <w:jc w:val="both"/>
        <w:rPr>
          <w:rFonts w:ascii="Times New Roman" w:hAnsi="Times New Roman" w:cs="Times New Roman"/>
          <w:b/>
          <w:sz w:val="24"/>
          <w:szCs w:val="24"/>
        </w:rPr>
      </w:pPr>
      <w:r w:rsidRPr="00B6326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63262">
        <w:rPr>
          <w:rFonts w:ascii="Times New Roman" w:hAnsi="Times New Roman" w:cs="Times New Roman"/>
          <w:b/>
          <w:sz w:val="24"/>
          <w:szCs w:val="24"/>
        </w:rPr>
        <w:t xml:space="preserve">K 2500* Īstermiņa finanšu ieguldījumi </w:t>
      </w:r>
    </w:p>
    <w:p w14:paraId="6B4A9578" w14:textId="77777777" w:rsidR="00B63262" w:rsidRPr="00BB1A6A" w:rsidRDefault="00B63262" w:rsidP="00CD363C">
      <w:pPr>
        <w:spacing w:after="0" w:line="240" w:lineRule="auto"/>
        <w:ind w:left="360" w:right="-142" w:firstLine="66"/>
        <w:jc w:val="both"/>
        <w:rPr>
          <w:rFonts w:ascii="Times New Roman" w:hAnsi="Times New Roman" w:cs="Times New Roman"/>
          <w:sz w:val="24"/>
          <w:szCs w:val="24"/>
        </w:rPr>
      </w:pPr>
      <w:r w:rsidRPr="00BB1A6A">
        <w:rPr>
          <w:rFonts w:ascii="Times New Roman" w:hAnsi="Times New Roman" w:cs="Times New Roman"/>
          <w:sz w:val="24"/>
          <w:szCs w:val="24"/>
        </w:rPr>
        <w:t xml:space="preserve">*Finanšu aktīvs iepriekš pārgrāmatots no ilgtermiņa ieguldījumiem </w:t>
      </w:r>
    </w:p>
    <w:p w14:paraId="27550C04" w14:textId="77777777" w:rsidR="00B63262" w:rsidRPr="00BB1A6A" w:rsidRDefault="00B63262" w:rsidP="00CD363C">
      <w:pPr>
        <w:spacing w:after="0" w:line="240" w:lineRule="auto"/>
        <w:ind w:left="360" w:right="-142"/>
        <w:jc w:val="both"/>
        <w:rPr>
          <w:rFonts w:ascii="Times New Roman" w:hAnsi="Times New Roman" w:cs="Times New Roman"/>
          <w:sz w:val="24"/>
          <w:szCs w:val="24"/>
        </w:rPr>
      </w:pPr>
      <w:r w:rsidRPr="00BB1A6A">
        <w:rPr>
          <w:rFonts w:ascii="Times New Roman" w:hAnsi="Times New Roman" w:cs="Times New Roman"/>
          <w:sz w:val="24"/>
          <w:szCs w:val="24"/>
        </w:rPr>
        <w:t xml:space="preserve">4) Dienā, kad budžeta iestāde iegūst kontroli pār kapitālsabiedrību, budžeta iestāde atzīst līdzdalību (ieguldījumu) kapitālsabiedrībā un finanšu ieņēmumus kapitāldaļu patiesajā vērtībā: </w:t>
      </w:r>
    </w:p>
    <w:p w14:paraId="04BAACD4"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1311 Līdzdalība radniecīgo kapitālsabiedrību kapitālā vai </w:t>
      </w:r>
    </w:p>
    <w:p w14:paraId="0884FD69"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1321 Līdzdalība asociēto kapitālsabiedrību kapitālā </w:t>
      </w:r>
    </w:p>
    <w:p w14:paraId="70FA680E" w14:textId="77777777" w:rsid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K 8150 Ieņēmumi no mantiska ieguldījuma radniecīgajās un asociētajās kapitālsabiedrībās.</w:t>
      </w:r>
    </w:p>
    <w:p w14:paraId="5176C2CB"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p>
    <w:p w14:paraId="541BBA30" w14:textId="77777777" w:rsid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13.2. Līdzdalības radniecīgajās un asociētajās kapitālsabiedrībās turpmākā uzskaite</w:t>
      </w:r>
    </w:p>
    <w:p w14:paraId="46C2B87A" w14:textId="77777777" w:rsidR="00F62C41" w:rsidRPr="00BB1A6A" w:rsidRDefault="00F62C41" w:rsidP="00CD363C">
      <w:pPr>
        <w:spacing w:after="0" w:line="240" w:lineRule="auto"/>
        <w:ind w:left="360" w:right="-142"/>
        <w:jc w:val="both"/>
        <w:rPr>
          <w:rFonts w:ascii="Times New Roman" w:hAnsi="Times New Roman" w:cs="Times New Roman"/>
          <w:b/>
          <w:sz w:val="24"/>
          <w:szCs w:val="24"/>
        </w:rPr>
      </w:pPr>
      <w:r w:rsidRPr="00BB1A6A">
        <w:rPr>
          <w:rFonts w:ascii="Times New Roman" w:hAnsi="Times New Roman" w:cs="Times New Roman"/>
          <w:b/>
          <w:sz w:val="24"/>
          <w:szCs w:val="24"/>
        </w:rPr>
        <w:t>uzskaite</w:t>
      </w:r>
    </w:p>
    <w:p w14:paraId="372BEF85" w14:textId="77777777" w:rsidR="00F62C41" w:rsidRPr="00BB1A6A" w:rsidRDefault="00F62C4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425</w:t>
      </w:r>
      <w:r w:rsidRPr="00BB1A6A">
        <w:rPr>
          <w:rFonts w:ascii="Times New Roman" w:hAnsi="Times New Roman" w:cs="Times New Roman"/>
          <w:sz w:val="24"/>
          <w:szCs w:val="24"/>
        </w:rPr>
        <w:t xml:space="preserve">. Katra pārskata gada beigās sākotnēji atzītās līdzdalības uzskaites vērtību koriģē, to palielinot vai samazinot atbilstoši līdzdalības daļas vērtības izmaiņām kapitālsabiedrības pašu kapitālā attiecīgajā pārskata gadā, izmantojot kapitālsabiedrības gada pārskatā vai konsolidētajā gada pārskatā (gadījumā, ja kapitālsabiedrībai tiesību aktos noteiktajā kārtībā jāsagatavo konsolidētais gada pārskats) norādīto informāciju. </w:t>
      </w:r>
    </w:p>
    <w:p w14:paraId="2B909AEF" w14:textId="77777777" w:rsidR="00F62C41" w:rsidRPr="00BB1A6A" w:rsidRDefault="00F62C4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426</w:t>
      </w:r>
      <w:r w:rsidRPr="00BB1A6A">
        <w:rPr>
          <w:rFonts w:ascii="Times New Roman" w:hAnsi="Times New Roman" w:cs="Times New Roman"/>
          <w:sz w:val="24"/>
          <w:szCs w:val="24"/>
        </w:rPr>
        <w:t>. Budžeta iestāde uzskaita līdzdalības daļas vērtības pieaugumu vai samazinājumu kā pārskata gada finanšu ieņēmumus vai izdevumus un izmaiņas ilgtermiņa ieguldījumos.</w:t>
      </w:r>
    </w:p>
    <w:p w14:paraId="65947F97" w14:textId="77777777" w:rsidR="00F62C41" w:rsidRPr="00BB1A6A" w:rsidRDefault="00F62C41"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palielinot līdzdalības uzskaites vērtību: </w:t>
      </w:r>
    </w:p>
    <w:p w14:paraId="0CEFA99D"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D 1311 Līdzdalība radniecīgo kapitālsabiedrību kapitālā</w:t>
      </w:r>
    </w:p>
    <w:p w14:paraId="614A92C5"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D 1321 Līdzdalība asociēto kapitālsabiedrību kapitālā </w:t>
      </w:r>
    </w:p>
    <w:p w14:paraId="04ED8C40"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K 8140 Ieņēmumi no ilgtermiņa finanšu ieguldījumu pārvērtēšanas vai pārsnieguma </w:t>
      </w:r>
    </w:p>
    <w:p w14:paraId="282A3051" w14:textId="77777777" w:rsidR="00F62C41" w:rsidRPr="00BB1A6A" w:rsidRDefault="00F62C41"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samazinot līdzdalības uzskaites vērtību: </w:t>
      </w:r>
    </w:p>
    <w:p w14:paraId="758C6EAF"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D 8240 Izdevumi no ilgtermiņa finanšu ieguldījumu pārvērtēšanas </w:t>
      </w:r>
    </w:p>
    <w:p w14:paraId="277F38EB"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K 1311 Līdzdalība radniecīgo kapitālsabiedrību kapitālā</w:t>
      </w:r>
    </w:p>
    <w:p w14:paraId="56B76743" w14:textId="77777777" w:rsid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K 1321 Līdzdalība asociēto kapitālsabiedrību kapitālā.</w:t>
      </w:r>
    </w:p>
    <w:p w14:paraId="550151A7" w14:textId="77777777" w:rsidR="00763532" w:rsidRDefault="00763532" w:rsidP="00CD363C">
      <w:pPr>
        <w:spacing w:after="0" w:line="240" w:lineRule="auto"/>
        <w:ind w:right="-142"/>
        <w:jc w:val="both"/>
        <w:rPr>
          <w:rFonts w:ascii="Times New Roman" w:hAnsi="Times New Roman" w:cs="Times New Roman"/>
          <w:b/>
          <w:sz w:val="24"/>
          <w:szCs w:val="24"/>
        </w:rPr>
      </w:pPr>
    </w:p>
    <w:p w14:paraId="2EA6451E" w14:textId="77777777" w:rsidR="004E4C4E" w:rsidRPr="006D28D2" w:rsidRDefault="004E4C4E" w:rsidP="00CD363C">
      <w:pPr>
        <w:pStyle w:val="Virsraksts4"/>
        <w:tabs>
          <w:tab w:val="left" w:pos="817"/>
        </w:tabs>
        <w:spacing w:before="0"/>
        <w:ind w:left="284" w:right="-142"/>
        <w:jc w:val="both"/>
      </w:pPr>
      <w:r>
        <w:rPr>
          <w:color w:val="002069"/>
        </w:rPr>
        <w:t>Piemērs</w:t>
      </w:r>
      <w:r>
        <w:rPr>
          <w:color w:val="002069"/>
          <w:spacing w:val="-8"/>
        </w:rPr>
        <w:t xml:space="preserve"> </w:t>
      </w:r>
      <w:r>
        <w:rPr>
          <w:color w:val="002069"/>
        </w:rPr>
        <w:t>-</w:t>
      </w:r>
      <w:r>
        <w:rPr>
          <w:color w:val="002069"/>
          <w:spacing w:val="-7"/>
        </w:rPr>
        <w:t xml:space="preserve"> </w:t>
      </w:r>
      <w:r>
        <w:rPr>
          <w:color w:val="002069"/>
        </w:rPr>
        <w:t>līdzdalības</w:t>
      </w:r>
      <w:r>
        <w:rPr>
          <w:color w:val="002069"/>
          <w:spacing w:val="-6"/>
        </w:rPr>
        <w:t xml:space="preserve"> </w:t>
      </w:r>
      <w:r>
        <w:rPr>
          <w:color w:val="002069"/>
        </w:rPr>
        <w:t>sākotnējā</w:t>
      </w:r>
      <w:r>
        <w:rPr>
          <w:color w:val="002069"/>
          <w:spacing w:val="-5"/>
        </w:rPr>
        <w:t xml:space="preserve"> </w:t>
      </w:r>
      <w:r w:rsidRPr="006D28D2">
        <w:t>atzīšana</w:t>
      </w:r>
      <w:r w:rsidRPr="006D28D2">
        <w:rPr>
          <w:spacing w:val="-8"/>
        </w:rPr>
        <w:t xml:space="preserve"> </w:t>
      </w:r>
      <w:r w:rsidRPr="006D28D2">
        <w:t>un</w:t>
      </w:r>
      <w:r w:rsidRPr="006D28D2">
        <w:rPr>
          <w:spacing w:val="-6"/>
        </w:rPr>
        <w:t xml:space="preserve"> </w:t>
      </w:r>
      <w:r w:rsidRPr="006D28D2">
        <w:t>turpmākā</w:t>
      </w:r>
      <w:r w:rsidRPr="006D28D2">
        <w:rPr>
          <w:spacing w:val="-8"/>
        </w:rPr>
        <w:t xml:space="preserve"> </w:t>
      </w:r>
      <w:r w:rsidRPr="006D28D2">
        <w:t>uzskaite</w:t>
      </w:r>
      <w:r w:rsidRPr="006D28D2">
        <w:rPr>
          <w:spacing w:val="-6"/>
        </w:rPr>
        <w:t xml:space="preserve"> </w:t>
      </w:r>
      <w:r w:rsidRPr="006D28D2">
        <w:t>asociētajā</w:t>
      </w:r>
      <w:r w:rsidRPr="006D28D2">
        <w:rPr>
          <w:spacing w:val="-6"/>
        </w:rPr>
        <w:t xml:space="preserve"> </w:t>
      </w:r>
      <w:r w:rsidRPr="006D28D2">
        <w:t xml:space="preserve">kapitālsabiedrībā, </w:t>
      </w:r>
      <w:r w:rsidR="00B5289A" w:rsidRPr="006D28D2">
        <w:t xml:space="preserve">      </w:t>
      </w:r>
      <w:r w:rsidRPr="006D28D2">
        <w:t>kura pārskata periodu noslēdz ar</w:t>
      </w:r>
      <w:r w:rsidRPr="006D28D2">
        <w:rPr>
          <w:spacing w:val="-1"/>
        </w:rPr>
        <w:t xml:space="preserve"> </w:t>
      </w:r>
      <w:r w:rsidRPr="006D28D2">
        <w:t>peļņu</w:t>
      </w:r>
    </w:p>
    <w:p w14:paraId="3BB65462" w14:textId="77777777" w:rsidR="004E4C4E" w:rsidRDefault="004E4C4E" w:rsidP="00CD363C">
      <w:pPr>
        <w:pStyle w:val="Pamatteksts"/>
        <w:ind w:right="-142"/>
        <w:jc w:val="both"/>
      </w:pPr>
      <w:r w:rsidRPr="006D28D2">
        <w:t>Budžeta iestāde 2019. gada 1. augustā iegādājas kapitālsabiedrības akcijas 10 000,00 EUR vērtībā. Budžeta iestādes līdzdalība kapitālsabiedrības kapitālā pēc</w:t>
      </w:r>
      <w:r>
        <w:t xml:space="preserve"> akciju iegādes ir 40%. Kapitālsabiedrība 2019. gadu noslēdz</w:t>
      </w:r>
      <w:r>
        <w:rPr>
          <w:spacing w:val="-7"/>
        </w:rPr>
        <w:t xml:space="preserve"> </w:t>
      </w:r>
      <w:r>
        <w:t>ar</w:t>
      </w:r>
      <w:r>
        <w:rPr>
          <w:spacing w:val="-5"/>
        </w:rPr>
        <w:t xml:space="preserve"> </w:t>
      </w:r>
      <w:r>
        <w:t>peļņu</w:t>
      </w:r>
      <w:r>
        <w:rPr>
          <w:spacing w:val="-7"/>
        </w:rPr>
        <w:t xml:space="preserve"> </w:t>
      </w:r>
      <w:r>
        <w:t>20</w:t>
      </w:r>
      <w:r>
        <w:rPr>
          <w:spacing w:val="-2"/>
        </w:rPr>
        <w:t xml:space="preserve"> </w:t>
      </w:r>
      <w:r>
        <w:t>000,00</w:t>
      </w:r>
      <w:r>
        <w:rPr>
          <w:spacing w:val="-6"/>
        </w:rPr>
        <w:t xml:space="preserve"> </w:t>
      </w:r>
      <w:r>
        <w:t>EUR</w:t>
      </w:r>
      <w:r>
        <w:rPr>
          <w:spacing w:val="-6"/>
        </w:rPr>
        <w:t xml:space="preserve"> </w:t>
      </w:r>
      <w:r>
        <w:t>apmērā,</w:t>
      </w:r>
      <w:r>
        <w:rPr>
          <w:spacing w:val="-3"/>
        </w:rPr>
        <w:t xml:space="preserve"> </w:t>
      </w:r>
      <w:r>
        <w:t>kā</w:t>
      </w:r>
      <w:r>
        <w:rPr>
          <w:spacing w:val="-4"/>
        </w:rPr>
        <w:t xml:space="preserve"> </w:t>
      </w:r>
      <w:r>
        <w:t>arī</w:t>
      </w:r>
      <w:r>
        <w:rPr>
          <w:spacing w:val="-5"/>
        </w:rPr>
        <w:t xml:space="preserve"> </w:t>
      </w:r>
      <w:r>
        <w:t>pārskata</w:t>
      </w:r>
      <w:r>
        <w:rPr>
          <w:spacing w:val="-4"/>
        </w:rPr>
        <w:t xml:space="preserve"> </w:t>
      </w:r>
      <w:r>
        <w:t>perioda</w:t>
      </w:r>
      <w:r>
        <w:rPr>
          <w:spacing w:val="-6"/>
        </w:rPr>
        <w:t xml:space="preserve"> </w:t>
      </w:r>
      <w:r>
        <w:t>beigās</w:t>
      </w:r>
      <w:r>
        <w:rPr>
          <w:spacing w:val="-6"/>
        </w:rPr>
        <w:t xml:space="preserve"> </w:t>
      </w:r>
      <w:r>
        <w:t>pārvērtē</w:t>
      </w:r>
      <w:r>
        <w:rPr>
          <w:spacing w:val="-6"/>
        </w:rPr>
        <w:t xml:space="preserve"> </w:t>
      </w:r>
      <w:r>
        <w:t>pamatlīdzekļus,</w:t>
      </w:r>
      <w:r>
        <w:rPr>
          <w:spacing w:val="-4"/>
        </w:rPr>
        <w:t xml:space="preserve"> </w:t>
      </w:r>
      <w:r>
        <w:t>palielinot</w:t>
      </w:r>
      <w:r>
        <w:rPr>
          <w:spacing w:val="-5"/>
        </w:rPr>
        <w:t xml:space="preserve"> </w:t>
      </w:r>
      <w:r>
        <w:t>to bilances vērtību par 600,00 EUR un palielinājumu iekļaujot rezervēs. 1. attēlā sniegts ilustratīvs piemērs tām pozīcijām kapitālsabiedrības bilancē, no kurām budžeta iestāde gūst informāciju par kapitālsabiedrības pārskata perioda peļņu vai zaudējumiem un atzītajām rezervēm. Piemērā netiek ņemta vērā ietekme no līdzdalības iegādes vērtības un kapitālsabiedrības aktīvu un saistību neto patiesās vērtības starpības. Piemērā tiek pieņemts, ka 2019.gada 1.augustā veiktā pirkuma maksa ir vienāda ar neto aktīvu vērtību proporcionālo daļu, ieskaitot pārskata gada rezultātu par attiecīgo periodu līdz</w:t>
      </w:r>
      <w:r>
        <w:rPr>
          <w:spacing w:val="-9"/>
        </w:rPr>
        <w:t xml:space="preserve"> </w:t>
      </w:r>
      <w:r>
        <w:t>iegādei.</w:t>
      </w:r>
    </w:p>
    <w:p w14:paraId="5CD00E30" w14:textId="77777777" w:rsidR="00763532" w:rsidRDefault="00763532" w:rsidP="00CD363C">
      <w:pPr>
        <w:pStyle w:val="Pamatteksts"/>
        <w:ind w:left="218" w:right="-142"/>
        <w:jc w:val="both"/>
      </w:pPr>
    </w:p>
    <w:p w14:paraId="34BD386E" w14:textId="77777777" w:rsidR="004E4C4E" w:rsidRDefault="004E4C4E" w:rsidP="00CD363C">
      <w:pPr>
        <w:pStyle w:val="Sarakstarindkopa"/>
        <w:widowControl w:val="0"/>
        <w:numPr>
          <w:ilvl w:val="2"/>
          <w:numId w:val="4"/>
        </w:numPr>
        <w:tabs>
          <w:tab w:val="left" w:pos="6141"/>
        </w:tabs>
        <w:autoSpaceDE w:val="0"/>
        <w:autoSpaceDN w:val="0"/>
        <w:spacing w:after="0" w:line="240" w:lineRule="auto"/>
        <w:ind w:right="-142" w:hanging="151"/>
        <w:contextualSpacing w:val="0"/>
        <w:jc w:val="both"/>
        <w:rPr>
          <w:i/>
          <w:sz w:val="20"/>
        </w:rPr>
      </w:pPr>
      <w:r>
        <w:rPr>
          <w:i/>
          <w:sz w:val="20"/>
        </w:rPr>
        <w:t>tabula Kapitālsabiedrības bilances</w:t>
      </w:r>
      <w:r>
        <w:rPr>
          <w:i/>
          <w:spacing w:val="-6"/>
          <w:sz w:val="20"/>
        </w:rPr>
        <w:t xml:space="preserve"> </w:t>
      </w:r>
      <w:r>
        <w:rPr>
          <w:i/>
          <w:sz w:val="20"/>
        </w:rPr>
        <w:t>fragments</w:t>
      </w:r>
    </w:p>
    <w:p w14:paraId="5A2AAA80" w14:textId="77777777" w:rsidR="004E4C4E" w:rsidRDefault="004E4C4E" w:rsidP="00CD363C">
      <w:pPr>
        <w:pStyle w:val="Pamatteksts"/>
        <w:ind w:right="-142"/>
        <w:jc w:val="both"/>
        <w:rPr>
          <w:i/>
          <w:sz w:val="20"/>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094"/>
        <w:gridCol w:w="381"/>
        <w:gridCol w:w="4332"/>
        <w:gridCol w:w="1130"/>
        <w:gridCol w:w="1302"/>
        <w:gridCol w:w="1310"/>
      </w:tblGrid>
      <w:tr w:rsidR="004E4C4E" w14:paraId="27248A79" w14:textId="77777777" w:rsidTr="00175452">
        <w:trPr>
          <w:trHeight w:val="765"/>
        </w:trPr>
        <w:tc>
          <w:tcPr>
            <w:tcW w:w="5807" w:type="dxa"/>
            <w:gridSpan w:val="3"/>
            <w:shd w:val="clear" w:color="auto" w:fill="F1F1F1"/>
          </w:tcPr>
          <w:p w14:paraId="31DBE8D6" w14:textId="77777777" w:rsidR="004E4C4E" w:rsidRDefault="004E4C4E" w:rsidP="00CD363C">
            <w:pPr>
              <w:pStyle w:val="TableParagraph"/>
              <w:ind w:right="-142"/>
              <w:jc w:val="both"/>
              <w:rPr>
                <w:i/>
                <w:sz w:val="23"/>
              </w:rPr>
            </w:pPr>
          </w:p>
          <w:p w14:paraId="5C8028A4" w14:textId="77777777" w:rsidR="004E4C4E" w:rsidRDefault="004E4C4E" w:rsidP="00CD363C">
            <w:pPr>
              <w:pStyle w:val="TableParagraph"/>
              <w:ind w:left="2170" w:right="-142"/>
              <w:jc w:val="both"/>
              <w:rPr>
                <w:b/>
                <w:sz w:val="20"/>
              </w:rPr>
            </w:pPr>
            <w:r>
              <w:rPr>
                <w:b/>
                <w:sz w:val="20"/>
              </w:rPr>
              <w:t>PASĪVS</w:t>
            </w:r>
          </w:p>
        </w:tc>
        <w:tc>
          <w:tcPr>
            <w:tcW w:w="1130" w:type="dxa"/>
            <w:shd w:val="clear" w:color="auto" w:fill="F1F1F1"/>
          </w:tcPr>
          <w:p w14:paraId="3BA3FFAF" w14:textId="77777777" w:rsidR="004E4C4E" w:rsidRDefault="004E4C4E" w:rsidP="00CD363C">
            <w:pPr>
              <w:pStyle w:val="TableParagraph"/>
              <w:ind w:left="200" w:right="-142" w:hanging="36"/>
              <w:jc w:val="both"/>
              <w:rPr>
                <w:b/>
                <w:sz w:val="20"/>
              </w:rPr>
            </w:pPr>
            <w:r>
              <w:rPr>
                <w:b/>
                <w:w w:val="95"/>
                <w:sz w:val="20"/>
              </w:rPr>
              <w:t xml:space="preserve">Piezīmes </w:t>
            </w:r>
            <w:r>
              <w:rPr>
                <w:b/>
                <w:sz w:val="20"/>
              </w:rPr>
              <w:t>numurs</w:t>
            </w:r>
          </w:p>
        </w:tc>
        <w:tc>
          <w:tcPr>
            <w:tcW w:w="1302" w:type="dxa"/>
            <w:shd w:val="clear" w:color="auto" w:fill="F1F1F1"/>
          </w:tcPr>
          <w:p w14:paraId="1D94A9D4" w14:textId="77777777" w:rsidR="004E4C4E" w:rsidRDefault="004E4C4E" w:rsidP="00CD363C">
            <w:pPr>
              <w:pStyle w:val="TableParagraph"/>
              <w:ind w:left="295" w:right="-142" w:hanging="56"/>
              <w:jc w:val="both"/>
              <w:rPr>
                <w:b/>
                <w:sz w:val="20"/>
              </w:rPr>
            </w:pPr>
            <w:r>
              <w:rPr>
                <w:b/>
                <w:w w:val="95"/>
                <w:sz w:val="20"/>
              </w:rPr>
              <w:t xml:space="preserve">Pārskata </w:t>
            </w:r>
            <w:r>
              <w:rPr>
                <w:b/>
                <w:sz w:val="20"/>
              </w:rPr>
              <w:t>perioda beigās</w:t>
            </w:r>
          </w:p>
        </w:tc>
        <w:tc>
          <w:tcPr>
            <w:tcW w:w="1310" w:type="dxa"/>
            <w:shd w:val="clear" w:color="auto" w:fill="F1F1F1"/>
          </w:tcPr>
          <w:p w14:paraId="6B43E7E7" w14:textId="77777777" w:rsidR="004E4C4E" w:rsidRDefault="004E4C4E" w:rsidP="00CD363C">
            <w:pPr>
              <w:pStyle w:val="TableParagraph"/>
              <w:ind w:left="133" w:right="-142" w:hanging="3"/>
              <w:jc w:val="both"/>
              <w:rPr>
                <w:b/>
                <w:sz w:val="20"/>
              </w:rPr>
            </w:pPr>
            <w:r>
              <w:rPr>
                <w:b/>
                <w:sz w:val="20"/>
              </w:rPr>
              <w:t>Iepriekšējā pārskata gada beigās</w:t>
            </w:r>
          </w:p>
        </w:tc>
      </w:tr>
      <w:tr w:rsidR="004E4C4E" w14:paraId="1EC53664" w14:textId="77777777" w:rsidTr="00175452">
        <w:trPr>
          <w:trHeight w:val="314"/>
        </w:trPr>
        <w:tc>
          <w:tcPr>
            <w:tcW w:w="5807" w:type="dxa"/>
            <w:gridSpan w:val="3"/>
            <w:shd w:val="clear" w:color="auto" w:fill="F1F1F1"/>
          </w:tcPr>
          <w:p w14:paraId="3FE0F9AE" w14:textId="77777777" w:rsidR="004E4C4E" w:rsidRDefault="004E4C4E" w:rsidP="00CD363C">
            <w:pPr>
              <w:pStyle w:val="TableParagraph"/>
              <w:ind w:left="2172" w:right="-142"/>
              <w:jc w:val="both"/>
              <w:rPr>
                <w:b/>
                <w:sz w:val="24"/>
              </w:rPr>
            </w:pPr>
            <w:r>
              <w:rPr>
                <w:b/>
                <w:sz w:val="24"/>
              </w:rPr>
              <w:t>Pašu kapitāls</w:t>
            </w:r>
          </w:p>
        </w:tc>
        <w:tc>
          <w:tcPr>
            <w:tcW w:w="1130" w:type="dxa"/>
            <w:shd w:val="clear" w:color="auto" w:fill="F1F1F1"/>
          </w:tcPr>
          <w:p w14:paraId="34D76B1E" w14:textId="77777777" w:rsidR="004E4C4E" w:rsidRDefault="004E4C4E" w:rsidP="00CD363C">
            <w:pPr>
              <w:pStyle w:val="TableParagraph"/>
              <w:ind w:right="-142"/>
              <w:jc w:val="both"/>
              <w:rPr>
                <w:sz w:val="20"/>
              </w:rPr>
            </w:pPr>
          </w:p>
        </w:tc>
        <w:tc>
          <w:tcPr>
            <w:tcW w:w="1302" w:type="dxa"/>
            <w:shd w:val="clear" w:color="auto" w:fill="F1F1F1"/>
          </w:tcPr>
          <w:p w14:paraId="47352EBF" w14:textId="77777777" w:rsidR="004E4C4E" w:rsidRDefault="004E4C4E" w:rsidP="00CD363C">
            <w:pPr>
              <w:pStyle w:val="TableParagraph"/>
              <w:ind w:right="-142"/>
              <w:jc w:val="both"/>
              <w:rPr>
                <w:sz w:val="20"/>
              </w:rPr>
            </w:pPr>
          </w:p>
        </w:tc>
        <w:tc>
          <w:tcPr>
            <w:tcW w:w="1310" w:type="dxa"/>
            <w:shd w:val="clear" w:color="auto" w:fill="F1F1F1"/>
          </w:tcPr>
          <w:p w14:paraId="5E4F2ED9" w14:textId="77777777" w:rsidR="004E4C4E" w:rsidRDefault="004E4C4E" w:rsidP="00CD363C">
            <w:pPr>
              <w:pStyle w:val="TableParagraph"/>
              <w:ind w:right="-142"/>
              <w:jc w:val="both"/>
              <w:rPr>
                <w:sz w:val="20"/>
              </w:rPr>
            </w:pPr>
          </w:p>
        </w:tc>
      </w:tr>
      <w:tr w:rsidR="004E4C4E" w14:paraId="75B3928C" w14:textId="77777777" w:rsidTr="00175452">
        <w:trPr>
          <w:trHeight w:val="256"/>
        </w:trPr>
        <w:tc>
          <w:tcPr>
            <w:tcW w:w="1094" w:type="dxa"/>
          </w:tcPr>
          <w:p w14:paraId="0EC461F7" w14:textId="77777777" w:rsidR="004E4C4E" w:rsidRDefault="004E4C4E" w:rsidP="00CD363C">
            <w:pPr>
              <w:pStyle w:val="TableParagraph"/>
              <w:ind w:right="-142"/>
              <w:jc w:val="both"/>
              <w:rPr>
                <w:sz w:val="20"/>
              </w:rPr>
            </w:pPr>
            <w:r>
              <w:rPr>
                <w:sz w:val="20"/>
              </w:rPr>
              <w:t>1.</w:t>
            </w:r>
          </w:p>
        </w:tc>
        <w:tc>
          <w:tcPr>
            <w:tcW w:w="4713" w:type="dxa"/>
            <w:gridSpan w:val="2"/>
          </w:tcPr>
          <w:p w14:paraId="1EEEE6B9" w14:textId="77777777" w:rsidR="004E4C4E" w:rsidRDefault="004E4C4E" w:rsidP="00CD363C">
            <w:pPr>
              <w:pStyle w:val="TableParagraph"/>
              <w:ind w:left="105" w:right="-142"/>
              <w:jc w:val="both"/>
              <w:rPr>
                <w:sz w:val="20"/>
              </w:rPr>
            </w:pPr>
            <w:r>
              <w:rPr>
                <w:sz w:val="20"/>
              </w:rPr>
              <w:t>Akciju vai daļu kapitāls (pamatkapitāls)</w:t>
            </w:r>
          </w:p>
        </w:tc>
        <w:tc>
          <w:tcPr>
            <w:tcW w:w="1130" w:type="dxa"/>
          </w:tcPr>
          <w:p w14:paraId="4E15FE34" w14:textId="77777777" w:rsidR="004E4C4E" w:rsidRDefault="004E4C4E" w:rsidP="00CD363C">
            <w:pPr>
              <w:pStyle w:val="TableParagraph"/>
              <w:ind w:right="-142"/>
              <w:jc w:val="both"/>
              <w:rPr>
                <w:sz w:val="18"/>
              </w:rPr>
            </w:pPr>
          </w:p>
        </w:tc>
        <w:tc>
          <w:tcPr>
            <w:tcW w:w="1302" w:type="dxa"/>
          </w:tcPr>
          <w:p w14:paraId="3CC5F72B" w14:textId="77777777" w:rsidR="004E4C4E" w:rsidRDefault="004E4C4E" w:rsidP="00CD363C">
            <w:pPr>
              <w:pStyle w:val="TableParagraph"/>
              <w:ind w:right="-142"/>
              <w:jc w:val="both"/>
              <w:rPr>
                <w:sz w:val="18"/>
              </w:rPr>
            </w:pPr>
          </w:p>
        </w:tc>
        <w:tc>
          <w:tcPr>
            <w:tcW w:w="1310" w:type="dxa"/>
          </w:tcPr>
          <w:p w14:paraId="11A80424" w14:textId="77777777" w:rsidR="004E4C4E" w:rsidRDefault="004E4C4E" w:rsidP="00CD363C">
            <w:pPr>
              <w:pStyle w:val="TableParagraph"/>
              <w:ind w:right="-142"/>
              <w:jc w:val="both"/>
              <w:rPr>
                <w:sz w:val="18"/>
              </w:rPr>
            </w:pPr>
          </w:p>
        </w:tc>
      </w:tr>
      <w:tr w:rsidR="004E4C4E" w14:paraId="3E15BD14" w14:textId="77777777" w:rsidTr="00175452">
        <w:trPr>
          <w:trHeight w:val="253"/>
        </w:trPr>
        <w:tc>
          <w:tcPr>
            <w:tcW w:w="1094" w:type="dxa"/>
          </w:tcPr>
          <w:p w14:paraId="0509EAEA" w14:textId="77777777" w:rsidR="004E4C4E" w:rsidRDefault="004E4C4E" w:rsidP="00CD363C">
            <w:pPr>
              <w:pStyle w:val="TableParagraph"/>
              <w:ind w:right="-142"/>
              <w:jc w:val="both"/>
              <w:rPr>
                <w:sz w:val="20"/>
              </w:rPr>
            </w:pPr>
            <w:r>
              <w:rPr>
                <w:sz w:val="20"/>
              </w:rPr>
              <w:t>2.</w:t>
            </w:r>
          </w:p>
        </w:tc>
        <w:tc>
          <w:tcPr>
            <w:tcW w:w="4713" w:type="dxa"/>
            <w:gridSpan w:val="2"/>
          </w:tcPr>
          <w:p w14:paraId="6885D5C4" w14:textId="77777777" w:rsidR="004E4C4E" w:rsidRDefault="004E4C4E" w:rsidP="00CD363C">
            <w:pPr>
              <w:pStyle w:val="TableParagraph"/>
              <w:ind w:left="105" w:right="-142"/>
              <w:jc w:val="both"/>
              <w:rPr>
                <w:sz w:val="20"/>
              </w:rPr>
            </w:pPr>
            <w:r>
              <w:rPr>
                <w:sz w:val="20"/>
              </w:rPr>
              <w:t>Akciju (daļu) emisijas uzcenojums</w:t>
            </w:r>
          </w:p>
        </w:tc>
        <w:tc>
          <w:tcPr>
            <w:tcW w:w="1130" w:type="dxa"/>
          </w:tcPr>
          <w:p w14:paraId="7166BA55" w14:textId="77777777" w:rsidR="004E4C4E" w:rsidRDefault="004E4C4E" w:rsidP="00CD363C">
            <w:pPr>
              <w:pStyle w:val="TableParagraph"/>
              <w:ind w:right="-142"/>
              <w:jc w:val="both"/>
              <w:rPr>
                <w:sz w:val="18"/>
              </w:rPr>
            </w:pPr>
          </w:p>
        </w:tc>
        <w:tc>
          <w:tcPr>
            <w:tcW w:w="1302" w:type="dxa"/>
          </w:tcPr>
          <w:p w14:paraId="0D0751EF" w14:textId="77777777" w:rsidR="004E4C4E" w:rsidRDefault="004E4C4E" w:rsidP="00CD363C">
            <w:pPr>
              <w:pStyle w:val="TableParagraph"/>
              <w:ind w:right="-142"/>
              <w:jc w:val="both"/>
              <w:rPr>
                <w:sz w:val="18"/>
              </w:rPr>
            </w:pPr>
          </w:p>
        </w:tc>
        <w:tc>
          <w:tcPr>
            <w:tcW w:w="1310" w:type="dxa"/>
          </w:tcPr>
          <w:p w14:paraId="6CDEE575" w14:textId="77777777" w:rsidR="004E4C4E" w:rsidRDefault="004E4C4E" w:rsidP="00CD363C">
            <w:pPr>
              <w:pStyle w:val="TableParagraph"/>
              <w:ind w:right="-142"/>
              <w:jc w:val="both"/>
              <w:rPr>
                <w:sz w:val="18"/>
              </w:rPr>
            </w:pPr>
          </w:p>
        </w:tc>
      </w:tr>
      <w:tr w:rsidR="004E4C4E" w14:paraId="3C8401DF" w14:textId="77777777" w:rsidTr="00175452">
        <w:trPr>
          <w:trHeight w:val="256"/>
        </w:trPr>
        <w:tc>
          <w:tcPr>
            <w:tcW w:w="1094" w:type="dxa"/>
          </w:tcPr>
          <w:p w14:paraId="6303809B" w14:textId="77777777" w:rsidR="004E4C4E" w:rsidRDefault="004E4C4E" w:rsidP="00CD363C">
            <w:pPr>
              <w:pStyle w:val="TableParagraph"/>
              <w:ind w:right="-142"/>
              <w:jc w:val="both"/>
              <w:rPr>
                <w:sz w:val="20"/>
              </w:rPr>
            </w:pPr>
            <w:r>
              <w:rPr>
                <w:sz w:val="20"/>
              </w:rPr>
              <w:t>3.</w:t>
            </w:r>
          </w:p>
        </w:tc>
        <w:tc>
          <w:tcPr>
            <w:tcW w:w="4713" w:type="dxa"/>
            <w:gridSpan w:val="2"/>
          </w:tcPr>
          <w:p w14:paraId="18699A12" w14:textId="77777777" w:rsidR="004E4C4E" w:rsidRDefault="004E4C4E" w:rsidP="00CD363C">
            <w:pPr>
              <w:pStyle w:val="TableParagraph"/>
              <w:ind w:left="105" w:right="-142"/>
              <w:jc w:val="both"/>
              <w:rPr>
                <w:sz w:val="20"/>
              </w:rPr>
            </w:pPr>
            <w:r>
              <w:rPr>
                <w:sz w:val="20"/>
              </w:rPr>
              <w:t>Ilgtermiņa ieguldījumu pārvērtēšanas rezerve</w:t>
            </w:r>
          </w:p>
        </w:tc>
        <w:tc>
          <w:tcPr>
            <w:tcW w:w="1130" w:type="dxa"/>
          </w:tcPr>
          <w:p w14:paraId="26485D43" w14:textId="77777777" w:rsidR="004E4C4E" w:rsidRDefault="004E4C4E" w:rsidP="00CD363C">
            <w:pPr>
              <w:pStyle w:val="TableParagraph"/>
              <w:ind w:right="-142"/>
              <w:jc w:val="both"/>
              <w:rPr>
                <w:sz w:val="18"/>
              </w:rPr>
            </w:pPr>
          </w:p>
        </w:tc>
        <w:tc>
          <w:tcPr>
            <w:tcW w:w="1302" w:type="dxa"/>
          </w:tcPr>
          <w:p w14:paraId="412E9A13" w14:textId="77777777" w:rsidR="004E4C4E" w:rsidRDefault="004E4C4E" w:rsidP="00CD363C">
            <w:pPr>
              <w:pStyle w:val="TableParagraph"/>
              <w:ind w:right="-142"/>
              <w:jc w:val="both"/>
              <w:rPr>
                <w:sz w:val="18"/>
              </w:rPr>
            </w:pPr>
          </w:p>
        </w:tc>
        <w:tc>
          <w:tcPr>
            <w:tcW w:w="1310" w:type="dxa"/>
          </w:tcPr>
          <w:p w14:paraId="33D9905D" w14:textId="77777777" w:rsidR="004E4C4E" w:rsidRDefault="004E4C4E" w:rsidP="00CD363C">
            <w:pPr>
              <w:pStyle w:val="TableParagraph"/>
              <w:ind w:right="-142"/>
              <w:jc w:val="both"/>
              <w:rPr>
                <w:sz w:val="18"/>
              </w:rPr>
            </w:pPr>
          </w:p>
        </w:tc>
      </w:tr>
      <w:tr w:rsidR="004E4C4E" w14:paraId="50F997FB" w14:textId="77777777" w:rsidTr="00175452">
        <w:trPr>
          <w:trHeight w:val="254"/>
        </w:trPr>
        <w:tc>
          <w:tcPr>
            <w:tcW w:w="1094" w:type="dxa"/>
          </w:tcPr>
          <w:p w14:paraId="2F48A9CB" w14:textId="77777777" w:rsidR="004E4C4E" w:rsidRDefault="004E4C4E" w:rsidP="00CD363C">
            <w:pPr>
              <w:pStyle w:val="TableParagraph"/>
              <w:ind w:right="-142"/>
              <w:jc w:val="both"/>
              <w:rPr>
                <w:sz w:val="20"/>
              </w:rPr>
            </w:pPr>
            <w:r>
              <w:rPr>
                <w:sz w:val="20"/>
              </w:rPr>
              <w:t>4.</w:t>
            </w:r>
          </w:p>
        </w:tc>
        <w:tc>
          <w:tcPr>
            <w:tcW w:w="4713" w:type="dxa"/>
            <w:gridSpan w:val="2"/>
          </w:tcPr>
          <w:p w14:paraId="11A6AC29" w14:textId="77777777" w:rsidR="004E4C4E" w:rsidRDefault="004E4C4E" w:rsidP="00CD363C">
            <w:pPr>
              <w:pStyle w:val="TableParagraph"/>
              <w:ind w:left="105" w:right="-142"/>
              <w:jc w:val="both"/>
              <w:rPr>
                <w:sz w:val="20"/>
              </w:rPr>
            </w:pPr>
            <w:r>
              <w:rPr>
                <w:sz w:val="20"/>
              </w:rPr>
              <w:t>Finanšu instrumentu patiesās vērtības rezerve</w:t>
            </w:r>
          </w:p>
        </w:tc>
        <w:tc>
          <w:tcPr>
            <w:tcW w:w="1130" w:type="dxa"/>
          </w:tcPr>
          <w:p w14:paraId="42276B73" w14:textId="77777777" w:rsidR="004E4C4E" w:rsidRDefault="004E4C4E" w:rsidP="00CD363C">
            <w:pPr>
              <w:pStyle w:val="TableParagraph"/>
              <w:ind w:right="-142"/>
              <w:jc w:val="both"/>
              <w:rPr>
                <w:sz w:val="18"/>
              </w:rPr>
            </w:pPr>
          </w:p>
        </w:tc>
        <w:tc>
          <w:tcPr>
            <w:tcW w:w="1302" w:type="dxa"/>
          </w:tcPr>
          <w:p w14:paraId="7D51EA59" w14:textId="77777777" w:rsidR="004E4C4E" w:rsidRDefault="004E4C4E" w:rsidP="00CD363C">
            <w:pPr>
              <w:pStyle w:val="TableParagraph"/>
              <w:ind w:right="-142"/>
              <w:jc w:val="both"/>
              <w:rPr>
                <w:sz w:val="18"/>
              </w:rPr>
            </w:pPr>
          </w:p>
        </w:tc>
        <w:tc>
          <w:tcPr>
            <w:tcW w:w="1310" w:type="dxa"/>
          </w:tcPr>
          <w:p w14:paraId="4A9854CA" w14:textId="77777777" w:rsidR="004E4C4E" w:rsidRDefault="004E4C4E" w:rsidP="00CD363C">
            <w:pPr>
              <w:pStyle w:val="TableParagraph"/>
              <w:ind w:right="-142"/>
              <w:jc w:val="both"/>
              <w:rPr>
                <w:sz w:val="18"/>
              </w:rPr>
            </w:pPr>
          </w:p>
        </w:tc>
      </w:tr>
      <w:tr w:rsidR="004E4C4E" w14:paraId="5FD3856C" w14:textId="77777777" w:rsidTr="00175452">
        <w:trPr>
          <w:trHeight w:val="254"/>
        </w:trPr>
        <w:tc>
          <w:tcPr>
            <w:tcW w:w="1094" w:type="dxa"/>
          </w:tcPr>
          <w:p w14:paraId="124866C8" w14:textId="77777777" w:rsidR="004E4C4E" w:rsidRDefault="004E4C4E" w:rsidP="00CD363C">
            <w:pPr>
              <w:pStyle w:val="TableParagraph"/>
              <w:ind w:right="-142"/>
              <w:jc w:val="both"/>
              <w:rPr>
                <w:sz w:val="20"/>
              </w:rPr>
            </w:pPr>
            <w:r>
              <w:rPr>
                <w:sz w:val="20"/>
              </w:rPr>
              <w:t>5.</w:t>
            </w:r>
          </w:p>
        </w:tc>
        <w:tc>
          <w:tcPr>
            <w:tcW w:w="4713" w:type="dxa"/>
            <w:gridSpan w:val="2"/>
          </w:tcPr>
          <w:p w14:paraId="7E9BBE06" w14:textId="77777777" w:rsidR="004E4C4E" w:rsidRDefault="004E4C4E" w:rsidP="00CD363C">
            <w:pPr>
              <w:pStyle w:val="TableParagraph"/>
              <w:ind w:left="105" w:right="-142"/>
              <w:jc w:val="both"/>
              <w:rPr>
                <w:sz w:val="20"/>
              </w:rPr>
            </w:pPr>
            <w:r>
              <w:rPr>
                <w:sz w:val="20"/>
              </w:rPr>
              <w:t>Rezerves:</w:t>
            </w:r>
          </w:p>
        </w:tc>
        <w:tc>
          <w:tcPr>
            <w:tcW w:w="1130" w:type="dxa"/>
          </w:tcPr>
          <w:p w14:paraId="37D5F54D" w14:textId="77777777" w:rsidR="004E4C4E" w:rsidRDefault="004E4C4E" w:rsidP="00CD363C">
            <w:pPr>
              <w:pStyle w:val="TableParagraph"/>
              <w:ind w:right="-142"/>
              <w:jc w:val="both"/>
              <w:rPr>
                <w:sz w:val="18"/>
              </w:rPr>
            </w:pPr>
          </w:p>
        </w:tc>
        <w:tc>
          <w:tcPr>
            <w:tcW w:w="1302" w:type="dxa"/>
          </w:tcPr>
          <w:p w14:paraId="26304E09" w14:textId="77777777" w:rsidR="004E4C4E" w:rsidRDefault="004E4C4E" w:rsidP="00CD363C">
            <w:pPr>
              <w:pStyle w:val="TableParagraph"/>
              <w:ind w:right="-142"/>
              <w:jc w:val="both"/>
              <w:rPr>
                <w:sz w:val="18"/>
              </w:rPr>
            </w:pPr>
          </w:p>
        </w:tc>
        <w:tc>
          <w:tcPr>
            <w:tcW w:w="1310" w:type="dxa"/>
          </w:tcPr>
          <w:p w14:paraId="262E788D" w14:textId="77777777" w:rsidR="004E4C4E" w:rsidRDefault="004E4C4E" w:rsidP="00CD363C">
            <w:pPr>
              <w:pStyle w:val="TableParagraph"/>
              <w:ind w:right="-142"/>
              <w:jc w:val="both"/>
              <w:rPr>
                <w:sz w:val="18"/>
              </w:rPr>
            </w:pPr>
          </w:p>
        </w:tc>
      </w:tr>
      <w:tr w:rsidR="004E4C4E" w14:paraId="3B883DB7" w14:textId="77777777" w:rsidTr="00175452">
        <w:trPr>
          <w:trHeight w:val="256"/>
        </w:trPr>
        <w:tc>
          <w:tcPr>
            <w:tcW w:w="1094" w:type="dxa"/>
          </w:tcPr>
          <w:p w14:paraId="50B27605" w14:textId="77777777" w:rsidR="004E4C4E" w:rsidRDefault="004E4C4E" w:rsidP="00CD363C">
            <w:pPr>
              <w:pStyle w:val="TableParagraph"/>
              <w:ind w:right="-142"/>
              <w:jc w:val="both"/>
              <w:rPr>
                <w:sz w:val="18"/>
              </w:rPr>
            </w:pPr>
          </w:p>
        </w:tc>
        <w:tc>
          <w:tcPr>
            <w:tcW w:w="381" w:type="dxa"/>
          </w:tcPr>
          <w:p w14:paraId="69668C55" w14:textId="77777777" w:rsidR="004E4C4E" w:rsidRDefault="004E4C4E" w:rsidP="00CD363C">
            <w:pPr>
              <w:pStyle w:val="TableParagraph"/>
              <w:ind w:right="-142"/>
              <w:jc w:val="both"/>
              <w:rPr>
                <w:sz w:val="20"/>
              </w:rPr>
            </w:pPr>
            <w:r>
              <w:rPr>
                <w:w w:val="95"/>
                <w:sz w:val="20"/>
              </w:rPr>
              <w:t>a)</w:t>
            </w:r>
          </w:p>
        </w:tc>
        <w:tc>
          <w:tcPr>
            <w:tcW w:w="4332" w:type="dxa"/>
          </w:tcPr>
          <w:p w14:paraId="1E229603" w14:textId="77777777" w:rsidR="004E4C4E" w:rsidRDefault="004E4C4E" w:rsidP="00CD363C">
            <w:pPr>
              <w:pStyle w:val="TableParagraph"/>
              <w:ind w:left="108" w:right="-142"/>
              <w:jc w:val="both"/>
              <w:rPr>
                <w:sz w:val="20"/>
              </w:rPr>
            </w:pPr>
            <w:r>
              <w:rPr>
                <w:sz w:val="20"/>
              </w:rPr>
              <w:t>likumā noteiktās rezerves</w:t>
            </w:r>
          </w:p>
        </w:tc>
        <w:tc>
          <w:tcPr>
            <w:tcW w:w="1130" w:type="dxa"/>
          </w:tcPr>
          <w:p w14:paraId="2FE1B19B" w14:textId="77777777" w:rsidR="004E4C4E" w:rsidRDefault="004E4C4E" w:rsidP="00CD363C">
            <w:pPr>
              <w:pStyle w:val="TableParagraph"/>
              <w:ind w:right="-142"/>
              <w:jc w:val="both"/>
              <w:rPr>
                <w:sz w:val="18"/>
              </w:rPr>
            </w:pPr>
          </w:p>
        </w:tc>
        <w:tc>
          <w:tcPr>
            <w:tcW w:w="1302" w:type="dxa"/>
          </w:tcPr>
          <w:p w14:paraId="006749D9" w14:textId="77777777" w:rsidR="004E4C4E" w:rsidRDefault="004E4C4E" w:rsidP="00CD363C">
            <w:pPr>
              <w:pStyle w:val="TableParagraph"/>
              <w:ind w:right="-142"/>
              <w:jc w:val="both"/>
              <w:rPr>
                <w:sz w:val="18"/>
              </w:rPr>
            </w:pPr>
          </w:p>
        </w:tc>
        <w:tc>
          <w:tcPr>
            <w:tcW w:w="1310" w:type="dxa"/>
          </w:tcPr>
          <w:p w14:paraId="1588C8B3" w14:textId="77777777" w:rsidR="004E4C4E" w:rsidRDefault="004E4C4E" w:rsidP="00CD363C">
            <w:pPr>
              <w:pStyle w:val="TableParagraph"/>
              <w:ind w:right="-142"/>
              <w:jc w:val="both"/>
              <w:rPr>
                <w:sz w:val="18"/>
              </w:rPr>
            </w:pPr>
          </w:p>
        </w:tc>
      </w:tr>
      <w:tr w:rsidR="004E4C4E" w14:paraId="3AE94217" w14:textId="77777777" w:rsidTr="00175452">
        <w:trPr>
          <w:trHeight w:val="253"/>
        </w:trPr>
        <w:tc>
          <w:tcPr>
            <w:tcW w:w="1094" w:type="dxa"/>
          </w:tcPr>
          <w:p w14:paraId="74B470A6" w14:textId="77777777" w:rsidR="004E4C4E" w:rsidRDefault="004E4C4E" w:rsidP="00CD363C">
            <w:pPr>
              <w:pStyle w:val="TableParagraph"/>
              <w:ind w:right="-142"/>
              <w:jc w:val="both"/>
              <w:rPr>
                <w:sz w:val="18"/>
              </w:rPr>
            </w:pPr>
          </w:p>
        </w:tc>
        <w:tc>
          <w:tcPr>
            <w:tcW w:w="381" w:type="dxa"/>
          </w:tcPr>
          <w:p w14:paraId="4952742F" w14:textId="77777777" w:rsidR="004E4C4E" w:rsidRDefault="004E4C4E" w:rsidP="00CD363C">
            <w:pPr>
              <w:pStyle w:val="TableParagraph"/>
              <w:ind w:right="-142"/>
              <w:jc w:val="both"/>
              <w:rPr>
                <w:sz w:val="20"/>
              </w:rPr>
            </w:pPr>
            <w:r>
              <w:rPr>
                <w:sz w:val="20"/>
              </w:rPr>
              <w:t>b)</w:t>
            </w:r>
          </w:p>
        </w:tc>
        <w:tc>
          <w:tcPr>
            <w:tcW w:w="4332" w:type="dxa"/>
          </w:tcPr>
          <w:p w14:paraId="7B400DDB" w14:textId="77777777" w:rsidR="004E4C4E" w:rsidRDefault="004E4C4E" w:rsidP="00CD363C">
            <w:pPr>
              <w:pStyle w:val="TableParagraph"/>
              <w:ind w:left="108" w:right="-142"/>
              <w:jc w:val="both"/>
              <w:rPr>
                <w:sz w:val="20"/>
              </w:rPr>
            </w:pPr>
            <w:r>
              <w:rPr>
                <w:sz w:val="20"/>
              </w:rPr>
              <w:t>rezerves pašu akcijām vai daļām</w:t>
            </w:r>
          </w:p>
        </w:tc>
        <w:tc>
          <w:tcPr>
            <w:tcW w:w="1130" w:type="dxa"/>
          </w:tcPr>
          <w:p w14:paraId="63608224" w14:textId="77777777" w:rsidR="004E4C4E" w:rsidRDefault="004E4C4E" w:rsidP="00CD363C">
            <w:pPr>
              <w:pStyle w:val="TableParagraph"/>
              <w:ind w:right="-142"/>
              <w:jc w:val="both"/>
              <w:rPr>
                <w:sz w:val="18"/>
              </w:rPr>
            </w:pPr>
          </w:p>
        </w:tc>
        <w:tc>
          <w:tcPr>
            <w:tcW w:w="1302" w:type="dxa"/>
          </w:tcPr>
          <w:p w14:paraId="086D9B63" w14:textId="77777777" w:rsidR="004E4C4E" w:rsidRDefault="004E4C4E" w:rsidP="00CD363C">
            <w:pPr>
              <w:pStyle w:val="TableParagraph"/>
              <w:ind w:right="-142"/>
              <w:jc w:val="both"/>
              <w:rPr>
                <w:sz w:val="18"/>
              </w:rPr>
            </w:pPr>
          </w:p>
        </w:tc>
        <w:tc>
          <w:tcPr>
            <w:tcW w:w="1310" w:type="dxa"/>
          </w:tcPr>
          <w:p w14:paraId="6FEEE58D" w14:textId="77777777" w:rsidR="004E4C4E" w:rsidRDefault="004E4C4E" w:rsidP="00CD363C">
            <w:pPr>
              <w:pStyle w:val="TableParagraph"/>
              <w:ind w:right="-142"/>
              <w:jc w:val="both"/>
              <w:rPr>
                <w:sz w:val="18"/>
              </w:rPr>
            </w:pPr>
          </w:p>
        </w:tc>
      </w:tr>
      <w:tr w:rsidR="004E4C4E" w14:paraId="474BE60C" w14:textId="77777777" w:rsidTr="00175452">
        <w:trPr>
          <w:trHeight w:val="256"/>
        </w:trPr>
        <w:tc>
          <w:tcPr>
            <w:tcW w:w="1094" w:type="dxa"/>
          </w:tcPr>
          <w:p w14:paraId="21994D8A" w14:textId="77777777" w:rsidR="004E4C4E" w:rsidRDefault="004E4C4E" w:rsidP="00CD363C">
            <w:pPr>
              <w:pStyle w:val="TableParagraph"/>
              <w:ind w:right="-142"/>
              <w:jc w:val="both"/>
              <w:rPr>
                <w:sz w:val="18"/>
              </w:rPr>
            </w:pPr>
          </w:p>
        </w:tc>
        <w:tc>
          <w:tcPr>
            <w:tcW w:w="381" w:type="dxa"/>
          </w:tcPr>
          <w:p w14:paraId="1140712A" w14:textId="77777777" w:rsidR="004E4C4E" w:rsidRDefault="004E4C4E" w:rsidP="00CD363C">
            <w:pPr>
              <w:pStyle w:val="TableParagraph"/>
              <w:ind w:right="-142"/>
              <w:jc w:val="both"/>
              <w:rPr>
                <w:sz w:val="20"/>
              </w:rPr>
            </w:pPr>
            <w:r>
              <w:rPr>
                <w:w w:val="95"/>
                <w:sz w:val="20"/>
              </w:rPr>
              <w:t>c)</w:t>
            </w:r>
          </w:p>
        </w:tc>
        <w:tc>
          <w:tcPr>
            <w:tcW w:w="4332" w:type="dxa"/>
          </w:tcPr>
          <w:p w14:paraId="70421D6A" w14:textId="77777777" w:rsidR="004E4C4E" w:rsidRDefault="004E4C4E" w:rsidP="00CD363C">
            <w:pPr>
              <w:pStyle w:val="TableParagraph"/>
              <w:ind w:left="108" w:right="-142"/>
              <w:jc w:val="both"/>
              <w:rPr>
                <w:sz w:val="20"/>
              </w:rPr>
            </w:pPr>
            <w:r>
              <w:rPr>
                <w:sz w:val="20"/>
              </w:rPr>
              <w:t>sabiedrības statūtos noteiktās rezerves</w:t>
            </w:r>
          </w:p>
        </w:tc>
        <w:tc>
          <w:tcPr>
            <w:tcW w:w="1130" w:type="dxa"/>
          </w:tcPr>
          <w:p w14:paraId="336F5E73" w14:textId="77777777" w:rsidR="004E4C4E" w:rsidRDefault="004E4C4E" w:rsidP="00CD363C">
            <w:pPr>
              <w:pStyle w:val="TableParagraph"/>
              <w:ind w:right="-142"/>
              <w:jc w:val="both"/>
              <w:rPr>
                <w:sz w:val="18"/>
              </w:rPr>
            </w:pPr>
          </w:p>
        </w:tc>
        <w:tc>
          <w:tcPr>
            <w:tcW w:w="1302" w:type="dxa"/>
          </w:tcPr>
          <w:p w14:paraId="52872DD4" w14:textId="77777777" w:rsidR="004E4C4E" w:rsidRDefault="004E4C4E" w:rsidP="00CD363C">
            <w:pPr>
              <w:pStyle w:val="TableParagraph"/>
              <w:ind w:right="-142"/>
              <w:jc w:val="both"/>
              <w:rPr>
                <w:sz w:val="18"/>
              </w:rPr>
            </w:pPr>
          </w:p>
        </w:tc>
        <w:tc>
          <w:tcPr>
            <w:tcW w:w="1310" w:type="dxa"/>
          </w:tcPr>
          <w:p w14:paraId="26F605DE" w14:textId="77777777" w:rsidR="004E4C4E" w:rsidRDefault="004E4C4E" w:rsidP="00CD363C">
            <w:pPr>
              <w:pStyle w:val="TableParagraph"/>
              <w:ind w:right="-142"/>
              <w:jc w:val="both"/>
              <w:rPr>
                <w:sz w:val="18"/>
              </w:rPr>
            </w:pPr>
          </w:p>
        </w:tc>
      </w:tr>
      <w:tr w:rsidR="004E4C4E" w14:paraId="73DB4959" w14:textId="77777777" w:rsidTr="00175452">
        <w:trPr>
          <w:trHeight w:val="253"/>
        </w:trPr>
        <w:tc>
          <w:tcPr>
            <w:tcW w:w="1094" w:type="dxa"/>
          </w:tcPr>
          <w:p w14:paraId="45C53061" w14:textId="77777777" w:rsidR="004E4C4E" w:rsidRDefault="004E4C4E" w:rsidP="00CD363C">
            <w:pPr>
              <w:pStyle w:val="TableParagraph"/>
              <w:ind w:right="-142"/>
              <w:jc w:val="both"/>
              <w:rPr>
                <w:sz w:val="18"/>
              </w:rPr>
            </w:pPr>
          </w:p>
        </w:tc>
        <w:tc>
          <w:tcPr>
            <w:tcW w:w="381" w:type="dxa"/>
          </w:tcPr>
          <w:p w14:paraId="38DDC0CC" w14:textId="77777777" w:rsidR="004E4C4E" w:rsidRDefault="004E4C4E" w:rsidP="00CD363C">
            <w:pPr>
              <w:pStyle w:val="TableParagraph"/>
              <w:ind w:right="-142"/>
              <w:jc w:val="both"/>
              <w:rPr>
                <w:sz w:val="20"/>
              </w:rPr>
            </w:pPr>
            <w:r>
              <w:rPr>
                <w:sz w:val="20"/>
              </w:rPr>
              <w:t>d)</w:t>
            </w:r>
          </w:p>
        </w:tc>
        <w:tc>
          <w:tcPr>
            <w:tcW w:w="4332" w:type="dxa"/>
          </w:tcPr>
          <w:p w14:paraId="2E3A177F" w14:textId="77777777" w:rsidR="004E4C4E" w:rsidRDefault="004E4C4E" w:rsidP="00CD363C">
            <w:pPr>
              <w:pStyle w:val="TableParagraph"/>
              <w:ind w:left="159" w:right="-142"/>
              <w:jc w:val="both"/>
              <w:rPr>
                <w:sz w:val="20"/>
              </w:rPr>
            </w:pPr>
            <w:r>
              <w:rPr>
                <w:sz w:val="20"/>
              </w:rPr>
              <w:t>rezerves, kas novirzītas attīstībai</w:t>
            </w:r>
          </w:p>
        </w:tc>
        <w:tc>
          <w:tcPr>
            <w:tcW w:w="1130" w:type="dxa"/>
          </w:tcPr>
          <w:p w14:paraId="05A41E42" w14:textId="77777777" w:rsidR="004E4C4E" w:rsidRDefault="004E4C4E" w:rsidP="00CD363C">
            <w:pPr>
              <w:pStyle w:val="TableParagraph"/>
              <w:ind w:right="-142"/>
              <w:jc w:val="both"/>
              <w:rPr>
                <w:sz w:val="18"/>
              </w:rPr>
            </w:pPr>
          </w:p>
        </w:tc>
        <w:tc>
          <w:tcPr>
            <w:tcW w:w="1302" w:type="dxa"/>
          </w:tcPr>
          <w:p w14:paraId="04298985" w14:textId="77777777" w:rsidR="004E4C4E" w:rsidRDefault="004E4C4E" w:rsidP="00CD363C">
            <w:pPr>
              <w:pStyle w:val="TableParagraph"/>
              <w:ind w:right="-142"/>
              <w:jc w:val="both"/>
              <w:rPr>
                <w:sz w:val="18"/>
              </w:rPr>
            </w:pPr>
          </w:p>
        </w:tc>
        <w:tc>
          <w:tcPr>
            <w:tcW w:w="1310" w:type="dxa"/>
          </w:tcPr>
          <w:p w14:paraId="488D67FE" w14:textId="77777777" w:rsidR="004E4C4E" w:rsidRDefault="004E4C4E" w:rsidP="00CD363C">
            <w:pPr>
              <w:pStyle w:val="TableParagraph"/>
              <w:ind w:right="-142"/>
              <w:jc w:val="both"/>
              <w:rPr>
                <w:sz w:val="18"/>
              </w:rPr>
            </w:pPr>
          </w:p>
        </w:tc>
      </w:tr>
      <w:tr w:rsidR="004E4C4E" w14:paraId="6BC1BBA7" w14:textId="77777777" w:rsidTr="00175452">
        <w:trPr>
          <w:trHeight w:val="270"/>
        </w:trPr>
        <w:tc>
          <w:tcPr>
            <w:tcW w:w="1094" w:type="dxa"/>
          </w:tcPr>
          <w:p w14:paraId="3E99BF83" w14:textId="77777777" w:rsidR="004E4C4E" w:rsidRDefault="004E4C4E" w:rsidP="00CD363C">
            <w:pPr>
              <w:pStyle w:val="TableParagraph"/>
              <w:ind w:right="-142"/>
              <w:jc w:val="both"/>
              <w:rPr>
                <w:sz w:val="20"/>
              </w:rPr>
            </w:pPr>
          </w:p>
        </w:tc>
        <w:tc>
          <w:tcPr>
            <w:tcW w:w="381" w:type="dxa"/>
          </w:tcPr>
          <w:p w14:paraId="2B54D8E3" w14:textId="77777777" w:rsidR="004E4C4E" w:rsidRDefault="004E4C4E" w:rsidP="00CD363C">
            <w:pPr>
              <w:pStyle w:val="TableParagraph"/>
              <w:ind w:right="-142"/>
              <w:jc w:val="both"/>
              <w:rPr>
                <w:sz w:val="20"/>
              </w:rPr>
            </w:pPr>
            <w:r>
              <w:rPr>
                <w:w w:val="95"/>
                <w:sz w:val="20"/>
              </w:rPr>
              <w:t>e)</w:t>
            </w:r>
          </w:p>
        </w:tc>
        <w:tc>
          <w:tcPr>
            <w:tcW w:w="4332" w:type="dxa"/>
          </w:tcPr>
          <w:p w14:paraId="71113D33" w14:textId="77777777" w:rsidR="004E4C4E" w:rsidRDefault="004E4C4E" w:rsidP="00CD363C">
            <w:pPr>
              <w:pStyle w:val="TableParagraph"/>
              <w:ind w:left="108" w:right="-142"/>
              <w:jc w:val="both"/>
              <w:rPr>
                <w:sz w:val="20"/>
              </w:rPr>
            </w:pPr>
            <w:r>
              <w:rPr>
                <w:sz w:val="20"/>
              </w:rPr>
              <w:t>ārvalstu valūtu pārrēķināšanas rezerve</w:t>
            </w:r>
          </w:p>
        </w:tc>
        <w:tc>
          <w:tcPr>
            <w:tcW w:w="1130" w:type="dxa"/>
          </w:tcPr>
          <w:p w14:paraId="3D65CB55" w14:textId="77777777" w:rsidR="004E4C4E" w:rsidRDefault="004E4C4E" w:rsidP="00CD363C">
            <w:pPr>
              <w:pStyle w:val="TableParagraph"/>
              <w:ind w:right="-142"/>
              <w:jc w:val="both"/>
              <w:rPr>
                <w:sz w:val="20"/>
              </w:rPr>
            </w:pPr>
          </w:p>
        </w:tc>
        <w:tc>
          <w:tcPr>
            <w:tcW w:w="1302" w:type="dxa"/>
          </w:tcPr>
          <w:p w14:paraId="053654D3" w14:textId="77777777" w:rsidR="004E4C4E" w:rsidRDefault="004E4C4E" w:rsidP="00CD363C">
            <w:pPr>
              <w:pStyle w:val="TableParagraph"/>
              <w:ind w:right="-142"/>
              <w:jc w:val="both"/>
              <w:rPr>
                <w:sz w:val="20"/>
              </w:rPr>
            </w:pPr>
          </w:p>
        </w:tc>
        <w:tc>
          <w:tcPr>
            <w:tcW w:w="1310" w:type="dxa"/>
          </w:tcPr>
          <w:p w14:paraId="1060C712" w14:textId="77777777" w:rsidR="004E4C4E" w:rsidRDefault="004E4C4E" w:rsidP="00CD363C">
            <w:pPr>
              <w:pStyle w:val="TableParagraph"/>
              <w:ind w:right="-142"/>
              <w:jc w:val="both"/>
              <w:rPr>
                <w:sz w:val="20"/>
              </w:rPr>
            </w:pPr>
          </w:p>
        </w:tc>
      </w:tr>
      <w:tr w:rsidR="004E4C4E" w14:paraId="33AA0811" w14:textId="77777777" w:rsidTr="00175452">
        <w:trPr>
          <w:trHeight w:val="433"/>
        </w:trPr>
        <w:tc>
          <w:tcPr>
            <w:tcW w:w="1094" w:type="dxa"/>
            <w:shd w:val="clear" w:color="auto" w:fill="B8CDE4"/>
          </w:tcPr>
          <w:p w14:paraId="0248E5C4" w14:textId="77777777" w:rsidR="004E4C4E" w:rsidRDefault="004E4C4E" w:rsidP="00CD363C">
            <w:pPr>
              <w:pStyle w:val="TableParagraph"/>
              <w:ind w:right="-142"/>
              <w:jc w:val="both"/>
              <w:rPr>
                <w:sz w:val="20"/>
              </w:rPr>
            </w:pPr>
          </w:p>
        </w:tc>
        <w:tc>
          <w:tcPr>
            <w:tcW w:w="381" w:type="dxa"/>
            <w:shd w:val="clear" w:color="auto" w:fill="B8CDE4"/>
          </w:tcPr>
          <w:p w14:paraId="41A3397D" w14:textId="77777777" w:rsidR="004E4C4E" w:rsidRDefault="004E4C4E" w:rsidP="00CD363C">
            <w:pPr>
              <w:pStyle w:val="TableParagraph"/>
              <w:ind w:right="-142"/>
              <w:jc w:val="both"/>
              <w:rPr>
                <w:sz w:val="20"/>
              </w:rPr>
            </w:pPr>
            <w:r>
              <w:rPr>
                <w:w w:val="95"/>
                <w:sz w:val="20"/>
              </w:rPr>
              <w:t>f)</w:t>
            </w:r>
          </w:p>
        </w:tc>
        <w:tc>
          <w:tcPr>
            <w:tcW w:w="4332" w:type="dxa"/>
            <w:shd w:val="clear" w:color="auto" w:fill="B8CDE4"/>
          </w:tcPr>
          <w:p w14:paraId="2DE14D7A" w14:textId="77777777" w:rsidR="004E4C4E" w:rsidRDefault="004E4C4E" w:rsidP="00CD363C">
            <w:pPr>
              <w:pStyle w:val="TableParagraph"/>
              <w:ind w:left="108" w:right="-142"/>
              <w:jc w:val="both"/>
              <w:rPr>
                <w:sz w:val="20"/>
              </w:rPr>
            </w:pPr>
            <w:r>
              <w:rPr>
                <w:sz w:val="20"/>
              </w:rPr>
              <w:t>pārējās rezerves</w:t>
            </w:r>
          </w:p>
        </w:tc>
        <w:tc>
          <w:tcPr>
            <w:tcW w:w="1130" w:type="dxa"/>
            <w:shd w:val="clear" w:color="auto" w:fill="B8CDE4"/>
          </w:tcPr>
          <w:p w14:paraId="3765FC5D" w14:textId="77777777" w:rsidR="004E4C4E" w:rsidRDefault="004E4C4E" w:rsidP="00CD363C">
            <w:pPr>
              <w:pStyle w:val="TableParagraph"/>
              <w:ind w:right="-142"/>
              <w:jc w:val="both"/>
              <w:rPr>
                <w:sz w:val="20"/>
              </w:rPr>
            </w:pPr>
          </w:p>
        </w:tc>
        <w:tc>
          <w:tcPr>
            <w:tcW w:w="1302" w:type="dxa"/>
            <w:shd w:val="clear" w:color="auto" w:fill="B8CDE4"/>
          </w:tcPr>
          <w:p w14:paraId="5E8F5AB8" w14:textId="77777777" w:rsidR="004E4C4E" w:rsidRDefault="004E4C4E" w:rsidP="00CD363C">
            <w:pPr>
              <w:pStyle w:val="TableParagraph"/>
              <w:ind w:right="-142"/>
              <w:jc w:val="both"/>
              <w:rPr>
                <w:sz w:val="20"/>
              </w:rPr>
            </w:pPr>
          </w:p>
        </w:tc>
        <w:tc>
          <w:tcPr>
            <w:tcW w:w="1310" w:type="dxa"/>
            <w:shd w:val="clear" w:color="auto" w:fill="B8CDE4"/>
          </w:tcPr>
          <w:p w14:paraId="3C982401" w14:textId="77777777" w:rsidR="004E4C4E" w:rsidRDefault="004E4C4E" w:rsidP="00CD363C">
            <w:pPr>
              <w:pStyle w:val="TableParagraph"/>
              <w:ind w:right="-142"/>
              <w:jc w:val="both"/>
              <w:rPr>
                <w:sz w:val="20"/>
              </w:rPr>
            </w:pPr>
          </w:p>
        </w:tc>
      </w:tr>
      <w:tr w:rsidR="004E4C4E" w14:paraId="73BBA84C" w14:textId="77777777" w:rsidTr="00175452">
        <w:trPr>
          <w:trHeight w:val="556"/>
        </w:trPr>
        <w:tc>
          <w:tcPr>
            <w:tcW w:w="1094" w:type="dxa"/>
          </w:tcPr>
          <w:p w14:paraId="1D043584" w14:textId="77777777" w:rsidR="004E4C4E" w:rsidRDefault="004E4C4E" w:rsidP="00CD363C">
            <w:pPr>
              <w:pStyle w:val="TableParagraph"/>
              <w:ind w:right="-142"/>
              <w:jc w:val="both"/>
              <w:rPr>
                <w:sz w:val="20"/>
              </w:rPr>
            </w:pPr>
            <w:r>
              <w:rPr>
                <w:sz w:val="20"/>
              </w:rPr>
              <w:t>6.</w:t>
            </w:r>
          </w:p>
        </w:tc>
        <w:tc>
          <w:tcPr>
            <w:tcW w:w="4713" w:type="dxa"/>
            <w:gridSpan w:val="2"/>
          </w:tcPr>
          <w:p w14:paraId="4585CB6A" w14:textId="77777777" w:rsidR="004E4C4E" w:rsidRDefault="004E4C4E" w:rsidP="00CD363C">
            <w:pPr>
              <w:pStyle w:val="TableParagraph"/>
              <w:ind w:left="105" w:right="-142"/>
              <w:jc w:val="both"/>
              <w:rPr>
                <w:sz w:val="20"/>
              </w:rPr>
            </w:pPr>
            <w:r>
              <w:rPr>
                <w:sz w:val="20"/>
              </w:rPr>
              <w:t>Iepriekšējo gadu nesadalītā peļņa vai nesegtie zaudējumi</w:t>
            </w:r>
          </w:p>
        </w:tc>
        <w:tc>
          <w:tcPr>
            <w:tcW w:w="1130" w:type="dxa"/>
          </w:tcPr>
          <w:p w14:paraId="38D97FC5" w14:textId="77777777" w:rsidR="004E4C4E" w:rsidRDefault="004E4C4E" w:rsidP="00CD363C">
            <w:pPr>
              <w:pStyle w:val="TableParagraph"/>
              <w:ind w:right="-142"/>
              <w:jc w:val="both"/>
              <w:rPr>
                <w:sz w:val="20"/>
              </w:rPr>
            </w:pPr>
          </w:p>
        </w:tc>
        <w:tc>
          <w:tcPr>
            <w:tcW w:w="1302" w:type="dxa"/>
          </w:tcPr>
          <w:p w14:paraId="0B076F61" w14:textId="77777777" w:rsidR="004E4C4E" w:rsidRDefault="004E4C4E" w:rsidP="00CD363C">
            <w:pPr>
              <w:pStyle w:val="TableParagraph"/>
              <w:ind w:right="-142"/>
              <w:jc w:val="both"/>
              <w:rPr>
                <w:sz w:val="20"/>
              </w:rPr>
            </w:pPr>
          </w:p>
        </w:tc>
        <w:tc>
          <w:tcPr>
            <w:tcW w:w="1310" w:type="dxa"/>
          </w:tcPr>
          <w:p w14:paraId="3748824D" w14:textId="77777777" w:rsidR="004E4C4E" w:rsidRDefault="004E4C4E" w:rsidP="00CD363C">
            <w:pPr>
              <w:pStyle w:val="TableParagraph"/>
              <w:ind w:right="-142"/>
              <w:jc w:val="both"/>
              <w:rPr>
                <w:sz w:val="20"/>
              </w:rPr>
            </w:pPr>
          </w:p>
        </w:tc>
      </w:tr>
      <w:tr w:rsidR="004E4C4E" w14:paraId="6B1E7F30" w14:textId="77777777" w:rsidTr="00175452">
        <w:trPr>
          <w:trHeight w:val="462"/>
        </w:trPr>
        <w:tc>
          <w:tcPr>
            <w:tcW w:w="1094" w:type="dxa"/>
            <w:shd w:val="clear" w:color="auto" w:fill="B8CDE4"/>
          </w:tcPr>
          <w:p w14:paraId="01347422" w14:textId="77777777" w:rsidR="004E4C4E" w:rsidRDefault="004E4C4E" w:rsidP="00CD363C">
            <w:pPr>
              <w:pStyle w:val="TableParagraph"/>
              <w:ind w:right="-142"/>
              <w:jc w:val="both"/>
              <w:rPr>
                <w:sz w:val="20"/>
              </w:rPr>
            </w:pPr>
            <w:r>
              <w:rPr>
                <w:sz w:val="20"/>
              </w:rPr>
              <w:t>7.</w:t>
            </w:r>
          </w:p>
        </w:tc>
        <w:tc>
          <w:tcPr>
            <w:tcW w:w="4713" w:type="dxa"/>
            <w:gridSpan w:val="2"/>
            <w:shd w:val="clear" w:color="auto" w:fill="B8CDE4"/>
          </w:tcPr>
          <w:p w14:paraId="5457EE07" w14:textId="77777777" w:rsidR="004E4C4E" w:rsidRDefault="004E4C4E" w:rsidP="00CD363C">
            <w:pPr>
              <w:pStyle w:val="TableParagraph"/>
              <w:ind w:left="105" w:right="-142"/>
              <w:jc w:val="both"/>
              <w:rPr>
                <w:sz w:val="20"/>
              </w:rPr>
            </w:pPr>
            <w:r>
              <w:rPr>
                <w:sz w:val="20"/>
              </w:rPr>
              <w:t>Pārskata gada peļņa vai zaudējumi</w:t>
            </w:r>
          </w:p>
        </w:tc>
        <w:tc>
          <w:tcPr>
            <w:tcW w:w="1130" w:type="dxa"/>
            <w:shd w:val="clear" w:color="auto" w:fill="B8CDE4"/>
          </w:tcPr>
          <w:p w14:paraId="4C536CCB" w14:textId="77777777" w:rsidR="004E4C4E" w:rsidRDefault="004E4C4E" w:rsidP="00CD363C">
            <w:pPr>
              <w:pStyle w:val="TableParagraph"/>
              <w:ind w:right="-142"/>
              <w:jc w:val="both"/>
              <w:rPr>
                <w:sz w:val="20"/>
              </w:rPr>
            </w:pPr>
          </w:p>
        </w:tc>
        <w:tc>
          <w:tcPr>
            <w:tcW w:w="1302" w:type="dxa"/>
            <w:shd w:val="clear" w:color="auto" w:fill="B8CDE4"/>
          </w:tcPr>
          <w:p w14:paraId="37817C6A" w14:textId="77777777" w:rsidR="004E4C4E" w:rsidRDefault="004E4C4E" w:rsidP="00CD363C">
            <w:pPr>
              <w:pStyle w:val="TableParagraph"/>
              <w:ind w:right="-142"/>
              <w:jc w:val="both"/>
              <w:rPr>
                <w:sz w:val="20"/>
              </w:rPr>
            </w:pPr>
          </w:p>
        </w:tc>
        <w:tc>
          <w:tcPr>
            <w:tcW w:w="1310" w:type="dxa"/>
            <w:shd w:val="clear" w:color="auto" w:fill="B8CDE4"/>
          </w:tcPr>
          <w:p w14:paraId="7D8ED216" w14:textId="77777777" w:rsidR="004E4C4E" w:rsidRDefault="004E4C4E" w:rsidP="00CD363C">
            <w:pPr>
              <w:pStyle w:val="TableParagraph"/>
              <w:ind w:right="-142"/>
              <w:jc w:val="both"/>
              <w:rPr>
                <w:sz w:val="20"/>
              </w:rPr>
            </w:pPr>
          </w:p>
        </w:tc>
      </w:tr>
      <w:tr w:rsidR="004E4C4E" w14:paraId="4890D228" w14:textId="77777777" w:rsidTr="00175452">
        <w:trPr>
          <w:trHeight w:val="270"/>
        </w:trPr>
        <w:tc>
          <w:tcPr>
            <w:tcW w:w="1094" w:type="dxa"/>
          </w:tcPr>
          <w:p w14:paraId="0C02558B" w14:textId="77777777" w:rsidR="004E4C4E" w:rsidRDefault="004E4C4E" w:rsidP="00CD363C">
            <w:pPr>
              <w:pStyle w:val="TableParagraph"/>
              <w:ind w:right="-142"/>
              <w:jc w:val="both"/>
              <w:rPr>
                <w:sz w:val="20"/>
              </w:rPr>
            </w:pPr>
            <w:r>
              <w:rPr>
                <w:sz w:val="20"/>
              </w:rPr>
              <w:t>8.</w:t>
            </w:r>
          </w:p>
        </w:tc>
        <w:tc>
          <w:tcPr>
            <w:tcW w:w="4713" w:type="dxa"/>
            <w:gridSpan w:val="2"/>
          </w:tcPr>
          <w:p w14:paraId="509867C6" w14:textId="77777777" w:rsidR="004E4C4E" w:rsidRDefault="004E4C4E" w:rsidP="00CD363C">
            <w:pPr>
              <w:pStyle w:val="TableParagraph"/>
              <w:ind w:left="105" w:right="-142"/>
              <w:jc w:val="both"/>
              <w:rPr>
                <w:sz w:val="20"/>
              </w:rPr>
            </w:pPr>
            <w:r>
              <w:rPr>
                <w:sz w:val="20"/>
              </w:rPr>
              <w:t>Mazākumakcionāru līdzdalības daļa</w:t>
            </w:r>
          </w:p>
        </w:tc>
        <w:tc>
          <w:tcPr>
            <w:tcW w:w="1130" w:type="dxa"/>
          </w:tcPr>
          <w:p w14:paraId="01D1EC34" w14:textId="77777777" w:rsidR="004E4C4E" w:rsidRDefault="004E4C4E" w:rsidP="00CD363C">
            <w:pPr>
              <w:pStyle w:val="TableParagraph"/>
              <w:ind w:right="-142"/>
              <w:jc w:val="both"/>
              <w:rPr>
                <w:sz w:val="20"/>
              </w:rPr>
            </w:pPr>
          </w:p>
        </w:tc>
        <w:tc>
          <w:tcPr>
            <w:tcW w:w="1302" w:type="dxa"/>
          </w:tcPr>
          <w:p w14:paraId="6D5F2F20" w14:textId="77777777" w:rsidR="004E4C4E" w:rsidRDefault="004E4C4E" w:rsidP="00CD363C">
            <w:pPr>
              <w:pStyle w:val="TableParagraph"/>
              <w:ind w:right="-142"/>
              <w:jc w:val="both"/>
              <w:rPr>
                <w:sz w:val="20"/>
              </w:rPr>
            </w:pPr>
          </w:p>
        </w:tc>
        <w:tc>
          <w:tcPr>
            <w:tcW w:w="1310" w:type="dxa"/>
          </w:tcPr>
          <w:p w14:paraId="779FCD38" w14:textId="77777777" w:rsidR="004E4C4E" w:rsidRDefault="004E4C4E" w:rsidP="00CD363C">
            <w:pPr>
              <w:pStyle w:val="TableParagraph"/>
              <w:ind w:right="-142"/>
              <w:jc w:val="both"/>
              <w:rPr>
                <w:sz w:val="20"/>
              </w:rPr>
            </w:pPr>
          </w:p>
        </w:tc>
      </w:tr>
      <w:tr w:rsidR="004E4C4E" w14:paraId="75C9D0FB" w14:textId="77777777" w:rsidTr="00175452">
        <w:trPr>
          <w:trHeight w:val="270"/>
        </w:trPr>
        <w:tc>
          <w:tcPr>
            <w:tcW w:w="5807" w:type="dxa"/>
            <w:gridSpan w:val="3"/>
          </w:tcPr>
          <w:p w14:paraId="76DB2943" w14:textId="77777777" w:rsidR="004E4C4E" w:rsidRDefault="004E4C4E" w:rsidP="00CD363C">
            <w:pPr>
              <w:pStyle w:val="TableParagraph"/>
              <w:ind w:left="107" w:right="-142"/>
              <w:jc w:val="both"/>
              <w:rPr>
                <w:b/>
                <w:i/>
                <w:sz w:val="20"/>
              </w:rPr>
            </w:pPr>
            <w:r>
              <w:rPr>
                <w:b/>
                <w:i/>
                <w:sz w:val="20"/>
              </w:rPr>
              <w:t>Pašu kapitāls KOPĀ</w:t>
            </w:r>
          </w:p>
        </w:tc>
        <w:tc>
          <w:tcPr>
            <w:tcW w:w="1130" w:type="dxa"/>
          </w:tcPr>
          <w:p w14:paraId="50CADC49" w14:textId="77777777" w:rsidR="004E4C4E" w:rsidRDefault="004E4C4E" w:rsidP="00CD363C">
            <w:pPr>
              <w:pStyle w:val="TableParagraph"/>
              <w:ind w:right="-142"/>
              <w:jc w:val="both"/>
              <w:rPr>
                <w:sz w:val="20"/>
              </w:rPr>
            </w:pPr>
          </w:p>
        </w:tc>
        <w:tc>
          <w:tcPr>
            <w:tcW w:w="1302" w:type="dxa"/>
          </w:tcPr>
          <w:p w14:paraId="1171BA8F" w14:textId="77777777" w:rsidR="004E4C4E" w:rsidRDefault="004E4C4E" w:rsidP="00CD363C">
            <w:pPr>
              <w:pStyle w:val="TableParagraph"/>
              <w:ind w:right="-142"/>
              <w:jc w:val="both"/>
              <w:rPr>
                <w:sz w:val="20"/>
              </w:rPr>
            </w:pPr>
          </w:p>
        </w:tc>
        <w:tc>
          <w:tcPr>
            <w:tcW w:w="1310" w:type="dxa"/>
          </w:tcPr>
          <w:p w14:paraId="530EB1DA" w14:textId="77777777" w:rsidR="004E4C4E" w:rsidRDefault="004E4C4E" w:rsidP="00CD363C">
            <w:pPr>
              <w:pStyle w:val="TableParagraph"/>
              <w:ind w:right="-142"/>
              <w:jc w:val="both"/>
              <w:rPr>
                <w:sz w:val="20"/>
              </w:rPr>
            </w:pPr>
          </w:p>
        </w:tc>
      </w:tr>
    </w:tbl>
    <w:p w14:paraId="5A6336C0" w14:textId="77777777" w:rsidR="004E4C4E" w:rsidRDefault="004E4C4E" w:rsidP="00CD363C">
      <w:pPr>
        <w:pStyle w:val="Pamatteksts"/>
        <w:ind w:right="-142"/>
        <w:jc w:val="both"/>
        <w:rPr>
          <w:i/>
        </w:rPr>
      </w:pPr>
    </w:p>
    <w:p w14:paraId="2B385079" w14:textId="77777777" w:rsidR="004E4C4E" w:rsidRDefault="004E4C4E" w:rsidP="00CD363C">
      <w:pPr>
        <w:pStyle w:val="Pamatteksts"/>
        <w:ind w:right="-142"/>
        <w:jc w:val="both"/>
        <w:rPr>
          <w:i/>
          <w:sz w:val="19"/>
        </w:rPr>
      </w:pPr>
    </w:p>
    <w:p w14:paraId="2A73FAF0" w14:textId="77777777" w:rsidR="004E4C4E" w:rsidRDefault="004E4C4E" w:rsidP="00CD363C">
      <w:pPr>
        <w:pStyle w:val="Pamatteksts"/>
        <w:ind w:left="1658" w:right="-142" w:hanging="342"/>
        <w:jc w:val="both"/>
      </w:pPr>
      <w:r>
        <w:rPr>
          <w:noProof/>
          <w:position w:val="-4"/>
          <w:lang w:eastAsia="lv-LV"/>
        </w:rPr>
        <w:drawing>
          <wp:inline distT="0" distB="0" distL="0" distR="0" wp14:anchorId="311A5961" wp14:editId="5AE3ABB6">
            <wp:extent cx="101345" cy="133350"/>
            <wp:effectExtent l="0" t="0" r="0" b="0"/>
            <wp:docPr id="37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8.png"/>
                    <pic:cNvPicPr/>
                  </pic:nvPicPr>
                  <pic:blipFill>
                    <a:blip r:embed="rId33"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Budžeta iestāde 2019. gada 1. augustā, pamatojoties uz veikto maksājumu saskaņā ar akciju pirkuma līgumu, veic sekojošu grāmatojumu, atzīstot ieguldījumu un samazinot naudas līdzekļus:</w:t>
      </w:r>
    </w:p>
    <w:p w14:paraId="3E6E9FE1" w14:textId="77777777" w:rsidR="004E4C4E" w:rsidRDefault="004E4C4E" w:rsidP="00CD363C">
      <w:pPr>
        <w:pStyle w:val="Pamatteksts"/>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692"/>
        <w:gridCol w:w="1704"/>
        <w:gridCol w:w="1704"/>
      </w:tblGrid>
      <w:tr w:rsidR="00763532" w14:paraId="3E521D71" w14:textId="77777777" w:rsidTr="00175452">
        <w:trPr>
          <w:trHeight w:val="289"/>
        </w:trPr>
        <w:tc>
          <w:tcPr>
            <w:tcW w:w="617" w:type="dxa"/>
          </w:tcPr>
          <w:p w14:paraId="34F85AA6" w14:textId="77777777" w:rsidR="00763532" w:rsidRDefault="00763532" w:rsidP="00CD363C">
            <w:pPr>
              <w:pStyle w:val="TableParagraph"/>
              <w:ind w:left="200" w:right="-142"/>
              <w:jc w:val="both"/>
              <w:rPr>
                <w:i/>
              </w:rPr>
            </w:pPr>
            <w:r>
              <w:rPr>
                <w:i/>
              </w:rPr>
              <w:t>D</w:t>
            </w:r>
          </w:p>
        </w:tc>
        <w:tc>
          <w:tcPr>
            <w:tcW w:w="992" w:type="dxa"/>
          </w:tcPr>
          <w:p w14:paraId="36BA58F7" w14:textId="77777777" w:rsidR="00763532" w:rsidRDefault="00763532" w:rsidP="00CD363C">
            <w:pPr>
              <w:pStyle w:val="TableParagraph"/>
              <w:ind w:left="222" w:right="-142"/>
              <w:jc w:val="both"/>
              <w:rPr>
                <w:i/>
              </w:rPr>
            </w:pPr>
            <w:r>
              <w:rPr>
                <w:i/>
              </w:rPr>
              <w:t>1321</w:t>
            </w:r>
          </w:p>
        </w:tc>
        <w:tc>
          <w:tcPr>
            <w:tcW w:w="4692" w:type="dxa"/>
          </w:tcPr>
          <w:p w14:paraId="25F3BA39" w14:textId="77777777" w:rsidR="00763532" w:rsidRDefault="00763532" w:rsidP="00CD363C">
            <w:pPr>
              <w:pStyle w:val="TableParagraph"/>
              <w:ind w:left="292" w:right="-142"/>
              <w:jc w:val="both"/>
              <w:rPr>
                <w:i/>
              </w:rPr>
            </w:pPr>
            <w:r>
              <w:rPr>
                <w:i/>
              </w:rPr>
              <w:t>Līdzdalība asociēto kapitālsabiedrību kapitālā</w:t>
            </w:r>
          </w:p>
        </w:tc>
        <w:tc>
          <w:tcPr>
            <w:tcW w:w="1704" w:type="dxa"/>
          </w:tcPr>
          <w:p w14:paraId="123BE2EB" w14:textId="77777777" w:rsidR="00763532" w:rsidRDefault="00763532" w:rsidP="00CD363C">
            <w:pPr>
              <w:pStyle w:val="TableParagraph"/>
              <w:ind w:left="138" w:right="-142"/>
              <w:jc w:val="both"/>
              <w:rPr>
                <w:i/>
              </w:rPr>
            </w:pPr>
          </w:p>
        </w:tc>
        <w:tc>
          <w:tcPr>
            <w:tcW w:w="1704" w:type="dxa"/>
          </w:tcPr>
          <w:p w14:paraId="1E7D0C6B" w14:textId="77777777" w:rsidR="00763532" w:rsidRDefault="00763532" w:rsidP="00CD363C">
            <w:pPr>
              <w:pStyle w:val="TableParagraph"/>
              <w:ind w:left="138" w:right="-142"/>
              <w:jc w:val="both"/>
              <w:rPr>
                <w:i/>
              </w:rPr>
            </w:pPr>
            <w:r>
              <w:rPr>
                <w:i/>
              </w:rPr>
              <w:t>10 000,00 EUR</w:t>
            </w:r>
          </w:p>
        </w:tc>
      </w:tr>
      <w:tr w:rsidR="00763532" w14:paraId="3CAC13A5" w14:textId="77777777" w:rsidTr="00175452">
        <w:trPr>
          <w:trHeight w:val="540"/>
        </w:trPr>
        <w:tc>
          <w:tcPr>
            <w:tcW w:w="617" w:type="dxa"/>
          </w:tcPr>
          <w:p w14:paraId="6F405735" w14:textId="77777777" w:rsidR="00763532" w:rsidRDefault="00763532" w:rsidP="00CD363C">
            <w:pPr>
              <w:pStyle w:val="TableParagraph"/>
              <w:ind w:left="200" w:right="-142"/>
              <w:jc w:val="both"/>
              <w:rPr>
                <w:i/>
              </w:rPr>
            </w:pPr>
            <w:r>
              <w:rPr>
                <w:i/>
              </w:rPr>
              <w:t>K</w:t>
            </w:r>
          </w:p>
        </w:tc>
        <w:tc>
          <w:tcPr>
            <w:tcW w:w="992" w:type="dxa"/>
          </w:tcPr>
          <w:p w14:paraId="125E8052" w14:textId="77777777" w:rsidR="00763532" w:rsidRDefault="00763532" w:rsidP="00CD363C">
            <w:pPr>
              <w:pStyle w:val="TableParagraph"/>
              <w:ind w:left="222" w:right="-142"/>
              <w:jc w:val="both"/>
              <w:rPr>
                <w:i/>
              </w:rPr>
            </w:pPr>
            <w:r>
              <w:rPr>
                <w:i/>
              </w:rPr>
              <w:t>2620</w:t>
            </w:r>
          </w:p>
        </w:tc>
        <w:tc>
          <w:tcPr>
            <w:tcW w:w="4692" w:type="dxa"/>
          </w:tcPr>
          <w:p w14:paraId="4E6D8B33" w14:textId="77777777" w:rsidR="00763532" w:rsidRDefault="00763532" w:rsidP="00CD363C">
            <w:pPr>
              <w:pStyle w:val="TableParagraph"/>
              <w:ind w:left="292" w:right="-142"/>
              <w:jc w:val="both"/>
              <w:rPr>
                <w:i/>
              </w:rPr>
            </w:pPr>
            <w:r>
              <w:rPr>
                <w:i/>
              </w:rPr>
              <w:t>Norēķinu konti Valsts kasē, kredītiestādēs vai citās institūcijās</w:t>
            </w:r>
          </w:p>
        </w:tc>
        <w:tc>
          <w:tcPr>
            <w:tcW w:w="1704" w:type="dxa"/>
          </w:tcPr>
          <w:p w14:paraId="5B821352" w14:textId="77777777" w:rsidR="00763532" w:rsidRDefault="00763532" w:rsidP="00CD363C">
            <w:pPr>
              <w:pStyle w:val="TableParagraph"/>
              <w:ind w:left="138" w:right="-142"/>
              <w:jc w:val="both"/>
              <w:rPr>
                <w:i/>
              </w:rPr>
            </w:pPr>
          </w:p>
        </w:tc>
        <w:tc>
          <w:tcPr>
            <w:tcW w:w="1704" w:type="dxa"/>
          </w:tcPr>
          <w:p w14:paraId="282C0AEE" w14:textId="77777777" w:rsidR="00763532" w:rsidRDefault="00763532" w:rsidP="00CD363C">
            <w:pPr>
              <w:pStyle w:val="TableParagraph"/>
              <w:ind w:left="138" w:right="-142"/>
              <w:jc w:val="both"/>
              <w:rPr>
                <w:i/>
              </w:rPr>
            </w:pPr>
            <w:r>
              <w:rPr>
                <w:i/>
              </w:rPr>
              <w:t>10 000,00 EUR</w:t>
            </w:r>
          </w:p>
        </w:tc>
      </w:tr>
      <w:tr w:rsidR="00763532" w14:paraId="49AEB6A7" w14:textId="77777777" w:rsidTr="00175452">
        <w:trPr>
          <w:trHeight w:val="540"/>
        </w:trPr>
        <w:tc>
          <w:tcPr>
            <w:tcW w:w="617" w:type="dxa"/>
          </w:tcPr>
          <w:p w14:paraId="307A69D9" w14:textId="77777777" w:rsidR="00763532" w:rsidRDefault="00763532" w:rsidP="00CD363C">
            <w:pPr>
              <w:pStyle w:val="TableParagraph"/>
              <w:ind w:left="200" w:right="-142"/>
              <w:jc w:val="both"/>
              <w:rPr>
                <w:i/>
              </w:rPr>
            </w:pPr>
          </w:p>
          <w:p w14:paraId="633B798E" w14:textId="77777777" w:rsidR="00763532" w:rsidRDefault="00763532" w:rsidP="00CD363C">
            <w:pPr>
              <w:pStyle w:val="TableParagraph"/>
              <w:ind w:left="200" w:right="-142"/>
              <w:jc w:val="both"/>
              <w:rPr>
                <w:i/>
              </w:rPr>
            </w:pPr>
          </w:p>
        </w:tc>
        <w:tc>
          <w:tcPr>
            <w:tcW w:w="992" w:type="dxa"/>
          </w:tcPr>
          <w:p w14:paraId="7BB3209D" w14:textId="77777777" w:rsidR="00763532" w:rsidRDefault="00763532" w:rsidP="00CD363C">
            <w:pPr>
              <w:pStyle w:val="TableParagraph"/>
              <w:ind w:left="222" w:right="-142"/>
              <w:jc w:val="both"/>
              <w:rPr>
                <w:i/>
              </w:rPr>
            </w:pPr>
          </w:p>
        </w:tc>
        <w:tc>
          <w:tcPr>
            <w:tcW w:w="4692" w:type="dxa"/>
          </w:tcPr>
          <w:p w14:paraId="21F713AF" w14:textId="77777777" w:rsidR="00763532" w:rsidRDefault="00763532" w:rsidP="00CD363C">
            <w:pPr>
              <w:pStyle w:val="TableParagraph"/>
              <w:ind w:left="-1456" w:right="-142" w:firstLine="1748"/>
              <w:jc w:val="both"/>
              <w:rPr>
                <w:i/>
              </w:rPr>
            </w:pPr>
          </w:p>
        </w:tc>
        <w:tc>
          <w:tcPr>
            <w:tcW w:w="1704" w:type="dxa"/>
          </w:tcPr>
          <w:p w14:paraId="1EBAE2BD" w14:textId="77777777" w:rsidR="00763532" w:rsidRDefault="00763532" w:rsidP="00CD363C">
            <w:pPr>
              <w:pStyle w:val="TableParagraph"/>
              <w:ind w:left="138" w:right="-142"/>
              <w:jc w:val="both"/>
              <w:rPr>
                <w:i/>
              </w:rPr>
            </w:pPr>
          </w:p>
        </w:tc>
        <w:tc>
          <w:tcPr>
            <w:tcW w:w="1704" w:type="dxa"/>
          </w:tcPr>
          <w:p w14:paraId="02992F0D" w14:textId="77777777" w:rsidR="00763532" w:rsidRDefault="00763532" w:rsidP="00CD363C">
            <w:pPr>
              <w:pStyle w:val="TableParagraph"/>
              <w:ind w:left="138" w:right="-142"/>
              <w:jc w:val="both"/>
              <w:rPr>
                <w:i/>
              </w:rPr>
            </w:pPr>
          </w:p>
        </w:tc>
      </w:tr>
    </w:tbl>
    <w:p w14:paraId="4EA1EF99" w14:textId="77777777" w:rsidR="004E4C4E" w:rsidRDefault="004E4C4E" w:rsidP="00CD363C">
      <w:pPr>
        <w:spacing w:after="0" w:line="240" w:lineRule="auto"/>
        <w:ind w:right="-142"/>
        <w:jc w:val="both"/>
        <w:sectPr w:rsidR="004E4C4E" w:rsidSect="00B5289A">
          <w:pgSz w:w="11910" w:h="16840"/>
          <w:pgMar w:top="740" w:right="1137" w:bottom="1200" w:left="1134" w:header="0" w:footer="983" w:gutter="0"/>
          <w:cols w:space="720"/>
        </w:sectPr>
      </w:pPr>
    </w:p>
    <w:p w14:paraId="3571A3A3" w14:textId="77777777" w:rsidR="004E4C4E" w:rsidRDefault="004E4C4E" w:rsidP="00CD363C">
      <w:pPr>
        <w:pStyle w:val="Pamatteksts"/>
        <w:ind w:left="1658" w:right="-142" w:hanging="363"/>
        <w:jc w:val="both"/>
      </w:pPr>
      <w:r>
        <w:rPr>
          <w:noProof/>
          <w:position w:val="-4"/>
          <w:lang w:eastAsia="lv-LV"/>
        </w:rPr>
        <w:drawing>
          <wp:inline distT="0" distB="0" distL="0" distR="0" wp14:anchorId="6B3F5E46" wp14:editId="7910989D">
            <wp:extent cx="115061" cy="133350"/>
            <wp:effectExtent l="0" t="0" r="0" b="0"/>
            <wp:docPr id="37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29.png"/>
                    <pic:cNvPicPr/>
                  </pic:nvPicPr>
                  <pic:blipFill>
                    <a:blip r:embed="rId34"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Tā kā kapitālsabiedrība pārskata periodu noslēdz ar peļņu, budžeta iestāde, pamatojoties uz 02.04.2020.</w:t>
      </w:r>
      <w:r>
        <w:rPr>
          <w:spacing w:val="-6"/>
        </w:rPr>
        <w:t xml:space="preserve"> </w:t>
      </w:r>
      <w:r>
        <w:t>saņemto</w:t>
      </w:r>
      <w:r>
        <w:rPr>
          <w:spacing w:val="-6"/>
        </w:rPr>
        <w:t xml:space="preserve"> </w:t>
      </w:r>
      <w:r>
        <w:t>informāciju</w:t>
      </w:r>
      <w:r>
        <w:rPr>
          <w:spacing w:val="-6"/>
        </w:rPr>
        <w:t xml:space="preserve"> </w:t>
      </w:r>
      <w:r>
        <w:t>par</w:t>
      </w:r>
      <w:r>
        <w:rPr>
          <w:spacing w:val="-5"/>
        </w:rPr>
        <w:t xml:space="preserve"> </w:t>
      </w:r>
      <w:r>
        <w:t>kapitālsabiedrības</w:t>
      </w:r>
      <w:r>
        <w:rPr>
          <w:spacing w:val="-5"/>
        </w:rPr>
        <w:t xml:space="preserve"> </w:t>
      </w:r>
      <w:r>
        <w:t>pārskata</w:t>
      </w:r>
      <w:r>
        <w:rPr>
          <w:spacing w:val="-5"/>
        </w:rPr>
        <w:t xml:space="preserve"> </w:t>
      </w:r>
      <w:r>
        <w:t>gada</w:t>
      </w:r>
      <w:r>
        <w:rPr>
          <w:spacing w:val="-4"/>
        </w:rPr>
        <w:t xml:space="preserve"> </w:t>
      </w:r>
      <w:r>
        <w:t>finanšu</w:t>
      </w:r>
      <w:r>
        <w:rPr>
          <w:spacing w:val="-5"/>
        </w:rPr>
        <w:t xml:space="preserve"> </w:t>
      </w:r>
      <w:r>
        <w:t>rezultātu,</w:t>
      </w:r>
      <w:r>
        <w:rPr>
          <w:spacing w:val="-6"/>
        </w:rPr>
        <w:t xml:space="preserve"> </w:t>
      </w:r>
      <w:r>
        <w:t>veic grāmatojumu ar pārskata datumu (31.12.2019.), palielinot līdzdalības uzskaites vērtību un atzīstot ieņēmumus proporcionāli laika periodam, uz kuru attiecas budžeta iestādes ieguldījums</w:t>
      </w:r>
      <w:r>
        <w:rPr>
          <w:spacing w:val="-4"/>
        </w:rPr>
        <w:t xml:space="preserve"> </w:t>
      </w:r>
      <w:r>
        <w:t>kapitālsabiedrībā</w:t>
      </w:r>
      <w:r>
        <w:rPr>
          <w:spacing w:val="2"/>
        </w:rPr>
        <w:t xml:space="preserve"> </w:t>
      </w:r>
      <w:r>
        <w:t>–</w:t>
      </w:r>
      <w:r>
        <w:rPr>
          <w:spacing w:val="-4"/>
        </w:rPr>
        <w:t xml:space="preserve"> </w:t>
      </w:r>
      <w:r>
        <w:t>2019.gada</w:t>
      </w:r>
      <w:r>
        <w:rPr>
          <w:spacing w:val="-3"/>
        </w:rPr>
        <w:t xml:space="preserve"> </w:t>
      </w:r>
      <w:r>
        <w:t>5</w:t>
      </w:r>
      <w:r>
        <w:rPr>
          <w:spacing w:val="-4"/>
        </w:rPr>
        <w:t xml:space="preserve"> </w:t>
      </w:r>
      <w:r>
        <w:t>mēnešiem</w:t>
      </w:r>
      <w:r>
        <w:rPr>
          <w:spacing w:val="-7"/>
        </w:rPr>
        <w:t xml:space="preserve"> </w:t>
      </w:r>
      <w:r>
        <w:t>(20 000,00</w:t>
      </w:r>
      <w:r>
        <w:rPr>
          <w:spacing w:val="-4"/>
        </w:rPr>
        <w:t xml:space="preserve"> </w:t>
      </w:r>
      <w:r>
        <w:t>EUR</w:t>
      </w:r>
      <w:r>
        <w:rPr>
          <w:spacing w:val="-5"/>
        </w:rPr>
        <w:t xml:space="preserve"> </w:t>
      </w:r>
      <w:r>
        <w:t>x</w:t>
      </w:r>
      <w:r>
        <w:rPr>
          <w:spacing w:val="-4"/>
        </w:rPr>
        <w:t xml:space="preserve"> </w:t>
      </w:r>
      <w:r>
        <w:t>40%)</w:t>
      </w:r>
      <w:r>
        <w:rPr>
          <w:spacing w:val="-3"/>
        </w:rPr>
        <w:t xml:space="preserve"> </w:t>
      </w:r>
      <w:r>
        <w:t>x</w:t>
      </w:r>
      <w:r>
        <w:rPr>
          <w:spacing w:val="-4"/>
        </w:rPr>
        <w:t xml:space="preserve"> </w:t>
      </w:r>
      <w:r>
        <w:t>5</w:t>
      </w:r>
      <w:r>
        <w:rPr>
          <w:spacing w:val="-4"/>
        </w:rPr>
        <w:t xml:space="preserve"> </w:t>
      </w:r>
      <w:r>
        <w:t>mēneši</w:t>
      </w:r>
      <w:r>
        <w:rPr>
          <w:spacing w:val="-2"/>
        </w:rPr>
        <w:t xml:space="preserve"> </w:t>
      </w:r>
      <w:r>
        <w:t>/</w:t>
      </w:r>
    </w:p>
    <w:p w14:paraId="639F82FF" w14:textId="77777777" w:rsidR="004E4C4E" w:rsidRDefault="004E4C4E" w:rsidP="00CD363C">
      <w:pPr>
        <w:pStyle w:val="Pamatteksts"/>
        <w:ind w:left="1658" w:right="-142"/>
        <w:jc w:val="both"/>
      </w:pPr>
      <w:r>
        <w:t>12 mēneši = 3 333,33 EUR):</w:t>
      </w:r>
    </w:p>
    <w:p w14:paraId="79716838" w14:textId="77777777" w:rsidR="004E4C4E" w:rsidRDefault="004E4C4E" w:rsidP="00CD363C">
      <w:pPr>
        <w:pStyle w:val="Pamatteksts"/>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836"/>
        <w:gridCol w:w="1592"/>
      </w:tblGrid>
      <w:tr w:rsidR="004E4C4E" w14:paraId="60BD9215" w14:textId="77777777" w:rsidTr="00175452">
        <w:trPr>
          <w:trHeight w:val="289"/>
        </w:trPr>
        <w:tc>
          <w:tcPr>
            <w:tcW w:w="617" w:type="dxa"/>
          </w:tcPr>
          <w:p w14:paraId="0EB828A7" w14:textId="77777777" w:rsidR="004E4C4E" w:rsidRDefault="004E4C4E" w:rsidP="00CD363C">
            <w:pPr>
              <w:pStyle w:val="TableParagraph"/>
              <w:ind w:left="200" w:right="-142"/>
              <w:jc w:val="both"/>
              <w:rPr>
                <w:i/>
              </w:rPr>
            </w:pPr>
            <w:r>
              <w:rPr>
                <w:i/>
              </w:rPr>
              <w:t>D</w:t>
            </w:r>
          </w:p>
        </w:tc>
        <w:tc>
          <w:tcPr>
            <w:tcW w:w="992" w:type="dxa"/>
          </w:tcPr>
          <w:p w14:paraId="49FC4F55" w14:textId="77777777" w:rsidR="004E4C4E" w:rsidRDefault="004E4C4E" w:rsidP="00CD363C">
            <w:pPr>
              <w:pStyle w:val="TableParagraph"/>
              <w:ind w:left="222" w:right="-142"/>
              <w:jc w:val="both"/>
              <w:rPr>
                <w:i/>
              </w:rPr>
            </w:pPr>
            <w:r>
              <w:rPr>
                <w:i/>
              </w:rPr>
              <w:t>1321</w:t>
            </w:r>
          </w:p>
        </w:tc>
        <w:tc>
          <w:tcPr>
            <w:tcW w:w="4836" w:type="dxa"/>
          </w:tcPr>
          <w:p w14:paraId="6F7C4059" w14:textId="77777777" w:rsidR="004E4C4E" w:rsidRDefault="004E4C4E" w:rsidP="00CD363C">
            <w:pPr>
              <w:pStyle w:val="TableParagraph"/>
              <w:ind w:left="292" w:right="-142"/>
              <w:jc w:val="both"/>
              <w:rPr>
                <w:i/>
              </w:rPr>
            </w:pPr>
            <w:r>
              <w:rPr>
                <w:i/>
              </w:rPr>
              <w:t>Līdzdalība asociēto kapitālsabiedrību kapitālā</w:t>
            </w:r>
          </w:p>
        </w:tc>
        <w:tc>
          <w:tcPr>
            <w:tcW w:w="1592" w:type="dxa"/>
          </w:tcPr>
          <w:p w14:paraId="0CBD99AF" w14:textId="77777777" w:rsidR="004E4C4E" w:rsidRDefault="004E4C4E" w:rsidP="00CD363C">
            <w:pPr>
              <w:pStyle w:val="TableParagraph"/>
              <w:ind w:left="115" w:right="-142"/>
              <w:jc w:val="both"/>
              <w:rPr>
                <w:i/>
              </w:rPr>
            </w:pPr>
            <w:r>
              <w:rPr>
                <w:i/>
              </w:rPr>
              <w:t>3 333,33 EUR</w:t>
            </w:r>
          </w:p>
        </w:tc>
      </w:tr>
      <w:tr w:rsidR="004E4C4E" w14:paraId="4FA0D504" w14:textId="77777777" w:rsidTr="00175452">
        <w:trPr>
          <w:trHeight w:val="541"/>
        </w:trPr>
        <w:tc>
          <w:tcPr>
            <w:tcW w:w="617" w:type="dxa"/>
          </w:tcPr>
          <w:p w14:paraId="639A22B8" w14:textId="77777777" w:rsidR="004E4C4E" w:rsidRDefault="004E4C4E" w:rsidP="00CD363C">
            <w:pPr>
              <w:pStyle w:val="TableParagraph"/>
              <w:ind w:left="200" w:right="-142"/>
              <w:jc w:val="both"/>
              <w:rPr>
                <w:i/>
              </w:rPr>
            </w:pPr>
            <w:r>
              <w:rPr>
                <w:i/>
              </w:rPr>
              <w:t>K</w:t>
            </w:r>
          </w:p>
        </w:tc>
        <w:tc>
          <w:tcPr>
            <w:tcW w:w="992" w:type="dxa"/>
          </w:tcPr>
          <w:p w14:paraId="2B32C6AF" w14:textId="77777777" w:rsidR="004E4C4E" w:rsidRDefault="004E4C4E" w:rsidP="00CD363C">
            <w:pPr>
              <w:pStyle w:val="TableParagraph"/>
              <w:ind w:left="222" w:right="-142"/>
              <w:jc w:val="both"/>
              <w:rPr>
                <w:i/>
              </w:rPr>
            </w:pPr>
            <w:r>
              <w:rPr>
                <w:i/>
              </w:rPr>
              <w:t>8140</w:t>
            </w:r>
          </w:p>
        </w:tc>
        <w:tc>
          <w:tcPr>
            <w:tcW w:w="4836" w:type="dxa"/>
          </w:tcPr>
          <w:p w14:paraId="55FCF93F" w14:textId="77777777" w:rsidR="004E4C4E" w:rsidRDefault="004E4C4E" w:rsidP="00CD363C">
            <w:pPr>
              <w:pStyle w:val="TableParagraph"/>
              <w:ind w:left="292" w:right="-142"/>
              <w:jc w:val="both"/>
              <w:rPr>
                <w:i/>
              </w:rPr>
            </w:pPr>
            <w:r>
              <w:rPr>
                <w:i/>
              </w:rPr>
              <w:t>Ieņēmumi no ilgtermiņa finanšu ieguldījumu pārvērtēšanas vai pārsnieguma</w:t>
            </w:r>
          </w:p>
        </w:tc>
        <w:tc>
          <w:tcPr>
            <w:tcW w:w="1592" w:type="dxa"/>
          </w:tcPr>
          <w:p w14:paraId="64F2BF46" w14:textId="77777777" w:rsidR="004E4C4E" w:rsidRDefault="004E4C4E" w:rsidP="00CD363C">
            <w:pPr>
              <w:pStyle w:val="TableParagraph"/>
              <w:ind w:left="115" w:right="-142"/>
              <w:jc w:val="both"/>
              <w:rPr>
                <w:i/>
              </w:rPr>
            </w:pPr>
            <w:r>
              <w:rPr>
                <w:i/>
              </w:rPr>
              <w:t>3 333,33 EUR</w:t>
            </w:r>
          </w:p>
        </w:tc>
      </w:tr>
    </w:tbl>
    <w:p w14:paraId="6818EC91" w14:textId="77777777" w:rsidR="004E4C4E" w:rsidRDefault="004E4C4E" w:rsidP="00CD363C">
      <w:pPr>
        <w:pStyle w:val="Pamatteksts"/>
        <w:ind w:left="1658" w:right="-142" w:hanging="358"/>
        <w:jc w:val="both"/>
      </w:pPr>
      <w:r>
        <w:rPr>
          <w:noProof/>
          <w:position w:val="-4"/>
          <w:lang w:eastAsia="lv-LV"/>
        </w:rPr>
        <w:drawing>
          <wp:inline distT="0" distB="0" distL="0" distR="0" wp14:anchorId="0CBBC28A" wp14:editId="1A22D338">
            <wp:extent cx="112014" cy="133350"/>
            <wp:effectExtent l="0" t="0" r="0" b="0"/>
            <wp:docPr id="37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10.png"/>
                    <pic:cNvPicPr/>
                  </pic:nvPicPr>
                  <pic:blipFill>
                    <a:blip r:embed="rId35"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Tā kā kapitālsabiedrība pārskata datumā veic pamatlīdzekļu pārvērtēšanu, palielinot to bilances vērtību, tad budžeta iestāde pārskata datumā veic grāmatojumu, atzīstot līdzdalības un rezervju palielinājumu proporcionāli ieguldījuma daļai kapitālsabiedrības kapitālā (600,00 EUR x 40% = 240,00</w:t>
      </w:r>
      <w:r>
        <w:rPr>
          <w:spacing w:val="-5"/>
        </w:rPr>
        <w:t xml:space="preserve"> </w:t>
      </w:r>
      <w:r>
        <w:t>EUR):</w:t>
      </w:r>
    </w:p>
    <w:p w14:paraId="1F386905" w14:textId="77777777" w:rsidR="004E4C4E" w:rsidRDefault="004E4C4E" w:rsidP="00CD363C">
      <w:pPr>
        <w:pStyle w:val="Pamatteksts"/>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690"/>
        <w:gridCol w:w="1573"/>
      </w:tblGrid>
      <w:tr w:rsidR="004E4C4E" w14:paraId="57F9C57C" w14:textId="77777777" w:rsidTr="00175452">
        <w:trPr>
          <w:trHeight w:val="289"/>
        </w:trPr>
        <w:tc>
          <w:tcPr>
            <w:tcW w:w="617" w:type="dxa"/>
          </w:tcPr>
          <w:p w14:paraId="52219F56" w14:textId="77777777" w:rsidR="004E4C4E" w:rsidRDefault="004E4C4E" w:rsidP="00CD363C">
            <w:pPr>
              <w:pStyle w:val="TableParagraph"/>
              <w:ind w:left="200" w:right="-142"/>
              <w:jc w:val="both"/>
              <w:rPr>
                <w:i/>
              </w:rPr>
            </w:pPr>
            <w:r>
              <w:rPr>
                <w:i/>
              </w:rPr>
              <w:t>D</w:t>
            </w:r>
          </w:p>
        </w:tc>
        <w:tc>
          <w:tcPr>
            <w:tcW w:w="992" w:type="dxa"/>
          </w:tcPr>
          <w:p w14:paraId="6EEA7AC2" w14:textId="77777777" w:rsidR="004E4C4E" w:rsidRDefault="004E4C4E" w:rsidP="00CD363C">
            <w:pPr>
              <w:pStyle w:val="TableParagraph"/>
              <w:ind w:left="222" w:right="-142"/>
              <w:jc w:val="both"/>
              <w:rPr>
                <w:i/>
              </w:rPr>
            </w:pPr>
            <w:r>
              <w:rPr>
                <w:i/>
              </w:rPr>
              <w:t>1321</w:t>
            </w:r>
          </w:p>
        </w:tc>
        <w:tc>
          <w:tcPr>
            <w:tcW w:w="4690" w:type="dxa"/>
          </w:tcPr>
          <w:p w14:paraId="3474607C" w14:textId="77777777" w:rsidR="004E4C4E" w:rsidRDefault="004E4C4E" w:rsidP="00CD363C">
            <w:pPr>
              <w:pStyle w:val="TableParagraph"/>
              <w:ind w:left="292" w:right="-142"/>
              <w:jc w:val="both"/>
              <w:rPr>
                <w:i/>
              </w:rPr>
            </w:pPr>
            <w:r>
              <w:rPr>
                <w:i/>
              </w:rPr>
              <w:t>Līdzdalība asociēto kapitālsabiedrību kapitālā</w:t>
            </w:r>
          </w:p>
        </w:tc>
        <w:tc>
          <w:tcPr>
            <w:tcW w:w="1573" w:type="dxa"/>
          </w:tcPr>
          <w:p w14:paraId="6FA64033" w14:textId="77777777" w:rsidR="004E4C4E" w:rsidRDefault="004E4C4E" w:rsidP="00CD363C">
            <w:pPr>
              <w:pStyle w:val="TableParagraph"/>
              <w:ind w:right="-142"/>
              <w:jc w:val="both"/>
              <w:rPr>
                <w:i/>
              </w:rPr>
            </w:pPr>
            <w:r>
              <w:rPr>
                <w:i/>
              </w:rPr>
              <w:t>240,00 EUR</w:t>
            </w:r>
          </w:p>
        </w:tc>
      </w:tr>
      <w:tr w:rsidR="004E4C4E" w14:paraId="6476BCE0" w14:textId="77777777" w:rsidTr="00175452">
        <w:trPr>
          <w:trHeight w:val="289"/>
        </w:trPr>
        <w:tc>
          <w:tcPr>
            <w:tcW w:w="617" w:type="dxa"/>
          </w:tcPr>
          <w:p w14:paraId="241A01B0" w14:textId="77777777" w:rsidR="004E4C4E" w:rsidRDefault="004E4C4E" w:rsidP="00CD363C">
            <w:pPr>
              <w:pStyle w:val="TableParagraph"/>
              <w:ind w:left="200" w:right="-142"/>
              <w:jc w:val="both"/>
              <w:rPr>
                <w:i/>
              </w:rPr>
            </w:pPr>
            <w:r>
              <w:rPr>
                <w:i/>
              </w:rPr>
              <w:t>K</w:t>
            </w:r>
          </w:p>
        </w:tc>
        <w:tc>
          <w:tcPr>
            <w:tcW w:w="992" w:type="dxa"/>
          </w:tcPr>
          <w:p w14:paraId="14BF7609" w14:textId="77777777" w:rsidR="004E4C4E" w:rsidRDefault="004E4C4E" w:rsidP="00CD363C">
            <w:pPr>
              <w:pStyle w:val="TableParagraph"/>
              <w:ind w:left="222" w:right="-142"/>
              <w:jc w:val="both"/>
              <w:rPr>
                <w:i/>
              </w:rPr>
            </w:pPr>
            <w:r>
              <w:rPr>
                <w:i/>
              </w:rPr>
              <w:t>3360</w:t>
            </w:r>
          </w:p>
        </w:tc>
        <w:tc>
          <w:tcPr>
            <w:tcW w:w="4690" w:type="dxa"/>
          </w:tcPr>
          <w:p w14:paraId="101FFA7C" w14:textId="77777777" w:rsidR="004E4C4E" w:rsidRDefault="004E4C4E" w:rsidP="00CD363C">
            <w:pPr>
              <w:pStyle w:val="TableParagraph"/>
              <w:ind w:left="292" w:right="-142"/>
              <w:jc w:val="both"/>
              <w:rPr>
                <w:i/>
              </w:rPr>
            </w:pPr>
            <w:r>
              <w:rPr>
                <w:i/>
              </w:rPr>
              <w:t>Pārējās rezerves</w:t>
            </w:r>
          </w:p>
        </w:tc>
        <w:tc>
          <w:tcPr>
            <w:tcW w:w="1573" w:type="dxa"/>
          </w:tcPr>
          <w:p w14:paraId="35D917E7" w14:textId="77777777" w:rsidR="004E4C4E" w:rsidRDefault="004E4C4E" w:rsidP="00CD363C">
            <w:pPr>
              <w:pStyle w:val="TableParagraph"/>
              <w:ind w:right="-142"/>
              <w:jc w:val="both"/>
              <w:rPr>
                <w:i/>
              </w:rPr>
            </w:pPr>
            <w:r>
              <w:rPr>
                <w:i/>
              </w:rPr>
              <w:t>240,00 EUR</w:t>
            </w:r>
          </w:p>
        </w:tc>
      </w:tr>
    </w:tbl>
    <w:p w14:paraId="3A38D3EA" w14:textId="77777777" w:rsidR="004E4C4E" w:rsidRDefault="004E4C4E" w:rsidP="00CD363C">
      <w:pPr>
        <w:pStyle w:val="Pamatteksts"/>
        <w:ind w:right="-142"/>
        <w:jc w:val="both"/>
        <w:rPr>
          <w:sz w:val="20"/>
        </w:rPr>
      </w:pPr>
    </w:p>
    <w:p w14:paraId="3126791F" w14:textId="77777777" w:rsidR="004E4C4E" w:rsidRDefault="004E4C4E" w:rsidP="00CD363C">
      <w:pPr>
        <w:pStyle w:val="Pamatteksts"/>
        <w:ind w:right="-142"/>
        <w:jc w:val="both"/>
        <w:rPr>
          <w:sz w:val="29"/>
        </w:rPr>
      </w:pPr>
    </w:p>
    <w:p w14:paraId="2C016E2F" w14:textId="77777777" w:rsidR="004E4C4E" w:rsidRPr="006D28D2" w:rsidRDefault="004E4C4E" w:rsidP="00CD363C">
      <w:pPr>
        <w:pStyle w:val="Virsraksts4"/>
        <w:tabs>
          <w:tab w:val="left" w:pos="771"/>
        </w:tabs>
        <w:spacing w:before="0"/>
        <w:ind w:left="0" w:right="-142"/>
        <w:jc w:val="both"/>
      </w:pPr>
      <w:bookmarkStart w:id="57" w:name="10.2._Piemērs_-_līdzdalības_sākotnējā_at"/>
      <w:bookmarkStart w:id="58" w:name="_bookmark143"/>
      <w:bookmarkEnd w:id="57"/>
      <w:bookmarkEnd w:id="58"/>
      <w:r>
        <w:rPr>
          <w:color w:val="002069"/>
        </w:rPr>
        <w:t xml:space="preserve">Piemērs - </w:t>
      </w:r>
      <w:r w:rsidRPr="006D28D2">
        <w:t>līdzdalības sākotnējā atzīšana un turpmākā uzskaite asociētajā kapitālsabiedrībā, kura pārskata periodu noslēdz ar</w:t>
      </w:r>
      <w:r w:rsidRPr="006D28D2">
        <w:rPr>
          <w:spacing w:val="-1"/>
        </w:rPr>
        <w:t xml:space="preserve"> </w:t>
      </w:r>
      <w:r w:rsidRPr="006D28D2">
        <w:t>zaudējumiem</w:t>
      </w:r>
    </w:p>
    <w:p w14:paraId="4DECC555" w14:textId="77777777" w:rsidR="004E4C4E" w:rsidRDefault="004E4C4E" w:rsidP="00CD363C">
      <w:pPr>
        <w:pStyle w:val="Pamatteksts"/>
        <w:ind w:right="-142"/>
        <w:jc w:val="both"/>
      </w:pPr>
      <w:r w:rsidRPr="006D28D2">
        <w:t>Budžeta iestāde 2019. gada 2. janvārī iegādājas</w:t>
      </w:r>
      <w:r>
        <w:t xml:space="preserve"> kapitālsabiedrības akcijas 10 000,00 EUR vērtībā. Budžeta iestādes līdzdalība kapitālsabiedrībā pēc akciju iegādes ir 40%. Kapitālsabiedrība pārskata gadu (2019.gadu) noslēdz ar zaudējumiem 40 000,00 EUR apmērā.</w:t>
      </w:r>
    </w:p>
    <w:p w14:paraId="0F5B39EE" w14:textId="77777777" w:rsidR="004E4C4E" w:rsidRDefault="004E4C4E" w:rsidP="00CD363C">
      <w:pPr>
        <w:pStyle w:val="Pamatteksts"/>
        <w:ind w:right="-142"/>
        <w:jc w:val="both"/>
      </w:pPr>
      <w:r>
        <w:t>Kapitālsabiedrība nākamo pārskata periodu, 2020. gadu, noslēdz ar peļņu 20 000,00 EUR apmērā. Piemērā netiek ņemta vērā ietekme no līdzdalības iegādes vērtības un kapitālsabiedrības aktīvu un saistību neto patiesās vērtības starpības.</w:t>
      </w:r>
    </w:p>
    <w:p w14:paraId="39CA1017" w14:textId="77777777" w:rsidR="004E4C4E" w:rsidRDefault="004E4C4E" w:rsidP="00CD363C">
      <w:pPr>
        <w:pStyle w:val="Pamatteksts"/>
        <w:ind w:right="-142"/>
        <w:jc w:val="both"/>
        <w:rPr>
          <w:sz w:val="9"/>
        </w:rPr>
      </w:pPr>
    </w:p>
    <w:p w14:paraId="17D817C7" w14:textId="77777777" w:rsidR="004E4C4E" w:rsidRDefault="004E4C4E" w:rsidP="00CD363C">
      <w:pPr>
        <w:pStyle w:val="Pamatteksts"/>
        <w:ind w:left="1658" w:right="-142" w:hanging="342"/>
        <w:jc w:val="both"/>
      </w:pPr>
      <w:r>
        <w:rPr>
          <w:noProof/>
          <w:position w:val="-4"/>
          <w:lang w:eastAsia="lv-LV"/>
        </w:rPr>
        <w:drawing>
          <wp:inline distT="0" distB="0" distL="0" distR="0" wp14:anchorId="450DCFD4" wp14:editId="3DEAD29B">
            <wp:extent cx="101345" cy="133350"/>
            <wp:effectExtent l="0" t="0" r="0" b="0"/>
            <wp:docPr id="37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30.png"/>
                    <pic:cNvPicPr/>
                  </pic:nvPicPr>
                  <pic:blipFill>
                    <a:blip r:embed="rId36"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Budžeta iestāde 2019. gada 2. janvārī veic sekojošu grāmatojumu, atzīstot ieguldījumu un samazinot naudas līdzekļus:</w:t>
      </w:r>
    </w:p>
    <w:p w14:paraId="5814E377" w14:textId="77777777" w:rsidR="004E4C4E" w:rsidRDefault="004E4C4E" w:rsidP="00CD363C">
      <w:pPr>
        <w:pStyle w:val="Pamatteksts"/>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692"/>
        <w:gridCol w:w="1704"/>
      </w:tblGrid>
      <w:tr w:rsidR="004E4C4E" w14:paraId="37082004" w14:textId="77777777" w:rsidTr="00175452">
        <w:trPr>
          <w:trHeight w:val="289"/>
        </w:trPr>
        <w:tc>
          <w:tcPr>
            <w:tcW w:w="617" w:type="dxa"/>
          </w:tcPr>
          <w:p w14:paraId="34673295" w14:textId="77777777" w:rsidR="004E4C4E" w:rsidRDefault="004E4C4E" w:rsidP="00CD363C">
            <w:pPr>
              <w:pStyle w:val="TableParagraph"/>
              <w:ind w:left="200" w:right="-142"/>
              <w:jc w:val="both"/>
              <w:rPr>
                <w:i/>
              </w:rPr>
            </w:pPr>
            <w:r>
              <w:rPr>
                <w:i/>
              </w:rPr>
              <w:t>D</w:t>
            </w:r>
          </w:p>
        </w:tc>
        <w:tc>
          <w:tcPr>
            <w:tcW w:w="992" w:type="dxa"/>
          </w:tcPr>
          <w:p w14:paraId="760C5C9C" w14:textId="77777777" w:rsidR="004E4C4E" w:rsidRDefault="004E4C4E" w:rsidP="00CD363C">
            <w:pPr>
              <w:pStyle w:val="TableParagraph"/>
              <w:ind w:left="222" w:right="-142"/>
              <w:jc w:val="both"/>
              <w:rPr>
                <w:i/>
              </w:rPr>
            </w:pPr>
            <w:r>
              <w:rPr>
                <w:i/>
              </w:rPr>
              <w:t>1321</w:t>
            </w:r>
          </w:p>
        </w:tc>
        <w:tc>
          <w:tcPr>
            <w:tcW w:w="4692" w:type="dxa"/>
          </w:tcPr>
          <w:p w14:paraId="5349CEBF" w14:textId="77777777" w:rsidR="004E4C4E" w:rsidRDefault="004E4C4E" w:rsidP="00CD363C">
            <w:pPr>
              <w:pStyle w:val="TableParagraph"/>
              <w:ind w:left="292" w:right="-142"/>
              <w:jc w:val="both"/>
              <w:rPr>
                <w:i/>
              </w:rPr>
            </w:pPr>
            <w:r>
              <w:rPr>
                <w:i/>
              </w:rPr>
              <w:t>Līdzdalība asociēto kapitālsabiedrību kapitālā</w:t>
            </w:r>
          </w:p>
        </w:tc>
        <w:tc>
          <w:tcPr>
            <w:tcW w:w="1704" w:type="dxa"/>
          </w:tcPr>
          <w:p w14:paraId="518D5BD0" w14:textId="77777777" w:rsidR="004E4C4E" w:rsidRDefault="004E4C4E" w:rsidP="00CD363C">
            <w:pPr>
              <w:pStyle w:val="TableParagraph"/>
              <w:ind w:left="138" w:right="-142"/>
              <w:jc w:val="both"/>
              <w:rPr>
                <w:i/>
              </w:rPr>
            </w:pPr>
            <w:r>
              <w:rPr>
                <w:i/>
              </w:rPr>
              <w:t>10 000,00 EUR</w:t>
            </w:r>
          </w:p>
        </w:tc>
      </w:tr>
      <w:tr w:rsidR="004E4C4E" w14:paraId="19BF15DD" w14:textId="77777777" w:rsidTr="00175452">
        <w:trPr>
          <w:trHeight w:val="541"/>
        </w:trPr>
        <w:tc>
          <w:tcPr>
            <w:tcW w:w="617" w:type="dxa"/>
          </w:tcPr>
          <w:p w14:paraId="4DC1110B" w14:textId="77777777" w:rsidR="004E4C4E" w:rsidRDefault="004E4C4E" w:rsidP="00CD363C">
            <w:pPr>
              <w:pStyle w:val="TableParagraph"/>
              <w:ind w:left="200" w:right="-142"/>
              <w:jc w:val="both"/>
              <w:rPr>
                <w:i/>
              </w:rPr>
            </w:pPr>
            <w:r>
              <w:rPr>
                <w:i/>
              </w:rPr>
              <w:t>K</w:t>
            </w:r>
          </w:p>
        </w:tc>
        <w:tc>
          <w:tcPr>
            <w:tcW w:w="992" w:type="dxa"/>
          </w:tcPr>
          <w:p w14:paraId="02B7B9CD" w14:textId="77777777" w:rsidR="004E4C4E" w:rsidRDefault="004E4C4E" w:rsidP="00CD363C">
            <w:pPr>
              <w:pStyle w:val="TableParagraph"/>
              <w:ind w:left="222" w:right="-142"/>
              <w:jc w:val="both"/>
              <w:rPr>
                <w:i/>
              </w:rPr>
            </w:pPr>
            <w:r>
              <w:rPr>
                <w:i/>
              </w:rPr>
              <w:t>2620</w:t>
            </w:r>
          </w:p>
        </w:tc>
        <w:tc>
          <w:tcPr>
            <w:tcW w:w="4692" w:type="dxa"/>
          </w:tcPr>
          <w:p w14:paraId="5D5FA90A" w14:textId="77777777" w:rsidR="004E4C4E" w:rsidRDefault="004E4C4E" w:rsidP="00CD363C">
            <w:pPr>
              <w:pStyle w:val="TableParagraph"/>
              <w:ind w:left="292" w:right="-142"/>
              <w:jc w:val="both"/>
              <w:rPr>
                <w:i/>
              </w:rPr>
            </w:pPr>
            <w:r>
              <w:rPr>
                <w:i/>
              </w:rPr>
              <w:t>Norēķinu konti Valsts kasē, kredītiestādēs vai citās institūcijās</w:t>
            </w:r>
          </w:p>
        </w:tc>
        <w:tc>
          <w:tcPr>
            <w:tcW w:w="1704" w:type="dxa"/>
          </w:tcPr>
          <w:p w14:paraId="39E4CDFC" w14:textId="77777777" w:rsidR="004E4C4E" w:rsidRDefault="004E4C4E" w:rsidP="00CD363C">
            <w:pPr>
              <w:pStyle w:val="TableParagraph"/>
              <w:ind w:left="138" w:right="-142"/>
              <w:jc w:val="both"/>
              <w:rPr>
                <w:i/>
              </w:rPr>
            </w:pPr>
            <w:r>
              <w:rPr>
                <w:i/>
              </w:rPr>
              <w:t>10 000,00 EUR</w:t>
            </w:r>
          </w:p>
        </w:tc>
      </w:tr>
    </w:tbl>
    <w:p w14:paraId="52B6868B" w14:textId="77777777" w:rsidR="004E4C4E" w:rsidRDefault="004E4C4E" w:rsidP="00CD363C">
      <w:pPr>
        <w:pStyle w:val="Pamatteksts"/>
        <w:ind w:left="1658" w:right="-142" w:hanging="363"/>
        <w:jc w:val="both"/>
      </w:pPr>
      <w:r>
        <w:rPr>
          <w:noProof/>
          <w:position w:val="-4"/>
          <w:lang w:eastAsia="lv-LV"/>
        </w:rPr>
        <w:drawing>
          <wp:inline distT="0" distB="0" distL="0" distR="0" wp14:anchorId="749E4EEF" wp14:editId="784723BA">
            <wp:extent cx="115061" cy="133350"/>
            <wp:effectExtent l="0" t="0" r="0" b="0"/>
            <wp:docPr id="37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31.png"/>
                    <pic:cNvPicPr/>
                  </pic:nvPicPr>
                  <pic:blipFill>
                    <a:blip r:embed="rId37"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Tā kā kapitālsabiedrība pārskata periodu (2019.gadu) noslēdz ar zaudējumiem, budžeta iestāde pārskata datumā (31.12.2019.) veic grāmatojumu, samazinot līdzdalības uzskaites vērtību un atzīstot izdevumus (zaudējumus) proporcionāli ieguldījuma daļai kapitālsabiedrības</w:t>
      </w:r>
      <w:r>
        <w:rPr>
          <w:spacing w:val="-4"/>
        </w:rPr>
        <w:t xml:space="preserve"> </w:t>
      </w:r>
      <w:r>
        <w:t>kapitālā</w:t>
      </w:r>
      <w:r>
        <w:rPr>
          <w:spacing w:val="-4"/>
        </w:rPr>
        <w:t xml:space="preserve"> </w:t>
      </w:r>
      <w:r>
        <w:t>(40</w:t>
      </w:r>
      <w:r>
        <w:rPr>
          <w:spacing w:val="-2"/>
        </w:rPr>
        <w:t xml:space="preserve"> </w:t>
      </w:r>
      <w:r>
        <w:t>000,00</w:t>
      </w:r>
      <w:r>
        <w:rPr>
          <w:spacing w:val="-4"/>
        </w:rPr>
        <w:t xml:space="preserve"> </w:t>
      </w:r>
      <w:r>
        <w:t>EUR</w:t>
      </w:r>
      <w:r>
        <w:rPr>
          <w:spacing w:val="-6"/>
        </w:rPr>
        <w:t xml:space="preserve"> </w:t>
      </w:r>
      <w:r>
        <w:t>x</w:t>
      </w:r>
      <w:r>
        <w:rPr>
          <w:spacing w:val="-4"/>
        </w:rPr>
        <w:t xml:space="preserve"> </w:t>
      </w:r>
      <w:r>
        <w:t>40%</w:t>
      </w:r>
      <w:r>
        <w:rPr>
          <w:spacing w:val="-4"/>
        </w:rPr>
        <w:t xml:space="preserve"> </w:t>
      </w:r>
      <w:r>
        <w:t>=</w:t>
      </w:r>
      <w:r>
        <w:rPr>
          <w:spacing w:val="-3"/>
        </w:rPr>
        <w:t xml:space="preserve"> </w:t>
      </w:r>
      <w:r>
        <w:t>16</w:t>
      </w:r>
      <w:r>
        <w:rPr>
          <w:spacing w:val="-1"/>
        </w:rPr>
        <w:t xml:space="preserve"> </w:t>
      </w:r>
      <w:r>
        <w:t>000,00</w:t>
      </w:r>
      <w:r>
        <w:rPr>
          <w:spacing w:val="-4"/>
        </w:rPr>
        <w:t xml:space="preserve"> </w:t>
      </w:r>
      <w:r>
        <w:t>EUR).</w:t>
      </w:r>
      <w:r>
        <w:rPr>
          <w:spacing w:val="-5"/>
        </w:rPr>
        <w:t xml:space="preserve"> </w:t>
      </w:r>
      <w:r>
        <w:t>Budžeta</w:t>
      </w:r>
      <w:r>
        <w:rPr>
          <w:spacing w:val="-6"/>
        </w:rPr>
        <w:t xml:space="preserve"> </w:t>
      </w:r>
      <w:r>
        <w:t>iestāde</w:t>
      </w:r>
      <w:r>
        <w:rPr>
          <w:spacing w:val="-3"/>
        </w:rPr>
        <w:t xml:space="preserve"> </w:t>
      </w:r>
      <w:r>
        <w:t>atzīst finanšu izdevumus un noraksta līdzdalības vērtību 10 000,00 EUR apmērā līdz līdzdalības vērtība bilancē ir 0,00 EUR un atlikušos 6 000,00 EUR uzrāda gada pārskata skaidrojumos kā neatzītos zaudējumus no līdzdalības</w:t>
      </w:r>
      <w:r>
        <w:rPr>
          <w:spacing w:val="-2"/>
        </w:rPr>
        <w:t xml:space="preserve"> </w:t>
      </w:r>
      <w:r>
        <w:t>kapitālsabiedrībā:</w:t>
      </w:r>
    </w:p>
    <w:p w14:paraId="3F54525F" w14:textId="77777777" w:rsidR="004E4C4E" w:rsidRDefault="004E4C4E" w:rsidP="00CD363C">
      <w:pPr>
        <w:pStyle w:val="Pamatteksts"/>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835"/>
        <w:gridCol w:w="1704"/>
      </w:tblGrid>
      <w:tr w:rsidR="004E4C4E" w14:paraId="6D97D610" w14:textId="77777777" w:rsidTr="00175452">
        <w:trPr>
          <w:trHeight w:val="541"/>
        </w:trPr>
        <w:tc>
          <w:tcPr>
            <w:tcW w:w="617" w:type="dxa"/>
          </w:tcPr>
          <w:p w14:paraId="20E8D21E" w14:textId="77777777" w:rsidR="004E4C4E" w:rsidRDefault="004E4C4E" w:rsidP="00CD363C">
            <w:pPr>
              <w:pStyle w:val="TableParagraph"/>
              <w:ind w:left="200" w:right="-142"/>
              <w:jc w:val="both"/>
              <w:rPr>
                <w:i/>
              </w:rPr>
            </w:pPr>
            <w:r>
              <w:rPr>
                <w:i/>
              </w:rPr>
              <w:t>D</w:t>
            </w:r>
          </w:p>
        </w:tc>
        <w:tc>
          <w:tcPr>
            <w:tcW w:w="992" w:type="dxa"/>
          </w:tcPr>
          <w:p w14:paraId="1ED186F1" w14:textId="77777777" w:rsidR="004E4C4E" w:rsidRDefault="004E4C4E" w:rsidP="00CD363C">
            <w:pPr>
              <w:pStyle w:val="TableParagraph"/>
              <w:ind w:left="222" w:right="-142"/>
              <w:jc w:val="both"/>
              <w:rPr>
                <w:i/>
              </w:rPr>
            </w:pPr>
            <w:r>
              <w:rPr>
                <w:i/>
              </w:rPr>
              <w:t>8240</w:t>
            </w:r>
          </w:p>
        </w:tc>
        <w:tc>
          <w:tcPr>
            <w:tcW w:w="4835" w:type="dxa"/>
          </w:tcPr>
          <w:p w14:paraId="67328E4F" w14:textId="77777777" w:rsidR="004E4C4E" w:rsidRDefault="004E4C4E" w:rsidP="00CD363C">
            <w:pPr>
              <w:pStyle w:val="TableParagraph"/>
              <w:ind w:left="292" w:right="-142"/>
              <w:jc w:val="both"/>
              <w:rPr>
                <w:i/>
              </w:rPr>
            </w:pPr>
            <w:r>
              <w:rPr>
                <w:i/>
              </w:rPr>
              <w:t>Izdevumi no ilgtermiņa finanšu ieguldījumu pārvērtēšanas</w:t>
            </w:r>
          </w:p>
        </w:tc>
        <w:tc>
          <w:tcPr>
            <w:tcW w:w="1704" w:type="dxa"/>
          </w:tcPr>
          <w:p w14:paraId="198A66D6" w14:textId="77777777" w:rsidR="004E4C4E" w:rsidRDefault="004E4C4E" w:rsidP="00CD363C">
            <w:pPr>
              <w:pStyle w:val="TableParagraph"/>
              <w:ind w:left="118" w:right="-142"/>
              <w:jc w:val="both"/>
              <w:rPr>
                <w:i/>
              </w:rPr>
            </w:pPr>
            <w:r>
              <w:rPr>
                <w:i/>
              </w:rPr>
              <w:t>10 000,00 EUR</w:t>
            </w:r>
          </w:p>
        </w:tc>
      </w:tr>
      <w:tr w:rsidR="004E4C4E" w14:paraId="478BF82F" w14:textId="77777777" w:rsidTr="00175452">
        <w:trPr>
          <w:trHeight w:val="289"/>
        </w:trPr>
        <w:tc>
          <w:tcPr>
            <w:tcW w:w="617" w:type="dxa"/>
          </w:tcPr>
          <w:p w14:paraId="74FC1819" w14:textId="77777777" w:rsidR="004E4C4E" w:rsidRDefault="004E4C4E" w:rsidP="00CD363C">
            <w:pPr>
              <w:pStyle w:val="TableParagraph"/>
              <w:ind w:left="200" w:right="-142"/>
              <w:jc w:val="both"/>
              <w:rPr>
                <w:i/>
              </w:rPr>
            </w:pPr>
            <w:r>
              <w:rPr>
                <w:i/>
              </w:rPr>
              <w:t>K</w:t>
            </w:r>
          </w:p>
        </w:tc>
        <w:tc>
          <w:tcPr>
            <w:tcW w:w="992" w:type="dxa"/>
          </w:tcPr>
          <w:p w14:paraId="063573B1" w14:textId="77777777" w:rsidR="004E4C4E" w:rsidRDefault="004E4C4E" w:rsidP="00CD363C">
            <w:pPr>
              <w:pStyle w:val="TableParagraph"/>
              <w:ind w:left="222" w:right="-142"/>
              <w:jc w:val="both"/>
              <w:rPr>
                <w:i/>
              </w:rPr>
            </w:pPr>
            <w:r>
              <w:rPr>
                <w:i/>
              </w:rPr>
              <w:t>1321</w:t>
            </w:r>
          </w:p>
        </w:tc>
        <w:tc>
          <w:tcPr>
            <w:tcW w:w="4835" w:type="dxa"/>
          </w:tcPr>
          <w:p w14:paraId="4BA40379" w14:textId="77777777" w:rsidR="004E4C4E" w:rsidRDefault="004E4C4E" w:rsidP="00CD363C">
            <w:pPr>
              <w:pStyle w:val="TableParagraph"/>
              <w:ind w:left="292" w:right="-142"/>
              <w:jc w:val="both"/>
              <w:rPr>
                <w:i/>
              </w:rPr>
            </w:pPr>
            <w:r>
              <w:rPr>
                <w:i/>
              </w:rPr>
              <w:t>Līdzdalība asociēto kapitālsabiedrību kapitālā</w:t>
            </w:r>
          </w:p>
        </w:tc>
        <w:tc>
          <w:tcPr>
            <w:tcW w:w="1704" w:type="dxa"/>
          </w:tcPr>
          <w:p w14:paraId="6E261F4E" w14:textId="77777777" w:rsidR="004E4C4E" w:rsidRDefault="004E4C4E" w:rsidP="00CD363C">
            <w:pPr>
              <w:pStyle w:val="TableParagraph"/>
              <w:ind w:left="118" w:right="-142"/>
              <w:jc w:val="both"/>
              <w:rPr>
                <w:i/>
              </w:rPr>
            </w:pPr>
            <w:r>
              <w:rPr>
                <w:i/>
              </w:rPr>
              <w:t>10 000,00 EUR</w:t>
            </w:r>
          </w:p>
        </w:tc>
      </w:tr>
    </w:tbl>
    <w:p w14:paraId="5FBCFEDC" w14:textId="77777777" w:rsidR="004E4C4E" w:rsidRDefault="004E4C4E" w:rsidP="00CD363C">
      <w:pPr>
        <w:pStyle w:val="Pamatteksts"/>
        <w:ind w:left="1658" w:right="-142" w:hanging="358"/>
        <w:jc w:val="both"/>
      </w:pPr>
      <w:r>
        <w:rPr>
          <w:noProof/>
          <w:position w:val="-4"/>
          <w:lang w:eastAsia="lv-LV"/>
        </w:rPr>
        <w:drawing>
          <wp:inline distT="0" distB="0" distL="0" distR="0" wp14:anchorId="5C328EFB" wp14:editId="1AA40921">
            <wp:extent cx="112014" cy="133350"/>
            <wp:effectExtent l="0" t="0" r="0" b="0"/>
            <wp:docPr id="38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32.png"/>
                    <pic:cNvPicPr/>
                  </pic:nvPicPr>
                  <pic:blipFill>
                    <a:blip r:embed="rId38"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Tā kā kapitālsabiedrība nākamo pārskata periodu noslēdz ar peļņu, budžeta iestāde pārskata datumā</w:t>
      </w:r>
      <w:r>
        <w:rPr>
          <w:spacing w:val="-10"/>
        </w:rPr>
        <w:t xml:space="preserve"> </w:t>
      </w:r>
      <w:r>
        <w:t>(31.12.2020.)</w:t>
      </w:r>
      <w:r>
        <w:rPr>
          <w:spacing w:val="-9"/>
        </w:rPr>
        <w:t xml:space="preserve"> </w:t>
      </w:r>
      <w:r>
        <w:t>veic</w:t>
      </w:r>
      <w:r>
        <w:rPr>
          <w:spacing w:val="-12"/>
        </w:rPr>
        <w:t xml:space="preserve"> </w:t>
      </w:r>
      <w:r>
        <w:t>grāmatojumu,</w:t>
      </w:r>
      <w:r>
        <w:rPr>
          <w:spacing w:val="-10"/>
        </w:rPr>
        <w:t xml:space="preserve"> </w:t>
      </w:r>
      <w:r>
        <w:t>palielinot</w:t>
      </w:r>
      <w:r>
        <w:rPr>
          <w:spacing w:val="-12"/>
        </w:rPr>
        <w:t xml:space="preserve"> </w:t>
      </w:r>
      <w:r>
        <w:t>līdzdalības</w:t>
      </w:r>
      <w:r>
        <w:rPr>
          <w:spacing w:val="-9"/>
        </w:rPr>
        <w:t xml:space="preserve"> </w:t>
      </w:r>
      <w:r>
        <w:t>vērtību</w:t>
      </w:r>
      <w:r>
        <w:rPr>
          <w:spacing w:val="-11"/>
        </w:rPr>
        <w:t xml:space="preserve"> </w:t>
      </w:r>
      <w:r>
        <w:t>un</w:t>
      </w:r>
      <w:r>
        <w:rPr>
          <w:spacing w:val="-10"/>
        </w:rPr>
        <w:t xml:space="preserve"> </w:t>
      </w:r>
      <w:r>
        <w:t>atzīstot</w:t>
      </w:r>
      <w:r>
        <w:rPr>
          <w:spacing w:val="-9"/>
        </w:rPr>
        <w:t xml:space="preserve"> </w:t>
      </w:r>
      <w:r>
        <w:t>ieņēmumus proporcionāli  ieguldījuma  daļai  kapitālsabiedrības  kapitālā  (20 000,00  EUR  x  40%  =  8 000,00 EUR). Vispirms budžeta iestāde nosedz iepriekšējos pārskata gados neatzītos zaudējumus par 2019.gadu (6 000,00 EUR) un tikai tad atsāk līdzdalības kapitālsabiedrības kapitālā vērtības palielināšanu (8 000,00 EUR – 6 000,00 EUR = 2 000,00</w:t>
      </w:r>
      <w:r>
        <w:rPr>
          <w:spacing w:val="-7"/>
        </w:rPr>
        <w:t xml:space="preserve"> </w:t>
      </w:r>
      <w:r>
        <w:t>EUR):</w:t>
      </w:r>
    </w:p>
    <w:p w14:paraId="708A2B51" w14:textId="77777777" w:rsidR="004E4C4E" w:rsidRDefault="004E4C4E" w:rsidP="00CD363C">
      <w:pPr>
        <w:spacing w:after="0" w:line="240" w:lineRule="auto"/>
        <w:ind w:right="-142"/>
        <w:jc w:val="both"/>
        <w:sectPr w:rsidR="004E4C4E" w:rsidSect="00C612A0">
          <w:pgSz w:w="11910" w:h="16840"/>
          <w:pgMar w:top="760" w:right="991" w:bottom="1200" w:left="1200" w:header="0" w:footer="983"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834"/>
        <w:gridCol w:w="1593"/>
      </w:tblGrid>
      <w:tr w:rsidR="004E4C4E" w14:paraId="62061935" w14:textId="77777777" w:rsidTr="00175452">
        <w:trPr>
          <w:trHeight w:val="287"/>
        </w:trPr>
        <w:tc>
          <w:tcPr>
            <w:tcW w:w="617" w:type="dxa"/>
          </w:tcPr>
          <w:p w14:paraId="7FACA3C1" w14:textId="77777777" w:rsidR="004E4C4E" w:rsidRDefault="004E4C4E" w:rsidP="00CD363C">
            <w:pPr>
              <w:pStyle w:val="TableParagraph"/>
              <w:ind w:left="200" w:right="-142"/>
              <w:jc w:val="both"/>
              <w:rPr>
                <w:i/>
              </w:rPr>
            </w:pPr>
            <w:r>
              <w:rPr>
                <w:i/>
              </w:rPr>
              <w:t>D</w:t>
            </w:r>
          </w:p>
        </w:tc>
        <w:tc>
          <w:tcPr>
            <w:tcW w:w="992" w:type="dxa"/>
          </w:tcPr>
          <w:p w14:paraId="1D132185" w14:textId="77777777" w:rsidR="004E4C4E" w:rsidRDefault="004E4C4E" w:rsidP="00CD363C">
            <w:pPr>
              <w:pStyle w:val="TableParagraph"/>
              <w:ind w:left="222" w:right="-142"/>
              <w:jc w:val="both"/>
              <w:rPr>
                <w:i/>
              </w:rPr>
            </w:pPr>
            <w:r>
              <w:rPr>
                <w:i/>
              </w:rPr>
              <w:t>1321</w:t>
            </w:r>
          </w:p>
        </w:tc>
        <w:tc>
          <w:tcPr>
            <w:tcW w:w="4834" w:type="dxa"/>
          </w:tcPr>
          <w:p w14:paraId="01F9AF48" w14:textId="77777777" w:rsidR="004E4C4E" w:rsidRDefault="004E4C4E" w:rsidP="00CD363C">
            <w:pPr>
              <w:pStyle w:val="TableParagraph"/>
              <w:ind w:left="292" w:right="-142"/>
              <w:jc w:val="both"/>
              <w:rPr>
                <w:i/>
              </w:rPr>
            </w:pPr>
            <w:r>
              <w:rPr>
                <w:i/>
              </w:rPr>
              <w:t>Līdzdalība asociēto kapitālsabiedrību kapitālā</w:t>
            </w:r>
          </w:p>
        </w:tc>
        <w:tc>
          <w:tcPr>
            <w:tcW w:w="1593" w:type="dxa"/>
          </w:tcPr>
          <w:p w14:paraId="62C606F7" w14:textId="77777777" w:rsidR="004E4C4E" w:rsidRDefault="004E4C4E" w:rsidP="00CD363C">
            <w:pPr>
              <w:pStyle w:val="TableParagraph"/>
              <w:ind w:left="118" w:right="-142"/>
              <w:jc w:val="both"/>
              <w:rPr>
                <w:i/>
              </w:rPr>
            </w:pPr>
            <w:r>
              <w:rPr>
                <w:i/>
              </w:rPr>
              <w:t>2 000,00 EUR</w:t>
            </w:r>
          </w:p>
        </w:tc>
      </w:tr>
      <w:tr w:rsidR="004E4C4E" w14:paraId="6845BA6C" w14:textId="77777777" w:rsidTr="00175452">
        <w:trPr>
          <w:trHeight w:val="539"/>
        </w:trPr>
        <w:tc>
          <w:tcPr>
            <w:tcW w:w="617" w:type="dxa"/>
          </w:tcPr>
          <w:p w14:paraId="1F01F12E" w14:textId="77777777" w:rsidR="004E4C4E" w:rsidRDefault="004E4C4E" w:rsidP="00CD363C">
            <w:pPr>
              <w:pStyle w:val="TableParagraph"/>
              <w:ind w:left="200" w:right="-142"/>
              <w:jc w:val="both"/>
              <w:rPr>
                <w:i/>
              </w:rPr>
            </w:pPr>
            <w:r>
              <w:rPr>
                <w:i/>
              </w:rPr>
              <w:t>K</w:t>
            </w:r>
          </w:p>
        </w:tc>
        <w:tc>
          <w:tcPr>
            <w:tcW w:w="992" w:type="dxa"/>
          </w:tcPr>
          <w:p w14:paraId="288E2CE8" w14:textId="77777777" w:rsidR="004E4C4E" w:rsidRDefault="004E4C4E" w:rsidP="00CD363C">
            <w:pPr>
              <w:pStyle w:val="TableParagraph"/>
              <w:ind w:left="222" w:right="-142"/>
              <w:jc w:val="both"/>
              <w:rPr>
                <w:i/>
              </w:rPr>
            </w:pPr>
            <w:r>
              <w:rPr>
                <w:i/>
              </w:rPr>
              <w:t>8140</w:t>
            </w:r>
          </w:p>
        </w:tc>
        <w:tc>
          <w:tcPr>
            <w:tcW w:w="4834" w:type="dxa"/>
          </w:tcPr>
          <w:p w14:paraId="715D86C9" w14:textId="77777777" w:rsidR="004E4C4E" w:rsidRDefault="004E4C4E" w:rsidP="00CD363C">
            <w:pPr>
              <w:pStyle w:val="TableParagraph"/>
              <w:ind w:left="292" w:right="-142"/>
              <w:jc w:val="both"/>
              <w:rPr>
                <w:i/>
              </w:rPr>
            </w:pPr>
            <w:r>
              <w:rPr>
                <w:i/>
              </w:rPr>
              <w:t>Ieņēmumi no ilgtermiņa finanšu ieguldījumu pārvērtēšanas vai pārsnieguma</w:t>
            </w:r>
          </w:p>
        </w:tc>
        <w:tc>
          <w:tcPr>
            <w:tcW w:w="1593" w:type="dxa"/>
          </w:tcPr>
          <w:p w14:paraId="2C08CA4D" w14:textId="77777777" w:rsidR="004E4C4E" w:rsidRDefault="004E4C4E" w:rsidP="00CD363C">
            <w:pPr>
              <w:pStyle w:val="TableParagraph"/>
              <w:ind w:left="118" w:right="-142"/>
              <w:jc w:val="both"/>
              <w:rPr>
                <w:i/>
              </w:rPr>
            </w:pPr>
            <w:r>
              <w:rPr>
                <w:i/>
              </w:rPr>
              <w:t>2 000,00 EUR</w:t>
            </w:r>
          </w:p>
        </w:tc>
      </w:tr>
    </w:tbl>
    <w:p w14:paraId="560DA1E4" w14:textId="77777777" w:rsidR="004E4C4E" w:rsidRPr="00F62C41" w:rsidRDefault="004E4C4E" w:rsidP="00CD363C">
      <w:pPr>
        <w:spacing w:after="0" w:line="240" w:lineRule="auto"/>
        <w:ind w:right="-142"/>
        <w:jc w:val="both"/>
        <w:rPr>
          <w:rFonts w:ascii="Times New Roman" w:hAnsi="Times New Roman" w:cs="Times New Roman"/>
          <w:b/>
          <w:sz w:val="24"/>
          <w:szCs w:val="24"/>
        </w:rPr>
      </w:pPr>
    </w:p>
    <w:p w14:paraId="64088DCE"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427.</w:t>
      </w:r>
      <w:r w:rsidRPr="00BB1A6A">
        <w:rPr>
          <w:rFonts w:ascii="Times New Roman" w:hAnsi="Times New Roman" w:cs="Times New Roman"/>
          <w:sz w:val="24"/>
          <w:szCs w:val="24"/>
        </w:rPr>
        <w:t xml:space="preserve">Ja pastāv potenciālās balsstiesības, budžeta iestādes daļu kapitālsabiedrības pārskata perioda peļņā vai zaudējumos un izmaiņās ieguldījumu saņēmēja pašu kapitālā nosaka, pamatojoties uz pašreizējo (esošo) līdzdalības daļu, neņemot vērā potenciālo balsstiesību iespējamo izmantošanu vai pārvēršanu. </w:t>
      </w:r>
    </w:p>
    <w:p w14:paraId="3734F9D8" w14:textId="77777777" w:rsidR="00CE0850"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428</w:t>
      </w:r>
      <w:r w:rsidRPr="00BB1A6A">
        <w:rPr>
          <w:rFonts w:ascii="Times New Roman" w:hAnsi="Times New Roman" w:cs="Times New Roman"/>
          <w:sz w:val="24"/>
          <w:szCs w:val="24"/>
        </w:rPr>
        <w:t>. Līdzdalības vērtību pārskata perioda beigās nosaka, reizinot kapitālsabiedrības pašu kapitāla vērtību ar budžeta iestādei piederošo daļu procentu, neņemot vērā potenciālo balsstiesību iespējamo izmantošanu vai pārvēršanu.</w:t>
      </w:r>
    </w:p>
    <w:p w14:paraId="06619D6D" w14:textId="77777777" w:rsidR="00CE0850" w:rsidRDefault="00CE0850" w:rsidP="00CD363C">
      <w:pPr>
        <w:widowControl w:val="0"/>
        <w:tabs>
          <w:tab w:val="left" w:pos="898"/>
        </w:tabs>
        <w:autoSpaceDE w:val="0"/>
        <w:autoSpaceDN w:val="0"/>
        <w:spacing w:after="0" w:line="240" w:lineRule="auto"/>
        <w:ind w:right="-142"/>
        <w:jc w:val="both"/>
        <w:rPr>
          <w:i/>
        </w:rPr>
      </w:pPr>
      <w:r w:rsidRPr="00CE0850">
        <w:rPr>
          <w:i/>
        </w:rPr>
        <w:t>Piemēram, budžeta iestādei pieder līdzdalība kapitālsabiedrībā ar 20,001%   balsstiesībām   kapitālā.   Pārskata   gada   beigās   kapitālsabiedrība   uzrāda   peļņu   10 000,00 EUR apmērā. Budžeta iestāde nosaka izmaiņas līdzdalības uzskaites vērtībā, veicot sekojošu</w:t>
      </w:r>
      <w:r w:rsidRPr="00CE0850">
        <w:rPr>
          <w:i/>
          <w:spacing w:val="-5"/>
        </w:rPr>
        <w:t xml:space="preserve"> </w:t>
      </w:r>
      <w:r w:rsidRPr="00CE0850">
        <w:rPr>
          <w:i/>
        </w:rPr>
        <w:t>aprēķinu:</w:t>
      </w:r>
      <w:r w:rsidRPr="00CE0850">
        <w:rPr>
          <w:i/>
          <w:spacing w:val="-5"/>
        </w:rPr>
        <w:t xml:space="preserve"> </w:t>
      </w:r>
      <w:r w:rsidRPr="00CE0850">
        <w:rPr>
          <w:i/>
        </w:rPr>
        <w:t>20,001%</w:t>
      </w:r>
      <w:r w:rsidRPr="00CE0850">
        <w:rPr>
          <w:i/>
          <w:spacing w:val="-9"/>
        </w:rPr>
        <w:t xml:space="preserve"> </w:t>
      </w:r>
      <w:r w:rsidRPr="00CE0850">
        <w:rPr>
          <w:i/>
        </w:rPr>
        <w:t>x</w:t>
      </w:r>
      <w:r w:rsidRPr="00CE0850">
        <w:rPr>
          <w:i/>
          <w:spacing w:val="-3"/>
        </w:rPr>
        <w:t xml:space="preserve"> </w:t>
      </w:r>
      <w:r w:rsidRPr="00CE0850">
        <w:rPr>
          <w:i/>
        </w:rPr>
        <w:t>10</w:t>
      </w:r>
      <w:r w:rsidRPr="00CE0850">
        <w:rPr>
          <w:i/>
          <w:spacing w:val="1"/>
        </w:rPr>
        <w:t xml:space="preserve"> </w:t>
      </w:r>
      <w:r w:rsidRPr="00CE0850">
        <w:rPr>
          <w:i/>
        </w:rPr>
        <w:t>000,00</w:t>
      </w:r>
      <w:r w:rsidRPr="00CE0850">
        <w:rPr>
          <w:i/>
          <w:spacing w:val="-5"/>
        </w:rPr>
        <w:t xml:space="preserve"> </w:t>
      </w:r>
      <w:r w:rsidRPr="00CE0850">
        <w:rPr>
          <w:i/>
        </w:rPr>
        <w:t>EUR</w:t>
      </w:r>
      <w:r w:rsidRPr="00CE0850">
        <w:rPr>
          <w:i/>
          <w:spacing w:val="-7"/>
        </w:rPr>
        <w:t xml:space="preserve"> </w:t>
      </w:r>
      <w:r w:rsidRPr="00CE0850">
        <w:rPr>
          <w:i/>
        </w:rPr>
        <w:t>=</w:t>
      </w:r>
      <w:r w:rsidRPr="00CE0850">
        <w:rPr>
          <w:i/>
          <w:spacing w:val="-6"/>
        </w:rPr>
        <w:t xml:space="preserve"> </w:t>
      </w:r>
      <w:r w:rsidRPr="00CE0850">
        <w:rPr>
          <w:i/>
        </w:rPr>
        <w:t>2 000,10</w:t>
      </w:r>
      <w:r w:rsidRPr="00CE0850">
        <w:rPr>
          <w:i/>
          <w:spacing w:val="-6"/>
        </w:rPr>
        <w:t xml:space="preserve"> </w:t>
      </w:r>
      <w:r w:rsidRPr="00CE0850">
        <w:rPr>
          <w:i/>
        </w:rPr>
        <w:t>EUR.</w:t>
      </w:r>
      <w:r w:rsidRPr="00CE0850">
        <w:rPr>
          <w:i/>
          <w:spacing w:val="-7"/>
        </w:rPr>
        <w:t xml:space="preserve"> </w:t>
      </w:r>
      <w:r w:rsidRPr="00CE0850">
        <w:rPr>
          <w:i/>
        </w:rPr>
        <w:t>Budžeta</w:t>
      </w:r>
      <w:r w:rsidRPr="00CE0850">
        <w:rPr>
          <w:i/>
          <w:spacing w:val="-5"/>
        </w:rPr>
        <w:t xml:space="preserve"> </w:t>
      </w:r>
      <w:r w:rsidRPr="00CE0850">
        <w:rPr>
          <w:i/>
        </w:rPr>
        <w:t>iestāde</w:t>
      </w:r>
      <w:r w:rsidRPr="00CE0850">
        <w:rPr>
          <w:i/>
          <w:spacing w:val="-6"/>
        </w:rPr>
        <w:t xml:space="preserve"> </w:t>
      </w:r>
      <w:r w:rsidRPr="00CE0850">
        <w:rPr>
          <w:i/>
        </w:rPr>
        <w:t>palielina</w:t>
      </w:r>
      <w:r w:rsidRPr="00CE0850">
        <w:rPr>
          <w:i/>
          <w:spacing w:val="-5"/>
        </w:rPr>
        <w:t xml:space="preserve"> </w:t>
      </w:r>
      <w:r w:rsidRPr="00CE0850">
        <w:rPr>
          <w:i/>
        </w:rPr>
        <w:t>līdzdalības uzskaites  vērtību  un  atzīst  finanšu  ieņēmumus  proporcionāli  līdzdalības  (ieguldījuma)  daļai     2 000,10 EUR apmērā.</w:t>
      </w:r>
    </w:p>
    <w:p w14:paraId="69E11CC9" w14:textId="77777777" w:rsidR="00CE0850" w:rsidRPr="00BB1A6A" w:rsidRDefault="00CE0850" w:rsidP="00CD363C">
      <w:pPr>
        <w:spacing w:after="0" w:line="240" w:lineRule="auto"/>
        <w:ind w:right="-142"/>
        <w:jc w:val="both"/>
        <w:rPr>
          <w:rFonts w:ascii="Times New Roman" w:hAnsi="Times New Roman" w:cs="Times New Roman"/>
          <w:sz w:val="24"/>
          <w:szCs w:val="24"/>
        </w:rPr>
      </w:pPr>
      <w:r w:rsidRPr="00CE0850">
        <w:rPr>
          <w:sz w:val="24"/>
          <w:szCs w:val="24"/>
        </w:rPr>
        <w:t>429.</w:t>
      </w:r>
      <w:r w:rsidRPr="00CE0850">
        <w:rPr>
          <w:rFonts w:ascii="Times New Roman" w:hAnsi="Times New Roman" w:cs="Times New Roman"/>
          <w:sz w:val="24"/>
          <w:szCs w:val="24"/>
        </w:rPr>
        <w:t xml:space="preserve"> </w:t>
      </w:r>
      <w:r w:rsidRPr="00BB1A6A">
        <w:rPr>
          <w:rFonts w:ascii="Times New Roman" w:hAnsi="Times New Roman" w:cs="Times New Roman"/>
          <w:sz w:val="24"/>
          <w:szCs w:val="24"/>
        </w:rPr>
        <w:t xml:space="preserve">Ja kapitālsabiedrības gada pārskata bilances datums nesakrīt ar budžeta iestādes (kapitāla daļu turētāja) bilances datumu, līdzdalības vērtības izmaiņas koriģē arī par visiem kapitālsabiedrības veiktajiem darījumiem un citām izmaiņām, kas notikušas laikposmā starp pēdējā pieejamā kapitālsabiedrības gada pārskata bilances datumu un kapitāla daļu turētāja bilances datumu. Jebkurā gadījumā laikposms starp kapitālsabiedrības un kapitāla daļu turētāja bilances datumu nedrīkst būt garāks par trim mēnešiem. </w:t>
      </w:r>
    </w:p>
    <w:p w14:paraId="7C1A4214"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430</w:t>
      </w:r>
      <w:r w:rsidRPr="00BB1A6A">
        <w:rPr>
          <w:rFonts w:ascii="Times New Roman" w:hAnsi="Times New Roman" w:cs="Times New Roman"/>
          <w:sz w:val="24"/>
          <w:szCs w:val="24"/>
        </w:rPr>
        <w:t xml:space="preserve">. Ja budžeta iestādes daļa kapitālsabiedrības zaudējumos pārsniedz budžeta iestādes līdzdalības uzskaites vērtību, budžeta iestāde atzīst zaudējumu summu, kas vienāda ar līdzdalības uzskaites atlikušo vērtību. Šādā gadījumā budžeta iestāde līdzdalības uzskaites vērtību samazina līdz nullei. </w:t>
      </w:r>
    </w:p>
    <w:p w14:paraId="1665EB29"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431</w:t>
      </w:r>
      <w:r w:rsidRPr="00BB1A6A">
        <w:rPr>
          <w:rFonts w:ascii="Times New Roman" w:hAnsi="Times New Roman" w:cs="Times New Roman"/>
          <w:sz w:val="24"/>
          <w:szCs w:val="24"/>
        </w:rPr>
        <w:t>. Budžeta iestāde uzkrāj informāciju par zaudējumiem, kas pārsniedz līdzdalības vērtību, un gada pārskata pielikumā atklāj informāciju par zaudējumiem no līdzdalības kapitālsabiedrībā. Ja turpmākajos pārskata periodos kapitālsabiedrība uzrāda peļņu, budžeta iestāde atsāk atzīt savu peļņas daļu tikai tad, kad tā ir vienāda ar neatzīto zaudējumu daļu, tas ir, tikai pēc uzkrāto zaudējumu summas segšanas.</w:t>
      </w:r>
    </w:p>
    <w:p w14:paraId="5EFB3AF7"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432</w:t>
      </w:r>
      <w:r w:rsidRPr="00BB1A6A">
        <w:rPr>
          <w:rFonts w:ascii="Times New Roman" w:hAnsi="Times New Roman" w:cs="Times New Roman"/>
          <w:sz w:val="24"/>
          <w:szCs w:val="24"/>
        </w:rPr>
        <w:t xml:space="preserve">. Kad līdzdalības uzskaites vērtība samazināta līdz nullei, saistības atzīst tikai tad, ja budžeta iestādei ir radušies juridiski vai prakses radīti pienākumi, vai tā ir veikusi maksājumus kapitālsabiedrības vārdā. </w:t>
      </w:r>
    </w:p>
    <w:p w14:paraId="671202F9"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433</w:t>
      </w:r>
      <w:r w:rsidRPr="00BB1A6A">
        <w:rPr>
          <w:rFonts w:ascii="Times New Roman" w:hAnsi="Times New Roman" w:cs="Times New Roman"/>
          <w:sz w:val="24"/>
          <w:szCs w:val="24"/>
        </w:rPr>
        <w:t>. Ja kapitālsabiedrības pašu kapitālā ir notikušas izmaiņas, kas netika iekļautas kapitālsabiedrības peļņas vai zaudējumu aprēķinā (piemēram, aktīvu pārvērtēšana, ko uzreiz iekļauj kapitālsabiedrības pašu kapitālā), budžeta iestāde atzīst attiecīgu daļu no vērtības izmaiņām budžeta iestādes pašu kapitālā pārējās rezervēs, kā arī uzskaita kā izmaiņas (palielinājumu vai samazinājumu) ilgtermiņa finanšu ieguldījumos (līdzdalībā).</w:t>
      </w:r>
    </w:p>
    <w:p w14:paraId="39090437" w14:textId="77777777" w:rsidR="00CE0850" w:rsidRPr="00BB1A6A" w:rsidRDefault="00CE0850"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uzskaitot palielinājumu līdzdalības uzskaites vērtībā un pārējās rezervēs: </w:t>
      </w:r>
    </w:p>
    <w:p w14:paraId="29F39231" w14:textId="77777777" w:rsidR="00CE0850" w:rsidRPr="00CE0850" w:rsidRDefault="00CE0850"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CE0850">
        <w:rPr>
          <w:rFonts w:ascii="Times New Roman" w:hAnsi="Times New Roman" w:cs="Times New Roman"/>
          <w:b/>
          <w:sz w:val="24"/>
          <w:szCs w:val="24"/>
        </w:rPr>
        <w:t>D 1311  Līdzdalība radniecīgo kapitālsabiedrību kapitālā vai</w:t>
      </w:r>
    </w:p>
    <w:p w14:paraId="003C1DF9"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D 1321 Līdzdalība asociēto kapitālsabiedrību kapitālā </w:t>
      </w:r>
    </w:p>
    <w:p w14:paraId="1D568777"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3360 Pārējās rezerves </w:t>
      </w:r>
    </w:p>
    <w:p w14:paraId="1B97A7F1" w14:textId="77777777" w:rsidR="00CE0850" w:rsidRPr="00BB1A6A" w:rsidRDefault="00CE0850"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uzskaitot samazinājumu līdzdalības uzskaites vērtībā un pārējās rezervēs: </w:t>
      </w:r>
    </w:p>
    <w:p w14:paraId="241283E5" w14:textId="77777777" w:rsidR="00CE0850" w:rsidRPr="00CE0850" w:rsidRDefault="00CE0850"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CE0850">
        <w:rPr>
          <w:rFonts w:ascii="Times New Roman" w:hAnsi="Times New Roman" w:cs="Times New Roman"/>
          <w:b/>
          <w:sz w:val="24"/>
          <w:szCs w:val="24"/>
        </w:rPr>
        <w:t xml:space="preserve">D 3360 Pārējās rezerves </w:t>
      </w:r>
    </w:p>
    <w:p w14:paraId="755ABCA2"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1311 Līdzdalība radniecīgo kapitālsabiedrību kapitālā vai</w:t>
      </w:r>
    </w:p>
    <w:p w14:paraId="350387E4"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1321 Līdzdalība asociēto kapitālsabiedrību kapitālā</w:t>
      </w:r>
    </w:p>
    <w:p w14:paraId="6381052D" w14:textId="77777777" w:rsidR="00CE0850"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434</w:t>
      </w:r>
      <w:r w:rsidR="00CE0850" w:rsidRPr="00BB1A6A">
        <w:rPr>
          <w:rFonts w:ascii="Times New Roman" w:hAnsi="Times New Roman" w:cs="Times New Roman"/>
          <w:sz w:val="24"/>
          <w:szCs w:val="24"/>
        </w:rPr>
        <w:t xml:space="preserve">. Pārskata gadā budžeta iestāde uzskaita kapitālsabiedrības izmaksātās dividendes (proporcionāli ieguldījuma daļai) un citus maksājumus par ilgtermiņa finanšu ieguldījumu kā  līdzdalības vērtības samazinājumu un atzīst naudas līdzekļus dividenžu saņemšanas rezultātā, veicot sekojošu grāmatojumu: </w:t>
      </w:r>
    </w:p>
    <w:p w14:paraId="67B076E5"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D 2620 Norēķinu konti Valsts kasē, kredītiestādēs vai citās institūcijās </w:t>
      </w:r>
    </w:p>
    <w:p w14:paraId="77CE3071"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1311 Līdzdalība radniecīgo kapitālsabiedrību kapitālā </w:t>
      </w:r>
    </w:p>
    <w:p w14:paraId="3C25458E" w14:textId="77777777" w:rsid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1321 Līdzdalība asociēto kapitālsabiedrību kapitālā</w:t>
      </w:r>
    </w:p>
    <w:p w14:paraId="7CEA1EA4"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435</w:t>
      </w:r>
      <w:r w:rsidR="00694AF3" w:rsidRPr="00BB1A6A">
        <w:rPr>
          <w:rFonts w:ascii="Times New Roman" w:hAnsi="Times New Roman" w:cs="Times New Roman"/>
          <w:sz w:val="24"/>
          <w:szCs w:val="24"/>
        </w:rPr>
        <w:t xml:space="preserve">. Finanšu ieguldījumus, kurus plāno realizēt nākamo 12 mēnešu laikā un kuru atsavināšanu uzskata par ticamu saskaņā ar noteiktiem kritērijiem, pārskata perioda beigās pārklasificē un uzrāda kā īstermiņa finanšu ieguldījumus, veicot sekojošu grāmatojumu: </w:t>
      </w:r>
    </w:p>
    <w:p w14:paraId="3CA67369"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2511 Līdzdalība radniecīgo kapitālsabiedrību kapitālā </w:t>
      </w:r>
    </w:p>
    <w:p w14:paraId="58A66A78"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2521 Līdzdalība asociēto kapitālsabiedrību kapitālā </w:t>
      </w:r>
    </w:p>
    <w:p w14:paraId="034F69F2"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1311 Līdzdalība radniecīgo kapitālsabiedrību kapitālā vai</w:t>
      </w:r>
    </w:p>
    <w:p w14:paraId="18A00F0E" w14:textId="77777777" w:rsidR="00694AF3" w:rsidRPr="00BB1A6A" w:rsidRDefault="00427287" w:rsidP="00CD363C">
      <w:pPr>
        <w:spacing w:after="0" w:line="240" w:lineRule="auto"/>
        <w:ind w:right="-142"/>
        <w:jc w:val="both"/>
        <w:rPr>
          <w:rFonts w:ascii="Times New Roman" w:hAnsi="Times New Roman" w:cs="Times New Roman"/>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1321 Līdzdalība asociēto kapitālsabiedrību kapitālā.</w:t>
      </w:r>
    </w:p>
    <w:p w14:paraId="4F6E5106"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436</w:t>
      </w:r>
      <w:r w:rsidR="00694AF3" w:rsidRPr="00BB1A6A">
        <w:rPr>
          <w:rFonts w:ascii="Times New Roman" w:hAnsi="Times New Roman" w:cs="Times New Roman"/>
          <w:sz w:val="24"/>
          <w:szCs w:val="24"/>
        </w:rPr>
        <w:t xml:space="preserve">. Kritēriji, saskaņā ar kuriem ilgtermiņa ieguldījuma atsavināšanu uzskata par ticamu: </w:t>
      </w:r>
    </w:p>
    <w:p w14:paraId="562721DA"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1) atsavināšana ir pamatota ar normatīvo aktu vai budžeta iestādes vadības lēmumu;</w:t>
      </w:r>
    </w:p>
    <w:p w14:paraId="364A9DC2"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 2) atsavināšanas process ir uzsākts; </w:t>
      </w:r>
    </w:p>
    <w:p w14:paraId="6792F517"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3) ir pārliecība par atsavināšanas procesa pabeigšanu.</w:t>
      </w:r>
    </w:p>
    <w:p w14:paraId="0BD1567D"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w:t>
      </w:r>
      <w:r w:rsidR="00694AF3" w:rsidRPr="00BB1A6A">
        <w:rPr>
          <w:rFonts w:ascii="Times New Roman" w:hAnsi="Times New Roman" w:cs="Times New Roman"/>
          <w:sz w:val="24"/>
          <w:szCs w:val="24"/>
        </w:rPr>
        <w:t xml:space="preserve">7. Budžeta iestāde samazina līdzdalības uzskaites vērtību, ja tā atsavina savu līdzdalības daļu, un atzīst finanšu izdevumus. Atlīdzību novērtē patiesajā vērtībā un atbilstoši tās ekonomiskajai būtībai atzīst pārskata perioda finanšu ieņēmumos, veicot sekojošus grāmatojumus: Budžeta iestāde, izslēdzot savu līdzdalības daļu, atzīst finanšu izdevumus: </w:t>
      </w:r>
    </w:p>
    <w:p w14:paraId="78EFB8CC"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8230 Izdevumi no kapitāla daļu un vērtspapīru pārdošanas </w:t>
      </w:r>
    </w:p>
    <w:p w14:paraId="1F915D94"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2511 Līdzdalība radniecīgo kapitālsabiedrību kapitālā vai</w:t>
      </w:r>
    </w:p>
    <w:p w14:paraId="26BFA6CC"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K 2521 Līdzdalība asociēto kapitālsabiedrību kapitālā </w:t>
      </w:r>
    </w:p>
    <w:p w14:paraId="216EA425"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Budžeta iestāde, pārdodot savu līdzdalības daļu, atzīst finanšu ieņēmumus: </w:t>
      </w:r>
    </w:p>
    <w:p w14:paraId="2C9BF696" w14:textId="77777777" w:rsidR="00694AF3" w:rsidRPr="00427287" w:rsidRDefault="0042728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694AF3" w:rsidRPr="00427287">
        <w:rPr>
          <w:rFonts w:ascii="Times New Roman" w:hAnsi="Times New Roman" w:cs="Times New Roman"/>
          <w:b/>
          <w:sz w:val="24"/>
          <w:szCs w:val="24"/>
        </w:rPr>
        <w:t xml:space="preserve">D </w:t>
      </w: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2311 Prasības pret pircējiem un pasūtītājiem </w:t>
      </w:r>
    </w:p>
    <w:p w14:paraId="764F957B"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w:t>
      </w: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8130 Ieņēmumi no kapitāla daļu pārdošanas, vērtspapīru tirdzniecības un pārvērtēšanas </w:t>
      </w:r>
    </w:p>
    <w:p w14:paraId="66268A57"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w:t>
      </w:r>
      <w:r w:rsidR="00694AF3" w:rsidRPr="00BB1A6A">
        <w:rPr>
          <w:rFonts w:ascii="Times New Roman" w:hAnsi="Times New Roman" w:cs="Times New Roman"/>
          <w:sz w:val="24"/>
          <w:szCs w:val="24"/>
        </w:rPr>
        <w:t xml:space="preserve">8. Budžeta iestāde līdzdalību radniecīgajā kapitālsabiedrībā pārklasificē par līdzdalību asociētajā kapitālsabiedrībā (pēc kapitāldaļu pārdošanas), ja budžeta iestādes līdzdalība kapitālsabiedrībā ir robežās no 20,001 procentiem un ne vairāk kā 50,001 procentiem no balsstiesībām kapitālsabiedrībā, veicot sekojošu grāmatojumu darījuma datumā: </w:t>
      </w:r>
    </w:p>
    <w:p w14:paraId="6F9612C7"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1321 Līdzdalība asociēto kapitālsabiedrību kapitālā </w:t>
      </w:r>
    </w:p>
    <w:p w14:paraId="6B5B6110" w14:textId="77777777" w:rsidR="00694AF3"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1311 Līdzdalība radniecīgo kapitālsabiedrību kapitālā.</w:t>
      </w:r>
    </w:p>
    <w:p w14:paraId="2BA79DEC"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w:t>
      </w:r>
      <w:r w:rsidRPr="00BB1A6A">
        <w:rPr>
          <w:rFonts w:ascii="Times New Roman" w:hAnsi="Times New Roman" w:cs="Times New Roman"/>
          <w:sz w:val="24"/>
          <w:szCs w:val="24"/>
        </w:rPr>
        <w:t xml:space="preserve">9. Budžeta iestāde līdzdalību pārklasificē par citiem finanšu ieguldījumiem un pārtrauc pašu kapitāla metodes pielietošanu, ja budžeta iestādes balsstiesības kapitālsabiedrībā, pēc savu daļu atsavināšanas, ir mazākas par 20,001 procentiem. Finanšu ieguldījuma uzskaites vērtība datumā, kad ieguldījumu pārstāj klasificēt kā līdzdalību radniecīgajā vai asociētājā 10 kapitālsabiedrībā, ir uzskatāma par pārējo finanšu ieguldījumu sākotnējo vērtību to atzīšanai izmaksu vērtībā. </w:t>
      </w:r>
    </w:p>
    <w:p w14:paraId="58622AFE"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1359 Pārējie ilgtermiņa finanšu ieguldījumi</w:t>
      </w:r>
    </w:p>
    <w:p w14:paraId="49183E52"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1311 Līdzdalība radniecīgo kapitālsabiedrību kapitālā  vai</w:t>
      </w:r>
    </w:p>
    <w:p w14:paraId="421BA6C8"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1321 Līdzdalība asociēto kapitālsabiedrību kapitālā.</w:t>
      </w:r>
    </w:p>
    <w:p w14:paraId="39DA1C13"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440</w:t>
      </w:r>
      <w:r w:rsidRPr="00BB1A6A">
        <w:rPr>
          <w:rFonts w:ascii="Times New Roman" w:hAnsi="Times New Roman" w:cs="Times New Roman"/>
          <w:sz w:val="24"/>
          <w:szCs w:val="24"/>
        </w:rPr>
        <w:t xml:space="preserve">.Budžeta iestāde citus finanšu ieguldījumus, kas iepriekš bijuši atzīti izmaksu vērtībā, pārklasificē par ieguldījumu asociētajā kapitālsabiedrībā vai ieguldījumu radniecīgajā kapitālsabiedrībā un sāk pielietot pašu kapitāla metodi, ja budžeta iestādes līdzdalība kapitālsabiedrībā pēc papildus daļu iegādes pārsniedz 20,001 procentus no balsstiesībām: </w:t>
      </w:r>
    </w:p>
    <w:p w14:paraId="7F73E16F" w14:textId="77777777" w:rsidR="00427287" w:rsidRPr="00427287" w:rsidRDefault="0042728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427287">
        <w:rPr>
          <w:rFonts w:ascii="Times New Roman" w:hAnsi="Times New Roman" w:cs="Times New Roman"/>
          <w:b/>
          <w:sz w:val="24"/>
          <w:szCs w:val="24"/>
        </w:rPr>
        <w:t xml:space="preserve">D 1321 Līdzdalība asociēto kapitālsabiedrību kapitālā vai </w:t>
      </w:r>
    </w:p>
    <w:p w14:paraId="1B9C6C0B"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w:t>
      </w:r>
    </w:p>
    <w:p w14:paraId="5AE99A4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1359 Pārējie ilgtermiņa finanšu ieguldījumi.</w:t>
      </w:r>
    </w:p>
    <w:p w14:paraId="4ED00C5A"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1. Budžeta iestāde citus finanšu ieguldījumus, kas iepriekš bijuši atzīti patiesajā vērtībā, pārklasificē par ieguldījumu asociētajā kapitālsabiedrībā vai ieguldījumu radniecīgajā kapitālsabiedrībā un sāk pielietot pašu kapitāla metodi, ja budžeta iestādes līdzdalība kapitālsabiedrībā pēc daļu iegādes pārsniedz 20,001 procentus no balsstiesībām. Šajā gadījumā budžeta iestāde novērtē attiecīgo finanšu ieguldījumu tā patiesajā vērtībā pārklasifikācijas dienā un starpību atzīst finanšu ieņēmumos vai izdevumos, veicot sekojošu grāmatojumu: </w:t>
      </w:r>
    </w:p>
    <w:p w14:paraId="1E76B6E2"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1321 Līdzdalība asociēto kapitālsabiedrību kapitālā vai </w:t>
      </w:r>
    </w:p>
    <w:p w14:paraId="4B52BBF1"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vai</w:t>
      </w:r>
    </w:p>
    <w:p w14:paraId="4000DD19"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1359 Pārējie ilgtermiņa finanšu ieguldījumi </w:t>
      </w:r>
    </w:p>
    <w:p w14:paraId="7C2EEC08"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8190 Pārējie finanšu ieņēmumi* </w:t>
      </w:r>
    </w:p>
    <w:p w14:paraId="2F21FAF3"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B1A6A">
        <w:rPr>
          <w:rFonts w:ascii="Times New Roman" w:hAnsi="Times New Roman" w:cs="Times New Roman"/>
          <w:sz w:val="24"/>
          <w:szCs w:val="24"/>
        </w:rPr>
        <w:t>*starpība starp finanšu ieguldījuma patieso vērtību un uzskaites vērtību</w:t>
      </w:r>
      <w:r>
        <w:rPr>
          <w:rFonts w:ascii="Times New Roman" w:hAnsi="Times New Roman" w:cs="Times New Roman"/>
          <w:sz w:val="24"/>
          <w:szCs w:val="24"/>
        </w:rPr>
        <w:t xml:space="preserve"> </w:t>
      </w:r>
      <w:r w:rsidRPr="00BB1A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1A6A">
        <w:rPr>
          <w:rFonts w:ascii="Times New Roman" w:hAnsi="Times New Roman" w:cs="Times New Roman"/>
          <w:sz w:val="24"/>
          <w:szCs w:val="24"/>
        </w:rPr>
        <w:t>pārklasifikācijas dienā</w:t>
      </w:r>
    </w:p>
    <w:p w14:paraId="45A5027C" w14:textId="77777777" w:rsidR="00427287" w:rsidRPr="00BB1A6A" w:rsidRDefault="00427287"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 vai </w:t>
      </w:r>
    </w:p>
    <w:p w14:paraId="665D307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1321 Līdzdalība asociēto kapitālsabiedrību kapitāla vai </w:t>
      </w:r>
    </w:p>
    <w:p w14:paraId="2018B11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w:t>
      </w:r>
    </w:p>
    <w:p w14:paraId="6E4E050F" w14:textId="77777777" w:rsid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8290 Pārējie finanšu izdevumi* </w:t>
      </w:r>
    </w:p>
    <w:p w14:paraId="42250483" w14:textId="77777777" w:rsid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1359 Pārējie ilgtermiņa finanšu ieguldījumi </w:t>
      </w:r>
    </w:p>
    <w:p w14:paraId="212AFD5E" w14:textId="77777777" w:rsidR="00427287" w:rsidRPr="00BB1A6A" w:rsidRDefault="00427287"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*starpība starp finanšu ieguldījuma patieso vērtību un uzskaites vērtību pārklasifikācijas dienā</w:t>
      </w:r>
    </w:p>
    <w:p w14:paraId="0946C895"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2. Budžeta iestāde līdzdalību asociētajā kapitālsabiedrībā pārklasificē par līdzdalību radniecīgajā kapitālsabiedrībā, ja budžeta iestāde iegādājas daļas kapitālsabiedrībā un ja pēc iegādes tās pārsniedz 50,001 procentus no balsstiesībām kapitālsabiedrībā, veicot sekojošu grāmatojumu darījuma datumā: </w:t>
      </w:r>
    </w:p>
    <w:p w14:paraId="7B89AFE7"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w:t>
      </w:r>
    </w:p>
    <w:p w14:paraId="6C2E1E76"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1321 Līdzdalība asociēto kapitālsabiedrību kapitālā</w:t>
      </w:r>
    </w:p>
    <w:p w14:paraId="40538449" w14:textId="77777777" w:rsidR="00427287" w:rsidRPr="00BB1A6A" w:rsidRDefault="00427287"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Ja iepriekš budžeta iestāde ir atzinusi vērtības samazinājumu ieguldījumam asociētajā kapitālsabiedrībā, tad iegādājoties daļas kapitālsabiedrībā, pārklasificē arī iepriekš atzīto vērtības samazinājumu ieguldījumam kapitālsabiedrībā, veicot sekojošu grāmatojumu: </w:t>
      </w:r>
    </w:p>
    <w:p w14:paraId="5F06C241" w14:textId="77777777" w:rsidR="00427287" w:rsidRPr="00427287" w:rsidRDefault="0042728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427287">
        <w:rPr>
          <w:rFonts w:ascii="Times New Roman" w:hAnsi="Times New Roman" w:cs="Times New Roman"/>
          <w:b/>
          <w:sz w:val="24"/>
          <w:szCs w:val="24"/>
        </w:rPr>
        <w:t xml:space="preserve">D 1329 Vērtības samazinājums līdzdalībai asociēto kapitālsabiedrību kapitālā </w:t>
      </w:r>
    </w:p>
    <w:p w14:paraId="21571A5F"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1319 Vērtības samazinājums līdzdalībai radniecīgo kapitālsabiedrību kapitālā.</w:t>
      </w:r>
    </w:p>
    <w:p w14:paraId="259B716D"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3. Finanšu ieguldījuma uzskaites vērtība datumā, kad ieguldījumu kapitālsabiedrības kapitālā pārstāj klasificēt par līdzdalību asociētajā vai radniecīgajā kapitālsabiedrībā, ir uzskatāma par tā izmaksu sākotnējo novērtējumu. </w:t>
      </w:r>
    </w:p>
    <w:p w14:paraId="575B1DF1"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4. Ja līdzdalības vērtības izmaiņas iepriekš atzītas pārējās rezervēs, pārtraucot pašu kapitāla metodes pielietošanu, attiecīgās rezerves izslēdz pilnā apmērā un attiecina uz iepriekšējo pārskata gadu budžeta izpildes rezultātu, izņemot, ja kapitālsabiedrības rezervēs iekļautās summas attiecas uz tiem aktīviem un saistībām, kuras izslēdzot, atbilstošās rezerves būtu jāatzīst kapitālsabiedrības ieņēmumos, tad budžeta iestādes rezerves atzīst finanšu ieņēmumos: </w:t>
      </w:r>
    </w:p>
    <w:p w14:paraId="5D987AFE"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3360 Pārējās rezerves </w:t>
      </w:r>
    </w:p>
    <w:p w14:paraId="3DB35750"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3510 vai Iepriekšējo pārskata gadu budžeta izpildes rezultāts </w:t>
      </w:r>
    </w:p>
    <w:p w14:paraId="2429674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3360 Pārējās rezerves </w:t>
      </w:r>
    </w:p>
    <w:p w14:paraId="636B4EF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8190 Pārējie finanšu ieņēmumi</w:t>
      </w:r>
    </w:p>
    <w:p w14:paraId="26C0C9C6" w14:textId="77777777" w:rsidR="00427287"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00427287" w:rsidRPr="00BB1A6A">
        <w:rPr>
          <w:rFonts w:ascii="Times New Roman" w:hAnsi="Times New Roman" w:cs="Times New Roman"/>
          <w:sz w:val="24"/>
          <w:szCs w:val="24"/>
        </w:rPr>
        <w:t>5. Ja kapitālsabiedrībai radušies zaudējumi un budžeta iestāde līdzdalības uzskaites vērtību samazinājusi līdz nullei, budžeta iestāde atlikušo kapitālsabiedrības zaudējumu daļu ņem vērā, izvērtējot citu finanšu aktīvu, kas saistīti ar attiecīgo kapitālsabiedrību, vērtības samazinājumu.</w:t>
      </w:r>
    </w:p>
    <w:p w14:paraId="4D097052" w14:textId="77777777" w:rsidR="00427287" w:rsidRDefault="00427287" w:rsidP="00CD363C">
      <w:pPr>
        <w:spacing w:after="0" w:line="240" w:lineRule="auto"/>
        <w:ind w:left="1354" w:right="-142"/>
        <w:jc w:val="both"/>
        <w:rPr>
          <w:i/>
        </w:rPr>
      </w:pPr>
      <w:r>
        <w:rPr>
          <w:i/>
        </w:rPr>
        <w:t>Piemēram,  pārskata  gada  sākumā  budžeta   iestāde   veic   ieguldījumu   kapitālsabiedrībā 50 000,00 EUR apmērā un iegūst 30% balsstiesības kapitālsabiedrības kapitālā. Papildus budžeta</w:t>
      </w:r>
      <w:r>
        <w:rPr>
          <w:i/>
          <w:spacing w:val="-15"/>
        </w:rPr>
        <w:t xml:space="preserve"> </w:t>
      </w:r>
      <w:r>
        <w:rPr>
          <w:i/>
        </w:rPr>
        <w:t>iestāde</w:t>
      </w:r>
      <w:r>
        <w:rPr>
          <w:i/>
          <w:spacing w:val="-15"/>
        </w:rPr>
        <w:t xml:space="preserve"> </w:t>
      </w:r>
      <w:r>
        <w:rPr>
          <w:i/>
        </w:rPr>
        <w:t>pārskata</w:t>
      </w:r>
      <w:r>
        <w:rPr>
          <w:i/>
          <w:spacing w:val="-13"/>
        </w:rPr>
        <w:t xml:space="preserve"> </w:t>
      </w:r>
      <w:r>
        <w:rPr>
          <w:i/>
        </w:rPr>
        <w:t>gadā</w:t>
      </w:r>
      <w:r>
        <w:rPr>
          <w:i/>
          <w:spacing w:val="-13"/>
        </w:rPr>
        <w:t xml:space="preserve"> </w:t>
      </w:r>
      <w:r>
        <w:rPr>
          <w:i/>
        </w:rPr>
        <w:t>izsniedz</w:t>
      </w:r>
      <w:r>
        <w:rPr>
          <w:i/>
          <w:spacing w:val="-13"/>
        </w:rPr>
        <w:t xml:space="preserve"> </w:t>
      </w:r>
      <w:r>
        <w:rPr>
          <w:i/>
        </w:rPr>
        <w:t>aizdevumu</w:t>
      </w:r>
      <w:r>
        <w:rPr>
          <w:i/>
          <w:spacing w:val="-13"/>
        </w:rPr>
        <w:t xml:space="preserve"> </w:t>
      </w:r>
      <w:r>
        <w:rPr>
          <w:i/>
        </w:rPr>
        <w:t>asociētajai</w:t>
      </w:r>
      <w:r>
        <w:rPr>
          <w:i/>
          <w:spacing w:val="-12"/>
        </w:rPr>
        <w:t xml:space="preserve"> </w:t>
      </w:r>
      <w:r>
        <w:rPr>
          <w:i/>
        </w:rPr>
        <w:t>kapitālsabiedrībai</w:t>
      </w:r>
      <w:r>
        <w:rPr>
          <w:i/>
          <w:spacing w:val="-8"/>
        </w:rPr>
        <w:t xml:space="preserve"> </w:t>
      </w:r>
      <w:r>
        <w:rPr>
          <w:i/>
        </w:rPr>
        <w:t>90</w:t>
      </w:r>
      <w:r>
        <w:rPr>
          <w:i/>
          <w:spacing w:val="-4"/>
        </w:rPr>
        <w:t xml:space="preserve"> </w:t>
      </w:r>
      <w:r>
        <w:rPr>
          <w:i/>
        </w:rPr>
        <w:t>000,00</w:t>
      </w:r>
      <w:r>
        <w:rPr>
          <w:i/>
          <w:spacing w:val="-13"/>
        </w:rPr>
        <w:t xml:space="preserve"> </w:t>
      </w:r>
      <w:r>
        <w:rPr>
          <w:i/>
        </w:rPr>
        <w:t>EUR apmērā. Kapitālsabiedrība pārskata gadu noslēdz ar zaudējumiem 200 000,00 EUR apmērā. Budžeta  iestādes  daļa  kapitālsabiedrības  zaudējumos   ir   200 000,00   EUR   x   30%   =  60 000,00 EUR. Tas nozīmē, ka līdzdalības uzskaites vērtība tiek samazināta līdz nullei, un budžeta iestāde izvērtē, vai atlikusī zaudējumu daļa 10 000 EUR vērtībā ietekmē aizdevuma atgūstamo vērtību, nosakot vērtības</w:t>
      </w:r>
      <w:r>
        <w:rPr>
          <w:i/>
          <w:spacing w:val="-6"/>
        </w:rPr>
        <w:t xml:space="preserve"> </w:t>
      </w:r>
      <w:r>
        <w:rPr>
          <w:i/>
        </w:rPr>
        <w:t>samazinājumu.</w:t>
      </w:r>
    </w:p>
    <w:p w14:paraId="7E26C6E3" w14:textId="77777777" w:rsidR="009368D8" w:rsidRDefault="009368D8" w:rsidP="00CD363C">
      <w:pPr>
        <w:spacing w:after="0" w:line="240" w:lineRule="auto"/>
        <w:ind w:left="1354" w:right="-142"/>
        <w:jc w:val="both"/>
        <w:rPr>
          <w:i/>
        </w:rPr>
      </w:pPr>
    </w:p>
    <w:p w14:paraId="30A8EF26" w14:textId="77777777" w:rsidR="00427287" w:rsidRDefault="00427287" w:rsidP="00CD363C">
      <w:pPr>
        <w:spacing w:after="0" w:line="240" w:lineRule="auto"/>
        <w:ind w:right="-142"/>
        <w:jc w:val="both"/>
        <w:rPr>
          <w:rFonts w:ascii="Times New Roman" w:hAnsi="Times New Roman" w:cs="Times New Roman"/>
          <w:b/>
          <w:sz w:val="28"/>
          <w:szCs w:val="28"/>
        </w:rPr>
      </w:pPr>
      <w:r w:rsidRPr="009368D8">
        <w:rPr>
          <w:rFonts w:ascii="Times New Roman" w:hAnsi="Times New Roman" w:cs="Times New Roman"/>
          <w:b/>
          <w:sz w:val="28"/>
          <w:szCs w:val="28"/>
        </w:rPr>
        <w:t>13.3 Līdzdalības</w:t>
      </w:r>
      <w:r w:rsidR="009368D8" w:rsidRPr="009368D8">
        <w:rPr>
          <w:rFonts w:ascii="Times New Roman" w:hAnsi="Times New Roman" w:cs="Times New Roman"/>
          <w:b/>
          <w:sz w:val="28"/>
          <w:szCs w:val="28"/>
        </w:rPr>
        <w:t xml:space="preserve"> vērtības samazinājuma uzskaite</w:t>
      </w:r>
    </w:p>
    <w:p w14:paraId="5BEB41DF"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6. Katra pārskata perioda beigās budžeta iestāde novērtē, vai pastāv objektīvi pierādījumi tam, ka līdzdalības vērtība ir samazinājusies, un vai nepieciešams atzīt zaudējumus no līdzdalības vērtības samazināšanās. </w:t>
      </w:r>
    </w:p>
    <w:p w14:paraId="6B4AE346"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 Budžeta iestāde izvērtē vismaz šādas pazīmes, lai noteiktu, vai pastāv līdzdalības vērtības samazinājums: </w:t>
      </w:r>
    </w:p>
    <w:p w14:paraId="32FDD769"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7.1. kapitālsabiedrības finansiālās grūtības; </w:t>
      </w:r>
    </w:p>
    <w:p w14:paraId="4F3DAF09"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7.2. budžeta iestāde tādu ekonomisku vai juridisku iemeslu dēļ, kas saistīti ar kapitālsabiedrības finansiālajām grūtībām, piešķir kapitālsabiedrībai atlaidi vai atbrīvojumu, ko citos apstākļos nebūtu apsvērusi; </w:t>
      </w:r>
    </w:p>
    <w:p w14:paraId="0C70C896"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7.3. kļūst ticams, ka kapitālsabiedrība uzsāks maksātnespējas procedūru vai cita veida finansiālu reorganizāciju; </w:t>
      </w:r>
    </w:p>
    <w:p w14:paraId="5DCBCD9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7.4. informācija par tādām nelabvēlīgām izmaiņām, kuras ir notikušas tehnoloģiskajā, tirgus, ekonomiskajā vai juridiskajā vidē, kurā darbojas kapitālsabiedrība, un kas norāda, ka līdzdalības izmaksu vērtība var nebūt atgūstama. Līdzdalības vērtības samazināšanās zem tās izmaksu vērtības arī ir objektīvs vērtības samazināšanās pierādījums. </w:t>
      </w:r>
    </w:p>
    <w:p w14:paraId="6E9A6B3F"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8. Ja pastāv kāds no iepriekš minētajiem pierādījumiem, tas norāda, ka līdzdalības vērtība varētu būt samazinājusies. Šajos gadījumos budžeta iestāde nosaka līdzdalības atgūstamo vērtību bilances datumā.</w:t>
      </w:r>
    </w:p>
    <w:p w14:paraId="351150D7"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9. Budžeta iestāde nosaka līdzdalības atgūstamo vērtību, izmantojot vienu no šīm metodēm: </w:t>
      </w:r>
    </w:p>
    <w:p w14:paraId="745712CE"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9.1. aplēšot savu daļu no aplēstās sagaidāmās naudas plūsmas pašreizējās vērtības, kuru ienesīs asociētā vai radniecīgā kapitālsabiedrība un kura radīsies no asociētās vai radniecīgās kapitālsabiedrības darbībām un ienākumiem no ieguldījuma galīgās atsavināšanas; </w:t>
      </w:r>
    </w:p>
    <w:p w14:paraId="4B796CB6"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9.2. piemērojot pakalpojumu vienības metodi, budžeta iestāde nosaka līdzdalības atgūstamo vērtību, samazinot amortizētās aizstāšanas izmaksas pirms vērtības samazināšanās atbilstoši samazinātajam pakalpojumu vienību skaitam (piemēram, nosakot, cik izmaksātu līdzvērtīgas līdzdalības iegāde, lai varētu nodrošināt funkciju izpildi atlikušajām pakalpojumu vienībām).</w:t>
      </w:r>
    </w:p>
    <w:p w14:paraId="0C4C4FF9"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0. Atkarībā no kapitālsabiedrības darbības veida budžeta iestāde piemēro vienu no iepriekš minētajām līdzdalības atgūstamās vērtības noteikšanas metodēm. Kapitālsabiedrībām, kurām ir izteikts peļņas gūšanas raksturs, līdzdalības atgūstamās vērtības piemērotākā metode ir sagaidāmās naudas plūsmas pašreizējās vērtības aplēse</w:t>
      </w:r>
    </w:p>
    <w:p w14:paraId="66A4AC5E"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1. Kapitālsabiedrībām, kurām nav izteikts peļņas gūšanas raksturs, līdzdalības atgūstamās vērtības noteikšanai piemēro pakalpojumu vienības metodi.</w:t>
      </w:r>
    </w:p>
    <w:p w14:paraId="567572BB"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2. Aplēsto atgūstamo vērtību salīdzina ar līdzdalības uzskaites vērtību un līdzdalību novērtē atbilstoši zemākajai no šīm vērtībām. </w:t>
      </w:r>
    </w:p>
    <w:p w14:paraId="72BF4EF1"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3. Ja līdzdalības atgūstamā vērtība bilances datumā ir zemāka par tās uzskaites vērtību, budžeta iestāde atzīst zaudējumus no līdzdalības vērtības samazinājuma, veicot sekojošu grāmatojumu:</w:t>
      </w:r>
    </w:p>
    <w:p w14:paraId="304459AE"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D 8290 Pārējie finanšu izdevumi </w:t>
      </w:r>
    </w:p>
    <w:p w14:paraId="493131DD"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w:t>
      </w:r>
      <w:r w:rsidR="00782852">
        <w:rPr>
          <w:rFonts w:ascii="Times New Roman" w:hAnsi="Times New Roman" w:cs="Times New Roman"/>
          <w:b/>
          <w:sz w:val="24"/>
          <w:szCs w:val="24"/>
        </w:rPr>
        <w:t xml:space="preserve"> </w:t>
      </w:r>
      <w:r w:rsidRPr="009368D8">
        <w:rPr>
          <w:rFonts w:ascii="Times New Roman" w:hAnsi="Times New Roman" w:cs="Times New Roman"/>
          <w:b/>
          <w:sz w:val="24"/>
          <w:szCs w:val="24"/>
        </w:rPr>
        <w:t xml:space="preserve">1319 Vērtības samazinājums līdzdalībai radniecīgo kapitālsabiedrību kapitālā </w:t>
      </w:r>
    </w:p>
    <w:p w14:paraId="7F52DA53"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 1329 Vērtības samazinājums līdzdalībai asociēto kapitālsabiedrību kapitālā.</w:t>
      </w:r>
    </w:p>
    <w:p w14:paraId="288EA9B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4. Līdzdalības atgūstamo vērtību katrai kapitālsabiedrībai nosaka atsevišķi, izņemot, ja radniecīgās vai asociētās kapitālsabiedrības naudas plūsmas lielā mērā ir saistītas ar citiem budžeta iestādes aktīviem. Šādā gadījumā līdzdalības atgūstamā vērtība jāizvērtē, ņemot vērā arī šo citu aktīvu ietekmi. </w:t>
      </w:r>
    </w:p>
    <w:p w14:paraId="0411022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5. Katra pārskata perioda beigās izvērtē, vai nepastāv pazīmes, kas norāda, ka iepriekšējos pārskata periodos atzītais līdzdalības vērtības samazinājums vairs nepastāv vai ir mazinājies.</w:t>
      </w:r>
    </w:p>
    <w:p w14:paraId="1B8B9E7B"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6. Budžeta iestāde veic attiecīgās līdzdalības atgūstamās vērtības aplēsi saskaņā ar šajā apakšnodaļā minēto.</w:t>
      </w:r>
    </w:p>
    <w:p w14:paraId="564B9D2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7. Budžeta iestāde noraksta iepriekšējos pārskata periodos izveidoto vērtības samazinājumu tikai tādā gadījumā, ja līdzdalības atgūstamā vērtība ir lielāka par tās uzskaites vērtību. Šādā gadījumā līdzdalības uzskaites vērtība jāpalielina līdz tās atgūstamajai vērtībai un jāatzīst pārskata perioda finanšu ieņēmumi, veicot sekojošu grāmatojumu: </w:t>
      </w:r>
    </w:p>
    <w:p w14:paraId="2DD83A5B" w14:textId="77777777" w:rsidR="009368D8" w:rsidRPr="009368D8" w:rsidRDefault="009368D8"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9368D8">
        <w:rPr>
          <w:rFonts w:ascii="Times New Roman" w:hAnsi="Times New Roman" w:cs="Times New Roman"/>
          <w:b/>
          <w:sz w:val="24"/>
          <w:szCs w:val="24"/>
        </w:rPr>
        <w:t>D 1319 Vērtības samazinājums līdzdalībai radniecīgo kapitālsabiedrību kapitālā vai</w:t>
      </w:r>
    </w:p>
    <w:p w14:paraId="5B438B73"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D 1329 Vērtības samazinājums līdzdalībai asociēto kapitālsabiedrību kapitālā </w:t>
      </w:r>
    </w:p>
    <w:p w14:paraId="4949A52D" w14:textId="77777777" w:rsidR="009368D8" w:rsidRPr="00BB1A6A" w:rsidRDefault="009368D8" w:rsidP="00CD363C">
      <w:pPr>
        <w:spacing w:after="0" w:line="240" w:lineRule="auto"/>
        <w:ind w:right="-142"/>
        <w:jc w:val="both"/>
        <w:rPr>
          <w:rFonts w:ascii="Times New Roman" w:hAnsi="Times New Roman" w:cs="Times New Roman"/>
          <w:sz w:val="24"/>
          <w:szCs w:val="24"/>
        </w:rPr>
      </w:pPr>
      <w:r w:rsidRPr="009368D8">
        <w:rPr>
          <w:rFonts w:ascii="Times New Roman" w:hAnsi="Times New Roman" w:cs="Times New Roman"/>
          <w:b/>
          <w:sz w:val="24"/>
          <w:szCs w:val="24"/>
        </w:rPr>
        <w:t xml:space="preserve">    K 8190 Pārējie finanšu ieņēmumi</w:t>
      </w:r>
    </w:p>
    <w:p w14:paraId="2952867E"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8. Iepriekš atzītā līdzdalības vērtības samazinājuma norakstīšana nedrīkst pārsniegt iepriekš atzītā vērtības samazinājuma apmēru. </w:t>
      </w:r>
    </w:p>
    <w:p w14:paraId="5DFE4CC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9. Papildus, ja iepriekš budžeta iestāde ir atzinusi vērtības samazinājumu ieguldījumam radniecīgajā kapitālsabiedrībā, tad, pārklasificējot līdzdalību no radniecīgās kapitālsabiedrības uz līdzdalību asociētajā kapitālsabiedrībā, budžeta iestādei jāpārklasificē arī iepriekš atzīto līdzdalības radniecīgajā kapitālsabiedrībā vērtības samazinājumu. Vispirms budžeta iestāde nosaka vērtības samazinājumu jaunajai līdzdalības vērtībai asociētās kapitālsabiedrības kapitālā, piemērojot jauno līdzdalības procentuālo daļu asociētās kapitālsabiedrības pašu kapitālā. Starpību starp iepriekš atzīto vērtības samazinājumu un no jauna aprēķināto vērtības samazinājumu noraksta un atzīst pārējos finanšu ieņēmumos, veicot sekojošu grāmatojumu: </w:t>
      </w:r>
    </w:p>
    <w:p w14:paraId="7FD3CF7E"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D 1319 Vērtības samazinājums līdzdalībai radniecīgo kapitālsabiedrību kapitālā </w:t>
      </w:r>
    </w:p>
    <w:p w14:paraId="7BCC223C"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 8190 Pārējie finanšu ieņēmumi</w:t>
      </w:r>
    </w:p>
    <w:p w14:paraId="614A559A" w14:textId="77777777" w:rsidR="009368D8" w:rsidRPr="00BB1A6A" w:rsidRDefault="009368D8"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Noslēgumā budžeta iestāde pārklasificē iepriekš atzīto līdzdalības radniecīgajā kapitālsabiedrībā vērtības samazinājumu, veicot sekojošu grāmatojumu: </w:t>
      </w:r>
    </w:p>
    <w:p w14:paraId="7BC2CDE2" w14:textId="77777777" w:rsidR="009368D8" w:rsidRPr="009368D8" w:rsidRDefault="009368D8"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9368D8">
        <w:rPr>
          <w:rFonts w:ascii="Times New Roman" w:hAnsi="Times New Roman" w:cs="Times New Roman"/>
          <w:b/>
          <w:sz w:val="24"/>
          <w:szCs w:val="24"/>
        </w:rPr>
        <w:t xml:space="preserve">D 1319 Vērtības samazinājums līdzdalībai radniecīgo kapitālsabiedrību kapitālā </w:t>
      </w:r>
    </w:p>
    <w:p w14:paraId="7B61483D"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 1329 Vērtības samazinājums līdzdalībai asociēto kapitālsabiedrību kapitālā</w:t>
      </w:r>
    </w:p>
    <w:p w14:paraId="5E1D5727" w14:textId="77777777" w:rsidR="009368D8" w:rsidRDefault="009368D8" w:rsidP="00CD363C">
      <w:pPr>
        <w:spacing w:after="0" w:line="240" w:lineRule="auto"/>
        <w:ind w:right="-142"/>
        <w:jc w:val="both"/>
        <w:rPr>
          <w:rFonts w:ascii="Times New Roman" w:hAnsi="Times New Roman" w:cs="Times New Roman"/>
          <w:b/>
          <w:sz w:val="28"/>
          <w:szCs w:val="28"/>
        </w:rPr>
      </w:pPr>
      <w:r w:rsidRPr="009368D8">
        <w:rPr>
          <w:rFonts w:ascii="Times New Roman" w:hAnsi="Times New Roman" w:cs="Times New Roman"/>
          <w:b/>
          <w:sz w:val="28"/>
          <w:szCs w:val="28"/>
        </w:rPr>
        <w:t>13.4. Līdzdalības kapitālsabiedrībās un asociētajās sabiedrībās inventarizācija</w:t>
      </w:r>
    </w:p>
    <w:p w14:paraId="26A54AE9" w14:textId="77777777" w:rsidR="009368D8" w:rsidRDefault="009368D8"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9368D8">
        <w:rPr>
          <w:rFonts w:ascii="Times New Roman" w:hAnsi="Times New Roman" w:cs="Times New Roman"/>
          <w:sz w:val="24"/>
          <w:szCs w:val="24"/>
        </w:rPr>
        <w:t>460.</w:t>
      </w:r>
      <w:r w:rsidRPr="009368D8">
        <w:t xml:space="preserve"> </w:t>
      </w:r>
      <w:r w:rsidRPr="009368D8">
        <w:rPr>
          <w:rFonts w:ascii="Times New Roman" w:hAnsi="Times New Roman" w:cs="Times New Roman"/>
          <w:sz w:val="24"/>
          <w:szCs w:val="24"/>
        </w:rPr>
        <w:t>Lai</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pārliecinātos,</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ka</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budžeta</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iestādes</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pārskatos</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ir</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ietverti</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visi</w:t>
      </w:r>
      <w:r w:rsidRPr="009368D8">
        <w:rPr>
          <w:rFonts w:ascii="Times New Roman" w:hAnsi="Times New Roman" w:cs="Times New Roman"/>
          <w:spacing w:val="-8"/>
          <w:sz w:val="24"/>
          <w:szCs w:val="24"/>
        </w:rPr>
        <w:t xml:space="preserve"> </w:t>
      </w:r>
      <w:r w:rsidRPr="009368D8">
        <w:rPr>
          <w:rFonts w:ascii="Times New Roman" w:hAnsi="Times New Roman" w:cs="Times New Roman"/>
          <w:sz w:val="24"/>
          <w:szCs w:val="24"/>
        </w:rPr>
        <w:t>ieguldījumi</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radniecīgajās</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un</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asociētajās kapitālsabiedrībās, pārskata perioda beigās veic ieguldījumu</w:t>
      </w:r>
      <w:r w:rsidRPr="009368D8">
        <w:rPr>
          <w:rFonts w:ascii="Times New Roman" w:hAnsi="Times New Roman" w:cs="Times New Roman"/>
          <w:spacing w:val="-8"/>
          <w:sz w:val="24"/>
          <w:szCs w:val="24"/>
        </w:rPr>
        <w:t xml:space="preserve"> </w:t>
      </w:r>
      <w:r w:rsidRPr="009368D8">
        <w:rPr>
          <w:rFonts w:ascii="Times New Roman" w:hAnsi="Times New Roman" w:cs="Times New Roman"/>
          <w:sz w:val="24"/>
          <w:szCs w:val="24"/>
        </w:rPr>
        <w:t>inventarizāciju.</w:t>
      </w:r>
    </w:p>
    <w:p w14:paraId="2E379B05" w14:textId="77777777" w:rsidR="009368D8" w:rsidRDefault="009368D8"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461.</w:t>
      </w:r>
      <w:r w:rsidR="00175452" w:rsidRPr="00175452">
        <w:t xml:space="preserve"> </w:t>
      </w:r>
      <w:r w:rsidR="00175452" w:rsidRPr="00175452">
        <w:rPr>
          <w:rFonts w:ascii="Times New Roman" w:hAnsi="Times New Roman" w:cs="Times New Roman"/>
          <w:sz w:val="24"/>
          <w:szCs w:val="24"/>
        </w:rPr>
        <w:t>Ieguldījuma</w:t>
      </w:r>
      <w:r w:rsidR="00175452" w:rsidRPr="00175452">
        <w:rPr>
          <w:rFonts w:ascii="Times New Roman" w:hAnsi="Times New Roman" w:cs="Times New Roman"/>
          <w:spacing w:val="-9"/>
          <w:sz w:val="24"/>
          <w:szCs w:val="24"/>
        </w:rPr>
        <w:t xml:space="preserve"> </w:t>
      </w:r>
      <w:r w:rsidR="00175452" w:rsidRPr="00175452">
        <w:rPr>
          <w:rFonts w:ascii="Times New Roman" w:hAnsi="Times New Roman" w:cs="Times New Roman"/>
          <w:sz w:val="24"/>
          <w:szCs w:val="24"/>
        </w:rPr>
        <w:t>inventarizāciju</w:t>
      </w:r>
      <w:r w:rsidR="00175452" w:rsidRPr="00175452">
        <w:rPr>
          <w:rFonts w:ascii="Times New Roman" w:hAnsi="Times New Roman" w:cs="Times New Roman"/>
          <w:spacing w:val="-13"/>
          <w:sz w:val="24"/>
          <w:szCs w:val="24"/>
        </w:rPr>
        <w:t xml:space="preserve"> </w:t>
      </w:r>
      <w:r w:rsidR="00175452" w:rsidRPr="00175452">
        <w:rPr>
          <w:rFonts w:ascii="Times New Roman" w:hAnsi="Times New Roman" w:cs="Times New Roman"/>
          <w:sz w:val="24"/>
          <w:szCs w:val="24"/>
        </w:rPr>
        <w:t>veic</w:t>
      </w:r>
      <w:r w:rsidR="00175452" w:rsidRPr="00175452">
        <w:rPr>
          <w:rFonts w:ascii="Times New Roman" w:hAnsi="Times New Roman" w:cs="Times New Roman"/>
          <w:spacing w:val="-11"/>
          <w:sz w:val="24"/>
          <w:szCs w:val="24"/>
        </w:rPr>
        <w:t xml:space="preserve"> </w:t>
      </w:r>
      <w:r w:rsidR="00175452" w:rsidRPr="00175452">
        <w:rPr>
          <w:rFonts w:ascii="Times New Roman" w:hAnsi="Times New Roman" w:cs="Times New Roman"/>
          <w:sz w:val="24"/>
          <w:szCs w:val="24"/>
        </w:rPr>
        <w:t>saskaņā</w:t>
      </w:r>
      <w:r w:rsidR="00175452" w:rsidRPr="00175452">
        <w:rPr>
          <w:rFonts w:ascii="Times New Roman" w:hAnsi="Times New Roman" w:cs="Times New Roman"/>
          <w:spacing w:val="-12"/>
          <w:sz w:val="24"/>
          <w:szCs w:val="24"/>
        </w:rPr>
        <w:t xml:space="preserve"> </w:t>
      </w:r>
      <w:r w:rsidR="00175452" w:rsidRPr="00175452">
        <w:rPr>
          <w:rFonts w:ascii="Times New Roman" w:hAnsi="Times New Roman" w:cs="Times New Roman"/>
          <w:sz w:val="24"/>
          <w:szCs w:val="24"/>
        </w:rPr>
        <w:t>ar</w:t>
      </w:r>
      <w:r w:rsidR="00175452" w:rsidRPr="00175452">
        <w:rPr>
          <w:rFonts w:ascii="Times New Roman" w:hAnsi="Times New Roman" w:cs="Times New Roman"/>
          <w:spacing w:val="-10"/>
          <w:sz w:val="24"/>
          <w:szCs w:val="24"/>
        </w:rPr>
        <w:t xml:space="preserve"> </w:t>
      </w:r>
      <w:r w:rsidR="00175452" w:rsidRPr="00175452">
        <w:rPr>
          <w:rFonts w:ascii="Times New Roman" w:hAnsi="Times New Roman" w:cs="Times New Roman"/>
          <w:sz w:val="24"/>
          <w:szCs w:val="24"/>
        </w:rPr>
        <w:t>budžeta</w:t>
      </w:r>
      <w:r w:rsidR="00175452" w:rsidRPr="00175452">
        <w:rPr>
          <w:rFonts w:ascii="Times New Roman" w:hAnsi="Times New Roman" w:cs="Times New Roman"/>
          <w:spacing w:val="-13"/>
          <w:sz w:val="24"/>
          <w:szCs w:val="24"/>
        </w:rPr>
        <w:t xml:space="preserve"> </w:t>
      </w:r>
      <w:r w:rsidR="00175452" w:rsidRPr="00175452">
        <w:rPr>
          <w:rFonts w:ascii="Times New Roman" w:hAnsi="Times New Roman" w:cs="Times New Roman"/>
          <w:sz w:val="24"/>
          <w:szCs w:val="24"/>
        </w:rPr>
        <w:t>iestādē apstiprināto inventarizācijas kārtību.</w:t>
      </w:r>
    </w:p>
    <w:p w14:paraId="2642E882" w14:textId="77777777" w:rsidR="00175452" w:rsidRDefault="00175452" w:rsidP="00CD363C">
      <w:pPr>
        <w:spacing w:after="0" w:line="240" w:lineRule="auto"/>
        <w:ind w:right="-142"/>
        <w:jc w:val="both"/>
        <w:rPr>
          <w:i/>
        </w:rPr>
      </w:pPr>
      <w:r w:rsidRPr="00175452">
        <w:rPr>
          <w:rFonts w:ascii="Times New Roman" w:hAnsi="Times New Roman" w:cs="Times New Roman"/>
          <w:sz w:val="24"/>
          <w:szCs w:val="24"/>
        </w:rPr>
        <w:t>462. Līdzdalības pārskata gada slēguma inventarizāciju veic, salīdzinot publiski pieejamo informāciju par kapitālsabiedrību</w:t>
      </w:r>
      <w:r w:rsidRPr="00175452">
        <w:rPr>
          <w:rFonts w:ascii="Times New Roman" w:hAnsi="Times New Roman" w:cs="Times New Roman"/>
          <w:spacing w:val="-13"/>
          <w:sz w:val="24"/>
          <w:szCs w:val="24"/>
        </w:rPr>
        <w:t xml:space="preserve"> </w:t>
      </w:r>
      <w:r w:rsidRPr="00175452">
        <w:rPr>
          <w:rFonts w:ascii="Times New Roman" w:hAnsi="Times New Roman" w:cs="Times New Roman"/>
          <w:sz w:val="24"/>
          <w:szCs w:val="24"/>
        </w:rPr>
        <w:t>un/vai</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citu</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informāciju</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par</w:t>
      </w:r>
      <w:r w:rsidRPr="00175452">
        <w:rPr>
          <w:rFonts w:ascii="Times New Roman" w:hAnsi="Times New Roman" w:cs="Times New Roman"/>
          <w:spacing w:val="-8"/>
          <w:sz w:val="24"/>
          <w:szCs w:val="24"/>
        </w:rPr>
        <w:t xml:space="preserve"> </w:t>
      </w:r>
      <w:r w:rsidRPr="00175452">
        <w:rPr>
          <w:rFonts w:ascii="Times New Roman" w:hAnsi="Times New Roman" w:cs="Times New Roman"/>
          <w:sz w:val="24"/>
          <w:szCs w:val="24"/>
        </w:rPr>
        <w:t>budžeta</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iestādes</w:t>
      </w:r>
      <w:r w:rsidRPr="00175452">
        <w:rPr>
          <w:rFonts w:ascii="Times New Roman" w:hAnsi="Times New Roman" w:cs="Times New Roman"/>
          <w:spacing w:val="-14"/>
          <w:sz w:val="24"/>
          <w:szCs w:val="24"/>
        </w:rPr>
        <w:t xml:space="preserve"> </w:t>
      </w:r>
      <w:r w:rsidRPr="00175452">
        <w:rPr>
          <w:rFonts w:ascii="Times New Roman" w:hAnsi="Times New Roman" w:cs="Times New Roman"/>
          <w:sz w:val="24"/>
          <w:szCs w:val="24"/>
        </w:rPr>
        <w:t>līdzdalību</w:t>
      </w:r>
      <w:r w:rsidRPr="00175452">
        <w:rPr>
          <w:rFonts w:ascii="Times New Roman" w:hAnsi="Times New Roman" w:cs="Times New Roman"/>
          <w:spacing w:val="-14"/>
          <w:sz w:val="24"/>
          <w:szCs w:val="24"/>
        </w:rPr>
        <w:t xml:space="preserve"> </w:t>
      </w:r>
      <w:r w:rsidRPr="00175452">
        <w:rPr>
          <w:rFonts w:ascii="Times New Roman" w:hAnsi="Times New Roman" w:cs="Times New Roman"/>
          <w:sz w:val="24"/>
          <w:szCs w:val="24"/>
        </w:rPr>
        <w:t>tās</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kapitālā</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ar</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datiem</w:t>
      </w:r>
      <w:r w:rsidRPr="00175452">
        <w:rPr>
          <w:rFonts w:ascii="Times New Roman" w:hAnsi="Times New Roman" w:cs="Times New Roman"/>
          <w:spacing w:val="-15"/>
          <w:sz w:val="24"/>
          <w:szCs w:val="24"/>
        </w:rPr>
        <w:t xml:space="preserve"> </w:t>
      </w:r>
      <w:r w:rsidRPr="00175452">
        <w:rPr>
          <w:rFonts w:ascii="Times New Roman" w:hAnsi="Times New Roman" w:cs="Times New Roman"/>
          <w:sz w:val="24"/>
          <w:szCs w:val="24"/>
        </w:rPr>
        <w:t>budžeta iestādes</w:t>
      </w:r>
      <w:r w:rsidRPr="00175452">
        <w:rPr>
          <w:rFonts w:ascii="Times New Roman" w:hAnsi="Times New Roman" w:cs="Times New Roman"/>
          <w:spacing w:val="33"/>
          <w:sz w:val="24"/>
          <w:szCs w:val="24"/>
        </w:rPr>
        <w:t xml:space="preserve"> </w:t>
      </w:r>
      <w:r w:rsidRPr="00175452">
        <w:rPr>
          <w:rFonts w:ascii="Times New Roman" w:hAnsi="Times New Roman" w:cs="Times New Roman"/>
          <w:sz w:val="24"/>
          <w:szCs w:val="24"/>
        </w:rPr>
        <w:t>grāmatvedības</w:t>
      </w:r>
      <w:r w:rsidRPr="00175452">
        <w:rPr>
          <w:rFonts w:ascii="Times New Roman" w:hAnsi="Times New Roman" w:cs="Times New Roman"/>
          <w:spacing w:val="34"/>
          <w:sz w:val="24"/>
          <w:szCs w:val="24"/>
        </w:rPr>
        <w:t xml:space="preserve"> </w:t>
      </w:r>
      <w:r w:rsidRPr="00175452">
        <w:rPr>
          <w:rFonts w:ascii="Times New Roman" w:hAnsi="Times New Roman" w:cs="Times New Roman"/>
          <w:sz w:val="24"/>
          <w:szCs w:val="24"/>
        </w:rPr>
        <w:t>uzskaitē</w:t>
      </w:r>
      <w:r w:rsidRPr="00175452">
        <w:rPr>
          <w:rFonts w:ascii="Times New Roman" w:hAnsi="Times New Roman" w:cs="Times New Roman"/>
          <w:spacing w:val="36"/>
          <w:sz w:val="24"/>
          <w:szCs w:val="24"/>
        </w:rPr>
        <w:t xml:space="preserve"> </w:t>
      </w:r>
      <w:r w:rsidRPr="00175452">
        <w:rPr>
          <w:rFonts w:ascii="Times New Roman" w:hAnsi="Times New Roman" w:cs="Times New Roman"/>
          <w:sz w:val="24"/>
          <w:szCs w:val="24"/>
        </w:rPr>
        <w:t>pārskata</w:t>
      </w:r>
      <w:r w:rsidRPr="00175452">
        <w:rPr>
          <w:rFonts w:ascii="Times New Roman" w:hAnsi="Times New Roman" w:cs="Times New Roman"/>
          <w:spacing w:val="34"/>
          <w:sz w:val="24"/>
          <w:szCs w:val="24"/>
        </w:rPr>
        <w:t xml:space="preserve"> </w:t>
      </w:r>
      <w:r w:rsidRPr="00175452">
        <w:rPr>
          <w:rFonts w:ascii="Times New Roman" w:hAnsi="Times New Roman" w:cs="Times New Roman"/>
          <w:sz w:val="24"/>
          <w:szCs w:val="24"/>
        </w:rPr>
        <w:t>gada</w:t>
      </w:r>
      <w:r w:rsidRPr="00175452">
        <w:rPr>
          <w:rFonts w:ascii="Times New Roman" w:hAnsi="Times New Roman" w:cs="Times New Roman"/>
          <w:spacing w:val="34"/>
          <w:sz w:val="24"/>
          <w:szCs w:val="24"/>
        </w:rPr>
        <w:t xml:space="preserve"> </w:t>
      </w:r>
      <w:r w:rsidRPr="00175452">
        <w:rPr>
          <w:rFonts w:ascii="Times New Roman" w:hAnsi="Times New Roman" w:cs="Times New Roman"/>
          <w:sz w:val="24"/>
          <w:szCs w:val="24"/>
        </w:rPr>
        <w:t>beigu</w:t>
      </w:r>
      <w:r w:rsidRPr="00175452">
        <w:rPr>
          <w:rFonts w:ascii="Times New Roman" w:hAnsi="Times New Roman" w:cs="Times New Roman"/>
          <w:spacing w:val="32"/>
          <w:sz w:val="24"/>
          <w:szCs w:val="24"/>
        </w:rPr>
        <w:t xml:space="preserve"> </w:t>
      </w:r>
      <w:r w:rsidRPr="00175452">
        <w:rPr>
          <w:rFonts w:ascii="Times New Roman" w:hAnsi="Times New Roman" w:cs="Times New Roman"/>
          <w:sz w:val="24"/>
          <w:szCs w:val="24"/>
        </w:rPr>
        <w:t>dienā</w:t>
      </w:r>
      <w:r w:rsidRPr="00175452">
        <w:rPr>
          <w:spacing w:val="34"/>
        </w:rPr>
        <w:t xml:space="preserve"> </w:t>
      </w:r>
      <w:r w:rsidRPr="00175452">
        <w:rPr>
          <w:i/>
        </w:rPr>
        <w:t>(piemēram,</w:t>
      </w:r>
      <w:r w:rsidRPr="00175452">
        <w:rPr>
          <w:i/>
          <w:spacing w:val="32"/>
        </w:rPr>
        <w:t xml:space="preserve"> </w:t>
      </w:r>
      <w:r w:rsidRPr="00175452">
        <w:rPr>
          <w:i/>
        </w:rPr>
        <w:t>salīdzina</w:t>
      </w:r>
      <w:r w:rsidRPr="00175452">
        <w:rPr>
          <w:i/>
          <w:spacing w:val="33"/>
        </w:rPr>
        <w:t xml:space="preserve"> </w:t>
      </w:r>
      <w:r w:rsidRPr="00175452">
        <w:rPr>
          <w:i/>
        </w:rPr>
        <w:t>budžeta</w:t>
      </w:r>
      <w:r w:rsidRPr="00175452">
        <w:rPr>
          <w:i/>
          <w:spacing w:val="33"/>
        </w:rPr>
        <w:t xml:space="preserve"> </w:t>
      </w:r>
      <w:r w:rsidRPr="00175452">
        <w:rPr>
          <w:i/>
        </w:rPr>
        <w:t>iestādei</w:t>
      </w:r>
      <w:r>
        <w:rPr>
          <w:i/>
        </w:rPr>
        <w:t xml:space="preserve"> piederošo līdzdalības daļu vai akciju skaitu ar datiem publiski pieejamos reģistros, pārbauda, vai pārskata</w:t>
      </w:r>
      <w:r>
        <w:rPr>
          <w:i/>
          <w:spacing w:val="-15"/>
        </w:rPr>
        <w:t xml:space="preserve"> </w:t>
      </w:r>
      <w:r>
        <w:rPr>
          <w:i/>
        </w:rPr>
        <w:t>gadā</w:t>
      </w:r>
      <w:r>
        <w:rPr>
          <w:i/>
          <w:spacing w:val="-14"/>
        </w:rPr>
        <w:t xml:space="preserve"> </w:t>
      </w:r>
      <w:r>
        <w:rPr>
          <w:i/>
        </w:rPr>
        <w:t>nav</w:t>
      </w:r>
      <w:r>
        <w:rPr>
          <w:i/>
          <w:spacing w:val="-15"/>
        </w:rPr>
        <w:t xml:space="preserve"> </w:t>
      </w:r>
      <w:r>
        <w:rPr>
          <w:i/>
        </w:rPr>
        <w:t>bijušas</w:t>
      </w:r>
      <w:r>
        <w:rPr>
          <w:i/>
          <w:spacing w:val="-16"/>
        </w:rPr>
        <w:t xml:space="preserve"> </w:t>
      </w:r>
      <w:r>
        <w:rPr>
          <w:i/>
        </w:rPr>
        <w:t>izmaiņas</w:t>
      </w:r>
      <w:r>
        <w:rPr>
          <w:i/>
          <w:spacing w:val="-16"/>
        </w:rPr>
        <w:t xml:space="preserve"> </w:t>
      </w:r>
      <w:r>
        <w:rPr>
          <w:i/>
        </w:rPr>
        <w:t>līgumos,</w:t>
      </w:r>
      <w:r>
        <w:rPr>
          <w:i/>
          <w:spacing w:val="-14"/>
        </w:rPr>
        <w:t xml:space="preserve"> </w:t>
      </w:r>
      <w:r>
        <w:rPr>
          <w:i/>
        </w:rPr>
        <w:t>kas</w:t>
      </w:r>
      <w:r>
        <w:rPr>
          <w:i/>
          <w:spacing w:val="-15"/>
        </w:rPr>
        <w:t xml:space="preserve"> </w:t>
      </w:r>
      <w:r>
        <w:rPr>
          <w:i/>
        </w:rPr>
        <w:t>varētu</w:t>
      </w:r>
      <w:r>
        <w:rPr>
          <w:i/>
          <w:spacing w:val="-14"/>
        </w:rPr>
        <w:t xml:space="preserve"> </w:t>
      </w:r>
      <w:r>
        <w:rPr>
          <w:i/>
        </w:rPr>
        <w:t>mainīt</w:t>
      </w:r>
      <w:r>
        <w:rPr>
          <w:i/>
          <w:spacing w:val="-14"/>
        </w:rPr>
        <w:t xml:space="preserve"> </w:t>
      </w:r>
      <w:r>
        <w:rPr>
          <w:i/>
        </w:rPr>
        <w:t>budžeta</w:t>
      </w:r>
      <w:r>
        <w:rPr>
          <w:i/>
          <w:spacing w:val="-17"/>
        </w:rPr>
        <w:t xml:space="preserve"> </w:t>
      </w:r>
      <w:r>
        <w:rPr>
          <w:i/>
        </w:rPr>
        <w:t>iestādei</w:t>
      </w:r>
      <w:r>
        <w:rPr>
          <w:i/>
          <w:spacing w:val="-13"/>
        </w:rPr>
        <w:t xml:space="preserve"> </w:t>
      </w:r>
      <w:r>
        <w:rPr>
          <w:i/>
        </w:rPr>
        <w:t>piederošo</w:t>
      </w:r>
      <w:r>
        <w:rPr>
          <w:i/>
          <w:spacing w:val="-14"/>
        </w:rPr>
        <w:t xml:space="preserve"> </w:t>
      </w:r>
      <w:r>
        <w:rPr>
          <w:i/>
        </w:rPr>
        <w:t>balsstiesību daļu un ietekmēt līdzdalības</w:t>
      </w:r>
      <w:r>
        <w:rPr>
          <w:i/>
          <w:spacing w:val="-6"/>
        </w:rPr>
        <w:t xml:space="preserve"> </w:t>
      </w:r>
      <w:r>
        <w:rPr>
          <w:i/>
        </w:rPr>
        <w:t>klasifikāciju).</w:t>
      </w:r>
    </w:p>
    <w:p w14:paraId="6FDE86F6"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463. Inventarizāciju veic budžeta iestādes vadītāja apstiprināta inventarizācijas komisija, un tās rezultātus apstiprina inventarizācijas komisijas locekļi, budžeta iestādes vadītājs un atbildīgās</w:t>
      </w:r>
      <w:r w:rsidRPr="00175452">
        <w:rPr>
          <w:rFonts w:ascii="Times New Roman" w:hAnsi="Times New Roman" w:cs="Times New Roman"/>
          <w:spacing w:val="-16"/>
          <w:sz w:val="24"/>
          <w:szCs w:val="24"/>
        </w:rPr>
        <w:t xml:space="preserve"> </w:t>
      </w:r>
      <w:r w:rsidRPr="00175452">
        <w:rPr>
          <w:rFonts w:ascii="Times New Roman" w:hAnsi="Times New Roman" w:cs="Times New Roman"/>
          <w:sz w:val="24"/>
          <w:szCs w:val="24"/>
        </w:rPr>
        <w:t>personas.</w:t>
      </w:r>
    </w:p>
    <w:p w14:paraId="46EC6D00"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464. Inventarizācijas komisijas personālsastāvu un inventarizācijas sākuma un beigu termiņus budžeta iestādes vadītājs nosaka ar rakstisku rīkojumu. Budžeta iestādes vadītājs šajā rīkojumā var ietvert arī inventarizācijas dokumentēšanas</w:t>
      </w:r>
      <w:r w:rsidRPr="00175452">
        <w:rPr>
          <w:rFonts w:ascii="Times New Roman" w:hAnsi="Times New Roman" w:cs="Times New Roman"/>
          <w:spacing w:val="-3"/>
          <w:sz w:val="24"/>
          <w:szCs w:val="24"/>
        </w:rPr>
        <w:t xml:space="preserve"> </w:t>
      </w:r>
      <w:r w:rsidRPr="00175452">
        <w:rPr>
          <w:rFonts w:ascii="Times New Roman" w:hAnsi="Times New Roman" w:cs="Times New Roman"/>
          <w:sz w:val="24"/>
          <w:szCs w:val="24"/>
        </w:rPr>
        <w:t>termiņus</w:t>
      </w:r>
      <w:r>
        <w:rPr>
          <w:rFonts w:ascii="Times New Roman" w:hAnsi="Times New Roman" w:cs="Times New Roman"/>
          <w:sz w:val="24"/>
          <w:szCs w:val="24"/>
        </w:rPr>
        <w:t>.</w:t>
      </w:r>
    </w:p>
    <w:p w14:paraId="771E668C"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465. Ja budžeta iestāde ir veikusi avansa maksājumu par ilgtermiņa finanšu ieguldījumiem, pārskata datumā budžeta iestāde pārbauda publiski pieejamo informāciju un/vai citu informāciju, lai noteiktu, vai budžeta iestādei būtu pamatojums uzskaitīt joprojām avansa maksājumu par iegādāto līdzdalību vai būtu jāatzīst līdzdalība asociētā vai radniecīgā kapitālsabiedrībā. Avansa maksājuma par ilgtermiņa</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finanšu</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ieguldījumu</w:t>
      </w:r>
      <w:r w:rsidRPr="00175452">
        <w:rPr>
          <w:rFonts w:ascii="Times New Roman" w:hAnsi="Times New Roman" w:cs="Times New Roman"/>
          <w:spacing w:val="-9"/>
          <w:sz w:val="24"/>
          <w:szCs w:val="24"/>
        </w:rPr>
        <w:t xml:space="preserve"> </w:t>
      </w:r>
      <w:r w:rsidRPr="00175452">
        <w:rPr>
          <w:rFonts w:ascii="Times New Roman" w:hAnsi="Times New Roman" w:cs="Times New Roman"/>
          <w:sz w:val="24"/>
          <w:szCs w:val="24"/>
        </w:rPr>
        <w:t>gadījumā</w:t>
      </w:r>
      <w:r w:rsidRPr="00175452">
        <w:rPr>
          <w:rFonts w:ascii="Times New Roman" w:hAnsi="Times New Roman" w:cs="Times New Roman"/>
          <w:spacing w:val="-10"/>
          <w:sz w:val="24"/>
          <w:szCs w:val="24"/>
        </w:rPr>
        <w:t xml:space="preserve"> </w:t>
      </w:r>
      <w:r w:rsidRPr="00175452">
        <w:rPr>
          <w:rFonts w:ascii="Times New Roman" w:hAnsi="Times New Roman" w:cs="Times New Roman"/>
          <w:sz w:val="24"/>
          <w:szCs w:val="24"/>
        </w:rPr>
        <w:t>pārskata</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datumā</w:t>
      </w:r>
      <w:r w:rsidRPr="00175452">
        <w:rPr>
          <w:rFonts w:ascii="Times New Roman" w:hAnsi="Times New Roman" w:cs="Times New Roman"/>
          <w:spacing w:val="-10"/>
          <w:sz w:val="24"/>
          <w:szCs w:val="24"/>
        </w:rPr>
        <w:t xml:space="preserve"> </w:t>
      </w:r>
      <w:r w:rsidRPr="00175452">
        <w:rPr>
          <w:rFonts w:ascii="Times New Roman" w:hAnsi="Times New Roman" w:cs="Times New Roman"/>
          <w:sz w:val="24"/>
          <w:szCs w:val="24"/>
        </w:rPr>
        <w:t>budžeta</w:t>
      </w:r>
      <w:r w:rsidRPr="00175452">
        <w:rPr>
          <w:rFonts w:ascii="Times New Roman" w:hAnsi="Times New Roman" w:cs="Times New Roman"/>
          <w:spacing w:val="-10"/>
          <w:sz w:val="24"/>
          <w:szCs w:val="24"/>
        </w:rPr>
        <w:t xml:space="preserve"> </w:t>
      </w:r>
      <w:r w:rsidRPr="00175452">
        <w:rPr>
          <w:rFonts w:ascii="Times New Roman" w:hAnsi="Times New Roman" w:cs="Times New Roman"/>
          <w:sz w:val="24"/>
          <w:szCs w:val="24"/>
        </w:rPr>
        <w:t>iestāde</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veic</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salīdzināšanos</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saskaņā ar</w:t>
      </w:r>
      <w:r w:rsidRPr="00175452">
        <w:rPr>
          <w:rFonts w:ascii="Times New Roman" w:hAnsi="Times New Roman" w:cs="Times New Roman"/>
          <w:spacing w:val="-5"/>
          <w:sz w:val="24"/>
          <w:szCs w:val="24"/>
        </w:rPr>
        <w:t xml:space="preserve"> </w:t>
      </w:r>
      <w:r>
        <w:rPr>
          <w:rFonts w:ascii="Times New Roman" w:hAnsi="Times New Roman" w:cs="Times New Roman"/>
          <w:sz w:val="24"/>
          <w:szCs w:val="24"/>
        </w:rPr>
        <w:t>Grāmatvedības uzskaites kārtības</w:t>
      </w:r>
      <w:r w:rsidRPr="00175452">
        <w:rPr>
          <w:rFonts w:ascii="Times New Roman" w:hAnsi="Times New Roman" w:cs="Times New Roman"/>
          <w:spacing w:val="-4"/>
          <w:sz w:val="24"/>
          <w:szCs w:val="24"/>
        </w:rPr>
        <w:t xml:space="preserve"> </w:t>
      </w:r>
      <w:r w:rsidRPr="00175452">
        <w:rPr>
          <w:rFonts w:ascii="Times New Roman" w:hAnsi="Times New Roman" w:cs="Times New Roman"/>
          <w:sz w:val="24"/>
          <w:szCs w:val="24"/>
        </w:rPr>
        <w:t>sadaļā</w:t>
      </w:r>
      <w:r w:rsidRPr="00175452">
        <w:rPr>
          <w:rFonts w:ascii="Times New Roman" w:hAnsi="Times New Roman" w:cs="Times New Roman"/>
          <w:color w:val="0462C1"/>
          <w:spacing w:val="-2"/>
          <w:sz w:val="24"/>
          <w:szCs w:val="24"/>
        </w:rPr>
        <w:t xml:space="preserve"> </w:t>
      </w:r>
      <w:r w:rsidRPr="00175452">
        <w:rPr>
          <w:rFonts w:ascii="Times New Roman" w:hAnsi="Times New Roman" w:cs="Times New Roman"/>
          <w:color w:val="0462C1"/>
          <w:sz w:val="24"/>
          <w:szCs w:val="24"/>
          <w:u w:val="single" w:color="0462C1"/>
        </w:rPr>
        <w:t>“</w:t>
      </w:r>
      <w:hyperlink w:anchor="_bookmark179" w:history="1">
        <w:r w:rsidRPr="00175452">
          <w:rPr>
            <w:rFonts w:ascii="Times New Roman" w:hAnsi="Times New Roman" w:cs="Times New Roman"/>
            <w:color w:val="0462C1"/>
            <w:sz w:val="24"/>
            <w:szCs w:val="24"/>
            <w:u w:val="single" w:color="0462C1"/>
          </w:rPr>
          <w:t>Prasību</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uzskaite,</w:t>
        </w:r>
        <w:r w:rsidRPr="00175452">
          <w:rPr>
            <w:rFonts w:ascii="Times New Roman" w:hAnsi="Times New Roman" w:cs="Times New Roman"/>
            <w:color w:val="0462C1"/>
            <w:spacing w:val="-7"/>
            <w:sz w:val="24"/>
            <w:szCs w:val="24"/>
            <w:u w:val="single" w:color="0462C1"/>
          </w:rPr>
          <w:t xml:space="preserve"> </w:t>
        </w:r>
        <w:r w:rsidRPr="00175452">
          <w:rPr>
            <w:rFonts w:ascii="Times New Roman" w:hAnsi="Times New Roman" w:cs="Times New Roman"/>
            <w:color w:val="0462C1"/>
            <w:sz w:val="24"/>
            <w:szCs w:val="24"/>
            <w:u w:val="single" w:color="0462C1"/>
          </w:rPr>
          <w:t>tai</w:t>
        </w:r>
        <w:r w:rsidRPr="00175452">
          <w:rPr>
            <w:rFonts w:ascii="Times New Roman" w:hAnsi="Times New Roman" w:cs="Times New Roman"/>
            <w:color w:val="0462C1"/>
            <w:spacing w:val="-6"/>
            <w:sz w:val="24"/>
            <w:szCs w:val="24"/>
            <w:u w:val="single" w:color="0462C1"/>
          </w:rPr>
          <w:t xml:space="preserve"> </w:t>
        </w:r>
        <w:r w:rsidRPr="00175452">
          <w:rPr>
            <w:rFonts w:ascii="Times New Roman" w:hAnsi="Times New Roman" w:cs="Times New Roman"/>
            <w:color w:val="0462C1"/>
            <w:sz w:val="24"/>
            <w:szCs w:val="24"/>
            <w:u w:val="single" w:color="0462C1"/>
          </w:rPr>
          <w:t>skaitā,</w:t>
        </w:r>
        <w:r w:rsidRPr="00175452">
          <w:rPr>
            <w:rFonts w:ascii="Times New Roman" w:hAnsi="Times New Roman" w:cs="Times New Roman"/>
            <w:color w:val="0462C1"/>
            <w:spacing w:val="-4"/>
            <w:sz w:val="24"/>
            <w:szCs w:val="24"/>
            <w:u w:val="single" w:color="0462C1"/>
          </w:rPr>
          <w:t xml:space="preserve"> </w:t>
        </w:r>
        <w:r w:rsidRPr="00175452">
          <w:rPr>
            <w:rFonts w:ascii="Times New Roman" w:hAnsi="Times New Roman" w:cs="Times New Roman"/>
            <w:color w:val="0462C1"/>
            <w:sz w:val="24"/>
            <w:szCs w:val="24"/>
            <w:u w:val="single" w:color="0462C1"/>
          </w:rPr>
          <w:t>nākamo</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periodu</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izdevumu</w:t>
        </w:r>
        <w:r w:rsidRPr="00175452">
          <w:rPr>
            <w:rFonts w:ascii="Times New Roman" w:hAnsi="Times New Roman" w:cs="Times New Roman"/>
            <w:color w:val="0462C1"/>
            <w:spacing w:val="-6"/>
            <w:sz w:val="24"/>
            <w:szCs w:val="24"/>
            <w:u w:val="single" w:color="0462C1"/>
          </w:rPr>
          <w:t xml:space="preserve"> </w:t>
        </w:r>
        <w:r w:rsidRPr="00175452">
          <w:rPr>
            <w:rFonts w:ascii="Times New Roman" w:hAnsi="Times New Roman" w:cs="Times New Roman"/>
            <w:color w:val="0462C1"/>
            <w:sz w:val="24"/>
            <w:szCs w:val="24"/>
            <w:u w:val="single" w:color="0462C1"/>
          </w:rPr>
          <w:t>un</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avansu</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uzskaite</w:t>
        </w:r>
      </w:hyperlink>
      <w:r w:rsidRPr="00175452">
        <w:rPr>
          <w:rFonts w:ascii="Times New Roman" w:hAnsi="Times New Roman" w:cs="Times New Roman"/>
          <w:color w:val="0462C1"/>
          <w:sz w:val="24"/>
          <w:szCs w:val="24"/>
          <w:u w:val="single" w:color="0462C1"/>
        </w:rPr>
        <w:t>”</w:t>
      </w:r>
      <w:r w:rsidRPr="00175452">
        <w:rPr>
          <w:rFonts w:ascii="Times New Roman" w:hAnsi="Times New Roman" w:cs="Times New Roman"/>
          <w:sz w:val="24"/>
          <w:szCs w:val="24"/>
        </w:rPr>
        <w:t xml:space="preserve"> noteiktajiem uzskaites</w:t>
      </w:r>
      <w:r w:rsidRPr="00175452">
        <w:rPr>
          <w:rFonts w:ascii="Times New Roman" w:hAnsi="Times New Roman" w:cs="Times New Roman"/>
          <w:spacing w:val="-5"/>
          <w:sz w:val="24"/>
          <w:szCs w:val="24"/>
        </w:rPr>
        <w:t xml:space="preserve"> </w:t>
      </w:r>
      <w:r w:rsidRPr="00175452">
        <w:rPr>
          <w:rFonts w:ascii="Times New Roman" w:hAnsi="Times New Roman" w:cs="Times New Roman"/>
          <w:sz w:val="24"/>
          <w:szCs w:val="24"/>
        </w:rPr>
        <w:t>principiem.</w:t>
      </w:r>
    </w:p>
    <w:p w14:paraId="645108FC"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p>
    <w:p w14:paraId="13D29CC4" w14:textId="77777777" w:rsidR="00195A06" w:rsidRDefault="00195A06" w:rsidP="00CD363C">
      <w:pPr>
        <w:spacing w:after="0" w:line="240" w:lineRule="auto"/>
        <w:ind w:right="-142"/>
        <w:jc w:val="both"/>
        <w:rPr>
          <w:rFonts w:ascii="Times New Roman" w:hAnsi="Times New Roman" w:cs="Times New Roman"/>
          <w:b/>
          <w:sz w:val="28"/>
          <w:szCs w:val="28"/>
        </w:rPr>
      </w:pPr>
    </w:p>
    <w:p w14:paraId="11D4D04A" w14:textId="77777777" w:rsidR="009368D8" w:rsidRDefault="009368D8" w:rsidP="00CD363C">
      <w:pPr>
        <w:spacing w:after="0" w:line="240" w:lineRule="auto"/>
        <w:ind w:right="-142"/>
        <w:jc w:val="center"/>
        <w:rPr>
          <w:rFonts w:ascii="Times New Roman" w:hAnsi="Times New Roman" w:cs="Times New Roman"/>
          <w:b/>
          <w:sz w:val="28"/>
          <w:szCs w:val="28"/>
        </w:rPr>
      </w:pPr>
      <w:r w:rsidRPr="009368D8">
        <w:rPr>
          <w:rFonts w:ascii="Times New Roman" w:hAnsi="Times New Roman" w:cs="Times New Roman"/>
          <w:b/>
          <w:sz w:val="28"/>
          <w:szCs w:val="28"/>
        </w:rPr>
        <w:t>14. Krājumu uzskaite</w:t>
      </w:r>
    </w:p>
    <w:p w14:paraId="2C476C7E" w14:textId="77777777" w:rsidR="009368D8" w:rsidRDefault="009368D8" w:rsidP="00CD363C">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14.1. Krājumu saņemšana un novērtēšana</w:t>
      </w:r>
    </w:p>
    <w:p w14:paraId="4B19EDCC" w14:textId="77777777" w:rsidR="00FB4919" w:rsidRPr="00FB4919" w:rsidRDefault="00175452" w:rsidP="00CD363C">
      <w:pPr>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466.</w:t>
      </w:r>
      <w:r w:rsidRPr="00105C86">
        <w:rPr>
          <w:rFonts w:ascii="Times New Roman" w:hAnsi="Times New Roman" w:cs="Times New Roman"/>
          <w:sz w:val="24"/>
          <w:szCs w:val="24"/>
        </w:rPr>
        <w:t xml:space="preserve"> Budžeta iestāde krājumos uzskaita īstermiņa aktīvus, kas paredzēti tās darbības nodrošināšanai, atsavināšanai un materiālu un izejvielu veidā atrodas vai tiks izlietoti saimnieciskās darbības procesā viena gada laikā no iegādes brīža vai atsevišķos gadījumos parastā darbības cikla laikā, ja tas ir garāks nekā viens gads. </w:t>
      </w:r>
      <w:r w:rsidR="00FB4919" w:rsidRPr="00FB4919">
        <w:rPr>
          <w:rFonts w:ascii="Times New Roman" w:hAnsi="Times New Roman" w:cs="Times New Roman"/>
          <w:sz w:val="24"/>
          <w:szCs w:val="24"/>
        </w:rPr>
        <w:t>Krājumu uzskaites galvenais uzdevums ir nodrošināt to saglabāšanu un kontrolēt pareizu lietošanu.</w:t>
      </w:r>
      <w:r w:rsidR="00FB4919">
        <w:rPr>
          <w:rFonts w:ascii="Times New Roman" w:hAnsi="Times New Roman" w:cs="Times New Roman"/>
          <w:sz w:val="24"/>
          <w:szCs w:val="24"/>
        </w:rPr>
        <w:t xml:space="preserve"> </w:t>
      </w:r>
      <w:r w:rsidR="00FB4919" w:rsidRPr="00FB4919">
        <w:rPr>
          <w:rFonts w:ascii="Times New Roman" w:hAnsi="Times New Roman" w:cs="Times New Roman"/>
          <w:sz w:val="24"/>
          <w:szCs w:val="24"/>
        </w:rPr>
        <w:t xml:space="preserve"> Krājumu uzskaite nodrošina informāciju:</w:t>
      </w:r>
    </w:p>
    <w:p w14:paraId="3CC484A6" w14:textId="77777777" w:rsidR="00FB4919" w:rsidRPr="00FB4919" w:rsidRDefault="00FB49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FB4919">
        <w:rPr>
          <w:rFonts w:ascii="Times New Roman" w:hAnsi="Times New Roman" w:cs="Times New Roman"/>
          <w:sz w:val="24"/>
          <w:szCs w:val="24"/>
        </w:rPr>
        <w:t xml:space="preserve"> par katra krājuma saņemšanu, izsniegšanu un izlietošanu vai pārdošanu;</w:t>
      </w:r>
    </w:p>
    <w:p w14:paraId="5A21B077" w14:textId="77777777" w:rsidR="00FB4919" w:rsidRPr="00FB4919" w:rsidRDefault="00FB49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FB4919">
        <w:rPr>
          <w:rFonts w:ascii="Times New Roman" w:hAnsi="Times New Roman" w:cs="Times New Roman"/>
          <w:sz w:val="24"/>
          <w:szCs w:val="24"/>
        </w:rPr>
        <w:t xml:space="preserve"> par to, kura darbinieka atbildīgā glabāšanā atrodas jebkura nosaukuma un jebkura daudzuma materiāli vai preču krājumi.</w:t>
      </w:r>
    </w:p>
    <w:p w14:paraId="597BAF1A" w14:textId="77777777" w:rsidR="00175452" w:rsidRPr="00105C86" w:rsidRDefault="00FB4919" w:rsidP="00CD363C">
      <w:pPr>
        <w:spacing w:after="0" w:line="240" w:lineRule="auto"/>
        <w:ind w:right="-142"/>
        <w:jc w:val="both"/>
        <w:rPr>
          <w:rFonts w:ascii="Times New Roman" w:hAnsi="Times New Roman" w:cs="Times New Roman"/>
          <w:sz w:val="24"/>
          <w:szCs w:val="24"/>
        </w:rPr>
      </w:pPr>
      <w:r w:rsidRPr="00FB4919">
        <w:rPr>
          <w:rFonts w:ascii="Times New Roman" w:hAnsi="Times New Roman" w:cs="Times New Roman"/>
          <w:sz w:val="24"/>
          <w:szCs w:val="24"/>
        </w:rPr>
        <w:t>Visu krājumu, materiālu uzskaiti iekārto pēc nomenklatūras nosaukumiem un pa atbildīgiem glabātājiem (noliktavu uzskaite). Noliktavu uzskaite nodrošina kontroli par materiālo vērtību, materiālu un gatavās produkcijas krājumu saglabāšanu un izlietošanu paredzētiem mērķiem. Katram materiālu vai preču nosaukumam atver analītisko kontu, kurā grāmato visu materiālu un preču kustību – saņemšanu un izlietošanu.</w:t>
      </w:r>
      <w:r w:rsidR="004D1F84">
        <w:rPr>
          <w:rFonts w:ascii="Times New Roman" w:hAnsi="Times New Roman" w:cs="Times New Roman"/>
          <w:sz w:val="24"/>
          <w:szCs w:val="24"/>
        </w:rPr>
        <w:t xml:space="preserve"> </w:t>
      </w:r>
      <w:r w:rsidR="004402F6">
        <w:rPr>
          <w:rFonts w:ascii="Times New Roman" w:hAnsi="Times New Roman" w:cs="Times New Roman"/>
          <w:sz w:val="24"/>
          <w:szCs w:val="24"/>
        </w:rPr>
        <w:t>Ar materiāli atbildīgo personu  jābūt noslēgtam līgumam par materiālo atbildību</w:t>
      </w:r>
      <w:r w:rsidR="004D1F84">
        <w:rPr>
          <w:rFonts w:ascii="Times New Roman" w:hAnsi="Times New Roman" w:cs="Times New Roman"/>
          <w:sz w:val="24"/>
          <w:szCs w:val="24"/>
        </w:rPr>
        <w:t xml:space="preserve"> </w:t>
      </w:r>
      <w:r w:rsidR="004402F6">
        <w:rPr>
          <w:rFonts w:ascii="Times New Roman" w:hAnsi="Times New Roman" w:cs="Times New Roman"/>
          <w:sz w:val="24"/>
          <w:szCs w:val="24"/>
        </w:rPr>
        <w:t>. Lai krājumi tiktu izmantoti noteiktam mērķim un lai nepastāv riska faktors, ka krājum</w:t>
      </w:r>
      <w:r w:rsidR="001B517D">
        <w:rPr>
          <w:rFonts w:ascii="Times New Roman" w:hAnsi="Times New Roman" w:cs="Times New Roman"/>
          <w:sz w:val="24"/>
          <w:szCs w:val="24"/>
        </w:rPr>
        <w:t>i</w:t>
      </w:r>
      <w:r w:rsidR="004402F6">
        <w:rPr>
          <w:rFonts w:ascii="Times New Roman" w:hAnsi="Times New Roman" w:cs="Times New Roman"/>
          <w:sz w:val="24"/>
          <w:szCs w:val="24"/>
        </w:rPr>
        <w:t xml:space="preserve"> netiks izmantot</w:t>
      </w:r>
      <w:r w:rsidR="00464CB1">
        <w:rPr>
          <w:rFonts w:ascii="Times New Roman" w:hAnsi="Times New Roman" w:cs="Times New Roman"/>
          <w:sz w:val="24"/>
          <w:szCs w:val="24"/>
        </w:rPr>
        <w:t>i</w:t>
      </w:r>
      <w:r w:rsidR="004402F6">
        <w:rPr>
          <w:rFonts w:ascii="Times New Roman" w:hAnsi="Times New Roman" w:cs="Times New Roman"/>
          <w:sz w:val="24"/>
          <w:szCs w:val="24"/>
        </w:rPr>
        <w:t xml:space="preserve"> mērķim vai piesavināt</w:t>
      </w:r>
      <w:r w:rsidR="001B517D">
        <w:rPr>
          <w:rFonts w:ascii="Times New Roman" w:hAnsi="Times New Roman" w:cs="Times New Roman"/>
          <w:sz w:val="24"/>
          <w:szCs w:val="24"/>
        </w:rPr>
        <w:t>i</w:t>
      </w:r>
      <w:r w:rsidR="004402F6">
        <w:rPr>
          <w:rFonts w:ascii="Times New Roman" w:hAnsi="Times New Roman" w:cs="Times New Roman"/>
          <w:sz w:val="24"/>
          <w:szCs w:val="24"/>
        </w:rPr>
        <w:t>, materiāli atbildīgā persona</w:t>
      </w:r>
      <w:r w:rsidR="001B517D">
        <w:rPr>
          <w:rFonts w:ascii="Times New Roman" w:hAnsi="Times New Roman" w:cs="Times New Roman"/>
          <w:sz w:val="24"/>
          <w:szCs w:val="24"/>
        </w:rPr>
        <w:t xml:space="preserve"> izsniedz noteiktai personai uz attiecīgā dokumenta  pamata ( piemēram produktus skolā, PII , veco ļaužu pansionāta u.c. iestādē par noliktavu atbildīgā persona izsniedz produktus no noliktavas uz ēdienkartes, vai akta pamata</w:t>
      </w:r>
      <w:r w:rsidR="00464CB1">
        <w:rPr>
          <w:rFonts w:ascii="Times New Roman" w:hAnsi="Times New Roman" w:cs="Times New Roman"/>
          <w:sz w:val="24"/>
          <w:szCs w:val="24"/>
        </w:rPr>
        <w:t xml:space="preserve"> ). Iestādēs kurās nav noliktavas krājumus iegādājas pēc vajadzības , neuzkrājot un noraksta.</w:t>
      </w:r>
    </w:p>
    <w:p w14:paraId="78F96B88" w14:textId="77777777" w:rsid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467</w:t>
      </w:r>
      <w:r w:rsidRPr="00105C86">
        <w:rPr>
          <w:rFonts w:ascii="Times New Roman" w:hAnsi="Times New Roman" w:cs="Times New Roman"/>
          <w:sz w:val="24"/>
          <w:szCs w:val="24"/>
        </w:rPr>
        <w:t>. Krājumi var būt materiāli un izejvielas, kas paredzēti budžeta iestādes darbības nodrošināšanai, un budžeta iestādes iegādātas vai saražotas preces, ko paredzēts izplatīt bez atlīdzības vai par simbolisku atlīdzību, piemēram, izglītojošas grāmatas, kas paredzētas dāvināšanai skolām. Daudzās budžeta iestādēs krājumi drīzāk attieksies uz pakalpojumu sniegšanu, nevis uz iepirktām un tālākai pārdošanai turētām precēm vai precēm, kas saražotas pārdošanai. Pakalpojuma sniedzēja krājumi ir izejmateriāli, palīgmateriāli un preces, kas izmantojamas pakalpojuma sniegšanai.</w:t>
      </w:r>
    </w:p>
    <w:p w14:paraId="139F409D"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9879D1">
        <w:rPr>
          <w:rFonts w:ascii="Times New Roman" w:hAnsi="Times New Roman" w:cs="Times New Roman"/>
          <w:sz w:val="24"/>
          <w:szCs w:val="24"/>
        </w:rPr>
        <w:t xml:space="preserve">. Budžeta iestādei krājumi var būt: </w:t>
      </w:r>
    </w:p>
    <w:p w14:paraId="5F7E726B"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.1.materiāli, kas paredzēti budžeta iestādes funkciju nodrošināšanai vai administratīvajām vajadzībām, piemēram, medikamenti,</w:t>
      </w:r>
      <w:r w:rsidR="00F368BE">
        <w:rPr>
          <w:rFonts w:ascii="Times New Roman" w:hAnsi="Times New Roman" w:cs="Times New Roman"/>
          <w:sz w:val="24"/>
          <w:szCs w:val="24"/>
        </w:rPr>
        <w:t xml:space="preserve"> produkti,</w:t>
      </w:r>
      <w:r w:rsidRPr="00175452">
        <w:rPr>
          <w:rFonts w:ascii="Times New Roman" w:hAnsi="Times New Roman" w:cs="Times New Roman"/>
          <w:sz w:val="24"/>
          <w:szCs w:val="24"/>
        </w:rPr>
        <w:t xml:space="preserve"> veļa, kancelejas, biroja preces, saimniecības materiāli; </w:t>
      </w:r>
    </w:p>
    <w:p w14:paraId="10F8533B"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.2.materiāli pamatlīdzekļu un citu ilgtermiņa ieguldījumu uzturēšanai un apkopei; </w:t>
      </w:r>
    </w:p>
    <w:p w14:paraId="219DC88A" w14:textId="77777777" w:rsidR="00175452" w:rsidRPr="00C2283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468.3.</w:t>
      </w:r>
      <w:r w:rsidRPr="00C22831">
        <w:rPr>
          <w:rFonts w:ascii="Times New Roman" w:hAnsi="Times New Roman" w:cs="Times New Roman"/>
          <w:sz w:val="24"/>
          <w:szCs w:val="24"/>
        </w:rPr>
        <w:t xml:space="preserve">energoresursi, piemēram, kurināmais un degviela; </w:t>
      </w:r>
    </w:p>
    <w:p w14:paraId="3D232243"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.4.stratēģiskās rezerves, kas paredzētas ārkārtas vai citām situācijām (piemēram, dabas katastrofu gadījumos vai citās civilās aizsardzības ārkārtas situācijās); </w:t>
      </w:r>
    </w:p>
    <w:p w14:paraId="07E62CCD"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.5.nepabeigtie pasūtījumi, tai skaitā mācību materiāli; </w:t>
      </w:r>
    </w:p>
    <w:p w14:paraId="24515A63"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.6.pārdošanai turēta zeme vai cits nekustamais īpašums; </w:t>
      </w:r>
    </w:p>
    <w:p w14:paraId="60055E5B"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.7.atsavināšanai paredzēti ilgtermiņa ieguldījumi; </w:t>
      </w:r>
    </w:p>
    <w:p w14:paraId="4901B375"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.8.iestādes darbības nodrošināšanai nepieciešamais inventārs un to priekšmeti, kuru kalpošanas laiks ir mazāks par vienu gadu, neatkarīgi no to vērtības, kā arī kuru vērtība nepārsniedz Ministru Kabineta noteikumos Nr. 1031 noteikto vērtību par vienu inventāra vienību</w:t>
      </w:r>
      <w:r w:rsidR="0013070E">
        <w:rPr>
          <w:rFonts w:ascii="Times New Roman" w:hAnsi="Times New Roman" w:cs="Times New Roman"/>
          <w:sz w:val="24"/>
          <w:szCs w:val="24"/>
        </w:rPr>
        <w:t xml:space="preserve"> (līdz 500 EUR)</w:t>
      </w:r>
      <w:r w:rsidRPr="00175452">
        <w:rPr>
          <w:rFonts w:ascii="Times New Roman" w:hAnsi="Times New Roman" w:cs="Times New Roman"/>
          <w:sz w:val="24"/>
          <w:szCs w:val="24"/>
        </w:rPr>
        <w:t xml:space="preserve">, ieskaitot ar pirkuma piegādi saistītos izdevumus, neatkarīgi no to kalpošanas ilguma, iegādes un norakstīšanas izdevumiem; </w:t>
      </w:r>
    </w:p>
    <w:p w14:paraId="614E66A5" w14:textId="77777777" w:rsidR="00175452" w:rsidRPr="00175452" w:rsidRDefault="00175452"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.9.speciālais militārais inventārs, kuru budžeta iestāde uzskaita un noraksta Ministru kabineta instrukcijā noteiktajā kārtībā.</w:t>
      </w:r>
    </w:p>
    <w:p w14:paraId="17C4AB4D"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469</w:t>
      </w:r>
      <w:r w:rsidRPr="009879D1">
        <w:rPr>
          <w:rFonts w:ascii="Times New Roman" w:hAnsi="Times New Roman" w:cs="Times New Roman"/>
          <w:sz w:val="24"/>
          <w:szCs w:val="24"/>
        </w:rPr>
        <w:t xml:space="preserve">. Ja vispārējā valdība uztur stratēģiskās rezerves, tādas kā energoresursu rezerves (piemēram, degviela), kas paredzētas ārkārtas vai citām situācijām (piemēram, dabas katastrofu gadījumos vai citās civilās aizsardzības ārkārtas situācijās), šādus krājumus jāuzrāda kā krājumus un attiecīgi jāuzskaita. </w:t>
      </w:r>
    </w:p>
    <w:p w14:paraId="6EEC56E7"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 Budžeta iestāde novērtē krājumus iegādes izmaksu vai ražošanas pašizmaksas vērtībā, izņemot gadījumus, ja: </w:t>
      </w:r>
    </w:p>
    <w:p w14:paraId="7BCEC304"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.1. budžeta iestāde saņem krājumus kā dāvinājumu – krājumus novērtē patiesajā vērtībā, atskaitot atsavināšanas izmaksas, dāvinājuma saņemšanas dienā; </w:t>
      </w:r>
    </w:p>
    <w:p w14:paraId="461C6E42"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.2. budžeta iestāde atzīst līdz šim neuzskaitītus krājumus, pamatojoties uz inventarizācijā konstatētu pārpalikumu – krājumus novērtē patiesajā vērtībā, atskaitot atsavināšanas izmaksas, inventarizācijas datumā; </w:t>
      </w:r>
    </w:p>
    <w:p w14:paraId="4BBEB2EB"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.3. budžeta iestāde atzīst maiņas ceļā saņemtus krājumus - krājumus novērtē patiesajā vērtībā, atskaitot atsavināšanas izmaksas, iegūšanas datumā; </w:t>
      </w:r>
    </w:p>
    <w:p w14:paraId="6DE2AC26"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.4. budžeta iestāde saņem krājumus vispārējās valdības sektora struktūru ietvaros – krājumus novērtē uzskaites vērtībā, kāda tā bijusi tās budžeta iestādes uzskaitē, kura nodod krājumus; </w:t>
      </w:r>
    </w:p>
    <w:p w14:paraId="2BF31249" w14:textId="77777777" w:rsid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.5. budžeta iestāde novērtē bioloģisko aktīvu produktus, kurus tā ieguvusi no saviem bioloģiskajiem aktīviem, to patiesajā vērtībā, atskaitot atsavināšanas izmaksas, krājumu iegūšanas dienā.</w:t>
      </w:r>
    </w:p>
    <w:p w14:paraId="525AA5DD" w14:textId="77777777" w:rsidR="003A2626" w:rsidRPr="003A2626" w:rsidRDefault="00175452" w:rsidP="003A2626">
      <w:pPr>
        <w:spacing w:line="240" w:lineRule="atLeast"/>
        <w:ind w:right="-142"/>
        <w:contextualSpacing/>
        <w:jc w:val="both"/>
        <w:rPr>
          <w:rFonts w:ascii="Times New Roman" w:hAnsi="Times New Roman" w:cs="Times New Roman"/>
          <w:sz w:val="24"/>
          <w:szCs w:val="24"/>
        </w:rPr>
      </w:pPr>
      <w:r>
        <w:rPr>
          <w:rFonts w:ascii="Times New Roman" w:hAnsi="Times New Roman" w:cs="Times New Roman"/>
          <w:sz w:val="24"/>
          <w:szCs w:val="24"/>
        </w:rPr>
        <w:t>471</w:t>
      </w:r>
      <w:r w:rsidRPr="00E867F4">
        <w:rPr>
          <w:rFonts w:ascii="Times New Roman" w:hAnsi="Times New Roman" w:cs="Times New Roman"/>
          <w:sz w:val="24"/>
          <w:szCs w:val="24"/>
        </w:rPr>
        <w:t xml:space="preserve">. </w:t>
      </w:r>
      <w:r w:rsidR="003A2626" w:rsidRPr="003A2626">
        <w:rPr>
          <w:rFonts w:ascii="Times New Roman" w:hAnsi="Times New Roman" w:cs="Times New Roman"/>
          <w:sz w:val="24"/>
          <w:szCs w:val="24"/>
        </w:rPr>
        <w:t>Saņemot krājumus, pamatojoties uz preču pavadzīmi – rēķinu (vai citu krājumu iegādi pamatojošu dokumentu), budžeta iestāde palielina attiecīgo krājumu kontu un saistību kontu par dokumentā norādīto summu. Grāmatvedības uzskaites programmā, atbilstoši saņemtajai informācijai, apvieno krājumus, materiālus, energopreces, preces un biroja preces pa preču grupām, norādot preču kopējo skaitu un kopējo vērtību, atbilstoši:</w:t>
      </w:r>
    </w:p>
    <w:p w14:paraId="7A99EFF0"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 xml:space="preserve">kancelejas preces (papīrs, rakstāmpiederumi, līme, kārtridži, toneri un citas kancelejas preces); </w:t>
      </w:r>
    </w:p>
    <w:p w14:paraId="7E96D686"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pārtikas preces (pasākumiem);</w:t>
      </w:r>
    </w:p>
    <w:p w14:paraId="7BB0DB1F"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medicīnas preces (medikamenti, medicīnas instrumenti vienreizēji lietojamie, saites un citas medicīnas preces);</w:t>
      </w:r>
    </w:p>
    <w:p w14:paraId="4AD32B9F"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telpu uzturēšanas materiāli (tīrīšanas līdzekļi, birstes, vaski, gumijas cimdi un citi materiāli);</w:t>
      </w:r>
    </w:p>
    <w:p w14:paraId="223D5A3D"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būvmateriāli un telpu remonta materiāli (ķieģeļi, stikls, tapetes, līme, krāsas un citi materiāli);</w:t>
      </w:r>
    </w:p>
    <w:p w14:paraId="26BBAA15"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remonta materiāli biroja tehniskai (dažādas detaļas datoriem, printeriem, kopētājiem, un citai biroja tehnikai);</w:t>
      </w:r>
    </w:p>
    <w:p w14:paraId="0878ABE4"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pārējie ikdienas vajadzībām lietojamie materiāli (tualetes papīrs, ziepes, papīra dvieļi, gaisa atsvaidzinātājs un citas higiēnas preces);</w:t>
      </w:r>
    </w:p>
    <w:p w14:paraId="18670F84"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rezerves daļas tehnikai;</w:t>
      </w:r>
    </w:p>
    <w:p w14:paraId="44CAEB95"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eļļas un smērvielas;</w:t>
      </w:r>
    </w:p>
    <w:p w14:paraId="37BC888C"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autotransporta uzturēšanas līdzekļi;</w:t>
      </w:r>
    </w:p>
    <w:p w14:paraId="56CF3F65" w14:textId="77777777" w:rsidR="003A2626" w:rsidRPr="003A2626" w:rsidRDefault="003A2626" w:rsidP="003A2626">
      <w:pPr>
        <w:pStyle w:val="Sarakstarindkopa"/>
        <w:numPr>
          <w:ilvl w:val="0"/>
          <w:numId w:val="88"/>
        </w:numPr>
        <w:rPr>
          <w:rFonts w:ascii="Times New Roman" w:hAnsi="Times New Roman" w:cs="Times New Roman"/>
          <w:sz w:val="24"/>
          <w:szCs w:val="24"/>
        </w:rPr>
      </w:pPr>
      <w:r w:rsidRPr="003A2626">
        <w:rPr>
          <w:rFonts w:ascii="Times New Roman" w:hAnsi="Times New Roman" w:cs="Times New Roman"/>
          <w:sz w:val="24"/>
          <w:szCs w:val="24"/>
        </w:rPr>
        <w:t>mācību materiāli (rotaļlietas, darba burtnīcas, brošūras un citi mācību materiāli</w:t>
      </w:r>
    </w:p>
    <w:p w14:paraId="67BFEC0B" w14:textId="77777777" w:rsidR="003A2626" w:rsidRPr="0099105E" w:rsidRDefault="003A2626" w:rsidP="003A2626">
      <w:pPr>
        <w:spacing w:line="240" w:lineRule="atLeast"/>
        <w:ind w:left="1020" w:right="-142"/>
        <w:contextualSpacing/>
        <w:jc w:val="both"/>
      </w:pPr>
      <w:r w:rsidRPr="003A2626">
        <w:rPr>
          <w:rFonts w:ascii="Times New Roman" w:hAnsi="Times New Roman" w:cs="Times New Roman"/>
          <w:sz w:val="24"/>
          <w:szCs w:val="24"/>
        </w:rPr>
        <w:t xml:space="preserve"> Veicot sekojošu grāmatojumu:</w:t>
      </w:r>
      <w:r w:rsidRPr="0099105E">
        <w:t xml:space="preserve"> </w:t>
      </w:r>
    </w:p>
    <w:p w14:paraId="48CF407B" w14:textId="77777777" w:rsidR="003A2626" w:rsidRPr="003A2626" w:rsidRDefault="003A2626" w:rsidP="003A2626">
      <w:pPr>
        <w:pStyle w:val="Sarakstarindkopa"/>
        <w:ind w:left="1020" w:right="-142"/>
        <w:jc w:val="both"/>
        <w:rPr>
          <w:rFonts w:ascii="Times New Roman" w:hAnsi="Times New Roman" w:cs="Times New Roman"/>
          <w:b/>
          <w:sz w:val="24"/>
          <w:szCs w:val="24"/>
        </w:rPr>
      </w:pPr>
      <w:r w:rsidRPr="0099105E">
        <w:rPr>
          <w:b/>
        </w:rPr>
        <w:t xml:space="preserve">    </w:t>
      </w:r>
      <w:r w:rsidRPr="003A2626">
        <w:rPr>
          <w:rFonts w:ascii="Times New Roman" w:hAnsi="Times New Roman" w:cs="Times New Roman"/>
          <w:b/>
          <w:sz w:val="24"/>
          <w:szCs w:val="24"/>
        </w:rPr>
        <w:t xml:space="preserve">D 2100 Krājumi </w:t>
      </w:r>
    </w:p>
    <w:p w14:paraId="51E98A65" w14:textId="77777777" w:rsidR="003A2626" w:rsidRPr="003A2626" w:rsidRDefault="003A2626" w:rsidP="003A2626">
      <w:pPr>
        <w:pStyle w:val="Sarakstarindkopa"/>
        <w:ind w:left="1020" w:right="-142"/>
        <w:jc w:val="both"/>
        <w:rPr>
          <w:rFonts w:ascii="Times New Roman" w:hAnsi="Times New Roman" w:cs="Times New Roman"/>
          <w:b/>
          <w:sz w:val="24"/>
          <w:szCs w:val="24"/>
        </w:rPr>
      </w:pPr>
      <w:r w:rsidRPr="003A2626">
        <w:rPr>
          <w:rFonts w:ascii="Times New Roman" w:hAnsi="Times New Roman" w:cs="Times New Roman"/>
          <w:b/>
          <w:sz w:val="24"/>
          <w:szCs w:val="24"/>
        </w:rPr>
        <w:t xml:space="preserve">    D* 5723  Pievienotās vērtības nodoklis </w:t>
      </w:r>
    </w:p>
    <w:p w14:paraId="076F2B1F" w14:textId="77777777" w:rsidR="003A2626" w:rsidRPr="003A2626" w:rsidRDefault="003A2626" w:rsidP="003A2626">
      <w:pPr>
        <w:pStyle w:val="Sarakstarindkopa"/>
        <w:ind w:left="1020" w:right="-142"/>
        <w:jc w:val="both"/>
        <w:rPr>
          <w:rFonts w:ascii="Times New Roman" w:hAnsi="Times New Roman" w:cs="Times New Roman"/>
          <w:b/>
          <w:sz w:val="24"/>
          <w:szCs w:val="24"/>
        </w:rPr>
      </w:pPr>
      <w:r w:rsidRPr="003A2626">
        <w:rPr>
          <w:rFonts w:ascii="Times New Roman" w:hAnsi="Times New Roman" w:cs="Times New Roman"/>
          <w:b/>
          <w:sz w:val="24"/>
          <w:szCs w:val="24"/>
        </w:rPr>
        <w:t xml:space="preserve">    K 5310 Īstermiņa saistības pret piegādātājiem un darbuzņēmējiem </w:t>
      </w:r>
    </w:p>
    <w:p w14:paraId="5B066EE0" w14:textId="77777777" w:rsidR="003A2626" w:rsidRDefault="003A2626" w:rsidP="003A2626">
      <w:pPr>
        <w:spacing w:after="0" w:line="240" w:lineRule="auto"/>
        <w:ind w:right="-142"/>
        <w:jc w:val="both"/>
        <w:rPr>
          <w:rFonts w:ascii="Times New Roman" w:hAnsi="Times New Roman" w:cs="Times New Roman"/>
          <w:sz w:val="24"/>
          <w:szCs w:val="24"/>
        </w:rPr>
      </w:pPr>
      <w:r w:rsidRPr="003A2626">
        <w:rPr>
          <w:rFonts w:ascii="Times New Roman" w:hAnsi="Times New Roman" w:cs="Times New Roman"/>
          <w:sz w:val="24"/>
          <w:szCs w:val="24"/>
        </w:rPr>
        <w:t xml:space="preserve">    * gadījumā, ja budžeta iestāde ir PVN maksātāja.</w:t>
      </w:r>
    </w:p>
    <w:p w14:paraId="6F66B032" w14:textId="715EC05C" w:rsidR="00175452" w:rsidRPr="00E867F4" w:rsidRDefault="00175452" w:rsidP="003A2626">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472</w:t>
      </w:r>
      <w:r w:rsidRPr="00E867F4">
        <w:rPr>
          <w:rFonts w:ascii="Times New Roman" w:hAnsi="Times New Roman" w:cs="Times New Roman"/>
          <w:sz w:val="24"/>
          <w:szCs w:val="24"/>
        </w:rPr>
        <w:t xml:space="preserve">. Gadījumā, ja budžeta iestāde saņēmusi krājumus un veikusi to apmaksu, taču pēc saņemšanas konstatējusi, ka piegādātie krājumi neatbilst iepirkuma līguma kvalitātes prasībām, kas dod tai tiesības krājumus atgriezt un samaksu saņemt atpakaļ. Atgriežot krājumus un par tiem izrakstot rēķinu-pavadzīmi, tā veic sekojošu grāmatojumu: </w:t>
      </w:r>
    </w:p>
    <w:p w14:paraId="5182642D" w14:textId="77777777" w:rsidR="00175452" w:rsidRPr="00175452" w:rsidRDefault="00175452"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175452">
        <w:rPr>
          <w:rFonts w:ascii="Times New Roman" w:hAnsi="Times New Roman" w:cs="Times New Roman"/>
          <w:b/>
          <w:sz w:val="24"/>
          <w:szCs w:val="24"/>
        </w:rPr>
        <w:t xml:space="preserve">D 7000 Pamatdarbības izdevumi </w:t>
      </w:r>
    </w:p>
    <w:p w14:paraId="1249EF7D"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2100 Krājumi  </w:t>
      </w:r>
    </w:p>
    <w:p w14:paraId="3975396B"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2300 Īstermiņa prasības* vai </w:t>
      </w:r>
    </w:p>
    <w:p w14:paraId="6128A1C0"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2100 Krājumi </w:t>
      </w:r>
    </w:p>
    <w:p w14:paraId="6ED22175"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7000 Pamatdarbības izdevumi </w:t>
      </w:r>
    </w:p>
    <w:p w14:paraId="0E5A7620"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*gadījumā, ja tiek atzītas prasības</w:t>
      </w:r>
    </w:p>
    <w:p w14:paraId="3F725D67"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473</w:t>
      </w:r>
      <w:r w:rsidRPr="00E867F4">
        <w:rPr>
          <w:rFonts w:ascii="Times New Roman" w:hAnsi="Times New Roman" w:cs="Times New Roman"/>
          <w:sz w:val="24"/>
          <w:szCs w:val="24"/>
        </w:rPr>
        <w:t xml:space="preserve">. Saņemot avansa maksājuma rēķinu par krājumu iegādi, budžeta iestāde grāmatojumus neveic, bet rēķinu reģistrē budžeta iestādes uzskaites sistēmā. Avansa maksājuma dokumenta apmaksas dienā, pamatojoties uz maksājuma uzdevumu, budžeta iestāde atzīst konta “Avansa maksājumi par krājumiem” palielinājumu un tā naudas līdzekļu konta samazinājumu, no kura veic maksājumu, veicot sekojošu grāmatojumu: </w:t>
      </w:r>
    </w:p>
    <w:p w14:paraId="2175FF9A"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2181 Avansa maksājumi par krājumiem </w:t>
      </w:r>
    </w:p>
    <w:p w14:paraId="46DB7FDA"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5723 Pievienotās vērtības nodoklis </w:t>
      </w:r>
    </w:p>
    <w:p w14:paraId="6DC49DEB"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2600 Naudas līdzekļi </w:t>
      </w:r>
    </w:p>
    <w:p w14:paraId="2AEB2467"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xml:space="preserve">* gadījumā, ja budžeta iestāde ir PVN maksātāja </w:t>
      </w:r>
    </w:p>
    <w:p w14:paraId="19E049C7" w14:textId="77777777" w:rsidR="00175452" w:rsidRPr="00E867F4" w:rsidRDefault="00175452" w:rsidP="00CD363C">
      <w:pPr>
        <w:spacing w:after="0" w:line="240" w:lineRule="auto"/>
        <w:ind w:right="-142"/>
        <w:jc w:val="both"/>
        <w:rPr>
          <w:rFonts w:ascii="Times New Roman" w:hAnsi="Times New Roman" w:cs="Times New Roman"/>
          <w:sz w:val="24"/>
          <w:szCs w:val="24"/>
        </w:rPr>
      </w:pPr>
      <w:r w:rsidRPr="00E867F4">
        <w:rPr>
          <w:rFonts w:ascii="Times New Roman" w:hAnsi="Times New Roman" w:cs="Times New Roman"/>
          <w:sz w:val="24"/>
          <w:szCs w:val="24"/>
        </w:rPr>
        <w:t xml:space="preserve">Ja saņemtais avansa maksājuma attaisnojuma dokuments uz pārskata gada beigām nav apmaksāts, to uzskaita zembilancē kodā 9540 “Saņemtie, bet neapmaksātie avansa attaisnojuma dokumenti”. </w:t>
      </w:r>
    </w:p>
    <w:p w14:paraId="4C7B2046"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474</w:t>
      </w:r>
      <w:r w:rsidRPr="00E867F4">
        <w:rPr>
          <w:rFonts w:ascii="Times New Roman" w:hAnsi="Times New Roman" w:cs="Times New Roman"/>
          <w:sz w:val="24"/>
          <w:szCs w:val="24"/>
        </w:rPr>
        <w:t xml:space="preserve">. Saņemot preču pavadzīmi – rēķinu par krājumiem, par kuru iepriekš veikts avansa maksājums, budžeta iestāde to reģistrē uzskaites sistēmā un veic grāmatojumu, palielinot attiecīgo krājumu kontu un saistību kontu: </w:t>
      </w:r>
    </w:p>
    <w:p w14:paraId="2A91F420"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2100 Krājumi </w:t>
      </w:r>
    </w:p>
    <w:p w14:paraId="3C4F292C"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5723 Pievienotās vērtības nodoklis </w:t>
      </w:r>
    </w:p>
    <w:p w14:paraId="43EB43A4"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5310 Īstermiņa saistības pret piegādātājiem un darbuzņēmējiem </w:t>
      </w:r>
    </w:p>
    <w:p w14:paraId="338ECF6F"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xml:space="preserve">* gadījumā, ja budžeta iestāde ir PVN maksātāja </w:t>
      </w:r>
    </w:p>
    <w:p w14:paraId="08B89B89" w14:textId="77777777" w:rsidR="00175452" w:rsidRPr="00E867F4" w:rsidRDefault="00175452" w:rsidP="00CD363C">
      <w:pPr>
        <w:spacing w:after="0" w:line="240" w:lineRule="auto"/>
        <w:ind w:right="-142"/>
        <w:jc w:val="both"/>
        <w:rPr>
          <w:rFonts w:ascii="Times New Roman" w:hAnsi="Times New Roman" w:cs="Times New Roman"/>
          <w:sz w:val="24"/>
          <w:szCs w:val="24"/>
        </w:rPr>
      </w:pPr>
      <w:r w:rsidRPr="00E867F4">
        <w:rPr>
          <w:rFonts w:ascii="Times New Roman" w:hAnsi="Times New Roman" w:cs="Times New Roman"/>
          <w:sz w:val="24"/>
          <w:szCs w:val="24"/>
        </w:rPr>
        <w:t xml:space="preserve">Vienlaicīgi budžeta iestāde atzīst konta “Avansa maksājumi par krājumiem” un saistību samazinājumu iepriekš veiktā avansa maksājuma vērtībā, veicot sekojošu grāmatojumu: </w:t>
      </w:r>
    </w:p>
    <w:p w14:paraId="2D3391D1"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5310 Īstermiņa saistības pret piegādātājiem un darbuzņēmējiem </w:t>
      </w:r>
    </w:p>
    <w:p w14:paraId="2E6DB77F"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2181 Avansa maksājumi par krājumiem </w:t>
      </w:r>
    </w:p>
    <w:p w14:paraId="4225624C"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5723 Pievienotās vērtības nodoklis </w:t>
      </w:r>
    </w:p>
    <w:p w14:paraId="2F38CB50"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gadījumā, ja budžeta iestāde ir PVN maksātāja</w:t>
      </w:r>
    </w:p>
    <w:p w14:paraId="30DC7D67"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475</w:t>
      </w:r>
      <w:r w:rsidRPr="00E867F4">
        <w:rPr>
          <w:rFonts w:ascii="Times New Roman" w:hAnsi="Times New Roman" w:cs="Times New Roman"/>
          <w:sz w:val="24"/>
          <w:szCs w:val="24"/>
        </w:rPr>
        <w:t>. Ja budžeta iestāde iegādājas krājumus ar mērķi nodot tos tālākai lietošanai kādai citai budžeta iestādei (piemēram, ministrija iegādājas krājumus, kurus paredzēts nodot tālākai lietošanai ministrijas padotības iestādēm), budžeta iestāde atzīst attiecīgos krājumus un saistības atbilstoši darījumu pamatojošajos dokumentos uzrādītajai vērtībai un veic sekojošu grāmatojumu:</w:t>
      </w:r>
    </w:p>
    <w:p w14:paraId="15C39AE2"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2100 Krājumi </w:t>
      </w:r>
    </w:p>
    <w:p w14:paraId="0C198800"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5723 Pievienotās vērtības nodoklis </w:t>
      </w:r>
    </w:p>
    <w:p w14:paraId="4A832ECF"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5310 Īstermiņa saistības pret piegādātājiem un darbuzņēmējiem </w:t>
      </w:r>
    </w:p>
    <w:p w14:paraId="25A787A1"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xml:space="preserve">* gadījumā, ja budžeta iestāde ir PVN maksātāja </w:t>
      </w:r>
    </w:p>
    <w:p w14:paraId="270AE975"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476</w:t>
      </w:r>
      <w:r w:rsidR="00175452" w:rsidRPr="00E867F4">
        <w:rPr>
          <w:rFonts w:ascii="Times New Roman" w:hAnsi="Times New Roman" w:cs="Times New Roman"/>
          <w:sz w:val="24"/>
          <w:szCs w:val="24"/>
        </w:rPr>
        <w:t>. Ja budžeta iestāde krājumus saņem bez atlīdzības no citas budžeta iestādes, budžeta iestāde krājumu iegūšanas datumā atzīst to sākotnējo vērtību tādā apmērā, kādā tie uzskaitīti tajā budžeta iestādē, kas nodeva aktīvu. Ja nepieciešams, budžeta iestāde pārklasificē krājumus atbilstoši budžeta iestādes grāmatvedības uzskaites kārtībā noteiktajām prasībām. Vienlaikus budžeta iestāde atzīst ieņēmumus no bez atlīdzības saņemtām vērtībām veicot sekojošu grāmatojumu:</w:t>
      </w:r>
    </w:p>
    <w:p w14:paraId="68AAE94B" w14:textId="77777777" w:rsidR="00175452" w:rsidRPr="00863E11" w:rsidRDefault="00A40E3F" w:rsidP="00CD363C">
      <w:pPr>
        <w:spacing w:after="0" w:line="240" w:lineRule="auto"/>
        <w:ind w:right="-142"/>
        <w:jc w:val="both"/>
        <w:rPr>
          <w:rFonts w:ascii="Times New Roman" w:hAnsi="Times New Roman" w:cs="Times New Roman"/>
          <w:b/>
          <w:bCs/>
          <w:sz w:val="24"/>
          <w:szCs w:val="24"/>
        </w:rPr>
      </w:pPr>
      <w:r>
        <w:rPr>
          <w:rFonts w:ascii="Times New Roman" w:hAnsi="Times New Roman" w:cs="Times New Roman"/>
          <w:sz w:val="24"/>
          <w:szCs w:val="24"/>
        </w:rPr>
        <w:t xml:space="preserve">    </w:t>
      </w:r>
      <w:r w:rsidR="00175452" w:rsidRPr="00863E11">
        <w:rPr>
          <w:rFonts w:ascii="Times New Roman" w:hAnsi="Times New Roman" w:cs="Times New Roman"/>
          <w:b/>
          <w:bCs/>
          <w:sz w:val="24"/>
          <w:szCs w:val="24"/>
        </w:rPr>
        <w:t xml:space="preserve">D 2100 Krājumi </w:t>
      </w:r>
    </w:p>
    <w:p w14:paraId="7FC4E07F" w14:textId="77777777" w:rsidR="00175452" w:rsidRPr="00863E11" w:rsidRDefault="00A40E3F" w:rsidP="00CD363C">
      <w:pPr>
        <w:spacing w:after="0" w:line="240" w:lineRule="auto"/>
        <w:ind w:right="-142"/>
        <w:jc w:val="both"/>
        <w:rPr>
          <w:rFonts w:ascii="Times New Roman" w:hAnsi="Times New Roman" w:cs="Times New Roman"/>
          <w:b/>
          <w:bCs/>
          <w:sz w:val="24"/>
          <w:szCs w:val="24"/>
        </w:rPr>
      </w:pPr>
      <w:r w:rsidRPr="00863E11">
        <w:rPr>
          <w:rFonts w:ascii="Times New Roman" w:hAnsi="Times New Roman" w:cs="Times New Roman"/>
          <w:b/>
          <w:bCs/>
          <w:sz w:val="24"/>
          <w:szCs w:val="24"/>
        </w:rPr>
        <w:t xml:space="preserve">    </w:t>
      </w:r>
      <w:r w:rsidR="00175452" w:rsidRPr="00863E11">
        <w:rPr>
          <w:rFonts w:ascii="Times New Roman" w:hAnsi="Times New Roman" w:cs="Times New Roman"/>
          <w:b/>
          <w:bCs/>
          <w:sz w:val="24"/>
          <w:szCs w:val="24"/>
        </w:rPr>
        <w:t>K 8410 Ieņēmumi no saņemtām un nodotām vērtībām bez atlīdzības</w:t>
      </w:r>
    </w:p>
    <w:p w14:paraId="3EE56AD0"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477</w:t>
      </w:r>
      <w:r w:rsidR="00175452" w:rsidRPr="00E867F4">
        <w:rPr>
          <w:rFonts w:ascii="Times New Roman" w:hAnsi="Times New Roman" w:cs="Times New Roman"/>
          <w:sz w:val="24"/>
          <w:szCs w:val="24"/>
        </w:rPr>
        <w:t xml:space="preserve">. Ja budžeta iestāde saņem bez atlīdzības krājumus no citas budžeta iestādes, kas krājumu vērtību iepriekš atzinusi izdevumos, tad budžeta iestāde nodrošina krājumu uzskaiti daudzuma vienībās līdz faktiskai to norakstīšanai. </w:t>
      </w:r>
    </w:p>
    <w:p w14:paraId="023F7F03"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478</w:t>
      </w:r>
      <w:r w:rsidR="00175452" w:rsidRPr="00E867F4">
        <w:rPr>
          <w:rFonts w:ascii="Times New Roman" w:hAnsi="Times New Roman" w:cs="Times New Roman"/>
          <w:sz w:val="24"/>
          <w:szCs w:val="24"/>
        </w:rPr>
        <w:t xml:space="preserve">. Ja budžeta iestāde ir saņēmusi krājumus kā dāvinājumu, piemēram, mācību grāmatu ziedojums no starptautiskas organizācijas, krājumu izmaksas ir šo krājumu patiesā vērtība ziedojuma iegūšanas dienā. Patieso vērtību nosaka, pamatojoties uz ar dāvinājuma un ziedojuma saņemšanu saistītiem dokumentiem vai veicot saņemto krājumu novērtējumu. Aktīva novērtējumu veic budžeta iestādes vadītāja izveidota komisija, ja nepieciešams, pieaicinot attiecīgās jomas speciālistus, vai iestādes atbildīgais attiecīgās jomas speciālists un sagatavo ziedojuma/dāvinājuma novērtēšanas. Daudziem aktīviem patieso vērtību var noteikt, pamatojoties uz tirgus cenām. Budžeta iestāde atzīst attiecīgos krājumus un ieņēmumus vai nākamo periodu ieņēmumus no saņemtā dāvinājuma atbilstoši novērtēšanas aktā apstiprinātajai vērtībai un veic sekojošu grāmatojumu: </w:t>
      </w:r>
    </w:p>
    <w:p w14:paraId="58F85A93" w14:textId="77777777" w:rsidR="00175452"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w:t>
      </w:r>
      <w:r w:rsidR="00175452" w:rsidRPr="00A40E3F">
        <w:rPr>
          <w:rFonts w:ascii="Times New Roman" w:hAnsi="Times New Roman" w:cs="Times New Roman"/>
          <w:b/>
          <w:sz w:val="24"/>
          <w:szCs w:val="24"/>
        </w:rPr>
        <w:t xml:space="preserve">D 2100 Krājumi </w:t>
      </w:r>
    </w:p>
    <w:p w14:paraId="4AB793FE" w14:textId="77777777" w:rsidR="00175452"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w:t>
      </w:r>
      <w:r w:rsidR="00175452" w:rsidRPr="00A40E3F">
        <w:rPr>
          <w:rFonts w:ascii="Times New Roman" w:hAnsi="Times New Roman" w:cs="Times New Roman"/>
          <w:b/>
          <w:sz w:val="24"/>
          <w:szCs w:val="24"/>
        </w:rPr>
        <w:t>K 6000 Pamatdarbības ieņēmumi</w:t>
      </w:r>
    </w:p>
    <w:p w14:paraId="7FB558E7"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 xml:space="preserve">. Krājumu pašizmaksā iekļauj visas iegādes, pārveidošanas un citas izmaksas, kas radušās, nogādājot krājumus to pašreizējā atrašanās vietā un stāvoklī: </w:t>
      </w:r>
    </w:p>
    <w:p w14:paraId="6B2089C1" w14:textId="77777777" w:rsidR="00175452"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 xml:space="preserve">.1. krājumu iegādes izmaksās ietilpst pirkšanas cena, ievedmuitas nodokļi un citi neatskaitāmie nodokļi, transporta, pārkraušanas un citas izmaksas, kas tieši attiecināmas uz gatavo ražojumu, materiālu un piederumu iegādi. Nosakot iegādes izmaksas, atskaita saņemtās tirdzniecības atlaides, apjoma atlaides un citus no piegādātāja saņemtos labumus; </w:t>
      </w:r>
    </w:p>
    <w:p w14:paraId="5A51AA6C"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 xml:space="preserve">.2. krājumu pārveidošanas izmaksas ir izmaksas, kas galvenokārt rodas ražošanas procesa ietvaros, pārveidojot krājumus par gatavo ražojumu krājumiem. Tās ir ar krājumu vienībām tieši saistītas izmaksas, piemēram, tiešās darbaspēka izmaksas. Pārveidošanas izmaksas ietver arī konsekventi piemērotu ražošanas nemainīgo un mainīgo pieskaitāmo izmaksu attiecinājumu uz saražotajām krājumu vienībām, kas rodas, pārveidojot materiālus gatavos ražojumos; </w:t>
      </w:r>
    </w:p>
    <w:p w14:paraId="0A03CE13"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.3. citas izmaksas iekļauj krājumu izmaksās tikai tad, ja tās rodas, nogādājot krājumus to pašreizējā atrašanās vietā un stāvoklī.</w:t>
      </w:r>
    </w:p>
    <w:p w14:paraId="4F056467"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480</w:t>
      </w:r>
      <w:r w:rsidR="00175452" w:rsidRPr="00E867F4">
        <w:rPr>
          <w:rFonts w:ascii="Times New Roman" w:hAnsi="Times New Roman" w:cs="Times New Roman"/>
          <w:sz w:val="24"/>
          <w:szCs w:val="24"/>
        </w:rPr>
        <w:t xml:space="preserve">. Ja budžeta iestāde pērk krājumus saskaņā ar atliktā maksājuma nosacījumiem, un atliktā maksājuma periods ir ilgāks par 12 mēnešiem, tad budžeta iestāde atzīst procentu izdevumus atliktā maksājuma periodā, ja vienošanās pēc būtības ietver finansējuma daļu, kas ir, piemēram, starpība starp iepirkuma cenu saskaņā ar tirgus nosacījumiem un maksājumu kopējo vērtību. Šādus procentu izdevumus neiekļauj krājumu vērtībā. </w:t>
      </w:r>
    </w:p>
    <w:p w14:paraId="1CE9916C" w14:textId="77777777" w:rsidR="00175452"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481.</w:t>
      </w:r>
      <w:r w:rsidR="00175452" w:rsidRPr="00E867F4">
        <w:rPr>
          <w:rFonts w:ascii="Times New Roman" w:hAnsi="Times New Roman" w:cs="Times New Roman"/>
          <w:sz w:val="24"/>
          <w:szCs w:val="24"/>
        </w:rPr>
        <w:t xml:space="preserve"> Krājumus, kurus veido lauksaimniecības produkti, ko budžeta iestāde ievākusi no tai piederošiem bioloģiskajiem aktīviem, sākotnējās atzīšanas dienā novērtē to patiesajā vērtībā ražas novākšanas datumā, atskaitot atsavināšanas izdevumus krājumu iegūšanas dienā.</w:t>
      </w:r>
    </w:p>
    <w:p w14:paraId="477C9315" w14:textId="77777777" w:rsidR="00A40E3F" w:rsidRDefault="00A40E3F" w:rsidP="00CD363C">
      <w:pPr>
        <w:spacing w:after="0" w:line="240" w:lineRule="auto"/>
        <w:ind w:right="-142"/>
        <w:jc w:val="both"/>
        <w:rPr>
          <w:rFonts w:ascii="Times New Roman" w:hAnsi="Times New Roman" w:cs="Times New Roman"/>
          <w:sz w:val="24"/>
          <w:szCs w:val="24"/>
        </w:rPr>
      </w:pPr>
    </w:p>
    <w:p w14:paraId="112364F9" w14:textId="77777777" w:rsidR="00A40E3F" w:rsidRPr="00A40E3F" w:rsidRDefault="00A40E3F" w:rsidP="00CD363C">
      <w:pPr>
        <w:spacing w:after="0" w:line="240" w:lineRule="auto"/>
        <w:ind w:right="-142"/>
        <w:jc w:val="both"/>
        <w:rPr>
          <w:rFonts w:ascii="Times New Roman" w:hAnsi="Times New Roman" w:cs="Times New Roman"/>
          <w:b/>
          <w:sz w:val="28"/>
          <w:szCs w:val="28"/>
        </w:rPr>
      </w:pPr>
      <w:r w:rsidRPr="00A40E3F">
        <w:rPr>
          <w:rFonts w:ascii="Times New Roman" w:hAnsi="Times New Roman" w:cs="Times New Roman"/>
          <w:b/>
          <w:sz w:val="28"/>
          <w:szCs w:val="28"/>
        </w:rPr>
        <w:t>14.2.Krājumu uzskaite pēc sākotnējās atzīšanas</w:t>
      </w:r>
    </w:p>
    <w:p w14:paraId="5A46C7FC" w14:textId="77777777" w:rsidR="00C17807" w:rsidRDefault="00A40E3F" w:rsidP="00CD363C">
      <w:pPr>
        <w:spacing w:after="0" w:line="240" w:lineRule="auto"/>
        <w:ind w:right="-142"/>
        <w:jc w:val="both"/>
        <w:rPr>
          <w:rFonts w:ascii="Times New Roman" w:hAnsi="Times New Roman" w:cs="Times New Roman"/>
          <w:sz w:val="24"/>
          <w:szCs w:val="24"/>
        </w:rPr>
      </w:pPr>
      <w:r w:rsidRPr="00A40E3F">
        <w:rPr>
          <w:rFonts w:ascii="Times New Roman" w:hAnsi="Times New Roman" w:cs="Times New Roman"/>
          <w:sz w:val="24"/>
          <w:szCs w:val="24"/>
        </w:rPr>
        <w:t>482.</w:t>
      </w:r>
      <w:r>
        <w:rPr>
          <w:rFonts w:ascii="Times New Roman" w:hAnsi="Times New Roman" w:cs="Times New Roman"/>
          <w:sz w:val="24"/>
          <w:szCs w:val="24"/>
        </w:rPr>
        <w:t xml:space="preserve"> </w:t>
      </w:r>
      <w:r w:rsidRPr="003107AC">
        <w:rPr>
          <w:rFonts w:ascii="Times New Roman" w:hAnsi="Times New Roman" w:cs="Times New Roman"/>
          <w:sz w:val="24"/>
          <w:szCs w:val="24"/>
        </w:rPr>
        <w:t xml:space="preserve">Budžeta iestāde krājumu pašizmaksas novērtēšanai izmanto izmaksu metodi. Atbilstoši standarta izmaksu metodei krājumu pašizmaksas vērtību nosaka saskaņā ar materiālu un izejvielu, darbaspēka, efektivitātes un jaudas izmantošanu parastos apstākļos. Budžeta iestāde regulāri pārskata standarta izmaksas un nepieciešamības gadījumā koriģē, ņemot vērā pašreizējos apstākļus. </w:t>
      </w:r>
    </w:p>
    <w:p w14:paraId="1B4E5348" w14:textId="2F047D4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483</w:t>
      </w:r>
      <w:r w:rsidRPr="003107AC">
        <w:rPr>
          <w:rFonts w:ascii="Times New Roman" w:hAnsi="Times New Roman" w:cs="Times New Roman"/>
          <w:sz w:val="24"/>
          <w:szCs w:val="24"/>
        </w:rPr>
        <w:t xml:space="preserve">. </w:t>
      </w:r>
      <w:r w:rsidR="00C17807" w:rsidRPr="00C17807">
        <w:rPr>
          <w:rFonts w:ascii="Times New Roman" w:hAnsi="Times New Roman" w:cs="Times New Roman"/>
          <w:sz w:val="24"/>
          <w:szCs w:val="24"/>
        </w:rPr>
        <w:t>Savstarpēji neaizstājamu krājumu vienību, kā arī preču vai pakalpojumu, kas saražoti vai izstrādāti konkrētiem projektiem, izmaksas nosaka, nodalot šādu krājumu atsevišķās konkrētās iegādes vai izveides izmaksas. Izmaksu konkrēta nodalīšana nozīmē, ka konkrētās izmaksas attiecina uz noteiktām krājumu vienībām. Izmaksu nodalīšana ir lietderīga krājumu vienībām, kuras novirzītas konkrētam projektam, neatkarīgi no tā, vai šīs krājumu vienības ir nopirktas vai saražotas. Tomēr izmaksu konkrēta nodalīšana nav lietderīga, ja krājumu vienību apjoms ir liels, un krājumu vienības ir savstarpēji aizstājamas pielieto šo noteikumu 471. punktu apvienojot tos preču grupās, piemēram, viendabīgi, homogēni priekšmeti vai priekšmeti, kas nav atšķirīgi viens no otra.</w:t>
      </w:r>
    </w:p>
    <w:p w14:paraId="26DDB7E4"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484</w:t>
      </w:r>
      <w:r w:rsidRPr="003107AC">
        <w:rPr>
          <w:rFonts w:ascii="Times New Roman" w:hAnsi="Times New Roman" w:cs="Times New Roman"/>
          <w:sz w:val="24"/>
          <w:szCs w:val="24"/>
        </w:rPr>
        <w:t>. Krājumu izmaksas, izņemot savstarpēji neaizstājamas krājumu vienības un preces vai pakalpojumus, kas saražoti vai izstrādāti konkrētiem projektiem, budžeta iestāde uzskaita, lietojot “pirmais iekšā – pirmais ārā” metodi (</w:t>
      </w:r>
      <w:r w:rsidRPr="003107AC">
        <w:rPr>
          <w:rFonts w:ascii="Times New Roman" w:hAnsi="Times New Roman" w:cs="Times New Roman"/>
          <w:b/>
          <w:sz w:val="24"/>
          <w:szCs w:val="24"/>
        </w:rPr>
        <w:t>FIFO – metode</w:t>
      </w:r>
      <w:r w:rsidRPr="003107AC">
        <w:rPr>
          <w:rFonts w:ascii="Times New Roman" w:hAnsi="Times New Roman" w:cs="Times New Roman"/>
          <w:sz w:val="24"/>
          <w:szCs w:val="24"/>
        </w:rPr>
        <w:t xml:space="preserve">). Šī metode pamatojas uz pieņēmumu, ka tās krājumu vienības, kuras iepirktas pirmās, tiek izlietotas pirmās, un rezultātā vienības, kas paliek krājumos perioda beigās, ir tās, kuras iepirktas vai saražotas visvēlāk. </w:t>
      </w:r>
    </w:p>
    <w:p w14:paraId="22E46B4A"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 xml:space="preserve">. Katra pārskata gada beigās budžeta iestāde veic krājumu atlikušās vērtības pārskatīšanu sekojoši: </w:t>
      </w:r>
    </w:p>
    <w:p w14:paraId="2FF4B7F9"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.1. tādus krājumus, kas paredzēti budžeta iestādes funkciju nodrošināšanai – novērtē zemākajā no to izmaksu vai pašreizējās aizstāšanas izmaksu vērtības;</w:t>
      </w:r>
    </w:p>
    <w:p w14:paraId="5A4286E0"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 xml:space="preserve">.2. tādus krājumus, kas paredzēti nodošanai bez atlīdzības vai par minimālu samaksu, kā arī šādu krājumu izgatavošanai paredzētos krājumus – novērtē zemākajā no to izmaksu vai pašreizējās aizstāšanas izmaksu vērtības; </w:t>
      </w:r>
    </w:p>
    <w:p w14:paraId="453D1ACA"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.3. atsavināšanai paredzētos krājumus - novērtē zemākajā no to izmaksu vai neto pārdošanas vērtības.</w:t>
      </w:r>
    </w:p>
    <w:p w14:paraId="543981F0"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486.</w:t>
      </w:r>
      <w:r w:rsidRPr="003107AC">
        <w:rPr>
          <w:rFonts w:ascii="Times New Roman" w:hAnsi="Times New Roman" w:cs="Times New Roman"/>
          <w:sz w:val="24"/>
          <w:szCs w:val="24"/>
        </w:rPr>
        <w:t xml:space="preserve"> Krājumu vērtības samazinājums (norakstīšana) līdz neto pārdošanas vērtībai vai pašreizējo aizstāšanas izmaksu vērtībai tiek izvērtēts un atzīts katrai krājumu vienībai atsevišķi. </w:t>
      </w:r>
    </w:p>
    <w:p w14:paraId="3D3AA3C3"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487</w:t>
      </w:r>
      <w:r w:rsidRPr="003107AC">
        <w:rPr>
          <w:rFonts w:ascii="Times New Roman" w:hAnsi="Times New Roman" w:cs="Times New Roman"/>
          <w:sz w:val="24"/>
          <w:szCs w:val="24"/>
        </w:rPr>
        <w:t xml:space="preserve">. Budžeta iestāde novērtē pašreizējās aizstāšanas izmaksas katrai krājumu vienībai vai krājumu vienību grupai, ja tā nav nodota lietošanā vai izlietota. Ja krājumu pašreizējās aizstāšanas izmaksas ir zemākas par šo krājumu iegādes izmaksu vērtību vai pašizmaksu, budžeta iestāde krājumus uzskaita pašreizējo aizstāšanas izmaksu vērtībā, norakstot pamatdarbības izdevumos starpību, kas rodas starp iegādes izmaksu vērtību vai pašizmaksu un pašreizējām aizstāšanas izmaksām, veicot sekojošu grāmatojumu: </w:t>
      </w:r>
    </w:p>
    <w:p w14:paraId="0DA945F0" w14:textId="77777777" w:rsidR="00A40E3F" w:rsidRPr="00A40E3F" w:rsidRDefault="00A40E3F"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A40E3F">
        <w:rPr>
          <w:rFonts w:ascii="Times New Roman" w:hAnsi="Times New Roman" w:cs="Times New Roman"/>
          <w:b/>
          <w:sz w:val="24"/>
          <w:szCs w:val="24"/>
        </w:rPr>
        <w:t xml:space="preserve">D 7000 Pamatdarbības izdevumi </w:t>
      </w:r>
    </w:p>
    <w:p w14:paraId="31ECB05A"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2110 Izejvielas un materiāli </w:t>
      </w:r>
    </w:p>
    <w:p w14:paraId="60362DF5"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2120 Nepabeigtie ražojumi un pasūtījumi </w:t>
      </w:r>
    </w:p>
    <w:p w14:paraId="198DF1DD"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2140 Bioloģisko aktīvu produkti un krājumi to uzturēšanai </w:t>
      </w:r>
    </w:p>
    <w:p w14:paraId="7584674D"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2150 Stratēģiskās rezerves </w:t>
      </w:r>
    </w:p>
    <w:p w14:paraId="737BE1C4"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2160* Inventārs </w:t>
      </w:r>
    </w:p>
    <w:p w14:paraId="72911283"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2170 Speciālais militārais inventārs un speciālā militārā inventāra izveidošana </w:t>
      </w:r>
    </w:p>
    <w:p w14:paraId="42802499" w14:textId="77777777" w:rsidR="00A40E3F" w:rsidRPr="005D7228"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Pr="003107AC">
        <w:rPr>
          <w:rFonts w:ascii="Times New Roman" w:hAnsi="Times New Roman" w:cs="Times New Roman"/>
          <w:sz w:val="24"/>
          <w:szCs w:val="24"/>
        </w:rPr>
        <w:t>* izņemot kontu 2161 Ilgstoši lietojams inventārs</w:t>
      </w:r>
    </w:p>
    <w:p w14:paraId="4908E8E8"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488</w:t>
      </w:r>
      <w:r w:rsidRPr="003107AC">
        <w:rPr>
          <w:rFonts w:ascii="Times New Roman" w:hAnsi="Times New Roman" w:cs="Times New Roman"/>
          <w:sz w:val="24"/>
          <w:szCs w:val="24"/>
        </w:rPr>
        <w:t>. Gadījumos, kad budžeta iestāde tur krājumus, kuru turpmākais pielietojums nav tieši saistīts ar krājumu spēju radīt ienākošās naudas plūsmas (piemēram, kad budžeta iestādei ir noteikts pienākums izplatīt konkrētas preces bez atlīdzības vai par minimālu samaksu), katra pārskata gada beigās budžeta iestāde novērtē tādus krājumus zemākajā no to izmaksu vai pašreizējās aizstāšanas izmaksu vērtības. Tas nozīmē, ka budžeta iestāde uzrāda šādus krājumus finanšu pārskatos to pašreizējā aizstāšanas izmaksu vērtībā jeb summā, ko budžeta iestādei būtu jāsamaksā, lai iegādātos līdzvērtīgus krājumus, ja tas būtu nepieciešams budžeta iestādes mērķu sasniegšanai. Vienlaikus budžeta iestāde izvērtē, vai nav mainījies nolūks, kādam krājumi turēti. Piemēram, ja budžeta iestāde ir mainījusi krājumu turēšanas nolūku un uzskaita šādus krājumus kā atsavināšanai trešajām personām paredzētus krājumus, pārskata perioda beigās budžeta iestāde novērtē tos zemākajā no to izmaksu vai neto pārdošanas vērtības.</w:t>
      </w:r>
    </w:p>
    <w:p w14:paraId="75DBF8A0"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Budžeta iestāde katrā pārskata periodā izvērtē neto pārdošanas vērtības aplēsi atsavināšanai trešajām personām paredzētajiem krājumiem. Krājumu vērtība var kļūt neatgūstama, un budžeta iestāde veic krājumu uzskaites vērtības daļēju norakstīšanu līdz krājumu neto pārdošanas vērtībai tādiem krājumiem, kas paredzēti atsavināšanai trešajām personām, vai līdz pašreizējo aizstāšanas izmaksu vērtībai tādiem krājumiem, kas paredzēti budžeta iestādes funkciju nodrošināšanai, sekojošos gadījumos:</w:t>
      </w:r>
    </w:p>
    <w:p w14:paraId="12DE04FE"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xml:space="preserve">.1. ja krājumi ir bojāti; </w:t>
      </w:r>
    </w:p>
    <w:p w14:paraId="6A724948"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xml:space="preserve">.2. ja krājumi ir pilnīgi vai daļēji novecojuši vai to pārdošanas cena ir samazinājusies; </w:t>
      </w:r>
    </w:p>
    <w:p w14:paraId="3D723429"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xml:space="preserve">.3. ja ir palielinājušās aplēstās krājumu pabeigšanas izmaksas vai aplēstās krājumu pārdošanas, apmaiņas vai izplatīšanas izmaksas. </w:t>
      </w:r>
    </w:p>
    <w:p w14:paraId="6147DD0A" w14:textId="77777777" w:rsidR="00A40E3F" w:rsidRPr="00A40E3F" w:rsidRDefault="00A40E3F" w:rsidP="00CD363C">
      <w:pPr>
        <w:spacing w:after="0" w:line="240" w:lineRule="auto"/>
        <w:ind w:right="-66"/>
        <w:jc w:val="both"/>
        <w:rPr>
          <w:rFonts w:ascii="Times New Roman" w:hAnsi="Times New Roman" w:cs="Times New Roman"/>
          <w:b/>
          <w:sz w:val="24"/>
          <w:szCs w:val="24"/>
        </w:rPr>
      </w:pPr>
      <w:r w:rsidRPr="00A40E3F">
        <w:rPr>
          <w:rFonts w:ascii="Times New Roman" w:hAnsi="Times New Roman" w:cs="Times New Roman"/>
          <w:b/>
          <w:sz w:val="24"/>
          <w:szCs w:val="24"/>
        </w:rPr>
        <w:t xml:space="preserve">    D 7000 Pamatdarbības izdevumi </w:t>
      </w:r>
    </w:p>
    <w:p w14:paraId="1CF7A1CD" w14:textId="77777777" w:rsidR="00A40E3F" w:rsidRPr="00A40E3F" w:rsidRDefault="00A40E3F" w:rsidP="00CD363C">
      <w:pPr>
        <w:spacing w:after="0" w:line="240" w:lineRule="auto"/>
        <w:ind w:right="-66"/>
        <w:jc w:val="both"/>
        <w:rPr>
          <w:rFonts w:ascii="Times New Roman" w:hAnsi="Times New Roman" w:cs="Times New Roman"/>
          <w:b/>
          <w:sz w:val="24"/>
          <w:szCs w:val="24"/>
        </w:rPr>
      </w:pPr>
      <w:r w:rsidRPr="00A40E3F">
        <w:rPr>
          <w:rFonts w:ascii="Times New Roman" w:hAnsi="Times New Roman" w:cs="Times New Roman"/>
          <w:b/>
          <w:sz w:val="24"/>
          <w:szCs w:val="24"/>
        </w:rPr>
        <w:t xml:space="preserve">    K 2132 Krājumi un ilgtermiņa ieguldījumi atsavināšanai</w:t>
      </w:r>
    </w:p>
    <w:p w14:paraId="6306EECA"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490</w:t>
      </w:r>
      <w:r w:rsidRPr="003107AC">
        <w:rPr>
          <w:rFonts w:ascii="Times New Roman" w:hAnsi="Times New Roman" w:cs="Times New Roman"/>
          <w:sz w:val="24"/>
          <w:szCs w:val="24"/>
        </w:rPr>
        <w:t xml:space="preserve">. Krājumu uzskaites vērtības daļēja norakstīšanas līdz krājumu neto pārdošanas vērtībai vai pašreizējo aizstāšanas izmaksu vērtībai saskan ar principu, ka budžeta iestāde nedrīkst aktīvus uzskaitīt lielākā vērtībā par to turpmāko saimniecisko labumu vai kalpošanas potenciālu, ko cerēts iegūt, krājumus pārdodot, apmainot, izplatot vai lietojot. </w:t>
      </w:r>
    </w:p>
    <w:p w14:paraId="1C03B9DD"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491</w:t>
      </w:r>
      <w:r w:rsidRPr="003107AC">
        <w:rPr>
          <w:rFonts w:ascii="Times New Roman" w:hAnsi="Times New Roman" w:cs="Times New Roman"/>
          <w:sz w:val="24"/>
          <w:szCs w:val="24"/>
        </w:rPr>
        <w:t>. Atsevišķos gadījumos budžeta iestādei var būt lietderīgi sagrupēt līdzīgus vai saistītus posteņus, piemēram, kad krājumu vienībām piemīt līdzīgs nolūks vai lietojums, un tos nav iespējams novērtēt atsevišķi no citiem šajā produktu līnijā saražotajiem krājumiem. Krājumu vērtības samazinājumu nav lietderīgi izvērtēt un atzīt, pamatojoties tikai uz krājumu klasifikāciju, piemēram, gatavie ražojumi, visi krājumi konkrētā darbības vai ģeogrāfiskajā segmentā.</w:t>
      </w:r>
    </w:p>
    <w:p w14:paraId="55FE1E23" w14:textId="77777777" w:rsidR="00A40E3F" w:rsidRPr="003107AC" w:rsidRDefault="00A40E3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492</w:t>
      </w:r>
      <w:r w:rsidRPr="003107AC">
        <w:rPr>
          <w:rFonts w:ascii="Times New Roman" w:hAnsi="Times New Roman" w:cs="Times New Roman"/>
          <w:sz w:val="24"/>
          <w:szCs w:val="24"/>
        </w:rPr>
        <w:t>. Sagatavojot aplēsi par krājumu neto pārdošanas vērtību, tiek ņemts vērā arī nolūks, kādam krājumi tiek turēti. Piemēram, krājumu daudzumam, kurš paredzēts, lai pildītu noteiktus pārdošanas vai pakalpojumu līgumus, neto pārdošanas vērtība pamatojas uz līgumcenu. Ja pārdošanas līgumi ir noslēgti par daudzumu, kas ir mazāks nekā turētie krājumi, pārsnieguma neto pārdošanas vērtība jāpamato ar pārdošanas cenām. No noteiktiem pārdošanas līgumiem un no noteiktiem pirkuma līgumiem var rasties uzkrājumi vai iespējamās saistības.</w:t>
      </w:r>
    </w:p>
    <w:p w14:paraId="10D7102A" w14:textId="77777777" w:rsidR="00A40E3F"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493</w:t>
      </w:r>
      <w:r w:rsidRPr="00F862DA">
        <w:rPr>
          <w:rFonts w:ascii="Times New Roman" w:hAnsi="Times New Roman" w:cs="Times New Roman"/>
          <w:sz w:val="24"/>
          <w:szCs w:val="24"/>
        </w:rPr>
        <w:t>. Materiālu un citu izejvielu vērtību, kuras paredzēts izlietot krājumu ražošanā, nenoraksta zemāk par to iegādes izmaksām, ja gatavos ražojumus, kuros šie materiāli un izejvielas tiks iestrādātas, paredzēts pārdot, apmainīt vai izplatīt par cenu, kas vienāda vai lielāka par izmaksu vērtību. Tomēr, ja materiālu vai citu izejvielu tirgus cenas samazināšanās norāda, ka gatavo ražojumu izmaksas pārsniegs to neto pārdošanas vērtību, arī materiālu vai citu izejvielu vērtību noraksta līdz gatavo ražojumu neto pārdošanas vērtībai. Šādos gadījumos materiālu aizstāšanas izmaksas var būt precīzākais pieejamais to neto pārdošanas vērtības mērs.</w:t>
      </w:r>
    </w:p>
    <w:p w14:paraId="2593E0DE" w14:textId="77777777" w:rsidR="00A40E3F" w:rsidRDefault="00A40E3F" w:rsidP="00CD363C">
      <w:pPr>
        <w:spacing w:after="0" w:line="240" w:lineRule="auto"/>
        <w:ind w:right="-66"/>
        <w:jc w:val="both"/>
        <w:rPr>
          <w:rFonts w:ascii="Times New Roman" w:hAnsi="Times New Roman" w:cs="Times New Roman"/>
          <w:b/>
          <w:sz w:val="28"/>
          <w:szCs w:val="28"/>
        </w:rPr>
      </w:pPr>
      <w:r w:rsidRPr="00A40E3F">
        <w:rPr>
          <w:rFonts w:ascii="Times New Roman" w:hAnsi="Times New Roman" w:cs="Times New Roman"/>
          <w:b/>
          <w:sz w:val="28"/>
          <w:szCs w:val="28"/>
        </w:rPr>
        <w:t>14.3. Ilgstoši lietojamā inventāra vērtības samazinājums</w:t>
      </w:r>
      <w:r w:rsidR="00151000">
        <w:rPr>
          <w:rFonts w:ascii="Times New Roman" w:hAnsi="Times New Roman" w:cs="Times New Roman"/>
          <w:b/>
          <w:sz w:val="28"/>
          <w:szCs w:val="28"/>
        </w:rPr>
        <w:t xml:space="preserve"> un norakstīšana</w:t>
      </w:r>
    </w:p>
    <w:p w14:paraId="352674AC" w14:textId="77777777" w:rsidR="008D404E" w:rsidRPr="00500085" w:rsidRDefault="00A40E3F" w:rsidP="00CD363C">
      <w:pPr>
        <w:spacing w:after="0" w:line="240" w:lineRule="auto"/>
        <w:ind w:right="-66"/>
        <w:jc w:val="both"/>
        <w:rPr>
          <w:rFonts w:ascii="Times New Roman" w:hAnsi="Times New Roman" w:cs="Times New Roman"/>
          <w:sz w:val="24"/>
          <w:szCs w:val="24"/>
        </w:rPr>
      </w:pPr>
      <w:r w:rsidRPr="00A40E3F">
        <w:rPr>
          <w:rFonts w:ascii="Times New Roman" w:hAnsi="Times New Roman" w:cs="Times New Roman"/>
          <w:sz w:val="24"/>
          <w:szCs w:val="24"/>
        </w:rPr>
        <w:t>494.</w:t>
      </w:r>
      <w:r w:rsidR="008D404E" w:rsidRPr="00500085">
        <w:rPr>
          <w:rFonts w:ascii="Times New Roman" w:hAnsi="Times New Roman" w:cs="Times New Roman"/>
          <w:sz w:val="24"/>
          <w:szCs w:val="24"/>
        </w:rPr>
        <w:t xml:space="preserve"> Budžeta iestāde katra pārskata perioda beigās novērtē, vai nepastāv pazīmes, kas norāda uz ilgstoši lietojamā inventāra vērtības samazinājumu. </w:t>
      </w:r>
    </w:p>
    <w:p w14:paraId="1F56C407"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 Budžeta iestāde izvērtē vismaz šādas pazīmes attiecībā uz ilgstoši lietojamā inventāra vērtības samazinājumu: </w:t>
      </w:r>
    </w:p>
    <w:p w14:paraId="5EAAF657"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.1. vismaz par 90% samazinājies vai nepastāv pieprasījums pēc pakalpojuma, kuru sniedz budžeta iestāde, lietojot attiecīgo aktīvu; </w:t>
      </w:r>
    </w:p>
    <w:p w14:paraId="5FB9517A"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.2. pieņemts valdības vai pašvaldības lēmums, kas rada negatīvas izmaiņas budžeta iestādes darbībā;</w:t>
      </w:r>
    </w:p>
    <w:p w14:paraId="6377A869"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.3. Aktīvs ir novecojis vai fiziski bojāts; </w:t>
      </w:r>
    </w:p>
    <w:p w14:paraId="00849DFD"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.4. Budžeta iestādes darbībā notikušas vai tuvākajā laikā gaidāmas ilgtermiņa izmaiņas, kas negatīvi ietekmē aktīva paredzēto lietojumu; </w:t>
      </w:r>
    </w:p>
    <w:p w14:paraId="7AAD9E37"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.5. Pieņemts lēmums apturēt aktīva izveidošanu pirms tā pabeigšanas vai nodošanas lietošanā;</w:t>
      </w:r>
    </w:p>
    <w:p w14:paraId="719BA3BB"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.6. Citas pazīmes, kas liecina par aktīva vērtības samazināšanos. </w:t>
      </w:r>
    </w:p>
    <w:p w14:paraId="7AE53D22"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496</w:t>
      </w:r>
      <w:r w:rsidR="008D404E" w:rsidRPr="00500085">
        <w:rPr>
          <w:rFonts w:ascii="Times New Roman" w:hAnsi="Times New Roman" w:cs="Times New Roman"/>
          <w:sz w:val="24"/>
          <w:szCs w:val="24"/>
        </w:rPr>
        <w:t xml:space="preserve">. Ja pastāv vismaz viena šo noteikumu vērtības samazinājuma pazīme, budžeta iestāde nosaka krājumu patieso vērtību vai atgūstamo vērtību. </w:t>
      </w:r>
    </w:p>
    <w:p w14:paraId="47673976"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497</w:t>
      </w:r>
      <w:r w:rsidR="008D404E" w:rsidRPr="00500085">
        <w:rPr>
          <w:rFonts w:ascii="Times New Roman" w:hAnsi="Times New Roman" w:cs="Times New Roman"/>
          <w:sz w:val="24"/>
          <w:szCs w:val="24"/>
        </w:rPr>
        <w:t>. Ja krājumu patiesā vai atgūstamā vērtība ir zemāka par uzskaites vērtību, budžeta iestāde atzīst vērtības samazinājumu.</w:t>
      </w:r>
    </w:p>
    <w:p w14:paraId="5E14444C"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498</w:t>
      </w:r>
      <w:r w:rsidR="008D404E" w:rsidRPr="00500085">
        <w:rPr>
          <w:rFonts w:ascii="Times New Roman" w:hAnsi="Times New Roman" w:cs="Times New Roman"/>
          <w:sz w:val="24"/>
          <w:szCs w:val="24"/>
        </w:rPr>
        <w:t>. Krājumu vērtības samazinājumu uzskaita atsevišķā kontā krājumu grupas sastāvā, atzīstot pārējos izdevumus:</w:t>
      </w:r>
    </w:p>
    <w:p w14:paraId="4A8D0F0B" w14:textId="77777777" w:rsidR="008D404E" w:rsidRPr="00151000" w:rsidRDefault="0015100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8D404E" w:rsidRPr="00151000">
        <w:rPr>
          <w:rFonts w:ascii="Times New Roman" w:hAnsi="Times New Roman" w:cs="Times New Roman"/>
          <w:b/>
          <w:sz w:val="24"/>
          <w:szCs w:val="24"/>
        </w:rPr>
        <w:t xml:space="preserve">D 8652 Izdevumi no vērtības samazinājuma nefinanšu aktīviem </w:t>
      </w:r>
    </w:p>
    <w:p w14:paraId="2087075E"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2190 Vērtības samazinājums krājumiem </w:t>
      </w:r>
    </w:p>
    <w:p w14:paraId="773269FA" w14:textId="77777777" w:rsidR="008D404E" w:rsidRDefault="008D404E" w:rsidP="00CD363C">
      <w:pPr>
        <w:spacing w:after="0" w:line="240" w:lineRule="auto"/>
        <w:ind w:right="-66"/>
        <w:jc w:val="both"/>
        <w:rPr>
          <w:rFonts w:ascii="Times New Roman" w:hAnsi="Times New Roman" w:cs="Times New Roman"/>
          <w:sz w:val="24"/>
          <w:szCs w:val="24"/>
        </w:rPr>
      </w:pPr>
      <w:r w:rsidRPr="00500085">
        <w:rPr>
          <w:rFonts w:ascii="Times New Roman" w:hAnsi="Times New Roman" w:cs="Times New Roman"/>
          <w:sz w:val="24"/>
          <w:szCs w:val="24"/>
        </w:rPr>
        <w:t>4</w:t>
      </w:r>
      <w:r w:rsidR="00151000">
        <w:rPr>
          <w:rFonts w:ascii="Times New Roman" w:hAnsi="Times New Roman" w:cs="Times New Roman"/>
          <w:sz w:val="24"/>
          <w:szCs w:val="24"/>
        </w:rPr>
        <w:t>99</w:t>
      </w:r>
      <w:r w:rsidRPr="00500085">
        <w:rPr>
          <w:rFonts w:ascii="Times New Roman" w:hAnsi="Times New Roman" w:cs="Times New Roman"/>
          <w:sz w:val="24"/>
          <w:szCs w:val="24"/>
        </w:rPr>
        <w:t>. Katra pārskata perioda beigās novērtē, vai nepastāv pazīmes, kas norāda, ka iepriekšējos pārskata periodos atzītais ilgstoši lietojamā inventāra vērtības samazinājums vairs nepastāv vai ir mazinājies.</w:t>
      </w:r>
    </w:p>
    <w:p w14:paraId="64188AF0"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sidRPr="00F2066B">
        <w:rPr>
          <w:rFonts w:ascii="Times New Roman" w:hAnsi="Times New Roman" w:cs="Times New Roman"/>
          <w:sz w:val="24"/>
          <w:szCs w:val="24"/>
        </w:rPr>
        <w:t>. Novērtējot, vai vērtības samazinājums vairs nepastāv vai ir samazinājies, budžeta iestāde attiecībā uz ilgstoši lietojamo inventāru izvērtē vismaz šādas pazīmes:</w:t>
      </w:r>
    </w:p>
    <w:p w14:paraId="1C97016A" w14:textId="77777777" w:rsidR="008D404E" w:rsidRPr="00F2066B" w:rsidRDefault="00151000"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.1.</w:t>
      </w:r>
      <w:r w:rsidR="008D404E" w:rsidRPr="00F2066B">
        <w:rPr>
          <w:rFonts w:ascii="Times New Roman" w:hAnsi="Times New Roman" w:cs="Times New Roman"/>
          <w:sz w:val="24"/>
          <w:szCs w:val="24"/>
        </w:rPr>
        <w:t xml:space="preserve">vismaz par 90 procentiem palielinājies vai atjaunojies pieprasījums pēc pakalpojuma, kuru sniedz budžeta iestāde, lietojot attiecīgo ilgstoši lietojamo inventāru; </w:t>
      </w:r>
    </w:p>
    <w:p w14:paraId="681E0C62" w14:textId="77777777" w:rsidR="008D404E" w:rsidRPr="00F2066B" w:rsidRDefault="00151000"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.2.</w:t>
      </w:r>
      <w:r w:rsidR="008D404E" w:rsidRPr="00F2066B">
        <w:rPr>
          <w:rFonts w:ascii="Times New Roman" w:hAnsi="Times New Roman" w:cs="Times New Roman"/>
          <w:sz w:val="24"/>
          <w:szCs w:val="24"/>
        </w:rPr>
        <w:t>pieņemts valdības vai pašvaldības lēmums, kas rada pozitīvas izmaiņas budžeta iestādes darbībā;</w:t>
      </w:r>
    </w:p>
    <w:p w14:paraId="63CDF360" w14:textId="77777777" w:rsidR="008D404E" w:rsidRPr="00F2066B" w:rsidRDefault="00151000"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.3.</w:t>
      </w:r>
      <w:r w:rsidR="008D404E" w:rsidRPr="00F2066B">
        <w:rPr>
          <w:rFonts w:ascii="Times New Roman" w:hAnsi="Times New Roman" w:cs="Times New Roman"/>
          <w:sz w:val="24"/>
          <w:szCs w:val="24"/>
        </w:rPr>
        <w:t>pārskata perioda laikā veikti ilgstoši lietojamā inventāra uzlabojumi vai atjaunošana, lai uzlabotu tā darbību;</w:t>
      </w:r>
    </w:p>
    <w:p w14:paraId="6EFE99AA" w14:textId="77777777" w:rsidR="008D404E" w:rsidRPr="00F2066B" w:rsidRDefault="00151000"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.4.</w:t>
      </w:r>
      <w:r w:rsidR="008D404E" w:rsidRPr="00F2066B">
        <w:rPr>
          <w:rFonts w:ascii="Times New Roman" w:hAnsi="Times New Roman" w:cs="Times New Roman"/>
          <w:sz w:val="24"/>
          <w:szCs w:val="24"/>
        </w:rPr>
        <w:t>budžeta iestādes darbībā notikušas vai tuvākajā laikā gaidāmas ilgtermiņa izmaiņas, kas pozitīvi ietekmē ilgstoši lietojamā inventāra paredzēto lietojumu;</w:t>
      </w:r>
    </w:p>
    <w:p w14:paraId="385A0F43" w14:textId="77777777" w:rsidR="008D404E" w:rsidRPr="00F2066B" w:rsidRDefault="00151000"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.5.</w:t>
      </w:r>
      <w:r w:rsidR="008D404E" w:rsidRPr="00F2066B">
        <w:rPr>
          <w:rFonts w:ascii="Times New Roman" w:hAnsi="Times New Roman" w:cs="Times New Roman"/>
          <w:sz w:val="24"/>
          <w:szCs w:val="24"/>
        </w:rPr>
        <w:t>pieņemts lēmums atsākt ilgstoši lietojamā inventāra izveidi, kas iepriekš apturēta vai pārtraukta pirms tā pabeigšanas vai nodošanas lietošanā (ekspluatācijā).</w:t>
      </w:r>
    </w:p>
    <w:p w14:paraId="72084498"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501</w:t>
      </w:r>
      <w:r w:rsidR="008D404E" w:rsidRPr="00F2066B">
        <w:rPr>
          <w:rFonts w:ascii="Times New Roman" w:hAnsi="Times New Roman" w:cs="Times New Roman"/>
          <w:sz w:val="24"/>
          <w:szCs w:val="24"/>
        </w:rPr>
        <w:t xml:space="preserve">. Ja pastāv kāda no iepriekš minētajām pazīmēm, budžeta iestāde veic attiecīgā ilgstoši lietojamā inventāra atgūstamās vērtības aplēsi saskaņā ar šajā apakšnodaļā minēto. </w:t>
      </w:r>
    </w:p>
    <w:p w14:paraId="423C7175"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502</w:t>
      </w:r>
      <w:r w:rsidR="008D404E" w:rsidRPr="00F2066B">
        <w:rPr>
          <w:rFonts w:ascii="Times New Roman" w:hAnsi="Times New Roman" w:cs="Times New Roman"/>
          <w:sz w:val="24"/>
          <w:szCs w:val="24"/>
        </w:rPr>
        <w:t>. Budžeta iestāde palielina ilgstoši lietojamā inventāra uzskaites (atlikušo) vērtību, norakstot iepriekšējos pārskata periodos izveidoto vērtības samazinājumu tikai tādā gadījumā, ja ilgstoši lietojamā inventāra atgūstamā vērtība ir lielāka par tā uzskaites vērtību. Šādā gadījumā aktīva uzskaites (atlikusī) vērtība jāpalielina līdz tā atgūstamajai vērtībai un jāatzīst pārskata perioda pārējie ieņēmumi, veicot sekojošu grāmatojumu:</w:t>
      </w:r>
    </w:p>
    <w:p w14:paraId="23D96142"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2190 Vērtības samazinājums krājumiem </w:t>
      </w:r>
    </w:p>
    <w:p w14:paraId="6574ECF4"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8552 Ieņēmumi no vērtības samazinājuma norakstīšanas nefinanšu aktīviem </w:t>
      </w:r>
    </w:p>
    <w:p w14:paraId="51B32D86"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503</w:t>
      </w:r>
      <w:r w:rsidR="008D404E" w:rsidRPr="00F2066B">
        <w:rPr>
          <w:rFonts w:ascii="Times New Roman" w:hAnsi="Times New Roman" w:cs="Times New Roman"/>
          <w:sz w:val="24"/>
          <w:szCs w:val="24"/>
        </w:rPr>
        <w:t xml:space="preserve">. Palielinātā ilgstoši lietojamā inventāra uzskaites (atlikusī) vērtība nedrīkst pārsniegt uzskaites vērtību, kas būtu noteikta, ja aktīvam iepriekšējos periodos nebūtu atzīti izdevumi no vērtības samazinājuma. </w:t>
      </w:r>
    </w:p>
    <w:p w14:paraId="61E64232"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504</w:t>
      </w:r>
      <w:r w:rsidR="008D404E" w:rsidRPr="00F2066B">
        <w:rPr>
          <w:rFonts w:ascii="Times New Roman" w:hAnsi="Times New Roman" w:cs="Times New Roman"/>
          <w:sz w:val="24"/>
          <w:szCs w:val="24"/>
        </w:rPr>
        <w:t xml:space="preserve">. Izveidoto ilgstoši lietojamā inventāra vērtības samazinājumu var koriģēt tikai par konkrētā ilgstoši lietojamā inventāra vērtības samazinājuma izmaiņu vērtību. </w:t>
      </w:r>
    </w:p>
    <w:p w14:paraId="5986742B"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505</w:t>
      </w:r>
      <w:r w:rsidR="008D404E" w:rsidRPr="00F2066B">
        <w:rPr>
          <w:rFonts w:ascii="Times New Roman" w:hAnsi="Times New Roman" w:cs="Times New Roman"/>
          <w:sz w:val="24"/>
          <w:szCs w:val="24"/>
        </w:rPr>
        <w:t>. Ilgstoši lietojamā inventāra vērtības samazinājuma pārbaudi var veikt budžeta iestādes vadītāja apstiprināta komisija vai budžeta iestādes apstiprināts atbildīgais attiecīgās jomas speciālists. Komisijai vērtības samazinājuma pazīmju identifikācijai un aprēķinu veikšanai ir tiesības piesaistīt attiecīgās nozares speciālistus.</w:t>
      </w:r>
    </w:p>
    <w:p w14:paraId="16238711"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F2066B">
        <w:rPr>
          <w:rFonts w:ascii="Times New Roman" w:hAnsi="Times New Roman" w:cs="Times New Roman"/>
          <w:sz w:val="24"/>
          <w:szCs w:val="24"/>
        </w:rPr>
        <w:t>. Krājumu vērtību atzīst izdevumos pārskata periodā, kurā tos:</w:t>
      </w:r>
    </w:p>
    <w:p w14:paraId="6C014ACD"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.1.nodod lietošanā;</w:t>
      </w:r>
    </w:p>
    <w:p w14:paraId="089F7A16"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.2.pārdod, apmaina, nodod finanšu nomā vai izplata bez maksas vai par minimālu samaksu un kurā atzīst atbilstošos ieņēmumus. Ja atbilstošo ieņēmumu nav, izdevumus atzīst periodā, kad nodotas preces vai sniegts pakalpojums, kuram izmanto krājumus;</w:t>
      </w:r>
    </w:p>
    <w:p w14:paraId="691B48C6"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 xml:space="preserve">.3.faktiski izlieto; </w:t>
      </w:r>
    </w:p>
    <w:p w14:paraId="56C3C944"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.4.likvidē, konstatē krājumu iztrūkumu vai prettiesisku atsavināšanu.</w:t>
      </w:r>
    </w:p>
    <w:p w14:paraId="300D20C7"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507</w:t>
      </w:r>
      <w:r w:rsidR="008D404E" w:rsidRPr="00F2066B">
        <w:rPr>
          <w:rFonts w:ascii="Times New Roman" w:hAnsi="Times New Roman" w:cs="Times New Roman"/>
          <w:sz w:val="24"/>
          <w:szCs w:val="24"/>
        </w:rPr>
        <w:t xml:space="preserve">. Krājumus likvidējot vai konstatējot to iztrūkumu vai iznīcināšanu prettiesiskas darbības dēļ, krājumus izslēdz no uzskaites, norakstot to uzskaites vērtību izdevumos. </w:t>
      </w:r>
    </w:p>
    <w:p w14:paraId="02AF3B6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8611 Izdevumi no nefinanšu aktīvu norakstīšanas un likvidēšanas </w:t>
      </w:r>
    </w:p>
    <w:p w14:paraId="178782DE"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44B42FF4"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508</w:t>
      </w:r>
      <w:r w:rsidR="008D404E" w:rsidRPr="00F2066B">
        <w:rPr>
          <w:rFonts w:ascii="Times New Roman" w:hAnsi="Times New Roman" w:cs="Times New Roman"/>
          <w:sz w:val="24"/>
          <w:szCs w:val="24"/>
        </w:rPr>
        <w:t xml:space="preserve">. Gadījumā, kad budžeta iestāde izsniedz krājumus lietošanā vai fiziski izlieto, budžeta iestāde izslēdz krājumu vērtību, pamatojoties uz materiālo vērtību (krājumu) izsniegšanu apliecinošiem dokumentiem, veicot sekojošu grāmatojumu: </w:t>
      </w:r>
    </w:p>
    <w:p w14:paraId="4FA0820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7000 Pamatdarbības izdevumi </w:t>
      </w:r>
    </w:p>
    <w:p w14:paraId="5BAA0177"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24071CC8"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509</w:t>
      </w:r>
      <w:r w:rsidR="008D404E" w:rsidRPr="00F2066B">
        <w:rPr>
          <w:rFonts w:ascii="Times New Roman" w:hAnsi="Times New Roman" w:cs="Times New Roman"/>
          <w:sz w:val="24"/>
          <w:szCs w:val="24"/>
        </w:rPr>
        <w:t xml:space="preserve">. Krājumu pārdošanas dienā budžeta iestāde, pamatojoties uz attaisnojuma dokumentiem, noraksta krājumu vērtību, veicot sekojošus grāmatojumus: </w:t>
      </w:r>
    </w:p>
    <w:p w14:paraId="3FE7E35F"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8612 Izdevumi no nefinanšu aktīvu atsavināšanas </w:t>
      </w:r>
    </w:p>
    <w:p w14:paraId="3E0A8EA0"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360E652B"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510</w:t>
      </w:r>
      <w:r w:rsidR="008D404E" w:rsidRPr="00F2066B">
        <w:rPr>
          <w:rFonts w:ascii="Times New Roman" w:hAnsi="Times New Roman" w:cs="Times New Roman"/>
          <w:sz w:val="24"/>
          <w:szCs w:val="24"/>
        </w:rPr>
        <w:t xml:space="preserve">. Gadījumā, kad budžeta iestāde nodod krājumus citai budžeta iestādei bez atlīdzības, budžeta iestāde izslēdz krājumu vērtību, pamatojoties uz apliecinošiem dokumentiem, veicot sekojošu grāmatojumu: </w:t>
      </w:r>
    </w:p>
    <w:p w14:paraId="614C02A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8420 Izdevumi no saņemtām un nodotām vērtībām bez atlīdzības </w:t>
      </w:r>
    </w:p>
    <w:p w14:paraId="3C0FA1CE"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K 2100 Krājumi</w:t>
      </w:r>
    </w:p>
    <w:p w14:paraId="3EBF3873"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511</w:t>
      </w:r>
      <w:r w:rsidR="008D404E" w:rsidRPr="00F2066B">
        <w:rPr>
          <w:rFonts w:ascii="Times New Roman" w:hAnsi="Times New Roman" w:cs="Times New Roman"/>
          <w:sz w:val="24"/>
          <w:szCs w:val="24"/>
        </w:rPr>
        <w:t xml:space="preserve">. Citos gadījumos, piemēram, ja budžeta iestāde konstatējusi apstākli, kas liegtu tālāku krājumu izmantošanu budžeta iestādes funkciju nodrošināšanai, pamatojoties uz attaisnojuma dokumentiem, budžeta iestāde izslēdz krājumu vērtību, veicot sekojošu grāmatojumu: </w:t>
      </w:r>
    </w:p>
    <w:p w14:paraId="48E55ABC"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8611 Izdevumi no nefinanšu aktīvu norakstīšanas un likvidēšanas </w:t>
      </w:r>
    </w:p>
    <w:p w14:paraId="21D6B8AA"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K 2100 Krājumi</w:t>
      </w:r>
    </w:p>
    <w:p w14:paraId="4577077B"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512</w:t>
      </w:r>
      <w:r w:rsidR="008D404E" w:rsidRPr="00F2066B">
        <w:rPr>
          <w:rFonts w:ascii="Times New Roman" w:hAnsi="Times New Roman" w:cs="Times New Roman"/>
          <w:sz w:val="24"/>
          <w:szCs w:val="24"/>
        </w:rPr>
        <w:t xml:space="preserve">. Pārdodot, apmainot vai izplatot krājumus, šo krājumu uzskaites vērtību budžeta iestāde atzīst izdevumos periodā, kurā atzīt atbilstošos ieņēmumus. Ja atbilstošu ieņēmumu nav, budžeta iestāde izdevumus atzīst, kad tiek izplatītas preces vai sniegts atbilstošs pakalpojums. Krājumu vērtības norakstīšanas summa un visi krājumu zudumi jāatzīst kā izdevumi periodā, kurā veikta šo krājumu vērtības norakstīšana vai radušies zudumi: </w:t>
      </w:r>
    </w:p>
    <w:p w14:paraId="0266DC98"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2190 Vērtības samazinājums krājumiem </w:t>
      </w:r>
    </w:p>
    <w:p w14:paraId="3F295DB4"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8552 Ieņēmumi no vērtības samazinājuma norakstīšanas nefinanšu aktīviem </w:t>
      </w:r>
    </w:p>
    <w:p w14:paraId="30FC9BDC"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8611 Izdevumi no nefinanšu aktīvu norakstīšanas un likvidēšanas </w:t>
      </w:r>
    </w:p>
    <w:p w14:paraId="65F40CC1"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5E9A2D0A" w14:textId="77777777" w:rsidR="008D404E" w:rsidRPr="00F2066B" w:rsidRDefault="008D404E" w:rsidP="00CD363C">
      <w:pPr>
        <w:spacing w:after="0" w:line="240" w:lineRule="auto"/>
        <w:ind w:right="-66"/>
        <w:jc w:val="both"/>
        <w:rPr>
          <w:rFonts w:ascii="Times New Roman" w:hAnsi="Times New Roman" w:cs="Times New Roman"/>
          <w:sz w:val="24"/>
          <w:szCs w:val="24"/>
        </w:rPr>
      </w:pPr>
      <w:r w:rsidRPr="00F2066B">
        <w:rPr>
          <w:rFonts w:ascii="Times New Roman" w:hAnsi="Times New Roman" w:cs="Times New Roman"/>
          <w:sz w:val="24"/>
          <w:szCs w:val="24"/>
        </w:rPr>
        <w:t>*atlikusī uzskaites vērtība</w:t>
      </w:r>
    </w:p>
    <w:p w14:paraId="5BBECC2C"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513</w:t>
      </w:r>
      <w:r w:rsidR="008D404E" w:rsidRPr="00F2066B">
        <w:rPr>
          <w:rFonts w:ascii="Times New Roman" w:hAnsi="Times New Roman" w:cs="Times New Roman"/>
          <w:sz w:val="24"/>
          <w:szCs w:val="24"/>
        </w:rPr>
        <w:t xml:space="preserve">. Dažus krājumus var attiecināt uz citiem aktīvu kontiem, piemēram, krājumus, kurus budžeta iestāde izmanto kā pamatlīdzekļu sastāvdaļu gadījumos, kad budžeta iestāde pati veic pamatlīdzekļa izveidošanu. Ja budžeta iestāde iekļauj krājumu vērtību pamatlīdzekļu izveidošanas izmaksās kontā “Pamatlīdzekļu izveidošana”, budžeta iestāde veic sekojošu grāmatojumu: </w:t>
      </w:r>
    </w:p>
    <w:p w14:paraId="41AB9145" w14:textId="77777777" w:rsidR="008D404E" w:rsidRPr="00151000" w:rsidRDefault="0015100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8D404E" w:rsidRPr="00151000">
        <w:rPr>
          <w:rFonts w:ascii="Times New Roman" w:hAnsi="Times New Roman" w:cs="Times New Roman"/>
          <w:b/>
          <w:sz w:val="24"/>
          <w:szCs w:val="24"/>
        </w:rPr>
        <w:t xml:space="preserve">D 1241 Pamatlīdzekļu izveidošana </w:t>
      </w:r>
    </w:p>
    <w:p w14:paraId="6DF0E35F"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4D4FB583"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514</w:t>
      </w:r>
      <w:r w:rsidR="008D404E" w:rsidRPr="00F2066B">
        <w:rPr>
          <w:rFonts w:ascii="Times New Roman" w:hAnsi="Times New Roman" w:cs="Times New Roman"/>
          <w:sz w:val="24"/>
          <w:szCs w:val="24"/>
        </w:rPr>
        <w:t xml:space="preserve">. Gadījumos, kad budžeta iestāde iekļauj krājumu vērtību cita aktīva sākotnējā vērtībā, tā veic turpmāku aktīva uzskaiti. Iekļaujot krājumus pamatlīdzekļa vai krājumu uzskaites vērtībā veic vienu no sekojošiem grāmatojumiem: </w:t>
      </w:r>
    </w:p>
    <w:p w14:paraId="05F34221"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1240 Pamatlīdzekļu izveidošana un nepabeigtā būvniecība </w:t>
      </w:r>
    </w:p>
    <w:p w14:paraId="603C8FC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2120 Nepabeigtie ražojumi un pasūtījumi </w:t>
      </w:r>
    </w:p>
    <w:p w14:paraId="0E65A4EF"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6C752928"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515</w:t>
      </w:r>
      <w:r w:rsidR="008D404E" w:rsidRPr="00F2066B">
        <w:rPr>
          <w:rFonts w:ascii="Times New Roman" w:hAnsi="Times New Roman" w:cs="Times New Roman"/>
          <w:sz w:val="24"/>
          <w:szCs w:val="24"/>
        </w:rPr>
        <w:t xml:space="preserve">. Budžeta iestāde krājumus var uzskaitīt daudzuma vienībās atsevišķā reģistrā līdz to izlietošanai (utilizācijai). </w:t>
      </w:r>
    </w:p>
    <w:p w14:paraId="65B8D68B" w14:textId="77777777" w:rsidR="008D404E"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516</w:t>
      </w:r>
      <w:r w:rsidR="008D404E" w:rsidRPr="00F2066B">
        <w:rPr>
          <w:rFonts w:ascii="Times New Roman" w:hAnsi="Times New Roman" w:cs="Times New Roman"/>
          <w:sz w:val="24"/>
          <w:szCs w:val="24"/>
        </w:rPr>
        <w:t>. Budžeta iestāde nodrošina inventāra uzskaiti daudzuma vienībās arī pēc tā atzīšanas izdevumos līdz izslēgšanai no uzskaites.</w:t>
      </w:r>
    </w:p>
    <w:p w14:paraId="7F0B8BCD" w14:textId="77777777" w:rsidR="008D404E" w:rsidRDefault="00151000" w:rsidP="00CD363C">
      <w:pPr>
        <w:spacing w:after="0" w:line="240" w:lineRule="auto"/>
        <w:ind w:right="-66"/>
        <w:jc w:val="both"/>
        <w:rPr>
          <w:rFonts w:ascii="Times New Roman" w:hAnsi="Times New Roman" w:cs="Times New Roman"/>
          <w:b/>
          <w:sz w:val="28"/>
          <w:szCs w:val="28"/>
        </w:rPr>
      </w:pPr>
      <w:r w:rsidRPr="00151000">
        <w:rPr>
          <w:rFonts w:ascii="Times New Roman" w:hAnsi="Times New Roman" w:cs="Times New Roman"/>
          <w:b/>
          <w:sz w:val="28"/>
          <w:szCs w:val="28"/>
        </w:rPr>
        <w:t>14.4. Krājumu inventarizācija</w:t>
      </w:r>
    </w:p>
    <w:p w14:paraId="78FF3A98" w14:textId="77777777" w:rsidR="00151000" w:rsidRPr="007F354E" w:rsidRDefault="00151000" w:rsidP="00CD363C">
      <w:pPr>
        <w:spacing w:after="0" w:line="240" w:lineRule="auto"/>
        <w:ind w:right="-66"/>
        <w:jc w:val="both"/>
        <w:rPr>
          <w:rFonts w:ascii="Times New Roman" w:hAnsi="Times New Roman" w:cs="Times New Roman"/>
          <w:b/>
          <w:sz w:val="24"/>
          <w:szCs w:val="24"/>
        </w:rPr>
      </w:pPr>
    </w:p>
    <w:p w14:paraId="7277D49F" w14:textId="77777777" w:rsidR="00151000" w:rsidRPr="007F354E" w:rsidRDefault="00151000"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517.Lai nodrošinātu, ka budžeta iestādes pārskatos ir ietverti visi krājumi, kā arī lai pārliecinātos, ka budžeta</w:t>
      </w:r>
      <w:r w:rsidRPr="007F354E">
        <w:rPr>
          <w:rFonts w:ascii="Times New Roman" w:hAnsi="Times New Roman" w:cs="Times New Roman"/>
          <w:spacing w:val="-12"/>
          <w:sz w:val="24"/>
          <w:szCs w:val="24"/>
        </w:rPr>
        <w:t xml:space="preserve"> </w:t>
      </w:r>
      <w:r w:rsidRPr="007F354E">
        <w:rPr>
          <w:rFonts w:ascii="Times New Roman" w:hAnsi="Times New Roman" w:cs="Times New Roman"/>
          <w:sz w:val="24"/>
          <w:szCs w:val="24"/>
        </w:rPr>
        <w:t>iestādes</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uzskaitē</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esošie</w:t>
      </w:r>
      <w:r w:rsidRPr="007F354E">
        <w:rPr>
          <w:rFonts w:ascii="Times New Roman" w:hAnsi="Times New Roman" w:cs="Times New Roman"/>
          <w:spacing w:val="-8"/>
          <w:sz w:val="24"/>
          <w:szCs w:val="24"/>
        </w:rPr>
        <w:t xml:space="preserve"> </w:t>
      </w:r>
      <w:r w:rsidRPr="007F354E">
        <w:rPr>
          <w:rFonts w:ascii="Times New Roman" w:hAnsi="Times New Roman" w:cs="Times New Roman"/>
          <w:sz w:val="24"/>
          <w:szCs w:val="24"/>
        </w:rPr>
        <w:t>krājumi</w:t>
      </w:r>
      <w:r w:rsidRPr="007F354E">
        <w:rPr>
          <w:rFonts w:ascii="Times New Roman" w:hAnsi="Times New Roman" w:cs="Times New Roman"/>
          <w:spacing w:val="-8"/>
          <w:sz w:val="24"/>
          <w:szCs w:val="24"/>
        </w:rPr>
        <w:t xml:space="preserve"> </w:t>
      </w:r>
      <w:r w:rsidRPr="007F354E">
        <w:rPr>
          <w:rFonts w:ascii="Times New Roman" w:hAnsi="Times New Roman" w:cs="Times New Roman"/>
          <w:sz w:val="24"/>
          <w:szCs w:val="24"/>
        </w:rPr>
        <w:t>eksistē</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dabā</w:t>
      </w:r>
      <w:r w:rsidRPr="007F354E">
        <w:rPr>
          <w:rFonts w:ascii="Times New Roman" w:hAnsi="Times New Roman" w:cs="Times New Roman"/>
          <w:spacing w:val="-10"/>
          <w:sz w:val="24"/>
          <w:szCs w:val="24"/>
        </w:rPr>
        <w:t xml:space="preserve"> </w:t>
      </w:r>
      <w:r w:rsidRPr="007F354E">
        <w:rPr>
          <w:rFonts w:ascii="Times New Roman" w:hAnsi="Times New Roman" w:cs="Times New Roman"/>
          <w:sz w:val="24"/>
          <w:szCs w:val="24"/>
        </w:rPr>
        <w:t>un</w:t>
      </w:r>
      <w:r w:rsidRPr="007F354E">
        <w:rPr>
          <w:rFonts w:ascii="Times New Roman" w:hAnsi="Times New Roman" w:cs="Times New Roman"/>
          <w:spacing w:val="-10"/>
          <w:sz w:val="24"/>
          <w:szCs w:val="24"/>
        </w:rPr>
        <w:t xml:space="preserve"> </w:t>
      </w:r>
      <w:r w:rsidRPr="007F354E">
        <w:rPr>
          <w:rFonts w:ascii="Times New Roman" w:hAnsi="Times New Roman" w:cs="Times New Roman"/>
          <w:sz w:val="24"/>
          <w:szCs w:val="24"/>
        </w:rPr>
        <w:t>ir</w:t>
      </w:r>
      <w:r w:rsidRPr="007F354E">
        <w:rPr>
          <w:rFonts w:ascii="Times New Roman" w:hAnsi="Times New Roman" w:cs="Times New Roman"/>
          <w:spacing w:val="-11"/>
          <w:sz w:val="24"/>
          <w:szCs w:val="24"/>
        </w:rPr>
        <w:t xml:space="preserve"> </w:t>
      </w:r>
      <w:r w:rsidRPr="007F354E">
        <w:rPr>
          <w:rFonts w:ascii="Times New Roman" w:hAnsi="Times New Roman" w:cs="Times New Roman"/>
          <w:sz w:val="24"/>
          <w:szCs w:val="24"/>
        </w:rPr>
        <w:t>atbilstoši</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novērtēti,</w:t>
      </w:r>
      <w:r w:rsidRPr="007F354E">
        <w:rPr>
          <w:rFonts w:ascii="Times New Roman" w:hAnsi="Times New Roman" w:cs="Times New Roman"/>
          <w:spacing w:val="-10"/>
          <w:sz w:val="24"/>
          <w:szCs w:val="24"/>
        </w:rPr>
        <w:t xml:space="preserve"> </w:t>
      </w:r>
      <w:r w:rsidRPr="007F354E">
        <w:rPr>
          <w:rFonts w:ascii="Times New Roman" w:hAnsi="Times New Roman" w:cs="Times New Roman"/>
          <w:sz w:val="24"/>
          <w:szCs w:val="24"/>
        </w:rPr>
        <w:t>pārskata</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perioda</w:t>
      </w:r>
      <w:r w:rsidRPr="007F354E">
        <w:rPr>
          <w:rFonts w:ascii="Times New Roman" w:hAnsi="Times New Roman" w:cs="Times New Roman"/>
          <w:spacing w:val="-12"/>
          <w:sz w:val="24"/>
          <w:szCs w:val="24"/>
        </w:rPr>
        <w:t xml:space="preserve"> </w:t>
      </w:r>
      <w:r w:rsidRPr="007F354E">
        <w:rPr>
          <w:rFonts w:ascii="Times New Roman" w:hAnsi="Times New Roman" w:cs="Times New Roman"/>
          <w:sz w:val="24"/>
          <w:szCs w:val="24"/>
        </w:rPr>
        <w:t>beigās veic krājumu inventarizāciju.</w:t>
      </w:r>
    </w:p>
    <w:p w14:paraId="7A24DE41"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518.</w:t>
      </w:r>
      <w:r w:rsidR="00151000" w:rsidRPr="007F354E">
        <w:rPr>
          <w:rFonts w:ascii="Times New Roman" w:hAnsi="Times New Roman" w:cs="Times New Roman"/>
          <w:sz w:val="24"/>
          <w:szCs w:val="24"/>
        </w:rPr>
        <w:t>Krājumu inventarizāciju veic saskaņā ar normatīvajos aktos noteikto kārtību, kā arī budžeta iestādē apstiprināto inventarizācijas</w:t>
      </w:r>
      <w:r w:rsidR="00151000" w:rsidRPr="007F354E">
        <w:rPr>
          <w:rFonts w:ascii="Times New Roman" w:hAnsi="Times New Roman" w:cs="Times New Roman"/>
          <w:spacing w:val="-2"/>
          <w:sz w:val="24"/>
          <w:szCs w:val="24"/>
        </w:rPr>
        <w:t xml:space="preserve"> </w:t>
      </w:r>
      <w:r w:rsidR="00151000" w:rsidRPr="007F354E">
        <w:rPr>
          <w:rFonts w:ascii="Times New Roman" w:hAnsi="Times New Roman" w:cs="Times New Roman"/>
          <w:sz w:val="24"/>
          <w:szCs w:val="24"/>
        </w:rPr>
        <w:t>kārtību.</w:t>
      </w:r>
    </w:p>
    <w:p w14:paraId="736F659C" w14:textId="77777777" w:rsidR="00151000" w:rsidRPr="007F354E" w:rsidRDefault="007F354E" w:rsidP="00CD363C">
      <w:pPr>
        <w:widowControl w:val="0"/>
        <w:tabs>
          <w:tab w:val="left" w:pos="1358"/>
          <w:tab w:val="left" w:pos="793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519.</w:t>
      </w:r>
      <w:r w:rsidR="00151000" w:rsidRPr="007F354E">
        <w:rPr>
          <w:rFonts w:ascii="Times New Roman" w:hAnsi="Times New Roman" w:cs="Times New Roman"/>
          <w:sz w:val="24"/>
          <w:szCs w:val="24"/>
        </w:rPr>
        <w:t>Inventarizāciju</w:t>
      </w:r>
      <w:r w:rsidR="00151000" w:rsidRPr="007F354E">
        <w:rPr>
          <w:rFonts w:ascii="Times New Roman" w:hAnsi="Times New Roman" w:cs="Times New Roman"/>
          <w:spacing w:val="-8"/>
          <w:sz w:val="24"/>
          <w:szCs w:val="24"/>
        </w:rPr>
        <w:t xml:space="preserve"> </w:t>
      </w:r>
      <w:r w:rsidR="00151000" w:rsidRPr="007F354E">
        <w:rPr>
          <w:rFonts w:ascii="Times New Roman" w:hAnsi="Times New Roman" w:cs="Times New Roman"/>
          <w:sz w:val="24"/>
          <w:szCs w:val="24"/>
        </w:rPr>
        <w:t>veic</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vismaz</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reizi</w:t>
      </w:r>
      <w:r w:rsidR="00151000" w:rsidRPr="007F354E">
        <w:rPr>
          <w:rFonts w:ascii="Times New Roman" w:hAnsi="Times New Roman" w:cs="Times New Roman"/>
          <w:spacing w:val="-6"/>
          <w:sz w:val="24"/>
          <w:szCs w:val="24"/>
        </w:rPr>
        <w:t xml:space="preserve"> </w:t>
      </w:r>
      <w:r w:rsidR="00151000" w:rsidRPr="007F354E">
        <w:rPr>
          <w:rFonts w:ascii="Times New Roman" w:hAnsi="Times New Roman" w:cs="Times New Roman"/>
          <w:sz w:val="24"/>
          <w:szCs w:val="24"/>
        </w:rPr>
        <w:t>gadā</w:t>
      </w:r>
      <w:r w:rsidR="00151000" w:rsidRPr="007F354E">
        <w:rPr>
          <w:rFonts w:ascii="Times New Roman" w:hAnsi="Times New Roman" w:cs="Times New Roman"/>
          <w:spacing w:val="-5"/>
          <w:sz w:val="24"/>
          <w:szCs w:val="24"/>
        </w:rPr>
        <w:t xml:space="preserve"> </w:t>
      </w:r>
      <w:r w:rsidR="00151000" w:rsidRPr="007F354E">
        <w:rPr>
          <w:rFonts w:ascii="Times New Roman" w:hAnsi="Times New Roman" w:cs="Times New Roman"/>
          <w:sz w:val="24"/>
          <w:szCs w:val="24"/>
        </w:rPr>
        <w:t>–</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pārskata</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gada</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slēguma</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inventarizāciju</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veic</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triju</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mēnešu</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laikā pirms pārskata gada beigu dienas vai mēneša laikā pēc tās, pārrēķinot inventarizācijas dienā konstatētos</w:t>
      </w:r>
      <w:r w:rsidR="00151000" w:rsidRPr="007F354E">
        <w:rPr>
          <w:rFonts w:ascii="Times New Roman" w:hAnsi="Times New Roman" w:cs="Times New Roman"/>
          <w:spacing w:val="-8"/>
          <w:sz w:val="24"/>
          <w:szCs w:val="24"/>
        </w:rPr>
        <w:t xml:space="preserve"> </w:t>
      </w:r>
      <w:r w:rsidR="00151000" w:rsidRPr="007F354E">
        <w:rPr>
          <w:rFonts w:ascii="Times New Roman" w:hAnsi="Times New Roman" w:cs="Times New Roman"/>
          <w:sz w:val="24"/>
          <w:szCs w:val="24"/>
        </w:rPr>
        <w:t>atlikumus</w:t>
      </w:r>
      <w:r w:rsidR="00151000" w:rsidRPr="007F354E">
        <w:rPr>
          <w:rFonts w:ascii="Times New Roman" w:hAnsi="Times New Roman" w:cs="Times New Roman"/>
          <w:spacing w:val="-6"/>
          <w:sz w:val="24"/>
          <w:szCs w:val="24"/>
        </w:rPr>
        <w:t xml:space="preserve"> </w:t>
      </w:r>
      <w:r w:rsidR="00151000" w:rsidRPr="007F354E">
        <w:rPr>
          <w:rFonts w:ascii="Times New Roman" w:hAnsi="Times New Roman" w:cs="Times New Roman"/>
          <w:sz w:val="24"/>
          <w:szCs w:val="24"/>
        </w:rPr>
        <w:t>atbilstoši</w:t>
      </w:r>
      <w:r w:rsidR="00151000" w:rsidRPr="007F354E">
        <w:rPr>
          <w:rFonts w:ascii="Times New Roman" w:hAnsi="Times New Roman" w:cs="Times New Roman"/>
          <w:spacing w:val="-6"/>
          <w:sz w:val="24"/>
          <w:szCs w:val="24"/>
        </w:rPr>
        <w:t xml:space="preserve"> </w:t>
      </w:r>
      <w:r w:rsidR="00151000" w:rsidRPr="007F354E">
        <w:rPr>
          <w:rFonts w:ascii="Times New Roman" w:hAnsi="Times New Roman" w:cs="Times New Roman"/>
          <w:sz w:val="24"/>
          <w:szCs w:val="24"/>
        </w:rPr>
        <w:t>grāmatvedības</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datiem</w:t>
      </w:r>
      <w:r w:rsidR="00151000" w:rsidRPr="007F354E">
        <w:rPr>
          <w:rFonts w:ascii="Times New Roman" w:hAnsi="Times New Roman" w:cs="Times New Roman"/>
          <w:spacing w:val="-10"/>
          <w:sz w:val="24"/>
          <w:szCs w:val="24"/>
        </w:rPr>
        <w:t xml:space="preserve"> </w:t>
      </w:r>
      <w:r w:rsidR="00151000" w:rsidRPr="007F354E">
        <w:rPr>
          <w:rFonts w:ascii="Times New Roman" w:hAnsi="Times New Roman" w:cs="Times New Roman"/>
          <w:sz w:val="24"/>
          <w:szCs w:val="24"/>
        </w:rPr>
        <w:t>pārskata</w:t>
      </w:r>
      <w:r w:rsidR="00151000" w:rsidRPr="007F354E">
        <w:rPr>
          <w:rFonts w:ascii="Times New Roman" w:hAnsi="Times New Roman" w:cs="Times New Roman"/>
          <w:spacing w:val="-8"/>
          <w:sz w:val="24"/>
          <w:szCs w:val="24"/>
        </w:rPr>
        <w:t xml:space="preserve"> </w:t>
      </w:r>
      <w:r w:rsidR="00151000" w:rsidRPr="007F354E">
        <w:rPr>
          <w:rFonts w:ascii="Times New Roman" w:hAnsi="Times New Roman" w:cs="Times New Roman"/>
          <w:sz w:val="24"/>
          <w:szCs w:val="24"/>
        </w:rPr>
        <w:t>gada</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beigu</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dienā,</w:t>
      </w:r>
      <w:r w:rsidR="00151000" w:rsidRPr="007F354E">
        <w:rPr>
          <w:rFonts w:ascii="Times New Roman" w:hAnsi="Times New Roman" w:cs="Times New Roman"/>
          <w:spacing w:val="-4"/>
          <w:sz w:val="24"/>
          <w:szCs w:val="24"/>
        </w:rPr>
        <w:t xml:space="preserve"> </w:t>
      </w:r>
      <w:r w:rsidR="00151000" w:rsidRPr="007F354E">
        <w:rPr>
          <w:rFonts w:ascii="Times New Roman" w:hAnsi="Times New Roman" w:cs="Times New Roman"/>
          <w:sz w:val="24"/>
          <w:szCs w:val="24"/>
        </w:rPr>
        <w:t>bet,</w:t>
      </w:r>
      <w:r w:rsidR="00151000" w:rsidRPr="007F354E">
        <w:rPr>
          <w:rFonts w:ascii="Times New Roman" w:hAnsi="Times New Roman" w:cs="Times New Roman"/>
          <w:spacing w:val="-12"/>
          <w:sz w:val="24"/>
          <w:szCs w:val="24"/>
        </w:rPr>
        <w:t xml:space="preserve"> </w:t>
      </w:r>
      <w:r w:rsidR="00151000" w:rsidRPr="007F354E">
        <w:rPr>
          <w:rFonts w:ascii="Times New Roman" w:hAnsi="Times New Roman" w:cs="Times New Roman"/>
          <w:sz w:val="24"/>
          <w:szCs w:val="24"/>
        </w:rPr>
        <w:t>ja</w:t>
      </w:r>
      <w:r w:rsidR="00151000" w:rsidRPr="007F354E">
        <w:rPr>
          <w:rFonts w:ascii="Times New Roman" w:hAnsi="Times New Roman" w:cs="Times New Roman"/>
          <w:spacing w:val="-10"/>
          <w:sz w:val="24"/>
          <w:szCs w:val="24"/>
        </w:rPr>
        <w:t xml:space="preserve"> </w:t>
      </w:r>
      <w:r w:rsidR="00151000" w:rsidRPr="007F354E">
        <w:rPr>
          <w:rFonts w:ascii="Times New Roman" w:hAnsi="Times New Roman" w:cs="Times New Roman"/>
          <w:sz w:val="24"/>
          <w:szCs w:val="24"/>
        </w:rPr>
        <w:t>nepieciešams (atbildīgās personas maiņas gadījumā u.tml.), arī</w:t>
      </w:r>
      <w:r w:rsidR="00151000" w:rsidRPr="007F354E">
        <w:rPr>
          <w:rFonts w:ascii="Times New Roman" w:hAnsi="Times New Roman" w:cs="Times New Roman"/>
          <w:spacing w:val="-3"/>
          <w:sz w:val="24"/>
          <w:szCs w:val="24"/>
        </w:rPr>
        <w:t xml:space="preserve"> </w:t>
      </w:r>
      <w:r w:rsidR="00151000" w:rsidRPr="007F354E">
        <w:rPr>
          <w:rFonts w:ascii="Times New Roman" w:hAnsi="Times New Roman" w:cs="Times New Roman"/>
          <w:sz w:val="24"/>
          <w:szCs w:val="24"/>
        </w:rPr>
        <w:t>biežāk.</w:t>
      </w:r>
    </w:p>
    <w:p w14:paraId="139A1792"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520.</w:t>
      </w:r>
      <w:r w:rsidR="00151000" w:rsidRPr="007F354E">
        <w:rPr>
          <w:rFonts w:ascii="Times New Roman" w:hAnsi="Times New Roman" w:cs="Times New Roman"/>
          <w:sz w:val="24"/>
          <w:szCs w:val="24"/>
        </w:rPr>
        <w:t>Inventarizāciju veic budžeta iestādes vadītāja apstiprināta inventarizācijas komisija, un tās rezultātus apstiprina inventarizācijas komisijas locekļi, budžeta iestādes vadītājs un materiāli atbildīgās personas.</w:t>
      </w:r>
    </w:p>
    <w:p w14:paraId="1987064C"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521.</w:t>
      </w:r>
      <w:r w:rsidR="00151000" w:rsidRPr="007F354E">
        <w:rPr>
          <w:rFonts w:ascii="Times New Roman" w:hAnsi="Times New Roman" w:cs="Times New Roman"/>
          <w:sz w:val="24"/>
          <w:szCs w:val="24"/>
        </w:rPr>
        <w:t>Inventarizācijas</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komisijas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personālsastāvu</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un</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inventarizācijas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sākšanas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un</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beigšanas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termiņus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00151000" w:rsidRPr="007F354E">
        <w:rPr>
          <w:rFonts w:ascii="Times New Roman" w:hAnsi="Times New Roman" w:cs="Times New Roman"/>
          <w:spacing w:val="-1"/>
          <w:sz w:val="24"/>
          <w:szCs w:val="24"/>
        </w:rPr>
        <w:t xml:space="preserve"> </w:t>
      </w:r>
      <w:r w:rsidR="00151000" w:rsidRPr="007F354E">
        <w:rPr>
          <w:rFonts w:ascii="Times New Roman" w:hAnsi="Times New Roman" w:cs="Times New Roman"/>
          <w:sz w:val="24"/>
          <w:szCs w:val="24"/>
        </w:rPr>
        <w:t>termiņus.</w:t>
      </w:r>
    </w:p>
    <w:p w14:paraId="6C09454F" w14:textId="77777777" w:rsidR="00151000" w:rsidRPr="007F354E" w:rsidRDefault="007F354E" w:rsidP="00CD363C">
      <w:pPr>
        <w:widowControl w:val="0"/>
        <w:tabs>
          <w:tab w:val="left" w:pos="1358"/>
          <w:tab w:val="left" w:pos="793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522.</w:t>
      </w:r>
      <w:r w:rsidR="00151000" w:rsidRPr="007F354E">
        <w:rPr>
          <w:rFonts w:ascii="Times New Roman" w:hAnsi="Times New Roman" w:cs="Times New Roman"/>
          <w:sz w:val="24"/>
          <w:szCs w:val="24"/>
        </w:rPr>
        <w:t>Ja inventarizācijas rezultātā ir konstatēti krājumi, kas līdz šim nav bijuši iekļauti uzskaitē, budžeta iestādes vadītāja izveidota komisija, ja nepieciešams pieaicinot attiecīgās jomas speciālistu, vai iestādes attiecīgais atbildīgais jomas speciālists nosaka krājumu vērtību un sagatavo krājumu novērtēšanas</w:t>
      </w:r>
      <w:r w:rsidR="00151000" w:rsidRPr="007F354E">
        <w:rPr>
          <w:rFonts w:ascii="Times New Roman" w:hAnsi="Times New Roman" w:cs="Times New Roman"/>
          <w:spacing w:val="-1"/>
          <w:sz w:val="24"/>
          <w:szCs w:val="24"/>
        </w:rPr>
        <w:t xml:space="preserve"> </w:t>
      </w:r>
      <w:r w:rsidR="00151000" w:rsidRPr="007F354E">
        <w:rPr>
          <w:rFonts w:ascii="Times New Roman" w:hAnsi="Times New Roman" w:cs="Times New Roman"/>
          <w:sz w:val="24"/>
          <w:szCs w:val="24"/>
        </w:rPr>
        <w:t>aktu.</w:t>
      </w:r>
    </w:p>
    <w:p w14:paraId="3AB4CE47"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523.</w:t>
      </w:r>
      <w:r w:rsidR="00151000" w:rsidRPr="007F354E">
        <w:rPr>
          <w:rFonts w:ascii="Times New Roman" w:hAnsi="Times New Roman" w:cs="Times New Roman"/>
          <w:sz w:val="24"/>
          <w:szCs w:val="24"/>
        </w:rPr>
        <w:t>Budžeta iestāde, pamatojoties uz komisijas sagatavoto aktu, atzīst sākotnēji uzskaitē krājumus, komisijas noteiktajā vērtībā palielinot attiecīgo krājumu un atbilstošo ieņēmumu kontu, un veic sekojošu</w:t>
      </w:r>
      <w:r w:rsidR="00151000" w:rsidRPr="007F354E">
        <w:rPr>
          <w:rFonts w:ascii="Times New Roman" w:hAnsi="Times New Roman" w:cs="Times New Roman"/>
          <w:spacing w:val="-1"/>
          <w:sz w:val="24"/>
          <w:szCs w:val="24"/>
        </w:rPr>
        <w:t xml:space="preserve"> </w:t>
      </w:r>
      <w:r w:rsidR="00151000" w:rsidRPr="007F354E">
        <w:rPr>
          <w:rFonts w:ascii="Times New Roman" w:hAnsi="Times New Roman" w:cs="Times New Roman"/>
          <w:sz w:val="24"/>
          <w:szCs w:val="24"/>
        </w:rPr>
        <w:t>grāmatojumu:</w:t>
      </w:r>
    </w:p>
    <w:p w14:paraId="455A46E5" w14:textId="77777777" w:rsidR="00A40E3F" w:rsidRPr="007F354E" w:rsidRDefault="007F354E" w:rsidP="00CD363C">
      <w:pPr>
        <w:spacing w:after="0" w:line="240" w:lineRule="auto"/>
        <w:ind w:right="-66"/>
        <w:jc w:val="both"/>
        <w:rPr>
          <w:rFonts w:ascii="Times New Roman" w:hAnsi="Times New Roman" w:cs="Times New Roman"/>
          <w:b/>
          <w:sz w:val="24"/>
          <w:szCs w:val="24"/>
        </w:rPr>
      </w:pPr>
      <w:r w:rsidRPr="007F354E">
        <w:rPr>
          <w:rFonts w:ascii="Times New Roman" w:hAnsi="Times New Roman" w:cs="Times New Roman"/>
          <w:b/>
          <w:sz w:val="24"/>
          <w:szCs w:val="24"/>
        </w:rPr>
        <w:t xml:space="preserve">    D 2100  Krājumi</w:t>
      </w:r>
    </w:p>
    <w:p w14:paraId="335E9583" w14:textId="77777777" w:rsidR="007F354E" w:rsidRDefault="007F354E" w:rsidP="00CD363C">
      <w:pPr>
        <w:spacing w:after="0" w:line="240" w:lineRule="auto"/>
        <w:ind w:right="-66"/>
        <w:jc w:val="both"/>
        <w:rPr>
          <w:rFonts w:ascii="Times New Roman" w:hAnsi="Times New Roman" w:cs="Times New Roman"/>
          <w:b/>
          <w:sz w:val="24"/>
          <w:szCs w:val="24"/>
        </w:rPr>
      </w:pPr>
      <w:r w:rsidRPr="007F354E">
        <w:rPr>
          <w:rFonts w:ascii="Times New Roman" w:hAnsi="Times New Roman" w:cs="Times New Roman"/>
          <w:b/>
          <w:sz w:val="24"/>
          <w:szCs w:val="24"/>
        </w:rPr>
        <w:t xml:space="preserve">    K 8570 Ieņēmumi no īstermiņa aktīvu sākotnējās atzīšanas</w:t>
      </w:r>
    </w:p>
    <w:p w14:paraId="4E9A7FA8" w14:textId="77777777" w:rsid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524.</w:t>
      </w:r>
      <w:r w:rsidRPr="007F354E">
        <w:t xml:space="preserve"> </w:t>
      </w:r>
      <w:r w:rsidRPr="007F354E">
        <w:rPr>
          <w:rFonts w:ascii="Times New Roman" w:hAnsi="Times New Roman" w:cs="Times New Roman"/>
          <w:sz w:val="24"/>
          <w:szCs w:val="24"/>
        </w:rPr>
        <w:t>Ja inventarizācijas rezultātā ir konstatēts krājumu iztrūkums vai bojājums, kas liegtu tā tālāku izmantošanu budžeta iestādes darbībā, budžeta iestāde, pamatojoties uz iestādes vadītāja apstiprinātu kārtību, attiecīgos krājumus noraksta no uzskaites, veicot sekojošu</w:t>
      </w:r>
      <w:r w:rsidRPr="007F354E">
        <w:rPr>
          <w:rFonts w:ascii="Times New Roman" w:hAnsi="Times New Roman" w:cs="Times New Roman"/>
          <w:spacing w:val="-7"/>
          <w:sz w:val="24"/>
          <w:szCs w:val="24"/>
        </w:rPr>
        <w:t xml:space="preserve"> </w:t>
      </w:r>
      <w:r w:rsidRPr="007F354E">
        <w:rPr>
          <w:rFonts w:ascii="Times New Roman" w:hAnsi="Times New Roman" w:cs="Times New Roman"/>
          <w:sz w:val="24"/>
          <w:szCs w:val="24"/>
        </w:rPr>
        <w:t>grāmatojumu:</w:t>
      </w:r>
    </w:p>
    <w:p w14:paraId="18202B4C" w14:textId="77777777" w:rsidR="007F354E"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7F354E">
        <w:rPr>
          <w:rFonts w:ascii="Times New Roman" w:hAnsi="Times New Roman" w:cs="Times New Roman"/>
          <w:b/>
          <w:sz w:val="24"/>
          <w:szCs w:val="24"/>
        </w:rPr>
        <w:t>D 8611 Izdevumi no nefinanšu aktīvu likvidēšanas un norakstīšanas</w:t>
      </w:r>
    </w:p>
    <w:p w14:paraId="2529BF3A" w14:textId="77777777" w:rsidR="007F354E"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b/>
          <w:sz w:val="24"/>
          <w:szCs w:val="24"/>
        </w:rPr>
      </w:pPr>
      <w:r w:rsidRPr="007F354E">
        <w:rPr>
          <w:rFonts w:ascii="Times New Roman" w:hAnsi="Times New Roman" w:cs="Times New Roman"/>
          <w:b/>
          <w:sz w:val="24"/>
          <w:szCs w:val="24"/>
        </w:rPr>
        <w:t xml:space="preserve">    K 2100 Krājumi</w:t>
      </w:r>
    </w:p>
    <w:p w14:paraId="4D99EBE3" w14:textId="77777777" w:rsidR="007F354E" w:rsidRDefault="007F354E" w:rsidP="00CD363C">
      <w:pPr>
        <w:spacing w:after="0" w:line="240" w:lineRule="auto"/>
        <w:ind w:right="-66"/>
        <w:jc w:val="both"/>
        <w:rPr>
          <w:rFonts w:ascii="Times New Roman" w:hAnsi="Times New Roman" w:cs="Times New Roman"/>
          <w:b/>
          <w:sz w:val="24"/>
          <w:szCs w:val="24"/>
        </w:rPr>
      </w:pPr>
    </w:p>
    <w:p w14:paraId="24FB38CF" w14:textId="77777777" w:rsidR="001226AD" w:rsidRDefault="00B2173C" w:rsidP="00CD363C">
      <w:pPr>
        <w:spacing w:after="0" w:line="240" w:lineRule="auto"/>
        <w:ind w:right="-66"/>
        <w:jc w:val="center"/>
        <w:rPr>
          <w:rFonts w:ascii="Times New Roman" w:hAnsi="Times New Roman" w:cs="Times New Roman"/>
          <w:b/>
          <w:sz w:val="28"/>
          <w:szCs w:val="28"/>
        </w:rPr>
      </w:pPr>
      <w:r w:rsidRPr="00B2173C">
        <w:rPr>
          <w:rFonts w:ascii="Times New Roman" w:hAnsi="Times New Roman" w:cs="Times New Roman"/>
          <w:b/>
          <w:sz w:val="28"/>
          <w:szCs w:val="28"/>
        </w:rPr>
        <w:t>15. Prasību uzskaite, nākamo periodu izdevumu un avansu uzskaite</w:t>
      </w:r>
    </w:p>
    <w:p w14:paraId="54BF32C4" w14:textId="77777777" w:rsidR="00B2173C" w:rsidRDefault="00B2173C" w:rsidP="00CD363C">
      <w:pPr>
        <w:spacing w:after="0" w:line="240" w:lineRule="auto"/>
        <w:ind w:right="-66"/>
        <w:jc w:val="both"/>
        <w:rPr>
          <w:rFonts w:ascii="Times New Roman" w:hAnsi="Times New Roman" w:cs="Times New Roman"/>
          <w:b/>
          <w:sz w:val="28"/>
          <w:szCs w:val="28"/>
        </w:rPr>
      </w:pPr>
      <w:r w:rsidRPr="00B2173C">
        <w:rPr>
          <w:rFonts w:ascii="Times New Roman" w:hAnsi="Times New Roman" w:cs="Times New Roman"/>
          <w:b/>
          <w:sz w:val="28"/>
          <w:szCs w:val="28"/>
        </w:rPr>
        <w:t>15.1. Prasību uzskaite</w:t>
      </w:r>
    </w:p>
    <w:p w14:paraId="460B73AD"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525</w:t>
      </w:r>
      <w:r w:rsidRPr="006D53ED">
        <w:rPr>
          <w:rFonts w:ascii="Times New Roman" w:hAnsi="Times New Roman" w:cs="Times New Roman"/>
          <w:sz w:val="24"/>
          <w:szCs w:val="24"/>
        </w:rPr>
        <w:t xml:space="preserve">. Budžeta iestāde sākotnēji atzīst prasības patiesajā vērtībā. </w:t>
      </w:r>
    </w:p>
    <w:p w14:paraId="406191F5"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526</w:t>
      </w:r>
      <w:r w:rsidRPr="006D53ED">
        <w:rPr>
          <w:rFonts w:ascii="Times New Roman" w:hAnsi="Times New Roman" w:cs="Times New Roman"/>
          <w:sz w:val="24"/>
          <w:szCs w:val="24"/>
        </w:rPr>
        <w:t xml:space="preserve">. Īstermiņa prasībās uzskaita prasību summas, kuras atmaksās budžeta iestādes parastā darbības cikla ietvaros vai kuru atmaksas termiņš pārskata perioda beigās nepārsniegs gadu no bilances datuma. </w:t>
      </w:r>
    </w:p>
    <w:p w14:paraId="7A29433C"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527</w:t>
      </w:r>
      <w:r w:rsidRPr="006D53ED">
        <w:rPr>
          <w:rFonts w:ascii="Times New Roman" w:hAnsi="Times New Roman" w:cs="Times New Roman"/>
          <w:sz w:val="24"/>
          <w:szCs w:val="24"/>
        </w:rPr>
        <w:t xml:space="preserve">. Ilgtermiņa prasībās uzskaita prasības, kuru paredzētā atmaksa (dzēšana) atbilstoši sākotnējiem (līgumu) nosacījumiem pārsniedz gadu no bilances datuma. Pārskata perioda beigās aprēķina un apgrozāmo līdzekļu sastāvā norāda ilgtermiņa prasību īstermiņa daļu. </w:t>
      </w:r>
    </w:p>
    <w:p w14:paraId="1C054FD5"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528</w:t>
      </w:r>
      <w:r w:rsidRPr="006D53ED">
        <w:rPr>
          <w:rFonts w:ascii="Times New Roman" w:hAnsi="Times New Roman" w:cs="Times New Roman"/>
          <w:sz w:val="24"/>
          <w:szCs w:val="24"/>
        </w:rPr>
        <w:t xml:space="preserve">. Budžeta iestāde atzīst prasības dienā, kad budžeta iestāde noformē pircējam (budžeta iestādes klientam) dokumentu, kas apstiprina sniegtā pakalpojuma izpildi, piemēram, izsniedz rēķinu u.c. Izņēmums ir gadījumi, kad līgumā ir minēti kādi citi nosacījumi, piemēram, ja ir nepieciešams abu pušu apstiprināts dokuments, lai priekšmeta/darba izpildes nodošanu varētu uzskatīt par notikušu. Šādā gadījumā prasība atzīstama pēc minētā dokumenta abpusējas apstiprināšanas, piemēram, veikto darbu pieņemšanas-nodošanas akta parakstīšanas. </w:t>
      </w:r>
    </w:p>
    <w:p w14:paraId="12D45BC0"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529</w:t>
      </w:r>
      <w:r w:rsidRPr="006D53ED">
        <w:rPr>
          <w:rFonts w:ascii="Times New Roman" w:hAnsi="Times New Roman" w:cs="Times New Roman"/>
          <w:sz w:val="24"/>
          <w:szCs w:val="24"/>
        </w:rPr>
        <w:t>. Budžeta iestāde atzīst prasības un ieņēmumus, pamatojoties uz izrakstīto rēķinu vai citu attaisnojuma dokumentu, veicot sekojošu grāmatojumu:</w:t>
      </w:r>
    </w:p>
    <w:p w14:paraId="77D07F28" w14:textId="77777777" w:rsidR="00B2173C" w:rsidRPr="00B2173C" w:rsidRDefault="00B2173C" w:rsidP="00CD363C">
      <w:pPr>
        <w:spacing w:after="0" w:line="240" w:lineRule="auto"/>
        <w:ind w:right="-66"/>
        <w:jc w:val="both"/>
        <w:rPr>
          <w:rFonts w:ascii="Times New Roman" w:hAnsi="Times New Roman" w:cs="Times New Roman"/>
          <w:b/>
          <w:sz w:val="24"/>
          <w:szCs w:val="24"/>
        </w:rPr>
      </w:pPr>
      <w:r w:rsidRPr="00B2173C">
        <w:rPr>
          <w:rFonts w:ascii="Times New Roman" w:hAnsi="Times New Roman" w:cs="Times New Roman"/>
          <w:b/>
          <w:sz w:val="24"/>
          <w:szCs w:val="24"/>
        </w:rPr>
        <w:t xml:space="preserve">    D 2300 Īstermiņa prasības</w:t>
      </w:r>
    </w:p>
    <w:p w14:paraId="14AB1A65" w14:textId="77777777" w:rsidR="00B2173C" w:rsidRPr="00B2173C" w:rsidRDefault="00B2173C" w:rsidP="00CD363C">
      <w:pPr>
        <w:spacing w:after="0" w:line="240" w:lineRule="auto"/>
        <w:ind w:right="-66"/>
        <w:jc w:val="both"/>
        <w:rPr>
          <w:rFonts w:ascii="Times New Roman" w:hAnsi="Times New Roman" w:cs="Times New Roman"/>
          <w:b/>
          <w:sz w:val="24"/>
          <w:szCs w:val="24"/>
        </w:rPr>
      </w:pPr>
      <w:r w:rsidRPr="00B2173C">
        <w:rPr>
          <w:rFonts w:ascii="Times New Roman" w:hAnsi="Times New Roman" w:cs="Times New Roman"/>
          <w:b/>
          <w:sz w:val="24"/>
          <w:szCs w:val="24"/>
        </w:rPr>
        <w:t xml:space="preserve">    K 6000 vai </w:t>
      </w:r>
    </w:p>
    <w:p w14:paraId="032047B9" w14:textId="77777777" w:rsidR="00B2173C" w:rsidRPr="005240CD" w:rsidRDefault="005240CD" w:rsidP="00CD363C">
      <w:pPr>
        <w:spacing w:after="0" w:line="240" w:lineRule="auto"/>
        <w:ind w:right="-66"/>
        <w:jc w:val="both"/>
        <w:rPr>
          <w:rFonts w:ascii="Times New Roman" w:hAnsi="Times New Roman" w:cs="Times New Roman"/>
          <w:b/>
          <w:sz w:val="24"/>
          <w:szCs w:val="24"/>
        </w:rPr>
      </w:pPr>
      <w:r w:rsidRPr="005240CD">
        <w:rPr>
          <w:rFonts w:ascii="Times New Roman" w:hAnsi="Times New Roman" w:cs="Times New Roman"/>
          <w:b/>
          <w:sz w:val="24"/>
          <w:szCs w:val="24"/>
        </w:rPr>
        <w:t xml:space="preserve">    </w:t>
      </w:r>
      <w:r w:rsidR="00B2173C" w:rsidRPr="005240CD">
        <w:rPr>
          <w:rFonts w:ascii="Times New Roman" w:hAnsi="Times New Roman" w:cs="Times New Roman"/>
          <w:b/>
          <w:sz w:val="24"/>
          <w:szCs w:val="24"/>
        </w:rPr>
        <w:t xml:space="preserve">8510 Pamatdarbības ieņēmumi vai Ieņēmumi no atsavināšanai paredzēto nefinanšu aktīvu pārdošanas </w:t>
      </w:r>
    </w:p>
    <w:p w14:paraId="086C2C13" w14:textId="77777777" w:rsidR="00B2173C" w:rsidRPr="005240CD" w:rsidRDefault="005240C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5240CD">
        <w:rPr>
          <w:rFonts w:ascii="Times New Roman" w:hAnsi="Times New Roman" w:cs="Times New Roman"/>
          <w:b/>
          <w:sz w:val="24"/>
          <w:szCs w:val="24"/>
        </w:rPr>
        <w:t xml:space="preserve">K* 5723 Pievienotās vērtības nodoklis </w:t>
      </w:r>
    </w:p>
    <w:p w14:paraId="38E37A4B" w14:textId="77777777" w:rsidR="00B2173C" w:rsidRPr="006D53ED" w:rsidRDefault="005240C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00B2173C" w:rsidRPr="006D53ED">
        <w:rPr>
          <w:rFonts w:ascii="Times New Roman" w:hAnsi="Times New Roman" w:cs="Times New Roman"/>
          <w:sz w:val="24"/>
          <w:szCs w:val="24"/>
        </w:rPr>
        <w:t>*ja budžeta iestāde ir PVN maksātāja.</w:t>
      </w:r>
    </w:p>
    <w:p w14:paraId="09D77238"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530</w:t>
      </w:r>
      <w:r w:rsidRPr="006D53ED">
        <w:rPr>
          <w:rFonts w:ascii="Times New Roman" w:hAnsi="Times New Roman" w:cs="Times New Roman"/>
          <w:sz w:val="24"/>
          <w:szCs w:val="24"/>
        </w:rPr>
        <w:t xml:space="preserve">. Veicot prasību grāmatvedības uzskaiti, budžeta iestāde ievēro šādus pamatprincipus: </w:t>
      </w:r>
    </w:p>
    <w:p w14:paraId="294596E0" w14:textId="77777777" w:rsidR="00B2173C" w:rsidRPr="004F534E"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530</w:t>
      </w:r>
      <w:r w:rsidRPr="004F534E">
        <w:rPr>
          <w:rFonts w:ascii="Times New Roman" w:hAnsi="Times New Roman" w:cs="Times New Roman"/>
          <w:sz w:val="24"/>
          <w:szCs w:val="24"/>
        </w:rPr>
        <w:t>.1.uzkrāšanas principu, kurš nosaka, ka ieņēmumus atzīst tad, kad tie radušies neatkarīgi no rēķina vai naudas saņemšanas;</w:t>
      </w:r>
    </w:p>
    <w:p w14:paraId="6DB9E29E" w14:textId="77777777" w:rsidR="00B2173C" w:rsidRPr="004F534E" w:rsidRDefault="00B2173C"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530</w:t>
      </w:r>
      <w:r w:rsidRPr="004F534E">
        <w:rPr>
          <w:rFonts w:ascii="Times New Roman" w:hAnsi="Times New Roman" w:cs="Times New Roman"/>
          <w:sz w:val="24"/>
          <w:szCs w:val="24"/>
        </w:rPr>
        <w:t>.2.piesardzības principu, kurš nosaka, ka ieņēmumus atzīst tad, kad to saņemšana ir droši ticama.</w:t>
      </w:r>
    </w:p>
    <w:p w14:paraId="0F37C009"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531</w:t>
      </w:r>
      <w:r w:rsidRPr="006D53ED">
        <w:rPr>
          <w:rFonts w:ascii="Times New Roman" w:hAnsi="Times New Roman" w:cs="Times New Roman"/>
          <w:sz w:val="24"/>
          <w:szCs w:val="24"/>
        </w:rPr>
        <w:t xml:space="preserve">. Prasību sastāvā kā uzkrātos ieņēmumus budžeta iestāde uzskaita ieņēmumus, kas attiecas uz pārskata periodu vai iepriekšējiem periodiem, bet par kuriem pārskata perioda beigās nav sagatavots maksāšanai paredzētais attaisnojuma dokuments (piemēram, rēķins). Budžeta iestāde aprēķina ieņēmumus, kas attiecināmi uz pārskata periodu, piemēram, saskaņā ar līgumu, un atzīst uzkrātos ieņēmumus, veicot sekojošus grāmatojumus: Grāmatojums, atzīstot ieņēmumus periodā, kad tie ir radušies: </w:t>
      </w:r>
    </w:p>
    <w:p w14:paraId="68CEDDD4" w14:textId="77777777" w:rsidR="00B2173C" w:rsidRPr="00480B32" w:rsidRDefault="00480B3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480B32">
        <w:rPr>
          <w:rFonts w:ascii="Times New Roman" w:hAnsi="Times New Roman" w:cs="Times New Roman"/>
          <w:b/>
          <w:sz w:val="24"/>
          <w:szCs w:val="24"/>
        </w:rPr>
        <w:t xml:space="preserve">D 2360 Uzkrātie ieņēmumi </w:t>
      </w:r>
    </w:p>
    <w:p w14:paraId="6320EF92" w14:textId="77777777" w:rsidR="00B2173C" w:rsidRPr="006D53ED" w:rsidRDefault="00480B32" w:rsidP="00CD363C">
      <w:pPr>
        <w:spacing w:after="0" w:line="240" w:lineRule="auto"/>
        <w:ind w:right="-66"/>
        <w:jc w:val="both"/>
        <w:rPr>
          <w:rFonts w:ascii="Times New Roman" w:hAnsi="Times New Roman" w:cs="Times New Roman"/>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K 6000 Pamatdarbības ieņēmumi</w:t>
      </w:r>
      <w:r w:rsidR="00B2173C" w:rsidRPr="006D53ED">
        <w:rPr>
          <w:rFonts w:ascii="Times New Roman" w:hAnsi="Times New Roman" w:cs="Times New Roman"/>
          <w:sz w:val="24"/>
          <w:szCs w:val="24"/>
        </w:rPr>
        <w:t xml:space="preserve"> </w:t>
      </w:r>
    </w:p>
    <w:p w14:paraId="0193A0EA" w14:textId="77777777" w:rsidR="00B2173C" w:rsidRPr="006D53ED" w:rsidRDefault="00B2173C" w:rsidP="00CD363C">
      <w:pPr>
        <w:spacing w:after="0" w:line="240" w:lineRule="auto"/>
        <w:ind w:right="-66"/>
        <w:jc w:val="both"/>
        <w:rPr>
          <w:rFonts w:ascii="Times New Roman" w:hAnsi="Times New Roman" w:cs="Times New Roman"/>
          <w:sz w:val="24"/>
          <w:szCs w:val="24"/>
        </w:rPr>
      </w:pPr>
      <w:r w:rsidRPr="006D53ED">
        <w:rPr>
          <w:rFonts w:ascii="Times New Roman" w:hAnsi="Times New Roman" w:cs="Times New Roman"/>
          <w:sz w:val="24"/>
          <w:szCs w:val="24"/>
        </w:rPr>
        <w:t xml:space="preserve">Kad nākamajā periodā tiek izsniegts attiecīgais norēķinu attaisnojuma dokuments, uzkrātie ieņēmumi tiek samazināti un tiek atzīta prasība: </w:t>
      </w:r>
    </w:p>
    <w:p w14:paraId="1790E190"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D 2300 Īstermiņa prasības </w:t>
      </w:r>
    </w:p>
    <w:p w14:paraId="2C2A1FC4"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K 2360 Uzkrātie ieņēmumi </w:t>
      </w:r>
    </w:p>
    <w:p w14:paraId="671167FF"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K* K 5723 Pievienotās vērtības nodoklis</w:t>
      </w:r>
    </w:p>
    <w:p w14:paraId="21CF9644" w14:textId="77777777" w:rsidR="00B2173C" w:rsidRPr="00480B32" w:rsidRDefault="00B2173C"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480B32" w:rsidRPr="00480B32">
        <w:rPr>
          <w:rFonts w:ascii="Times New Roman" w:hAnsi="Times New Roman" w:cs="Times New Roman"/>
          <w:b/>
          <w:sz w:val="24"/>
          <w:szCs w:val="24"/>
        </w:rPr>
        <w:t xml:space="preserve">   </w:t>
      </w:r>
      <w:r w:rsidRPr="00480B32">
        <w:rPr>
          <w:rFonts w:ascii="Times New Roman" w:hAnsi="Times New Roman" w:cs="Times New Roman"/>
          <w:b/>
          <w:sz w:val="24"/>
          <w:szCs w:val="24"/>
        </w:rPr>
        <w:t xml:space="preserve">6000** Pamatdarbības ieņēmumi </w:t>
      </w:r>
    </w:p>
    <w:p w14:paraId="33C46ACC" w14:textId="77777777" w:rsidR="00B2173C" w:rsidRPr="006D53ED" w:rsidRDefault="00480B3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00B2173C" w:rsidRPr="006D53ED">
        <w:rPr>
          <w:rFonts w:ascii="Times New Roman" w:hAnsi="Times New Roman" w:cs="Times New Roman"/>
          <w:sz w:val="24"/>
          <w:szCs w:val="24"/>
        </w:rPr>
        <w:t xml:space="preserve">*ja budžeta iestāde ir PVN maksātāja </w:t>
      </w:r>
    </w:p>
    <w:p w14:paraId="1141E183" w14:textId="77777777" w:rsidR="00B2173C" w:rsidRPr="006D53ED" w:rsidRDefault="00480B3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00B2173C" w:rsidRPr="006D53ED">
        <w:rPr>
          <w:rFonts w:ascii="Times New Roman" w:hAnsi="Times New Roman" w:cs="Times New Roman"/>
          <w:sz w:val="24"/>
          <w:szCs w:val="24"/>
        </w:rPr>
        <w:t xml:space="preserve">**ja norēķinu attaisnojuma dokumentā uzrādīta summa ir lielāka par pārskata </w:t>
      </w:r>
      <w:r>
        <w:rPr>
          <w:rFonts w:ascii="Times New Roman" w:hAnsi="Times New Roman" w:cs="Times New Roman"/>
          <w:sz w:val="24"/>
          <w:szCs w:val="24"/>
        </w:rPr>
        <w:t xml:space="preserve">  </w:t>
      </w:r>
      <w:r w:rsidR="00B2173C" w:rsidRPr="006D53ED">
        <w:rPr>
          <w:rFonts w:ascii="Times New Roman" w:hAnsi="Times New Roman" w:cs="Times New Roman"/>
          <w:sz w:val="24"/>
          <w:szCs w:val="24"/>
        </w:rPr>
        <w:t>perioda beigās atzīto uzkrāto ieņēmumu summu.</w:t>
      </w:r>
    </w:p>
    <w:p w14:paraId="27752A6B"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532</w:t>
      </w:r>
      <w:r w:rsidRPr="006D53ED">
        <w:rPr>
          <w:rFonts w:ascii="Times New Roman" w:hAnsi="Times New Roman" w:cs="Times New Roman"/>
          <w:sz w:val="24"/>
          <w:szCs w:val="24"/>
        </w:rPr>
        <w:t xml:space="preserve">. Budžeta iestāde, saņemot prasību apmaksu, prasību samazina atbilstoši saņemtā maksājuma apmēram, veicot sekojošu grāmatojumu: </w:t>
      </w:r>
    </w:p>
    <w:p w14:paraId="54E91DD1" w14:textId="77777777" w:rsidR="00B2173C" w:rsidRPr="00480B32" w:rsidRDefault="00480B3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480B32">
        <w:rPr>
          <w:rFonts w:ascii="Times New Roman" w:hAnsi="Times New Roman" w:cs="Times New Roman"/>
          <w:b/>
          <w:sz w:val="24"/>
          <w:szCs w:val="24"/>
        </w:rPr>
        <w:t xml:space="preserve">D 2600 Naudas līdzekļi </w:t>
      </w:r>
    </w:p>
    <w:p w14:paraId="0E29B7B1"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K 2300 Īstermiņa prasības </w:t>
      </w:r>
    </w:p>
    <w:p w14:paraId="7178AFD4"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533</w:t>
      </w:r>
      <w:r w:rsidRPr="006D53ED">
        <w:rPr>
          <w:rFonts w:ascii="Times New Roman" w:hAnsi="Times New Roman" w:cs="Times New Roman"/>
          <w:sz w:val="24"/>
          <w:szCs w:val="24"/>
        </w:rPr>
        <w:t xml:space="preserve">. Pārskata perioda beigās aprēķina un apgrozāmo līdzekļu sastāvā norāda ilgtermiņa prasību īstermiņa daļu. Budžeta iestāde pārklasificē ilgtermiņa prasību īstermiņa daļu uz apgrozāmajiem līdzekļiem, veicot sekojošu grāmatojumu: </w:t>
      </w:r>
    </w:p>
    <w:p w14:paraId="3DFE5080"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D 2300 Īstermiņa prasības </w:t>
      </w:r>
    </w:p>
    <w:p w14:paraId="60631B56" w14:textId="77777777" w:rsidR="00B2173C" w:rsidRDefault="00480B3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480B32">
        <w:rPr>
          <w:rFonts w:ascii="Times New Roman" w:hAnsi="Times New Roman" w:cs="Times New Roman"/>
          <w:b/>
          <w:sz w:val="24"/>
          <w:szCs w:val="24"/>
        </w:rPr>
        <w:t>K 1400 Ilgtermiņa prasības</w:t>
      </w:r>
    </w:p>
    <w:p w14:paraId="551C8E1A" w14:textId="77777777" w:rsidR="00480B32" w:rsidRPr="00530C51" w:rsidRDefault="00480B32" w:rsidP="00CD363C">
      <w:pPr>
        <w:spacing w:after="0" w:line="240" w:lineRule="auto"/>
        <w:ind w:right="-66"/>
        <w:jc w:val="both"/>
        <w:rPr>
          <w:rFonts w:ascii="Times New Roman" w:hAnsi="Times New Roman" w:cs="Times New Roman"/>
        </w:rPr>
      </w:pPr>
      <w:r w:rsidRPr="00480B32">
        <w:rPr>
          <w:rFonts w:ascii="Times New Roman" w:hAnsi="Times New Roman" w:cs="Times New Roman"/>
          <w:sz w:val="24"/>
          <w:szCs w:val="24"/>
        </w:rPr>
        <w:t>53</w:t>
      </w:r>
      <w:r w:rsidR="00076FD2">
        <w:rPr>
          <w:rFonts w:ascii="Times New Roman" w:hAnsi="Times New Roman" w:cs="Times New Roman"/>
          <w:sz w:val="24"/>
          <w:szCs w:val="24"/>
        </w:rPr>
        <w:t>4</w:t>
      </w:r>
      <w:r w:rsidRPr="00480B32">
        <w:rPr>
          <w:rFonts w:ascii="Times New Roman" w:hAnsi="Times New Roman" w:cs="Times New Roman"/>
          <w:sz w:val="24"/>
          <w:szCs w:val="24"/>
        </w:rPr>
        <w:t>.</w:t>
      </w:r>
      <w:r w:rsidRPr="00480B32">
        <w:rPr>
          <w:rFonts w:ascii="Times New Roman" w:hAnsi="Times New Roman" w:cs="Times New Roman"/>
        </w:rPr>
        <w:t xml:space="preserve"> </w:t>
      </w:r>
      <w:r w:rsidRPr="00530C51">
        <w:rPr>
          <w:rFonts w:ascii="Times New Roman" w:hAnsi="Times New Roman" w:cs="Times New Roman"/>
        </w:rPr>
        <w:t xml:space="preserve">Darījuma esamību starp divām tajā iesaistītajām pusēm (preču un citu materiālo vērtību vai pakalpojumu sniegšanas faktu) </w:t>
      </w:r>
      <w:r>
        <w:rPr>
          <w:rFonts w:ascii="Times New Roman" w:hAnsi="Times New Roman" w:cs="Times New Roman"/>
        </w:rPr>
        <w:t xml:space="preserve">Rēzeknes novada </w:t>
      </w:r>
      <w:r w:rsidRPr="00530C51">
        <w:rPr>
          <w:rFonts w:ascii="Times New Roman" w:hAnsi="Times New Roman" w:cs="Times New Roman"/>
        </w:rPr>
        <w:t xml:space="preserve"> pašvaldības budžeta iestādes apliecina ar rēķinu vai preču piegādes dokumentu, kurā jāiekļauj sekojoša informācija:</w:t>
      </w:r>
    </w:p>
    <w:p w14:paraId="43846FCF"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.1. dokumenta veida nosaukums;</w:t>
      </w:r>
    </w:p>
    <w:p w14:paraId="4AC23569"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.2. dokumenta izrakstīšanas datums; </w:t>
      </w:r>
    </w:p>
    <w:p w14:paraId="1787D57D"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.3. dokumenta numurs, kas unikāli identificē dokumentu; </w:t>
      </w:r>
    </w:p>
    <w:p w14:paraId="5115D5CE"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.4. preču piegādātāja vai pakalpojumu sniedzēja nosaukums (fiziskai personai — vārds, uzvārds,  personas kods) un juridiskā adrese (fiziskai personai — deklarētā dzīvesvieta); </w:t>
      </w:r>
    </w:p>
    <w:p w14:paraId="4DB81EEB"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.5. preču piegādātāja vai pakalpojumu sniedzēja reģistrācijas numurs Uzņēmumu reģistrā vai Valsts ieņēmumu dienesta, fiziskai personai - personas kods (ja personai tāds ir piešķirts); </w:t>
      </w:r>
    </w:p>
    <w:p w14:paraId="2B870A78"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6. preču vai pakalpojumu saņēmēja juridiskā adrese (fiziskai personai — deklarētā dzīvesvieta); </w:t>
      </w:r>
    </w:p>
    <w:p w14:paraId="76A9630D"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.7. preču piegādes vai pakalpojuma sniegšanas datums, ja tas atšķiras no rēķina izrakstīšanas datuma, vai datums, kad saņemta atlīdzība avansā, ja šis datums ir zināms un atšķiras no rēķina izrakstīšanas datuma;</w:t>
      </w:r>
    </w:p>
    <w:p w14:paraId="5B49D22C"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.8. piegādāto preču vai sniegtā pakalpojuma nosaukums, daudzums (apjoms) un mērvienība;</w:t>
      </w:r>
    </w:p>
    <w:p w14:paraId="3A10C3EB"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.9. piegādāto preču vai sniegtā pakalpojuma cena (vienas vienības vērtība bez nodokļa);</w:t>
      </w:r>
    </w:p>
    <w:p w14:paraId="3038D15C"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.10. piemērotās atlaides, ja tās nav atskaitītas no vienas vienības vērtības;</w:t>
      </w:r>
    </w:p>
    <w:p w14:paraId="0EC478BD"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.11. piemērotā nodokļa likme; </w:t>
      </w:r>
    </w:p>
    <w:p w14:paraId="2258949F"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00480B32" w:rsidRPr="00530C51">
        <w:rPr>
          <w:rFonts w:ascii="Times New Roman" w:hAnsi="Times New Roman" w:cs="Times New Roman"/>
        </w:rPr>
        <w:t>.12. aprēķinātā nodokļa summa;</w:t>
      </w:r>
    </w:p>
    <w:p w14:paraId="3B4A66D0"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00480B32" w:rsidRPr="00530C51">
        <w:rPr>
          <w:rFonts w:ascii="Times New Roman" w:hAnsi="Times New Roman" w:cs="Times New Roman"/>
        </w:rPr>
        <w:t>.13. darījuma kopsumma bez nodokļa;</w:t>
      </w:r>
    </w:p>
    <w:p w14:paraId="3057053E"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00480B32" w:rsidRPr="00530C51">
        <w:rPr>
          <w:rFonts w:ascii="Times New Roman" w:hAnsi="Times New Roman" w:cs="Times New Roman"/>
        </w:rPr>
        <w:t>.14. saimnieciskā darījuma novērtējumu naudā kopā ar nodokļiem.</w:t>
      </w:r>
    </w:p>
    <w:p w14:paraId="1570E089"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5</w:t>
      </w:r>
      <w:r w:rsidR="00480B32" w:rsidRPr="00530C51">
        <w:rPr>
          <w:rFonts w:ascii="Times New Roman" w:hAnsi="Times New Roman" w:cs="Times New Roman"/>
        </w:rPr>
        <w:t xml:space="preserve">. Rēķinu par pakalpojuma sniegšanu izraksta ne vēlāk kā </w:t>
      </w:r>
      <w:r w:rsidR="00480B32" w:rsidRPr="00AE3E23">
        <w:rPr>
          <w:rFonts w:ascii="Times New Roman" w:hAnsi="Times New Roman" w:cs="Times New Roman"/>
          <w:b/>
        </w:rPr>
        <w:t>15 dienu</w:t>
      </w:r>
      <w:r w:rsidR="00480B32" w:rsidRPr="00530C51">
        <w:rPr>
          <w:rFonts w:ascii="Times New Roman" w:hAnsi="Times New Roman" w:cs="Times New Roman"/>
        </w:rPr>
        <w:t xml:space="preserve"> laikā no darījuma dienas. </w:t>
      </w:r>
    </w:p>
    <w:p w14:paraId="2662A669"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6</w:t>
      </w:r>
      <w:r w:rsidR="00480B32" w:rsidRPr="00530C51">
        <w:rPr>
          <w:rFonts w:ascii="Times New Roman" w:hAnsi="Times New Roman" w:cs="Times New Roman"/>
        </w:rPr>
        <w:t xml:space="preserve"> Finanšu pārskatos prasību atlikumus bilancē norāda neto vērtībā, kas aprēķināta, no šo prasību uzskaites vērtības atskaitot </w:t>
      </w:r>
      <w:r>
        <w:rPr>
          <w:rFonts w:ascii="Times New Roman" w:hAnsi="Times New Roman" w:cs="Times New Roman"/>
        </w:rPr>
        <w:t>prasību vērtības samazinājumu</w:t>
      </w:r>
      <w:r w:rsidR="00480B32" w:rsidRPr="00530C51">
        <w:rPr>
          <w:rFonts w:ascii="Times New Roman" w:hAnsi="Times New Roman" w:cs="Times New Roman"/>
        </w:rPr>
        <w:t xml:space="preserve">. </w:t>
      </w:r>
    </w:p>
    <w:p w14:paraId="3196DE4A"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7</w:t>
      </w:r>
      <w:r w:rsidRPr="00A606DE">
        <w:rPr>
          <w:rFonts w:ascii="Times New Roman" w:hAnsi="Times New Roman" w:cs="Times New Roman"/>
        </w:rPr>
        <w:t>. Norēķinus ar personālu uzskaita atsevišķos grāmatvedības kontos pēc darījuma būtības (piemēram, izsniegtie avansi saimnieciskiem darījumiem, komandējumu izdevumi, norēķini ar maksājumu kartēm, prasības par zaudējumu atlīdzināšanu u.tml.).</w:t>
      </w:r>
    </w:p>
    <w:p w14:paraId="03DA960D"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8</w:t>
      </w:r>
      <w:r w:rsidRPr="00A606DE">
        <w:rPr>
          <w:rFonts w:ascii="Times New Roman" w:hAnsi="Times New Roman" w:cs="Times New Roman"/>
        </w:rPr>
        <w:t xml:space="preserve">. Iestādes vadītājs apstiprina avansu saimnieciskajiem izdevumiem izsniegšanas un atskaišu par izlietoto naudas līdzekļu sagatavošanas, apstiprināšanas un uzskaites kārtību, ievērojot pastāvošo normatīvo aktu prasības. </w:t>
      </w:r>
    </w:p>
    <w:p w14:paraId="73BB2A0A" w14:textId="616DD8E1"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9</w:t>
      </w:r>
      <w:r w:rsidRPr="00A606DE">
        <w:rPr>
          <w:rFonts w:ascii="Times New Roman" w:hAnsi="Times New Roman" w:cs="Times New Roman"/>
        </w:rPr>
        <w:t xml:space="preserve">. </w:t>
      </w:r>
      <w:r w:rsidR="00E14B06" w:rsidRPr="00E14B06">
        <w:rPr>
          <w:rFonts w:ascii="Times New Roman" w:hAnsi="Times New Roman" w:cs="Times New Roman"/>
        </w:rPr>
        <w:t>Avansus izsniedz tikai vadītāja rīkojumā “Par avansa norēķinu personu noteikšanu”, norādītajiem iestādes darbiniekiem uz rakstiska avansa pieprasījuma pamata. Ņemot skaidru naudu ar personificēto maksājumu karti pirms tam iesniedz rakstisku avansa pieprasījumu. Veicot bezskaidras naudas norēķinus (tiek iegādātas preces vai saņemti pakalpojumi) maksājumu kartes darījumi tiek grāmatoti tāpat kā naudas avansa norēķini, bet avansa pieprasījums šajā gadījumā netiek noformēts. Avansa pieprasījumā norāda avansa mērķi. Avansā saņemto naudu atļauts izlietot tikai norādītajiem mērķiem.</w:t>
      </w:r>
    </w:p>
    <w:p w14:paraId="6E48C01C"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w:t>
      </w:r>
      <w:r w:rsidR="00076FD2">
        <w:rPr>
          <w:rFonts w:ascii="Times New Roman" w:hAnsi="Times New Roman" w:cs="Times New Roman"/>
        </w:rPr>
        <w:t>40</w:t>
      </w:r>
      <w:r w:rsidRPr="00A606DE">
        <w:rPr>
          <w:rFonts w:ascii="Times New Roman" w:hAnsi="Times New Roman" w:cs="Times New Roman"/>
        </w:rPr>
        <w:t>. Ja budžeta iestāde darbiniekam izsniedz avansu (saimnieciskiem izdevumiem, komandējumu izdevumiem u.tml.), uzskaitē atzīst debitoru prasību un samazina naudas līdzekļus, grāmatojot:</w:t>
      </w:r>
    </w:p>
    <w:p w14:paraId="77FEE363" w14:textId="77777777" w:rsidR="00AE3E23" w:rsidRPr="00A606DE"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AE3E23" w:rsidRPr="00A606DE">
        <w:rPr>
          <w:rFonts w:ascii="Times New Roman" w:hAnsi="Times New Roman" w:cs="Times New Roman"/>
          <w:b/>
        </w:rPr>
        <w:t>2381</w:t>
      </w:r>
      <w:r>
        <w:rPr>
          <w:rFonts w:ascii="Times New Roman" w:hAnsi="Times New Roman" w:cs="Times New Roman"/>
          <w:b/>
        </w:rPr>
        <w:t xml:space="preserve">  </w:t>
      </w:r>
      <w:r w:rsidR="00AE3E23" w:rsidRPr="00A606DE">
        <w:rPr>
          <w:rFonts w:ascii="Times New Roman" w:hAnsi="Times New Roman" w:cs="Times New Roman"/>
          <w:b/>
        </w:rPr>
        <w:t>Darbiniekiem izsniegtie avansi</w:t>
      </w:r>
    </w:p>
    <w:p w14:paraId="0866387E" w14:textId="77777777" w:rsidR="00AE3E23" w:rsidRPr="00A606DE"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AE3E23" w:rsidRPr="00A606DE">
        <w:rPr>
          <w:rFonts w:ascii="Times New Roman" w:hAnsi="Times New Roman" w:cs="Times New Roman"/>
          <w:b/>
        </w:rPr>
        <w:t>2600</w:t>
      </w:r>
      <w:r>
        <w:rPr>
          <w:rFonts w:ascii="Times New Roman" w:hAnsi="Times New Roman" w:cs="Times New Roman"/>
          <w:b/>
        </w:rPr>
        <w:t xml:space="preserve">  </w:t>
      </w:r>
      <w:r w:rsidR="00AE3E23" w:rsidRPr="00A606DE">
        <w:rPr>
          <w:rFonts w:ascii="Times New Roman" w:hAnsi="Times New Roman" w:cs="Times New Roman"/>
          <w:b/>
        </w:rPr>
        <w:t>Naudas līdzekļi</w:t>
      </w:r>
    </w:p>
    <w:p w14:paraId="5491E010"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w:t>
      </w:r>
      <w:r w:rsidR="00076FD2">
        <w:rPr>
          <w:rFonts w:ascii="Times New Roman" w:hAnsi="Times New Roman" w:cs="Times New Roman"/>
        </w:rPr>
        <w:t>41</w:t>
      </w:r>
      <w:r w:rsidRPr="00A606DE">
        <w:rPr>
          <w:rFonts w:ascii="Times New Roman" w:hAnsi="Times New Roman" w:cs="Times New Roman"/>
        </w:rPr>
        <w:t xml:space="preserve">. Avansa saņēmējs sagatavo avansa norēķinu par avansā saņemtās naudas izlietojumu, pievienojot izdevumus apliecinošus dokumentus, sanumurētus avansa pārskatā ierakstītā secībā. </w:t>
      </w:r>
    </w:p>
    <w:p w14:paraId="7B4D98AE"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2</w:t>
      </w:r>
      <w:r w:rsidRPr="00A606DE">
        <w:rPr>
          <w:rFonts w:ascii="Times New Roman" w:hAnsi="Times New Roman" w:cs="Times New Roman"/>
        </w:rPr>
        <w:t>. Avansa pārskata saturu un iesniegšanas termiņus nosaka iestādes vadītāj</w:t>
      </w:r>
      <w:r>
        <w:rPr>
          <w:rFonts w:ascii="Times New Roman" w:hAnsi="Times New Roman" w:cs="Times New Roman"/>
        </w:rPr>
        <w:t>a apstiprināti noteikumi</w:t>
      </w:r>
      <w:r w:rsidRPr="00A606DE">
        <w:rPr>
          <w:rFonts w:ascii="Times New Roman" w:hAnsi="Times New Roman" w:cs="Times New Roman"/>
        </w:rPr>
        <w:t xml:space="preserve">. </w:t>
      </w:r>
    </w:p>
    <w:p w14:paraId="6AE7475D"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3</w:t>
      </w:r>
      <w:r w:rsidRPr="00A606DE">
        <w:rPr>
          <w:rFonts w:ascii="Times New Roman" w:hAnsi="Times New Roman" w:cs="Times New Roman"/>
        </w:rPr>
        <w:t>. Pārskatus par avansu izlietojumu sagatavo arī par komandējuma izdevumiem. Izsniegto avansu ārvalstu valūtā p</w:t>
      </w:r>
      <w:r>
        <w:rPr>
          <w:rFonts w:ascii="Times New Roman" w:hAnsi="Times New Roman" w:cs="Times New Roman"/>
        </w:rPr>
        <w:t>ā</w:t>
      </w:r>
      <w:r w:rsidRPr="00A606DE">
        <w:rPr>
          <w:rFonts w:ascii="Times New Roman" w:hAnsi="Times New Roman" w:cs="Times New Roman"/>
        </w:rPr>
        <w:t>r</w:t>
      </w:r>
      <w:r>
        <w:rPr>
          <w:rFonts w:ascii="Times New Roman" w:hAnsi="Times New Roman" w:cs="Times New Roman"/>
        </w:rPr>
        <w:t>r</w:t>
      </w:r>
      <w:r w:rsidRPr="00A606DE">
        <w:rPr>
          <w:rFonts w:ascii="Times New Roman" w:hAnsi="Times New Roman" w:cs="Times New Roman"/>
        </w:rPr>
        <w:t>ēķina pēc Eiropas Centrālās bankas, oficiāli noteiktā valūtas maiņas kursa darījuma dienā. Par komandējumu uzskatāms ar budžeta iestādes vadītāja rakstisku rīkojumu, apstiprināts darbinieka brauciens uz noteiktu laiku uz citu apdzīvotu vietu Latvijas Republikā vai uz ārvalstīm, lai:</w:t>
      </w:r>
    </w:p>
    <w:p w14:paraId="45A9BA3D" w14:textId="77777777" w:rsidR="00AE3E23" w:rsidRPr="00A606DE" w:rsidRDefault="00AE3E23" w:rsidP="00CD363C">
      <w:pPr>
        <w:spacing w:after="0" w:line="240" w:lineRule="auto"/>
        <w:ind w:right="-66"/>
        <w:jc w:val="both"/>
        <w:rPr>
          <w:rFonts w:ascii="Times New Roman" w:hAnsi="Times New Roman" w:cs="Times New Roman"/>
        </w:rPr>
      </w:pPr>
      <w:r w:rsidRPr="00A606DE">
        <w:rPr>
          <w:rFonts w:ascii="Times New Roman" w:hAnsi="Times New Roman" w:cs="Times New Roman"/>
        </w:rPr>
        <w:t>•</w:t>
      </w:r>
      <w:r w:rsidRPr="00A606DE">
        <w:rPr>
          <w:rFonts w:ascii="Times New Roman" w:hAnsi="Times New Roman" w:cs="Times New Roman"/>
        </w:rPr>
        <w:tab/>
        <w:t>pildītu darba (dienesta) uzdevumus;</w:t>
      </w:r>
    </w:p>
    <w:p w14:paraId="1B5A8EF4" w14:textId="77777777" w:rsidR="00AE3E23" w:rsidRPr="00A606DE" w:rsidRDefault="00AE3E23" w:rsidP="00CD363C">
      <w:pPr>
        <w:spacing w:after="0" w:line="240" w:lineRule="auto"/>
        <w:ind w:right="-66"/>
        <w:jc w:val="both"/>
        <w:rPr>
          <w:rFonts w:ascii="Times New Roman" w:hAnsi="Times New Roman" w:cs="Times New Roman"/>
        </w:rPr>
      </w:pPr>
      <w:r w:rsidRPr="00A606DE">
        <w:rPr>
          <w:rFonts w:ascii="Times New Roman" w:hAnsi="Times New Roman" w:cs="Times New Roman"/>
        </w:rPr>
        <w:t>•</w:t>
      </w:r>
      <w:r w:rsidRPr="00A606DE">
        <w:rPr>
          <w:rFonts w:ascii="Times New Roman" w:hAnsi="Times New Roman" w:cs="Times New Roman"/>
        </w:rPr>
        <w:tab/>
        <w:t>papildinātu zināšanas un paaugstinātu kvalifikāciju (mācību komandējums).</w:t>
      </w:r>
    </w:p>
    <w:p w14:paraId="7C2AE37B"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4</w:t>
      </w:r>
      <w:r w:rsidRPr="00A606DE">
        <w:rPr>
          <w:rFonts w:ascii="Times New Roman" w:hAnsi="Times New Roman" w:cs="Times New Roman"/>
        </w:rPr>
        <w:t xml:space="preserve">. Budžeta iestāžu darbinieku komandējumiem paredzētā dienas nauda (kompensācija par papildu izdevumiem) un izdevumi par viesnīcu (naktsmītni) nedrīkst pārsniegt noteiktās komandējuma izdevumu samaksas normas. </w:t>
      </w:r>
    </w:p>
    <w:p w14:paraId="1465D268"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5</w:t>
      </w:r>
      <w:r w:rsidRPr="00A606DE">
        <w:rPr>
          <w:rFonts w:ascii="Times New Roman" w:hAnsi="Times New Roman" w:cs="Times New Roman"/>
        </w:rPr>
        <w:t>. Darbiniekam komandējuma laikā tiek saglabāta darba vieta un likumā noteiktā darba samaksa.</w:t>
      </w:r>
    </w:p>
    <w:p w14:paraId="2145A8D7"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6</w:t>
      </w:r>
      <w:r w:rsidRPr="00A606DE">
        <w:rPr>
          <w:rFonts w:ascii="Times New Roman" w:hAnsi="Times New Roman" w:cs="Times New Roman"/>
        </w:rPr>
        <w:t>. Saņemot no darbinieka izlietotā avansa (saimniecisko izdevumu, komandējumu izdevumu u.tml.) atskaiti, samazina prasību pret darbinieku un palielina attiecīgos izdevumus vai krājumu kontu atlikumus, grāmatojot:</w:t>
      </w:r>
    </w:p>
    <w:p w14:paraId="086AF768"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AE3E23" w:rsidRPr="00B40175">
        <w:rPr>
          <w:rFonts w:ascii="Times New Roman" w:hAnsi="Times New Roman" w:cs="Times New Roman"/>
          <w:b/>
        </w:rPr>
        <w:t>7000</w:t>
      </w:r>
      <w:r>
        <w:rPr>
          <w:rFonts w:ascii="Times New Roman" w:hAnsi="Times New Roman" w:cs="Times New Roman"/>
          <w:b/>
        </w:rPr>
        <w:t xml:space="preserve"> </w:t>
      </w:r>
      <w:r w:rsidR="00AE3E23" w:rsidRPr="00B40175">
        <w:rPr>
          <w:rFonts w:ascii="Times New Roman" w:hAnsi="Times New Roman" w:cs="Times New Roman"/>
          <w:b/>
        </w:rPr>
        <w:t xml:space="preserve"> Pamatdarbības izdevumi (attiecīgais izdevumu konts)</w:t>
      </w:r>
    </w:p>
    <w:p w14:paraId="0AA20635" w14:textId="77777777" w:rsidR="00AE3E23" w:rsidRPr="00B40175" w:rsidRDefault="00AE3E23" w:rsidP="00CD363C">
      <w:pPr>
        <w:spacing w:after="0" w:line="240" w:lineRule="auto"/>
        <w:ind w:right="-66"/>
        <w:jc w:val="both"/>
        <w:rPr>
          <w:rFonts w:ascii="Times New Roman" w:hAnsi="Times New Roman" w:cs="Times New Roman"/>
          <w:b/>
        </w:rPr>
      </w:pPr>
      <w:r w:rsidRPr="00B40175">
        <w:rPr>
          <w:rFonts w:ascii="Times New Roman" w:hAnsi="Times New Roman" w:cs="Times New Roman"/>
          <w:b/>
        </w:rPr>
        <w:t xml:space="preserve">   </w:t>
      </w:r>
      <w:r w:rsidR="00214C51">
        <w:rPr>
          <w:rFonts w:ascii="Times New Roman" w:hAnsi="Times New Roman" w:cs="Times New Roman"/>
          <w:b/>
        </w:rPr>
        <w:t xml:space="preserve"> D  </w:t>
      </w:r>
      <w:r w:rsidRPr="00B40175">
        <w:rPr>
          <w:rFonts w:ascii="Times New Roman" w:hAnsi="Times New Roman" w:cs="Times New Roman"/>
          <w:b/>
        </w:rPr>
        <w:t>2100</w:t>
      </w:r>
      <w:r w:rsidR="00214C51">
        <w:rPr>
          <w:rFonts w:ascii="Times New Roman" w:hAnsi="Times New Roman" w:cs="Times New Roman"/>
          <w:b/>
        </w:rPr>
        <w:t xml:space="preserve">  </w:t>
      </w:r>
      <w:r w:rsidRPr="00B40175">
        <w:rPr>
          <w:rFonts w:ascii="Times New Roman" w:hAnsi="Times New Roman" w:cs="Times New Roman"/>
          <w:b/>
        </w:rPr>
        <w:t>Krājumi</w:t>
      </w:r>
    </w:p>
    <w:p w14:paraId="04D4E64A" w14:textId="77777777" w:rsidR="00AE3E23" w:rsidRPr="00B40175" w:rsidRDefault="00AE3E23"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214C51">
        <w:rPr>
          <w:rFonts w:ascii="Times New Roman" w:hAnsi="Times New Roman" w:cs="Times New Roman"/>
          <w:b/>
        </w:rPr>
        <w:t xml:space="preserve">K  </w:t>
      </w:r>
      <w:r w:rsidRPr="00B40175">
        <w:rPr>
          <w:rFonts w:ascii="Times New Roman" w:hAnsi="Times New Roman" w:cs="Times New Roman"/>
          <w:b/>
        </w:rPr>
        <w:t>2381</w:t>
      </w:r>
      <w:r w:rsidR="00214C51">
        <w:rPr>
          <w:rFonts w:ascii="Times New Roman" w:hAnsi="Times New Roman" w:cs="Times New Roman"/>
          <w:b/>
        </w:rPr>
        <w:t xml:space="preserve">  </w:t>
      </w:r>
      <w:r w:rsidRPr="00B40175">
        <w:rPr>
          <w:rFonts w:ascii="Times New Roman" w:hAnsi="Times New Roman" w:cs="Times New Roman"/>
          <w:b/>
        </w:rPr>
        <w:t>Darbiniekiem izsniegtie avansi</w:t>
      </w:r>
    </w:p>
    <w:p w14:paraId="76935FD9"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547</w:t>
      </w:r>
      <w:r w:rsidR="00AE3E23" w:rsidRPr="00A606DE">
        <w:rPr>
          <w:rFonts w:ascii="Times New Roman" w:hAnsi="Times New Roman" w:cs="Times New Roman"/>
        </w:rPr>
        <w:t>. Neizmantoto avansa atlikumu avansa saņēmējs atmaksā ne vēlāk kā piecu darba dienu laikā pēc avansa pārskata iesniegšanas. Jaunu avansu saimnieciskām vajadzībām neizsniedz, ja avansa saņēmējs nav norēķinājies par iepriekš izsniegto summu.</w:t>
      </w:r>
    </w:p>
    <w:p w14:paraId="0ED1062A"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548</w:t>
      </w:r>
      <w:r w:rsidR="00AE3E23" w:rsidRPr="00A606DE">
        <w:rPr>
          <w:rFonts w:ascii="Times New Roman" w:hAnsi="Times New Roman" w:cs="Times New Roman"/>
        </w:rPr>
        <w:t>. Ja avansa saņēmējs noteiktā laikā neiesniedz pārskatu (norēķinu) par saņemto summu izlietojumu vai neatmaksā neizmantoto avansa atlikumu, budžeta iestādei ir tiesības šīs summas piedzīt normatīvos aktos noteiktā kārtībā.</w:t>
      </w:r>
    </w:p>
    <w:p w14:paraId="03E63654"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549</w:t>
      </w:r>
      <w:r w:rsidR="00AE3E23" w:rsidRPr="00A606DE">
        <w:rPr>
          <w:rFonts w:ascii="Times New Roman" w:hAnsi="Times New Roman" w:cs="Times New Roman"/>
        </w:rPr>
        <w:t>. Pastāvīgām avansa norēķinu personām neizmantotais atlikums pāriet uz nākamā atskaites perioda avansa atskaiti.</w:t>
      </w:r>
    </w:p>
    <w:p w14:paraId="31BEE96B"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550</w:t>
      </w:r>
      <w:r w:rsidR="00AE3E23" w:rsidRPr="00A606DE">
        <w:rPr>
          <w:rFonts w:ascii="Times New Roman" w:hAnsi="Times New Roman" w:cs="Times New Roman"/>
        </w:rPr>
        <w:t xml:space="preserve"> Avansa pārtēriņa gadījumā norēķina persona sniedz paskaidrojumu par neparedzēto izdevumu rašanās iemesliem, pievienojot attaisnojošus dokumentus. Par trūkstošo summu tiek veikti grāmatojumi:</w:t>
      </w:r>
    </w:p>
    <w:p w14:paraId="040D6A7E"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AE3E23" w:rsidRPr="00B40175">
        <w:rPr>
          <w:rFonts w:ascii="Times New Roman" w:hAnsi="Times New Roman" w:cs="Times New Roman"/>
          <w:b/>
        </w:rPr>
        <w:t>7000</w:t>
      </w:r>
      <w:r>
        <w:rPr>
          <w:rFonts w:ascii="Times New Roman" w:hAnsi="Times New Roman" w:cs="Times New Roman"/>
          <w:b/>
        </w:rPr>
        <w:t xml:space="preserve">  </w:t>
      </w:r>
      <w:r w:rsidR="00AE3E23" w:rsidRPr="00B40175">
        <w:rPr>
          <w:rFonts w:ascii="Times New Roman" w:hAnsi="Times New Roman" w:cs="Times New Roman"/>
          <w:b/>
        </w:rPr>
        <w:t>Pamatdarbības izdevumi (attiecīgais izdevumu konts)</w:t>
      </w:r>
    </w:p>
    <w:p w14:paraId="11BB153B"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AE3E23" w:rsidRPr="00B40175">
        <w:rPr>
          <w:rFonts w:ascii="Times New Roman" w:hAnsi="Times New Roman" w:cs="Times New Roman"/>
          <w:b/>
        </w:rPr>
        <w:t>5811</w:t>
      </w:r>
      <w:r>
        <w:rPr>
          <w:rFonts w:ascii="Times New Roman" w:hAnsi="Times New Roman" w:cs="Times New Roman"/>
          <w:b/>
        </w:rPr>
        <w:t xml:space="preserve">  </w:t>
      </w:r>
      <w:r w:rsidR="00AE3E23" w:rsidRPr="00B40175">
        <w:rPr>
          <w:rFonts w:ascii="Times New Roman" w:hAnsi="Times New Roman" w:cs="Times New Roman"/>
          <w:b/>
        </w:rPr>
        <w:t>Citas saistības pret personālu</w:t>
      </w:r>
    </w:p>
    <w:p w14:paraId="512A276A" w14:textId="77777777" w:rsidR="00AE3E23" w:rsidRPr="00B40175"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551</w:t>
      </w:r>
      <w:r w:rsidR="00AE3E23" w:rsidRPr="00B40175">
        <w:rPr>
          <w:rFonts w:ascii="Times New Roman" w:hAnsi="Times New Roman" w:cs="Times New Roman"/>
        </w:rPr>
        <w:t>. Ja avansa norēķins ir apstiprināts, iestādes atbildīgais grāmatvedis pārskaita uz norēķinu personas kredītiestādes kontu avansa pārtēriņa summu, vai izmaksa tiek veikta skaidrā naudā no budžeta iestādes kases, grāmatojot:</w:t>
      </w:r>
    </w:p>
    <w:p w14:paraId="5936E313"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w:t>
      </w:r>
      <w:r w:rsidR="00AE3E23">
        <w:rPr>
          <w:rFonts w:ascii="Times New Roman" w:hAnsi="Times New Roman" w:cs="Times New Roman"/>
          <w:b/>
        </w:rPr>
        <w:t xml:space="preserve"> </w:t>
      </w:r>
      <w:r>
        <w:rPr>
          <w:rFonts w:ascii="Times New Roman" w:hAnsi="Times New Roman" w:cs="Times New Roman"/>
          <w:b/>
        </w:rPr>
        <w:t xml:space="preserve"> </w:t>
      </w:r>
      <w:r w:rsidR="00AE3E23" w:rsidRPr="00B40175">
        <w:rPr>
          <w:rFonts w:ascii="Times New Roman" w:hAnsi="Times New Roman" w:cs="Times New Roman"/>
          <w:b/>
        </w:rPr>
        <w:t>5811</w:t>
      </w:r>
      <w:r>
        <w:rPr>
          <w:rFonts w:ascii="Times New Roman" w:hAnsi="Times New Roman" w:cs="Times New Roman"/>
          <w:b/>
        </w:rPr>
        <w:t xml:space="preserve">  </w:t>
      </w:r>
      <w:r w:rsidR="00AE3E23" w:rsidRPr="00B40175">
        <w:rPr>
          <w:rFonts w:ascii="Times New Roman" w:hAnsi="Times New Roman" w:cs="Times New Roman"/>
          <w:b/>
        </w:rPr>
        <w:t>Citas saistības pret personālu</w:t>
      </w:r>
    </w:p>
    <w:p w14:paraId="29B23A61" w14:textId="77777777" w:rsidR="00AE3E23" w:rsidRDefault="00AE3E23"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214C51">
        <w:rPr>
          <w:rFonts w:ascii="Times New Roman" w:hAnsi="Times New Roman" w:cs="Times New Roman"/>
          <w:b/>
        </w:rPr>
        <w:t xml:space="preserve">  K  </w:t>
      </w:r>
      <w:r w:rsidRPr="00B40175">
        <w:rPr>
          <w:rFonts w:ascii="Times New Roman" w:hAnsi="Times New Roman" w:cs="Times New Roman"/>
          <w:b/>
        </w:rPr>
        <w:t>2600</w:t>
      </w:r>
      <w:r w:rsidR="00214C51">
        <w:rPr>
          <w:rFonts w:ascii="Times New Roman" w:hAnsi="Times New Roman" w:cs="Times New Roman"/>
          <w:b/>
        </w:rPr>
        <w:t xml:space="preserve">  </w:t>
      </w:r>
      <w:r w:rsidRPr="00B40175">
        <w:rPr>
          <w:rFonts w:ascii="Times New Roman" w:hAnsi="Times New Roman" w:cs="Times New Roman"/>
          <w:b/>
        </w:rPr>
        <w:t>Naudas līdzekļi</w:t>
      </w:r>
    </w:p>
    <w:p w14:paraId="357652FC" w14:textId="77777777" w:rsidR="00C02B38" w:rsidRDefault="00C02B38" w:rsidP="00CD363C">
      <w:pPr>
        <w:spacing w:after="0" w:line="240" w:lineRule="auto"/>
        <w:ind w:right="-66"/>
        <w:jc w:val="both"/>
        <w:rPr>
          <w:rFonts w:ascii="Times New Roman" w:hAnsi="Times New Roman" w:cs="Times New Roman"/>
          <w:b/>
        </w:rPr>
      </w:pPr>
    </w:p>
    <w:p w14:paraId="175A6CC9" w14:textId="77777777" w:rsidR="00AE3E23" w:rsidRDefault="00AE3E23" w:rsidP="00CD363C">
      <w:pPr>
        <w:tabs>
          <w:tab w:val="center" w:pos="4153"/>
        </w:tabs>
        <w:spacing w:after="0" w:line="240" w:lineRule="auto"/>
        <w:ind w:right="-66"/>
        <w:jc w:val="both"/>
        <w:rPr>
          <w:rFonts w:ascii="Times New Roman" w:hAnsi="Times New Roman" w:cs="Times New Roman"/>
          <w:b/>
          <w:sz w:val="28"/>
          <w:szCs w:val="28"/>
        </w:rPr>
      </w:pPr>
      <w:r w:rsidRPr="00AE3E23">
        <w:rPr>
          <w:rFonts w:ascii="Times New Roman" w:hAnsi="Times New Roman" w:cs="Times New Roman"/>
          <w:b/>
          <w:sz w:val="28"/>
          <w:szCs w:val="28"/>
        </w:rPr>
        <w:t>15.2. Nākamo periodu izdevumu</w:t>
      </w:r>
      <w:r w:rsidR="00702D1D">
        <w:rPr>
          <w:rFonts w:ascii="Times New Roman" w:hAnsi="Times New Roman" w:cs="Times New Roman"/>
          <w:b/>
          <w:sz w:val="28"/>
          <w:szCs w:val="28"/>
        </w:rPr>
        <w:t xml:space="preserve"> un avan</w:t>
      </w:r>
      <w:r w:rsidR="00C02B38">
        <w:rPr>
          <w:rFonts w:ascii="Times New Roman" w:hAnsi="Times New Roman" w:cs="Times New Roman"/>
          <w:b/>
          <w:sz w:val="28"/>
          <w:szCs w:val="28"/>
        </w:rPr>
        <w:t xml:space="preserve">si par pakalpojumiem </w:t>
      </w:r>
      <w:r w:rsidRPr="00AE3E23">
        <w:rPr>
          <w:rFonts w:ascii="Times New Roman" w:hAnsi="Times New Roman" w:cs="Times New Roman"/>
          <w:b/>
          <w:sz w:val="28"/>
          <w:szCs w:val="28"/>
        </w:rPr>
        <w:t xml:space="preserve"> uzskaite</w:t>
      </w:r>
    </w:p>
    <w:p w14:paraId="030C0954"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sz w:val="24"/>
          <w:szCs w:val="24"/>
        </w:rPr>
        <w:t>552</w:t>
      </w:r>
      <w:r w:rsidR="00AE3E23" w:rsidRPr="00AE3E23">
        <w:rPr>
          <w:rFonts w:ascii="Times New Roman" w:hAnsi="Times New Roman" w:cs="Times New Roman"/>
          <w:sz w:val="24"/>
          <w:szCs w:val="24"/>
        </w:rPr>
        <w:t>.</w:t>
      </w:r>
      <w:r w:rsidR="00C02B38">
        <w:rPr>
          <w:rFonts w:ascii="Times New Roman" w:hAnsi="Times New Roman" w:cs="Times New Roman"/>
        </w:rPr>
        <w:t xml:space="preserve"> Rēzeknes novada</w:t>
      </w:r>
      <w:r w:rsidR="00C02B38" w:rsidRPr="0093549D">
        <w:rPr>
          <w:rFonts w:ascii="Times New Roman" w:hAnsi="Times New Roman" w:cs="Times New Roman"/>
        </w:rPr>
        <w:t xml:space="preserve"> pašvaldības darbībā ir izdevumi, kas veicami pārskata </w:t>
      </w:r>
      <w:r w:rsidR="00C02B38">
        <w:rPr>
          <w:rFonts w:ascii="Times New Roman" w:hAnsi="Times New Roman" w:cs="Times New Roman"/>
        </w:rPr>
        <w:t>periodā</w:t>
      </w:r>
      <w:r w:rsidR="00C02B38" w:rsidRPr="0093549D">
        <w:rPr>
          <w:rFonts w:ascii="Times New Roman" w:hAnsi="Times New Roman" w:cs="Times New Roman"/>
        </w:rPr>
        <w:t>, bet ietekme uz saimniecisko darbību ilgst nākamajos pārskata periodos. Tie ir avansēti izdevumi vai nākamo periodu izdevumi. Nākamo periodu izdevumi var būt:</w:t>
      </w:r>
    </w:p>
    <w:p w14:paraId="7FCE98BA"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.1. atbilstoši līgumam iepriekš samaksāta īres vai nomas maksa;</w:t>
      </w:r>
    </w:p>
    <w:p w14:paraId="33C62723"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Pr>
          <w:rFonts w:ascii="Times New Roman" w:hAnsi="Times New Roman" w:cs="Times New Roman"/>
        </w:rPr>
        <w:t>.</w:t>
      </w:r>
      <w:r w:rsidR="00C02B38" w:rsidRPr="0093549D">
        <w:rPr>
          <w:rFonts w:ascii="Times New Roman" w:hAnsi="Times New Roman" w:cs="Times New Roman"/>
        </w:rPr>
        <w:t>2. iestādes labiekārtošanas, sakārtošanas vai uzlabošanas darbi, ja šie objekti neveido pamatlīdzekļu objektu;</w:t>
      </w:r>
    </w:p>
    <w:p w14:paraId="53D8352B"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.3. pagaidu būvju, celtņu vai aprīkojuma izveidošanas izdevumi, ja šie objekti neveido pamatlīdzekļu objektus;</w:t>
      </w:r>
    </w:p>
    <w:p w14:paraId="287C8917"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.4. avansa maksājumi par nākamos gados regulāri saņemamiem pakalpojumiem un citi līdzīga rakstura izdevumi;</w:t>
      </w:r>
    </w:p>
    <w:p w14:paraId="4CA4025C"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.5. preses izdevumu apmaksu nākamajiem periodiem;</w:t>
      </w:r>
    </w:p>
    <w:p w14:paraId="4AFB5671"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.6. likumā noteiktā kārtībā aprēķināto darba samaksu (atvaļinājuma nauda un valsts sociālās apdrošināšanas iemaksas;</w:t>
      </w:r>
    </w:p>
    <w:p w14:paraId="273010C8"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 xml:space="preserve">.7. automašīnas obligātās civiltiesiskās apdrošināšanas maksājumi vai citi apdrošināšanas maksājumi. </w:t>
      </w:r>
    </w:p>
    <w:p w14:paraId="7A00996D" w14:textId="77777777" w:rsidR="00C02B38"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553</w:t>
      </w:r>
      <w:r w:rsidR="00C02B38" w:rsidRPr="0093549D">
        <w:rPr>
          <w:rFonts w:ascii="Times New Roman" w:hAnsi="Times New Roman" w:cs="Times New Roman"/>
        </w:rPr>
        <w:t xml:space="preserve">. Šajā kontu grupā uzskaita faktiskās izmaksas, kas attiecas uz nākamajiem periodiem, un avansus (samaksātās priekšapmaksas) par pakalpojumiem un projektiem. Nākamo periodu izdevumus noraksta reizi mēnesī – periodā, uz kuru šie izdevumi attiecas. Nākamo periodu  izdevumos un avansos par pakalpojumiem un projektiem iedala šādās grupās: </w:t>
      </w:r>
    </w:p>
    <w:p w14:paraId="040AE376" w14:textId="77777777" w:rsidR="0091715D" w:rsidRPr="0093549D"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 xml:space="preserve">    </w:t>
      </w:r>
      <w:r w:rsidR="0091715D" w:rsidRPr="0093549D">
        <w:rPr>
          <w:rFonts w:ascii="Times New Roman" w:hAnsi="Times New Roman" w:cs="Times New Roman"/>
        </w:rPr>
        <w:t>2410 Nākamo periodu izdevumi ārvalstu finanšu palīdzības un Eiropas Savienības politiku instrumentu finansētajiem projektiem un pasākumiem</w:t>
      </w:r>
    </w:p>
    <w:p w14:paraId="30C4D8E5" w14:textId="77777777" w:rsidR="0091715D" w:rsidRPr="0093549D"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 xml:space="preserve">    </w:t>
      </w:r>
      <w:r w:rsidR="0091715D" w:rsidRPr="0093549D">
        <w:rPr>
          <w:rFonts w:ascii="Times New Roman" w:hAnsi="Times New Roman" w:cs="Times New Roman"/>
        </w:rPr>
        <w:t>2420 Nākamo periodu izdevumi un avansi par pakalpojumiem un projektiem</w:t>
      </w:r>
    </w:p>
    <w:p w14:paraId="0AC1976C" w14:textId="77777777" w:rsidR="0091715D"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 xml:space="preserve">    </w:t>
      </w:r>
      <w:r w:rsidR="0091715D" w:rsidRPr="0093549D">
        <w:rPr>
          <w:rFonts w:ascii="Times New Roman" w:hAnsi="Times New Roman" w:cs="Times New Roman"/>
        </w:rPr>
        <w:t>2430 Avansā pārskaitītie transferti</w:t>
      </w:r>
    </w:p>
    <w:p w14:paraId="3FDAAFA0"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554</w:t>
      </w:r>
      <w:r w:rsidR="00076FD2">
        <w:rPr>
          <w:rFonts w:ascii="Times New Roman" w:hAnsi="Times New Roman" w:cs="Times New Roman"/>
        </w:rPr>
        <w:t>.</w:t>
      </w:r>
      <w:r w:rsidR="00076FD2" w:rsidRPr="0093549D">
        <w:rPr>
          <w:rFonts w:ascii="Times New Roman" w:hAnsi="Times New Roman" w:cs="Times New Roman"/>
        </w:rPr>
        <w:t xml:space="preserve"> Avansa maksājumus vai nākamo periodu izdevumus atzīst bilancē tikai tad, kad veikts maksājums (faktiskās izmaksas). Šajā kontā nedrīkst uzrādīt nākotnē veicamos maksājumus (līzinga procentu maksājumus līzinga termiņos u.tml.).</w:t>
      </w:r>
    </w:p>
    <w:p w14:paraId="4390591A"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555</w:t>
      </w:r>
      <w:r w:rsidR="00076FD2" w:rsidRPr="0093549D">
        <w:rPr>
          <w:rFonts w:ascii="Times New Roman" w:hAnsi="Times New Roman" w:cs="Times New Roman"/>
        </w:rPr>
        <w:t>. Saņemot avansa maksājumu dokumentu, rēķinu par nākamo periodu izdevumiem, darbuzņēmēju avansa pieprasījumu ārvalstu finanšu palīdzības un Eiropas Savienības politiku instrumentu finansētajiem projektiem un pasākumiem, grāmatojumus neveic, bet tos līdz apmaksas dienai reģistrē budžeta iestādes uzskaites sistēmā un uzrāda kā zembilances saistības. Katru avansa maksājumu vai nākamo periodu izdevumu veidu uzskaita analītiski.</w:t>
      </w:r>
    </w:p>
    <w:p w14:paraId="13B71B55" w14:textId="77777777" w:rsidR="009A422F"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556</w:t>
      </w:r>
      <w:r w:rsidR="00076FD2" w:rsidRPr="0093549D">
        <w:rPr>
          <w:rFonts w:ascii="Times New Roman" w:hAnsi="Times New Roman" w:cs="Times New Roman"/>
        </w:rPr>
        <w:t>. Samaksātos avansus uzskaita tās aktīvu grupas sastāvā, par kuriem avansi maksāti. Atsevišķi uzskaita avansus nemateriāliem ieguldījumiem, avansus pamatlīdzekļu iegādei, avansus finanšu ieguldījumiem, avansus krājumiem, nākamo periodu izdevumus un avansus par pakalpojumiem.</w:t>
      </w:r>
    </w:p>
    <w:p w14:paraId="72A03A08" w14:textId="77777777" w:rsidR="009A422F" w:rsidRPr="009A422F" w:rsidRDefault="009A422F" w:rsidP="00CD363C">
      <w:pPr>
        <w:spacing w:after="0" w:line="240" w:lineRule="auto"/>
        <w:ind w:right="-66"/>
        <w:jc w:val="both"/>
        <w:rPr>
          <w:rFonts w:ascii="Times New Roman" w:hAnsi="Times New Roman" w:cs="Times New Roman"/>
          <w:sz w:val="24"/>
          <w:szCs w:val="24"/>
        </w:rPr>
      </w:pPr>
      <w:r w:rsidRPr="009A422F">
        <w:rPr>
          <w:rFonts w:ascii="Times New Roman" w:hAnsi="Times New Roman" w:cs="Times New Roman"/>
        </w:rPr>
        <w:t>557</w:t>
      </w:r>
      <w:r w:rsidR="00076FD2" w:rsidRPr="009A422F">
        <w:rPr>
          <w:rFonts w:ascii="Times New Roman" w:hAnsi="Times New Roman" w:cs="Times New Roman"/>
        </w:rPr>
        <w:t>. Nākamo periodu izdevumus atzīst brīdī, kad ir veikts atbilstošais maksājums. Avansa maksājuma par pakalpojumiem pārskaitīšanas dienā (pamatojoties uz attaisnojuma dokumentiem un maksājumu uzdevumu) palielina attiecīgo nākamo periodu izdevumu kontu vai avansa kontu par pakalpojumiem un samazina naudas kontu, no kura veikts maksājums</w:t>
      </w:r>
      <w:r w:rsidRPr="009A422F">
        <w:rPr>
          <w:rFonts w:ascii="Times New Roman" w:hAnsi="Times New Roman" w:cs="Times New Roman"/>
          <w:sz w:val="24"/>
          <w:szCs w:val="24"/>
        </w:rPr>
        <w:t>, budžeta iestāde veic sekojošu</w:t>
      </w:r>
      <w:r w:rsidRPr="009A422F">
        <w:rPr>
          <w:rFonts w:ascii="Times New Roman" w:hAnsi="Times New Roman" w:cs="Times New Roman"/>
          <w:spacing w:val="-3"/>
          <w:sz w:val="24"/>
          <w:szCs w:val="24"/>
        </w:rPr>
        <w:t xml:space="preserve"> </w:t>
      </w:r>
      <w:r w:rsidRPr="009A422F">
        <w:rPr>
          <w:rFonts w:ascii="Times New Roman" w:hAnsi="Times New Roman" w:cs="Times New Roman"/>
          <w:sz w:val="24"/>
          <w:szCs w:val="24"/>
        </w:rPr>
        <w:t>grāmatojumu:</w:t>
      </w:r>
    </w:p>
    <w:p w14:paraId="07DF40EB"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2</w:t>
      </w:r>
      <w:r w:rsidR="00076FD2" w:rsidRPr="006C1945">
        <w:rPr>
          <w:rFonts w:ascii="Times New Roman" w:hAnsi="Times New Roman" w:cs="Times New Roman"/>
          <w:b/>
        </w:rPr>
        <w:t>4</w:t>
      </w:r>
      <w:r w:rsidR="00076FD2">
        <w:rPr>
          <w:rFonts w:ascii="Times New Roman" w:hAnsi="Times New Roman" w:cs="Times New Roman"/>
          <w:b/>
        </w:rPr>
        <w:t>00</w:t>
      </w:r>
      <w:r w:rsidR="00076FD2" w:rsidRPr="006C1945">
        <w:rPr>
          <w:rFonts w:ascii="Times New Roman" w:hAnsi="Times New Roman" w:cs="Times New Roman"/>
          <w:b/>
        </w:rPr>
        <w:t xml:space="preserve">  </w:t>
      </w:r>
      <w:r w:rsidR="00076FD2">
        <w:rPr>
          <w:rFonts w:ascii="Times New Roman" w:hAnsi="Times New Roman" w:cs="Times New Roman"/>
          <w:b/>
        </w:rPr>
        <w:t>Nākamo periodu izdevumi un a</w:t>
      </w:r>
      <w:r w:rsidR="00076FD2" w:rsidRPr="006C1945">
        <w:rPr>
          <w:rFonts w:ascii="Times New Roman" w:hAnsi="Times New Roman" w:cs="Times New Roman"/>
          <w:b/>
        </w:rPr>
        <w:t>vansi par pakalpojumiem</w:t>
      </w:r>
      <w:r w:rsidR="00076FD2">
        <w:rPr>
          <w:rFonts w:ascii="Times New Roman" w:hAnsi="Times New Roman" w:cs="Times New Roman"/>
          <w:b/>
        </w:rPr>
        <w:t xml:space="preserve"> un projektiem</w:t>
      </w:r>
    </w:p>
    <w:p w14:paraId="1ACA1C2A" w14:textId="77777777" w:rsidR="00076FD2" w:rsidRPr="006C1945" w:rsidRDefault="00076FD2" w:rsidP="00CD363C">
      <w:pPr>
        <w:spacing w:after="0" w:line="240" w:lineRule="auto"/>
        <w:ind w:right="-66"/>
        <w:jc w:val="both"/>
        <w:rPr>
          <w:rFonts w:ascii="Times New Roman" w:hAnsi="Times New Roman" w:cs="Times New Roman"/>
          <w:b/>
        </w:rPr>
      </w:pPr>
      <w:r w:rsidRPr="006C1945">
        <w:rPr>
          <w:rFonts w:ascii="Times New Roman" w:hAnsi="Times New Roman" w:cs="Times New Roman"/>
          <w:b/>
        </w:rPr>
        <w:t xml:space="preserve">    </w:t>
      </w:r>
      <w:r w:rsidR="00214C51">
        <w:rPr>
          <w:rFonts w:ascii="Times New Roman" w:hAnsi="Times New Roman" w:cs="Times New Roman"/>
          <w:b/>
        </w:rPr>
        <w:t>D</w:t>
      </w:r>
      <w:r w:rsidRPr="006C1945">
        <w:rPr>
          <w:rFonts w:ascii="Times New Roman" w:hAnsi="Times New Roman" w:cs="Times New Roman"/>
          <w:b/>
        </w:rPr>
        <w:t xml:space="preserve">  5723  Pievienotās vērtības nodoklis (ja budžeta iestāde ir PVN maksātāja)</w:t>
      </w:r>
    </w:p>
    <w:p w14:paraId="56A731DA"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076FD2" w:rsidRPr="006C1945">
        <w:rPr>
          <w:rFonts w:ascii="Times New Roman" w:hAnsi="Times New Roman" w:cs="Times New Roman"/>
          <w:b/>
        </w:rPr>
        <w:t>2600</w:t>
      </w:r>
      <w:r>
        <w:rPr>
          <w:rFonts w:ascii="Times New Roman" w:hAnsi="Times New Roman" w:cs="Times New Roman"/>
          <w:b/>
        </w:rPr>
        <w:t xml:space="preserve">  </w:t>
      </w:r>
      <w:r w:rsidR="00076FD2" w:rsidRPr="006C1945">
        <w:rPr>
          <w:rFonts w:ascii="Times New Roman" w:hAnsi="Times New Roman" w:cs="Times New Roman"/>
          <w:b/>
        </w:rPr>
        <w:t xml:space="preserve">Naudas līdzekļi </w:t>
      </w:r>
    </w:p>
    <w:p w14:paraId="673053AE"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558</w:t>
      </w:r>
      <w:r w:rsidR="00076FD2" w:rsidRPr="0093549D">
        <w:rPr>
          <w:rFonts w:ascii="Times New Roman" w:hAnsi="Times New Roman" w:cs="Times New Roman"/>
        </w:rPr>
        <w:t xml:space="preserve"> Saņemot pakalpojumu, par kuru iepriekš veikts avansa maksājums, pamatojoties uz rēķinu vai pieņemšanas-nodošanas aktu:</w:t>
      </w:r>
    </w:p>
    <w:p w14:paraId="44073219"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558</w:t>
      </w:r>
      <w:r w:rsidR="00076FD2" w:rsidRPr="0093549D">
        <w:rPr>
          <w:rFonts w:ascii="Times New Roman" w:hAnsi="Times New Roman" w:cs="Times New Roman"/>
        </w:rPr>
        <w:t>.1. atzīst izdevumus un saistību kontu par visu veikto pakalpojumu summu, grāmatojot:</w:t>
      </w:r>
    </w:p>
    <w:p w14:paraId="6319B488" w14:textId="77777777" w:rsidR="00076FD2" w:rsidRPr="006C1945"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214C51">
        <w:rPr>
          <w:rFonts w:ascii="Times New Roman" w:hAnsi="Times New Roman" w:cs="Times New Roman"/>
          <w:b/>
        </w:rPr>
        <w:t xml:space="preserve">D  </w:t>
      </w:r>
      <w:r w:rsidRPr="006C1945">
        <w:rPr>
          <w:rFonts w:ascii="Times New Roman" w:hAnsi="Times New Roman" w:cs="Times New Roman"/>
          <w:b/>
        </w:rPr>
        <w:t>7000</w:t>
      </w:r>
      <w:r w:rsidR="00214C51">
        <w:rPr>
          <w:rFonts w:ascii="Times New Roman" w:hAnsi="Times New Roman" w:cs="Times New Roman"/>
          <w:b/>
        </w:rPr>
        <w:t xml:space="preserve">  </w:t>
      </w:r>
      <w:r w:rsidRPr="006C1945">
        <w:rPr>
          <w:rFonts w:ascii="Times New Roman" w:hAnsi="Times New Roman" w:cs="Times New Roman"/>
          <w:b/>
        </w:rPr>
        <w:t xml:space="preserve">Pamatdarbības izdevumi (attiecīgais izdevumu konts)  </w:t>
      </w:r>
    </w:p>
    <w:p w14:paraId="6C2FC23C" w14:textId="77777777" w:rsidR="00076FD2" w:rsidRPr="006C1945"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6C1945">
        <w:rPr>
          <w:rFonts w:ascii="Times New Roman" w:hAnsi="Times New Roman" w:cs="Times New Roman"/>
          <w:b/>
        </w:rPr>
        <w:t>K</w:t>
      </w:r>
      <w:r w:rsidR="00214C51">
        <w:rPr>
          <w:rFonts w:ascii="Times New Roman" w:hAnsi="Times New Roman" w:cs="Times New Roman"/>
          <w:b/>
        </w:rPr>
        <w:t xml:space="preserve">  </w:t>
      </w:r>
      <w:r w:rsidRPr="006C1945">
        <w:rPr>
          <w:rFonts w:ascii="Times New Roman" w:hAnsi="Times New Roman" w:cs="Times New Roman"/>
          <w:b/>
        </w:rPr>
        <w:t>5310</w:t>
      </w:r>
      <w:r w:rsidR="00214C51">
        <w:rPr>
          <w:rFonts w:ascii="Times New Roman" w:hAnsi="Times New Roman" w:cs="Times New Roman"/>
          <w:b/>
        </w:rPr>
        <w:t xml:space="preserve">  </w:t>
      </w:r>
      <w:r w:rsidRPr="006C1945">
        <w:rPr>
          <w:rFonts w:ascii="Times New Roman" w:hAnsi="Times New Roman" w:cs="Times New Roman"/>
          <w:b/>
        </w:rPr>
        <w:t>Īstermiņa saistības pret piegādātājiem un darbuzņēmējiem</w:t>
      </w:r>
    </w:p>
    <w:p w14:paraId="7F3B6929" w14:textId="77777777" w:rsidR="00076FD2" w:rsidRPr="006C1945" w:rsidRDefault="00076FD2" w:rsidP="00CD363C">
      <w:pPr>
        <w:spacing w:after="0" w:line="240" w:lineRule="auto"/>
        <w:ind w:right="-66"/>
        <w:jc w:val="both"/>
        <w:rPr>
          <w:rFonts w:ascii="Times New Roman" w:hAnsi="Times New Roman" w:cs="Times New Roman"/>
          <w:b/>
        </w:rPr>
      </w:pPr>
      <w:r w:rsidRPr="006C1945">
        <w:rPr>
          <w:rFonts w:ascii="Times New Roman" w:hAnsi="Times New Roman" w:cs="Times New Roman"/>
          <w:b/>
        </w:rPr>
        <w:t xml:space="preserve">    </w:t>
      </w:r>
      <w:r w:rsidR="00214C51">
        <w:rPr>
          <w:rFonts w:ascii="Times New Roman" w:hAnsi="Times New Roman" w:cs="Times New Roman"/>
          <w:b/>
        </w:rPr>
        <w:t>K</w:t>
      </w:r>
      <w:r w:rsidRPr="006C1945">
        <w:rPr>
          <w:rFonts w:ascii="Times New Roman" w:hAnsi="Times New Roman" w:cs="Times New Roman"/>
          <w:b/>
        </w:rPr>
        <w:t xml:space="preserve">   5723</w:t>
      </w:r>
      <w:r w:rsidR="00214C51">
        <w:rPr>
          <w:rFonts w:ascii="Times New Roman" w:hAnsi="Times New Roman" w:cs="Times New Roman"/>
          <w:b/>
        </w:rPr>
        <w:t xml:space="preserve">  </w:t>
      </w:r>
      <w:r w:rsidRPr="006C1945">
        <w:rPr>
          <w:rFonts w:ascii="Times New Roman" w:hAnsi="Times New Roman" w:cs="Times New Roman"/>
          <w:b/>
        </w:rPr>
        <w:t>Pievienotās vērtības nodoklis (ja budžeta iestāde ir PVN maksātāja)</w:t>
      </w:r>
    </w:p>
    <w:p w14:paraId="253E435B"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558</w:t>
      </w:r>
      <w:r w:rsidR="00076FD2" w:rsidRPr="0093549D">
        <w:rPr>
          <w:rFonts w:ascii="Times New Roman" w:hAnsi="Times New Roman" w:cs="Times New Roman"/>
        </w:rPr>
        <w:t>.2. samazina saistību kontu par iepriekš veikto avansu un PVN (ja budžeta iestāde ir PVN maksātāja), grāmato:</w:t>
      </w:r>
    </w:p>
    <w:p w14:paraId="60AABE77" w14:textId="77777777" w:rsidR="00076FD2" w:rsidRPr="006C1945" w:rsidRDefault="009A422F"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w:t>
      </w:r>
      <w:r w:rsidR="00214C51">
        <w:rPr>
          <w:rFonts w:ascii="Times New Roman" w:hAnsi="Times New Roman" w:cs="Times New Roman"/>
          <w:b/>
        </w:rPr>
        <w:t xml:space="preserve">  5</w:t>
      </w:r>
      <w:r w:rsidR="00076FD2" w:rsidRPr="006C1945">
        <w:rPr>
          <w:rFonts w:ascii="Times New Roman" w:hAnsi="Times New Roman" w:cs="Times New Roman"/>
          <w:b/>
        </w:rPr>
        <w:t>310     Īstermiņa saistības pret piegādātājiem un darbuzņēmējiem</w:t>
      </w:r>
    </w:p>
    <w:p w14:paraId="1159D538"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076FD2" w:rsidRPr="006C1945">
        <w:rPr>
          <w:rFonts w:ascii="Times New Roman" w:hAnsi="Times New Roman" w:cs="Times New Roman"/>
          <w:b/>
        </w:rPr>
        <w:t>K</w:t>
      </w:r>
      <w:r>
        <w:rPr>
          <w:rFonts w:ascii="Times New Roman" w:hAnsi="Times New Roman" w:cs="Times New Roman"/>
          <w:b/>
        </w:rPr>
        <w:t xml:space="preserve">  </w:t>
      </w:r>
      <w:r w:rsidR="00076FD2" w:rsidRPr="006C1945">
        <w:rPr>
          <w:rFonts w:ascii="Times New Roman" w:hAnsi="Times New Roman" w:cs="Times New Roman"/>
          <w:b/>
        </w:rPr>
        <w:t>24</w:t>
      </w:r>
      <w:r w:rsidR="00076FD2">
        <w:rPr>
          <w:rFonts w:ascii="Times New Roman" w:hAnsi="Times New Roman" w:cs="Times New Roman"/>
          <w:b/>
        </w:rPr>
        <w:t>00</w:t>
      </w:r>
      <w:r w:rsidR="00076FD2" w:rsidRPr="006C1945">
        <w:rPr>
          <w:rFonts w:ascii="Times New Roman" w:hAnsi="Times New Roman" w:cs="Times New Roman"/>
          <w:b/>
        </w:rPr>
        <w:t xml:space="preserve">    </w:t>
      </w:r>
      <w:r w:rsidR="00076FD2">
        <w:rPr>
          <w:rFonts w:ascii="Times New Roman" w:hAnsi="Times New Roman" w:cs="Times New Roman"/>
          <w:b/>
        </w:rPr>
        <w:t>Nākamo periodu izdevumi un a</w:t>
      </w:r>
      <w:r w:rsidR="00076FD2" w:rsidRPr="006C1945">
        <w:rPr>
          <w:rFonts w:ascii="Times New Roman" w:hAnsi="Times New Roman" w:cs="Times New Roman"/>
          <w:b/>
        </w:rPr>
        <w:t>vansi par pakalpojumiem</w:t>
      </w:r>
      <w:r w:rsidR="00076FD2">
        <w:rPr>
          <w:rFonts w:ascii="Times New Roman" w:hAnsi="Times New Roman" w:cs="Times New Roman"/>
          <w:b/>
        </w:rPr>
        <w:t xml:space="preserve"> un projektiem</w:t>
      </w:r>
    </w:p>
    <w:p w14:paraId="3E556DBB" w14:textId="77777777" w:rsidR="00076FD2" w:rsidRDefault="00076FD2" w:rsidP="00CD363C">
      <w:pPr>
        <w:spacing w:after="0" w:line="240" w:lineRule="auto"/>
        <w:ind w:right="-66"/>
        <w:jc w:val="both"/>
        <w:rPr>
          <w:rFonts w:ascii="Times New Roman" w:hAnsi="Times New Roman" w:cs="Times New Roman"/>
          <w:b/>
        </w:rPr>
      </w:pPr>
      <w:r w:rsidRPr="006C1945">
        <w:rPr>
          <w:rFonts w:ascii="Times New Roman" w:hAnsi="Times New Roman" w:cs="Times New Roman"/>
          <w:b/>
        </w:rPr>
        <w:t xml:space="preserve">     </w:t>
      </w:r>
      <w:r w:rsidR="00214C51">
        <w:rPr>
          <w:rFonts w:ascii="Times New Roman" w:hAnsi="Times New Roman" w:cs="Times New Roman"/>
          <w:b/>
        </w:rPr>
        <w:t xml:space="preserve">K  </w:t>
      </w:r>
      <w:r w:rsidRPr="006C1945">
        <w:rPr>
          <w:rFonts w:ascii="Times New Roman" w:hAnsi="Times New Roman" w:cs="Times New Roman"/>
          <w:b/>
        </w:rPr>
        <w:t>5723</w:t>
      </w:r>
      <w:r w:rsidR="00214C51">
        <w:rPr>
          <w:rFonts w:ascii="Times New Roman" w:hAnsi="Times New Roman" w:cs="Times New Roman"/>
          <w:b/>
        </w:rPr>
        <w:t xml:space="preserve">  P</w:t>
      </w:r>
      <w:r w:rsidRPr="006C1945">
        <w:rPr>
          <w:rFonts w:ascii="Times New Roman" w:hAnsi="Times New Roman" w:cs="Times New Roman"/>
          <w:b/>
        </w:rPr>
        <w:t xml:space="preserve">ievienotās vērtības nodoklis (ja PVN tiek atskaitīts kā </w:t>
      </w:r>
    </w:p>
    <w:p w14:paraId="6E5F7519" w14:textId="77777777" w:rsidR="00076FD2"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6C1945">
        <w:rPr>
          <w:rFonts w:ascii="Times New Roman" w:hAnsi="Times New Roman" w:cs="Times New Roman"/>
          <w:b/>
        </w:rPr>
        <w:t>priekšnodoklis)</w:t>
      </w:r>
    </w:p>
    <w:p w14:paraId="5F1C3BF0" w14:textId="77777777" w:rsidR="009A422F" w:rsidRDefault="009A422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558.3</w:t>
      </w:r>
      <w:r w:rsidR="00214C51">
        <w:rPr>
          <w:rFonts w:ascii="Times New Roman" w:hAnsi="Times New Roman" w:cs="Times New Roman"/>
          <w:sz w:val="24"/>
          <w:szCs w:val="24"/>
        </w:rPr>
        <w:t>.</w:t>
      </w:r>
      <w:r w:rsidRPr="009A422F">
        <w:rPr>
          <w:rFonts w:ascii="Times New Roman" w:hAnsi="Times New Roman" w:cs="Times New Roman"/>
          <w:sz w:val="24"/>
          <w:szCs w:val="24"/>
        </w:rPr>
        <w:t>Budžeta iestāde noraksta nākamo periodu izdevumus ne retāk kā reizi pārskata periodā, kad budžeta iestāde ir saņēmusi pakalpojumu, uz kuru attiecas iepriekš atzītie nākamo periodu izdevumi. Ja pakalpojums saņemts pa daļām vai pakāpeniski, budžeta iestāde atzīst izdevumus saņemtās pakalpojumu daļas vērtībā, pamatojoties uz līgumu un/vai pakalpojuma saņemšanu apliecinošiem dokumentiem.</w:t>
      </w:r>
      <w:r w:rsidRPr="009A422F">
        <w:rPr>
          <w:rFonts w:ascii="Times New Roman" w:hAnsi="Times New Roman" w:cs="Times New Roman"/>
          <w:spacing w:val="-13"/>
          <w:sz w:val="24"/>
          <w:szCs w:val="24"/>
        </w:rPr>
        <w:t xml:space="preserve"> </w:t>
      </w:r>
      <w:r w:rsidRPr="009A422F">
        <w:rPr>
          <w:rFonts w:ascii="Times New Roman" w:hAnsi="Times New Roman" w:cs="Times New Roman"/>
          <w:sz w:val="24"/>
          <w:szCs w:val="24"/>
        </w:rPr>
        <w:t>Ja</w:t>
      </w:r>
      <w:r w:rsidRPr="009A422F">
        <w:rPr>
          <w:rFonts w:ascii="Times New Roman" w:hAnsi="Times New Roman" w:cs="Times New Roman"/>
          <w:spacing w:val="-11"/>
          <w:sz w:val="24"/>
          <w:szCs w:val="24"/>
        </w:rPr>
        <w:t xml:space="preserve"> </w:t>
      </w:r>
      <w:r w:rsidRPr="009A422F">
        <w:rPr>
          <w:rFonts w:ascii="Times New Roman" w:hAnsi="Times New Roman" w:cs="Times New Roman"/>
          <w:sz w:val="24"/>
          <w:szCs w:val="24"/>
        </w:rPr>
        <w:t>pakalpojums</w:t>
      </w:r>
      <w:r w:rsidRPr="009A422F">
        <w:rPr>
          <w:rFonts w:ascii="Times New Roman" w:hAnsi="Times New Roman" w:cs="Times New Roman"/>
          <w:spacing w:val="-11"/>
          <w:sz w:val="24"/>
          <w:szCs w:val="24"/>
        </w:rPr>
        <w:t xml:space="preserve"> </w:t>
      </w:r>
      <w:r w:rsidRPr="009A422F">
        <w:rPr>
          <w:rFonts w:ascii="Times New Roman" w:hAnsi="Times New Roman" w:cs="Times New Roman"/>
          <w:sz w:val="24"/>
          <w:szCs w:val="24"/>
        </w:rPr>
        <w:t>tiek</w:t>
      </w:r>
      <w:r w:rsidRPr="009A422F">
        <w:rPr>
          <w:rFonts w:ascii="Times New Roman" w:hAnsi="Times New Roman" w:cs="Times New Roman"/>
          <w:spacing w:val="-14"/>
          <w:sz w:val="24"/>
          <w:szCs w:val="24"/>
        </w:rPr>
        <w:t xml:space="preserve"> </w:t>
      </w:r>
      <w:r w:rsidRPr="009A422F">
        <w:rPr>
          <w:rFonts w:ascii="Times New Roman" w:hAnsi="Times New Roman" w:cs="Times New Roman"/>
          <w:sz w:val="24"/>
          <w:szCs w:val="24"/>
        </w:rPr>
        <w:t>saņemts</w:t>
      </w:r>
      <w:r w:rsidRPr="009A422F">
        <w:rPr>
          <w:rFonts w:ascii="Times New Roman" w:hAnsi="Times New Roman" w:cs="Times New Roman"/>
          <w:spacing w:val="-12"/>
          <w:sz w:val="24"/>
          <w:szCs w:val="24"/>
        </w:rPr>
        <w:t xml:space="preserve"> </w:t>
      </w:r>
      <w:r w:rsidRPr="009A422F">
        <w:rPr>
          <w:rFonts w:ascii="Times New Roman" w:hAnsi="Times New Roman" w:cs="Times New Roman"/>
          <w:sz w:val="24"/>
          <w:szCs w:val="24"/>
        </w:rPr>
        <w:t>vairāku</w:t>
      </w:r>
      <w:r w:rsidRPr="009A422F">
        <w:rPr>
          <w:rFonts w:ascii="Times New Roman" w:hAnsi="Times New Roman" w:cs="Times New Roman"/>
          <w:spacing w:val="-12"/>
          <w:sz w:val="24"/>
          <w:szCs w:val="24"/>
        </w:rPr>
        <w:t xml:space="preserve"> </w:t>
      </w:r>
      <w:r w:rsidRPr="009A422F">
        <w:rPr>
          <w:rFonts w:ascii="Times New Roman" w:hAnsi="Times New Roman" w:cs="Times New Roman"/>
          <w:sz w:val="24"/>
          <w:szCs w:val="24"/>
        </w:rPr>
        <w:t>mēnešu</w:t>
      </w:r>
      <w:r w:rsidRPr="009A422F">
        <w:rPr>
          <w:rFonts w:ascii="Times New Roman" w:hAnsi="Times New Roman" w:cs="Times New Roman"/>
          <w:spacing w:val="-12"/>
          <w:sz w:val="24"/>
          <w:szCs w:val="24"/>
        </w:rPr>
        <w:t xml:space="preserve"> </w:t>
      </w:r>
      <w:r w:rsidRPr="009A422F">
        <w:rPr>
          <w:rFonts w:ascii="Times New Roman" w:hAnsi="Times New Roman" w:cs="Times New Roman"/>
          <w:sz w:val="24"/>
          <w:szCs w:val="24"/>
        </w:rPr>
        <w:t>garumā</w:t>
      </w:r>
      <w:r w:rsidRPr="009A422F">
        <w:rPr>
          <w:rFonts w:ascii="Times New Roman" w:hAnsi="Times New Roman" w:cs="Times New Roman"/>
          <w:spacing w:val="-11"/>
          <w:sz w:val="24"/>
          <w:szCs w:val="24"/>
        </w:rPr>
        <w:t xml:space="preserve"> </w:t>
      </w:r>
      <w:r w:rsidRPr="009A422F">
        <w:rPr>
          <w:rFonts w:ascii="Times New Roman" w:hAnsi="Times New Roman" w:cs="Times New Roman"/>
          <w:sz w:val="24"/>
          <w:szCs w:val="24"/>
        </w:rPr>
        <w:t>(preses</w:t>
      </w:r>
      <w:r w:rsidRPr="009A422F">
        <w:rPr>
          <w:rFonts w:ascii="Times New Roman" w:hAnsi="Times New Roman" w:cs="Times New Roman"/>
          <w:spacing w:val="-14"/>
          <w:sz w:val="24"/>
          <w:szCs w:val="24"/>
        </w:rPr>
        <w:t xml:space="preserve"> </w:t>
      </w:r>
      <w:r w:rsidRPr="009A422F">
        <w:rPr>
          <w:rFonts w:ascii="Times New Roman" w:hAnsi="Times New Roman" w:cs="Times New Roman"/>
          <w:sz w:val="24"/>
          <w:szCs w:val="24"/>
        </w:rPr>
        <w:t>abonēšana,</w:t>
      </w:r>
      <w:r w:rsidRPr="009A422F">
        <w:rPr>
          <w:rFonts w:ascii="Times New Roman" w:hAnsi="Times New Roman" w:cs="Times New Roman"/>
          <w:spacing w:val="-13"/>
          <w:sz w:val="24"/>
          <w:szCs w:val="24"/>
        </w:rPr>
        <w:t xml:space="preserve"> </w:t>
      </w:r>
      <w:r w:rsidRPr="009A422F">
        <w:rPr>
          <w:rFonts w:ascii="Times New Roman" w:hAnsi="Times New Roman" w:cs="Times New Roman"/>
          <w:sz w:val="24"/>
          <w:szCs w:val="24"/>
        </w:rPr>
        <w:t>apdrošināšana u.c.),</w:t>
      </w:r>
      <w:r w:rsidRPr="009A422F">
        <w:rPr>
          <w:rFonts w:ascii="Times New Roman" w:hAnsi="Times New Roman" w:cs="Times New Roman"/>
          <w:spacing w:val="-8"/>
          <w:sz w:val="24"/>
          <w:szCs w:val="24"/>
        </w:rPr>
        <w:t xml:space="preserve"> </w:t>
      </w:r>
      <w:r w:rsidRPr="009A422F">
        <w:rPr>
          <w:rFonts w:ascii="Times New Roman" w:hAnsi="Times New Roman" w:cs="Times New Roman"/>
          <w:sz w:val="24"/>
          <w:szCs w:val="24"/>
        </w:rPr>
        <w:t>budžeta</w:t>
      </w:r>
      <w:r w:rsidRPr="009A422F">
        <w:rPr>
          <w:rFonts w:ascii="Times New Roman" w:hAnsi="Times New Roman" w:cs="Times New Roman"/>
          <w:spacing w:val="-4"/>
          <w:sz w:val="24"/>
          <w:szCs w:val="24"/>
        </w:rPr>
        <w:t xml:space="preserve"> </w:t>
      </w:r>
      <w:r w:rsidRPr="009A422F">
        <w:rPr>
          <w:rFonts w:ascii="Times New Roman" w:hAnsi="Times New Roman" w:cs="Times New Roman"/>
          <w:sz w:val="24"/>
          <w:szCs w:val="24"/>
        </w:rPr>
        <w:t>iestāde</w:t>
      </w:r>
      <w:r w:rsidRPr="009A422F">
        <w:rPr>
          <w:rFonts w:ascii="Times New Roman" w:hAnsi="Times New Roman" w:cs="Times New Roman"/>
          <w:spacing w:val="-7"/>
          <w:sz w:val="24"/>
          <w:szCs w:val="24"/>
        </w:rPr>
        <w:t xml:space="preserve"> </w:t>
      </w:r>
      <w:r w:rsidRPr="009A422F">
        <w:rPr>
          <w:rFonts w:ascii="Times New Roman" w:hAnsi="Times New Roman" w:cs="Times New Roman"/>
          <w:sz w:val="24"/>
          <w:szCs w:val="24"/>
        </w:rPr>
        <w:t>atzīst</w:t>
      </w:r>
      <w:r w:rsidRPr="009A422F">
        <w:rPr>
          <w:rFonts w:ascii="Times New Roman" w:hAnsi="Times New Roman" w:cs="Times New Roman"/>
          <w:spacing w:val="-8"/>
          <w:sz w:val="24"/>
          <w:szCs w:val="24"/>
        </w:rPr>
        <w:t xml:space="preserve"> </w:t>
      </w:r>
      <w:r w:rsidRPr="009A422F">
        <w:rPr>
          <w:rFonts w:ascii="Times New Roman" w:hAnsi="Times New Roman" w:cs="Times New Roman"/>
          <w:sz w:val="24"/>
          <w:szCs w:val="24"/>
        </w:rPr>
        <w:t>izdevumu</w:t>
      </w:r>
      <w:r w:rsidRPr="009A422F">
        <w:rPr>
          <w:rFonts w:ascii="Times New Roman" w:hAnsi="Times New Roman" w:cs="Times New Roman"/>
          <w:spacing w:val="-6"/>
          <w:sz w:val="24"/>
          <w:szCs w:val="24"/>
        </w:rPr>
        <w:t xml:space="preserve"> </w:t>
      </w:r>
      <w:r w:rsidRPr="009A422F">
        <w:rPr>
          <w:rFonts w:ascii="Times New Roman" w:hAnsi="Times New Roman" w:cs="Times New Roman"/>
          <w:sz w:val="24"/>
          <w:szCs w:val="24"/>
        </w:rPr>
        <w:t>summu,</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kas</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proporcionāli</w:t>
      </w:r>
      <w:r w:rsidRPr="009A422F">
        <w:rPr>
          <w:rFonts w:ascii="Times New Roman" w:hAnsi="Times New Roman" w:cs="Times New Roman"/>
          <w:spacing w:val="-6"/>
          <w:sz w:val="24"/>
          <w:szCs w:val="24"/>
        </w:rPr>
        <w:t xml:space="preserve"> </w:t>
      </w:r>
      <w:r w:rsidRPr="009A422F">
        <w:rPr>
          <w:rFonts w:ascii="Times New Roman" w:hAnsi="Times New Roman" w:cs="Times New Roman"/>
          <w:sz w:val="24"/>
          <w:szCs w:val="24"/>
        </w:rPr>
        <w:t>attiecas</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uz</w:t>
      </w:r>
      <w:r w:rsidRPr="009A422F">
        <w:rPr>
          <w:rFonts w:ascii="Times New Roman" w:hAnsi="Times New Roman" w:cs="Times New Roman"/>
          <w:spacing w:val="-7"/>
          <w:sz w:val="24"/>
          <w:szCs w:val="24"/>
        </w:rPr>
        <w:t xml:space="preserve"> </w:t>
      </w:r>
      <w:r w:rsidRPr="009A422F">
        <w:rPr>
          <w:rFonts w:ascii="Times New Roman" w:hAnsi="Times New Roman" w:cs="Times New Roman"/>
          <w:sz w:val="24"/>
          <w:szCs w:val="24"/>
        </w:rPr>
        <w:t>konkrēto</w:t>
      </w:r>
      <w:r w:rsidRPr="009A422F">
        <w:rPr>
          <w:rFonts w:ascii="Times New Roman" w:hAnsi="Times New Roman" w:cs="Times New Roman"/>
          <w:spacing w:val="-6"/>
          <w:sz w:val="24"/>
          <w:szCs w:val="24"/>
        </w:rPr>
        <w:t xml:space="preserve"> </w:t>
      </w:r>
      <w:r w:rsidRPr="009A422F">
        <w:rPr>
          <w:rFonts w:ascii="Times New Roman" w:hAnsi="Times New Roman" w:cs="Times New Roman"/>
          <w:sz w:val="24"/>
          <w:szCs w:val="24"/>
        </w:rPr>
        <w:t>mēnesi.</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Atzīstot izdevumus, kas proporcionāli attiecas uz konkrēto pārskata periodu (piemēram, mēnesi) vai saņemto pakalpojumu, budžeta iestāde</w:t>
      </w:r>
      <w:r>
        <w:rPr>
          <w:rFonts w:ascii="Times New Roman" w:hAnsi="Times New Roman" w:cs="Times New Roman"/>
          <w:sz w:val="24"/>
          <w:szCs w:val="24"/>
        </w:rPr>
        <w:t xml:space="preserve"> veic grāmatojumu:</w:t>
      </w:r>
    </w:p>
    <w:p w14:paraId="593449C4" w14:textId="77777777" w:rsidR="009A422F" w:rsidRDefault="009A422F"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7000  Pamatdarbības izdevumi</w:t>
      </w:r>
    </w:p>
    <w:p w14:paraId="45FECD67" w14:textId="77777777" w:rsidR="009A422F" w:rsidRPr="006C1945" w:rsidRDefault="009A422F"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2400  Nākamo periodu izdevumi un a</w:t>
      </w:r>
      <w:r w:rsidRPr="006C1945">
        <w:rPr>
          <w:rFonts w:ascii="Times New Roman" w:hAnsi="Times New Roman" w:cs="Times New Roman"/>
          <w:b/>
        </w:rPr>
        <w:t>vansi par pakalpojumiem</w:t>
      </w:r>
      <w:r>
        <w:rPr>
          <w:rFonts w:ascii="Times New Roman" w:hAnsi="Times New Roman" w:cs="Times New Roman"/>
          <w:b/>
        </w:rPr>
        <w:t xml:space="preserve"> un projektiem</w:t>
      </w:r>
    </w:p>
    <w:p w14:paraId="5B1AC328" w14:textId="77777777" w:rsidR="009A422F" w:rsidRPr="006C1945" w:rsidRDefault="009A422F" w:rsidP="00CD363C">
      <w:pPr>
        <w:spacing w:after="0" w:line="240" w:lineRule="auto"/>
        <w:ind w:right="-66"/>
        <w:jc w:val="both"/>
        <w:rPr>
          <w:rFonts w:ascii="Times New Roman" w:hAnsi="Times New Roman" w:cs="Times New Roman"/>
          <w:b/>
        </w:rPr>
      </w:pPr>
    </w:p>
    <w:p w14:paraId="2CBDAE19" w14:textId="77777777" w:rsidR="00076FD2"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559</w:t>
      </w:r>
      <w:r w:rsidR="00076FD2" w:rsidRPr="0093549D">
        <w:rPr>
          <w:rFonts w:ascii="Times New Roman" w:hAnsi="Times New Roman" w:cs="Times New Roman"/>
        </w:rPr>
        <w:t xml:space="preserve">. Ja pakalpojumus, par kuriem iepriekš veikts avansa maksājums, saņem pakāpeniski (pa daļām) vai vairāku mēnešu garumā (apdrošināšana vai laikrakstu abonēšana), samaksātos nākamo periodu izdevumus uzskaita attiecīgajā izdevumu kontā pa daļām. Izdevumos atzīstamā summa ir tā avansa daļa, kas proporcionāli attiecas uz konkrēto periodu. </w:t>
      </w:r>
    </w:p>
    <w:p w14:paraId="03CCC363" w14:textId="77777777" w:rsidR="00076FD2" w:rsidRPr="0093549D" w:rsidRDefault="00076FD2" w:rsidP="00CD363C">
      <w:pPr>
        <w:spacing w:after="0" w:line="240" w:lineRule="auto"/>
        <w:ind w:right="-66"/>
        <w:jc w:val="both"/>
        <w:rPr>
          <w:rFonts w:ascii="Times New Roman" w:hAnsi="Times New Roman" w:cs="Times New Roman"/>
        </w:rPr>
      </w:pPr>
    </w:p>
    <w:p w14:paraId="61705952"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D  7</w:t>
      </w:r>
      <w:r w:rsidR="00076FD2" w:rsidRPr="006C1945">
        <w:rPr>
          <w:rFonts w:ascii="Times New Roman" w:hAnsi="Times New Roman" w:cs="Times New Roman"/>
          <w:b/>
        </w:rPr>
        <w:t>000</w:t>
      </w:r>
      <w:r>
        <w:rPr>
          <w:rFonts w:ascii="Times New Roman" w:hAnsi="Times New Roman" w:cs="Times New Roman"/>
          <w:b/>
        </w:rPr>
        <w:t xml:space="preserve">  P</w:t>
      </w:r>
      <w:r w:rsidR="00076FD2" w:rsidRPr="006C1945">
        <w:rPr>
          <w:rFonts w:ascii="Times New Roman" w:hAnsi="Times New Roman" w:cs="Times New Roman"/>
          <w:b/>
        </w:rPr>
        <w:t xml:space="preserve">amatdarbības izdevumi (attiecīgais izdevumu konts)  </w:t>
      </w:r>
    </w:p>
    <w:p w14:paraId="2E1F8D03" w14:textId="77777777" w:rsidR="00076FD2"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K  </w:t>
      </w:r>
      <w:r w:rsidR="00076FD2" w:rsidRPr="006C1945">
        <w:rPr>
          <w:rFonts w:ascii="Times New Roman" w:hAnsi="Times New Roman" w:cs="Times New Roman"/>
          <w:b/>
        </w:rPr>
        <w:t>2400</w:t>
      </w:r>
      <w:r>
        <w:rPr>
          <w:rFonts w:ascii="Times New Roman" w:hAnsi="Times New Roman" w:cs="Times New Roman"/>
          <w:b/>
        </w:rPr>
        <w:t xml:space="preserve">  </w:t>
      </w:r>
      <w:r w:rsidR="00076FD2" w:rsidRPr="006C1945">
        <w:rPr>
          <w:rFonts w:ascii="Times New Roman" w:hAnsi="Times New Roman" w:cs="Times New Roman"/>
          <w:b/>
        </w:rPr>
        <w:t xml:space="preserve">Nākamo periodu izdevumi un avansi par pakalpojumiem un </w:t>
      </w:r>
    </w:p>
    <w:p w14:paraId="0B7166FD" w14:textId="77777777" w:rsidR="00076FD2" w:rsidRPr="006C1945"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6C1945">
        <w:rPr>
          <w:rFonts w:ascii="Times New Roman" w:hAnsi="Times New Roman" w:cs="Times New Roman"/>
          <w:b/>
        </w:rPr>
        <w:t>projektiem</w:t>
      </w:r>
    </w:p>
    <w:p w14:paraId="1888A28C" w14:textId="77777777" w:rsidR="00076FD2" w:rsidRPr="006C1945"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560</w:t>
      </w:r>
      <w:r w:rsidR="00076FD2" w:rsidRPr="006C1945">
        <w:rPr>
          <w:rFonts w:ascii="Times New Roman" w:hAnsi="Times New Roman" w:cs="Times New Roman"/>
        </w:rPr>
        <w:t>. Maksājumus, kas saistīti ar ārvalstu finanšu palīdzības un Eiropas Savienības politiku instrumentu finansētajiem projektiem un pasākumiem no darbuzņēmējiem saņemtajiem pakalpojumiem, noraksta izdevumos saskaņā ar projekta pieteicēja (palīdzības saņēmēja) iesniegtiem darbu izpildes pamatojošiem dokumentiem.</w:t>
      </w:r>
    </w:p>
    <w:p w14:paraId="4CD095E6" w14:textId="77777777" w:rsidR="00076FD2"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561</w:t>
      </w:r>
      <w:r w:rsidR="00076FD2" w:rsidRPr="006C1945">
        <w:rPr>
          <w:rFonts w:ascii="Times New Roman" w:hAnsi="Times New Roman" w:cs="Times New Roman"/>
        </w:rPr>
        <w:t xml:space="preserve">. Izdevumus, kas attiecas uz nākamo periodu darba samaksas norēķiniem (atvaļinājuma nauda) un valsts sociālās apdrošināšanas obligātajām iemaksām dokumentē ar grāmatvedības izziņu, jo aprēķinot šos izdevumus vispirms parāda kontu grupā “7000 Pamatdarbības izdevumi” attiecīgajā izdevumu kontā un tikai pēc tam pārgrāmato uz nākamo periodu izmaksām. </w:t>
      </w:r>
    </w:p>
    <w:p w14:paraId="79136581" w14:textId="77777777" w:rsidR="0091715D" w:rsidRDefault="00214C51" w:rsidP="00CD363C">
      <w:pPr>
        <w:spacing w:after="0" w:line="240" w:lineRule="auto"/>
        <w:ind w:right="-66"/>
        <w:jc w:val="both"/>
        <w:rPr>
          <w:rFonts w:ascii="Times New Roman" w:hAnsi="Times New Roman" w:cs="Times New Roman"/>
          <w:b/>
          <w:sz w:val="28"/>
          <w:szCs w:val="28"/>
        </w:rPr>
      </w:pPr>
      <w:r w:rsidRPr="00FF65D1">
        <w:rPr>
          <w:rFonts w:ascii="Times New Roman" w:hAnsi="Times New Roman" w:cs="Times New Roman"/>
          <w:b/>
          <w:sz w:val="28"/>
          <w:szCs w:val="28"/>
        </w:rPr>
        <w:t xml:space="preserve">15.3. </w:t>
      </w:r>
      <w:r w:rsidR="00FF65D1" w:rsidRPr="00FF65D1">
        <w:rPr>
          <w:rFonts w:ascii="Times New Roman" w:hAnsi="Times New Roman" w:cs="Times New Roman"/>
          <w:b/>
          <w:sz w:val="28"/>
          <w:szCs w:val="28"/>
        </w:rPr>
        <w:t>Inventarizācija un prasību vērtības samazinājums</w:t>
      </w:r>
    </w:p>
    <w:p w14:paraId="7829F49B" w14:textId="77777777" w:rsidR="00003E93" w:rsidRDefault="00FF65D1"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03E93">
        <w:rPr>
          <w:rFonts w:ascii="Times New Roman" w:hAnsi="Times New Roman" w:cs="Times New Roman"/>
          <w:sz w:val="24"/>
          <w:szCs w:val="24"/>
        </w:rPr>
        <w:t>562.</w:t>
      </w:r>
      <w:r w:rsidR="00003E93" w:rsidRPr="00003E93">
        <w:t xml:space="preserve"> </w:t>
      </w:r>
      <w:r w:rsidR="00003E93" w:rsidRPr="00003E93">
        <w:rPr>
          <w:rFonts w:ascii="Times New Roman" w:hAnsi="Times New Roman" w:cs="Times New Roman"/>
          <w:sz w:val="24"/>
          <w:szCs w:val="24"/>
        </w:rPr>
        <w:t>Budžeta iestāde veic prasību un samaksāto avansu inventarizāciju, pārbaudot grāmatvedības kontos uzrādītās summas atbilstoši attiecīgajiem dokumentiem un saskaņojot tās ar darījumu</w:t>
      </w:r>
      <w:r w:rsidR="00003E93" w:rsidRPr="00003E93">
        <w:rPr>
          <w:rFonts w:ascii="Times New Roman" w:hAnsi="Times New Roman" w:cs="Times New Roman"/>
          <w:spacing w:val="-29"/>
          <w:sz w:val="24"/>
          <w:szCs w:val="24"/>
        </w:rPr>
        <w:t xml:space="preserve"> </w:t>
      </w:r>
      <w:r w:rsidR="00003E93" w:rsidRPr="00003E93">
        <w:rPr>
          <w:rFonts w:ascii="Times New Roman" w:hAnsi="Times New Roman" w:cs="Times New Roman"/>
          <w:sz w:val="24"/>
          <w:szCs w:val="24"/>
        </w:rPr>
        <w:t>partneriem.</w:t>
      </w:r>
    </w:p>
    <w:p w14:paraId="7C99CA21" w14:textId="77777777" w:rsidR="00003E93" w:rsidRDefault="00003E93"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03E93">
        <w:rPr>
          <w:rFonts w:ascii="Times New Roman" w:hAnsi="Times New Roman" w:cs="Times New Roman"/>
          <w:sz w:val="24"/>
          <w:szCs w:val="24"/>
        </w:rPr>
        <w:t>563. Lai pārliecinātos par saņemamajām summām un samaksātajiem avansiem, tiek sagatavoti un visiem darījuma partneriem nosūtīti akti par savstarpējo norēķinu salīdzināšanu. Salīdzināšanās vispārējās valdības sektora ietveros veic atbilstoši Ministru kabineta 19.06.2018. noteikumos Nr. 344 “</w:t>
      </w:r>
      <w:hyperlink r:id="rId39">
        <w:r w:rsidRPr="00003E93">
          <w:rPr>
            <w:rFonts w:ascii="Times New Roman" w:hAnsi="Times New Roman" w:cs="Times New Roman"/>
            <w:color w:val="0462C1"/>
            <w:sz w:val="24"/>
            <w:szCs w:val="24"/>
            <w:u w:val="single" w:color="0462C1"/>
          </w:rPr>
          <w:t>Gada pārskata</w:t>
        </w:r>
      </w:hyperlink>
      <w:hyperlink r:id="rId40">
        <w:r w:rsidRPr="00003E93">
          <w:rPr>
            <w:rFonts w:ascii="Times New Roman" w:hAnsi="Times New Roman" w:cs="Times New Roman"/>
            <w:color w:val="0462C1"/>
            <w:sz w:val="24"/>
            <w:szCs w:val="24"/>
            <w:u w:val="single" w:color="0462C1"/>
          </w:rPr>
          <w:t xml:space="preserve"> sagatavošanas kārtība</w:t>
        </w:r>
      </w:hyperlink>
      <w:r w:rsidRPr="00003E93">
        <w:rPr>
          <w:rFonts w:ascii="Times New Roman" w:hAnsi="Times New Roman" w:cs="Times New Roman"/>
          <w:sz w:val="24"/>
          <w:szCs w:val="24"/>
        </w:rPr>
        <w:t>” noteiktajam un to veic e</w:t>
      </w:r>
      <w:r>
        <w:rPr>
          <w:rFonts w:ascii="Times New Roman" w:hAnsi="Times New Roman" w:cs="Times New Roman"/>
          <w:sz w:val="24"/>
          <w:szCs w:val="24"/>
        </w:rPr>
        <w:t xml:space="preserve"> </w:t>
      </w:r>
      <w:r w:rsidRPr="00003E93">
        <w:rPr>
          <w:rFonts w:ascii="Times New Roman" w:hAnsi="Times New Roman" w:cs="Times New Roman"/>
          <w:sz w:val="24"/>
          <w:szCs w:val="24"/>
        </w:rPr>
        <w:t xml:space="preserve">Pārskatu sistēmā. Norēķinus par nodokļiem un sociālajiem maksājumiem inventarizē </w:t>
      </w:r>
      <w:r>
        <w:rPr>
          <w:rFonts w:ascii="Times New Roman" w:hAnsi="Times New Roman" w:cs="Times New Roman"/>
          <w:sz w:val="24"/>
          <w:szCs w:val="24"/>
        </w:rPr>
        <w:t>salīdzinot ar VID EDS sniegtajiem pārskatiem par nodokļu iemaksām un atlikumiem.</w:t>
      </w:r>
    </w:p>
    <w:p w14:paraId="32EC3C84" w14:textId="77777777" w:rsidR="00003E93" w:rsidRDefault="00003E93"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564.</w:t>
      </w:r>
      <w:r w:rsidRPr="00003E93">
        <w:t xml:space="preserve"> </w:t>
      </w:r>
      <w:r w:rsidRPr="00003E93">
        <w:rPr>
          <w:rFonts w:ascii="Times New Roman" w:hAnsi="Times New Roman" w:cs="Times New Roman"/>
          <w:sz w:val="24"/>
          <w:szCs w:val="24"/>
        </w:rPr>
        <w:t>Nākamo periodu izdevumus budžeta iestāde inventarizē, salīdzinot bilances konta atlikumu ar attaisnojuma dokumentiem par veiktajiem maksājumiem</w:t>
      </w:r>
      <w:r>
        <w:rPr>
          <w:rFonts w:ascii="Times New Roman" w:hAnsi="Times New Roman" w:cs="Times New Roman"/>
          <w:sz w:val="24"/>
          <w:szCs w:val="24"/>
        </w:rPr>
        <w:t>.</w:t>
      </w:r>
    </w:p>
    <w:p w14:paraId="2BDA566B" w14:textId="77777777" w:rsid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565. Prasību atlikumiem grāmatvedības reģistros jābūt saskaņotiem ar attiecīgo prasību uzskaites datiem pārskata datumā. Strīda gadījumos prasību un saistību atlikumus bilancē norāda atbilstoši iestādes grāmatvedības</w:t>
      </w:r>
      <w:r w:rsidRPr="00AE2EB9">
        <w:rPr>
          <w:rFonts w:ascii="Times New Roman" w:hAnsi="Times New Roman" w:cs="Times New Roman"/>
          <w:spacing w:val="-1"/>
          <w:sz w:val="24"/>
          <w:szCs w:val="24"/>
        </w:rPr>
        <w:t xml:space="preserve"> </w:t>
      </w:r>
      <w:r w:rsidRPr="00AE2EB9">
        <w:rPr>
          <w:rFonts w:ascii="Times New Roman" w:hAnsi="Times New Roman" w:cs="Times New Roman"/>
          <w:sz w:val="24"/>
          <w:szCs w:val="24"/>
        </w:rPr>
        <w:t>datiem( ja tie atbilst dokumentiem).</w:t>
      </w:r>
    </w:p>
    <w:p w14:paraId="7231FEC4"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b/>
          <w:i/>
          <w:color w:val="4472C4" w:themeColor="accent1"/>
          <w:sz w:val="24"/>
          <w:szCs w:val="24"/>
        </w:rPr>
      </w:pPr>
      <w:r w:rsidRPr="00AE2EB9">
        <w:rPr>
          <w:rFonts w:ascii="Times New Roman" w:hAnsi="Times New Roman" w:cs="Times New Roman"/>
          <w:b/>
          <w:i/>
          <w:color w:val="4472C4" w:themeColor="accent1"/>
          <w:sz w:val="24"/>
          <w:szCs w:val="24"/>
        </w:rPr>
        <w:t>Prasību vērtības samazinājums</w:t>
      </w:r>
    </w:p>
    <w:p w14:paraId="03079261"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566. Budžeta</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katrā</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pārskata</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datumā</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novērtē,</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vai</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pastāv</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objektīvi</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pierādījumi</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prasību</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un</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 xml:space="preserve">samaksāto avansu nesaņemšanai, izvērtējot (ja tas ir iespējams) katru parādnieku un katru darījumu, un, ja nepieciešams, atzīst prasību un samaksāto avansu vērtības samazinājumu </w:t>
      </w:r>
      <w:r>
        <w:rPr>
          <w:rFonts w:ascii="Times New Roman" w:hAnsi="Times New Roman" w:cs="Times New Roman"/>
          <w:sz w:val="24"/>
          <w:szCs w:val="24"/>
        </w:rPr>
        <w:t>.</w:t>
      </w:r>
      <w:r w:rsidRPr="00AE2EB9">
        <w:rPr>
          <w:rFonts w:ascii="Times New Roman" w:hAnsi="Times New Roman" w:cs="Times New Roman"/>
          <w:sz w:val="24"/>
          <w:szCs w:val="24"/>
        </w:rPr>
        <w:t>Ja šādi pierādījumi pastāv (piemēram, gadījumos, ja ilgstoši netiek saņemtas materiālās vērtības vai pakalpojumi attiecībā uz iepriekš veiktajiem avansa maksājumiem), izdevumus vērtības samazinājumam novērtē nedrošās (apšaubāmās) summas apmērā (piemēram, veiktā avansa maksājuma apmērā) vai procentos no prasību</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summas.</w:t>
      </w:r>
    </w:p>
    <w:p w14:paraId="54873960"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bookmarkStart w:id="59" w:name="_bookmark191"/>
      <w:bookmarkEnd w:id="59"/>
      <w:r w:rsidRPr="00AE2EB9">
        <w:rPr>
          <w:rFonts w:ascii="Times New Roman" w:hAnsi="Times New Roman" w:cs="Times New Roman"/>
          <w:sz w:val="24"/>
          <w:szCs w:val="24"/>
        </w:rPr>
        <w:t>567.Budžeta</w:t>
      </w:r>
      <w:r w:rsidRPr="00AE2EB9">
        <w:rPr>
          <w:rFonts w:ascii="Times New Roman" w:hAnsi="Times New Roman" w:cs="Times New Roman"/>
          <w:spacing w:val="-18"/>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pārskata</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perioda</w:t>
      </w:r>
      <w:r w:rsidRPr="00AE2EB9">
        <w:rPr>
          <w:rFonts w:ascii="Times New Roman" w:hAnsi="Times New Roman" w:cs="Times New Roman"/>
          <w:spacing w:val="-16"/>
          <w:sz w:val="24"/>
          <w:szCs w:val="24"/>
        </w:rPr>
        <w:t xml:space="preserve"> </w:t>
      </w:r>
      <w:r w:rsidRPr="00AE2EB9">
        <w:rPr>
          <w:rFonts w:ascii="Times New Roman" w:hAnsi="Times New Roman" w:cs="Times New Roman"/>
          <w:sz w:val="24"/>
          <w:szCs w:val="24"/>
        </w:rPr>
        <w:t>beigās</w:t>
      </w:r>
      <w:r w:rsidRPr="00AE2EB9">
        <w:rPr>
          <w:rFonts w:ascii="Times New Roman" w:hAnsi="Times New Roman" w:cs="Times New Roman"/>
          <w:spacing w:val="-17"/>
          <w:sz w:val="24"/>
          <w:szCs w:val="24"/>
        </w:rPr>
        <w:t xml:space="preserve"> </w:t>
      </w:r>
      <w:r w:rsidRPr="00AE2EB9">
        <w:rPr>
          <w:rFonts w:ascii="Times New Roman" w:hAnsi="Times New Roman" w:cs="Times New Roman"/>
          <w:sz w:val="24"/>
          <w:szCs w:val="24"/>
        </w:rPr>
        <w:t>izvērtē</w:t>
      </w:r>
      <w:r w:rsidRPr="00AE2EB9">
        <w:rPr>
          <w:rFonts w:ascii="Times New Roman" w:hAnsi="Times New Roman" w:cs="Times New Roman"/>
          <w:spacing w:val="-17"/>
          <w:sz w:val="24"/>
          <w:szCs w:val="24"/>
        </w:rPr>
        <w:t xml:space="preserve"> </w:t>
      </w:r>
      <w:r w:rsidRPr="00AE2EB9">
        <w:rPr>
          <w:rFonts w:ascii="Times New Roman" w:hAnsi="Times New Roman" w:cs="Times New Roman"/>
          <w:sz w:val="24"/>
          <w:szCs w:val="24"/>
        </w:rPr>
        <w:t>sekojošus</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kritērijus,</w:t>
      </w:r>
      <w:r w:rsidRPr="00AE2EB9">
        <w:rPr>
          <w:rFonts w:ascii="Times New Roman" w:hAnsi="Times New Roman" w:cs="Times New Roman"/>
          <w:spacing w:val="-17"/>
          <w:sz w:val="24"/>
          <w:szCs w:val="24"/>
        </w:rPr>
        <w:t xml:space="preserve"> </w:t>
      </w:r>
      <w:r w:rsidRPr="00AE2EB9">
        <w:rPr>
          <w:rFonts w:ascii="Times New Roman" w:hAnsi="Times New Roman" w:cs="Times New Roman"/>
          <w:sz w:val="24"/>
          <w:szCs w:val="24"/>
        </w:rPr>
        <w:t>lai</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noteiktu,</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vai</w:t>
      </w:r>
      <w:r w:rsidRPr="00AE2EB9">
        <w:rPr>
          <w:rFonts w:ascii="Times New Roman" w:hAnsi="Times New Roman" w:cs="Times New Roman"/>
          <w:spacing w:val="-14"/>
          <w:sz w:val="24"/>
          <w:szCs w:val="24"/>
        </w:rPr>
        <w:t xml:space="preserve"> </w:t>
      </w:r>
      <w:r w:rsidRPr="00AE2EB9">
        <w:rPr>
          <w:rFonts w:ascii="Times New Roman" w:hAnsi="Times New Roman" w:cs="Times New Roman"/>
          <w:sz w:val="24"/>
          <w:szCs w:val="24"/>
        </w:rPr>
        <w:t>atzīstams</w:t>
      </w:r>
      <w:r w:rsidRPr="00AE2EB9">
        <w:rPr>
          <w:rFonts w:ascii="Times New Roman" w:hAnsi="Times New Roman" w:cs="Times New Roman"/>
          <w:spacing w:val="-16"/>
          <w:sz w:val="24"/>
          <w:szCs w:val="24"/>
        </w:rPr>
        <w:t xml:space="preserve"> </w:t>
      </w:r>
      <w:r w:rsidRPr="00AE2EB9">
        <w:rPr>
          <w:rFonts w:ascii="Times New Roman" w:hAnsi="Times New Roman" w:cs="Times New Roman"/>
          <w:sz w:val="24"/>
          <w:szCs w:val="24"/>
        </w:rPr>
        <w:t>prasības vērtības</w:t>
      </w:r>
      <w:r w:rsidRPr="00AE2EB9">
        <w:rPr>
          <w:rFonts w:ascii="Times New Roman" w:hAnsi="Times New Roman" w:cs="Times New Roman"/>
          <w:spacing w:val="-1"/>
          <w:sz w:val="24"/>
          <w:szCs w:val="24"/>
        </w:rPr>
        <w:t xml:space="preserve"> </w:t>
      </w:r>
      <w:r w:rsidRPr="00AE2EB9">
        <w:rPr>
          <w:rFonts w:ascii="Times New Roman" w:hAnsi="Times New Roman" w:cs="Times New Roman"/>
          <w:sz w:val="24"/>
          <w:szCs w:val="24"/>
        </w:rPr>
        <w:t>samazinājums:</w:t>
      </w:r>
    </w:p>
    <w:p w14:paraId="62B1032C" w14:textId="77777777" w:rsidR="00AE2EB9" w:rsidRPr="00AE2EB9" w:rsidRDefault="00AE2EB9" w:rsidP="00CD363C">
      <w:pPr>
        <w:pStyle w:val="Sarakstarindkopa"/>
        <w:widowControl w:val="0"/>
        <w:numPr>
          <w:ilvl w:val="2"/>
          <w:numId w:val="5"/>
        </w:numPr>
        <w:tabs>
          <w:tab w:val="left" w:pos="1472"/>
        </w:tabs>
        <w:autoSpaceDE w:val="0"/>
        <w:autoSpaceDN w:val="0"/>
        <w:spacing w:after="0" w:line="240" w:lineRule="auto"/>
        <w:ind w:right="-66" w:hanging="283"/>
        <w:contextualSpacing w:val="0"/>
        <w:jc w:val="both"/>
        <w:rPr>
          <w:rFonts w:ascii="Times New Roman" w:hAnsi="Times New Roman" w:cs="Times New Roman"/>
          <w:sz w:val="24"/>
          <w:szCs w:val="24"/>
        </w:rPr>
      </w:pPr>
      <w:r w:rsidRPr="00AE2EB9">
        <w:rPr>
          <w:rFonts w:ascii="Times New Roman" w:hAnsi="Times New Roman" w:cs="Times New Roman"/>
          <w:sz w:val="24"/>
          <w:szCs w:val="24"/>
        </w:rPr>
        <w:t>pastāv strīds par prasību atmaksu vai līguma izpildi, par kuru veikts avansa</w:t>
      </w:r>
      <w:r w:rsidRPr="00AE2EB9">
        <w:rPr>
          <w:rFonts w:ascii="Times New Roman" w:hAnsi="Times New Roman" w:cs="Times New Roman"/>
          <w:spacing w:val="-12"/>
          <w:sz w:val="24"/>
          <w:szCs w:val="24"/>
        </w:rPr>
        <w:t xml:space="preserve"> </w:t>
      </w:r>
      <w:r w:rsidRPr="00AE2EB9">
        <w:rPr>
          <w:rFonts w:ascii="Times New Roman" w:hAnsi="Times New Roman" w:cs="Times New Roman"/>
          <w:sz w:val="24"/>
          <w:szCs w:val="24"/>
        </w:rPr>
        <w:t>maksājums;</w:t>
      </w:r>
    </w:p>
    <w:p w14:paraId="3BD3A406" w14:textId="77777777" w:rsidR="00AE2EB9" w:rsidRPr="00AE2EB9" w:rsidRDefault="00AE2EB9" w:rsidP="00CD363C">
      <w:pPr>
        <w:pStyle w:val="Sarakstarindkopa"/>
        <w:widowControl w:val="0"/>
        <w:numPr>
          <w:ilvl w:val="2"/>
          <w:numId w:val="5"/>
        </w:numPr>
        <w:tabs>
          <w:tab w:val="left" w:pos="1472"/>
        </w:tabs>
        <w:autoSpaceDE w:val="0"/>
        <w:autoSpaceDN w:val="0"/>
        <w:spacing w:after="0" w:line="240" w:lineRule="auto"/>
        <w:ind w:right="-66" w:hanging="283"/>
        <w:contextualSpacing w:val="0"/>
        <w:jc w:val="both"/>
        <w:rPr>
          <w:rFonts w:ascii="Times New Roman" w:hAnsi="Times New Roman" w:cs="Times New Roman"/>
          <w:sz w:val="24"/>
          <w:szCs w:val="24"/>
        </w:rPr>
      </w:pPr>
      <w:r w:rsidRPr="00AE2EB9">
        <w:rPr>
          <w:rFonts w:ascii="Times New Roman" w:hAnsi="Times New Roman" w:cs="Times New Roman"/>
          <w:sz w:val="24"/>
          <w:szCs w:val="24"/>
        </w:rPr>
        <w:t>pret darījuma partneri ir ierosināta lieta par</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maksātnespēju;</w:t>
      </w:r>
    </w:p>
    <w:p w14:paraId="41484961" w14:textId="77777777" w:rsidR="00AE2EB9" w:rsidRPr="00AE2EB9" w:rsidRDefault="00AE2EB9" w:rsidP="00CD363C">
      <w:pPr>
        <w:pStyle w:val="Sarakstarindkopa"/>
        <w:widowControl w:val="0"/>
        <w:numPr>
          <w:ilvl w:val="2"/>
          <w:numId w:val="5"/>
        </w:numPr>
        <w:tabs>
          <w:tab w:val="left" w:pos="1472"/>
        </w:tabs>
        <w:autoSpaceDE w:val="0"/>
        <w:autoSpaceDN w:val="0"/>
        <w:spacing w:after="0" w:line="240" w:lineRule="auto"/>
        <w:ind w:right="-66" w:hanging="283"/>
        <w:contextualSpacing w:val="0"/>
        <w:jc w:val="both"/>
        <w:rPr>
          <w:rFonts w:ascii="Times New Roman" w:hAnsi="Times New Roman" w:cs="Times New Roman"/>
          <w:i/>
          <w:sz w:val="24"/>
          <w:szCs w:val="24"/>
        </w:rPr>
      </w:pPr>
      <w:r w:rsidRPr="00AE2EB9">
        <w:rPr>
          <w:rFonts w:ascii="Times New Roman" w:hAnsi="Times New Roman" w:cs="Times New Roman"/>
          <w:sz w:val="24"/>
          <w:szCs w:val="24"/>
        </w:rPr>
        <w:t xml:space="preserve">ir citi pamatoti iemesli, kas liek apšaubīt prasības atgūšanu, izņemot apmaksas vai nosacījumu izpildes termiņa kavējumu, </w:t>
      </w:r>
      <w:r w:rsidRPr="00AE2EB9">
        <w:rPr>
          <w:rFonts w:ascii="Times New Roman" w:hAnsi="Times New Roman" w:cs="Times New Roman"/>
          <w:i/>
          <w:sz w:val="24"/>
          <w:szCs w:val="24"/>
        </w:rPr>
        <w:t>piemēram, publiskā informācija par darījuma partnera finansiālajām</w:t>
      </w:r>
      <w:r w:rsidRPr="00AE2EB9">
        <w:rPr>
          <w:rFonts w:ascii="Times New Roman" w:hAnsi="Times New Roman" w:cs="Times New Roman"/>
          <w:i/>
          <w:spacing w:val="-2"/>
          <w:sz w:val="24"/>
          <w:szCs w:val="24"/>
        </w:rPr>
        <w:t xml:space="preserve"> </w:t>
      </w:r>
      <w:r w:rsidRPr="00AE2EB9">
        <w:rPr>
          <w:rFonts w:ascii="Times New Roman" w:hAnsi="Times New Roman" w:cs="Times New Roman"/>
          <w:i/>
          <w:sz w:val="24"/>
          <w:szCs w:val="24"/>
        </w:rPr>
        <w:t>grūtībām.</w:t>
      </w:r>
    </w:p>
    <w:p w14:paraId="0D33E7DB"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568.Gadījumā,</w:t>
      </w:r>
      <w:r w:rsidRPr="00AE2EB9">
        <w:rPr>
          <w:rFonts w:ascii="Times New Roman" w:hAnsi="Times New Roman" w:cs="Times New Roman"/>
          <w:spacing w:val="-11"/>
          <w:sz w:val="24"/>
          <w:szCs w:val="24"/>
        </w:rPr>
        <w:t xml:space="preserve"> </w:t>
      </w:r>
      <w:r w:rsidRPr="00AE2EB9">
        <w:rPr>
          <w:rFonts w:ascii="Times New Roman" w:hAnsi="Times New Roman" w:cs="Times New Roman"/>
          <w:sz w:val="24"/>
          <w:szCs w:val="24"/>
        </w:rPr>
        <w:t>ja</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budžeta</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konstatē</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iepriekšminētās</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pazīmes,</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budžeta</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atzīst</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prasību</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vērtības samazinājumu apšaubāmās summas apmērā tas ir 100 procentu no prasību summas .</w:t>
      </w:r>
    </w:p>
    <w:p w14:paraId="1B527954"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569.Prasības un veiktos avansa maksājumus, kuri neatbilst</w:t>
      </w:r>
      <w:r w:rsidRPr="00AE2EB9">
        <w:rPr>
          <w:rFonts w:ascii="Times New Roman" w:hAnsi="Times New Roman" w:cs="Times New Roman"/>
          <w:color w:val="0462C1"/>
          <w:sz w:val="24"/>
          <w:szCs w:val="24"/>
        </w:rPr>
        <w:t xml:space="preserve"> </w:t>
      </w:r>
      <w:hyperlink w:anchor="_bookmark191" w:history="1">
        <w:r w:rsidRPr="00AE2EB9">
          <w:rPr>
            <w:rFonts w:ascii="Times New Roman" w:hAnsi="Times New Roman" w:cs="Times New Roman"/>
            <w:color w:val="0462C1"/>
            <w:sz w:val="24"/>
            <w:szCs w:val="24"/>
            <w:u w:val="single" w:color="0462C1"/>
          </w:rPr>
          <w:t>567</w:t>
        </w:r>
      </w:hyperlink>
      <w:r w:rsidRPr="00AE2EB9">
        <w:rPr>
          <w:rFonts w:ascii="Times New Roman" w:hAnsi="Times New Roman" w:cs="Times New Roman"/>
          <w:color w:val="0462C1"/>
          <w:sz w:val="24"/>
          <w:szCs w:val="24"/>
          <w:u w:val="single" w:color="0462C1"/>
        </w:rPr>
        <w:t>.</w:t>
      </w:r>
      <w:r w:rsidRPr="00AE2EB9">
        <w:rPr>
          <w:rFonts w:ascii="Times New Roman" w:hAnsi="Times New Roman" w:cs="Times New Roman"/>
          <w:color w:val="0462C1"/>
          <w:sz w:val="24"/>
          <w:szCs w:val="24"/>
        </w:rPr>
        <w:t xml:space="preserve"> </w:t>
      </w:r>
      <w:r w:rsidRPr="00AE2EB9">
        <w:rPr>
          <w:rFonts w:ascii="Times New Roman" w:hAnsi="Times New Roman" w:cs="Times New Roman"/>
          <w:sz w:val="24"/>
          <w:szCs w:val="24"/>
        </w:rPr>
        <w:t>apakšpunktā minētajiem kritērijiem un kuru apmaksas vai nosacījumu izpildes termiņš ir nokavēts 90 dienas un vairāk, sadala grupās pēc to apmaksas vai nosacījumu izpildes termiņa kavējuma un atbilstoši tām nosaka vērtības samazinājuma apmēru sekojošā kārtībā (skat.</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1.tabula):</w:t>
      </w:r>
    </w:p>
    <w:p w14:paraId="46054AE8" w14:textId="77777777" w:rsidR="00AE2EB9" w:rsidRDefault="00AE2EB9" w:rsidP="00CD363C">
      <w:pPr>
        <w:spacing w:after="0" w:line="240" w:lineRule="auto"/>
        <w:ind w:left="3536" w:right="-66"/>
        <w:jc w:val="both"/>
        <w:rPr>
          <w:i/>
          <w:sz w:val="20"/>
        </w:rPr>
      </w:pPr>
      <w:r>
        <w:rPr>
          <w:i/>
          <w:sz w:val="20"/>
        </w:rPr>
        <w:t>1.tabula. Vērtības samazinājuma noteikšana prasībām un avansa maksājumiem</w:t>
      </w:r>
    </w:p>
    <w:tbl>
      <w:tblPr>
        <w:tblW w:w="8364" w:type="dxa"/>
        <w:tblInd w:w="5"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178"/>
        <w:gridCol w:w="2842"/>
        <w:gridCol w:w="2344"/>
      </w:tblGrid>
      <w:tr w:rsidR="00AE2EB9" w14:paraId="339AB1BD" w14:textId="77777777" w:rsidTr="00AE2EB9">
        <w:trPr>
          <w:trHeight w:val="460"/>
        </w:trPr>
        <w:tc>
          <w:tcPr>
            <w:tcW w:w="3178" w:type="dxa"/>
            <w:shd w:val="clear" w:color="auto" w:fill="F1F1F1"/>
          </w:tcPr>
          <w:p w14:paraId="54177362" w14:textId="77777777" w:rsidR="00AE2EB9" w:rsidRDefault="00AE2EB9" w:rsidP="00CD363C">
            <w:pPr>
              <w:pStyle w:val="TableParagraph"/>
              <w:ind w:left="126" w:right="-66"/>
              <w:jc w:val="both"/>
              <w:rPr>
                <w:b/>
                <w:sz w:val="20"/>
              </w:rPr>
            </w:pPr>
            <w:r>
              <w:rPr>
                <w:b/>
                <w:sz w:val="20"/>
              </w:rPr>
              <w:t>Apmaksas kavējums (dienās)</w:t>
            </w:r>
          </w:p>
        </w:tc>
        <w:tc>
          <w:tcPr>
            <w:tcW w:w="2842" w:type="dxa"/>
            <w:shd w:val="clear" w:color="auto" w:fill="F1F1F1"/>
          </w:tcPr>
          <w:p w14:paraId="22B24CEC" w14:textId="77777777" w:rsidR="00AE2EB9" w:rsidRDefault="00AE2EB9" w:rsidP="00CD363C">
            <w:pPr>
              <w:pStyle w:val="TableParagraph"/>
              <w:ind w:left="333" w:right="-66" w:firstLine="55"/>
              <w:jc w:val="both"/>
              <w:rPr>
                <w:b/>
                <w:sz w:val="20"/>
              </w:rPr>
            </w:pPr>
            <w:r>
              <w:rPr>
                <w:b/>
                <w:sz w:val="20"/>
              </w:rPr>
              <w:t>Vērtības samazinājums (% no prasības summas)</w:t>
            </w:r>
          </w:p>
        </w:tc>
        <w:tc>
          <w:tcPr>
            <w:tcW w:w="2344" w:type="dxa"/>
            <w:shd w:val="clear" w:color="auto" w:fill="F1F1F1"/>
          </w:tcPr>
          <w:p w14:paraId="2D3DB6CD" w14:textId="77777777" w:rsidR="00AE2EB9" w:rsidRDefault="00AE2EB9" w:rsidP="00CD363C">
            <w:pPr>
              <w:pStyle w:val="TableParagraph"/>
              <w:ind w:left="1413" w:right="-66" w:hanging="829"/>
              <w:jc w:val="both"/>
              <w:rPr>
                <w:b/>
                <w:sz w:val="20"/>
              </w:rPr>
            </w:pPr>
            <w:r>
              <w:rPr>
                <w:b/>
                <w:sz w:val="20"/>
              </w:rPr>
              <w:t>Prasības vai avansa maksājuma novērtējums</w:t>
            </w:r>
          </w:p>
        </w:tc>
      </w:tr>
      <w:tr w:rsidR="00AE2EB9" w14:paraId="4302E64B" w14:textId="77777777" w:rsidTr="00AE2EB9">
        <w:trPr>
          <w:trHeight w:val="458"/>
        </w:trPr>
        <w:tc>
          <w:tcPr>
            <w:tcW w:w="3178" w:type="dxa"/>
          </w:tcPr>
          <w:p w14:paraId="50A15C47" w14:textId="77777777" w:rsidR="00AE2EB9" w:rsidRDefault="00AE2EB9" w:rsidP="00CD363C">
            <w:pPr>
              <w:pStyle w:val="TableParagraph"/>
              <w:ind w:left="126" w:right="-66"/>
              <w:jc w:val="both"/>
              <w:rPr>
                <w:sz w:val="20"/>
              </w:rPr>
            </w:pPr>
            <w:r>
              <w:rPr>
                <w:sz w:val="20"/>
              </w:rPr>
              <w:t>0 – 90</w:t>
            </w:r>
          </w:p>
        </w:tc>
        <w:tc>
          <w:tcPr>
            <w:tcW w:w="2842" w:type="dxa"/>
          </w:tcPr>
          <w:p w14:paraId="595DE79C" w14:textId="77777777" w:rsidR="00AE2EB9" w:rsidRDefault="00AE2EB9" w:rsidP="00CD363C">
            <w:pPr>
              <w:pStyle w:val="TableParagraph"/>
              <w:ind w:right="-66"/>
              <w:jc w:val="both"/>
              <w:rPr>
                <w:sz w:val="20"/>
              </w:rPr>
            </w:pPr>
            <w:r>
              <w:rPr>
                <w:sz w:val="20"/>
              </w:rPr>
              <w:t>0%</w:t>
            </w:r>
          </w:p>
        </w:tc>
        <w:tc>
          <w:tcPr>
            <w:tcW w:w="2344" w:type="dxa"/>
          </w:tcPr>
          <w:p w14:paraId="028B2105" w14:textId="77777777" w:rsidR="00AE2EB9" w:rsidRDefault="00AE2EB9" w:rsidP="00CD363C">
            <w:pPr>
              <w:pStyle w:val="TableParagraph"/>
              <w:ind w:left="611" w:right="-66"/>
              <w:jc w:val="both"/>
              <w:rPr>
                <w:sz w:val="20"/>
              </w:rPr>
            </w:pPr>
            <w:r>
              <w:rPr>
                <w:sz w:val="20"/>
              </w:rPr>
              <w:t>Drošs</w:t>
            </w:r>
          </w:p>
          <w:p w14:paraId="2E7E6C06" w14:textId="77777777" w:rsidR="00AE2EB9" w:rsidRDefault="00AE2EB9" w:rsidP="00CD363C">
            <w:pPr>
              <w:pStyle w:val="TableParagraph"/>
              <w:ind w:left="611" w:right="-66"/>
              <w:jc w:val="both"/>
              <w:rPr>
                <w:sz w:val="20"/>
              </w:rPr>
            </w:pPr>
            <w:r>
              <w:rPr>
                <w:sz w:val="20"/>
              </w:rPr>
              <w:t>(vērtības samazinājumu neatzīst)</w:t>
            </w:r>
          </w:p>
        </w:tc>
      </w:tr>
      <w:tr w:rsidR="00AE2EB9" w14:paraId="769A4704" w14:textId="77777777" w:rsidTr="00AE2EB9">
        <w:trPr>
          <w:trHeight w:val="230"/>
        </w:trPr>
        <w:tc>
          <w:tcPr>
            <w:tcW w:w="3178" w:type="dxa"/>
          </w:tcPr>
          <w:p w14:paraId="614999FE" w14:textId="77777777" w:rsidR="00AE2EB9" w:rsidRDefault="00AE2EB9" w:rsidP="00CD363C">
            <w:pPr>
              <w:pStyle w:val="TableParagraph"/>
              <w:ind w:left="126" w:right="-66"/>
              <w:jc w:val="both"/>
              <w:rPr>
                <w:sz w:val="20"/>
              </w:rPr>
            </w:pPr>
            <w:r>
              <w:rPr>
                <w:sz w:val="20"/>
              </w:rPr>
              <w:t>91 – 180</w:t>
            </w:r>
          </w:p>
        </w:tc>
        <w:tc>
          <w:tcPr>
            <w:tcW w:w="2842" w:type="dxa"/>
          </w:tcPr>
          <w:p w14:paraId="5FA5A1CD" w14:textId="77777777" w:rsidR="00AE2EB9" w:rsidRDefault="00AE2EB9" w:rsidP="00CD363C">
            <w:pPr>
              <w:pStyle w:val="TableParagraph"/>
              <w:ind w:right="-66"/>
              <w:jc w:val="both"/>
              <w:rPr>
                <w:sz w:val="20"/>
              </w:rPr>
            </w:pPr>
            <w:r>
              <w:rPr>
                <w:sz w:val="20"/>
              </w:rPr>
              <w:t>25%</w:t>
            </w:r>
          </w:p>
        </w:tc>
        <w:tc>
          <w:tcPr>
            <w:tcW w:w="2344" w:type="dxa"/>
          </w:tcPr>
          <w:p w14:paraId="703D3154" w14:textId="77777777" w:rsidR="00AE2EB9" w:rsidRDefault="00AE2EB9" w:rsidP="00CD363C">
            <w:pPr>
              <w:pStyle w:val="TableParagraph"/>
              <w:ind w:left="1228" w:right="-66"/>
              <w:jc w:val="both"/>
              <w:rPr>
                <w:sz w:val="20"/>
              </w:rPr>
            </w:pPr>
            <w:r>
              <w:rPr>
                <w:sz w:val="20"/>
              </w:rPr>
              <w:t>Nedrošs (šaubīgs)</w:t>
            </w:r>
          </w:p>
        </w:tc>
      </w:tr>
      <w:tr w:rsidR="00AE2EB9" w14:paraId="2922F3A2" w14:textId="77777777" w:rsidTr="00AE2EB9">
        <w:trPr>
          <w:trHeight w:val="230"/>
        </w:trPr>
        <w:tc>
          <w:tcPr>
            <w:tcW w:w="3178" w:type="dxa"/>
          </w:tcPr>
          <w:p w14:paraId="17A36D0D" w14:textId="77777777" w:rsidR="00AE2EB9" w:rsidRDefault="00AE2EB9" w:rsidP="00CD363C">
            <w:pPr>
              <w:pStyle w:val="TableParagraph"/>
              <w:ind w:left="126" w:right="-66"/>
              <w:jc w:val="both"/>
              <w:rPr>
                <w:sz w:val="20"/>
              </w:rPr>
            </w:pPr>
            <w:r>
              <w:rPr>
                <w:sz w:val="20"/>
              </w:rPr>
              <w:t>181 – 270</w:t>
            </w:r>
          </w:p>
        </w:tc>
        <w:tc>
          <w:tcPr>
            <w:tcW w:w="2842" w:type="dxa"/>
          </w:tcPr>
          <w:p w14:paraId="739B444A" w14:textId="77777777" w:rsidR="00AE2EB9" w:rsidRDefault="00AE2EB9" w:rsidP="00CD363C">
            <w:pPr>
              <w:pStyle w:val="TableParagraph"/>
              <w:ind w:right="-66"/>
              <w:jc w:val="both"/>
              <w:rPr>
                <w:sz w:val="20"/>
              </w:rPr>
            </w:pPr>
            <w:r>
              <w:rPr>
                <w:sz w:val="20"/>
              </w:rPr>
              <w:t>50%</w:t>
            </w:r>
          </w:p>
        </w:tc>
        <w:tc>
          <w:tcPr>
            <w:tcW w:w="2344" w:type="dxa"/>
          </w:tcPr>
          <w:p w14:paraId="2697D068" w14:textId="77777777" w:rsidR="00AE2EB9" w:rsidRDefault="00AE2EB9" w:rsidP="00CD363C">
            <w:pPr>
              <w:pStyle w:val="TableParagraph"/>
              <w:ind w:left="1228" w:right="-66"/>
              <w:jc w:val="both"/>
              <w:rPr>
                <w:sz w:val="20"/>
              </w:rPr>
            </w:pPr>
            <w:r>
              <w:rPr>
                <w:sz w:val="20"/>
              </w:rPr>
              <w:t>Nedrošs (šaubīgs)</w:t>
            </w:r>
          </w:p>
        </w:tc>
      </w:tr>
      <w:tr w:rsidR="00AE2EB9" w14:paraId="51995D77" w14:textId="77777777" w:rsidTr="00AE2EB9">
        <w:trPr>
          <w:trHeight w:val="230"/>
        </w:trPr>
        <w:tc>
          <w:tcPr>
            <w:tcW w:w="3178" w:type="dxa"/>
          </w:tcPr>
          <w:p w14:paraId="3CE95D20" w14:textId="77777777" w:rsidR="00AE2EB9" w:rsidRDefault="00AE2EB9" w:rsidP="00CD363C">
            <w:pPr>
              <w:pStyle w:val="TableParagraph"/>
              <w:ind w:left="126" w:right="-66"/>
              <w:jc w:val="both"/>
              <w:rPr>
                <w:sz w:val="20"/>
              </w:rPr>
            </w:pPr>
            <w:r>
              <w:rPr>
                <w:sz w:val="20"/>
              </w:rPr>
              <w:t>271 – 365</w:t>
            </w:r>
          </w:p>
        </w:tc>
        <w:tc>
          <w:tcPr>
            <w:tcW w:w="2842" w:type="dxa"/>
          </w:tcPr>
          <w:p w14:paraId="5FA67535" w14:textId="77777777" w:rsidR="00AE2EB9" w:rsidRDefault="00AE2EB9" w:rsidP="00CD363C">
            <w:pPr>
              <w:pStyle w:val="TableParagraph"/>
              <w:ind w:right="-66"/>
              <w:jc w:val="both"/>
              <w:rPr>
                <w:sz w:val="20"/>
              </w:rPr>
            </w:pPr>
            <w:r>
              <w:rPr>
                <w:sz w:val="20"/>
              </w:rPr>
              <w:t>75%</w:t>
            </w:r>
          </w:p>
        </w:tc>
        <w:tc>
          <w:tcPr>
            <w:tcW w:w="2344" w:type="dxa"/>
          </w:tcPr>
          <w:p w14:paraId="0FEB5144" w14:textId="77777777" w:rsidR="00AE2EB9" w:rsidRDefault="00AE2EB9" w:rsidP="00CD363C">
            <w:pPr>
              <w:pStyle w:val="TableParagraph"/>
              <w:ind w:left="1228" w:right="-66"/>
              <w:jc w:val="both"/>
              <w:rPr>
                <w:sz w:val="20"/>
              </w:rPr>
            </w:pPr>
            <w:r>
              <w:rPr>
                <w:sz w:val="20"/>
              </w:rPr>
              <w:t>Nedrošs (šaubīgs)</w:t>
            </w:r>
          </w:p>
        </w:tc>
      </w:tr>
      <w:tr w:rsidR="00AE2EB9" w14:paraId="39F30FC5" w14:textId="77777777" w:rsidTr="00AE2EB9">
        <w:trPr>
          <w:trHeight w:val="230"/>
        </w:trPr>
        <w:tc>
          <w:tcPr>
            <w:tcW w:w="3178" w:type="dxa"/>
          </w:tcPr>
          <w:p w14:paraId="03A38E2D" w14:textId="77777777" w:rsidR="00AE2EB9" w:rsidRDefault="00AE2EB9" w:rsidP="00CD363C">
            <w:pPr>
              <w:pStyle w:val="TableParagraph"/>
              <w:ind w:left="126" w:right="-66"/>
              <w:jc w:val="both"/>
              <w:rPr>
                <w:sz w:val="20"/>
              </w:rPr>
            </w:pPr>
            <w:r>
              <w:rPr>
                <w:sz w:val="20"/>
              </w:rPr>
              <w:t>Ilgāk par 365</w:t>
            </w:r>
          </w:p>
        </w:tc>
        <w:tc>
          <w:tcPr>
            <w:tcW w:w="2842" w:type="dxa"/>
          </w:tcPr>
          <w:p w14:paraId="34921610" w14:textId="77777777" w:rsidR="00AE2EB9" w:rsidRDefault="00AE2EB9" w:rsidP="00CD363C">
            <w:pPr>
              <w:pStyle w:val="TableParagraph"/>
              <w:ind w:right="-66"/>
              <w:jc w:val="both"/>
              <w:rPr>
                <w:sz w:val="20"/>
              </w:rPr>
            </w:pPr>
            <w:r>
              <w:rPr>
                <w:sz w:val="20"/>
              </w:rPr>
              <w:t>80%</w:t>
            </w:r>
          </w:p>
        </w:tc>
        <w:tc>
          <w:tcPr>
            <w:tcW w:w="2344" w:type="dxa"/>
          </w:tcPr>
          <w:p w14:paraId="636522C0" w14:textId="77777777" w:rsidR="00AE2EB9" w:rsidRDefault="00AE2EB9" w:rsidP="00CD363C">
            <w:pPr>
              <w:pStyle w:val="TableParagraph"/>
              <w:ind w:left="1228" w:right="-66"/>
              <w:jc w:val="both"/>
              <w:rPr>
                <w:sz w:val="20"/>
              </w:rPr>
            </w:pPr>
            <w:r>
              <w:rPr>
                <w:sz w:val="20"/>
              </w:rPr>
              <w:t>Nedrošs (šaubīgs)</w:t>
            </w:r>
          </w:p>
        </w:tc>
      </w:tr>
    </w:tbl>
    <w:p w14:paraId="3CB0C13F" w14:textId="77777777" w:rsidR="00AE2EB9" w:rsidRDefault="00AE2EB9" w:rsidP="00CD363C">
      <w:pPr>
        <w:pStyle w:val="Pamatteksts"/>
        <w:ind w:right="-66"/>
        <w:jc w:val="both"/>
        <w:rPr>
          <w:i/>
        </w:rPr>
      </w:pPr>
    </w:p>
    <w:p w14:paraId="63F26F11"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773B96">
        <w:rPr>
          <w:rFonts w:ascii="Times New Roman" w:hAnsi="Times New Roman" w:cs="Times New Roman"/>
          <w:sz w:val="24"/>
          <w:szCs w:val="24"/>
        </w:rPr>
        <w:t>570.</w:t>
      </w:r>
      <w:r w:rsidRPr="00773B96">
        <w:t xml:space="preserve"> </w:t>
      </w:r>
      <w:r w:rsidRPr="00773B96">
        <w:rPr>
          <w:rFonts w:ascii="Times New Roman" w:hAnsi="Times New Roman" w:cs="Times New Roman"/>
          <w:sz w:val="24"/>
          <w:szCs w:val="24"/>
        </w:rPr>
        <w:t>Pēc prasību novērtēšanas, pamatojoties uz budžeta iestādes veiktajiem aprēķiniem, budžeta iestāde atzīst vērtības samazinājumu nedrošām prasībām, iekļaujot to pārskata perioda pārējos izdevumos un veicot sekojošu grāmatojumu:</w:t>
      </w:r>
    </w:p>
    <w:p w14:paraId="669BCF91" w14:textId="77777777" w:rsidR="00AE2EB9"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D  8650  Izdevumi no aktīva vērtības samazinājuma</w:t>
      </w:r>
    </w:p>
    <w:p w14:paraId="0276D934"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1187 Vērtības samazinājums  avansa maksājumiem par nemateriālajiem ieguldījumiem</w:t>
      </w:r>
    </w:p>
    <w:p w14:paraId="2477461B"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773B96">
        <w:rPr>
          <w:rFonts w:ascii="Times New Roman" w:hAnsi="Times New Roman" w:cs="Times New Roman"/>
          <w:b/>
          <w:sz w:val="24"/>
          <w:szCs w:val="24"/>
        </w:rPr>
        <w:t>K  1287  Vērtības samazinājums avansa maksājumiem par pamatlīdzekļiem</w:t>
      </w:r>
    </w:p>
    <w:p w14:paraId="0EC945B7"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2187  Vērtības samazinājums avansa maksājumiem par krājumiem</w:t>
      </w:r>
    </w:p>
    <w:p w14:paraId="5A844808"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2318  Vērtības samazinājums prasībām pret pircējiem un pasūtītājiem</w:t>
      </w:r>
    </w:p>
    <w:p w14:paraId="1FCC50D8" w14:textId="77777777" w:rsid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2427 Vērtības samazinājums avansa maksājumiem par pakalpojumiem</w:t>
      </w:r>
    </w:p>
    <w:p w14:paraId="7C46448F" w14:textId="77777777" w:rsidR="00962BDB"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962BDB">
        <w:rPr>
          <w:rFonts w:ascii="Times New Roman" w:hAnsi="Times New Roman" w:cs="Times New Roman"/>
          <w:sz w:val="24"/>
          <w:szCs w:val="24"/>
        </w:rPr>
        <w:t>571. Samaksātajiem avansiem un prasībām, kuru saņemšanas termiņš vai nosacījumu izpildes (preces piegādes, pakalpojuma saņemšanas) datums nav pienācis, vērtības samazinājumu</w:t>
      </w:r>
      <w:r w:rsidRPr="00962BDB">
        <w:rPr>
          <w:rFonts w:ascii="Times New Roman" w:hAnsi="Times New Roman" w:cs="Times New Roman"/>
          <w:spacing w:val="-13"/>
          <w:sz w:val="24"/>
          <w:szCs w:val="24"/>
        </w:rPr>
        <w:t xml:space="preserve"> </w:t>
      </w:r>
      <w:r w:rsidRPr="00962BDB">
        <w:rPr>
          <w:rFonts w:ascii="Times New Roman" w:hAnsi="Times New Roman" w:cs="Times New Roman"/>
          <w:sz w:val="24"/>
          <w:szCs w:val="24"/>
        </w:rPr>
        <w:t>neveido.</w:t>
      </w:r>
    </w:p>
    <w:p w14:paraId="2EC116D7" w14:textId="77777777" w:rsidR="00962BDB" w:rsidRPr="00962BDB"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962BDB">
        <w:rPr>
          <w:rFonts w:ascii="Times New Roman" w:hAnsi="Times New Roman" w:cs="Times New Roman"/>
          <w:sz w:val="24"/>
          <w:szCs w:val="24"/>
        </w:rPr>
        <w:t>572. Katra pārskata perioda beigās budžeta iestāde izvērtē iepriekš atzīto prasību vērtības samazinājumu. Budžeta iestāde samazina iepriekšējā pārskata periodā izveidoto vērtības samazinājumu un atzīst pārējos ieņēmumus šādos</w:t>
      </w:r>
      <w:r w:rsidRPr="00962BDB">
        <w:rPr>
          <w:rFonts w:ascii="Times New Roman" w:hAnsi="Times New Roman" w:cs="Times New Roman"/>
          <w:spacing w:val="-3"/>
          <w:sz w:val="24"/>
          <w:szCs w:val="24"/>
        </w:rPr>
        <w:t xml:space="preserve"> </w:t>
      </w:r>
      <w:r w:rsidRPr="00962BDB">
        <w:rPr>
          <w:rFonts w:ascii="Times New Roman" w:hAnsi="Times New Roman" w:cs="Times New Roman"/>
          <w:sz w:val="24"/>
          <w:szCs w:val="24"/>
        </w:rPr>
        <w:t>gadījumos:</w:t>
      </w:r>
    </w:p>
    <w:p w14:paraId="4095F75E" w14:textId="77777777" w:rsidR="00962BDB" w:rsidRPr="00962BDB" w:rsidRDefault="00962BDB" w:rsidP="00CD363C">
      <w:pPr>
        <w:pStyle w:val="Sarakstarindkopa"/>
        <w:widowControl w:val="0"/>
        <w:numPr>
          <w:ilvl w:val="0"/>
          <w:numId w:val="6"/>
        </w:numPr>
        <w:tabs>
          <w:tab w:val="left" w:pos="1419"/>
        </w:tabs>
        <w:autoSpaceDE w:val="0"/>
        <w:autoSpaceDN w:val="0"/>
        <w:spacing w:after="0" w:line="240" w:lineRule="auto"/>
        <w:ind w:right="-66"/>
        <w:contextualSpacing w:val="0"/>
        <w:jc w:val="both"/>
        <w:rPr>
          <w:rFonts w:ascii="Times New Roman" w:hAnsi="Times New Roman" w:cs="Times New Roman"/>
          <w:sz w:val="24"/>
          <w:szCs w:val="24"/>
        </w:rPr>
      </w:pPr>
      <w:r w:rsidRPr="00962BDB">
        <w:rPr>
          <w:rFonts w:ascii="Times New Roman" w:hAnsi="Times New Roman" w:cs="Times New Roman"/>
          <w:sz w:val="24"/>
          <w:szCs w:val="24"/>
        </w:rPr>
        <w:t>pārskata perioda beigās secināts, ka sākotnēji atzītais prasību vērtības samazinājums nav nepieciešams;</w:t>
      </w:r>
    </w:p>
    <w:p w14:paraId="543FB301" w14:textId="77777777" w:rsidR="00962BDB" w:rsidRPr="00962BDB" w:rsidRDefault="00962BDB" w:rsidP="00CD363C">
      <w:pPr>
        <w:pStyle w:val="Sarakstarindkopa"/>
        <w:widowControl w:val="0"/>
        <w:numPr>
          <w:ilvl w:val="0"/>
          <w:numId w:val="6"/>
        </w:numPr>
        <w:tabs>
          <w:tab w:val="left" w:pos="1419"/>
        </w:tabs>
        <w:autoSpaceDE w:val="0"/>
        <w:autoSpaceDN w:val="0"/>
        <w:spacing w:after="0" w:line="240" w:lineRule="auto"/>
        <w:ind w:right="-66"/>
        <w:contextualSpacing w:val="0"/>
        <w:jc w:val="both"/>
        <w:rPr>
          <w:rFonts w:ascii="Times New Roman" w:hAnsi="Times New Roman" w:cs="Times New Roman"/>
          <w:sz w:val="24"/>
          <w:szCs w:val="24"/>
        </w:rPr>
      </w:pPr>
      <w:r w:rsidRPr="00962BDB">
        <w:rPr>
          <w:rFonts w:ascii="Times New Roman" w:hAnsi="Times New Roman" w:cs="Times New Roman"/>
          <w:sz w:val="24"/>
          <w:szCs w:val="24"/>
        </w:rPr>
        <w:t>saņemta prasības atmaksa vai veikta līguma nosacījumu</w:t>
      </w:r>
      <w:r w:rsidRPr="00962BDB">
        <w:rPr>
          <w:rFonts w:ascii="Times New Roman" w:hAnsi="Times New Roman" w:cs="Times New Roman"/>
          <w:spacing w:val="-5"/>
          <w:sz w:val="24"/>
          <w:szCs w:val="24"/>
        </w:rPr>
        <w:t xml:space="preserve"> </w:t>
      </w:r>
      <w:r w:rsidRPr="00962BDB">
        <w:rPr>
          <w:rFonts w:ascii="Times New Roman" w:hAnsi="Times New Roman" w:cs="Times New Roman"/>
          <w:sz w:val="24"/>
          <w:szCs w:val="24"/>
        </w:rPr>
        <w:t>izpilde;</w:t>
      </w:r>
    </w:p>
    <w:p w14:paraId="2AC30FBF" w14:textId="77777777" w:rsidR="00962BDB" w:rsidRDefault="00962BDB" w:rsidP="00CD363C">
      <w:pPr>
        <w:pStyle w:val="Sarakstarindkopa"/>
        <w:widowControl w:val="0"/>
        <w:numPr>
          <w:ilvl w:val="0"/>
          <w:numId w:val="6"/>
        </w:numPr>
        <w:tabs>
          <w:tab w:val="left" w:pos="1419"/>
        </w:tabs>
        <w:autoSpaceDE w:val="0"/>
        <w:autoSpaceDN w:val="0"/>
        <w:spacing w:after="0" w:line="240" w:lineRule="auto"/>
        <w:ind w:right="-66"/>
        <w:contextualSpacing w:val="0"/>
        <w:jc w:val="both"/>
        <w:rPr>
          <w:rFonts w:ascii="Times New Roman" w:hAnsi="Times New Roman" w:cs="Times New Roman"/>
          <w:sz w:val="24"/>
          <w:szCs w:val="24"/>
        </w:rPr>
      </w:pPr>
      <w:r w:rsidRPr="00962BDB">
        <w:rPr>
          <w:rFonts w:ascii="Times New Roman" w:hAnsi="Times New Roman" w:cs="Times New Roman"/>
          <w:sz w:val="24"/>
          <w:szCs w:val="24"/>
        </w:rPr>
        <w:t>norakstīta prasība vai samaksātais</w:t>
      </w:r>
      <w:r w:rsidRPr="00962BDB">
        <w:rPr>
          <w:rFonts w:ascii="Times New Roman" w:hAnsi="Times New Roman" w:cs="Times New Roman"/>
          <w:spacing w:val="-4"/>
          <w:sz w:val="24"/>
          <w:szCs w:val="24"/>
        </w:rPr>
        <w:t xml:space="preserve"> </w:t>
      </w:r>
      <w:r w:rsidRPr="00962BDB">
        <w:rPr>
          <w:rFonts w:ascii="Times New Roman" w:hAnsi="Times New Roman" w:cs="Times New Roman"/>
          <w:sz w:val="24"/>
          <w:szCs w:val="24"/>
        </w:rPr>
        <w:t>avanss.</w:t>
      </w:r>
    </w:p>
    <w:p w14:paraId="183FD8D2" w14:textId="77777777" w:rsidR="00962BDB" w:rsidRPr="000A5BAF" w:rsidRDefault="00962BDB" w:rsidP="00CD363C">
      <w:pPr>
        <w:widowControl w:val="0"/>
        <w:tabs>
          <w:tab w:val="left" w:pos="1017"/>
          <w:tab w:val="left" w:pos="1018"/>
        </w:tabs>
        <w:autoSpaceDE w:val="0"/>
        <w:autoSpaceDN w:val="0"/>
        <w:spacing w:after="0" w:line="240" w:lineRule="auto"/>
        <w:ind w:right="-66"/>
        <w:jc w:val="both"/>
        <w:rPr>
          <w:rFonts w:ascii="Times New Roman" w:hAnsi="Times New Roman" w:cs="Times New Roman"/>
          <w:sz w:val="24"/>
          <w:szCs w:val="24"/>
        </w:rPr>
      </w:pPr>
      <w:r w:rsidRPr="00962BDB">
        <w:rPr>
          <w:rFonts w:ascii="Times New Roman" w:hAnsi="Times New Roman" w:cs="Times New Roman"/>
          <w:sz w:val="24"/>
          <w:szCs w:val="24"/>
        </w:rPr>
        <w:t>573</w:t>
      </w:r>
      <w:r>
        <w:rPr>
          <w:rFonts w:ascii="Times New Roman" w:hAnsi="Times New Roman" w:cs="Times New Roman"/>
          <w:sz w:val="24"/>
          <w:szCs w:val="24"/>
        </w:rPr>
        <w:t>.</w:t>
      </w:r>
      <w:r w:rsidRPr="00962BDB">
        <w:t xml:space="preserve"> </w:t>
      </w:r>
      <w:r w:rsidRPr="000A5BAF">
        <w:rPr>
          <w:rFonts w:ascii="Times New Roman" w:hAnsi="Times New Roman" w:cs="Times New Roman"/>
          <w:sz w:val="24"/>
          <w:szCs w:val="24"/>
        </w:rPr>
        <w:t>Prasību vērtības samazinājumu budžeta iestāde noraksta, veicot sekojošus</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grāmatojumus:</w:t>
      </w:r>
    </w:p>
    <w:p w14:paraId="646DC03C" w14:textId="77777777" w:rsidR="00962BDB" w:rsidRPr="000A5BAF" w:rsidRDefault="00962BDB" w:rsidP="00CD363C">
      <w:pPr>
        <w:spacing w:after="0" w:line="240" w:lineRule="auto"/>
        <w:ind w:left="338" w:right="-66"/>
        <w:jc w:val="both"/>
        <w:rPr>
          <w:rFonts w:ascii="Times New Roman" w:hAnsi="Times New Roman" w:cs="Times New Roman"/>
          <w:sz w:val="24"/>
          <w:szCs w:val="24"/>
        </w:rPr>
      </w:pPr>
      <w:r w:rsidRPr="000A5BAF">
        <w:rPr>
          <w:rFonts w:ascii="Times New Roman" w:hAnsi="Times New Roman" w:cs="Times New Roman"/>
          <w:sz w:val="24"/>
          <w:szCs w:val="24"/>
        </w:rPr>
        <w:t>Grāmatojums, samazinot vērtības samazinājumu:</w:t>
      </w:r>
    </w:p>
    <w:p w14:paraId="6174B6BB"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 </w:t>
      </w:r>
      <w:r w:rsidRPr="00773B96">
        <w:rPr>
          <w:rFonts w:ascii="Times New Roman" w:hAnsi="Times New Roman" w:cs="Times New Roman"/>
          <w:b/>
          <w:sz w:val="24"/>
          <w:szCs w:val="24"/>
        </w:rPr>
        <w:t>1187 Vērtības samazinājums  avansa maksājumiem par nemateriālajiem ieguldījumiem</w:t>
      </w:r>
    </w:p>
    <w:p w14:paraId="55930437"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D1</w:t>
      </w:r>
      <w:r w:rsidRPr="00773B96">
        <w:rPr>
          <w:rFonts w:ascii="Times New Roman" w:hAnsi="Times New Roman" w:cs="Times New Roman"/>
          <w:b/>
          <w:sz w:val="24"/>
          <w:szCs w:val="24"/>
        </w:rPr>
        <w:t>287  Vērtības samazinājums avansa maksājumiem par pamatlīdzekļiem</w:t>
      </w:r>
    </w:p>
    <w:p w14:paraId="04159B7C"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w:t>
      </w:r>
      <w:r w:rsidRPr="00773B96">
        <w:rPr>
          <w:rFonts w:ascii="Times New Roman" w:hAnsi="Times New Roman" w:cs="Times New Roman"/>
          <w:b/>
          <w:sz w:val="24"/>
          <w:szCs w:val="24"/>
        </w:rPr>
        <w:t xml:space="preserve"> 2187  Vērtības samazinājums avansa maksājumiem par krājumiem</w:t>
      </w:r>
    </w:p>
    <w:p w14:paraId="4BFA8DEE"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2318  Vērtības samazinājums prasībām pret pircējiem un pasūtītājiem</w:t>
      </w:r>
    </w:p>
    <w:p w14:paraId="6623D1E7" w14:textId="77777777" w:rsidR="00962BDB" w:rsidRDefault="00962BDB" w:rsidP="00CD363C">
      <w:pPr>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2427 Vērtības samazinājums avansa maksājumiem par pakalpojumiem</w:t>
      </w:r>
    </w:p>
    <w:p w14:paraId="07388115" w14:textId="77777777" w:rsidR="00962BDB" w:rsidRDefault="00962BDB"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K 8560  Ieņēmumi no uzkrājumu norakstīšanas</w:t>
      </w:r>
    </w:p>
    <w:p w14:paraId="1DBCC744" w14:textId="77777777" w:rsidR="00962BDB" w:rsidRPr="000A5BAF" w:rsidRDefault="00962BDB" w:rsidP="00CD363C">
      <w:pPr>
        <w:spacing w:after="0" w:line="240" w:lineRule="auto"/>
        <w:ind w:right="-66"/>
        <w:jc w:val="both"/>
        <w:rPr>
          <w:rFonts w:ascii="Times New Roman" w:hAnsi="Times New Roman" w:cs="Times New Roman"/>
          <w:b/>
          <w:sz w:val="24"/>
          <w:szCs w:val="24"/>
        </w:rPr>
      </w:pPr>
      <w:r w:rsidRPr="000A5BAF">
        <w:rPr>
          <w:rFonts w:ascii="Times New Roman" w:hAnsi="Times New Roman" w:cs="Times New Roman"/>
          <w:b/>
          <w:sz w:val="24"/>
          <w:szCs w:val="24"/>
        </w:rPr>
        <w:t xml:space="preserve">    K 8650* Izdevumi no aktīva vērtības samazinājuma</w:t>
      </w:r>
    </w:p>
    <w:p w14:paraId="6E353DDD" w14:textId="77777777" w:rsidR="00962BDB" w:rsidRDefault="00962BDB" w:rsidP="00CD363C">
      <w:pPr>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*ja vērtības samazinājums atzīts tajā pašā pārskata periodā, kurā veic samazināšanu</w:t>
      </w:r>
    </w:p>
    <w:p w14:paraId="0B93300A" w14:textId="77777777" w:rsidR="000A5BAF"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574. Budžeta</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iestāde</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izslēdz</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no</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uzskaites</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prasības,</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kuru</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piedziņa</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saskaņā</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ar</w:t>
      </w:r>
      <w:r w:rsidRPr="000A5BAF">
        <w:rPr>
          <w:rFonts w:ascii="Times New Roman" w:hAnsi="Times New Roman" w:cs="Times New Roman"/>
          <w:spacing w:val="-15"/>
          <w:sz w:val="24"/>
          <w:szCs w:val="24"/>
        </w:rPr>
        <w:t xml:space="preserve"> </w:t>
      </w:r>
      <w:r w:rsidRPr="000A5BAF">
        <w:rPr>
          <w:rFonts w:ascii="Times New Roman" w:hAnsi="Times New Roman" w:cs="Times New Roman"/>
          <w:sz w:val="24"/>
          <w:szCs w:val="24"/>
        </w:rPr>
        <w:t>tiesību</w:t>
      </w:r>
      <w:r w:rsidRPr="000A5BAF">
        <w:rPr>
          <w:rFonts w:ascii="Times New Roman" w:hAnsi="Times New Roman" w:cs="Times New Roman"/>
          <w:spacing w:val="-17"/>
          <w:sz w:val="24"/>
          <w:szCs w:val="24"/>
        </w:rPr>
        <w:t xml:space="preserve"> </w:t>
      </w:r>
      <w:r w:rsidRPr="000A5BAF">
        <w:rPr>
          <w:rFonts w:ascii="Times New Roman" w:hAnsi="Times New Roman" w:cs="Times New Roman"/>
          <w:sz w:val="24"/>
          <w:szCs w:val="24"/>
        </w:rPr>
        <w:t>normām</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ir</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neiespējama, jo darījuma partneris ir likvidēts vai miris vai ir pagājis parāda piedziņas iespējamības termiņš, un atzīst</w:t>
      </w:r>
      <w:r w:rsidRPr="000A5BAF">
        <w:rPr>
          <w:rFonts w:ascii="Times New Roman" w:hAnsi="Times New Roman" w:cs="Times New Roman"/>
          <w:spacing w:val="-9"/>
          <w:sz w:val="24"/>
          <w:szCs w:val="24"/>
        </w:rPr>
        <w:t xml:space="preserve"> </w:t>
      </w:r>
      <w:r w:rsidRPr="000A5BAF">
        <w:rPr>
          <w:rFonts w:ascii="Times New Roman" w:hAnsi="Times New Roman" w:cs="Times New Roman"/>
          <w:sz w:val="24"/>
          <w:szCs w:val="24"/>
        </w:rPr>
        <w:t>pārējos</w:t>
      </w:r>
      <w:r w:rsidRPr="000A5BAF">
        <w:rPr>
          <w:rFonts w:ascii="Times New Roman" w:hAnsi="Times New Roman" w:cs="Times New Roman"/>
          <w:spacing w:val="-11"/>
          <w:sz w:val="24"/>
          <w:szCs w:val="24"/>
        </w:rPr>
        <w:t xml:space="preserve"> </w:t>
      </w:r>
      <w:r w:rsidRPr="000A5BAF">
        <w:rPr>
          <w:rFonts w:ascii="Times New Roman" w:hAnsi="Times New Roman" w:cs="Times New Roman"/>
          <w:sz w:val="24"/>
          <w:szCs w:val="24"/>
        </w:rPr>
        <w:t>izdevumos,</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kā</w:t>
      </w:r>
      <w:r w:rsidRPr="000A5BAF">
        <w:rPr>
          <w:rFonts w:ascii="Times New Roman" w:hAnsi="Times New Roman" w:cs="Times New Roman"/>
          <w:spacing w:val="-9"/>
          <w:sz w:val="24"/>
          <w:szCs w:val="24"/>
        </w:rPr>
        <w:t xml:space="preserve"> </w:t>
      </w:r>
      <w:r w:rsidRPr="000A5BAF">
        <w:rPr>
          <w:rFonts w:ascii="Times New Roman" w:hAnsi="Times New Roman" w:cs="Times New Roman"/>
          <w:sz w:val="24"/>
          <w:szCs w:val="24"/>
        </w:rPr>
        <w:t>arī</w:t>
      </w:r>
      <w:r w:rsidRPr="000A5BAF">
        <w:rPr>
          <w:rFonts w:ascii="Times New Roman" w:hAnsi="Times New Roman" w:cs="Times New Roman"/>
          <w:spacing w:val="-9"/>
          <w:sz w:val="24"/>
          <w:szCs w:val="24"/>
        </w:rPr>
        <w:t xml:space="preserve"> </w:t>
      </w:r>
      <w:r w:rsidRPr="000A5BAF">
        <w:rPr>
          <w:rFonts w:ascii="Times New Roman" w:hAnsi="Times New Roman" w:cs="Times New Roman"/>
          <w:sz w:val="24"/>
          <w:szCs w:val="24"/>
        </w:rPr>
        <w:t>samazina</w:t>
      </w:r>
      <w:r w:rsidRPr="000A5BAF">
        <w:rPr>
          <w:rFonts w:ascii="Times New Roman" w:hAnsi="Times New Roman" w:cs="Times New Roman"/>
          <w:spacing w:val="-7"/>
          <w:sz w:val="24"/>
          <w:szCs w:val="24"/>
        </w:rPr>
        <w:t xml:space="preserve"> </w:t>
      </w:r>
      <w:r w:rsidRPr="000A5BAF">
        <w:rPr>
          <w:rFonts w:ascii="Times New Roman" w:hAnsi="Times New Roman" w:cs="Times New Roman"/>
          <w:sz w:val="24"/>
          <w:szCs w:val="24"/>
        </w:rPr>
        <w:t>iepriekš</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atzīto</w:t>
      </w:r>
      <w:r w:rsidRPr="000A5BAF">
        <w:rPr>
          <w:rFonts w:ascii="Times New Roman" w:hAnsi="Times New Roman" w:cs="Times New Roman"/>
          <w:spacing w:val="-10"/>
          <w:sz w:val="24"/>
          <w:szCs w:val="24"/>
        </w:rPr>
        <w:t xml:space="preserve"> </w:t>
      </w:r>
      <w:r w:rsidRPr="000A5BAF">
        <w:rPr>
          <w:rFonts w:ascii="Times New Roman" w:hAnsi="Times New Roman" w:cs="Times New Roman"/>
          <w:sz w:val="24"/>
          <w:szCs w:val="24"/>
        </w:rPr>
        <w:t>vērtības</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samazinājumu</w:t>
      </w:r>
      <w:r w:rsidRPr="000A5BAF">
        <w:rPr>
          <w:rFonts w:ascii="Times New Roman" w:hAnsi="Times New Roman" w:cs="Times New Roman"/>
          <w:spacing w:val="-7"/>
          <w:sz w:val="24"/>
          <w:szCs w:val="24"/>
        </w:rPr>
        <w:t xml:space="preserve"> </w:t>
      </w:r>
      <w:r w:rsidRPr="000A5BAF">
        <w:rPr>
          <w:rFonts w:ascii="Times New Roman" w:hAnsi="Times New Roman" w:cs="Times New Roman"/>
          <w:sz w:val="24"/>
          <w:szCs w:val="24"/>
        </w:rPr>
        <w:t>nedrošām</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(šaubīgām) prasībām un atzīst ieņēmumus no vērtības samazinājuma</w:t>
      </w:r>
      <w:r w:rsidRPr="000A5BAF">
        <w:rPr>
          <w:rFonts w:ascii="Times New Roman" w:hAnsi="Times New Roman" w:cs="Times New Roman"/>
          <w:spacing w:val="-5"/>
          <w:sz w:val="24"/>
          <w:szCs w:val="24"/>
        </w:rPr>
        <w:t xml:space="preserve"> </w:t>
      </w:r>
      <w:r w:rsidRPr="000A5BAF">
        <w:rPr>
          <w:rFonts w:ascii="Times New Roman" w:hAnsi="Times New Roman" w:cs="Times New Roman"/>
          <w:sz w:val="24"/>
          <w:szCs w:val="24"/>
        </w:rPr>
        <w:t>norakstīšanas.</w:t>
      </w:r>
    </w:p>
    <w:p w14:paraId="28A6A0B6" w14:textId="77777777" w:rsidR="000A5BAF" w:rsidRPr="000A5BAF"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575. Ja pārskata periodā iestāde izslēdz no uzskaites prasību, kam sākotnēji bija izveidots vērtības samazinājums, budžeta iestāde samazina izveidoto vērtības samazinājumu un atzīst pārējos ieņēmumus</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no</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vērtības</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samazinājuma</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norakstīšanas,</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kā</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arī</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samazina</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atbilstošo</w:t>
      </w:r>
      <w:r w:rsidRPr="000A5BAF">
        <w:rPr>
          <w:rFonts w:ascii="Times New Roman" w:hAnsi="Times New Roman" w:cs="Times New Roman"/>
          <w:spacing w:val="-15"/>
          <w:sz w:val="24"/>
          <w:szCs w:val="24"/>
        </w:rPr>
        <w:t xml:space="preserve"> </w:t>
      </w:r>
      <w:r w:rsidRPr="000A5BAF">
        <w:rPr>
          <w:rFonts w:ascii="Times New Roman" w:hAnsi="Times New Roman" w:cs="Times New Roman"/>
          <w:sz w:val="24"/>
          <w:szCs w:val="24"/>
        </w:rPr>
        <w:t>prasību</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kontu</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un</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atzīst pārējos izdevumus, veicot sekojošus</w:t>
      </w:r>
      <w:r w:rsidRPr="000A5BAF">
        <w:rPr>
          <w:rFonts w:ascii="Times New Roman" w:hAnsi="Times New Roman" w:cs="Times New Roman"/>
          <w:spacing w:val="-1"/>
          <w:sz w:val="24"/>
          <w:szCs w:val="24"/>
        </w:rPr>
        <w:t xml:space="preserve"> </w:t>
      </w:r>
      <w:r w:rsidRPr="000A5BAF">
        <w:rPr>
          <w:rFonts w:ascii="Times New Roman" w:hAnsi="Times New Roman" w:cs="Times New Roman"/>
          <w:sz w:val="24"/>
          <w:szCs w:val="24"/>
        </w:rPr>
        <w:t>grāmatojumus:</w:t>
      </w:r>
    </w:p>
    <w:p w14:paraId="1B703EFC" w14:textId="77777777" w:rsidR="000A5BAF" w:rsidRPr="000A5BAF" w:rsidRDefault="000A5BAF" w:rsidP="00CD363C">
      <w:pPr>
        <w:spacing w:after="0" w:line="240" w:lineRule="auto"/>
        <w:ind w:left="338" w:right="-66"/>
        <w:jc w:val="both"/>
        <w:rPr>
          <w:rFonts w:ascii="Times New Roman" w:hAnsi="Times New Roman" w:cs="Times New Roman"/>
        </w:rPr>
      </w:pPr>
      <w:r w:rsidRPr="000A5BAF">
        <w:rPr>
          <w:rFonts w:ascii="Times New Roman" w:hAnsi="Times New Roman" w:cs="Times New Roman"/>
        </w:rPr>
        <w:t>Grāmatojums, atzīstot ieņēmumus no vērtības samazinājuma norakstīšanas:</w:t>
      </w:r>
    </w:p>
    <w:p w14:paraId="3C2D0D5C"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 </w:t>
      </w:r>
      <w:r w:rsidRPr="00773B96">
        <w:rPr>
          <w:rFonts w:ascii="Times New Roman" w:hAnsi="Times New Roman" w:cs="Times New Roman"/>
          <w:b/>
          <w:sz w:val="24"/>
          <w:szCs w:val="24"/>
        </w:rPr>
        <w:t>1187 Vērtības samazinājums  avansa maksājumiem par nemateriālajiem ieguldījumiem</w:t>
      </w:r>
    </w:p>
    <w:p w14:paraId="276644A9"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D1</w:t>
      </w:r>
      <w:r w:rsidRPr="00773B96">
        <w:rPr>
          <w:rFonts w:ascii="Times New Roman" w:hAnsi="Times New Roman" w:cs="Times New Roman"/>
          <w:b/>
          <w:sz w:val="24"/>
          <w:szCs w:val="24"/>
        </w:rPr>
        <w:t>287  Vērtības samazinājums avansa maksājumiem par pamatlīdzekļiem</w:t>
      </w:r>
    </w:p>
    <w:p w14:paraId="1964D0C1"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w:t>
      </w:r>
      <w:r w:rsidRPr="00773B96">
        <w:rPr>
          <w:rFonts w:ascii="Times New Roman" w:hAnsi="Times New Roman" w:cs="Times New Roman"/>
          <w:b/>
          <w:sz w:val="24"/>
          <w:szCs w:val="24"/>
        </w:rPr>
        <w:t xml:space="preserve"> 2187  Vērtības samazinājums avansa maksājumiem par krājumiem</w:t>
      </w:r>
    </w:p>
    <w:p w14:paraId="4BA928EC"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2318  Vērtības samazinājums prasībām pret pircējiem un pasūtītājiem</w:t>
      </w:r>
    </w:p>
    <w:p w14:paraId="3393B10A" w14:textId="77777777" w:rsidR="000A5BAF" w:rsidRDefault="000A5BAF" w:rsidP="00CD363C">
      <w:pPr>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2427 Vērtības samazinājums avansa maksājumiem par pakalpojumiem</w:t>
      </w:r>
    </w:p>
    <w:p w14:paraId="43FB952A" w14:textId="77777777" w:rsidR="000A5BAF" w:rsidRDefault="000A5BA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K 8550  Ieņēmumi no aktīvu vērtības samazinājuma norakstīšanas</w:t>
      </w:r>
    </w:p>
    <w:p w14:paraId="25963F81" w14:textId="77777777" w:rsidR="000A5BAF" w:rsidRPr="000A5BAF" w:rsidRDefault="000A5BAF" w:rsidP="00CD363C">
      <w:pPr>
        <w:spacing w:after="0" w:line="240" w:lineRule="auto"/>
        <w:ind w:right="-66"/>
        <w:jc w:val="both"/>
        <w:rPr>
          <w:rFonts w:ascii="Times New Roman" w:hAnsi="Times New Roman" w:cs="Times New Roman"/>
          <w:b/>
          <w:sz w:val="24"/>
          <w:szCs w:val="24"/>
        </w:rPr>
      </w:pPr>
      <w:r w:rsidRPr="000A5BAF">
        <w:rPr>
          <w:rFonts w:ascii="Times New Roman" w:hAnsi="Times New Roman" w:cs="Times New Roman"/>
          <w:b/>
          <w:sz w:val="24"/>
          <w:szCs w:val="24"/>
        </w:rPr>
        <w:t xml:space="preserve">    K 8650* Izdevumi no aktīva vērtības samazinājuma</w:t>
      </w:r>
    </w:p>
    <w:p w14:paraId="100F0A23" w14:textId="77777777" w:rsidR="000A5BAF" w:rsidRDefault="000A5BAF" w:rsidP="00CD363C">
      <w:pPr>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*ja vērtības samazinājums atzīts tajā pašā pārskata periodā, kurā veic samazināšanu</w:t>
      </w:r>
    </w:p>
    <w:p w14:paraId="2C04A520" w14:textId="77777777" w:rsidR="000A5BAF" w:rsidRDefault="000A5BAF" w:rsidP="00CD363C">
      <w:pPr>
        <w:spacing w:after="0" w:line="240" w:lineRule="auto"/>
        <w:ind w:left="338" w:right="-66"/>
        <w:jc w:val="both"/>
        <w:rPr>
          <w:rFonts w:ascii="Times New Roman" w:hAnsi="Times New Roman" w:cs="Times New Roman"/>
          <w:sz w:val="24"/>
          <w:szCs w:val="24"/>
        </w:rPr>
      </w:pPr>
      <w:r w:rsidRPr="000A5BAF">
        <w:rPr>
          <w:rFonts w:ascii="Times New Roman" w:hAnsi="Times New Roman" w:cs="Times New Roman"/>
          <w:sz w:val="24"/>
          <w:szCs w:val="24"/>
        </w:rPr>
        <w:t xml:space="preserve">    Grāmatojums, izslēdzot prasību no uzskaites:</w:t>
      </w:r>
    </w:p>
    <w:p w14:paraId="493F903F"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D  8631  Izdevumi no prasību norakstīšanas</w:t>
      </w:r>
    </w:p>
    <w:p w14:paraId="268D8FA3"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1180 Avansa maksājumi par nemateriālajiem ieguldījumiem</w:t>
      </w:r>
    </w:p>
    <w:p w14:paraId="1FCC3662"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1280  Avansa maksājumi par pamatlīdzekļiem</w:t>
      </w:r>
    </w:p>
    <w:p w14:paraId="784F2317"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2181  Avansa maksājumi par krājumiem</w:t>
      </w:r>
    </w:p>
    <w:p w14:paraId="0F02333A"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 xml:space="preserve">K 2300  </w:t>
      </w:r>
      <w:r w:rsidR="007D214E" w:rsidRPr="007D214E">
        <w:rPr>
          <w:rFonts w:ascii="Times New Roman" w:hAnsi="Times New Roman" w:cs="Times New Roman"/>
          <w:b/>
          <w:sz w:val="24"/>
          <w:szCs w:val="24"/>
        </w:rPr>
        <w:t>Īstermiņa prasības</w:t>
      </w:r>
    </w:p>
    <w:p w14:paraId="6273F3F0" w14:textId="77777777" w:rsid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2421  Avansa maksājumi par pakalpojumiem</w:t>
      </w:r>
    </w:p>
    <w:p w14:paraId="15621D0D" w14:textId="77777777" w:rsidR="007D214E" w:rsidRPr="007D214E" w:rsidRDefault="007D214E"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7D214E">
        <w:rPr>
          <w:rFonts w:ascii="Times New Roman" w:hAnsi="Times New Roman" w:cs="Times New Roman"/>
          <w:sz w:val="24"/>
          <w:szCs w:val="24"/>
        </w:rPr>
        <w:t>576. Ja prasībai, kuras piedziņa saskaņā ar tiesību normām ir neiespējama, iepriekš nav atzīts vērtības samazinājums, budžeta iestāde prasību izslēdz no uzskaites un atzīst pārējos izdevumos. Budžeta iestāde veic sekojošu</w:t>
      </w:r>
      <w:r w:rsidRPr="007D214E">
        <w:rPr>
          <w:rFonts w:ascii="Times New Roman" w:hAnsi="Times New Roman" w:cs="Times New Roman"/>
          <w:spacing w:val="-3"/>
          <w:sz w:val="24"/>
          <w:szCs w:val="24"/>
        </w:rPr>
        <w:t xml:space="preserve"> </w:t>
      </w:r>
      <w:r w:rsidRPr="007D214E">
        <w:rPr>
          <w:rFonts w:ascii="Times New Roman" w:hAnsi="Times New Roman" w:cs="Times New Roman"/>
          <w:sz w:val="24"/>
          <w:szCs w:val="24"/>
        </w:rPr>
        <w:t>grāmatojumu:</w:t>
      </w:r>
    </w:p>
    <w:p w14:paraId="70012D8C"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D  8631  Izdevumi no prasību norakstīšanas</w:t>
      </w:r>
    </w:p>
    <w:p w14:paraId="783D4C0B"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1180 Avansa maksājumi par nemateriālajiem ieguldījumiem</w:t>
      </w:r>
    </w:p>
    <w:p w14:paraId="629B2952"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1280  Avansa maksājumi par pamatlīdzekļiem</w:t>
      </w:r>
    </w:p>
    <w:p w14:paraId="758D1B35"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2181  Avansa maksājumi par krājumiem</w:t>
      </w:r>
    </w:p>
    <w:p w14:paraId="4159BA16"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2300  Īstermiņa prasības</w:t>
      </w:r>
    </w:p>
    <w:p w14:paraId="2A44C552" w14:textId="77777777" w:rsid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2421  Avansa maksājumi par pakalpojumiem</w:t>
      </w:r>
    </w:p>
    <w:p w14:paraId="2B52A0C6" w14:textId="77777777" w:rsidR="006A4D8A" w:rsidRDefault="00870ECE" w:rsidP="00CD363C">
      <w:pPr>
        <w:pStyle w:val="Virsraksts4"/>
        <w:tabs>
          <w:tab w:val="left" w:pos="759"/>
        </w:tabs>
        <w:spacing w:before="0"/>
        <w:ind w:left="0" w:right="-66"/>
        <w:jc w:val="both"/>
      </w:pPr>
      <w:r>
        <w:rPr>
          <w:noProof/>
        </w:rPr>
        <mc:AlternateContent>
          <mc:Choice Requires="wpg">
            <w:drawing>
              <wp:anchor distT="0" distB="0" distL="114300" distR="114300" simplePos="0" relativeHeight="251669504" behindDoc="0" locked="0" layoutInCell="1" allowOverlap="1" wp14:anchorId="21FEF794" wp14:editId="4D6CB245">
                <wp:simplePos x="0" y="0"/>
                <wp:positionH relativeFrom="page">
                  <wp:posOffset>826135</wp:posOffset>
                </wp:positionH>
                <wp:positionV relativeFrom="paragraph">
                  <wp:posOffset>-232410</wp:posOffset>
                </wp:positionV>
                <wp:extent cx="6234430" cy="6350"/>
                <wp:effectExtent l="6985" t="11430" r="6985" b="1270"/>
                <wp:wrapNone/>
                <wp:docPr id="3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6350"/>
                          <a:chOff x="1301" y="-366"/>
                          <a:chExt cx="9818" cy="10"/>
                        </a:xfrm>
                      </wpg:grpSpPr>
                      <wps:wsp>
                        <wps:cNvPr id="357" name="Rectangle 13"/>
                        <wps:cNvSpPr>
                          <a:spLocks noChangeArrowheads="1"/>
                        </wps:cNvSpPr>
                        <wps:spPr bwMode="auto">
                          <a:xfrm>
                            <a:off x="1301" y="-367"/>
                            <a:ext cx="10" cy="10"/>
                          </a:xfrm>
                          <a:prstGeom prst="rect">
                            <a:avLst/>
                          </a:prstGeom>
                          <a:solidFill>
                            <a:srgbClr val="C3C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4"/>
                        <wps:cNvCnPr>
                          <a:cxnSpLocks noChangeShapeType="1"/>
                        </wps:cNvCnPr>
                        <wps:spPr bwMode="auto">
                          <a:xfrm>
                            <a:off x="1311" y="-362"/>
                            <a:ext cx="9799" cy="0"/>
                          </a:xfrm>
                          <a:prstGeom prst="line">
                            <a:avLst/>
                          </a:prstGeom>
                          <a:noFill/>
                          <a:ln w="6096">
                            <a:solidFill>
                              <a:srgbClr val="C3C4C5"/>
                            </a:solidFill>
                            <a:round/>
                            <a:headEnd/>
                            <a:tailEnd/>
                          </a:ln>
                          <a:extLst>
                            <a:ext uri="{909E8E84-426E-40DD-AFC4-6F175D3DCCD1}">
                              <a14:hiddenFill xmlns:a14="http://schemas.microsoft.com/office/drawing/2010/main">
                                <a:noFill/>
                              </a14:hiddenFill>
                            </a:ext>
                          </a:extLst>
                        </wps:spPr>
                        <wps:bodyPr/>
                      </wps:wsp>
                      <wps:wsp>
                        <wps:cNvPr id="359" name="Rectangle 15"/>
                        <wps:cNvSpPr>
                          <a:spLocks noChangeArrowheads="1"/>
                        </wps:cNvSpPr>
                        <wps:spPr bwMode="auto">
                          <a:xfrm>
                            <a:off x="11109" y="-367"/>
                            <a:ext cx="10" cy="10"/>
                          </a:xfrm>
                          <a:prstGeom prst="rect">
                            <a:avLst/>
                          </a:prstGeom>
                          <a:solidFill>
                            <a:srgbClr val="C3C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C2963" id="Group 12" o:spid="_x0000_s1026" style="position:absolute;margin-left:65.05pt;margin-top:-18.3pt;width:490.9pt;height:.5pt;z-index:251669504;mso-position-horizontal-relative:page" coordorigin="1301,-366" coordsize="9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">
                <v:rect id="Rectangle 13" o:spid="_x0000_s1027" style="position:absolute;left:1301;top:-3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" fillcolor="#c3c4c5" stroked="f"/>
                <v:line id="Line 14" o:spid="_x0000_s1028" style="position:absolute;visibility:visible;mso-wrap-style:square" from="1311,-362" to="111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" strokecolor="#c3c4c5" strokeweight=".48pt"/>
                <v:rect id="Rectangle 15" o:spid="_x0000_s1029" style="position:absolute;left:11109;top:-3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" fillcolor="#c3c4c5" stroked="f"/>
                <w10:wrap anchorx="page"/>
              </v:group>
            </w:pict>
          </mc:Fallback>
        </mc:AlternateContent>
      </w:r>
      <w:bookmarkStart w:id="60" w:name="9.1._Piemērs_–_Nākamo_periodu_izdevumu_u"/>
      <w:bookmarkStart w:id="61" w:name="_bookmark194"/>
      <w:bookmarkEnd w:id="60"/>
      <w:bookmarkEnd w:id="61"/>
      <w:r w:rsidR="006A4D8A">
        <w:rPr>
          <w:color w:val="002069"/>
        </w:rPr>
        <w:t>Piemērs – Nākamo periodu izdevumu</w:t>
      </w:r>
      <w:r w:rsidR="006A4D8A">
        <w:rPr>
          <w:color w:val="002069"/>
          <w:spacing w:val="-3"/>
        </w:rPr>
        <w:t xml:space="preserve"> </w:t>
      </w:r>
      <w:r w:rsidR="006A4D8A">
        <w:rPr>
          <w:color w:val="002069"/>
        </w:rPr>
        <w:t>uzskaite</w:t>
      </w:r>
    </w:p>
    <w:p w14:paraId="1BEE986F" w14:textId="77777777" w:rsidR="006A4D8A" w:rsidRDefault="006A4D8A" w:rsidP="00CD363C">
      <w:pPr>
        <w:pStyle w:val="Pamatteksts"/>
        <w:ind w:left="338" w:right="-66"/>
        <w:jc w:val="both"/>
      </w:pPr>
      <w:r>
        <w:t>Budžeta iestāde, kas nav PVN maksātāja, ir noslēgusi līgumu ar apdrošināšanas kompāniju par automašīnas apdrošināšanu periodā 01.01.2020. – 31.12.2020. par kopējo summu 204,00 EUR. 2019. gada 30. decembrī budžeta iestāde saņem priekšapmaksas rēķinu no apdrošināšanas kompānijas par automašīnas apdrošināšanu par periodu 01.01.2020. – 31.12.2020., rēķina summa 204,00 EUR. 2019. gada 30. decembrī budžeta iestāde veic</w:t>
      </w:r>
      <w:r>
        <w:rPr>
          <w:spacing w:val="-5"/>
        </w:rPr>
        <w:t xml:space="preserve"> </w:t>
      </w:r>
      <w:r>
        <w:t>pilnu</w:t>
      </w:r>
      <w:r>
        <w:rPr>
          <w:spacing w:val="-8"/>
        </w:rPr>
        <w:t xml:space="preserve"> </w:t>
      </w:r>
      <w:r>
        <w:t>rēķina</w:t>
      </w:r>
      <w:r>
        <w:rPr>
          <w:spacing w:val="-5"/>
        </w:rPr>
        <w:t xml:space="preserve"> </w:t>
      </w:r>
      <w:r>
        <w:t>apmaksu.</w:t>
      </w:r>
      <w:r>
        <w:rPr>
          <w:spacing w:val="-7"/>
        </w:rPr>
        <w:t xml:space="preserve"> </w:t>
      </w:r>
      <w:r>
        <w:t>Lai</w:t>
      </w:r>
      <w:r>
        <w:rPr>
          <w:spacing w:val="-7"/>
        </w:rPr>
        <w:t xml:space="preserve"> </w:t>
      </w:r>
      <w:r>
        <w:t>attiecināmās</w:t>
      </w:r>
      <w:r>
        <w:rPr>
          <w:spacing w:val="-5"/>
        </w:rPr>
        <w:t xml:space="preserve"> </w:t>
      </w:r>
      <w:r>
        <w:t>izmaksas</w:t>
      </w:r>
      <w:r>
        <w:rPr>
          <w:spacing w:val="-5"/>
        </w:rPr>
        <w:t xml:space="preserve"> </w:t>
      </w:r>
      <w:r>
        <w:t>tiktu</w:t>
      </w:r>
      <w:r>
        <w:rPr>
          <w:spacing w:val="-6"/>
        </w:rPr>
        <w:t xml:space="preserve"> </w:t>
      </w:r>
      <w:r>
        <w:t>pareizi</w:t>
      </w:r>
      <w:r>
        <w:rPr>
          <w:spacing w:val="-4"/>
        </w:rPr>
        <w:t xml:space="preserve"> </w:t>
      </w:r>
      <w:r>
        <w:t>uzskaitītas</w:t>
      </w:r>
      <w:r>
        <w:rPr>
          <w:spacing w:val="-5"/>
        </w:rPr>
        <w:t xml:space="preserve"> </w:t>
      </w:r>
      <w:r>
        <w:t>katrā</w:t>
      </w:r>
      <w:r>
        <w:rPr>
          <w:spacing w:val="-5"/>
        </w:rPr>
        <w:t xml:space="preserve"> </w:t>
      </w:r>
      <w:r>
        <w:t>pārskata</w:t>
      </w:r>
      <w:r>
        <w:rPr>
          <w:spacing w:val="-8"/>
        </w:rPr>
        <w:t xml:space="preserve"> </w:t>
      </w:r>
      <w:r>
        <w:t>periodā,</w:t>
      </w:r>
      <w:r>
        <w:rPr>
          <w:spacing w:val="-5"/>
        </w:rPr>
        <w:t xml:space="preserve"> </w:t>
      </w:r>
      <w:r>
        <w:t>budžeta iestāde veic sekojošu nākamo periodu izdevumu</w:t>
      </w:r>
      <w:r>
        <w:rPr>
          <w:spacing w:val="-6"/>
        </w:rPr>
        <w:t xml:space="preserve"> </w:t>
      </w:r>
      <w:r>
        <w:t>uzskaiti:</w:t>
      </w:r>
    </w:p>
    <w:p w14:paraId="2B5A9F43" w14:textId="77777777" w:rsidR="006A4D8A" w:rsidRDefault="006A4D8A" w:rsidP="00CD363C">
      <w:pPr>
        <w:pStyle w:val="Pamatteksts"/>
        <w:ind w:right="-66"/>
        <w:jc w:val="both"/>
        <w:rPr>
          <w:sz w:val="9"/>
        </w:rPr>
      </w:pPr>
    </w:p>
    <w:p w14:paraId="4E9C8503" w14:textId="77777777" w:rsidR="006A4D8A" w:rsidRDefault="006A4D8A" w:rsidP="00CD363C">
      <w:pPr>
        <w:pStyle w:val="Pamatteksts"/>
        <w:ind w:left="1778" w:right="-66" w:hanging="342"/>
        <w:jc w:val="both"/>
      </w:pPr>
      <w:r>
        <w:rPr>
          <w:noProof/>
          <w:position w:val="-4"/>
        </w:rPr>
        <w:drawing>
          <wp:inline distT="0" distB="0" distL="0" distR="0" wp14:anchorId="5DFFE22C" wp14:editId="3C949B69">
            <wp:extent cx="101345" cy="133350"/>
            <wp:effectExtent l="0" t="0" r="0" b="0"/>
            <wp:docPr id="49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76.png"/>
                    <pic:cNvPicPr/>
                  </pic:nvPicPr>
                  <pic:blipFill>
                    <a:blip r:embed="rId41"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30.12.2019. budžeta iestāde veic apdrošināšanas pakalpojumu rēķina apmaksu par periodu 01.01.2020. – 31.12.2020., veicot sekojošu</w:t>
      </w:r>
      <w:r>
        <w:rPr>
          <w:spacing w:val="-4"/>
        </w:rPr>
        <w:t xml:space="preserve"> </w:t>
      </w:r>
      <w:r>
        <w:t>grāmatojumu:</w:t>
      </w:r>
    </w:p>
    <w:p w14:paraId="65A79C5A" w14:textId="77777777" w:rsidR="006A4D8A" w:rsidRDefault="006A4D8A" w:rsidP="00CD363C">
      <w:pPr>
        <w:pStyle w:val="Pamatteksts"/>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3915"/>
        <w:gridCol w:w="1957"/>
      </w:tblGrid>
      <w:tr w:rsidR="006A4D8A" w14:paraId="66E4754E" w14:textId="77777777" w:rsidTr="003F13B2">
        <w:trPr>
          <w:trHeight w:val="289"/>
        </w:trPr>
        <w:tc>
          <w:tcPr>
            <w:tcW w:w="626" w:type="dxa"/>
          </w:tcPr>
          <w:p w14:paraId="6A2627D9" w14:textId="77777777" w:rsidR="006A4D8A" w:rsidRDefault="006A4D8A" w:rsidP="00CD363C">
            <w:pPr>
              <w:pStyle w:val="TableParagraph"/>
              <w:ind w:right="-66"/>
              <w:jc w:val="both"/>
              <w:rPr>
                <w:i/>
              </w:rPr>
            </w:pPr>
            <w:r>
              <w:rPr>
                <w:i/>
              </w:rPr>
              <w:t>D</w:t>
            </w:r>
          </w:p>
        </w:tc>
        <w:tc>
          <w:tcPr>
            <w:tcW w:w="979" w:type="dxa"/>
          </w:tcPr>
          <w:p w14:paraId="54D39309" w14:textId="77777777" w:rsidR="006A4D8A" w:rsidRDefault="006A4D8A" w:rsidP="00CD363C">
            <w:pPr>
              <w:pStyle w:val="TableParagraph"/>
              <w:ind w:right="-66"/>
              <w:jc w:val="both"/>
              <w:rPr>
                <w:i/>
              </w:rPr>
            </w:pPr>
            <w:r>
              <w:rPr>
                <w:i/>
              </w:rPr>
              <w:t>2429</w:t>
            </w:r>
          </w:p>
        </w:tc>
        <w:tc>
          <w:tcPr>
            <w:tcW w:w="3915" w:type="dxa"/>
          </w:tcPr>
          <w:p w14:paraId="53BCACFD" w14:textId="77777777" w:rsidR="006A4D8A" w:rsidRDefault="006A4D8A" w:rsidP="00CD363C">
            <w:pPr>
              <w:pStyle w:val="TableParagraph"/>
              <w:ind w:left="270" w:right="-66"/>
              <w:jc w:val="both"/>
              <w:rPr>
                <w:i/>
              </w:rPr>
            </w:pPr>
            <w:r>
              <w:rPr>
                <w:i/>
              </w:rPr>
              <w:t>Pārējie nākamo periodu izdevumi</w:t>
            </w:r>
          </w:p>
        </w:tc>
        <w:tc>
          <w:tcPr>
            <w:tcW w:w="1957" w:type="dxa"/>
          </w:tcPr>
          <w:p w14:paraId="08455542" w14:textId="77777777" w:rsidR="006A4D8A" w:rsidRDefault="006A4D8A" w:rsidP="00CD363C">
            <w:pPr>
              <w:pStyle w:val="TableParagraph"/>
              <w:ind w:right="-66"/>
              <w:jc w:val="both"/>
              <w:rPr>
                <w:i/>
              </w:rPr>
            </w:pPr>
            <w:r>
              <w:rPr>
                <w:i/>
              </w:rPr>
              <w:t>204,00 EUR</w:t>
            </w:r>
          </w:p>
        </w:tc>
      </w:tr>
      <w:tr w:rsidR="006A4D8A" w14:paraId="5965AE53" w14:textId="77777777" w:rsidTr="003F13B2">
        <w:trPr>
          <w:trHeight w:val="289"/>
        </w:trPr>
        <w:tc>
          <w:tcPr>
            <w:tcW w:w="626" w:type="dxa"/>
          </w:tcPr>
          <w:p w14:paraId="6575113E" w14:textId="77777777" w:rsidR="006A4D8A" w:rsidRDefault="006A4D8A" w:rsidP="00CD363C">
            <w:pPr>
              <w:pStyle w:val="TableParagraph"/>
              <w:ind w:right="-66"/>
              <w:jc w:val="both"/>
              <w:rPr>
                <w:i/>
              </w:rPr>
            </w:pPr>
            <w:r>
              <w:rPr>
                <w:i/>
              </w:rPr>
              <w:t>K</w:t>
            </w:r>
          </w:p>
        </w:tc>
        <w:tc>
          <w:tcPr>
            <w:tcW w:w="979" w:type="dxa"/>
          </w:tcPr>
          <w:p w14:paraId="5723648B" w14:textId="77777777" w:rsidR="006A4D8A" w:rsidRDefault="006A4D8A" w:rsidP="00CD363C">
            <w:pPr>
              <w:pStyle w:val="TableParagraph"/>
              <w:ind w:right="-66"/>
              <w:jc w:val="both"/>
              <w:rPr>
                <w:i/>
              </w:rPr>
            </w:pPr>
            <w:r>
              <w:rPr>
                <w:i/>
              </w:rPr>
              <w:t>2600</w:t>
            </w:r>
          </w:p>
        </w:tc>
        <w:tc>
          <w:tcPr>
            <w:tcW w:w="3915" w:type="dxa"/>
          </w:tcPr>
          <w:p w14:paraId="03D50D5B" w14:textId="77777777" w:rsidR="006A4D8A" w:rsidRDefault="006A4D8A" w:rsidP="00CD363C">
            <w:pPr>
              <w:pStyle w:val="TableParagraph"/>
              <w:ind w:left="270" w:right="-66"/>
              <w:jc w:val="both"/>
              <w:rPr>
                <w:i/>
              </w:rPr>
            </w:pPr>
            <w:r>
              <w:rPr>
                <w:i/>
              </w:rPr>
              <w:t>Naudas līdzekļi</w:t>
            </w:r>
          </w:p>
        </w:tc>
        <w:tc>
          <w:tcPr>
            <w:tcW w:w="1957" w:type="dxa"/>
          </w:tcPr>
          <w:p w14:paraId="1F6DFBE8" w14:textId="77777777" w:rsidR="006A4D8A" w:rsidRDefault="006A4D8A" w:rsidP="00CD363C">
            <w:pPr>
              <w:pStyle w:val="TableParagraph"/>
              <w:ind w:right="-66"/>
              <w:jc w:val="both"/>
              <w:rPr>
                <w:i/>
              </w:rPr>
            </w:pPr>
            <w:r>
              <w:rPr>
                <w:i/>
              </w:rPr>
              <w:t>204,00 EUR</w:t>
            </w:r>
          </w:p>
        </w:tc>
      </w:tr>
    </w:tbl>
    <w:p w14:paraId="2CDD8517" w14:textId="77777777" w:rsidR="006A4D8A" w:rsidRDefault="006A4D8A" w:rsidP="00CD363C">
      <w:pPr>
        <w:pStyle w:val="Pamatteksts"/>
        <w:ind w:left="1778" w:right="-66" w:hanging="363"/>
        <w:jc w:val="both"/>
      </w:pPr>
      <w:r>
        <w:rPr>
          <w:noProof/>
          <w:position w:val="-4"/>
        </w:rPr>
        <w:drawing>
          <wp:inline distT="0" distB="0" distL="0" distR="0" wp14:anchorId="2C1AD46D" wp14:editId="1C5425CD">
            <wp:extent cx="115061" cy="133350"/>
            <wp:effectExtent l="0" t="0" r="0" b="0"/>
            <wp:docPr id="499"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96.png"/>
                    <pic:cNvPicPr/>
                  </pic:nvPicPr>
                  <pic:blipFill>
                    <a:blip r:embed="rId34"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 xml:space="preserve">2020. gada 31. janvārī (un turpmāk katru mēnesi attiecīgajā līguma periodā) budžeta iestāde atzīst pamatdarbības izdevumus un lineāri samazina nākamo periodu izdevumus </w:t>
      </w:r>
      <w:r>
        <w:rPr>
          <w:i/>
        </w:rPr>
        <w:t xml:space="preserve">1/12 </w:t>
      </w:r>
      <w:r>
        <w:t xml:space="preserve">daļas apmērā no kopējās pakalpojuma summas, t.i. 204,00 EUR : 12 = 17,00 EUR. Katru pakalpojuma saņemšanas mēnesi nākamo periodu izdevumu konts tiek samazināts un izdevumi palielināti par </w:t>
      </w:r>
      <w:r>
        <w:rPr>
          <w:i/>
        </w:rPr>
        <w:t xml:space="preserve">1/12 </w:t>
      </w:r>
      <w:r>
        <w:t>daļu (17,00 EUR), veicot sekojošu</w:t>
      </w:r>
      <w:r>
        <w:rPr>
          <w:spacing w:val="-11"/>
        </w:rPr>
        <w:t xml:space="preserve"> </w:t>
      </w:r>
      <w:r>
        <w:t>grāmatojumu:</w:t>
      </w:r>
    </w:p>
    <w:p w14:paraId="49477C27" w14:textId="77777777" w:rsidR="006A4D8A" w:rsidRDefault="006A4D8A" w:rsidP="00CD363C">
      <w:pPr>
        <w:pStyle w:val="Pamatteksts"/>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3986"/>
        <w:gridCol w:w="1918"/>
      </w:tblGrid>
      <w:tr w:rsidR="006A4D8A" w14:paraId="1DEBF2B5" w14:textId="77777777" w:rsidTr="003F13B2">
        <w:trPr>
          <w:trHeight w:val="287"/>
        </w:trPr>
        <w:tc>
          <w:tcPr>
            <w:tcW w:w="626" w:type="dxa"/>
          </w:tcPr>
          <w:p w14:paraId="5672B1DE" w14:textId="77777777" w:rsidR="006A4D8A" w:rsidRDefault="006A4D8A" w:rsidP="00CD363C">
            <w:pPr>
              <w:pStyle w:val="TableParagraph"/>
              <w:ind w:right="-66"/>
              <w:jc w:val="both"/>
              <w:rPr>
                <w:i/>
              </w:rPr>
            </w:pPr>
            <w:r>
              <w:rPr>
                <w:i/>
              </w:rPr>
              <w:t>D</w:t>
            </w:r>
          </w:p>
        </w:tc>
        <w:tc>
          <w:tcPr>
            <w:tcW w:w="979" w:type="dxa"/>
          </w:tcPr>
          <w:p w14:paraId="091E795A" w14:textId="77777777" w:rsidR="006A4D8A" w:rsidRDefault="006A4D8A" w:rsidP="00CD363C">
            <w:pPr>
              <w:pStyle w:val="TableParagraph"/>
              <w:ind w:right="-66"/>
              <w:jc w:val="both"/>
              <w:rPr>
                <w:i/>
              </w:rPr>
            </w:pPr>
            <w:r>
              <w:rPr>
                <w:i/>
              </w:rPr>
              <w:t>7000</w:t>
            </w:r>
          </w:p>
        </w:tc>
        <w:tc>
          <w:tcPr>
            <w:tcW w:w="3986" w:type="dxa"/>
          </w:tcPr>
          <w:p w14:paraId="71223427" w14:textId="77777777" w:rsidR="006A4D8A" w:rsidRDefault="006A4D8A" w:rsidP="00CD363C">
            <w:pPr>
              <w:pStyle w:val="TableParagraph"/>
              <w:ind w:left="270" w:right="-66"/>
              <w:jc w:val="both"/>
              <w:rPr>
                <w:i/>
              </w:rPr>
            </w:pPr>
            <w:r>
              <w:rPr>
                <w:i/>
              </w:rPr>
              <w:t>Pamatdarbības izdevumi</w:t>
            </w:r>
          </w:p>
        </w:tc>
        <w:tc>
          <w:tcPr>
            <w:tcW w:w="1918" w:type="dxa"/>
          </w:tcPr>
          <w:p w14:paraId="4837C0CA" w14:textId="77777777" w:rsidR="006A4D8A" w:rsidRDefault="006A4D8A" w:rsidP="00CD363C">
            <w:pPr>
              <w:pStyle w:val="TableParagraph"/>
              <w:ind w:right="-66"/>
              <w:jc w:val="both"/>
              <w:rPr>
                <w:i/>
              </w:rPr>
            </w:pPr>
            <w:r>
              <w:rPr>
                <w:i/>
              </w:rPr>
              <w:t>17,00 EUR</w:t>
            </w:r>
          </w:p>
        </w:tc>
      </w:tr>
      <w:tr w:rsidR="006A4D8A" w14:paraId="7087D656" w14:textId="77777777" w:rsidTr="003F13B2">
        <w:trPr>
          <w:trHeight w:val="287"/>
        </w:trPr>
        <w:tc>
          <w:tcPr>
            <w:tcW w:w="626" w:type="dxa"/>
          </w:tcPr>
          <w:p w14:paraId="7FCABDC0" w14:textId="77777777" w:rsidR="006A4D8A" w:rsidRDefault="006A4D8A" w:rsidP="00CD363C">
            <w:pPr>
              <w:pStyle w:val="TableParagraph"/>
              <w:ind w:right="-66"/>
              <w:jc w:val="both"/>
              <w:rPr>
                <w:i/>
              </w:rPr>
            </w:pPr>
            <w:r>
              <w:rPr>
                <w:i/>
              </w:rPr>
              <w:t>K</w:t>
            </w:r>
          </w:p>
        </w:tc>
        <w:tc>
          <w:tcPr>
            <w:tcW w:w="979" w:type="dxa"/>
          </w:tcPr>
          <w:p w14:paraId="1FDE7134" w14:textId="77777777" w:rsidR="006A4D8A" w:rsidRDefault="006A4D8A" w:rsidP="00CD363C">
            <w:pPr>
              <w:pStyle w:val="TableParagraph"/>
              <w:ind w:right="-66"/>
              <w:jc w:val="both"/>
              <w:rPr>
                <w:i/>
              </w:rPr>
            </w:pPr>
            <w:r>
              <w:rPr>
                <w:i/>
              </w:rPr>
              <w:t>2429</w:t>
            </w:r>
          </w:p>
        </w:tc>
        <w:tc>
          <w:tcPr>
            <w:tcW w:w="3986" w:type="dxa"/>
          </w:tcPr>
          <w:p w14:paraId="33A99482" w14:textId="77777777" w:rsidR="006A4D8A" w:rsidRDefault="006A4D8A" w:rsidP="00CD363C">
            <w:pPr>
              <w:pStyle w:val="TableParagraph"/>
              <w:ind w:left="270" w:right="-66"/>
              <w:jc w:val="both"/>
              <w:rPr>
                <w:i/>
              </w:rPr>
            </w:pPr>
            <w:r>
              <w:rPr>
                <w:i/>
              </w:rPr>
              <w:t>Pārējie nākamo periodu izdevumi</w:t>
            </w:r>
          </w:p>
        </w:tc>
        <w:tc>
          <w:tcPr>
            <w:tcW w:w="1918" w:type="dxa"/>
          </w:tcPr>
          <w:p w14:paraId="0BB3170C" w14:textId="77777777" w:rsidR="006A4D8A" w:rsidRDefault="006A4D8A" w:rsidP="00CD363C">
            <w:pPr>
              <w:pStyle w:val="TableParagraph"/>
              <w:ind w:right="-66"/>
              <w:jc w:val="both"/>
              <w:rPr>
                <w:i/>
              </w:rPr>
            </w:pPr>
            <w:r>
              <w:rPr>
                <w:i/>
              </w:rPr>
              <w:t>17,00 EUR</w:t>
            </w:r>
          </w:p>
        </w:tc>
      </w:tr>
    </w:tbl>
    <w:p w14:paraId="26369D2D" w14:textId="77777777" w:rsidR="006A4D8A" w:rsidRDefault="006A4D8A" w:rsidP="00CD363C">
      <w:pPr>
        <w:pStyle w:val="Pamatteksts"/>
        <w:ind w:left="1778" w:right="-66" w:hanging="358"/>
        <w:jc w:val="both"/>
      </w:pPr>
      <w:r>
        <w:rPr>
          <w:noProof/>
          <w:position w:val="-4"/>
        </w:rPr>
        <w:drawing>
          <wp:inline distT="0" distB="0" distL="0" distR="0" wp14:anchorId="633AF8E5" wp14:editId="686B57B5">
            <wp:extent cx="112014" cy="133350"/>
            <wp:effectExtent l="0" t="0" r="0" b="0"/>
            <wp:docPr id="50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78.png"/>
                    <pic:cNvPicPr/>
                  </pic:nvPicPr>
                  <pic:blipFill>
                    <a:blip r:embed="rId35"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2020. gada 31. decembrī budžeta iestāde ir atzinusi pamatdarbības izdevumos rēķina</w:t>
      </w:r>
      <w:r>
        <w:rPr>
          <w:spacing w:val="-40"/>
        </w:rPr>
        <w:t xml:space="preserve"> </w:t>
      </w:r>
      <w:r>
        <w:t>summu (204,00 EUR) un dzēsusi iepriekš atzītos nākamo periodu izdevumus pilnā apmērā. Zemāk sniegts ilustratīvs piemērs konta “Nākamo periodu izdevumi” atlikumam katra mēneša beigās.</w:t>
      </w:r>
    </w:p>
    <w:p w14:paraId="18388B9C" w14:textId="77777777" w:rsidR="006A4D8A" w:rsidRDefault="006A4D8A" w:rsidP="00CD363C">
      <w:pPr>
        <w:pStyle w:val="Pamatteksts"/>
        <w:ind w:right="-66"/>
        <w:jc w:val="both"/>
        <w:rPr>
          <w:sz w:val="17"/>
        </w:rPr>
      </w:pPr>
    </w:p>
    <w:tbl>
      <w:tblPr>
        <w:tblW w:w="0" w:type="auto"/>
        <w:tblInd w:w="34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235"/>
        <w:gridCol w:w="2552"/>
        <w:gridCol w:w="4710"/>
      </w:tblGrid>
      <w:tr w:rsidR="006A4D8A" w14:paraId="7877EC9D" w14:textId="77777777" w:rsidTr="003F13B2">
        <w:trPr>
          <w:trHeight w:val="827"/>
        </w:trPr>
        <w:tc>
          <w:tcPr>
            <w:tcW w:w="2235" w:type="dxa"/>
            <w:tcBorders>
              <w:bottom w:val="single" w:sz="8" w:space="0" w:color="A4A4A4"/>
            </w:tcBorders>
            <w:shd w:val="clear" w:color="auto" w:fill="F1F1F1"/>
          </w:tcPr>
          <w:p w14:paraId="4C50A55B" w14:textId="77777777" w:rsidR="006A4D8A" w:rsidRDefault="006A4D8A" w:rsidP="00CD363C">
            <w:pPr>
              <w:pStyle w:val="TableParagraph"/>
              <w:ind w:left="731" w:right="-66" w:hanging="375"/>
              <w:jc w:val="both"/>
              <w:rPr>
                <w:b/>
                <w:sz w:val="20"/>
              </w:rPr>
            </w:pPr>
            <w:r>
              <w:rPr>
                <w:b/>
                <w:sz w:val="20"/>
              </w:rPr>
              <w:t>Pārskata periodā (mēnesī)</w:t>
            </w:r>
          </w:p>
        </w:tc>
        <w:tc>
          <w:tcPr>
            <w:tcW w:w="2552" w:type="dxa"/>
            <w:tcBorders>
              <w:bottom w:val="single" w:sz="8" w:space="0" w:color="A4A4A4"/>
            </w:tcBorders>
            <w:shd w:val="clear" w:color="auto" w:fill="F1F1F1"/>
          </w:tcPr>
          <w:p w14:paraId="4CE46B0D" w14:textId="77777777" w:rsidR="006A4D8A" w:rsidRDefault="006A4D8A" w:rsidP="00CD363C">
            <w:pPr>
              <w:pStyle w:val="TableParagraph"/>
              <w:ind w:left="261" w:right="-66" w:hanging="108"/>
              <w:jc w:val="both"/>
              <w:rPr>
                <w:b/>
                <w:sz w:val="20"/>
              </w:rPr>
            </w:pPr>
            <w:r>
              <w:rPr>
                <w:b/>
                <w:sz w:val="20"/>
              </w:rPr>
              <w:t>Ikmēneša apdrošināšanas izdevumu summa EUR</w:t>
            </w:r>
          </w:p>
        </w:tc>
        <w:tc>
          <w:tcPr>
            <w:tcW w:w="4710" w:type="dxa"/>
            <w:tcBorders>
              <w:bottom w:val="single" w:sz="8" w:space="0" w:color="A4A4A4"/>
            </w:tcBorders>
            <w:shd w:val="clear" w:color="auto" w:fill="F1F1F1"/>
          </w:tcPr>
          <w:p w14:paraId="71EBA723" w14:textId="77777777" w:rsidR="006A4D8A" w:rsidRDefault="006A4D8A" w:rsidP="00CD363C">
            <w:pPr>
              <w:pStyle w:val="TableParagraph"/>
              <w:ind w:left="1826" w:right="-66" w:hanging="1679"/>
              <w:jc w:val="both"/>
              <w:rPr>
                <w:b/>
                <w:sz w:val="20"/>
              </w:rPr>
            </w:pPr>
            <w:r>
              <w:rPr>
                <w:b/>
                <w:sz w:val="20"/>
              </w:rPr>
              <w:t>Nākamo periodu izdevumu konta atlikums perioda beigās EUR</w:t>
            </w:r>
          </w:p>
        </w:tc>
      </w:tr>
      <w:tr w:rsidR="006A4D8A" w14:paraId="5468D7EE" w14:textId="77777777" w:rsidTr="003F13B2">
        <w:trPr>
          <w:trHeight w:val="232"/>
        </w:trPr>
        <w:tc>
          <w:tcPr>
            <w:tcW w:w="2235" w:type="dxa"/>
            <w:tcBorders>
              <w:top w:val="single" w:sz="8" w:space="0" w:color="A4A4A4"/>
              <w:left w:val="single" w:sz="8" w:space="0" w:color="A4A4A4"/>
              <w:bottom w:val="single" w:sz="8" w:space="0" w:color="A4A4A4"/>
            </w:tcBorders>
          </w:tcPr>
          <w:p w14:paraId="2BBD2977" w14:textId="77777777" w:rsidR="006A4D8A" w:rsidRDefault="006A4D8A" w:rsidP="00CD363C">
            <w:pPr>
              <w:pStyle w:val="TableParagraph"/>
              <w:ind w:left="107" w:right="-66"/>
              <w:jc w:val="both"/>
              <w:rPr>
                <w:b/>
                <w:sz w:val="20"/>
              </w:rPr>
            </w:pPr>
            <w:r>
              <w:rPr>
                <w:b/>
                <w:sz w:val="20"/>
              </w:rPr>
              <w:t>Janvāris</w:t>
            </w:r>
          </w:p>
        </w:tc>
        <w:tc>
          <w:tcPr>
            <w:tcW w:w="2552" w:type="dxa"/>
            <w:tcBorders>
              <w:top w:val="single" w:sz="8" w:space="0" w:color="A4A4A4"/>
              <w:bottom w:val="single" w:sz="8" w:space="0" w:color="A4A4A4"/>
            </w:tcBorders>
          </w:tcPr>
          <w:p w14:paraId="12EC7966" w14:textId="77777777" w:rsidR="006A4D8A" w:rsidRDefault="006A4D8A" w:rsidP="00CD363C">
            <w:pPr>
              <w:pStyle w:val="TableParagraph"/>
              <w:ind w:right="-66"/>
              <w:jc w:val="both"/>
              <w:rPr>
                <w:sz w:val="20"/>
              </w:rPr>
            </w:pPr>
            <w:r>
              <w:rPr>
                <w:sz w:val="20"/>
              </w:rPr>
              <w:t>17,00</w:t>
            </w:r>
          </w:p>
        </w:tc>
        <w:tc>
          <w:tcPr>
            <w:tcW w:w="4710" w:type="dxa"/>
            <w:tcBorders>
              <w:top w:val="single" w:sz="8" w:space="0" w:color="A4A4A4"/>
              <w:bottom w:val="single" w:sz="8" w:space="0" w:color="A4A4A4"/>
              <w:right w:val="single" w:sz="8" w:space="0" w:color="A4A4A4"/>
            </w:tcBorders>
          </w:tcPr>
          <w:p w14:paraId="14F9F641" w14:textId="77777777" w:rsidR="006A4D8A" w:rsidRDefault="006A4D8A" w:rsidP="00CD363C">
            <w:pPr>
              <w:pStyle w:val="TableParagraph"/>
              <w:ind w:right="-66"/>
              <w:jc w:val="both"/>
              <w:rPr>
                <w:sz w:val="20"/>
              </w:rPr>
            </w:pPr>
            <w:r>
              <w:rPr>
                <w:sz w:val="20"/>
              </w:rPr>
              <w:t>204,00 – 17,00 = 187,00</w:t>
            </w:r>
          </w:p>
        </w:tc>
      </w:tr>
      <w:tr w:rsidR="006A4D8A" w14:paraId="59BAE704" w14:textId="77777777" w:rsidTr="003F13B2">
        <w:trPr>
          <w:trHeight w:val="229"/>
        </w:trPr>
        <w:tc>
          <w:tcPr>
            <w:tcW w:w="2235" w:type="dxa"/>
            <w:tcBorders>
              <w:top w:val="single" w:sz="8" w:space="0" w:color="A4A4A4"/>
            </w:tcBorders>
          </w:tcPr>
          <w:p w14:paraId="5530A7C4" w14:textId="77777777" w:rsidR="006A4D8A" w:rsidRDefault="006A4D8A" w:rsidP="00CD363C">
            <w:pPr>
              <w:pStyle w:val="TableParagraph"/>
              <w:ind w:left="112" w:right="-66"/>
              <w:jc w:val="both"/>
              <w:rPr>
                <w:b/>
                <w:sz w:val="20"/>
              </w:rPr>
            </w:pPr>
            <w:r>
              <w:rPr>
                <w:b/>
                <w:sz w:val="20"/>
              </w:rPr>
              <w:t>Februāris</w:t>
            </w:r>
          </w:p>
        </w:tc>
        <w:tc>
          <w:tcPr>
            <w:tcW w:w="2552" w:type="dxa"/>
            <w:tcBorders>
              <w:top w:val="single" w:sz="8" w:space="0" w:color="A4A4A4"/>
            </w:tcBorders>
          </w:tcPr>
          <w:p w14:paraId="46A0F008" w14:textId="77777777" w:rsidR="006A4D8A" w:rsidRDefault="006A4D8A" w:rsidP="00CD363C">
            <w:pPr>
              <w:pStyle w:val="TableParagraph"/>
              <w:ind w:right="-66"/>
              <w:jc w:val="both"/>
              <w:rPr>
                <w:sz w:val="20"/>
              </w:rPr>
            </w:pPr>
            <w:r>
              <w:rPr>
                <w:sz w:val="20"/>
              </w:rPr>
              <w:t>17,00</w:t>
            </w:r>
          </w:p>
        </w:tc>
        <w:tc>
          <w:tcPr>
            <w:tcW w:w="4710" w:type="dxa"/>
            <w:tcBorders>
              <w:top w:val="single" w:sz="8" w:space="0" w:color="A4A4A4"/>
            </w:tcBorders>
          </w:tcPr>
          <w:p w14:paraId="272536FA" w14:textId="77777777" w:rsidR="006A4D8A" w:rsidRDefault="006A4D8A" w:rsidP="00CD363C">
            <w:pPr>
              <w:pStyle w:val="TableParagraph"/>
              <w:ind w:right="-66"/>
              <w:jc w:val="both"/>
              <w:rPr>
                <w:sz w:val="20"/>
              </w:rPr>
            </w:pPr>
            <w:r>
              <w:rPr>
                <w:sz w:val="20"/>
              </w:rPr>
              <w:t>187,00 – 17,00 = 170,00</w:t>
            </w:r>
          </w:p>
        </w:tc>
      </w:tr>
      <w:tr w:rsidR="006A4D8A" w14:paraId="758435E7" w14:textId="77777777" w:rsidTr="003F13B2">
        <w:trPr>
          <w:trHeight w:val="230"/>
        </w:trPr>
        <w:tc>
          <w:tcPr>
            <w:tcW w:w="2235" w:type="dxa"/>
          </w:tcPr>
          <w:p w14:paraId="723D6841" w14:textId="77777777" w:rsidR="006A4D8A" w:rsidRDefault="006A4D8A" w:rsidP="00CD363C">
            <w:pPr>
              <w:pStyle w:val="TableParagraph"/>
              <w:ind w:left="112" w:right="-66"/>
              <w:jc w:val="both"/>
              <w:rPr>
                <w:b/>
                <w:sz w:val="20"/>
              </w:rPr>
            </w:pPr>
            <w:r>
              <w:rPr>
                <w:b/>
                <w:sz w:val="20"/>
              </w:rPr>
              <w:t>Marts</w:t>
            </w:r>
          </w:p>
        </w:tc>
        <w:tc>
          <w:tcPr>
            <w:tcW w:w="2552" w:type="dxa"/>
          </w:tcPr>
          <w:p w14:paraId="38D583B8" w14:textId="77777777" w:rsidR="006A4D8A" w:rsidRDefault="006A4D8A" w:rsidP="00CD363C">
            <w:pPr>
              <w:pStyle w:val="TableParagraph"/>
              <w:ind w:right="-66"/>
              <w:jc w:val="both"/>
              <w:rPr>
                <w:sz w:val="20"/>
              </w:rPr>
            </w:pPr>
            <w:r>
              <w:rPr>
                <w:sz w:val="20"/>
              </w:rPr>
              <w:t>17,00</w:t>
            </w:r>
          </w:p>
        </w:tc>
        <w:tc>
          <w:tcPr>
            <w:tcW w:w="4710" w:type="dxa"/>
          </w:tcPr>
          <w:p w14:paraId="722AF84A" w14:textId="77777777" w:rsidR="006A4D8A" w:rsidRDefault="006A4D8A" w:rsidP="00CD363C">
            <w:pPr>
              <w:pStyle w:val="TableParagraph"/>
              <w:ind w:right="-66"/>
              <w:jc w:val="both"/>
              <w:rPr>
                <w:sz w:val="20"/>
              </w:rPr>
            </w:pPr>
            <w:r>
              <w:rPr>
                <w:sz w:val="20"/>
              </w:rPr>
              <w:t>170,00 – 17,00 = 153,00</w:t>
            </w:r>
          </w:p>
        </w:tc>
      </w:tr>
      <w:tr w:rsidR="006A4D8A" w14:paraId="0DFF127C" w14:textId="77777777" w:rsidTr="003F13B2">
        <w:trPr>
          <w:trHeight w:val="229"/>
        </w:trPr>
        <w:tc>
          <w:tcPr>
            <w:tcW w:w="2235" w:type="dxa"/>
          </w:tcPr>
          <w:p w14:paraId="6C14C50B" w14:textId="77777777" w:rsidR="006A4D8A" w:rsidRDefault="006A4D8A" w:rsidP="00CD363C">
            <w:pPr>
              <w:pStyle w:val="TableParagraph"/>
              <w:ind w:left="112" w:right="-66"/>
              <w:jc w:val="both"/>
              <w:rPr>
                <w:b/>
                <w:sz w:val="20"/>
              </w:rPr>
            </w:pPr>
            <w:r>
              <w:rPr>
                <w:b/>
                <w:sz w:val="20"/>
              </w:rPr>
              <w:t>Aprīlis</w:t>
            </w:r>
          </w:p>
        </w:tc>
        <w:tc>
          <w:tcPr>
            <w:tcW w:w="2552" w:type="dxa"/>
          </w:tcPr>
          <w:p w14:paraId="73D82703" w14:textId="77777777" w:rsidR="006A4D8A" w:rsidRDefault="006A4D8A" w:rsidP="00CD363C">
            <w:pPr>
              <w:pStyle w:val="TableParagraph"/>
              <w:ind w:right="-66"/>
              <w:jc w:val="both"/>
              <w:rPr>
                <w:sz w:val="20"/>
              </w:rPr>
            </w:pPr>
            <w:r>
              <w:rPr>
                <w:sz w:val="20"/>
              </w:rPr>
              <w:t>17,00</w:t>
            </w:r>
          </w:p>
        </w:tc>
        <w:tc>
          <w:tcPr>
            <w:tcW w:w="4710" w:type="dxa"/>
          </w:tcPr>
          <w:p w14:paraId="465D8D35" w14:textId="77777777" w:rsidR="006A4D8A" w:rsidRDefault="006A4D8A" w:rsidP="00CD363C">
            <w:pPr>
              <w:pStyle w:val="TableParagraph"/>
              <w:ind w:right="-66"/>
              <w:jc w:val="both"/>
              <w:rPr>
                <w:sz w:val="20"/>
              </w:rPr>
            </w:pPr>
            <w:r>
              <w:rPr>
                <w:sz w:val="20"/>
              </w:rPr>
              <w:t>153,00 – 17,00 = 136,00</w:t>
            </w:r>
          </w:p>
        </w:tc>
      </w:tr>
      <w:tr w:rsidR="006A4D8A" w14:paraId="6FCDD523" w14:textId="77777777" w:rsidTr="003F13B2">
        <w:trPr>
          <w:trHeight w:val="230"/>
        </w:trPr>
        <w:tc>
          <w:tcPr>
            <w:tcW w:w="2235" w:type="dxa"/>
          </w:tcPr>
          <w:p w14:paraId="0D74C590" w14:textId="77777777" w:rsidR="006A4D8A" w:rsidRDefault="006A4D8A" w:rsidP="00CD363C">
            <w:pPr>
              <w:pStyle w:val="TableParagraph"/>
              <w:ind w:left="112" w:right="-66"/>
              <w:jc w:val="both"/>
              <w:rPr>
                <w:b/>
                <w:sz w:val="20"/>
              </w:rPr>
            </w:pPr>
            <w:r>
              <w:rPr>
                <w:b/>
                <w:sz w:val="20"/>
              </w:rPr>
              <w:t>Maijs</w:t>
            </w:r>
          </w:p>
        </w:tc>
        <w:tc>
          <w:tcPr>
            <w:tcW w:w="2552" w:type="dxa"/>
          </w:tcPr>
          <w:p w14:paraId="53CBE6B9" w14:textId="77777777" w:rsidR="006A4D8A" w:rsidRDefault="006A4D8A" w:rsidP="00CD363C">
            <w:pPr>
              <w:pStyle w:val="TableParagraph"/>
              <w:ind w:right="-66"/>
              <w:jc w:val="both"/>
              <w:rPr>
                <w:sz w:val="20"/>
              </w:rPr>
            </w:pPr>
            <w:r>
              <w:rPr>
                <w:sz w:val="20"/>
              </w:rPr>
              <w:t>17,00</w:t>
            </w:r>
          </w:p>
        </w:tc>
        <w:tc>
          <w:tcPr>
            <w:tcW w:w="4710" w:type="dxa"/>
          </w:tcPr>
          <w:p w14:paraId="505F3700" w14:textId="77777777" w:rsidR="006A4D8A" w:rsidRDefault="006A4D8A" w:rsidP="00CD363C">
            <w:pPr>
              <w:pStyle w:val="TableParagraph"/>
              <w:ind w:right="-66"/>
              <w:jc w:val="both"/>
              <w:rPr>
                <w:sz w:val="20"/>
              </w:rPr>
            </w:pPr>
            <w:r>
              <w:rPr>
                <w:sz w:val="20"/>
              </w:rPr>
              <w:t>136,00 – 17,00 = 119,00</w:t>
            </w:r>
          </w:p>
        </w:tc>
      </w:tr>
      <w:tr w:rsidR="006A4D8A" w14:paraId="5D71C47B" w14:textId="77777777" w:rsidTr="003F13B2">
        <w:trPr>
          <w:trHeight w:val="230"/>
        </w:trPr>
        <w:tc>
          <w:tcPr>
            <w:tcW w:w="2235" w:type="dxa"/>
          </w:tcPr>
          <w:p w14:paraId="46768D43" w14:textId="77777777" w:rsidR="006A4D8A" w:rsidRDefault="006A4D8A" w:rsidP="00CD363C">
            <w:pPr>
              <w:pStyle w:val="TableParagraph"/>
              <w:ind w:left="112" w:right="-66"/>
              <w:jc w:val="both"/>
              <w:rPr>
                <w:b/>
                <w:sz w:val="20"/>
              </w:rPr>
            </w:pPr>
            <w:r>
              <w:rPr>
                <w:b/>
                <w:sz w:val="20"/>
              </w:rPr>
              <w:t>Jūnijs</w:t>
            </w:r>
          </w:p>
        </w:tc>
        <w:tc>
          <w:tcPr>
            <w:tcW w:w="2552" w:type="dxa"/>
          </w:tcPr>
          <w:p w14:paraId="4D160C65" w14:textId="77777777" w:rsidR="006A4D8A" w:rsidRDefault="006A4D8A" w:rsidP="00CD363C">
            <w:pPr>
              <w:pStyle w:val="TableParagraph"/>
              <w:ind w:right="-66"/>
              <w:jc w:val="both"/>
              <w:rPr>
                <w:sz w:val="20"/>
              </w:rPr>
            </w:pPr>
            <w:r>
              <w:rPr>
                <w:sz w:val="20"/>
              </w:rPr>
              <w:t>17,00</w:t>
            </w:r>
          </w:p>
        </w:tc>
        <w:tc>
          <w:tcPr>
            <w:tcW w:w="4710" w:type="dxa"/>
          </w:tcPr>
          <w:p w14:paraId="61E65C5A" w14:textId="77777777" w:rsidR="006A4D8A" w:rsidRDefault="006A4D8A" w:rsidP="00CD363C">
            <w:pPr>
              <w:pStyle w:val="TableParagraph"/>
              <w:ind w:right="-66"/>
              <w:jc w:val="both"/>
              <w:rPr>
                <w:sz w:val="20"/>
              </w:rPr>
            </w:pPr>
            <w:r>
              <w:rPr>
                <w:sz w:val="20"/>
              </w:rPr>
              <w:t>119,00 – 17,00 = 102,00</w:t>
            </w:r>
          </w:p>
        </w:tc>
      </w:tr>
      <w:tr w:rsidR="006A4D8A" w14:paraId="4971FF03" w14:textId="77777777" w:rsidTr="003F13B2">
        <w:trPr>
          <w:trHeight w:val="230"/>
        </w:trPr>
        <w:tc>
          <w:tcPr>
            <w:tcW w:w="2235" w:type="dxa"/>
          </w:tcPr>
          <w:p w14:paraId="708B9014" w14:textId="77777777" w:rsidR="006A4D8A" w:rsidRDefault="006A4D8A" w:rsidP="00CD363C">
            <w:pPr>
              <w:pStyle w:val="TableParagraph"/>
              <w:ind w:left="112" w:right="-66"/>
              <w:jc w:val="both"/>
              <w:rPr>
                <w:b/>
                <w:sz w:val="20"/>
              </w:rPr>
            </w:pPr>
            <w:r>
              <w:rPr>
                <w:b/>
                <w:sz w:val="20"/>
              </w:rPr>
              <w:t>Jūlijs</w:t>
            </w:r>
          </w:p>
        </w:tc>
        <w:tc>
          <w:tcPr>
            <w:tcW w:w="2552" w:type="dxa"/>
          </w:tcPr>
          <w:p w14:paraId="35233099" w14:textId="77777777" w:rsidR="006A4D8A" w:rsidRDefault="006A4D8A" w:rsidP="00CD363C">
            <w:pPr>
              <w:pStyle w:val="TableParagraph"/>
              <w:ind w:right="-66"/>
              <w:jc w:val="both"/>
              <w:rPr>
                <w:sz w:val="20"/>
              </w:rPr>
            </w:pPr>
            <w:r>
              <w:rPr>
                <w:sz w:val="20"/>
              </w:rPr>
              <w:t>17,00</w:t>
            </w:r>
          </w:p>
        </w:tc>
        <w:tc>
          <w:tcPr>
            <w:tcW w:w="4710" w:type="dxa"/>
          </w:tcPr>
          <w:p w14:paraId="220C35A0" w14:textId="77777777" w:rsidR="006A4D8A" w:rsidRDefault="006A4D8A" w:rsidP="00CD363C">
            <w:pPr>
              <w:pStyle w:val="TableParagraph"/>
              <w:ind w:right="-66"/>
              <w:jc w:val="both"/>
              <w:rPr>
                <w:sz w:val="20"/>
              </w:rPr>
            </w:pPr>
            <w:r>
              <w:rPr>
                <w:sz w:val="20"/>
              </w:rPr>
              <w:t>102,00 – 17,00 = 85,00</w:t>
            </w:r>
          </w:p>
        </w:tc>
      </w:tr>
      <w:tr w:rsidR="006A4D8A" w14:paraId="29304E50" w14:textId="77777777" w:rsidTr="003F13B2">
        <w:trPr>
          <w:trHeight w:val="230"/>
        </w:trPr>
        <w:tc>
          <w:tcPr>
            <w:tcW w:w="2235" w:type="dxa"/>
          </w:tcPr>
          <w:p w14:paraId="3550DF4C" w14:textId="77777777" w:rsidR="006A4D8A" w:rsidRDefault="006A4D8A" w:rsidP="00CD363C">
            <w:pPr>
              <w:pStyle w:val="TableParagraph"/>
              <w:ind w:left="112" w:right="-66"/>
              <w:jc w:val="both"/>
              <w:rPr>
                <w:b/>
                <w:sz w:val="20"/>
              </w:rPr>
            </w:pPr>
            <w:r>
              <w:rPr>
                <w:b/>
                <w:sz w:val="20"/>
              </w:rPr>
              <w:t>Augusts</w:t>
            </w:r>
          </w:p>
        </w:tc>
        <w:tc>
          <w:tcPr>
            <w:tcW w:w="2552" w:type="dxa"/>
          </w:tcPr>
          <w:p w14:paraId="7A932BD7" w14:textId="77777777" w:rsidR="006A4D8A" w:rsidRDefault="006A4D8A" w:rsidP="00CD363C">
            <w:pPr>
              <w:pStyle w:val="TableParagraph"/>
              <w:ind w:right="-66"/>
              <w:jc w:val="both"/>
              <w:rPr>
                <w:sz w:val="20"/>
              </w:rPr>
            </w:pPr>
            <w:r>
              <w:rPr>
                <w:sz w:val="20"/>
              </w:rPr>
              <w:t>17,00</w:t>
            </w:r>
          </w:p>
        </w:tc>
        <w:tc>
          <w:tcPr>
            <w:tcW w:w="4710" w:type="dxa"/>
          </w:tcPr>
          <w:p w14:paraId="7B05D103" w14:textId="77777777" w:rsidR="006A4D8A" w:rsidRDefault="006A4D8A" w:rsidP="00CD363C">
            <w:pPr>
              <w:pStyle w:val="TableParagraph"/>
              <w:ind w:right="-66"/>
              <w:jc w:val="both"/>
              <w:rPr>
                <w:sz w:val="20"/>
              </w:rPr>
            </w:pPr>
            <w:r>
              <w:rPr>
                <w:sz w:val="20"/>
              </w:rPr>
              <w:t>85,00 – 17,00 = 68,00</w:t>
            </w:r>
          </w:p>
        </w:tc>
      </w:tr>
      <w:tr w:rsidR="006A4D8A" w14:paraId="3AF38093" w14:textId="77777777" w:rsidTr="003F13B2">
        <w:trPr>
          <w:trHeight w:val="230"/>
        </w:trPr>
        <w:tc>
          <w:tcPr>
            <w:tcW w:w="2235" w:type="dxa"/>
          </w:tcPr>
          <w:p w14:paraId="3D390E08" w14:textId="77777777" w:rsidR="006A4D8A" w:rsidRDefault="006A4D8A" w:rsidP="00CD363C">
            <w:pPr>
              <w:pStyle w:val="TableParagraph"/>
              <w:ind w:left="112" w:right="-66"/>
              <w:jc w:val="both"/>
              <w:rPr>
                <w:b/>
                <w:sz w:val="20"/>
              </w:rPr>
            </w:pPr>
            <w:r>
              <w:rPr>
                <w:b/>
                <w:sz w:val="20"/>
              </w:rPr>
              <w:t>Septembris</w:t>
            </w:r>
          </w:p>
        </w:tc>
        <w:tc>
          <w:tcPr>
            <w:tcW w:w="2552" w:type="dxa"/>
          </w:tcPr>
          <w:p w14:paraId="50DC20DF" w14:textId="77777777" w:rsidR="006A4D8A" w:rsidRDefault="006A4D8A" w:rsidP="00CD363C">
            <w:pPr>
              <w:pStyle w:val="TableParagraph"/>
              <w:ind w:right="-66"/>
              <w:jc w:val="both"/>
              <w:rPr>
                <w:sz w:val="20"/>
              </w:rPr>
            </w:pPr>
            <w:r>
              <w:rPr>
                <w:sz w:val="20"/>
              </w:rPr>
              <w:t>17,00</w:t>
            </w:r>
          </w:p>
        </w:tc>
        <w:tc>
          <w:tcPr>
            <w:tcW w:w="4710" w:type="dxa"/>
          </w:tcPr>
          <w:p w14:paraId="27E5EE4B" w14:textId="77777777" w:rsidR="006A4D8A" w:rsidRDefault="006A4D8A" w:rsidP="00CD363C">
            <w:pPr>
              <w:pStyle w:val="TableParagraph"/>
              <w:ind w:right="-66"/>
              <w:jc w:val="both"/>
              <w:rPr>
                <w:sz w:val="20"/>
              </w:rPr>
            </w:pPr>
            <w:r>
              <w:rPr>
                <w:sz w:val="20"/>
              </w:rPr>
              <w:t>68,00 – 17,00 = 51,00</w:t>
            </w:r>
          </w:p>
        </w:tc>
      </w:tr>
      <w:tr w:rsidR="006A4D8A" w14:paraId="29C1D90A" w14:textId="77777777" w:rsidTr="003F13B2">
        <w:trPr>
          <w:trHeight w:val="230"/>
        </w:trPr>
        <w:tc>
          <w:tcPr>
            <w:tcW w:w="2235" w:type="dxa"/>
          </w:tcPr>
          <w:p w14:paraId="2A984C43" w14:textId="77777777" w:rsidR="006A4D8A" w:rsidRDefault="006A4D8A" w:rsidP="00CD363C">
            <w:pPr>
              <w:pStyle w:val="TableParagraph"/>
              <w:ind w:left="112" w:right="-66"/>
              <w:jc w:val="both"/>
              <w:rPr>
                <w:b/>
                <w:sz w:val="20"/>
              </w:rPr>
            </w:pPr>
            <w:r>
              <w:rPr>
                <w:b/>
                <w:sz w:val="20"/>
              </w:rPr>
              <w:t>Oktobris</w:t>
            </w:r>
          </w:p>
        </w:tc>
        <w:tc>
          <w:tcPr>
            <w:tcW w:w="2552" w:type="dxa"/>
          </w:tcPr>
          <w:p w14:paraId="2FB27D68" w14:textId="77777777" w:rsidR="006A4D8A" w:rsidRDefault="006A4D8A" w:rsidP="00CD363C">
            <w:pPr>
              <w:pStyle w:val="TableParagraph"/>
              <w:ind w:right="-66"/>
              <w:jc w:val="both"/>
              <w:rPr>
                <w:sz w:val="20"/>
              </w:rPr>
            </w:pPr>
            <w:r>
              <w:rPr>
                <w:sz w:val="20"/>
              </w:rPr>
              <w:t>17,00</w:t>
            </w:r>
          </w:p>
        </w:tc>
        <w:tc>
          <w:tcPr>
            <w:tcW w:w="4710" w:type="dxa"/>
          </w:tcPr>
          <w:p w14:paraId="6D81DB2A" w14:textId="77777777" w:rsidR="006A4D8A" w:rsidRDefault="006A4D8A" w:rsidP="00CD363C">
            <w:pPr>
              <w:pStyle w:val="TableParagraph"/>
              <w:ind w:right="-66"/>
              <w:jc w:val="both"/>
              <w:rPr>
                <w:sz w:val="20"/>
              </w:rPr>
            </w:pPr>
            <w:r>
              <w:rPr>
                <w:sz w:val="20"/>
              </w:rPr>
              <w:t>51,00 – 17,00 = 34,00</w:t>
            </w:r>
          </w:p>
        </w:tc>
      </w:tr>
      <w:tr w:rsidR="006A4D8A" w14:paraId="524D2706" w14:textId="77777777" w:rsidTr="003F13B2">
        <w:trPr>
          <w:trHeight w:val="230"/>
        </w:trPr>
        <w:tc>
          <w:tcPr>
            <w:tcW w:w="2235" w:type="dxa"/>
          </w:tcPr>
          <w:p w14:paraId="0CB01500" w14:textId="77777777" w:rsidR="006A4D8A" w:rsidRDefault="006A4D8A" w:rsidP="00CD363C">
            <w:pPr>
              <w:pStyle w:val="TableParagraph"/>
              <w:ind w:left="112" w:right="-66"/>
              <w:jc w:val="both"/>
              <w:rPr>
                <w:b/>
                <w:sz w:val="20"/>
              </w:rPr>
            </w:pPr>
            <w:r>
              <w:rPr>
                <w:b/>
                <w:sz w:val="20"/>
              </w:rPr>
              <w:t>Novembris</w:t>
            </w:r>
          </w:p>
        </w:tc>
        <w:tc>
          <w:tcPr>
            <w:tcW w:w="2552" w:type="dxa"/>
          </w:tcPr>
          <w:p w14:paraId="5A225599" w14:textId="77777777" w:rsidR="006A4D8A" w:rsidRDefault="006A4D8A" w:rsidP="00CD363C">
            <w:pPr>
              <w:pStyle w:val="TableParagraph"/>
              <w:ind w:right="-66"/>
              <w:jc w:val="both"/>
              <w:rPr>
                <w:sz w:val="20"/>
              </w:rPr>
            </w:pPr>
            <w:r>
              <w:rPr>
                <w:sz w:val="20"/>
              </w:rPr>
              <w:t>17,00</w:t>
            </w:r>
          </w:p>
        </w:tc>
        <w:tc>
          <w:tcPr>
            <w:tcW w:w="4710" w:type="dxa"/>
          </w:tcPr>
          <w:p w14:paraId="723ABC0D" w14:textId="77777777" w:rsidR="006A4D8A" w:rsidRDefault="006A4D8A" w:rsidP="00CD363C">
            <w:pPr>
              <w:pStyle w:val="TableParagraph"/>
              <w:ind w:right="-66"/>
              <w:jc w:val="both"/>
              <w:rPr>
                <w:sz w:val="20"/>
              </w:rPr>
            </w:pPr>
            <w:r>
              <w:rPr>
                <w:sz w:val="20"/>
              </w:rPr>
              <w:t>34,00 – 17,00 = 17,00</w:t>
            </w:r>
          </w:p>
        </w:tc>
      </w:tr>
      <w:tr w:rsidR="006A4D8A" w14:paraId="2F6F6A38" w14:textId="77777777" w:rsidTr="003F13B2">
        <w:trPr>
          <w:trHeight w:val="230"/>
        </w:trPr>
        <w:tc>
          <w:tcPr>
            <w:tcW w:w="2235" w:type="dxa"/>
          </w:tcPr>
          <w:p w14:paraId="74DEE506" w14:textId="77777777" w:rsidR="006A4D8A" w:rsidRDefault="006A4D8A" w:rsidP="00CD363C">
            <w:pPr>
              <w:pStyle w:val="TableParagraph"/>
              <w:ind w:left="112" w:right="-66"/>
              <w:jc w:val="both"/>
              <w:rPr>
                <w:b/>
                <w:sz w:val="20"/>
              </w:rPr>
            </w:pPr>
            <w:r>
              <w:rPr>
                <w:b/>
                <w:sz w:val="20"/>
              </w:rPr>
              <w:t>Decembris</w:t>
            </w:r>
          </w:p>
        </w:tc>
        <w:tc>
          <w:tcPr>
            <w:tcW w:w="2552" w:type="dxa"/>
          </w:tcPr>
          <w:p w14:paraId="2604FAD6" w14:textId="77777777" w:rsidR="006A4D8A" w:rsidRDefault="006A4D8A" w:rsidP="00CD363C">
            <w:pPr>
              <w:pStyle w:val="TableParagraph"/>
              <w:ind w:right="-66"/>
              <w:jc w:val="both"/>
              <w:rPr>
                <w:sz w:val="20"/>
              </w:rPr>
            </w:pPr>
            <w:r>
              <w:rPr>
                <w:sz w:val="20"/>
              </w:rPr>
              <w:t>17,00</w:t>
            </w:r>
          </w:p>
        </w:tc>
        <w:tc>
          <w:tcPr>
            <w:tcW w:w="4710" w:type="dxa"/>
          </w:tcPr>
          <w:p w14:paraId="2817ADB3" w14:textId="77777777" w:rsidR="006A4D8A" w:rsidRDefault="006A4D8A" w:rsidP="00CD363C">
            <w:pPr>
              <w:pStyle w:val="TableParagraph"/>
              <w:ind w:right="-66"/>
              <w:jc w:val="both"/>
              <w:rPr>
                <w:sz w:val="20"/>
              </w:rPr>
            </w:pPr>
            <w:r>
              <w:rPr>
                <w:sz w:val="20"/>
              </w:rPr>
              <w:t>17,00 – 17,00 = 0,00</w:t>
            </w:r>
          </w:p>
        </w:tc>
      </w:tr>
    </w:tbl>
    <w:p w14:paraId="604AB70A" w14:textId="77777777" w:rsidR="006A4D8A" w:rsidRDefault="006A4D8A" w:rsidP="00CD363C">
      <w:pPr>
        <w:pStyle w:val="Pamatteksts"/>
        <w:ind w:right="-66"/>
        <w:jc w:val="both"/>
        <w:rPr>
          <w:sz w:val="20"/>
        </w:rPr>
      </w:pPr>
    </w:p>
    <w:p w14:paraId="2D5CEC86" w14:textId="77777777" w:rsidR="006A4D8A" w:rsidRDefault="006A4D8A" w:rsidP="00CD363C">
      <w:pPr>
        <w:pStyle w:val="Pamatteksts"/>
        <w:ind w:right="-66"/>
        <w:jc w:val="both"/>
        <w:rPr>
          <w:sz w:val="23"/>
        </w:rPr>
      </w:pPr>
    </w:p>
    <w:p w14:paraId="60EAAE1D" w14:textId="77777777" w:rsidR="006A4D8A" w:rsidRDefault="006A4D8A" w:rsidP="00CD363C">
      <w:pPr>
        <w:pStyle w:val="Virsraksts4"/>
        <w:tabs>
          <w:tab w:val="left" w:pos="759"/>
        </w:tabs>
        <w:spacing w:before="0"/>
        <w:ind w:left="0" w:right="-66"/>
        <w:jc w:val="both"/>
      </w:pPr>
      <w:bookmarkStart w:id="62" w:name="9.2._Piemērs_–_Avansa_maksājuma_vērtības"/>
      <w:bookmarkStart w:id="63" w:name="_bookmark195"/>
      <w:bookmarkEnd w:id="62"/>
      <w:bookmarkEnd w:id="63"/>
      <w:r>
        <w:rPr>
          <w:color w:val="002069"/>
        </w:rPr>
        <w:t>Piemērs – Avansa maksājuma vērtības samazinājums pilnā</w:t>
      </w:r>
      <w:r>
        <w:rPr>
          <w:color w:val="002069"/>
          <w:spacing w:val="-2"/>
        </w:rPr>
        <w:t xml:space="preserve"> </w:t>
      </w:r>
      <w:r>
        <w:rPr>
          <w:color w:val="002069"/>
        </w:rPr>
        <w:t>apmērā</w:t>
      </w:r>
    </w:p>
    <w:p w14:paraId="26267BC8" w14:textId="77777777" w:rsidR="006A4D8A" w:rsidRDefault="006A4D8A" w:rsidP="00CD363C">
      <w:pPr>
        <w:pStyle w:val="Pamatteksts"/>
        <w:ind w:right="-66"/>
        <w:jc w:val="both"/>
      </w:pPr>
      <w:r>
        <w:t>2019.</w:t>
      </w:r>
      <w:r>
        <w:rPr>
          <w:spacing w:val="-1"/>
        </w:rPr>
        <w:t xml:space="preserve"> </w:t>
      </w:r>
      <w:r>
        <w:t>gada</w:t>
      </w:r>
      <w:r>
        <w:rPr>
          <w:spacing w:val="-3"/>
        </w:rPr>
        <w:t xml:space="preserve"> </w:t>
      </w:r>
      <w:r>
        <w:t>15.</w:t>
      </w:r>
      <w:r>
        <w:rPr>
          <w:spacing w:val="-3"/>
        </w:rPr>
        <w:t xml:space="preserve"> </w:t>
      </w:r>
      <w:r>
        <w:t>janvārī</w:t>
      </w:r>
      <w:r>
        <w:rPr>
          <w:spacing w:val="-2"/>
        </w:rPr>
        <w:t xml:space="preserve"> </w:t>
      </w:r>
      <w:r>
        <w:t>budžeta</w:t>
      </w:r>
      <w:r>
        <w:rPr>
          <w:spacing w:val="-3"/>
        </w:rPr>
        <w:t xml:space="preserve"> </w:t>
      </w:r>
      <w:r>
        <w:t>iestāde,</w:t>
      </w:r>
      <w:r>
        <w:rPr>
          <w:spacing w:val="-4"/>
        </w:rPr>
        <w:t xml:space="preserve"> </w:t>
      </w:r>
      <w:r>
        <w:t>kas</w:t>
      </w:r>
      <w:r>
        <w:rPr>
          <w:spacing w:val="-2"/>
        </w:rPr>
        <w:t xml:space="preserve"> </w:t>
      </w:r>
      <w:r>
        <w:t>nav</w:t>
      </w:r>
      <w:r>
        <w:rPr>
          <w:spacing w:val="-6"/>
        </w:rPr>
        <w:t xml:space="preserve"> </w:t>
      </w:r>
      <w:r>
        <w:t>PVN</w:t>
      </w:r>
      <w:r>
        <w:rPr>
          <w:spacing w:val="-5"/>
        </w:rPr>
        <w:t xml:space="preserve"> </w:t>
      </w:r>
      <w:r>
        <w:t>maksātāja,</w:t>
      </w:r>
      <w:r>
        <w:rPr>
          <w:spacing w:val="-2"/>
        </w:rPr>
        <w:t xml:space="preserve"> </w:t>
      </w:r>
      <w:r>
        <w:t>ir</w:t>
      </w:r>
      <w:r>
        <w:rPr>
          <w:spacing w:val="-2"/>
        </w:rPr>
        <w:t xml:space="preserve"> </w:t>
      </w:r>
      <w:r>
        <w:t>veikusi</w:t>
      </w:r>
      <w:r>
        <w:rPr>
          <w:spacing w:val="-2"/>
        </w:rPr>
        <w:t xml:space="preserve"> </w:t>
      </w:r>
      <w:r>
        <w:t>avansa</w:t>
      </w:r>
      <w:r>
        <w:rPr>
          <w:spacing w:val="-3"/>
        </w:rPr>
        <w:t xml:space="preserve"> </w:t>
      </w:r>
      <w:r>
        <w:t>maksājumu</w:t>
      </w:r>
      <w:r>
        <w:rPr>
          <w:spacing w:val="-3"/>
        </w:rPr>
        <w:t xml:space="preserve"> </w:t>
      </w:r>
      <w:r>
        <w:t>par</w:t>
      </w:r>
      <w:r>
        <w:rPr>
          <w:spacing w:val="-3"/>
        </w:rPr>
        <w:t xml:space="preserve"> </w:t>
      </w:r>
      <w:r>
        <w:t>drukāšanas iekārtu iegādi savu funkciju nodrošināšanai 5 000,00 EUR apmērā. Avansa maksājuma veikšanas dienā budžeta iestāde veic sekojošu</w:t>
      </w:r>
      <w:r>
        <w:rPr>
          <w:spacing w:val="-2"/>
        </w:rPr>
        <w:t xml:space="preserve"> </w:t>
      </w:r>
      <w:r>
        <w:t>grāmatojumu:</w:t>
      </w:r>
    </w:p>
    <w:p w14:paraId="2D677B0E" w14:textId="77777777" w:rsidR="006A4D8A" w:rsidRDefault="006A4D8A" w:rsidP="00CD363C">
      <w:pPr>
        <w:pStyle w:val="Pamatteksts"/>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042"/>
        <w:gridCol w:w="1710"/>
      </w:tblGrid>
      <w:tr w:rsidR="006A4D8A" w14:paraId="4888EB63" w14:textId="77777777" w:rsidTr="003F13B2">
        <w:trPr>
          <w:trHeight w:val="289"/>
        </w:trPr>
        <w:tc>
          <w:tcPr>
            <w:tcW w:w="626" w:type="dxa"/>
          </w:tcPr>
          <w:p w14:paraId="75E881ED" w14:textId="77777777" w:rsidR="006A4D8A" w:rsidRDefault="006A4D8A" w:rsidP="00CD363C">
            <w:pPr>
              <w:pStyle w:val="TableParagraph"/>
              <w:ind w:right="-66"/>
              <w:jc w:val="both"/>
              <w:rPr>
                <w:i/>
              </w:rPr>
            </w:pPr>
            <w:r>
              <w:rPr>
                <w:i/>
              </w:rPr>
              <w:t>D</w:t>
            </w:r>
          </w:p>
        </w:tc>
        <w:tc>
          <w:tcPr>
            <w:tcW w:w="979" w:type="dxa"/>
          </w:tcPr>
          <w:p w14:paraId="73CD69FD" w14:textId="77777777" w:rsidR="006A4D8A" w:rsidRDefault="006A4D8A" w:rsidP="00CD363C">
            <w:pPr>
              <w:pStyle w:val="TableParagraph"/>
              <w:ind w:right="-66"/>
              <w:jc w:val="both"/>
              <w:rPr>
                <w:i/>
              </w:rPr>
            </w:pPr>
            <w:r>
              <w:rPr>
                <w:i/>
              </w:rPr>
              <w:t>1280</w:t>
            </w:r>
          </w:p>
        </w:tc>
        <w:tc>
          <w:tcPr>
            <w:tcW w:w="4042" w:type="dxa"/>
          </w:tcPr>
          <w:p w14:paraId="2A6809B8" w14:textId="77777777" w:rsidR="006A4D8A" w:rsidRDefault="006A4D8A" w:rsidP="00CD363C">
            <w:pPr>
              <w:pStyle w:val="TableParagraph"/>
              <w:ind w:right="-66"/>
              <w:jc w:val="both"/>
              <w:rPr>
                <w:i/>
              </w:rPr>
            </w:pPr>
            <w:r>
              <w:rPr>
                <w:i/>
              </w:rPr>
              <w:t>Avansa maksājumi par pamatlīdzekļiem</w:t>
            </w:r>
          </w:p>
        </w:tc>
        <w:tc>
          <w:tcPr>
            <w:tcW w:w="1710" w:type="dxa"/>
          </w:tcPr>
          <w:p w14:paraId="7449A697" w14:textId="77777777" w:rsidR="006A4D8A" w:rsidRDefault="006A4D8A" w:rsidP="00CD363C">
            <w:pPr>
              <w:pStyle w:val="TableParagraph"/>
              <w:ind w:right="-66"/>
              <w:jc w:val="both"/>
              <w:rPr>
                <w:i/>
              </w:rPr>
            </w:pPr>
            <w:r>
              <w:rPr>
                <w:i/>
              </w:rPr>
              <w:t>5 000,00 EUR</w:t>
            </w:r>
          </w:p>
        </w:tc>
      </w:tr>
      <w:tr w:rsidR="006A4D8A" w14:paraId="10940A16" w14:textId="77777777" w:rsidTr="003F13B2">
        <w:trPr>
          <w:trHeight w:val="289"/>
        </w:trPr>
        <w:tc>
          <w:tcPr>
            <w:tcW w:w="626" w:type="dxa"/>
          </w:tcPr>
          <w:p w14:paraId="47BB0A9C" w14:textId="77777777" w:rsidR="006A4D8A" w:rsidRDefault="006A4D8A" w:rsidP="00CD363C">
            <w:pPr>
              <w:pStyle w:val="TableParagraph"/>
              <w:ind w:right="-66"/>
              <w:jc w:val="both"/>
              <w:rPr>
                <w:i/>
              </w:rPr>
            </w:pPr>
            <w:r>
              <w:rPr>
                <w:i/>
              </w:rPr>
              <w:t>K</w:t>
            </w:r>
          </w:p>
        </w:tc>
        <w:tc>
          <w:tcPr>
            <w:tcW w:w="979" w:type="dxa"/>
          </w:tcPr>
          <w:p w14:paraId="6D92CDBF" w14:textId="77777777" w:rsidR="006A4D8A" w:rsidRDefault="006A4D8A" w:rsidP="00CD363C">
            <w:pPr>
              <w:pStyle w:val="TableParagraph"/>
              <w:ind w:right="-66"/>
              <w:jc w:val="both"/>
              <w:rPr>
                <w:i/>
              </w:rPr>
            </w:pPr>
            <w:r>
              <w:rPr>
                <w:i/>
              </w:rPr>
              <w:t>2600</w:t>
            </w:r>
          </w:p>
        </w:tc>
        <w:tc>
          <w:tcPr>
            <w:tcW w:w="4042" w:type="dxa"/>
          </w:tcPr>
          <w:p w14:paraId="33EC18BD" w14:textId="77777777" w:rsidR="006A4D8A" w:rsidRDefault="006A4D8A" w:rsidP="00CD363C">
            <w:pPr>
              <w:pStyle w:val="TableParagraph"/>
              <w:ind w:right="-66"/>
              <w:jc w:val="both"/>
              <w:rPr>
                <w:i/>
              </w:rPr>
            </w:pPr>
            <w:r>
              <w:rPr>
                <w:i/>
              </w:rPr>
              <w:t>Naudas līdzekļi</w:t>
            </w:r>
          </w:p>
        </w:tc>
        <w:tc>
          <w:tcPr>
            <w:tcW w:w="1710" w:type="dxa"/>
          </w:tcPr>
          <w:p w14:paraId="037DEA59" w14:textId="77777777" w:rsidR="006A4D8A" w:rsidRDefault="006A4D8A" w:rsidP="00CD363C">
            <w:pPr>
              <w:pStyle w:val="TableParagraph"/>
              <w:ind w:right="-66"/>
              <w:jc w:val="both"/>
              <w:rPr>
                <w:i/>
              </w:rPr>
            </w:pPr>
            <w:r>
              <w:rPr>
                <w:i/>
              </w:rPr>
              <w:t>5 000,00 EUR</w:t>
            </w:r>
          </w:p>
        </w:tc>
      </w:tr>
    </w:tbl>
    <w:p w14:paraId="1A53B8D9" w14:textId="77777777" w:rsidR="006A4D8A" w:rsidRDefault="006A4D8A" w:rsidP="00CD363C">
      <w:pPr>
        <w:pStyle w:val="Pamatteksts"/>
        <w:ind w:right="-66"/>
        <w:jc w:val="both"/>
      </w:pPr>
      <w:r>
        <w:t>Līgums</w:t>
      </w:r>
      <w:r>
        <w:rPr>
          <w:spacing w:val="-8"/>
        </w:rPr>
        <w:t xml:space="preserve"> </w:t>
      </w:r>
      <w:r>
        <w:t>paredz</w:t>
      </w:r>
      <w:r>
        <w:rPr>
          <w:spacing w:val="-10"/>
        </w:rPr>
        <w:t xml:space="preserve"> </w:t>
      </w:r>
      <w:r>
        <w:t>iekārtas</w:t>
      </w:r>
      <w:r>
        <w:rPr>
          <w:spacing w:val="-7"/>
        </w:rPr>
        <w:t xml:space="preserve"> </w:t>
      </w:r>
      <w:r>
        <w:t>piegādes</w:t>
      </w:r>
      <w:r>
        <w:rPr>
          <w:spacing w:val="-8"/>
        </w:rPr>
        <w:t xml:space="preserve"> </w:t>
      </w:r>
      <w:r>
        <w:t>termiņu</w:t>
      </w:r>
      <w:r>
        <w:rPr>
          <w:spacing w:val="-8"/>
        </w:rPr>
        <w:t xml:space="preserve"> </w:t>
      </w:r>
      <w:r>
        <w:t>līdz</w:t>
      </w:r>
      <w:r>
        <w:rPr>
          <w:spacing w:val="-11"/>
        </w:rPr>
        <w:t xml:space="preserve"> </w:t>
      </w:r>
      <w:r>
        <w:t>2019. gada</w:t>
      </w:r>
      <w:r>
        <w:rPr>
          <w:spacing w:val="-8"/>
        </w:rPr>
        <w:t xml:space="preserve"> </w:t>
      </w:r>
      <w:r>
        <w:t>15. februārim.</w:t>
      </w:r>
      <w:r>
        <w:rPr>
          <w:spacing w:val="-8"/>
        </w:rPr>
        <w:t xml:space="preserve"> </w:t>
      </w:r>
      <w:r>
        <w:t>Līdz</w:t>
      </w:r>
      <w:r>
        <w:rPr>
          <w:spacing w:val="-9"/>
        </w:rPr>
        <w:t xml:space="preserve"> </w:t>
      </w:r>
      <w:r>
        <w:t>31.12.2019.</w:t>
      </w:r>
      <w:r>
        <w:rPr>
          <w:spacing w:val="-9"/>
        </w:rPr>
        <w:t xml:space="preserve"> </w:t>
      </w:r>
      <w:r>
        <w:t>budžeta</w:t>
      </w:r>
      <w:r>
        <w:rPr>
          <w:spacing w:val="-9"/>
        </w:rPr>
        <w:t xml:space="preserve"> </w:t>
      </w:r>
      <w:r>
        <w:t>iestāde</w:t>
      </w:r>
      <w:r>
        <w:rPr>
          <w:spacing w:val="-10"/>
        </w:rPr>
        <w:t xml:space="preserve"> </w:t>
      </w:r>
      <w:r>
        <w:t>nav iekārtas</w:t>
      </w:r>
      <w:r>
        <w:rPr>
          <w:spacing w:val="-10"/>
        </w:rPr>
        <w:t xml:space="preserve"> </w:t>
      </w:r>
      <w:r>
        <w:t>nav</w:t>
      </w:r>
      <w:r>
        <w:rPr>
          <w:spacing w:val="-12"/>
        </w:rPr>
        <w:t xml:space="preserve"> </w:t>
      </w:r>
      <w:r>
        <w:t>saņēmusi.</w:t>
      </w:r>
      <w:r>
        <w:rPr>
          <w:spacing w:val="-10"/>
        </w:rPr>
        <w:t xml:space="preserve"> </w:t>
      </w:r>
      <w:r>
        <w:t>Līgumā</w:t>
      </w:r>
      <w:r>
        <w:rPr>
          <w:spacing w:val="-10"/>
        </w:rPr>
        <w:t xml:space="preserve"> </w:t>
      </w:r>
      <w:r>
        <w:t>nav</w:t>
      </w:r>
      <w:r>
        <w:rPr>
          <w:spacing w:val="-9"/>
        </w:rPr>
        <w:t xml:space="preserve"> </w:t>
      </w:r>
      <w:r>
        <w:t>veikti</w:t>
      </w:r>
      <w:r>
        <w:rPr>
          <w:spacing w:val="-11"/>
        </w:rPr>
        <w:t xml:space="preserve"> </w:t>
      </w:r>
      <w:r>
        <w:t>jebkādi</w:t>
      </w:r>
      <w:r>
        <w:rPr>
          <w:spacing w:val="-10"/>
        </w:rPr>
        <w:t xml:space="preserve"> </w:t>
      </w:r>
      <w:r>
        <w:t>grozījumi.</w:t>
      </w:r>
      <w:r>
        <w:rPr>
          <w:spacing w:val="-10"/>
        </w:rPr>
        <w:t xml:space="preserve"> </w:t>
      </w:r>
      <w:r>
        <w:t>Papildus</w:t>
      </w:r>
      <w:r>
        <w:rPr>
          <w:spacing w:val="-9"/>
        </w:rPr>
        <w:t xml:space="preserve"> </w:t>
      </w:r>
      <w:r>
        <w:t>budžeta</w:t>
      </w:r>
      <w:r>
        <w:rPr>
          <w:spacing w:val="-11"/>
        </w:rPr>
        <w:t xml:space="preserve"> </w:t>
      </w:r>
      <w:r>
        <w:t>iestāde</w:t>
      </w:r>
      <w:r>
        <w:rPr>
          <w:spacing w:val="-10"/>
        </w:rPr>
        <w:t xml:space="preserve"> </w:t>
      </w:r>
      <w:r>
        <w:t>ir</w:t>
      </w:r>
      <w:r>
        <w:rPr>
          <w:spacing w:val="-9"/>
        </w:rPr>
        <w:t xml:space="preserve"> </w:t>
      </w:r>
      <w:r>
        <w:t>noskaidrojusi,</w:t>
      </w:r>
      <w:r>
        <w:rPr>
          <w:spacing w:val="-10"/>
        </w:rPr>
        <w:t xml:space="preserve"> </w:t>
      </w:r>
      <w:r>
        <w:t>ka</w:t>
      </w:r>
      <w:r>
        <w:rPr>
          <w:spacing w:val="-10"/>
        </w:rPr>
        <w:t xml:space="preserve"> </w:t>
      </w:r>
      <w:r>
        <w:t>pret darījuma partneri ir ierosināta maksātnespējas</w:t>
      </w:r>
      <w:r>
        <w:rPr>
          <w:spacing w:val="-7"/>
        </w:rPr>
        <w:t xml:space="preserve"> </w:t>
      </w:r>
      <w:r>
        <w:t>lieta.</w:t>
      </w:r>
    </w:p>
    <w:p w14:paraId="18E721EB" w14:textId="77777777" w:rsidR="006A4D8A" w:rsidRDefault="006A4D8A" w:rsidP="00CD363C">
      <w:pPr>
        <w:pStyle w:val="Pamatteksts"/>
        <w:ind w:right="-66"/>
        <w:jc w:val="both"/>
      </w:pPr>
      <w:r>
        <w:t>Ņemot vērā gūto informāciju par darījuma partneri (ierosināta maksātnespējas lieta), 31.12.2019. budžeta iestāde,</w:t>
      </w:r>
      <w:r>
        <w:rPr>
          <w:spacing w:val="-15"/>
        </w:rPr>
        <w:t xml:space="preserve"> </w:t>
      </w:r>
      <w:r>
        <w:t>saskaņā</w:t>
      </w:r>
      <w:r>
        <w:rPr>
          <w:spacing w:val="-14"/>
        </w:rPr>
        <w:t xml:space="preserve"> </w:t>
      </w:r>
      <w:r>
        <w:t>ar</w:t>
      </w:r>
      <w:r>
        <w:rPr>
          <w:spacing w:val="-14"/>
        </w:rPr>
        <w:t xml:space="preserve"> </w:t>
      </w:r>
      <w:r>
        <w:t>budžeta</w:t>
      </w:r>
      <w:r>
        <w:rPr>
          <w:spacing w:val="-16"/>
        </w:rPr>
        <w:t xml:space="preserve"> </w:t>
      </w:r>
      <w:r>
        <w:t>iestādes</w:t>
      </w:r>
      <w:r>
        <w:rPr>
          <w:spacing w:val="-16"/>
        </w:rPr>
        <w:t xml:space="preserve"> </w:t>
      </w:r>
      <w:r>
        <w:t>iekšējo</w:t>
      </w:r>
      <w:r>
        <w:rPr>
          <w:spacing w:val="-15"/>
        </w:rPr>
        <w:t xml:space="preserve"> </w:t>
      </w:r>
      <w:r>
        <w:t>grāmatvedības</w:t>
      </w:r>
      <w:r>
        <w:rPr>
          <w:spacing w:val="-14"/>
        </w:rPr>
        <w:t xml:space="preserve"> </w:t>
      </w:r>
      <w:r>
        <w:t>uzskaites</w:t>
      </w:r>
      <w:r>
        <w:rPr>
          <w:spacing w:val="-14"/>
        </w:rPr>
        <w:t xml:space="preserve"> </w:t>
      </w:r>
      <w:r>
        <w:t>kārtību,</w:t>
      </w:r>
      <w:r>
        <w:rPr>
          <w:spacing w:val="-9"/>
        </w:rPr>
        <w:t xml:space="preserve"> </w:t>
      </w:r>
      <w:r>
        <w:t>atzīst</w:t>
      </w:r>
      <w:r>
        <w:rPr>
          <w:spacing w:val="-14"/>
        </w:rPr>
        <w:t xml:space="preserve"> </w:t>
      </w:r>
      <w:r>
        <w:t>avansa</w:t>
      </w:r>
      <w:r>
        <w:rPr>
          <w:spacing w:val="-14"/>
        </w:rPr>
        <w:t xml:space="preserve"> </w:t>
      </w:r>
      <w:r>
        <w:t>maksājuma</w:t>
      </w:r>
      <w:r>
        <w:rPr>
          <w:spacing w:val="-14"/>
        </w:rPr>
        <w:t xml:space="preserve"> </w:t>
      </w:r>
      <w:r>
        <w:t>vērtības samazinājumu 100% apmērā no veiktā avansa maksājuma, veicot sekojošu</w:t>
      </w:r>
      <w:r>
        <w:rPr>
          <w:spacing w:val="-5"/>
        </w:rPr>
        <w:t xml:space="preserve"> </w:t>
      </w:r>
      <w:r>
        <w:t>grāmatojumu:</w:t>
      </w:r>
    </w:p>
    <w:p w14:paraId="760CF9FA" w14:textId="77777777" w:rsidR="006A4D8A" w:rsidRDefault="006A4D8A" w:rsidP="00CD363C">
      <w:pPr>
        <w:pStyle w:val="Pamatteksts"/>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163"/>
        <w:gridCol w:w="1592"/>
      </w:tblGrid>
      <w:tr w:rsidR="006A4D8A" w14:paraId="2F019E26" w14:textId="77777777" w:rsidTr="003F13B2">
        <w:trPr>
          <w:trHeight w:val="287"/>
        </w:trPr>
        <w:tc>
          <w:tcPr>
            <w:tcW w:w="626" w:type="dxa"/>
          </w:tcPr>
          <w:p w14:paraId="6ADEE234" w14:textId="77777777" w:rsidR="006A4D8A" w:rsidRDefault="006A4D8A" w:rsidP="00CD363C">
            <w:pPr>
              <w:pStyle w:val="TableParagraph"/>
              <w:ind w:right="-66"/>
              <w:jc w:val="both"/>
              <w:rPr>
                <w:i/>
              </w:rPr>
            </w:pPr>
            <w:r>
              <w:rPr>
                <w:i/>
              </w:rPr>
              <w:t>D</w:t>
            </w:r>
          </w:p>
        </w:tc>
        <w:tc>
          <w:tcPr>
            <w:tcW w:w="979" w:type="dxa"/>
          </w:tcPr>
          <w:p w14:paraId="0398E4CC" w14:textId="77777777" w:rsidR="006A4D8A" w:rsidRDefault="006A4D8A" w:rsidP="00CD363C">
            <w:pPr>
              <w:pStyle w:val="TableParagraph"/>
              <w:ind w:right="-66"/>
              <w:jc w:val="both"/>
              <w:rPr>
                <w:i/>
              </w:rPr>
            </w:pPr>
            <w:r>
              <w:rPr>
                <w:i/>
              </w:rPr>
              <w:t>8650</w:t>
            </w:r>
          </w:p>
        </w:tc>
        <w:tc>
          <w:tcPr>
            <w:tcW w:w="4163" w:type="dxa"/>
          </w:tcPr>
          <w:p w14:paraId="1B8E1BFC" w14:textId="77777777" w:rsidR="006A4D8A" w:rsidRDefault="006A4D8A" w:rsidP="00CD363C">
            <w:pPr>
              <w:pStyle w:val="TableParagraph"/>
              <w:ind w:left="270" w:right="-66"/>
              <w:jc w:val="both"/>
              <w:rPr>
                <w:i/>
              </w:rPr>
            </w:pPr>
            <w:r>
              <w:rPr>
                <w:i/>
              </w:rPr>
              <w:t>Izdevumi no aktīvu vērtības samazinājuma</w:t>
            </w:r>
          </w:p>
        </w:tc>
        <w:tc>
          <w:tcPr>
            <w:tcW w:w="1592" w:type="dxa"/>
          </w:tcPr>
          <w:p w14:paraId="35D45D07" w14:textId="77777777" w:rsidR="006A4D8A" w:rsidRDefault="006A4D8A" w:rsidP="00CD363C">
            <w:pPr>
              <w:pStyle w:val="TableParagraph"/>
              <w:ind w:left="115" w:right="-66"/>
              <w:jc w:val="both"/>
              <w:rPr>
                <w:i/>
              </w:rPr>
            </w:pPr>
            <w:r>
              <w:rPr>
                <w:i/>
              </w:rPr>
              <w:t>5 000,00 EUR</w:t>
            </w:r>
          </w:p>
        </w:tc>
      </w:tr>
      <w:tr w:rsidR="006A4D8A" w14:paraId="17B99825" w14:textId="77777777" w:rsidTr="003F13B2">
        <w:trPr>
          <w:trHeight w:val="539"/>
        </w:trPr>
        <w:tc>
          <w:tcPr>
            <w:tcW w:w="626" w:type="dxa"/>
          </w:tcPr>
          <w:p w14:paraId="6C1CF204" w14:textId="77777777" w:rsidR="006A4D8A" w:rsidRDefault="006A4D8A" w:rsidP="00CD363C">
            <w:pPr>
              <w:pStyle w:val="TableParagraph"/>
              <w:ind w:right="-66"/>
              <w:jc w:val="both"/>
              <w:rPr>
                <w:i/>
              </w:rPr>
            </w:pPr>
            <w:r>
              <w:rPr>
                <w:i/>
              </w:rPr>
              <w:t>K</w:t>
            </w:r>
          </w:p>
        </w:tc>
        <w:tc>
          <w:tcPr>
            <w:tcW w:w="979" w:type="dxa"/>
          </w:tcPr>
          <w:p w14:paraId="2D7D77F8" w14:textId="77777777" w:rsidR="006A4D8A" w:rsidRDefault="006A4D8A" w:rsidP="00CD363C">
            <w:pPr>
              <w:pStyle w:val="TableParagraph"/>
              <w:ind w:right="-66"/>
              <w:jc w:val="both"/>
              <w:rPr>
                <w:i/>
              </w:rPr>
            </w:pPr>
            <w:r>
              <w:rPr>
                <w:i/>
              </w:rPr>
              <w:t>1287</w:t>
            </w:r>
          </w:p>
        </w:tc>
        <w:tc>
          <w:tcPr>
            <w:tcW w:w="4163" w:type="dxa"/>
          </w:tcPr>
          <w:p w14:paraId="417029F4" w14:textId="77777777" w:rsidR="006A4D8A" w:rsidRDefault="006A4D8A" w:rsidP="00CD363C">
            <w:pPr>
              <w:pStyle w:val="TableParagraph"/>
              <w:tabs>
                <w:tab w:val="left" w:pos="1585"/>
                <w:tab w:val="left" w:pos="3399"/>
              </w:tabs>
              <w:ind w:left="270" w:right="-66"/>
              <w:jc w:val="both"/>
              <w:rPr>
                <w:i/>
              </w:rPr>
            </w:pPr>
            <w:r>
              <w:rPr>
                <w:i/>
              </w:rPr>
              <w:t>Vērtības</w:t>
            </w:r>
            <w:r>
              <w:rPr>
                <w:i/>
              </w:rPr>
              <w:tab/>
              <w:t>samazinājums</w:t>
            </w:r>
            <w:r>
              <w:rPr>
                <w:i/>
              </w:rPr>
              <w:tab/>
              <w:t>avansa maksājumiem par</w:t>
            </w:r>
            <w:r>
              <w:rPr>
                <w:i/>
                <w:spacing w:val="-2"/>
              </w:rPr>
              <w:t xml:space="preserve"> </w:t>
            </w:r>
            <w:r>
              <w:rPr>
                <w:i/>
              </w:rPr>
              <w:t>pamatlīdzekļiem</w:t>
            </w:r>
          </w:p>
        </w:tc>
        <w:tc>
          <w:tcPr>
            <w:tcW w:w="1592" w:type="dxa"/>
          </w:tcPr>
          <w:p w14:paraId="07064CB6" w14:textId="77777777" w:rsidR="006A4D8A" w:rsidRDefault="006A4D8A" w:rsidP="00CD363C">
            <w:pPr>
              <w:pStyle w:val="TableParagraph"/>
              <w:ind w:left="115" w:right="-66"/>
              <w:jc w:val="both"/>
              <w:rPr>
                <w:i/>
              </w:rPr>
            </w:pPr>
            <w:r>
              <w:rPr>
                <w:i/>
              </w:rPr>
              <w:t>5 000,00 EUR</w:t>
            </w:r>
          </w:p>
        </w:tc>
      </w:tr>
    </w:tbl>
    <w:p w14:paraId="460E757E" w14:textId="77777777" w:rsidR="006A4D8A" w:rsidRDefault="006A4D8A" w:rsidP="00CD363C">
      <w:pPr>
        <w:pStyle w:val="Virsraksts4"/>
        <w:tabs>
          <w:tab w:val="left" w:pos="759"/>
        </w:tabs>
        <w:spacing w:before="0"/>
        <w:ind w:left="0" w:right="-66"/>
        <w:jc w:val="both"/>
      </w:pPr>
      <w:bookmarkStart w:id="64" w:name="9.3._Piemērs_–_Avansa_maksājuma_vērtības"/>
      <w:bookmarkStart w:id="65" w:name="_bookmark196"/>
      <w:bookmarkEnd w:id="64"/>
      <w:bookmarkEnd w:id="65"/>
      <w:r>
        <w:rPr>
          <w:color w:val="002069"/>
        </w:rPr>
        <w:t>Piemērs – Avansa maksājuma vērtības samazinājums daļējā</w:t>
      </w:r>
      <w:r>
        <w:rPr>
          <w:color w:val="002069"/>
          <w:spacing w:val="-6"/>
        </w:rPr>
        <w:t xml:space="preserve"> </w:t>
      </w:r>
      <w:r>
        <w:rPr>
          <w:color w:val="002069"/>
        </w:rPr>
        <w:t>apmērā</w:t>
      </w:r>
    </w:p>
    <w:p w14:paraId="33BE4980" w14:textId="77777777" w:rsidR="006A4D8A" w:rsidRDefault="006A4D8A" w:rsidP="00CD363C">
      <w:pPr>
        <w:pStyle w:val="Pamatteksts"/>
        <w:ind w:left="338" w:right="-66"/>
        <w:jc w:val="both"/>
      </w:pPr>
      <w:r>
        <w:t>2019. gada 17. jūnijā budžeta iestāde, kas nav PVN maksātāja, ir veikusi avansa maksājumu 7 000,00 EUR apmērā</w:t>
      </w:r>
      <w:r>
        <w:rPr>
          <w:spacing w:val="-4"/>
        </w:rPr>
        <w:t xml:space="preserve"> </w:t>
      </w:r>
      <w:r>
        <w:t>par</w:t>
      </w:r>
      <w:r>
        <w:rPr>
          <w:spacing w:val="-6"/>
        </w:rPr>
        <w:t xml:space="preserve"> </w:t>
      </w:r>
      <w:r>
        <w:t>piekabes</w:t>
      </w:r>
      <w:r>
        <w:rPr>
          <w:spacing w:val="-4"/>
        </w:rPr>
        <w:t xml:space="preserve"> </w:t>
      </w:r>
      <w:r>
        <w:t>iegādi.</w:t>
      </w:r>
      <w:r>
        <w:rPr>
          <w:spacing w:val="-6"/>
        </w:rPr>
        <w:t xml:space="preserve"> </w:t>
      </w:r>
      <w:r>
        <w:t>Avansa</w:t>
      </w:r>
      <w:r>
        <w:rPr>
          <w:spacing w:val="-4"/>
        </w:rPr>
        <w:t xml:space="preserve"> </w:t>
      </w:r>
      <w:r>
        <w:t>maksājuma</w:t>
      </w:r>
      <w:r>
        <w:rPr>
          <w:spacing w:val="-4"/>
        </w:rPr>
        <w:t xml:space="preserve"> </w:t>
      </w:r>
      <w:r>
        <w:t>veikšanas</w:t>
      </w:r>
      <w:r>
        <w:rPr>
          <w:spacing w:val="-4"/>
        </w:rPr>
        <w:t xml:space="preserve"> </w:t>
      </w:r>
      <w:r>
        <w:t>dienā</w:t>
      </w:r>
      <w:r>
        <w:rPr>
          <w:spacing w:val="-7"/>
        </w:rPr>
        <w:t xml:space="preserve"> </w:t>
      </w:r>
      <w:r>
        <w:t>budžeta</w:t>
      </w:r>
      <w:r>
        <w:rPr>
          <w:spacing w:val="-7"/>
        </w:rPr>
        <w:t xml:space="preserve"> </w:t>
      </w:r>
      <w:r>
        <w:t>iestāde</w:t>
      </w:r>
      <w:r>
        <w:rPr>
          <w:spacing w:val="-1"/>
        </w:rPr>
        <w:t xml:space="preserve"> </w:t>
      </w:r>
      <w:r>
        <w:t>veic</w:t>
      </w:r>
      <w:r>
        <w:rPr>
          <w:spacing w:val="-7"/>
        </w:rPr>
        <w:t xml:space="preserve"> </w:t>
      </w:r>
      <w:r>
        <w:t>sekojošu</w:t>
      </w:r>
      <w:r>
        <w:rPr>
          <w:spacing w:val="-3"/>
        </w:rPr>
        <w:t xml:space="preserve"> </w:t>
      </w:r>
      <w:r>
        <w:t>grāmatojumu:</w:t>
      </w:r>
    </w:p>
    <w:p w14:paraId="26168E77" w14:textId="77777777" w:rsidR="006A4D8A" w:rsidRDefault="006A4D8A" w:rsidP="00CD363C">
      <w:pPr>
        <w:pStyle w:val="Pamatteksts"/>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042"/>
        <w:gridCol w:w="1710"/>
      </w:tblGrid>
      <w:tr w:rsidR="006A4D8A" w14:paraId="1628A9B0" w14:textId="77777777" w:rsidTr="003F13B2">
        <w:trPr>
          <w:trHeight w:val="289"/>
        </w:trPr>
        <w:tc>
          <w:tcPr>
            <w:tcW w:w="626" w:type="dxa"/>
          </w:tcPr>
          <w:p w14:paraId="4A643256" w14:textId="77777777" w:rsidR="006A4D8A" w:rsidRDefault="006A4D8A" w:rsidP="00CD363C">
            <w:pPr>
              <w:pStyle w:val="TableParagraph"/>
              <w:ind w:right="-66"/>
              <w:jc w:val="both"/>
              <w:rPr>
                <w:i/>
              </w:rPr>
            </w:pPr>
            <w:r>
              <w:rPr>
                <w:i/>
              </w:rPr>
              <w:t>D</w:t>
            </w:r>
          </w:p>
        </w:tc>
        <w:tc>
          <w:tcPr>
            <w:tcW w:w="979" w:type="dxa"/>
          </w:tcPr>
          <w:p w14:paraId="00EBF58C" w14:textId="77777777" w:rsidR="006A4D8A" w:rsidRDefault="006A4D8A" w:rsidP="00CD363C">
            <w:pPr>
              <w:pStyle w:val="TableParagraph"/>
              <w:ind w:right="-66"/>
              <w:jc w:val="both"/>
              <w:rPr>
                <w:i/>
              </w:rPr>
            </w:pPr>
            <w:r>
              <w:rPr>
                <w:i/>
              </w:rPr>
              <w:t>1280</w:t>
            </w:r>
          </w:p>
        </w:tc>
        <w:tc>
          <w:tcPr>
            <w:tcW w:w="4042" w:type="dxa"/>
          </w:tcPr>
          <w:p w14:paraId="7737A956" w14:textId="77777777" w:rsidR="006A4D8A" w:rsidRDefault="006A4D8A" w:rsidP="00CD363C">
            <w:pPr>
              <w:pStyle w:val="TableParagraph"/>
              <w:ind w:left="270" w:right="-66"/>
              <w:jc w:val="both"/>
              <w:rPr>
                <w:i/>
              </w:rPr>
            </w:pPr>
            <w:r>
              <w:rPr>
                <w:i/>
              </w:rPr>
              <w:t>Avansa maksājumi par pamatlīdzekļiem</w:t>
            </w:r>
          </w:p>
        </w:tc>
        <w:tc>
          <w:tcPr>
            <w:tcW w:w="1710" w:type="dxa"/>
          </w:tcPr>
          <w:p w14:paraId="2D685243" w14:textId="77777777" w:rsidR="006A4D8A" w:rsidRDefault="006A4D8A" w:rsidP="00CD363C">
            <w:pPr>
              <w:pStyle w:val="TableParagraph"/>
              <w:ind w:right="-66"/>
              <w:jc w:val="both"/>
              <w:rPr>
                <w:i/>
              </w:rPr>
            </w:pPr>
            <w:r>
              <w:rPr>
                <w:i/>
              </w:rPr>
              <w:t>7 000,00 EUR</w:t>
            </w:r>
          </w:p>
        </w:tc>
      </w:tr>
      <w:tr w:rsidR="006A4D8A" w14:paraId="5A3B4F47" w14:textId="77777777" w:rsidTr="003F13B2">
        <w:trPr>
          <w:trHeight w:val="289"/>
        </w:trPr>
        <w:tc>
          <w:tcPr>
            <w:tcW w:w="626" w:type="dxa"/>
          </w:tcPr>
          <w:p w14:paraId="31027425" w14:textId="77777777" w:rsidR="006A4D8A" w:rsidRDefault="006A4D8A" w:rsidP="00CD363C">
            <w:pPr>
              <w:pStyle w:val="TableParagraph"/>
              <w:ind w:right="-66"/>
              <w:jc w:val="both"/>
              <w:rPr>
                <w:i/>
              </w:rPr>
            </w:pPr>
            <w:r>
              <w:rPr>
                <w:i/>
              </w:rPr>
              <w:t>K</w:t>
            </w:r>
          </w:p>
        </w:tc>
        <w:tc>
          <w:tcPr>
            <w:tcW w:w="979" w:type="dxa"/>
          </w:tcPr>
          <w:p w14:paraId="462E738D" w14:textId="77777777" w:rsidR="006A4D8A" w:rsidRDefault="006A4D8A" w:rsidP="00CD363C">
            <w:pPr>
              <w:pStyle w:val="TableParagraph"/>
              <w:ind w:right="-66"/>
              <w:jc w:val="both"/>
              <w:rPr>
                <w:i/>
              </w:rPr>
            </w:pPr>
            <w:r>
              <w:rPr>
                <w:i/>
              </w:rPr>
              <w:t>2600</w:t>
            </w:r>
          </w:p>
        </w:tc>
        <w:tc>
          <w:tcPr>
            <w:tcW w:w="4042" w:type="dxa"/>
          </w:tcPr>
          <w:p w14:paraId="7F13C654" w14:textId="77777777" w:rsidR="006A4D8A" w:rsidRDefault="006A4D8A" w:rsidP="00CD363C">
            <w:pPr>
              <w:pStyle w:val="TableParagraph"/>
              <w:ind w:left="270" w:right="-66"/>
              <w:jc w:val="both"/>
              <w:rPr>
                <w:i/>
              </w:rPr>
            </w:pPr>
            <w:r>
              <w:rPr>
                <w:i/>
              </w:rPr>
              <w:t>Naudas līdzekļi</w:t>
            </w:r>
          </w:p>
        </w:tc>
        <w:tc>
          <w:tcPr>
            <w:tcW w:w="1710" w:type="dxa"/>
          </w:tcPr>
          <w:p w14:paraId="34AC8A1D" w14:textId="77777777" w:rsidR="006A4D8A" w:rsidRDefault="006A4D8A" w:rsidP="00CD363C">
            <w:pPr>
              <w:pStyle w:val="TableParagraph"/>
              <w:ind w:right="-66"/>
              <w:jc w:val="both"/>
              <w:rPr>
                <w:i/>
              </w:rPr>
            </w:pPr>
            <w:r>
              <w:rPr>
                <w:i/>
              </w:rPr>
              <w:t>7 000,00 EUR</w:t>
            </w:r>
          </w:p>
        </w:tc>
      </w:tr>
    </w:tbl>
    <w:p w14:paraId="305D4158" w14:textId="77777777" w:rsidR="006A4D8A" w:rsidRDefault="006A4D8A" w:rsidP="00CD363C">
      <w:pPr>
        <w:pStyle w:val="Pamatteksts"/>
        <w:ind w:left="338" w:right="-66"/>
        <w:jc w:val="both"/>
      </w:pPr>
      <w:r>
        <w:t>Līgums paredz iekārtas piegādes termiņu līdz 2019. gada 31. jūlijam. Līdz 31.12.2019. budžeta iestāde vēl nav saņēmusi piekabi.</w:t>
      </w:r>
    </w:p>
    <w:p w14:paraId="04A08BB0" w14:textId="77777777" w:rsidR="006A4D8A" w:rsidRDefault="006A4D8A" w:rsidP="00CD363C">
      <w:pPr>
        <w:pStyle w:val="Pamatteksts"/>
        <w:ind w:left="338" w:right="-66"/>
        <w:jc w:val="both"/>
      </w:pPr>
      <w:r>
        <w:t xml:space="preserve">Budžeta iestāde saskaņā ar iestādes iekšējā grāmatvedības uzskaites kārtībā noteiktajām metodēm pārskata perioda beigās izvērtē parādnieku. Budžeta iestāde nekonstatē pazīmes, ka pastāv strīds par līguma izpildi, par kuru veikts avansa maksājums, kā arī nav pazīmju, ka pret darījuma partneri būtu ierosināta lieta par maksātnespēju. Tomēr, ņemot vērā to, ka uz 31.12.2019. avansa izpildes termiņa kavējums ir 153 dienas, budžeta iestāde atzīst avansa maksājuma vērtības samazinājumu 25 % apmērā no veiktā avansa maksājuma jeb 1 750,00 EUR apmērā </w:t>
      </w:r>
      <w:r>
        <w:rPr>
          <w:i/>
        </w:rPr>
        <w:t>(1 750,00 EUR = 25% * 7 000,00 EUR)</w:t>
      </w:r>
      <w:r>
        <w:t>, veicot sekojošu grāmatojumu:</w:t>
      </w:r>
    </w:p>
    <w:p w14:paraId="1E1B93B0" w14:textId="77777777" w:rsidR="006A4D8A" w:rsidRDefault="006A4D8A" w:rsidP="00CD363C">
      <w:pPr>
        <w:pStyle w:val="Pamatteksts"/>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163"/>
        <w:gridCol w:w="1592"/>
      </w:tblGrid>
      <w:tr w:rsidR="006A4D8A" w14:paraId="3941AA6B" w14:textId="77777777" w:rsidTr="003F13B2">
        <w:trPr>
          <w:trHeight w:val="289"/>
        </w:trPr>
        <w:tc>
          <w:tcPr>
            <w:tcW w:w="626" w:type="dxa"/>
          </w:tcPr>
          <w:p w14:paraId="22FD9BFC" w14:textId="77777777" w:rsidR="006A4D8A" w:rsidRDefault="006A4D8A" w:rsidP="00CD363C">
            <w:pPr>
              <w:pStyle w:val="TableParagraph"/>
              <w:ind w:right="-66"/>
              <w:jc w:val="both"/>
              <w:rPr>
                <w:i/>
              </w:rPr>
            </w:pPr>
            <w:r>
              <w:rPr>
                <w:i/>
              </w:rPr>
              <w:t>D</w:t>
            </w:r>
          </w:p>
        </w:tc>
        <w:tc>
          <w:tcPr>
            <w:tcW w:w="979" w:type="dxa"/>
          </w:tcPr>
          <w:p w14:paraId="7655CC3D" w14:textId="77777777" w:rsidR="006A4D8A" w:rsidRDefault="006A4D8A" w:rsidP="00CD363C">
            <w:pPr>
              <w:pStyle w:val="TableParagraph"/>
              <w:ind w:right="-66"/>
              <w:jc w:val="both"/>
              <w:rPr>
                <w:i/>
              </w:rPr>
            </w:pPr>
            <w:r>
              <w:rPr>
                <w:i/>
              </w:rPr>
              <w:t>8650</w:t>
            </w:r>
          </w:p>
        </w:tc>
        <w:tc>
          <w:tcPr>
            <w:tcW w:w="4163" w:type="dxa"/>
          </w:tcPr>
          <w:p w14:paraId="54893B1E" w14:textId="77777777" w:rsidR="006A4D8A" w:rsidRDefault="006A4D8A" w:rsidP="00CD363C">
            <w:pPr>
              <w:pStyle w:val="TableParagraph"/>
              <w:ind w:left="270" w:right="-66"/>
              <w:jc w:val="both"/>
              <w:rPr>
                <w:i/>
              </w:rPr>
            </w:pPr>
            <w:r>
              <w:rPr>
                <w:i/>
              </w:rPr>
              <w:t>Izdevumi no aktīvu vērtības samazinājuma</w:t>
            </w:r>
          </w:p>
        </w:tc>
        <w:tc>
          <w:tcPr>
            <w:tcW w:w="1592" w:type="dxa"/>
          </w:tcPr>
          <w:p w14:paraId="2FADCA96" w14:textId="77777777" w:rsidR="006A4D8A" w:rsidRDefault="006A4D8A" w:rsidP="00CD363C">
            <w:pPr>
              <w:pStyle w:val="TableParagraph"/>
              <w:ind w:left="115" w:right="-66"/>
              <w:jc w:val="both"/>
              <w:rPr>
                <w:i/>
              </w:rPr>
            </w:pPr>
            <w:r>
              <w:rPr>
                <w:i/>
              </w:rPr>
              <w:t>1 750,00 EUR</w:t>
            </w:r>
          </w:p>
        </w:tc>
      </w:tr>
      <w:tr w:rsidR="006A4D8A" w14:paraId="2C5AB692" w14:textId="77777777" w:rsidTr="003F13B2">
        <w:trPr>
          <w:trHeight w:val="541"/>
        </w:trPr>
        <w:tc>
          <w:tcPr>
            <w:tcW w:w="626" w:type="dxa"/>
          </w:tcPr>
          <w:p w14:paraId="2733A11E" w14:textId="77777777" w:rsidR="006A4D8A" w:rsidRDefault="006A4D8A" w:rsidP="00CD363C">
            <w:pPr>
              <w:pStyle w:val="TableParagraph"/>
              <w:ind w:right="-66"/>
              <w:jc w:val="both"/>
              <w:rPr>
                <w:i/>
              </w:rPr>
            </w:pPr>
            <w:r>
              <w:rPr>
                <w:i/>
              </w:rPr>
              <w:t>K</w:t>
            </w:r>
          </w:p>
        </w:tc>
        <w:tc>
          <w:tcPr>
            <w:tcW w:w="979" w:type="dxa"/>
          </w:tcPr>
          <w:p w14:paraId="02B8B200" w14:textId="77777777" w:rsidR="006A4D8A" w:rsidRDefault="006A4D8A" w:rsidP="00CD363C">
            <w:pPr>
              <w:pStyle w:val="TableParagraph"/>
              <w:ind w:right="-66"/>
              <w:jc w:val="both"/>
              <w:rPr>
                <w:i/>
              </w:rPr>
            </w:pPr>
            <w:r>
              <w:rPr>
                <w:i/>
              </w:rPr>
              <w:t>1287</w:t>
            </w:r>
          </w:p>
        </w:tc>
        <w:tc>
          <w:tcPr>
            <w:tcW w:w="4163" w:type="dxa"/>
          </w:tcPr>
          <w:p w14:paraId="02916306" w14:textId="77777777" w:rsidR="006A4D8A" w:rsidRDefault="006A4D8A" w:rsidP="00CD363C">
            <w:pPr>
              <w:pStyle w:val="TableParagraph"/>
              <w:tabs>
                <w:tab w:val="left" w:pos="1585"/>
                <w:tab w:val="left" w:pos="3399"/>
              </w:tabs>
              <w:ind w:left="270" w:right="-66"/>
              <w:jc w:val="both"/>
              <w:rPr>
                <w:i/>
              </w:rPr>
            </w:pPr>
            <w:r>
              <w:rPr>
                <w:i/>
              </w:rPr>
              <w:t>Vērtības</w:t>
            </w:r>
            <w:r>
              <w:rPr>
                <w:i/>
              </w:rPr>
              <w:tab/>
              <w:t>samazinājums</w:t>
            </w:r>
            <w:r>
              <w:rPr>
                <w:i/>
              </w:rPr>
              <w:tab/>
              <w:t>avansa maksājumiem par</w:t>
            </w:r>
            <w:r>
              <w:rPr>
                <w:i/>
                <w:spacing w:val="-2"/>
              </w:rPr>
              <w:t xml:space="preserve"> </w:t>
            </w:r>
            <w:r>
              <w:rPr>
                <w:i/>
              </w:rPr>
              <w:t>pamatlīdzekļiem</w:t>
            </w:r>
          </w:p>
        </w:tc>
        <w:tc>
          <w:tcPr>
            <w:tcW w:w="1592" w:type="dxa"/>
          </w:tcPr>
          <w:p w14:paraId="1E90996D" w14:textId="77777777" w:rsidR="006A4D8A" w:rsidRDefault="006A4D8A" w:rsidP="00CD363C">
            <w:pPr>
              <w:pStyle w:val="TableParagraph"/>
              <w:ind w:left="115" w:right="-66"/>
              <w:jc w:val="both"/>
              <w:rPr>
                <w:i/>
              </w:rPr>
            </w:pPr>
            <w:r>
              <w:rPr>
                <w:i/>
              </w:rPr>
              <w:t>1 750,00 EUR</w:t>
            </w:r>
          </w:p>
        </w:tc>
      </w:tr>
    </w:tbl>
    <w:p w14:paraId="2F1AD848" w14:textId="77777777" w:rsidR="006A4D8A" w:rsidRDefault="006A4D8A" w:rsidP="00CD363C">
      <w:pPr>
        <w:spacing w:after="0" w:line="240" w:lineRule="auto"/>
        <w:ind w:left="338" w:right="-66"/>
        <w:jc w:val="both"/>
        <w:rPr>
          <w:rFonts w:ascii="Times New Roman" w:hAnsi="Times New Roman" w:cs="Times New Roman"/>
          <w:b/>
          <w:sz w:val="24"/>
          <w:szCs w:val="24"/>
        </w:rPr>
      </w:pPr>
    </w:p>
    <w:p w14:paraId="33E80272" w14:textId="77777777" w:rsidR="00F113FE" w:rsidRDefault="00F113FE" w:rsidP="00CD363C">
      <w:pPr>
        <w:spacing w:after="0" w:line="240" w:lineRule="auto"/>
        <w:ind w:left="338" w:right="-66"/>
        <w:jc w:val="both"/>
        <w:rPr>
          <w:rFonts w:ascii="Times New Roman" w:hAnsi="Times New Roman" w:cs="Times New Roman"/>
          <w:b/>
          <w:sz w:val="24"/>
          <w:szCs w:val="24"/>
        </w:rPr>
      </w:pPr>
    </w:p>
    <w:p w14:paraId="66B2A368" w14:textId="77777777" w:rsidR="002270D9" w:rsidRDefault="002270D9" w:rsidP="00CD363C">
      <w:pPr>
        <w:spacing w:after="0" w:line="240" w:lineRule="auto"/>
        <w:ind w:left="338" w:right="-66"/>
        <w:jc w:val="center"/>
        <w:rPr>
          <w:rFonts w:ascii="Times New Roman" w:hAnsi="Times New Roman" w:cs="Times New Roman"/>
          <w:b/>
          <w:sz w:val="28"/>
          <w:szCs w:val="28"/>
        </w:rPr>
      </w:pPr>
      <w:r w:rsidRPr="002270D9">
        <w:rPr>
          <w:rFonts w:ascii="Times New Roman" w:hAnsi="Times New Roman" w:cs="Times New Roman"/>
          <w:b/>
          <w:sz w:val="28"/>
          <w:szCs w:val="28"/>
        </w:rPr>
        <w:t>16. Naudas līdzekļ</w:t>
      </w:r>
      <w:r w:rsidR="00FF61DC">
        <w:rPr>
          <w:rFonts w:ascii="Times New Roman" w:hAnsi="Times New Roman" w:cs="Times New Roman"/>
          <w:b/>
          <w:sz w:val="28"/>
          <w:szCs w:val="28"/>
        </w:rPr>
        <w:t>i</w:t>
      </w:r>
    </w:p>
    <w:p w14:paraId="6E33BE5F" w14:textId="77777777" w:rsidR="00FF61DC" w:rsidRPr="002270D9" w:rsidRDefault="00FF61DC" w:rsidP="00CD363C">
      <w:pPr>
        <w:spacing w:after="0" w:line="240" w:lineRule="auto"/>
        <w:ind w:left="338" w:right="-66"/>
        <w:jc w:val="both"/>
        <w:rPr>
          <w:rFonts w:ascii="Times New Roman" w:hAnsi="Times New Roman" w:cs="Times New Roman"/>
          <w:b/>
          <w:sz w:val="28"/>
          <w:szCs w:val="28"/>
        </w:rPr>
      </w:pPr>
      <w:r>
        <w:rPr>
          <w:rFonts w:ascii="Times New Roman" w:hAnsi="Times New Roman" w:cs="Times New Roman"/>
          <w:b/>
          <w:sz w:val="28"/>
          <w:szCs w:val="28"/>
        </w:rPr>
        <w:t>16.1. Naudas līdzekļu uzskaite</w:t>
      </w:r>
    </w:p>
    <w:p w14:paraId="521B2A7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77</w:t>
      </w:r>
      <w:r w:rsidRPr="006C1945">
        <w:rPr>
          <w:rFonts w:ascii="Times New Roman" w:hAnsi="Times New Roman" w:cs="Times New Roman"/>
        </w:rPr>
        <w:t>. Naudas līdzekļi ir viens no vissvarīgākajiem apgrozāmo līdzekļu veidiem ar augstāko pakāpi. Naudas līdzekļiem nepieciešama stingra un precīza uzskaite pa naudas glabāšanas vietām un veidiem. Naudas līdzekļus uzskaita kontu grupā “2600 Naudas līdzekļi”. Šīs iedaļas kontos pašvaldības budžeta iestādes uzskaita naudu kasē un norēķinu kontos, noguldījumus finanšu iestādēs sadalījumā pa budžetu veidiem, kā arī tos naudas līdzekļus, kas nav budžeta iestādes īpašums, bet uz noteiktu laiku atrodas budžeta iestādes kasē vai kontos (piemēram, saņemtās konkursu/drošības naudas, normatīvajos aktos noteiktos garantiju naudas līdzekļus, aizturēto personu naudas līdzekļus). Grāmatvedībā naudas līdzekļu uzskai</w:t>
      </w:r>
      <w:r>
        <w:rPr>
          <w:rFonts w:ascii="Times New Roman" w:hAnsi="Times New Roman" w:cs="Times New Roman"/>
        </w:rPr>
        <w:t>ta</w:t>
      </w:r>
      <w:r w:rsidRPr="006C1945">
        <w:rPr>
          <w:rFonts w:ascii="Times New Roman" w:hAnsi="Times New Roman" w:cs="Times New Roman"/>
        </w:rPr>
        <w:t xml:space="preserve"> </w:t>
      </w:r>
      <w:r>
        <w:rPr>
          <w:rFonts w:ascii="Times New Roman" w:hAnsi="Times New Roman" w:cs="Times New Roman"/>
        </w:rPr>
        <w:t>eiro.</w:t>
      </w:r>
    </w:p>
    <w:p w14:paraId="7737E22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78</w:t>
      </w:r>
      <w:r w:rsidRPr="006C1945">
        <w:rPr>
          <w:rFonts w:ascii="Times New Roman" w:hAnsi="Times New Roman" w:cs="Times New Roman"/>
        </w:rPr>
        <w:t>. Ja darījums veikts ārvalstu valūtā, tad pārrēķina pielietojot Eiropas Centrālās bankas, noteikto oficiālo valūtas kursu konkrētā darījuma dienā.</w:t>
      </w:r>
    </w:p>
    <w:p w14:paraId="35EAE4DB"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79</w:t>
      </w:r>
      <w:r w:rsidRPr="006C1945">
        <w:rPr>
          <w:rFonts w:ascii="Times New Roman" w:hAnsi="Times New Roman" w:cs="Times New Roman"/>
        </w:rPr>
        <w:t>. Finanšu pārskatos ir nepieciešams atspoguļot gan bezskaidro naudu norēķinu kontos Valsts kasē un kredītiestādēs, gan naudu kasē. Nauda ir jāuzrāda apgrozāmo līdzekļu sastāvā, atsevišķā postenī.</w:t>
      </w:r>
    </w:p>
    <w:p w14:paraId="0F5A6986"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80</w:t>
      </w:r>
      <w:r w:rsidRPr="006C1945">
        <w:rPr>
          <w:rFonts w:ascii="Times New Roman" w:hAnsi="Times New Roman" w:cs="Times New Roman"/>
        </w:rPr>
        <w:t>. Nauda ceļā ir naudas summa, kas ir nosūtīta, bet tā vēl nav ieskaitīta saņēmēja norēķinu kontā. Šādu summu uzskaita atsevišķā naudas līdzekļu kontā „Nauda ceļā”.</w:t>
      </w:r>
    </w:p>
    <w:p w14:paraId="1A8EE37E"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81</w:t>
      </w:r>
      <w:r w:rsidRPr="006C1945">
        <w:rPr>
          <w:rFonts w:ascii="Times New Roman" w:hAnsi="Times New Roman" w:cs="Times New Roman"/>
        </w:rPr>
        <w:t>. Naudas līdzekļu uzskaitei lieto šādus sintētiskos kontus:</w:t>
      </w:r>
    </w:p>
    <w:p w14:paraId="76BA19E2"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2610 </w:t>
      </w:r>
      <w:r w:rsidR="00D9671A">
        <w:rPr>
          <w:rFonts w:ascii="Times New Roman" w:hAnsi="Times New Roman" w:cs="Times New Roman"/>
        </w:rPr>
        <w:t xml:space="preserve">Budžeta iestādes nauda </w:t>
      </w:r>
      <w:r w:rsidRPr="006C1945">
        <w:rPr>
          <w:rFonts w:ascii="Times New Roman" w:hAnsi="Times New Roman" w:cs="Times New Roman"/>
        </w:rPr>
        <w:t>Kas</w:t>
      </w:r>
      <w:r w:rsidR="00D9671A">
        <w:rPr>
          <w:rFonts w:ascii="Times New Roman" w:hAnsi="Times New Roman" w:cs="Times New Roman"/>
        </w:rPr>
        <w:t>ē</w:t>
      </w:r>
      <w:r w:rsidRPr="006C1945">
        <w:rPr>
          <w:rFonts w:ascii="Times New Roman" w:hAnsi="Times New Roman" w:cs="Times New Roman"/>
        </w:rPr>
        <w:t xml:space="preserve"> </w:t>
      </w:r>
    </w:p>
    <w:p w14:paraId="5C7FED62"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2620 Norēķinu konti Valsts kasē vai kredītiestādēs </w:t>
      </w:r>
    </w:p>
    <w:p w14:paraId="32C2B33A"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2630 </w:t>
      </w:r>
      <w:r w:rsidR="00D9671A">
        <w:rPr>
          <w:rFonts w:ascii="Times New Roman" w:hAnsi="Times New Roman" w:cs="Times New Roman"/>
        </w:rPr>
        <w:t>Naudas ekvivalenti</w:t>
      </w:r>
    </w:p>
    <w:p w14:paraId="72627DC0" w14:textId="77777777" w:rsidR="00F113FE"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2670 Nauda ceļā </w:t>
      </w:r>
    </w:p>
    <w:p w14:paraId="477F2C1B" w14:textId="77777777" w:rsidR="00A258F7" w:rsidRPr="006C1945" w:rsidRDefault="00A258F7" w:rsidP="00CD363C">
      <w:pPr>
        <w:spacing w:after="0" w:line="240" w:lineRule="auto"/>
        <w:ind w:right="-66"/>
        <w:jc w:val="both"/>
        <w:rPr>
          <w:rFonts w:ascii="Times New Roman" w:hAnsi="Times New Roman" w:cs="Times New Roman"/>
        </w:rPr>
      </w:pPr>
      <w:r>
        <w:rPr>
          <w:rFonts w:ascii="Times New Roman" w:hAnsi="Times New Roman" w:cs="Times New Roman"/>
        </w:rPr>
        <w:t>2690 Asignējumi pašvaldības budžeta iestādēm</w:t>
      </w:r>
    </w:p>
    <w:p w14:paraId="74CBDD4D"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82</w:t>
      </w:r>
      <w:r w:rsidRPr="006C1945">
        <w:rPr>
          <w:rFonts w:ascii="Times New Roman" w:hAnsi="Times New Roman" w:cs="Times New Roman"/>
        </w:rPr>
        <w:t>. Kontu grupā “2610 Kase” uzskaita pašvaldības budžeta iestādes skaidrās naudas līdzekļus kasē sadalījumā pa budžetu veidiem:</w:t>
      </w:r>
    </w:p>
    <w:p w14:paraId="4BF5B67A"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2611  Pamatbudžeta līdzekļi</w:t>
      </w:r>
    </w:p>
    <w:p w14:paraId="2C66488E"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2612 Speciālā budžeta līdzekļi</w:t>
      </w:r>
    </w:p>
    <w:p w14:paraId="6AFA2814"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2613 Ziedojumu un dāvinājumu līdzekļi</w:t>
      </w:r>
    </w:p>
    <w:p w14:paraId="19E085D2"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2614 Citu budžetu līdzekļi - budžeta iestādes saņemtie naudas līdzekļi, kas nav tās īpašums, ja tie atrodas budžeta iestādes kasē.</w:t>
      </w:r>
    </w:p>
    <w:p w14:paraId="557A9B2F" w14:textId="7BA19C7B"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83</w:t>
      </w:r>
      <w:r w:rsidR="00173039" w:rsidRPr="00173039">
        <w:rPr>
          <w:rFonts w:ascii="Times New Roman" w:hAnsi="Times New Roman" w:cs="Times New Roman"/>
        </w:rPr>
        <w:t>. Grāmatvedības uzskaite naudas līdzekļu kustībai skaidrā naudā ir jānodrošina un jāveic saskaņā ar 2021.gada 14.septembra Latvijas Republikas Ministru kabineta noteikumiem Nr.625 „Prasības kases ieņēmumu un kases izdevumu attaisnojuma dokumentiem un kases grāmatas kārtošanai” noteiktajām prasībām, kā arī Rēzeknes novada pašvaldības 2021. gada  16. decembra apstiprinātiem ,, Kases operāciju uzskaites noteikumiem”.</w:t>
      </w:r>
    </w:p>
    <w:p w14:paraId="5BA0485E"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84</w:t>
      </w:r>
      <w:r w:rsidRPr="006C1945">
        <w:rPr>
          <w:rFonts w:ascii="Times New Roman" w:hAnsi="Times New Roman" w:cs="Times New Roman"/>
        </w:rPr>
        <w:t xml:space="preserve">. Budžeta iestādei drīkst būt tikai viena galvenā kase. Noformējot un uzskaitot kases operācijas, budžeta iestādes rīkojas saskaņā ar spēkā esošajiem normatīvajiem aktiem. </w:t>
      </w:r>
    </w:p>
    <w:p w14:paraId="2F05266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85</w:t>
      </w:r>
      <w:r w:rsidRPr="006C1945">
        <w:rPr>
          <w:rFonts w:ascii="Times New Roman" w:hAnsi="Times New Roman" w:cs="Times New Roman"/>
        </w:rPr>
        <w:t xml:space="preserve">. Budžeta iestādes vadītājs ir atbildīgs par normatīvo aktu prasību ievērošanu un piemērošanu iestāžu organizatoriskai struktūrai un darbības apstākļiem. </w:t>
      </w:r>
    </w:p>
    <w:p w14:paraId="739DFDC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86</w:t>
      </w:r>
      <w:r w:rsidRPr="006C1945">
        <w:rPr>
          <w:rFonts w:ascii="Times New Roman" w:hAnsi="Times New Roman" w:cs="Times New Roman"/>
        </w:rPr>
        <w:t xml:space="preserve">. Iestādes vadītājs ar rakstisku rīkojumu nosaka par kases operāciju uzskaiti atbildīgo grāmatvedi, tā pienākumus un atbildību, pilnvaras parakstīt kases orderus. </w:t>
      </w:r>
      <w:r w:rsidR="006F663F">
        <w:rPr>
          <w:rFonts w:ascii="Times New Roman" w:hAnsi="Times New Roman" w:cs="Times New Roman"/>
        </w:rPr>
        <w:t xml:space="preserve">Ja iestādes vadītājs ar rīkojumu nav noteicis atbildīgo grāmatvedi kases orderu parakstīšanai, tad atbildība un parakstīšanas tiesības ir iestādes galvenajam grāmatvedim. </w:t>
      </w:r>
      <w:r w:rsidRPr="006C1945">
        <w:rPr>
          <w:rFonts w:ascii="Times New Roman" w:hAnsi="Times New Roman" w:cs="Times New Roman"/>
        </w:rPr>
        <w:t xml:space="preserve">Kases operācijas veic darbinieks, kurš saskaņā ar līgumu (amata aprakstu)  vai budžeta iestādes vadītāja rakstisku rīkojumu pilda kasiera pienākumus. </w:t>
      </w:r>
    </w:p>
    <w:p w14:paraId="0F1C9687"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87</w:t>
      </w:r>
      <w:r w:rsidRPr="006C1945">
        <w:rPr>
          <w:rFonts w:ascii="Times New Roman" w:hAnsi="Times New Roman" w:cs="Times New Roman"/>
        </w:rPr>
        <w:t>. Budžeta iestādes vadītājs nodrošina visus nepieciešamos pasākumus skaidrās naudas uzglabāšanas drošībai.</w:t>
      </w:r>
    </w:p>
    <w:p w14:paraId="56C7828C"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88</w:t>
      </w:r>
      <w:r w:rsidRPr="006C1945">
        <w:rPr>
          <w:rFonts w:ascii="Times New Roman" w:hAnsi="Times New Roman" w:cs="Times New Roman"/>
        </w:rPr>
        <w:t>. Lai nodrošinātu kases operāciju pilnīgu uzskaiti (reģistrāciju un iekšējo kontroli), nedrīkst uzdot kasiera un atbildīgā grāmatveža pienākumus pildīt vienai un tai pašai personai.</w:t>
      </w:r>
    </w:p>
    <w:p w14:paraId="3EE815F8"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89</w:t>
      </w:r>
      <w:r w:rsidRPr="006C1945">
        <w:rPr>
          <w:rFonts w:ascii="Times New Roman" w:hAnsi="Times New Roman" w:cs="Times New Roman"/>
        </w:rPr>
        <w:t xml:space="preserve">. Kasieris pienākumu pildīšanu uzsāk, pieņemot glabāšanā ar pieņemšanas - nodošanas aktu budžeta iestādes skaidrās naudas atlikumu kasē un kases grāmatu, saņemot lietošanā budžeta iestādes vadītāja norādīto skaidrās naudas glabāšanas vietu un  attiecīgos gadījumos – kases aparātu. </w:t>
      </w:r>
    </w:p>
    <w:p w14:paraId="689F8E27"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90</w:t>
      </w:r>
      <w:r w:rsidRPr="006C1945">
        <w:rPr>
          <w:rFonts w:ascii="Times New Roman" w:hAnsi="Times New Roman" w:cs="Times New Roman"/>
        </w:rPr>
        <w:t>. Katram pārskata gadam iekārto jaunu kases grāmatu. Pārskata gada sākumā kases grāmatā norādītajam skaidrās naudas atlikumam kasē jābūt vienādam ar iepriekšējā pārskata gada beigās aprēķināto un kases grāmatā norādīto skaidrās naudas atlikumu.</w:t>
      </w:r>
    </w:p>
    <w:p w14:paraId="4C1D5DD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91</w:t>
      </w:r>
      <w:r w:rsidRPr="006C1945">
        <w:rPr>
          <w:rFonts w:ascii="Times New Roman" w:hAnsi="Times New Roman" w:cs="Times New Roman"/>
        </w:rPr>
        <w:t>. Kases operācijas, kā arī skaidrās naudas atlikumus kasē reģistrē vienā kases grāmatā, atsevišķi uzskaitot kases operācijas e</w:t>
      </w:r>
      <w:r>
        <w:rPr>
          <w:rFonts w:ascii="Times New Roman" w:hAnsi="Times New Roman" w:cs="Times New Roman"/>
        </w:rPr>
        <w:t>i</w:t>
      </w:r>
      <w:r w:rsidRPr="006C1945">
        <w:rPr>
          <w:rFonts w:ascii="Times New Roman" w:hAnsi="Times New Roman" w:cs="Times New Roman"/>
        </w:rPr>
        <w:t xml:space="preserve">ro, un kases operācijas ārvalstu valūtās (pa to veidiem). </w:t>
      </w:r>
    </w:p>
    <w:p w14:paraId="1DA4C0C4"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92</w:t>
      </w:r>
      <w:r w:rsidRPr="006C1945">
        <w:rPr>
          <w:rFonts w:ascii="Times New Roman" w:hAnsi="Times New Roman" w:cs="Times New Roman"/>
        </w:rPr>
        <w:t xml:space="preserve">. Kases grāmatu noslēdz </w:t>
      </w:r>
      <w:r>
        <w:rPr>
          <w:rFonts w:ascii="Times New Roman" w:hAnsi="Times New Roman" w:cs="Times New Roman"/>
        </w:rPr>
        <w:t>katras</w:t>
      </w:r>
      <w:r w:rsidRPr="006C1945">
        <w:rPr>
          <w:rFonts w:ascii="Times New Roman" w:hAnsi="Times New Roman" w:cs="Times New Roman"/>
        </w:rPr>
        <w:t xml:space="preserve"> darbdien</w:t>
      </w:r>
      <w:r>
        <w:rPr>
          <w:rFonts w:ascii="Times New Roman" w:hAnsi="Times New Roman" w:cs="Times New Roman"/>
        </w:rPr>
        <w:t>as beigās</w:t>
      </w:r>
      <w:r w:rsidRPr="006C1945">
        <w:rPr>
          <w:rFonts w:ascii="Times New Roman" w:hAnsi="Times New Roman" w:cs="Times New Roman"/>
        </w:rPr>
        <w:t>.</w:t>
      </w:r>
    </w:p>
    <w:p w14:paraId="5483EEA0" w14:textId="0AB06CE5"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93</w:t>
      </w:r>
      <w:r w:rsidRPr="006C1945">
        <w:rPr>
          <w:rFonts w:ascii="Times New Roman" w:hAnsi="Times New Roman" w:cs="Times New Roman"/>
        </w:rPr>
        <w:t xml:space="preserve">. </w:t>
      </w:r>
      <w:r w:rsidR="00173039" w:rsidRPr="00173039">
        <w:rPr>
          <w:rFonts w:ascii="Times New Roman" w:hAnsi="Times New Roman" w:cs="Times New Roman"/>
        </w:rPr>
        <w:t>Kases grāmatu sagatavo un ierakstus izdara tā, lai tajā ietvertā informācija saglabātos likumā "Grāmatvedības likums" grāmatvedības reģistriem paredzētajā glabāšanas laikā (10 gadu).</w:t>
      </w:r>
    </w:p>
    <w:p w14:paraId="64665EA4"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94.</w:t>
      </w:r>
      <w:r w:rsidRPr="006C1945">
        <w:rPr>
          <w:rFonts w:ascii="Times New Roman" w:hAnsi="Times New Roman" w:cs="Times New Roman"/>
        </w:rPr>
        <w:t xml:space="preserve">. Skaidrās naudas atlikumu kasē regulāri jāpārbauda, veicot inventarizāciju. Inventarizācijas komisija, kuras sastāvā obligāti ir jāiekļauj atbildīgais grāmatvedis, kas kasiera klātbūtnē (ārkārtas gadījumos – saskaņā ar vadītāja rīkojumu bez kasiera klātbūtnes) pārskaita visas banknotes un monētas un saskaņā ar normatīvo aktu prasībām sastāda inventarizācijas sarakstu. Šajā sarakstā norāda inventarizācijā konstatēto skaidrās naudas kopsummu, kā arī banknošu skaitu sadalījumā pa nomināliem. </w:t>
      </w:r>
    </w:p>
    <w:p w14:paraId="4649B6B5"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95</w:t>
      </w:r>
      <w:r w:rsidRPr="006C1945">
        <w:rPr>
          <w:rFonts w:ascii="Times New Roman" w:hAnsi="Times New Roman" w:cs="Times New Roman"/>
        </w:rPr>
        <w:t>. Kontu grupā “2620 Norēķinu konti Valsts kasē vai kredītiestādēs” uzskaita budžeta iestādes bezskaidras naudas līdzekļus norēķinu kontos Valsts kasē un kredītiestādēs (ieskaitot kontus, kuriem piesaistītas maksājumu kartes) sadalījumā pa budžetu veidiem:</w:t>
      </w:r>
    </w:p>
    <w:p w14:paraId="14F324A2"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2621  Pamatbudžeta līdzekļi</w:t>
      </w:r>
    </w:p>
    <w:p w14:paraId="4ED11D63"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2622 Speciālā budžeta līdzekļi</w:t>
      </w:r>
    </w:p>
    <w:p w14:paraId="47614431"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2623 Ziedojumu un dāvinājumu līdzekļi</w:t>
      </w:r>
    </w:p>
    <w:p w14:paraId="7981F4D9"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2624 Citu budžetu līdzekļi – budžeta iestādes saņemtie naudas līdzekļi, kas nav tās īpašums, ja tie atrodas budžeta iestādes norēķinu kontos.</w:t>
      </w:r>
    </w:p>
    <w:p w14:paraId="099B1C00"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96</w:t>
      </w:r>
      <w:r w:rsidRPr="00E375F9">
        <w:rPr>
          <w:rFonts w:ascii="Times New Roman" w:hAnsi="Times New Roman" w:cs="Times New Roman"/>
        </w:rPr>
        <w:t>. Salīdzinot budžeta iestāžu Valsts kases kontos veikto darījumu uzskaiti</w:t>
      </w:r>
      <w:r>
        <w:rPr>
          <w:rFonts w:ascii="Times New Roman" w:hAnsi="Times New Roman" w:cs="Times New Roman"/>
        </w:rPr>
        <w:t>,</w:t>
      </w:r>
      <w:r w:rsidRPr="00E375F9">
        <w:rPr>
          <w:rFonts w:ascii="Times New Roman" w:hAnsi="Times New Roman" w:cs="Times New Roman"/>
        </w:rPr>
        <w:t xml:space="preserve"> budžeta iestādes </w:t>
      </w:r>
      <w:r>
        <w:rPr>
          <w:rFonts w:ascii="Times New Roman" w:hAnsi="Times New Roman" w:cs="Times New Roman"/>
        </w:rPr>
        <w:t>par katru dienu</w:t>
      </w:r>
      <w:r w:rsidRPr="00E375F9">
        <w:rPr>
          <w:rFonts w:ascii="Times New Roman" w:hAnsi="Times New Roman" w:cs="Times New Roman"/>
        </w:rPr>
        <w:t xml:space="preserve"> sagatavo kontu izrakstu</w:t>
      </w:r>
      <w:r>
        <w:rPr>
          <w:rFonts w:ascii="Times New Roman" w:hAnsi="Times New Roman" w:cs="Times New Roman"/>
        </w:rPr>
        <w:t>( ja ir bijuši apgrozījumi)</w:t>
      </w:r>
      <w:r w:rsidRPr="00E375F9">
        <w:rPr>
          <w:rFonts w:ascii="Times New Roman" w:hAnsi="Times New Roman" w:cs="Times New Roman"/>
        </w:rPr>
        <w:t xml:space="preserve"> par veiktajiem kases izdevumiem, naudas plūsmu un</w:t>
      </w:r>
      <w:r>
        <w:rPr>
          <w:rFonts w:ascii="Times New Roman" w:hAnsi="Times New Roman" w:cs="Times New Roman"/>
        </w:rPr>
        <w:t xml:space="preserve"> vienu reizi mēnesī</w:t>
      </w:r>
      <w:r w:rsidRPr="00E375F9">
        <w:rPr>
          <w:rFonts w:ascii="Times New Roman" w:hAnsi="Times New Roman" w:cs="Times New Roman"/>
        </w:rPr>
        <w:t xml:space="preserve"> kopsavilkuma pārskatu par kontu atlikumiem Valsts kasē.</w:t>
      </w:r>
    </w:p>
    <w:p w14:paraId="1E8DE685" w14:textId="77777777" w:rsidR="00F113FE"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97. Salīdzinot budžeta iestāžu Komercbanku kontos veikto darījumu uzskaiti, budžeta iestāde par katru dienu sagatavo kontu izrakstu( ja ir bijis apgrozījums).</w:t>
      </w:r>
    </w:p>
    <w:p w14:paraId="44D150D6" w14:textId="77777777" w:rsidR="00F113FE"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98</w:t>
      </w:r>
      <w:r w:rsidRPr="00E375F9">
        <w:rPr>
          <w:rFonts w:ascii="Times New Roman" w:hAnsi="Times New Roman" w:cs="Times New Roman"/>
        </w:rPr>
        <w:t xml:space="preserve">. Naudas līdzekļu izmaksas no naudas līdzekļu kontiem pieļaujamas tikai uz attiecīgi noformētiem </w:t>
      </w:r>
      <w:r>
        <w:rPr>
          <w:rFonts w:ascii="Times New Roman" w:hAnsi="Times New Roman" w:cs="Times New Roman"/>
        </w:rPr>
        <w:t xml:space="preserve">un vadītāja apstiprinātiem </w:t>
      </w:r>
      <w:r w:rsidRPr="00E375F9">
        <w:rPr>
          <w:rFonts w:ascii="Times New Roman" w:hAnsi="Times New Roman" w:cs="Times New Roman"/>
        </w:rPr>
        <w:t xml:space="preserve">dokumentiem. </w:t>
      </w:r>
    </w:p>
    <w:p w14:paraId="2D16F763"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99</w:t>
      </w:r>
      <w:r w:rsidRPr="00E375F9">
        <w:rPr>
          <w:rFonts w:ascii="Times New Roman" w:hAnsi="Times New Roman" w:cs="Times New Roman"/>
        </w:rPr>
        <w:t>. Salīdzinot budžeta iestāžu kredītiestādes kontos veikto darījumu uzskaiti budžeta iestādes reizi mēnesī sagatavo kontu izrakstu par veiktajiem kases izdevumiem, naudas plūsmu un kopsavilkuma pārskatu par kontu atlikumiem kredītiestādē.</w:t>
      </w:r>
    </w:p>
    <w:p w14:paraId="651D5C0B"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600</w:t>
      </w:r>
      <w:r w:rsidRPr="00E375F9">
        <w:rPr>
          <w:rFonts w:ascii="Times New Roman" w:hAnsi="Times New Roman" w:cs="Times New Roman"/>
        </w:rPr>
        <w:t xml:space="preserve">. Kontu grupā “2630 </w:t>
      </w:r>
      <w:r w:rsidR="00FA60AF">
        <w:rPr>
          <w:rFonts w:ascii="Times New Roman" w:hAnsi="Times New Roman" w:cs="Times New Roman"/>
        </w:rPr>
        <w:t>Naudas ekvivalenti</w:t>
      </w:r>
      <w:r w:rsidRPr="00E375F9">
        <w:rPr>
          <w:rFonts w:ascii="Times New Roman" w:hAnsi="Times New Roman" w:cs="Times New Roman"/>
        </w:rPr>
        <w:t>” uzskaita budžeta iestādes noguldījumus,  kas noguldīti uz konkrētu termiņu vai citiem nosacījumiem, sadalījumā pa budžetu veidiem</w:t>
      </w:r>
      <w:r w:rsidR="00FA60AF">
        <w:rPr>
          <w:rFonts w:ascii="Times New Roman" w:hAnsi="Times New Roman" w:cs="Times New Roman"/>
        </w:rPr>
        <w:t xml:space="preserve"> un kuru sākotnējais termiņš nepārsniedz 90 dienas</w:t>
      </w:r>
      <w:r w:rsidRPr="00E375F9">
        <w:rPr>
          <w:rFonts w:ascii="Times New Roman" w:hAnsi="Times New Roman" w:cs="Times New Roman"/>
        </w:rPr>
        <w:t>:</w:t>
      </w:r>
    </w:p>
    <w:p w14:paraId="3260EBFC"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2631  Pamatbudžeta līdzekļi</w:t>
      </w:r>
    </w:p>
    <w:p w14:paraId="4B4A0228"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2632 Speciālā budžeta līdzekļi</w:t>
      </w:r>
    </w:p>
    <w:p w14:paraId="714189AD"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2633 Ziedojumu un dāvinājumu līdzekļi</w:t>
      </w:r>
    </w:p>
    <w:p w14:paraId="7A4BA72F"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2634 Citu budžetu līdzekļi - budžeta iestādes saņemtie naudas līdzekļi, kas nav tās īpašums, ja tie noguldīti termiņnoguldījumos.</w:t>
      </w:r>
    </w:p>
    <w:p w14:paraId="4359A14C"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601</w:t>
      </w:r>
      <w:r w:rsidRPr="00E375F9">
        <w:rPr>
          <w:rFonts w:ascii="Times New Roman" w:hAnsi="Times New Roman" w:cs="Times New Roman"/>
        </w:rPr>
        <w:t>. Kontu grupā “2670 Nauda ceļā” uzskaita budžeta iestādes naudas līdzekļus, kas ir budžeta iestādes īpašums, bet neatrodas iestādes kasē vai kontos (norēķinu vai citos) sadalījumā pa budžetu veidiem:</w:t>
      </w:r>
    </w:p>
    <w:p w14:paraId="608DB7C0"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2671  Pamatbudžeta līdzekļi</w:t>
      </w:r>
    </w:p>
    <w:p w14:paraId="37CF241B"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2672 Speciālā budžeta līdzekļi</w:t>
      </w:r>
    </w:p>
    <w:p w14:paraId="20A8F41B"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2673 Ziedojumu un dāvinājumu līdzekļi</w:t>
      </w:r>
    </w:p>
    <w:p w14:paraId="0CA9708D"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2674 Citu budžetu līdzekļi - budžeta iestādes naudas līdzekļi, kas nav tās īpašums.</w:t>
      </w:r>
    </w:p>
    <w:p w14:paraId="5B4F824D"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602</w:t>
      </w:r>
      <w:r w:rsidRPr="00E375F9">
        <w:rPr>
          <w:rFonts w:ascii="Times New Roman" w:hAnsi="Times New Roman" w:cs="Times New Roman"/>
        </w:rPr>
        <w:t xml:space="preserve">. Naudu ceļā uzskaita gadījumā, ja iestāde saņem naudu tās kontā īsi pēc pārskata perioda slēgšanas un ir saņemts apliecinājums, ka pārskaitījums veikts iepriekšējā periodā. Šajā gadījumā budžeta iestāde uzskata, ka darījums noticis iepriekšējā periodā un perioda beigās attiecīgo summu atzīst kā naudu ceļā.  </w:t>
      </w:r>
    </w:p>
    <w:p w14:paraId="14469CD7"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603</w:t>
      </w:r>
      <w:r w:rsidRPr="00E375F9">
        <w:rPr>
          <w:rFonts w:ascii="Times New Roman" w:hAnsi="Times New Roman" w:cs="Times New Roman"/>
        </w:rPr>
        <w:t>. Naudu ceļā uzskaita gadījumā, ja līgumā paredzēts, ka saistības uzskatāmas par dzēstām tikai tad, kad adresāts saņēmis naudu savā kontā. Budžeta iestāde, kas veic pārskaitījumu, līdz saņemtam apliecinājumam par naudas saņemšanu adresāta kontā, pārskaitītos līdzekļus uzskaita kā naudu ceļā.</w:t>
      </w:r>
    </w:p>
    <w:p w14:paraId="73FBA7EA"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604</w:t>
      </w:r>
      <w:r w:rsidRPr="00E375F9">
        <w:rPr>
          <w:rFonts w:ascii="Times New Roman" w:hAnsi="Times New Roman" w:cs="Times New Roman"/>
        </w:rPr>
        <w:t xml:space="preserve">. Naudai kasē un naudas līdzekļiem kredītiestādēs ir jābūt atbilstoši kontrolētiem. Viens no kontroles obligātiem nosacījumiem ir naudas līdzekļu inventarizācija. Naudai Valsts kasē un kredītiestādēs, kura ir uzrādīta finanšu pārskatos ir jāsakrīt ar Valsts kases un kredītiestāžu apstiprinātiem kontu izrakstiem. </w:t>
      </w:r>
    </w:p>
    <w:p w14:paraId="1865A49C"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605</w:t>
      </w:r>
      <w:r w:rsidRPr="00E375F9">
        <w:rPr>
          <w:rFonts w:ascii="Times New Roman" w:hAnsi="Times New Roman" w:cs="Times New Roman"/>
        </w:rPr>
        <w:t>. Saņemot naudas līdzekļus kasē vai norēķinu kontā, atbilstoši kredītiestādes konta izrakstam palielina attiecīgo naudas līdzekļu kontu saņemtās summas apjomā un samazina attiecīgo aktīvu, pasīvu vai ieņēmumu kontu atbilstoši naudas saņemšanas iemeslam, grāmatojot:</w:t>
      </w:r>
    </w:p>
    <w:p w14:paraId="0E68BE08" w14:textId="77777777" w:rsidR="00F113FE" w:rsidRPr="00E375F9" w:rsidRDefault="005249E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E375F9">
        <w:rPr>
          <w:rFonts w:ascii="Times New Roman" w:hAnsi="Times New Roman" w:cs="Times New Roman"/>
          <w:b/>
        </w:rPr>
        <w:t>D</w:t>
      </w:r>
      <w:r>
        <w:rPr>
          <w:rFonts w:ascii="Times New Roman" w:hAnsi="Times New Roman" w:cs="Times New Roman"/>
          <w:b/>
        </w:rPr>
        <w:t xml:space="preserve">  </w:t>
      </w:r>
      <w:r w:rsidR="00F113FE" w:rsidRPr="00E375F9">
        <w:rPr>
          <w:rFonts w:ascii="Times New Roman" w:hAnsi="Times New Roman" w:cs="Times New Roman"/>
          <w:b/>
        </w:rPr>
        <w:t>2610</w:t>
      </w:r>
      <w:r>
        <w:rPr>
          <w:rFonts w:ascii="Times New Roman" w:hAnsi="Times New Roman" w:cs="Times New Roman"/>
          <w:b/>
        </w:rPr>
        <w:t xml:space="preserve"> </w:t>
      </w:r>
      <w:r w:rsidR="00F113FE" w:rsidRPr="00E375F9">
        <w:rPr>
          <w:rFonts w:ascii="Times New Roman" w:hAnsi="Times New Roman" w:cs="Times New Roman"/>
          <w:b/>
        </w:rPr>
        <w:t xml:space="preserve"> Kase</w:t>
      </w:r>
    </w:p>
    <w:p w14:paraId="634EE5B6"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D</w:t>
      </w:r>
      <w:r w:rsidRPr="00E375F9">
        <w:rPr>
          <w:rFonts w:ascii="Times New Roman" w:hAnsi="Times New Roman" w:cs="Times New Roman"/>
          <w:b/>
        </w:rPr>
        <w:t xml:space="preserve">  2620</w:t>
      </w:r>
      <w:r w:rsidR="005249E7">
        <w:rPr>
          <w:rFonts w:ascii="Times New Roman" w:hAnsi="Times New Roman" w:cs="Times New Roman"/>
          <w:b/>
        </w:rPr>
        <w:t xml:space="preserve">  N</w:t>
      </w:r>
      <w:r w:rsidRPr="00E375F9">
        <w:rPr>
          <w:rFonts w:ascii="Times New Roman" w:hAnsi="Times New Roman" w:cs="Times New Roman"/>
          <w:b/>
        </w:rPr>
        <w:t>orēķinu  konti Valsts kasē vai kredītiestādēs</w:t>
      </w:r>
    </w:p>
    <w:p w14:paraId="64CF68C8" w14:textId="77777777" w:rsidR="00F113FE" w:rsidRPr="00E375F9" w:rsidRDefault="005249E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w:t>
      </w:r>
      <w:r w:rsidR="000E0DCD">
        <w:rPr>
          <w:rFonts w:ascii="Times New Roman" w:hAnsi="Times New Roman" w:cs="Times New Roman"/>
          <w:b/>
        </w:rPr>
        <w:t xml:space="preserve">  </w:t>
      </w:r>
      <w:r w:rsidR="00F113FE" w:rsidRPr="00E375F9">
        <w:rPr>
          <w:rFonts w:ascii="Times New Roman" w:hAnsi="Times New Roman" w:cs="Times New Roman"/>
          <w:b/>
        </w:rPr>
        <w:t>2300</w:t>
      </w:r>
      <w:r w:rsidR="000E0DCD">
        <w:rPr>
          <w:rFonts w:ascii="Times New Roman" w:hAnsi="Times New Roman" w:cs="Times New Roman"/>
          <w:b/>
        </w:rPr>
        <w:t xml:space="preserve">  </w:t>
      </w:r>
      <w:r w:rsidR="00F113FE" w:rsidRPr="00E375F9">
        <w:rPr>
          <w:rFonts w:ascii="Times New Roman" w:hAnsi="Times New Roman" w:cs="Times New Roman"/>
          <w:b/>
        </w:rPr>
        <w:t>Debitori</w:t>
      </w:r>
      <w:r>
        <w:rPr>
          <w:rFonts w:ascii="Times New Roman" w:hAnsi="Times New Roman" w:cs="Times New Roman"/>
          <w:b/>
        </w:rPr>
        <w:t xml:space="preserve">  </w:t>
      </w:r>
    </w:p>
    <w:p w14:paraId="03F3AF8E"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5000</w:t>
      </w:r>
      <w:r w:rsidR="000E0DCD">
        <w:rPr>
          <w:rFonts w:ascii="Times New Roman" w:hAnsi="Times New Roman" w:cs="Times New Roman"/>
          <w:b/>
        </w:rPr>
        <w:t xml:space="preserve">  </w:t>
      </w:r>
      <w:r w:rsidRPr="00E375F9">
        <w:rPr>
          <w:rFonts w:ascii="Times New Roman" w:hAnsi="Times New Roman" w:cs="Times New Roman"/>
          <w:b/>
        </w:rPr>
        <w:t>Kreditori</w:t>
      </w:r>
    </w:p>
    <w:p w14:paraId="36A28778"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K</w:t>
      </w:r>
      <w:r w:rsidRPr="00E375F9">
        <w:rPr>
          <w:rFonts w:ascii="Times New Roman" w:hAnsi="Times New Roman" w:cs="Times New Roman"/>
          <w:b/>
        </w:rPr>
        <w:t xml:space="preserve"> </w:t>
      </w:r>
      <w:r>
        <w:rPr>
          <w:rFonts w:ascii="Times New Roman" w:hAnsi="Times New Roman" w:cs="Times New Roman"/>
          <w:b/>
        </w:rPr>
        <w:t xml:space="preserve"> </w:t>
      </w:r>
      <w:r w:rsidRPr="00E375F9">
        <w:rPr>
          <w:rFonts w:ascii="Times New Roman" w:hAnsi="Times New Roman" w:cs="Times New Roman"/>
          <w:b/>
        </w:rPr>
        <w:t xml:space="preserve">6000  </w:t>
      </w:r>
      <w:r>
        <w:rPr>
          <w:rFonts w:ascii="Times New Roman" w:hAnsi="Times New Roman" w:cs="Times New Roman"/>
          <w:b/>
        </w:rPr>
        <w:t>P</w:t>
      </w:r>
      <w:r w:rsidRPr="00E375F9">
        <w:rPr>
          <w:rFonts w:ascii="Times New Roman" w:hAnsi="Times New Roman" w:cs="Times New Roman"/>
          <w:b/>
        </w:rPr>
        <w:t>amatdarbības ieņēmumi (attiecīgais ieņēmumu konts)</w:t>
      </w:r>
    </w:p>
    <w:p w14:paraId="1433D8DE"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F113FE" w:rsidRPr="00E375F9">
        <w:rPr>
          <w:rFonts w:ascii="Times New Roman" w:hAnsi="Times New Roman" w:cs="Times New Roman"/>
          <w:b/>
        </w:rPr>
        <w:t xml:space="preserve"> 8000</w:t>
      </w:r>
      <w:r>
        <w:rPr>
          <w:rFonts w:ascii="Times New Roman" w:hAnsi="Times New Roman" w:cs="Times New Roman"/>
          <w:b/>
        </w:rPr>
        <w:t xml:space="preserve">  D</w:t>
      </w:r>
      <w:r w:rsidR="00F113FE" w:rsidRPr="00E375F9">
        <w:rPr>
          <w:rFonts w:ascii="Times New Roman" w:hAnsi="Times New Roman" w:cs="Times New Roman"/>
          <w:b/>
        </w:rPr>
        <w:t>ažādi ieņēmumi (attiecīgais ieņēmumu konts)</w:t>
      </w:r>
    </w:p>
    <w:p w14:paraId="2413810F"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606</w:t>
      </w:r>
      <w:r w:rsidRPr="00E375F9">
        <w:rPr>
          <w:rFonts w:ascii="Times New Roman" w:hAnsi="Times New Roman" w:cs="Times New Roman"/>
        </w:rPr>
        <w:t>. Ja budžeta iestāde saņem naudas līdzekļus kontā īsi pēc pārskata perioda slēgšanas un saņemts apliecinājums, ka pārskaitījums veikts iepriekšējā periodā, perioda beigās attiecīgo summu atzīst kā naudu ceļā, grāmatojot:</w:t>
      </w:r>
    </w:p>
    <w:p w14:paraId="1B4AF012"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E375F9">
        <w:rPr>
          <w:rFonts w:ascii="Times New Roman" w:hAnsi="Times New Roman" w:cs="Times New Roman"/>
          <w:b/>
        </w:rPr>
        <w:t>2670</w:t>
      </w:r>
      <w:r>
        <w:rPr>
          <w:rFonts w:ascii="Times New Roman" w:hAnsi="Times New Roman" w:cs="Times New Roman"/>
          <w:b/>
        </w:rPr>
        <w:t xml:space="preserve">  </w:t>
      </w:r>
      <w:r w:rsidR="00F113FE" w:rsidRPr="00E375F9">
        <w:rPr>
          <w:rFonts w:ascii="Times New Roman" w:hAnsi="Times New Roman" w:cs="Times New Roman"/>
          <w:b/>
        </w:rPr>
        <w:t>Nauda ceļā</w:t>
      </w:r>
    </w:p>
    <w:p w14:paraId="24E8B14A"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F113FE" w:rsidRPr="00E375F9">
        <w:rPr>
          <w:rFonts w:ascii="Times New Roman" w:hAnsi="Times New Roman" w:cs="Times New Roman"/>
          <w:b/>
        </w:rPr>
        <w:t>2300</w:t>
      </w:r>
      <w:r>
        <w:rPr>
          <w:rFonts w:ascii="Times New Roman" w:hAnsi="Times New Roman" w:cs="Times New Roman"/>
          <w:b/>
        </w:rPr>
        <w:t xml:space="preserve"> </w:t>
      </w:r>
      <w:r w:rsidR="00F113FE" w:rsidRPr="00E375F9">
        <w:rPr>
          <w:rFonts w:ascii="Times New Roman" w:hAnsi="Times New Roman" w:cs="Times New Roman"/>
          <w:b/>
        </w:rPr>
        <w:t xml:space="preserve"> Debitori</w:t>
      </w:r>
    </w:p>
    <w:p w14:paraId="0DE63A0E"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5000</w:t>
      </w:r>
      <w:r w:rsidR="000E0DCD">
        <w:rPr>
          <w:rFonts w:ascii="Times New Roman" w:hAnsi="Times New Roman" w:cs="Times New Roman"/>
          <w:b/>
        </w:rPr>
        <w:t xml:space="preserve">  </w:t>
      </w:r>
      <w:r w:rsidRPr="00E375F9">
        <w:rPr>
          <w:rFonts w:ascii="Times New Roman" w:hAnsi="Times New Roman" w:cs="Times New Roman"/>
          <w:b/>
        </w:rPr>
        <w:t>Kreditori</w:t>
      </w:r>
    </w:p>
    <w:p w14:paraId="544DDA37"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6000</w:t>
      </w:r>
      <w:r w:rsidR="000E0DCD">
        <w:rPr>
          <w:rFonts w:ascii="Times New Roman" w:hAnsi="Times New Roman" w:cs="Times New Roman"/>
          <w:b/>
        </w:rPr>
        <w:t xml:space="preserve">  </w:t>
      </w:r>
      <w:r w:rsidRPr="00E375F9">
        <w:rPr>
          <w:rFonts w:ascii="Times New Roman" w:hAnsi="Times New Roman" w:cs="Times New Roman"/>
          <w:b/>
        </w:rPr>
        <w:t>Pamatdarbības ieņēmumi (attiecīgais ieņēmumu konts)</w:t>
      </w:r>
    </w:p>
    <w:p w14:paraId="49B9537C"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8000</w:t>
      </w:r>
      <w:r w:rsidR="000E0DCD">
        <w:rPr>
          <w:rFonts w:ascii="Times New Roman" w:hAnsi="Times New Roman" w:cs="Times New Roman"/>
          <w:b/>
        </w:rPr>
        <w:t xml:space="preserve">  D</w:t>
      </w:r>
      <w:r w:rsidRPr="00E375F9">
        <w:rPr>
          <w:rFonts w:ascii="Times New Roman" w:hAnsi="Times New Roman" w:cs="Times New Roman"/>
          <w:b/>
        </w:rPr>
        <w:t>ažādi ieņēmumi (attiecīgais ieņēmumu konts)</w:t>
      </w:r>
    </w:p>
    <w:p w14:paraId="65C49E47"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607</w:t>
      </w:r>
      <w:r w:rsidRPr="00E375F9">
        <w:rPr>
          <w:rFonts w:ascii="Times New Roman" w:hAnsi="Times New Roman" w:cs="Times New Roman"/>
        </w:rPr>
        <w:t>. Saņemot naudas līdzekļus, grāmato:</w:t>
      </w:r>
    </w:p>
    <w:p w14:paraId="42F8E8A7"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2</w:t>
      </w:r>
      <w:r w:rsidR="00F113FE" w:rsidRPr="00011BE3">
        <w:rPr>
          <w:rFonts w:ascii="Times New Roman" w:hAnsi="Times New Roman" w:cs="Times New Roman"/>
          <w:b/>
        </w:rPr>
        <w:t>610</w:t>
      </w:r>
      <w:r>
        <w:rPr>
          <w:rFonts w:ascii="Times New Roman" w:hAnsi="Times New Roman" w:cs="Times New Roman"/>
          <w:b/>
        </w:rPr>
        <w:t xml:space="preserve">  </w:t>
      </w:r>
      <w:r w:rsidR="00F113FE" w:rsidRPr="00011BE3">
        <w:rPr>
          <w:rFonts w:ascii="Times New Roman" w:hAnsi="Times New Roman" w:cs="Times New Roman"/>
          <w:b/>
        </w:rPr>
        <w:t>Kase</w:t>
      </w:r>
    </w:p>
    <w:p w14:paraId="620226DB"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2620</w:t>
      </w:r>
      <w:r>
        <w:rPr>
          <w:rFonts w:ascii="Times New Roman" w:hAnsi="Times New Roman" w:cs="Times New Roman"/>
          <w:b/>
        </w:rPr>
        <w:t xml:space="preserve">  N</w:t>
      </w:r>
      <w:r w:rsidR="00F113FE" w:rsidRPr="00011BE3">
        <w:rPr>
          <w:rFonts w:ascii="Times New Roman" w:hAnsi="Times New Roman" w:cs="Times New Roman"/>
          <w:b/>
        </w:rPr>
        <w:t>orēķinu  konti Valsts kasē vai kredītiestādēs</w:t>
      </w:r>
    </w:p>
    <w:p w14:paraId="079997BF"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2670</w:t>
      </w:r>
      <w:r>
        <w:rPr>
          <w:rFonts w:ascii="Times New Roman" w:hAnsi="Times New Roman" w:cs="Times New Roman"/>
          <w:b/>
        </w:rPr>
        <w:t xml:space="preserve">  </w:t>
      </w:r>
      <w:r w:rsidR="00F113FE" w:rsidRPr="00011BE3">
        <w:rPr>
          <w:rFonts w:ascii="Times New Roman" w:hAnsi="Times New Roman" w:cs="Times New Roman"/>
          <w:b/>
        </w:rPr>
        <w:t>Nauda ceļā</w:t>
      </w:r>
    </w:p>
    <w:p w14:paraId="2A5F3B5A"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608</w:t>
      </w:r>
      <w:r w:rsidRPr="00E375F9">
        <w:rPr>
          <w:rFonts w:ascii="Times New Roman" w:hAnsi="Times New Roman" w:cs="Times New Roman"/>
        </w:rPr>
        <w:t>. Saņemot drošības naudu vai citus naudas līdzekļus, kas nav budžeta iestādes īpašums, palielina atbilstošo naudas līdzekļu kontu un atzīst saistības, grāmatojot:</w:t>
      </w:r>
    </w:p>
    <w:p w14:paraId="2274B1AE"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E375F9">
        <w:rPr>
          <w:rFonts w:ascii="Times New Roman" w:hAnsi="Times New Roman" w:cs="Times New Roman"/>
          <w:b/>
        </w:rPr>
        <w:t>2610</w:t>
      </w:r>
      <w:r>
        <w:rPr>
          <w:rFonts w:ascii="Times New Roman" w:hAnsi="Times New Roman" w:cs="Times New Roman"/>
          <w:b/>
        </w:rPr>
        <w:t xml:space="preserve">  </w:t>
      </w:r>
      <w:r w:rsidR="00F113FE" w:rsidRPr="00E375F9">
        <w:rPr>
          <w:rFonts w:ascii="Times New Roman" w:hAnsi="Times New Roman" w:cs="Times New Roman"/>
          <w:b/>
        </w:rPr>
        <w:t>Kase</w:t>
      </w:r>
    </w:p>
    <w:p w14:paraId="71D12CB6"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Pr>
          <w:rFonts w:ascii="Times New Roman" w:hAnsi="Times New Roman" w:cs="Times New Roman"/>
          <w:b/>
        </w:rPr>
        <w:t>2</w:t>
      </w:r>
      <w:r w:rsidR="00F113FE" w:rsidRPr="00E375F9">
        <w:rPr>
          <w:rFonts w:ascii="Times New Roman" w:hAnsi="Times New Roman" w:cs="Times New Roman"/>
          <w:b/>
        </w:rPr>
        <w:t>620</w:t>
      </w:r>
      <w:r>
        <w:rPr>
          <w:rFonts w:ascii="Times New Roman" w:hAnsi="Times New Roman" w:cs="Times New Roman"/>
          <w:b/>
        </w:rPr>
        <w:t xml:space="preserve">  N</w:t>
      </w:r>
      <w:r w:rsidR="00F113FE" w:rsidRPr="00E375F9">
        <w:rPr>
          <w:rFonts w:ascii="Times New Roman" w:hAnsi="Times New Roman" w:cs="Times New Roman"/>
          <w:b/>
        </w:rPr>
        <w:t>orēķinu konti Valsts kasē vai kredītiestādēs</w:t>
      </w:r>
    </w:p>
    <w:p w14:paraId="00AD2D6B"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E375F9">
        <w:rPr>
          <w:rFonts w:ascii="Times New Roman" w:hAnsi="Times New Roman" w:cs="Times New Roman"/>
          <w:b/>
        </w:rPr>
        <w:t>K</w:t>
      </w:r>
      <w:r>
        <w:rPr>
          <w:rFonts w:ascii="Times New Roman" w:hAnsi="Times New Roman" w:cs="Times New Roman"/>
          <w:b/>
        </w:rPr>
        <w:t xml:space="preserve">  </w:t>
      </w:r>
      <w:r w:rsidR="00F113FE" w:rsidRPr="00E375F9">
        <w:rPr>
          <w:rFonts w:ascii="Times New Roman" w:hAnsi="Times New Roman" w:cs="Times New Roman"/>
          <w:b/>
        </w:rPr>
        <w:t>5813</w:t>
      </w:r>
      <w:r>
        <w:rPr>
          <w:rFonts w:ascii="Times New Roman" w:hAnsi="Times New Roman" w:cs="Times New Roman"/>
          <w:b/>
        </w:rPr>
        <w:t xml:space="preserve">  </w:t>
      </w:r>
      <w:r w:rsidR="00F113FE" w:rsidRPr="00E375F9">
        <w:rPr>
          <w:rFonts w:ascii="Times New Roman" w:hAnsi="Times New Roman" w:cs="Times New Roman"/>
          <w:b/>
        </w:rPr>
        <w:t>Saistības par saņemto drošības naudu un citiem naudas līdzekļiem</w:t>
      </w:r>
    </w:p>
    <w:p w14:paraId="0EB4198C" w14:textId="77777777" w:rsidR="00F113FE" w:rsidRPr="00011BE3"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609</w:t>
      </w:r>
      <w:r w:rsidRPr="00011BE3">
        <w:rPr>
          <w:rFonts w:ascii="Times New Roman" w:hAnsi="Times New Roman" w:cs="Times New Roman"/>
        </w:rPr>
        <w:t>. Atmaksājot drošības naudu vai citus naudas līdzekļus, kas nav budžeta iestādes īpašums, dzēš attiecīgās saistības un samazina atbilstošo naudas līdzekļu kontu grāmatojot:</w:t>
      </w:r>
    </w:p>
    <w:p w14:paraId="2E44C1C4"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5813</w:t>
      </w:r>
      <w:r>
        <w:rPr>
          <w:rFonts w:ascii="Times New Roman" w:hAnsi="Times New Roman" w:cs="Times New Roman"/>
          <w:b/>
        </w:rPr>
        <w:t xml:space="preserve"> </w:t>
      </w:r>
      <w:r w:rsidR="00F113FE" w:rsidRPr="00011BE3">
        <w:rPr>
          <w:rFonts w:ascii="Times New Roman" w:hAnsi="Times New Roman" w:cs="Times New Roman"/>
          <w:b/>
        </w:rPr>
        <w:t xml:space="preserve"> </w:t>
      </w:r>
      <w:r>
        <w:rPr>
          <w:rFonts w:ascii="Times New Roman" w:hAnsi="Times New Roman" w:cs="Times New Roman"/>
          <w:b/>
        </w:rPr>
        <w:t>S</w:t>
      </w:r>
      <w:r w:rsidR="00F113FE" w:rsidRPr="00011BE3">
        <w:rPr>
          <w:rFonts w:ascii="Times New Roman" w:hAnsi="Times New Roman" w:cs="Times New Roman"/>
          <w:b/>
        </w:rPr>
        <w:t>aistības par saņemto drošības naudu un citiem naudas līdzekļiem</w:t>
      </w:r>
    </w:p>
    <w:p w14:paraId="1ECA3A22"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2610  Kase</w:t>
      </w:r>
    </w:p>
    <w:p w14:paraId="4F24F5D7" w14:textId="77777777" w:rsidR="00F113FE" w:rsidRPr="00011BE3" w:rsidRDefault="00F113FE" w:rsidP="00CD363C">
      <w:pPr>
        <w:spacing w:after="0" w:line="240" w:lineRule="auto"/>
        <w:ind w:right="-66"/>
        <w:jc w:val="both"/>
        <w:rPr>
          <w:rFonts w:ascii="Times New Roman" w:hAnsi="Times New Roman" w:cs="Times New Roman"/>
          <w:b/>
        </w:rPr>
      </w:pPr>
      <w:r w:rsidRPr="00011BE3">
        <w:rPr>
          <w:rFonts w:ascii="Times New Roman" w:hAnsi="Times New Roman" w:cs="Times New Roman"/>
          <w:b/>
        </w:rPr>
        <w:t xml:space="preserve">  </w:t>
      </w:r>
      <w:r w:rsidR="000E0DCD">
        <w:rPr>
          <w:rFonts w:ascii="Times New Roman" w:hAnsi="Times New Roman" w:cs="Times New Roman"/>
          <w:b/>
        </w:rPr>
        <w:t xml:space="preserve">  K  </w:t>
      </w:r>
      <w:r w:rsidRPr="00011BE3">
        <w:rPr>
          <w:rFonts w:ascii="Times New Roman" w:hAnsi="Times New Roman" w:cs="Times New Roman"/>
          <w:b/>
        </w:rPr>
        <w:t>2620</w:t>
      </w:r>
      <w:r w:rsidR="000E0DCD">
        <w:rPr>
          <w:rFonts w:ascii="Times New Roman" w:hAnsi="Times New Roman" w:cs="Times New Roman"/>
          <w:b/>
        </w:rPr>
        <w:t xml:space="preserve">  </w:t>
      </w:r>
      <w:r w:rsidRPr="00011BE3">
        <w:rPr>
          <w:rFonts w:ascii="Times New Roman" w:hAnsi="Times New Roman" w:cs="Times New Roman"/>
          <w:b/>
        </w:rPr>
        <w:t>Norēķinu  konti Valsts kasē vai kredītiestādēs</w:t>
      </w:r>
    </w:p>
    <w:p w14:paraId="57F8263D" w14:textId="77777777" w:rsidR="00F113FE" w:rsidRPr="00011BE3"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610</w:t>
      </w:r>
      <w:r w:rsidRPr="00011BE3">
        <w:rPr>
          <w:rFonts w:ascii="Times New Roman" w:hAnsi="Times New Roman" w:cs="Times New Roman"/>
        </w:rPr>
        <w:t xml:space="preserve">. </w:t>
      </w:r>
      <w:r w:rsidR="009476B9">
        <w:rPr>
          <w:rFonts w:ascii="Times New Roman" w:hAnsi="Times New Roman" w:cs="Times New Roman"/>
        </w:rPr>
        <w:t xml:space="preserve">Ieguldot naudas līdzekļus </w:t>
      </w:r>
      <w:r w:rsidRPr="00011BE3">
        <w:rPr>
          <w:rFonts w:ascii="Times New Roman" w:hAnsi="Times New Roman" w:cs="Times New Roman"/>
        </w:rPr>
        <w:t>noguldījumā, grāmato:</w:t>
      </w:r>
    </w:p>
    <w:p w14:paraId="65DFCE52"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2630</w:t>
      </w:r>
      <w:r>
        <w:rPr>
          <w:rFonts w:ascii="Times New Roman" w:hAnsi="Times New Roman" w:cs="Times New Roman"/>
          <w:b/>
        </w:rPr>
        <w:t xml:space="preserve"> </w:t>
      </w:r>
      <w:r w:rsidR="00F113FE">
        <w:rPr>
          <w:rFonts w:ascii="Times New Roman" w:hAnsi="Times New Roman" w:cs="Times New Roman"/>
          <w:b/>
        </w:rPr>
        <w:t xml:space="preserve"> </w:t>
      </w:r>
      <w:r w:rsidR="009476B9">
        <w:rPr>
          <w:rFonts w:ascii="Times New Roman" w:hAnsi="Times New Roman" w:cs="Times New Roman"/>
          <w:b/>
        </w:rPr>
        <w:t>Naudas ekvivalents</w:t>
      </w:r>
    </w:p>
    <w:p w14:paraId="55FB09A9"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2</w:t>
      </w:r>
      <w:r w:rsidR="00F113FE" w:rsidRPr="00011BE3">
        <w:rPr>
          <w:rFonts w:ascii="Times New Roman" w:hAnsi="Times New Roman" w:cs="Times New Roman"/>
          <w:b/>
        </w:rPr>
        <w:t>620</w:t>
      </w:r>
      <w:r>
        <w:rPr>
          <w:rFonts w:ascii="Times New Roman" w:hAnsi="Times New Roman" w:cs="Times New Roman"/>
          <w:b/>
        </w:rPr>
        <w:t xml:space="preserve">  </w:t>
      </w:r>
      <w:r w:rsidR="00F113FE" w:rsidRPr="00011BE3">
        <w:rPr>
          <w:rFonts w:ascii="Times New Roman" w:hAnsi="Times New Roman" w:cs="Times New Roman"/>
          <w:b/>
        </w:rPr>
        <w:t>Norēķinu konti Valsts kasē vai kredītiestādēs</w:t>
      </w:r>
    </w:p>
    <w:p w14:paraId="1AAE8B7D" w14:textId="77777777" w:rsidR="00F113FE" w:rsidRPr="00011BE3"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611</w:t>
      </w:r>
      <w:r w:rsidRPr="00011BE3">
        <w:rPr>
          <w:rFonts w:ascii="Times New Roman" w:hAnsi="Times New Roman" w:cs="Times New Roman"/>
        </w:rPr>
        <w:t>. Dienā, kad</w:t>
      </w:r>
      <w:r w:rsidR="009476B9">
        <w:rPr>
          <w:rFonts w:ascii="Times New Roman" w:hAnsi="Times New Roman" w:cs="Times New Roman"/>
        </w:rPr>
        <w:t xml:space="preserve"> </w:t>
      </w:r>
      <w:r w:rsidRPr="00011BE3">
        <w:rPr>
          <w:rFonts w:ascii="Times New Roman" w:hAnsi="Times New Roman" w:cs="Times New Roman"/>
        </w:rPr>
        <w:t>noguldījuma termiņš beidzas</w:t>
      </w:r>
      <w:r w:rsidR="000E0DCD">
        <w:rPr>
          <w:rFonts w:ascii="Times New Roman" w:hAnsi="Times New Roman" w:cs="Times New Roman"/>
        </w:rPr>
        <w:t xml:space="preserve">  </w:t>
      </w:r>
      <w:r w:rsidRPr="00011BE3">
        <w:rPr>
          <w:rFonts w:ascii="Times New Roman" w:hAnsi="Times New Roman" w:cs="Times New Roman"/>
        </w:rPr>
        <w:t>un līdzekļus ieskaita norēķinu kontā, grāmato:</w:t>
      </w:r>
    </w:p>
    <w:p w14:paraId="3529EDE3"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2620</w:t>
      </w:r>
      <w:r>
        <w:rPr>
          <w:rFonts w:ascii="Times New Roman" w:hAnsi="Times New Roman" w:cs="Times New Roman"/>
          <w:b/>
        </w:rPr>
        <w:t xml:space="preserve">  </w:t>
      </w:r>
      <w:r w:rsidR="00F113FE" w:rsidRPr="00011BE3">
        <w:rPr>
          <w:rFonts w:ascii="Times New Roman" w:hAnsi="Times New Roman" w:cs="Times New Roman"/>
          <w:b/>
        </w:rPr>
        <w:t>Norēķinu konti Valsts kasē vai kredītiestādēs</w:t>
      </w:r>
    </w:p>
    <w:p w14:paraId="2497EF24"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F113FE" w:rsidRPr="00011BE3">
        <w:rPr>
          <w:rFonts w:ascii="Times New Roman" w:hAnsi="Times New Roman" w:cs="Times New Roman"/>
          <w:b/>
        </w:rPr>
        <w:t>2630</w:t>
      </w:r>
      <w:r>
        <w:rPr>
          <w:rFonts w:ascii="Times New Roman" w:hAnsi="Times New Roman" w:cs="Times New Roman"/>
          <w:b/>
        </w:rPr>
        <w:t xml:space="preserve">  </w:t>
      </w:r>
      <w:r w:rsidR="009476B9">
        <w:rPr>
          <w:rFonts w:ascii="Times New Roman" w:hAnsi="Times New Roman" w:cs="Times New Roman"/>
          <w:b/>
        </w:rPr>
        <w:t>Naudas ekvivalents</w:t>
      </w:r>
    </w:p>
    <w:p w14:paraId="73BDEB1A"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2</w:t>
      </w:r>
      <w:r w:rsidR="00F113FE" w:rsidRPr="00011BE3">
        <w:rPr>
          <w:rFonts w:ascii="Times New Roman" w:hAnsi="Times New Roman" w:cs="Times New Roman"/>
        </w:rPr>
        <w:t>. Pārskata perioda beigās naudas līdzekļu atlikumus ārvalstu valūtā pārvērtē e</w:t>
      </w:r>
      <w:r w:rsidR="00F113FE">
        <w:rPr>
          <w:rFonts w:ascii="Times New Roman" w:hAnsi="Times New Roman" w:cs="Times New Roman"/>
        </w:rPr>
        <w:t>i</w:t>
      </w:r>
      <w:r w:rsidR="00F113FE" w:rsidRPr="00011BE3">
        <w:rPr>
          <w:rFonts w:ascii="Times New Roman" w:hAnsi="Times New Roman" w:cs="Times New Roman"/>
        </w:rPr>
        <w:t xml:space="preserve">ro pēc Eiropas Centrālās bankas, oficiāli noteiktā valūtas maiņas kursa pārskata perioda pēdējā dienā. </w:t>
      </w:r>
    </w:p>
    <w:p w14:paraId="57F13908"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612</w:t>
      </w:r>
      <w:r w:rsidR="00F113FE" w:rsidRPr="00011BE3">
        <w:rPr>
          <w:rFonts w:ascii="Times New Roman" w:hAnsi="Times New Roman" w:cs="Times New Roman"/>
        </w:rPr>
        <w:t>.1. Ja pārvērtēšanas rezultātā veidojas ieņēmumi no valūtas kursa svārstībām, grāmato:</w:t>
      </w:r>
    </w:p>
    <w:p w14:paraId="5C25DA05"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2600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3329E428"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8</w:t>
      </w:r>
      <w:r w:rsidR="00F113FE" w:rsidRPr="00011BE3">
        <w:rPr>
          <w:rFonts w:ascii="Times New Roman" w:hAnsi="Times New Roman" w:cs="Times New Roman"/>
          <w:b/>
        </w:rPr>
        <w:t>110</w:t>
      </w:r>
      <w:r>
        <w:rPr>
          <w:rFonts w:ascii="Times New Roman" w:hAnsi="Times New Roman" w:cs="Times New Roman"/>
          <w:b/>
        </w:rPr>
        <w:t xml:space="preserve">  </w:t>
      </w:r>
      <w:r w:rsidR="00F113FE" w:rsidRPr="00011BE3">
        <w:rPr>
          <w:rFonts w:ascii="Times New Roman" w:hAnsi="Times New Roman" w:cs="Times New Roman"/>
          <w:b/>
        </w:rPr>
        <w:t>Ieņēmumi no valūtas kursu svārstībām (attiecīgais budžeta veids)</w:t>
      </w:r>
    </w:p>
    <w:p w14:paraId="6922B369"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612</w:t>
      </w:r>
      <w:r w:rsidR="00F113FE" w:rsidRPr="00011BE3">
        <w:rPr>
          <w:rFonts w:ascii="Times New Roman" w:hAnsi="Times New Roman" w:cs="Times New Roman"/>
        </w:rPr>
        <w:t>.2. Ja pārvērtēšanas rezultātā veidojas izdevumi no valūtas kursu svārstībām, grāmato:</w:t>
      </w:r>
    </w:p>
    <w:p w14:paraId="7349BE06"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8210</w:t>
      </w:r>
      <w:r w:rsidR="00687E3F">
        <w:rPr>
          <w:rFonts w:ascii="Times New Roman" w:hAnsi="Times New Roman" w:cs="Times New Roman"/>
          <w:b/>
        </w:rPr>
        <w:t xml:space="preserve">  </w:t>
      </w:r>
      <w:r w:rsidR="00F113FE" w:rsidRPr="00011BE3">
        <w:rPr>
          <w:rFonts w:ascii="Times New Roman" w:hAnsi="Times New Roman" w:cs="Times New Roman"/>
          <w:b/>
        </w:rPr>
        <w:t xml:space="preserve">Izdevumi no valūtas kursu svārstībām (attiecīgais budžeta veids) </w:t>
      </w:r>
    </w:p>
    <w:p w14:paraId="6F0BE82F"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sidR="00687E3F">
        <w:rPr>
          <w:rFonts w:ascii="Times New Roman" w:hAnsi="Times New Roman" w:cs="Times New Roman"/>
          <w:b/>
        </w:rPr>
        <w:t xml:space="preserve">  </w:t>
      </w:r>
      <w:r w:rsidR="00F113FE" w:rsidRPr="00011BE3">
        <w:rPr>
          <w:rFonts w:ascii="Times New Roman" w:hAnsi="Times New Roman" w:cs="Times New Roman"/>
          <w:b/>
        </w:rPr>
        <w:t>2600</w:t>
      </w:r>
      <w:r w:rsidR="00687E3F">
        <w:rPr>
          <w:rFonts w:ascii="Times New Roman" w:hAnsi="Times New Roman" w:cs="Times New Roman"/>
          <w:b/>
        </w:rPr>
        <w:t xml:space="preserve">  </w:t>
      </w:r>
      <w:r w:rsidR="00F113FE" w:rsidRPr="00011BE3">
        <w:rPr>
          <w:rFonts w:ascii="Times New Roman" w:hAnsi="Times New Roman" w:cs="Times New Roman"/>
          <w:b/>
        </w:rPr>
        <w:t>Naudas līdzekļi</w:t>
      </w:r>
    </w:p>
    <w:p w14:paraId="36D74497"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 Maksājot nau</w:t>
      </w:r>
      <w:r w:rsidR="00F113FE">
        <w:rPr>
          <w:rFonts w:ascii="Times New Roman" w:hAnsi="Times New Roman" w:cs="Times New Roman"/>
        </w:rPr>
        <w:t>d</w:t>
      </w:r>
      <w:r w:rsidR="00F113FE" w:rsidRPr="00011BE3">
        <w:rPr>
          <w:rFonts w:ascii="Times New Roman" w:hAnsi="Times New Roman" w:cs="Times New Roman"/>
        </w:rPr>
        <w:t>as līdzekļus, atzīst to samazinājumu un uzskaita attiecīgo darījumu:</w:t>
      </w:r>
    </w:p>
    <w:p w14:paraId="7B6F35E2"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.1. atzīstot avansus</w:t>
      </w:r>
      <w:r w:rsidR="00F113FE">
        <w:rPr>
          <w:rFonts w:ascii="Times New Roman" w:hAnsi="Times New Roman" w:cs="Times New Roman"/>
        </w:rPr>
        <w:t xml:space="preserve"> </w:t>
      </w:r>
      <w:r w:rsidR="00F113FE" w:rsidRPr="00011BE3">
        <w:rPr>
          <w:rFonts w:ascii="Times New Roman" w:hAnsi="Times New Roman" w:cs="Times New Roman"/>
        </w:rPr>
        <w:t>, ja avansi noteikti līgumu nosacījumos, nākamo periodu izdevumus, grāmato:</w:t>
      </w:r>
    </w:p>
    <w:p w14:paraId="747327EB"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1180</w:t>
      </w:r>
      <w:r>
        <w:rPr>
          <w:rFonts w:ascii="Times New Roman" w:hAnsi="Times New Roman" w:cs="Times New Roman"/>
          <w:b/>
        </w:rPr>
        <w:t xml:space="preserve">  </w:t>
      </w:r>
      <w:r w:rsidR="00F113FE" w:rsidRPr="00011BE3">
        <w:rPr>
          <w:rFonts w:ascii="Times New Roman" w:hAnsi="Times New Roman" w:cs="Times New Roman"/>
          <w:b/>
        </w:rPr>
        <w:t>Avansa maksājumi par nemateriālajiem ieguldījumiem</w:t>
      </w:r>
    </w:p>
    <w:p w14:paraId="00CF564A"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1280</w:t>
      </w:r>
      <w:r>
        <w:rPr>
          <w:rFonts w:ascii="Times New Roman" w:hAnsi="Times New Roman" w:cs="Times New Roman"/>
          <w:b/>
        </w:rPr>
        <w:t xml:space="preserve">  </w:t>
      </w:r>
      <w:r w:rsidR="00F113FE" w:rsidRPr="00011BE3">
        <w:rPr>
          <w:rFonts w:ascii="Times New Roman" w:hAnsi="Times New Roman" w:cs="Times New Roman"/>
          <w:b/>
        </w:rPr>
        <w:t>Avansa maksājumi par pamatlīdzekļiem</w:t>
      </w:r>
    </w:p>
    <w:p w14:paraId="2D2E085C"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2180</w:t>
      </w:r>
      <w:r>
        <w:rPr>
          <w:rFonts w:ascii="Times New Roman" w:hAnsi="Times New Roman" w:cs="Times New Roman"/>
          <w:b/>
        </w:rPr>
        <w:t xml:space="preserve">  </w:t>
      </w:r>
      <w:r w:rsidR="00F113FE" w:rsidRPr="00011BE3">
        <w:rPr>
          <w:rFonts w:ascii="Times New Roman" w:hAnsi="Times New Roman" w:cs="Times New Roman"/>
          <w:b/>
        </w:rPr>
        <w:t>Avansa maksājumi par krājumiem</w:t>
      </w:r>
    </w:p>
    <w:p w14:paraId="5A038318" w14:textId="77777777" w:rsidR="00F113FE"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2400</w:t>
      </w:r>
      <w:r>
        <w:rPr>
          <w:rFonts w:ascii="Times New Roman" w:hAnsi="Times New Roman" w:cs="Times New Roman"/>
          <w:b/>
        </w:rPr>
        <w:t xml:space="preserve"> </w:t>
      </w:r>
      <w:r w:rsidR="00F113FE" w:rsidRPr="00011BE3">
        <w:rPr>
          <w:rFonts w:ascii="Times New Roman" w:hAnsi="Times New Roman" w:cs="Times New Roman"/>
          <w:b/>
        </w:rPr>
        <w:t xml:space="preserve">Nākamo periodu izdevumi un avansi par pakalpojumiem un </w:t>
      </w:r>
    </w:p>
    <w:p w14:paraId="53C9149C" w14:textId="77777777" w:rsidR="00F113FE" w:rsidRPr="00011BE3" w:rsidRDefault="00F113FE"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011BE3">
        <w:rPr>
          <w:rFonts w:ascii="Times New Roman" w:hAnsi="Times New Roman" w:cs="Times New Roman"/>
          <w:b/>
        </w:rPr>
        <w:t>projektiem</w:t>
      </w:r>
    </w:p>
    <w:p w14:paraId="64288195"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010013F7"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.2. atzīstot saistību konta samazinājumu un veicot norēķinus, grāmato:</w:t>
      </w:r>
    </w:p>
    <w:p w14:paraId="7B0A8E3E"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5000</w:t>
      </w:r>
      <w:r>
        <w:rPr>
          <w:rFonts w:ascii="Times New Roman" w:hAnsi="Times New Roman" w:cs="Times New Roman"/>
          <w:b/>
        </w:rPr>
        <w:t xml:space="preserve">  </w:t>
      </w:r>
      <w:r w:rsidR="00F113FE" w:rsidRPr="00011BE3">
        <w:rPr>
          <w:rFonts w:ascii="Times New Roman" w:hAnsi="Times New Roman" w:cs="Times New Roman"/>
          <w:b/>
        </w:rPr>
        <w:t>Kreditori</w:t>
      </w:r>
    </w:p>
    <w:p w14:paraId="5EFFE479"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2</w:t>
      </w:r>
      <w:r w:rsidR="00F113FE" w:rsidRPr="00011BE3">
        <w:rPr>
          <w:rFonts w:ascii="Times New Roman" w:hAnsi="Times New Roman" w:cs="Times New Roman"/>
          <w:b/>
        </w:rPr>
        <w:t>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19ECD664"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.3. pie samaksas darījumus atzīstot izdevumos, grāmato:</w:t>
      </w:r>
    </w:p>
    <w:p w14:paraId="2DE98B67"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7000 Pamatdarbības izdevumi (attiecīgais izdevumu konts)</w:t>
      </w:r>
    </w:p>
    <w:p w14:paraId="7395B66C"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8000</w:t>
      </w:r>
      <w:r>
        <w:rPr>
          <w:rFonts w:ascii="Times New Roman" w:hAnsi="Times New Roman" w:cs="Times New Roman"/>
          <w:b/>
        </w:rPr>
        <w:t xml:space="preserve">  </w:t>
      </w:r>
      <w:r w:rsidR="00F113FE" w:rsidRPr="00011BE3">
        <w:rPr>
          <w:rFonts w:ascii="Times New Roman" w:hAnsi="Times New Roman" w:cs="Times New Roman"/>
          <w:b/>
        </w:rPr>
        <w:t>Dažādi izdevumi (attiecīgais izdevumu konts)</w:t>
      </w:r>
    </w:p>
    <w:p w14:paraId="51843C6D"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590F10B7"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4</w:t>
      </w:r>
      <w:r w:rsidR="00F113FE" w:rsidRPr="00011BE3">
        <w:rPr>
          <w:rFonts w:ascii="Times New Roman" w:hAnsi="Times New Roman" w:cs="Times New Roman"/>
        </w:rPr>
        <w:t>. Ja saistības uzskatāmas par dzēstām tikai tad, kad adresāts saņēmis naudu savā kontā (noteikts līgumā), budžeta iestāde, kura veic pārskaitījumu, pārskaitītos līdzekļus līdz apliecinājumam par naudas saņemšanu adresāta kontā, uzskaita kā naudu ceļā, grāmatojot:</w:t>
      </w:r>
    </w:p>
    <w:p w14:paraId="320124A2"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2</w:t>
      </w:r>
      <w:r w:rsidR="00F113FE" w:rsidRPr="00011BE3">
        <w:rPr>
          <w:rFonts w:ascii="Times New Roman" w:hAnsi="Times New Roman" w:cs="Times New Roman"/>
          <w:b/>
        </w:rPr>
        <w:t>670</w:t>
      </w:r>
      <w:r>
        <w:rPr>
          <w:rFonts w:ascii="Times New Roman" w:hAnsi="Times New Roman" w:cs="Times New Roman"/>
          <w:b/>
        </w:rPr>
        <w:t xml:space="preserve">  </w:t>
      </w:r>
      <w:r w:rsidR="00F113FE">
        <w:rPr>
          <w:rFonts w:ascii="Times New Roman" w:hAnsi="Times New Roman" w:cs="Times New Roman"/>
          <w:b/>
        </w:rPr>
        <w:t>N</w:t>
      </w:r>
      <w:r w:rsidR="00F113FE" w:rsidRPr="00011BE3">
        <w:rPr>
          <w:rFonts w:ascii="Times New Roman" w:hAnsi="Times New Roman" w:cs="Times New Roman"/>
          <w:b/>
        </w:rPr>
        <w:t>auda ceļā</w:t>
      </w:r>
    </w:p>
    <w:p w14:paraId="70E720C2"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2620</w:t>
      </w:r>
      <w:r>
        <w:rPr>
          <w:rFonts w:ascii="Times New Roman" w:hAnsi="Times New Roman" w:cs="Times New Roman"/>
          <w:b/>
        </w:rPr>
        <w:t xml:space="preserve">  </w:t>
      </w:r>
      <w:r w:rsidR="00F113FE">
        <w:rPr>
          <w:rFonts w:ascii="Times New Roman" w:hAnsi="Times New Roman" w:cs="Times New Roman"/>
          <w:b/>
        </w:rPr>
        <w:t>N</w:t>
      </w:r>
      <w:r w:rsidR="00F113FE" w:rsidRPr="00011BE3">
        <w:rPr>
          <w:rFonts w:ascii="Times New Roman" w:hAnsi="Times New Roman" w:cs="Times New Roman"/>
          <w:b/>
        </w:rPr>
        <w:t>orēķinu  konti Valsts kasē vai kredītiestādēs</w:t>
      </w:r>
    </w:p>
    <w:p w14:paraId="6DE09E5F"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5</w:t>
      </w:r>
      <w:r w:rsidR="00F113FE" w:rsidRPr="00011BE3">
        <w:rPr>
          <w:rFonts w:ascii="Times New Roman" w:hAnsi="Times New Roman" w:cs="Times New Roman"/>
        </w:rPr>
        <w:t>. Dienā, kad adresāts saņem naudu savā kontā, saistības dzēš un budžeta iestāde pārskaitītos naudas līdzekļus izslēdz no konta “Nauda ceļā”, grāmatojot:</w:t>
      </w:r>
    </w:p>
    <w:p w14:paraId="5D2891EE"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2300</w:t>
      </w:r>
      <w:r>
        <w:rPr>
          <w:rFonts w:ascii="Times New Roman" w:hAnsi="Times New Roman" w:cs="Times New Roman"/>
          <w:b/>
        </w:rPr>
        <w:t xml:space="preserve">  </w:t>
      </w:r>
      <w:r w:rsidR="00F113FE" w:rsidRPr="00011BE3">
        <w:rPr>
          <w:rFonts w:ascii="Times New Roman" w:hAnsi="Times New Roman" w:cs="Times New Roman"/>
          <w:b/>
        </w:rPr>
        <w:t>Debitori</w:t>
      </w:r>
    </w:p>
    <w:p w14:paraId="78733531"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5000</w:t>
      </w:r>
      <w:r>
        <w:rPr>
          <w:rFonts w:ascii="Times New Roman" w:hAnsi="Times New Roman" w:cs="Times New Roman"/>
          <w:b/>
        </w:rPr>
        <w:t xml:space="preserve">  </w:t>
      </w:r>
      <w:r w:rsidR="00F113FE" w:rsidRPr="00011BE3">
        <w:rPr>
          <w:rFonts w:ascii="Times New Roman" w:hAnsi="Times New Roman" w:cs="Times New Roman"/>
          <w:b/>
        </w:rPr>
        <w:t>Kreditori</w:t>
      </w:r>
    </w:p>
    <w:p w14:paraId="76CCA1EB"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7</w:t>
      </w:r>
      <w:r w:rsidR="00F113FE" w:rsidRPr="00011BE3">
        <w:rPr>
          <w:rFonts w:ascii="Times New Roman" w:hAnsi="Times New Roman" w:cs="Times New Roman"/>
          <w:b/>
        </w:rPr>
        <w:t>000</w:t>
      </w:r>
      <w:r>
        <w:rPr>
          <w:rFonts w:ascii="Times New Roman" w:hAnsi="Times New Roman" w:cs="Times New Roman"/>
          <w:b/>
        </w:rPr>
        <w:t xml:space="preserve">  </w:t>
      </w:r>
      <w:r w:rsidR="00F113FE" w:rsidRPr="00011BE3">
        <w:rPr>
          <w:rFonts w:ascii="Times New Roman" w:hAnsi="Times New Roman" w:cs="Times New Roman"/>
          <w:b/>
        </w:rPr>
        <w:t>Pamatdarbības izdevumi (attiecīgais izdevumu konts)</w:t>
      </w:r>
    </w:p>
    <w:p w14:paraId="236C9DCC"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8000</w:t>
      </w:r>
      <w:r>
        <w:rPr>
          <w:rFonts w:ascii="Times New Roman" w:hAnsi="Times New Roman" w:cs="Times New Roman"/>
          <w:b/>
        </w:rPr>
        <w:t xml:space="preserve">  </w:t>
      </w:r>
      <w:r w:rsidR="00F113FE" w:rsidRPr="00011BE3">
        <w:rPr>
          <w:rFonts w:ascii="Times New Roman" w:hAnsi="Times New Roman" w:cs="Times New Roman"/>
          <w:b/>
        </w:rPr>
        <w:t>Dažādi izdevumi (attiecīgais izdevumu konts)</w:t>
      </w:r>
    </w:p>
    <w:p w14:paraId="18EE6478"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2</w:t>
      </w:r>
      <w:r w:rsidR="00F113FE" w:rsidRPr="00011BE3">
        <w:rPr>
          <w:rFonts w:ascii="Times New Roman" w:hAnsi="Times New Roman" w:cs="Times New Roman"/>
          <w:b/>
        </w:rPr>
        <w:t>670</w:t>
      </w:r>
      <w:r>
        <w:rPr>
          <w:rFonts w:ascii="Times New Roman" w:hAnsi="Times New Roman" w:cs="Times New Roman"/>
          <w:b/>
        </w:rPr>
        <w:t xml:space="preserve">  </w:t>
      </w:r>
      <w:r w:rsidR="00F113FE" w:rsidRPr="00011BE3">
        <w:rPr>
          <w:rFonts w:ascii="Times New Roman" w:hAnsi="Times New Roman" w:cs="Times New Roman"/>
          <w:b/>
        </w:rPr>
        <w:t>Nauda ceļā</w:t>
      </w:r>
    </w:p>
    <w:p w14:paraId="0C90FC68" w14:textId="77777777" w:rsidR="00F113FE" w:rsidRPr="004C2667" w:rsidRDefault="00D9671A" w:rsidP="00CD363C">
      <w:pPr>
        <w:spacing w:after="0" w:line="240" w:lineRule="auto"/>
        <w:ind w:right="-66"/>
        <w:jc w:val="both"/>
        <w:rPr>
          <w:rFonts w:ascii="Times New Roman" w:hAnsi="Times New Roman" w:cs="Times New Roman"/>
        </w:rPr>
      </w:pPr>
      <w:r>
        <w:rPr>
          <w:rFonts w:ascii="Times New Roman" w:hAnsi="Times New Roman" w:cs="Times New Roman"/>
          <w:sz w:val="24"/>
          <w:szCs w:val="24"/>
        </w:rPr>
        <w:t>61</w:t>
      </w:r>
      <w:r w:rsidR="00F113FE" w:rsidRPr="007D4F07">
        <w:rPr>
          <w:rFonts w:ascii="Times New Roman" w:hAnsi="Times New Roman" w:cs="Times New Roman"/>
          <w:sz w:val="24"/>
          <w:szCs w:val="24"/>
        </w:rPr>
        <w:t>6.</w:t>
      </w:r>
      <w:r w:rsidR="00F113FE" w:rsidRPr="004C2667">
        <w:rPr>
          <w:rFonts w:ascii="Times New Roman" w:hAnsi="Times New Roman" w:cs="Times New Roman"/>
        </w:rPr>
        <w:t xml:space="preserve">  Pagasta </w:t>
      </w:r>
      <w:r w:rsidR="009476B9">
        <w:rPr>
          <w:rFonts w:ascii="Times New Roman" w:hAnsi="Times New Roman" w:cs="Times New Roman"/>
        </w:rPr>
        <w:t>apvienības</w:t>
      </w:r>
      <w:r w:rsidR="00386475">
        <w:rPr>
          <w:rFonts w:ascii="Times New Roman" w:hAnsi="Times New Roman" w:cs="Times New Roman"/>
        </w:rPr>
        <w:t xml:space="preserve"> un to struktūrvienības</w:t>
      </w:r>
      <w:r w:rsidR="00F113FE" w:rsidRPr="004C2667">
        <w:rPr>
          <w:rFonts w:ascii="Times New Roman" w:hAnsi="Times New Roman" w:cs="Times New Roman"/>
        </w:rPr>
        <w:t xml:space="preserve">, mēneša laikā saņemtos naudas līdzekļus par NIN , kavējuma naudas par laicīgi nenomaksāto NIN un  nodevām, mēneša pēdējā darba dienā pārskaita novada domes pamatbudžeta kontā. Grāmatvedības uzskaitē </w:t>
      </w:r>
      <w:r w:rsidR="00386475">
        <w:rPr>
          <w:rFonts w:ascii="Times New Roman" w:hAnsi="Times New Roman" w:cs="Times New Roman"/>
        </w:rPr>
        <w:t xml:space="preserve">iekasējot valsts un pašvaldības nodevas, NIN kavējuma naudas  </w:t>
      </w:r>
      <w:r w:rsidR="00F113FE" w:rsidRPr="004C2667">
        <w:rPr>
          <w:rFonts w:ascii="Times New Roman" w:hAnsi="Times New Roman" w:cs="Times New Roman"/>
        </w:rPr>
        <w:t xml:space="preserve">minēto darījumu atspoguļo </w:t>
      </w:r>
      <w:r w:rsidR="009476B9">
        <w:rPr>
          <w:rFonts w:ascii="Times New Roman" w:hAnsi="Times New Roman" w:cs="Times New Roman"/>
        </w:rPr>
        <w:t xml:space="preserve"> kā norēķinus ar savas pašvaldības iestādēm(5311.3  kont</w:t>
      </w:r>
      <w:r w:rsidR="005249E7">
        <w:rPr>
          <w:rFonts w:ascii="Times New Roman" w:hAnsi="Times New Roman" w:cs="Times New Roman"/>
        </w:rPr>
        <w:t>s</w:t>
      </w:r>
      <w:r w:rsidR="009476B9">
        <w:rPr>
          <w:rFonts w:ascii="Times New Roman" w:hAnsi="Times New Roman" w:cs="Times New Roman"/>
        </w:rPr>
        <w:t>)</w:t>
      </w:r>
      <w:r w:rsidR="00F113FE" w:rsidRPr="004C2667">
        <w:rPr>
          <w:rFonts w:ascii="Times New Roman" w:hAnsi="Times New Roman" w:cs="Times New Roman"/>
        </w:rPr>
        <w:t xml:space="preserve"> par konkrētu darījumu piemērojot </w:t>
      </w:r>
      <w:r w:rsidR="005249E7">
        <w:rPr>
          <w:rFonts w:ascii="Times New Roman" w:hAnsi="Times New Roman" w:cs="Times New Roman"/>
        </w:rPr>
        <w:t xml:space="preserve">attiecīgos </w:t>
      </w:r>
      <w:r w:rsidR="00F113FE" w:rsidRPr="004C2667">
        <w:rPr>
          <w:rFonts w:ascii="Times New Roman" w:hAnsi="Times New Roman" w:cs="Times New Roman"/>
        </w:rPr>
        <w:t xml:space="preserve">EKK kodus  </w:t>
      </w:r>
      <w:r w:rsidR="00386475">
        <w:rPr>
          <w:rFonts w:ascii="Times New Roman" w:hAnsi="Times New Roman" w:cs="Times New Roman"/>
        </w:rPr>
        <w:t>.</w:t>
      </w:r>
      <w:r w:rsidR="005249E7">
        <w:rPr>
          <w:rFonts w:ascii="Times New Roman" w:hAnsi="Times New Roman" w:cs="Times New Roman"/>
        </w:rPr>
        <w:t xml:space="preserve"> Pagastu apvienības iekasējot NIN piemēro kontu 2341 un attiecīgos EKK kodus.</w:t>
      </w:r>
    </w:p>
    <w:p w14:paraId="312FC6B9"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sidRPr="004C2667">
        <w:rPr>
          <w:rFonts w:ascii="Times New Roman" w:hAnsi="Times New Roman" w:cs="Times New Roman"/>
        </w:rPr>
        <w:t xml:space="preserve"> saņemot NIN maksājumus grāmato:</w:t>
      </w:r>
    </w:p>
    <w:p w14:paraId="10E76FBE"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4C2667">
        <w:rPr>
          <w:rFonts w:ascii="Times New Roman" w:hAnsi="Times New Roman" w:cs="Times New Roman"/>
          <w:b/>
        </w:rPr>
        <w:t>D</w:t>
      </w:r>
      <w:r>
        <w:rPr>
          <w:rFonts w:ascii="Times New Roman" w:hAnsi="Times New Roman" w:cs="Times New Roman"/>
          <w:b/>
        </w:rPr>
        <w:t xml:space="preserve">  </w:t>
      </w:r>
      <w:r w:rsidR="00F113FE" w:rsidRPr="004C2667">
        <w:rPr>
          <w:rFonts w:ascii="Times New Roman" w:hAnsi="Times New Roman" w:cs="Times New Roman"/>
          <w:b/>
        </w:rPr>
        <w:t>26xx</w:t>
      </w:r>
      <w:r>
        <w:rPr>
          <w:rFonts w:ascii="Times New Roman" w:hAnsi="Times New Roman" w:cs="Times New Roman"/>
          <w:b/>
        </w:rPr>
        <w:t xml:space="preserve">  </w:t>
      </w:r>
      <w:r w:rsidR="00F113FE" w:rsidRPr="004C2667">
        <w:rPr>
          <w:rFonts w:ascii="Times New Roman" w:hAnsi="Times New Roman" w:cs="Times New Roman"/>
          <w:b/>
        </w:rPr>
        <w:t>Naudas līdzekļi</w:t>
      </w:r>
    </w:p>
    <w:p w14:paraId="19B678E8"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4C2667">
        <w:rPr>
          <w:rFonts w:ascii="Times New Roman" w:hAnsi="Times New Roman" w:cs="Times New Roman"/>
          <w:b/>
        </w:rPr>
        <w:t>K</w:t>
      </w:r>
      <w:r>
        <w:rPr>
          <w:rFonts w:ascii="Times New Roman" w:hAnsi="Times New Roman" w:cs="Times New Roman"/>
          <w:b/>
        </w:rPr>
        <w:t xml:space="preserve">  </w:t>
      </w:r>
      <w:r w:rsidR="00F113FE" w:rsidRPr="004C2667">
        <w:rPr>
          <w:rFonts w:ascii="Times New Roman" w:hAnsi="Times New Roman" w:cs="Times New Roman"/>
          <w:b/>
        </w:rPr>
        <w:t>2341</w:t>
      </w:r>
      <w:r>
        <w:rPr>
          <w:rFonts w:ascii="Times New Roman" w:hAnsi="Times New Roman" w:cs="Times New Roman"/>
          <w:b/>
        </w:rPr>
        <w:t xml:space="preserve">  </w:t>
      </w:r>
      <w:r w:rsidR="00F113FE">
        <w:rPr>
          <w:rFonts w:ascii="Times New Roman" w:hAnsi="Times New Roman" w:cs="Times New Roman"/>
          <w:b/>
        </w:rPr>
        <w:t>N</w:t>
      </w:r>
      <w:r w:rsidR="00F113FE" w:rsidRPr="004C2667">
        <w:rPr>
          <w:rFonts w:ascii="Times New Roman" w:hAnsi="Times New Roman" w:cs="Times New Roman"/>
          <w:b/>
        </w:rPr>
        <w:t>orēķini  par nodokļiem</w:t>
      </w:r>
    </w:p>
    <w:p w14:paraId="08492E8E"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sidRPr="004C2667">
        <w:rPr>
          <w:rFonts w:ascii="Times New Roman" w:hAnsi="Times New Roman" w:cs="Times New Roman"/>
        </w:rPr>
        <w:t xml:space="preserve"> pārskaitot  iekasētos naudas līdzekļus par NIN novada domes kontā  </w:t>
      </w:r>
      <w:r w:rsidR="00B81DB5">
        <w:rPr>
          <w:rFonts w:ascii="Times New Roman" w:hAnsi="Times New Roman" w:cs="Times New Roman"/>
        </w:rPr>
        <w:t xml:space="preserve"> </w:t>
      </w:r>
    </w:p>
    <w:p w14:paraId="7A8BC1FE" w14:textId="77777777" w:rsidR="00F113FE" w:rsidRPr="004C2667" w:rsidRDefault="00F113FE" w:rsidP="00CD363C">
      <w:pPr>
        <w:spacing w:after="0" w:line="240" w:lineRule="auto"/>
        <w:ind w:right="-66"/>
        <w:jc w:val="both"/>
        <w:rPr>
          <w:rFonts w:ascii="Times New Roman" w:hAnsi="Times New Roman" w:cs="Times New Roman"/>
          <w:b/>
        </w:rPr>
      </w:pPr>
      <w:r w:rsidRPr="004C2667">
        <w:rPr>
          <w:rFonts w:ascii="Times New Roman" w:hAnsi="Times New Roman" w:cs="Times New Roman"/>
        </w:rPr>
        <w:t xml:space="preserve"> </w:t>
      </w:r>
      <w:r w:rsidR="00B81DB5">
        <w:rPr>
          <w:rFonts w:ascii="Times New Roman" w:hAnsi="Times New Roman" w:cs="Times New Roman"/>
        </w:rPr>
        <w:t xml:space="preserve">    </w:t>
      </w:r>
      <w:r w:rsidRPr="004C2667">
        <w:rPr>
          <w:rFonts w:ascii="Times New Roman" w:hAnsi="Times New Roman" w:cs="Times New Roman"/>
          <w:b/>
        </w:rPr>
        <w:t>D</w:t>
      </w:r>
      <w:r w:rsidR="00B81DB5">
        <w:rPr>
          <w:rFonts w:ascii="Times New Roman" w:hAnsi="Times New Roman" w:cs="Times New Roman"/>
          <w:b/>
        </w:rPr>
        <w:t xml:space="preserve">  </w:t>
      </w:r>
      <w:r w:rsidRPr="004C2667">
        <w:rPr>
          <w:rFonts w:ascii="Times New Roman" w:hAnsi="Times New Roman" w:cs="Times New Roman"/>
          <w:b/>
        </w:rPr>
        <w:t>2341</w:t>
      </w:r>
      <w:r w:rsidR="00B81DB5">
        <w:rPr>
          <w:rFonts w:ascii="Times New Roman" w:hAnsi="Times New Roman" w:cs="Times New Roman"/>
          <w:b/>
        </w:rPr>
        <w:t xml:space="preserve">  </w:t>
      </w:r>
      <w:r w:rsidRPr="004C2667">
        <w:rPr>
          <w:rFonts w:ascii="Times New Roman" w:hAnsi="Times New Roman" w:cs="Times New Roman"/>
          <w:b/>
        </w:rPr>
        <w:t>Norēķini par nodokļiem</w:t>
      </w:r>
    </w:p>
    <w:p w14:paraId="5E9E2741" w14:textId="77777777" w:rsidR="00F113FE" w:rsidRPr="004C2667" w:rsidRDefault="00F113FE" w:rsidP="00CD363C">
      <w:pPr>
        <w:spacing w:after="0" w:line="240" w:lineRule="auto"/>
        <w:ind w:right="-66"/>
        <w:jc w:val="both"/>
        <w:rPr>
          <w:rFonts w:ascii="Times New Roman" w:hAnsi="Times New Roman" w:cs="Times New Roman"/>
          <w:b/>
        </w:rPr>
      </w:pPr>
      <w:r w:rsidRPr="004C2667">
        <w:rPr>
          <w:rFonts w:ascii="Times New Roman" w:hAnsi="Times New Roman" w:cs="Times New Roman"/>
          <w:b/>
        </w:rPr>
        <w:t xml:space="preserve"> </w:t>
      </w:r>
      <w:r w:rsidR="00B81DB5">
        <w:rPr>
          <w:rFonts w:ascii="Times New Roman" w:hAnsi="Times New Roman" w:cs="Times New Roman"/>
          <w:b/>
        </w:rPr>
        <w:t xml:space="preserve">    </w:t>
      </w:r>
      <w:r w:rsidRPr="004C2667">
        <w:rPr>
          <w:rFonts w:ascii="Times New Roman" w:hAnsi="Times New Roman" w:cs="Times New Roman"/>
          <w:b/>
        </w:rPr>
        <w:t>K</w:t>
      </w:r>
      <w:r w:rsidR="00B81DB5">
        <w:rPr>
          <w:rFonts w:ascii="Times New Roman" w:hAnsi="Times New Roman" w:cs="Times New Roman"/>
          <w:b/>
        </w:rPr>
        <w:t xml:space="preserve">  </w:t>
      </w:r>
      <w:r w:rsidRPr="004C2667">
        <w:rPr>
          <w:rFonts w:ascii="Times New Roman" w:hAnsi="Times New Roman" w:cs="Times New Roman"/>
          <w:b/>
        </w:rPr>
        <w:t>26xx</w:t>
      </w:r>
      <w:r w:rsidR="00B81DB5">
        <w:rPr>
          <w:rFonts w:ascii="Times New Roman" w:hAnsi="Times New Roman" w:cs="Times New Roman"/>
          <w:b/>
        </w:rPr>
        <w:t xml:space="preserve">  </w:t>
      </w:r>
      <w:r w:rsidRPr="004C2667">
        <w:rPr>
          <w:rFonts w:ascii="Times New Roman" w:hAnsi="Times New Roman" w:cs="Times New Roman"/>
          <w:b/>
        </w:rPr>
        <w:t>Naudas līdzekļi</w:t>
      </w:r>
    </w:p>
    <w:p w14:paraId="7454DDB9"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Novada dome saņemot naudas līdzekļus par NIN no pagasta </w:t>
      </w:r>
      <w:r w:rsidR="00CF1ECF">
        <w:rPr>
          <w:rFonts w:ascii="Times New Roman" w:hAnsi="Times New Roman" w:cs="Times New Roman"/>
        </w:rPr>
        <w:t>apvienības</w:t>
      </w:r>
      <w:r w:rsidRPr="004C2667">
        <w:rPr>
          <w:rFonts w:ascii="Times New Roman" w:hAnsi="Times New Roman" w:cs="Times New Roman"/>
        </w:rPr>
        <w:t xml:space="preserve"> grāmato</w:t>
      </w:r>
      <w:r>
        <w:rPr>
          <w:rFonts w:ascii="Times New Roman" w:hAnsi="Times New Roman" w:cs="Times New Roman"/>
        </w:rPr>
        <w:t>( pēc NINO programmas izdrukām par katru pagasta pārvaldi par mēnesi)</w:t>
      </w:r>
      <w:r w:rsidRPr="004C2667">
        <w:rPr>
          <w:rFonts w:ascii="Times New Roman" w:hAnsi="Times New Roman" w:cs="Times New Roman"/>
        </w:rPr>
        <w:t>:</w:t>
      </w:r>
    </w:p>
    <w:p w14:paraId="76CAFEBC"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4C2667">
        <w:rPr>
          <w:rFonts w:ascii="Times New Roman" w:hAnsi="Times New Roman" w:cs="Times New Roman"/>
          <w:b/>
        </w:rPr>
        <w:t>26xx</w:t>
      </w:r>
      <w:r>
        <w:rPr>
          <w:rFonts w:ascii="Times New Roman" w:hAnsi="Times New Roman" w:cs="Times New Roman"/>
          <w:b/>
        </w:rPr>
        <w:t xml:space="preserve">  </w:t>
      </w:r>
      <w:r w:rsidR="00F113FE" w:rsidRPr="004C2667">
        <w:rPr>
          <w:rFonts w:ascii="Times New Roman" w:hAnsi="Times New Roman" w:cs="Times New Roman"/>
          <w:b/>
        </w:rPr>
        <w:t>Naudas līdzekļi</w:t>
      </w:r>
    </w:p>
    <w:p w14:paraId="649B6E4D"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4C2667">
        <w:rPr>
          <w:rFonts w:ascii="Times New Roman" w:hAnsi="Times New Roman" w:cs="Times New Roman"/>
          <w:b/>
        </w:rPr>
        <w:t>K</w:t>
      </w:r>
      <w:r>
        <w:rPr>
          <w:rFonts w:ascii="Times New Roman" w:hAnsi="Times New Roman" w:cs="Times New Roman"/>
          <w:b/>
        </w:rPr>
        <w:t xml:space="preserve">  </w:t>
      </w:r>
      <w:r w:rsidR="00F113FE" w:rsidRPr="004C2667">
        <w:rPr>
          <w:rFonts w:ascii="Times New Roman" w:hAnsi="Times New Roman" w:cs="Times New Roman"/>
          <w:b/>
        </w:rPr>
        <w:t>2341</w:t>
      </w:r>
      <w:r>
        <w:rPr>
          <w:rFonts w:ascii="Times New Roman" w:hAnsi="Times New Roman" w:cs="Times New Roman"/>
          <w:b/>
        </w:rPr>
        <w:t xml:space="preserve">  </w:t>
      </w:r>
      <w:r w:rsidR="00F113FE" w:rsidRPr="004C2667">
        <w:rPr>
          <w:rFonts w:ascii="Times New Roman" w:hAnsi="Times New Roman" w:cs="Times New Roman"/>
          <w:b/>
        </w:rPr>
        <w:t>Norēķini par nodokļiem</w:t>
      </w:r>
    </w:p>
    <w:p w14:paraId="39E3717D"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Pr>
          <w:rFonts w:ascii="Times New Roman" w:hAnsi="Times New Roman" w:cs="Times New Roman"/>
        </w:rPr>
        <w:t xml:space="preserve"> </w:t>
      </w:r>
      <w:r w:rsidRPr="004C2667">
        <w:rPr>
          <w:rFonts w:ascii="Times New Roman" w:hAnsi="Times New Roman" w:cs="Times New Roman"/>
        </w:rPr>
        <w:t xml:space="preserve"> naudas līdzekļus par kavējuma naudām un nodevām grāmato:</w:t>
      </w:r>
    </w:p>
    <w:p w14:paraId="6585A95E" w14:textId="77777777" w:rsidR="00F113FE" w:rsidRPr="00AC75EB"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D</w:t>
      </w:r>
      <w:r>
        <w:rPr>
          <w:rFonts w:ascii="Times New Roman" w:hAnsi="Times New Roman" w:cs="Times New Roman"/>
          <w:b/>
        </w:rPr>
        <w:t xml:space="preserve">  </w:t>
      </w:r>
      <w:r w:rsidR="00F113FE" w:rsidRPr="00AC75EB">
        <w:rPr>
          <w:rFonts w:ascii="Times New Roman" w:hAnsi="Times New Roman" w:cs="Times New Roman"/>
          <w:b/>
        </w:rPr>
        <w:t>26xx</w:t>
      </w:r>
      <w:r>
        <w:rPr>
          <w:rFonts w:ascii="Times New Roman" w:hAnsi="Times New Roman" w:cs="Times New Roman"/>
          <w:b/>
        </w:rPr>
        <w:t xml:space="preserve">  </w:t>
      </w:r>
      <w:r w:rsidR="00F113FE" w:rsidRPr="00AC75EB">
        <w:rPr>
          <w:rFonts w:ascii="Times New Roman" w:hAnsi="Times New Roman" w:cs="Times New Roman"/>
          <w:b/>
        </w:rPr>
        <w:t>Naudas līdzekļi</w:t>
      </w:r>
    </w:p>
    <w:p w14:paraId="53BF56A3" w14:textId="77777777" w:rsidR="00F113FE" w:rsidRPr="00AC75EB"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K</w:t>
      </w:r>
      <w:r>
        <w:rPr>
          <w:rFonts w:ascii="Times New Roman" w:hAnsi="Times New Roman" w:cs="Times New Roman"/>
          <w:b/>
        </w:rPr>
        <w:t xml:space="preserve">  </w:t>
      </w:r>
      <w:r w:rsidR="00F113FE" w:rsidRPr="00AC75EB">
        <w:rPr>
          <w:rFonts w:ascii="Times New Roman" w:hAnsi="Times New Roman" w:cs="Times New Roman"/>
          <w:b/>
        </w:rPr>
        <w:t>531</w:t>
      </w:r>
      <w:r w:rsidR="00386475">
        <w:rPr>
          <w:rFonts w:ascii="Times New Roman" w:hAnsi="Times New Roman" w:cs="Times New Roman"/>
          <w:b/>
        </w:rPr>
        <w:t>1.3</w:t>
      </w:r>
      <w:r>
        <w:rPr>
          <w:rFonts w:ascii="Times New Roman" w:hAnsi="Times New Roman" w:cs="Times New Roman"/>
          <w:b/>
        </w:rPr>
        <w:t xml:space="preserve">  </w:t>
      </w:r>
      <w:r w:rsidR="00F113FE" w:rsidRPr="00AC75EB">
        <w:rPr>
          <w:rFonts w:ascii="Times New Roman" w:hAnsi="Times New Roman" w:cs="Times New Roman"/>
          <w:b/>
        </w:rPr>
        <w:t>Saistības ar padotības iestādēm</w:t>
      </w:r>
    </w:p>
    <w:p w14:paraId="6E6B7CBC"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sidRPr="004C2667">
        <w:rPr>
          <w:rFonts w:ascii="Times New Roman" w:hAnsi="Times New Roman" w:cs="Times New Roman"/>
        </w:rPr>
        <w:t xml:space="preserve"> pārskaitot iekasētos naudas līdzekļus par kavējuma naudām un nod</w:t>
      </w:r>
      <w:r w:rsidR="00873DD7">
        <w:rPr>
          <w:rFonts w:ascii="Times New Roman" w:hAnsi="Times New Roman" w:cs="Times New Roman"/>
        </w:rPr>
        <w:t>evām novada domes kontā grāmato:</w:t>
      </w:r>
    </w:p>
    <w:p w14:paraId="2C9D2A1D" w14:textId="77777777" w:rsidR="00F113FE" w:rsidRPr="00AC75EB" w:rsidRDefault="00F113FE" w:rsidP="00CD363C">
      <w:pPr>
        <w:spacing w:after="0" w:line="240" w:lineRule="auto"/>
        <w:ind w:right="-66"/>
        <w:jc w:val="both"/>
        <w:rPr>
          <w:rFonts w:ascii="Times New Roman" w:hAnsi="Times New Roman" w:cs="Times New Roman"/>
          <w:b/>
        </w:rPr>
      </w:pPr>
      <w:r w:rsidRPr="00AC75EB">
        <w:rPr>
          <w:rFonts w:ascii="Times New Roman" w:hAnsi="Times New Roman" w:cs="Times New Roman"/>
          <w:b/>
        </w:rPr>
        <w:t xml:space="preserve"> </w:t>
      </w:r>
      <w:r w:rsidR="00873DD7">
        <w:rPr>
          <w:rFonts w:ascii="Times New Roman" w:hAnsi="Times New Roman" w:cs="Times New Roman"/>
          <w:b/>
        </w:rPr>
        <w:t xml:space="preserve">    </w:t>
      </w:r>
      <w:r w:rsidRPr="00AC75EB">
        <w:rPr>
          <w:rFonts w:ascii="Times New Roman" w:hAnsi="Times New Roman" w:cs="Times New Roman"/>
          <w:b/>
        </w:rPr>
        <w:t>D</w:t>
      </w:r>
      <w:r w:rsidR="00873DD7">
        <w:rPr>
          <w:rFonts w:ascii="Times New Roman" w:hAnsi="Times New Roman" w:cs="Times New Roman"/>
          <w:b/>
        </w:rPr>
        <w:t xml:space="preserve">  </w:t>
      </w:r>
      <w:r w:rsidRPr="00AC75EB">
        <w:rPr>
          <w:rFonts w:ascii="Times New Roman" w:hAnsi="Times New Roman" w:cs="Times New Roman"/>
          <w:b/>
        </w:rPr>
        <w:t>531</w:t>
      </w:r>
      <w:r w:rsidR="00386475">
        <w:rPr>
          <w:rFonts w:ascii="Times New Roman" w:hAnsi="Times New Roman" w:cs="Times New Roman"/>
          <w:b/>
        </w:rPr>
        <w:t>1.3</w:t>
      </w:r>
      <w:r w:rsidR="00873DD7">
        <w:rPr>
          <w:rFonts w:ascii="Times New Roman" w:hAnsi="Times New Roman" w:cs="Times New Roman"/>
          <w:b/>
        </w:rPr>
        <w:t xml:space="preserve">  </w:t>
      </w:r>
      <w:r w:rsidRPr="00AC75EB">
        <w:rPr>
          <w:rFonts w:ascii="Times New Roman" w:hAnsi="Times New Roman" w:cs="Times New Roman"/>
          <w:b/>
        </w:rPr>
        <w:t>Saistības ar padotības iestādēm</w:t>
      </w:r>
    </w:p>
    <w:p w14:paraId="24657114" w14:textId="77777777" w:rsidR="00F113FE" w:rsidRPr="00AC75EB" w:rsidRDefault="00F113FE" w:rsidP="00CD363C">
      <w:pPr>
        <w:spacing w:after="0" w:line="240" w:lineRule="auto"/>
        <w:ind w:right="-66"/>
        <w:jc w:val="both"/>
        <w:rPr>
          <w:rFonts w:ascii="Times New Roman" w:hAnsi="Times New Roman" w:cs="Times New Roman"/>
          <w:b/>
        </w:rPr>
      </w:pPr>
      <w:r w:rsidRPr="00AC75EB">
        <w:rPr>
          <w:rFonts w:ascii="Times New Roman" w:hAnsi="Times New Roman" w:cs="Times New Roman"/>
          <w:b/>
        </w:rPr>
        <w:t xml:space="preserve"> </w:t>
      </w:r>
      <w:r w:rsidR="00873DD7">
        <w:rPr>
          <w:rFonts w:ascii="Times New Roman" w:hAnsi="Times New Roman" w:cs="Times New Roman"/>
          <w:b/>
        </w:rPr>
        <w:t xml:space="preserve">    </w:t>
      </w:r>
      <w:r w:rsidRPr="00AC75EB">
        <w:rPr>
          <w:rFonts w:ascii="Times New Roman" w:hAnsi="Times New Roman" w:cs="Times New Roman"/>
          <w:b/>
        </w:rPr>
        <w:t>K</w:t>
      </w:r>
      <w:r w:rsidR="00873DD7">
        <w:rPr>
          <w:rFonts w:ascii="Times New Roman" w:hAnsi="Times New Roman" w:cs="Times New Roman"/>
          <w:b/>
        </w:rPr>
        <w:t xml:space="preserve">  </w:t>
      </w:r>
      <w:r w:rsidRPr="00AC75EB">
        <w:rPr>
          <w:rFonts w:ascii="Times New Roman" w:hAnsi="Times New Roman" w:cs="Times New Roman"/>
          <w:b/>
        </w:rPr>
        <w:t>26xx</w:t>
      </w:r>
      <w:r w:rsidR="00873DD7">
        <w:rPr>
          <w:rFonts w:ascii="Times New Roman" w:hAnsi="Times New Roman" w:cs="Times New Roman"/>
          <w:b/>
        </w:rPr>
        <w:t xml:space="preserve">  </w:t>
      </w:r>
      <w:r w:rsidRPr="00AC75EB">
        <w:rPr>
          <w:rFonts w:ascii="Times New Roman" w:hAnsi="Times New Roman" w:cs="Times New Roman"/>
          <w:b/>
        </w:rPr>
        <w:t>Naudas līdzekļi</w:t>
      </w:r>
    </w:p>
    <w:p w14:paraId="62AFDE3C" w14:textId="77777777" w:rsidR="00F113FE"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Novada dome saņemot naudas līdzekļus par kavējuma naudām un nodevām no pagasta </w:t>
      </w:r>
      <w:r w:rsidR="00CF1ECF">
        <w:rPr>
          <w:rFonts w:ascii="Times New Roman" w:hAnsi="Times New Roman" w:cs="Times New Roman"/>
        </w:rPr>
        <w:t>apvienības</w:t>
      </w:r>
      <w:r>
        <w:rPr>
          <w:rFonts w:ascii="Times New Roman" w:hAnsi="Times New Roman" w:cs="Times New Roman"/>
        </w:rPr>
        <w:t>( pēc iesniegtā nodevu atšifrējuma) grāmato:</w:t>
      </w:r>
    </w:p>
    <w:p w14:paraId="0FED9910" w14:textId="77777777" w:rsidR="00F113FE" w:rsidRPr="00AC75EB" w:rsidRDefault="00873DD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D</w:t>
      </w:r>
      <w:r>
        <w:rPr>
          <w:rFonts w:ascii="Times New Roman" w:hAnsi="Times New Roman" w:cs="Times New Roman"/>
          <w:b/>
        </w:rPr>
        <w:t xml:space="preserve">  </w:t>
      </w:r>
      <w:r w:rsidR="00F113FE" w:rsidRPr="00AC75EB">
        <w:rPr>
          <w:rFonts w:ascii="Times New Roman" w:hAnsi="Times New Roman" w:cs="Times New Roman"/>
          <w:b/>
        </w:rPr>
        <w:t>26xx</w:t>
      </w:r>
      <w:r>
        <w:rPr>
          <w:rFonts w:ascii="Times New Roman" w:hAnsi="Times New Roman" w:cs="Times New Roman"/>
          <w:b/>
        </w:rPr>
        <w:t xml:space="preserve">  </w:t>
      </w:r>
      <w:r w:rsidR="00F113FE" w:rsidRPr="00AC75EB">
        <w:rPr>
          <w:rFonts w:ascii="Times New Roman" w:hAnsi="Times New Roman" w:cs="Times New Roman"/>
          <w:b/>
        </w:rPr>
        <w:t>Naudas līdzekļi</w:t>
      </w:r>
    </w:p>
    <w:p w14:paraId="2915B88E" w14:textId="77777777" w:rsidR="00F113FE" w:rsidRPr="00AC75EB" w:rsidRDefault="00873DD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K</w:t>
      </w:r>
      <w:r>
        <w:rPr>
          <w:rFonts w:ascii="Times New Roman" w:hAnsi="Times New Roman" w:cs="Times New Roman"/>
          <w:b/>
        </w:rPr>
        <w:t xml:space="preserve">  </w:t>
      </w:r>
      <w:r w:rsidR="00F113FE" w:rsidRPr="00AC75EB">
        <w:rPr>
          <w:rFonts w:ascii="Times New Roman" w:hAnsi="Times New Roman" w:cs="Times New Roman"/>
          <w:b/>
        </w:rPr>
        <w:t>6</w:t>
      </w:r>
      <w:r w:rsidR="005249E7">
        <w:rPr>
          <w:rFonts w:ascii="Times New Roman" w:hAnsi="Times New Roman" w:cs="Times New Roman"/>
          <w:b/>
        </w:rPr>
        <w:t>xxx</w:t>
      </w:r>
      <w:r>
        <w:rPr>
          <w:rFonts w:ascii="Times New Roman" w:hAnsi="Times New Roman" w:cs="Times New Roman"/>
          <w:b/>
        </w:rPr>
        <w:t xml:space="preserve">  </w:t>
      </w:r>
      <w:r w:rsidR="00F113FE" w:rsidRPr="00AC75EB">
        <w:rPr>
          <w:rFonts w:ascii="Times New Roman" w:hAnsi="Times New Roman" w:cs="Times New Roman"/>
          <w:b/>
        </w:rPr>
        <w:t>Nodokļu un nenodokļu ieņēmumi</w:t>
      </w:r>
    </w:p>
    <w:p w14:paraId="4155ECD6" w14:textId="77777777" w:rsidR="00F113FE"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Kavējuma naudām par laicīgi nenomaksāto NIN piemērojam MK 1032 noteikumu 1.4 grupas attiecīgos</w:t>
      </w:r>
      <w:r>
        <w:rPr>
          <w:rFonts w:ascii="Times New Roman" w:hAnsi="Times New Roman" w:cs="Times New Roman"/>
        </w:rPr>
        <w:t xml:space="preserve"> ieņēmumu</w:t>
      </w:r>
      <w:r w:rsidRPr="004C2667">
        <w:rPr>
          <w:rFonts w:ascii="Times New Roman" w:hAnsi="Times New Roman" w:cs="Times New Roman"/>
        </w:rPr>
        <w:t xml:space="preserve"> kodus.</w:t>
      </w:r>
    </w:p>
    <w:p w14:paraId="186BB200" w14:textId="77777777" w:rsidR="00EB33A4" w:rsidRP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EB33A4">
        <w:rPr>
          <w:rFonts w:ascii="Times New Roman" w:hAnsi="Times New Roman" w:cs="Times New Roman"/>
        </w:rPr>
        <w:t>617.</w:t>
      </w:r>
      <w:r w:rsidRPr="00EB33A4">
        <w:t xml:space="preserve"> </w:t>
      </w:r>
      <w:r w:rsidRPr="00EB33A4">
        <w:rPr>
          <w:rFonts w:ascii="Times New Roman" w:hAnsi="Times New Roman" w:cs="Times New Roman"/>
          <w:sz w:val="24"/>
          <w:szCs w:val="24"/>
        </w:rPr>
        <w:t>Ja darījuma partneris par pakalpojumu, precēm vai citu darījumu norēķinās ar maksājumu karti maksājumu karšu pieņemšanas terminālī (POS terminālī) vai citā alternatīvā sistēmā, budžeta iestāde norēķinu dienā atzīst konta “Nauda ceļā” palielinājumu un samazina attiecīgās prasības vai atzīst saistības, veicot sekojošu</w:t>
      </w:r>
      <w:r w:rsidRPr="00EB33A4">
        <w:rPr>
          <w:rFonts w:ascii="Times New Roman" w:hAnsi="Times New Roman" w:cs="Times New Roman"/>
          <w:spacing w:val="-3"/>
          <w:sz w:val="24"/>
          <w:szCs w:val="24"/>
        </w:rPr>
        <w:t xml:space="preserve"> </w:t>
      </w:r>
      <w:r w:rsidRPr="00EB33A4">
        <w:rPr>
          <w:rFonts w:ascii="Times New Roman" w:hAnsi="Times New Roman" w:cs="Times New Roman"/>
          <w:sz w:val="24"/>
          <w:szCs w:val="24"/>
        </w:rPr>
        <w:t>grāmatojumu:</w:t>
      </w:r>
    </w:p>
    <w:p w14:paraId="76985ED2" w14:textId="77777777" w:rsidR="00EB33A4"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2670  Nauda ceļā</w:t>
      </w:r>
    </w:p>
    <w:p w14:paraId="4E7AA0AA" w14:textId="77777777" w:rsidR="00EB33A4"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2300  Īstermiņa prasības</w:t>
      </w:r>
    </w:p>
    <w:p w14:paraId="517275B2" w14:textId="77777777" w:rsidR="00EB33A4"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5000  Saistības</w:t>
      </w:r>
    </w:p>
    <w:p w14:paraId="2F1A02A2" w14:textId="77777777" w:rsidR="00F113FE"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6000  Ieņēmumi</w:t>
      </w:r>
      <w:r w:rsidR="00F113FE" w:rsidRPr="00011BE3">
        <w:rPr>
          <w:rFonts w:ascii="Times New Roman" w:hAnsi="Times New Roman" w:cs="Times New Roman"/>
          <w:b/>
        </w:rPr>
        <w:tab/>
      </w:r>
    </w:p>
    <w:p w14:paraId="13E3D9F2" w14:textId="77777777" w:rsid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EB33A4">
        <w:rPr>
          <w:rFonts w:ascii="Times New Roman" w:hAnsi="Times New Roman" w:cs="Times New Roman"/>
        </w:rPr>
        <w:t>618.</w:t>
      </w:r>
      <w:r w:rsidRPr="00EB33A4">
        <w:t xml:space="preserve"> </w:t>
      </w:r>
      <w:r w:rsidRPr="00EB33A4">
        <w:rPr>
          <w:rFonts w:ascii="Times New Roman" w:hAnsi="Times New Roman" w:cs="Times New Roman"/>
          <w:sz w:val="24"/>
          <w:szCs w:val="24"/>
        </w:rPr>
        <w:t>Saņemot naudas līdzekļus norēķinu kontā, budžeta iestāde samazina konta “Nauda ceļā” atlikumu un atzīst naudas līdzekļu norēķinu kontā palielinājumu, veicot sekojošu</w:t>
      </w:r>
      <w:r w:rsidRPr="00EB33A4">
        <w:rPr>
          <w:rFonts w:ascii="Times New Roman" w:hAnsi="Times New Roman" w:cs="Times New Roman"/>
          <w:spacing w:val="-7"/>
          <w:sz w:val="24"/>
          <w:szCs w:val="24"/>
        </w:rPr>
        <w:t xml:space="preserve"> </w:t>
      </w:r>
      <w:r w:rsidRPr="00EB33A4">
        <w:rPr>
          <w:rFonts w:ascii="Times New Roman" w:hAnsi="Times New Roman" w:cs="Times New Roman"/>
          <w:sz w:val="24"/>
          <w:szCs w:val="24"/>
        </w:rPr>
        <w:t>grāmatojumu:</w:t>
      </w:r>
    </w:p>
    <w:p w14:paraId="272CCB45" w14:textId="77777777" w:rsidR="00EB33A4" w:rsidRP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B33A4">
        <w:rPr>
          <w:rFonts w:ascii="Times New Roman" w:hAnsi="Times New Roman" w:cs="Times New Roman"/>
          <w:b/>
          <w:sz w:val="24"/>
          <w:szCs w:val="24"/>
        </w:rPr>
        <w:t>D  2620  Norēķinu konti Valsts kasē vai kredītiestādēs</w:t>
      </w:r>
    </w:p>
    <w:p w14:paraId="7C7ECBF0" w14:textId="77777777" w:rsid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B33A4">
        <w:rPr>
          <w:rFonts w:ascii="Times New Roman" w:hAnsi="Times New Roman" w:cs="Times New Roman"/>
          <w:b/>
          <w:sz w:val="24"/>
          <w:szCs w:val="24"/>
        </w:rPr>
        <w:t>K  2670  Nauda ceļā</w:t>
      </w:r>
    </w:p>
    <w:p w14:paraId="2762A708"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sidRPr="00FF61DC">
        <w:rPr>
          <w:rFonts w:ascii="Times New Roman" w:hAnsi="Times New Roman" w:cs="Times New Roman"/>
          <w:b/>
          <w:sz w:val="24"/>
          <w:szCs w:val="24"/>
        </w:rPr>
        <w:t>16.2. Naudas līdzekļu inventarizācija</w:t>
      </w:r>
    </w:p>
    <w:p w14:paraId="0EAEA6AA"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619. Lai nodrošinātu, ka budžeta iestādes pārskatos ir ietverti visi naudas līdzekļi, pārskata perioda beigās veic naudas līdzekļu</w:t>
      </w:r>
      <w:r w:rsidRPr="00FF61DC">
        <w:rPr>
          <w:rFonts w:ascii="Times New Roman" w:hAnsi="Times New Roman" w:cs="Times New Roman"/>
          <w:spacing w:val="-1"/>
          <w:sz w:val="24"/>
          <w:szCs w:val="24"/>
        </w:rPr>
        <w:t xml:space="preserve"> </w:t>
      </w:r>
      <w:r w:rsidRPr="00FF61DC">
        <w:rPr>
          <w:rFonts w:ascii="Times New Roman" w:hAnsi="Times New Roman" w:cs="Times New Roman"/>
          <w:sz w:val="24"/>
          <w:szCs w:val="24"/>
        </w:rPr>
        <w:t>inventarizāciju.</w:t>
      </w:r>
    </w:p>
    <w:p w14:paraId="5D3C898B"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620.Naudas līdzekļu inventarizāciju veic saskaņā ar normatīvajos aktos noteikto kārtību par skaidras naudas inventarizāciju, kā arī budžeta iestādē apstiprināto inventarizācijas</w:t>
      </w:r>
      <w:r w:rsidRPr="00FF61DC">
        <w:rPr>
          <w:rFonts w:ascii="Times New Roman" w:hAnsi="Times New Roman" w:cs="Times New Roman"/>
          <w:spacing w:val="-11"/>
          <w:sz w:val="24"/>
          <w:szCs w:val="24"/>
        </w:rPr>
        <w:t xml:space="preserve"> </w:t>
      </w:r>
      <w:r w:rsidRPr="00FF61DC">
        <w:rPr>
          <w:rFonts w:ascii="Times New Roman" w:hAnsi="Times New Roman" w:cs="Times New Roman"/>
          <w:sz w:val="24"/>
          <w:szCs w:val="24"/>
        </w:rPr>
        <w:t>kārtību.</w:t>
      </w:r>
    </w:p>
    <w:p w14:paraId="767585C4"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621.Naudas</w:t>
      </w:r>
      <w:r w:rsidRPr="00FF61DC">
        <w:rPr>
          <w:rFonts w:ascii="Times New Roman" w:hAnsi="Times New Roman" w:cs="Times New Roman"/>
          <w:spacing w:val="-9"/>
          <w:sz w:val="24"/>
          <w:szCs w:val="24"/>
        </w:rPr>
        <w:t xml:space="preserve"> </w:t>
      </w:r>
      <w:r w:rsidRPr="00FF61DC">
        <w:rPr>
          <w:rFonts w:ascii="Times New Roman" w:hAnsi="Times New Roman" w:cs="Times New Roman"/>
          <w:sz w:val="24"/>
          <w:szCs w:val="24"/>
        </w:rPr>
        <w:t>līdzekļu</w:t>
      </w:r>
      <w:r w:rsidRPr="00FF61DC">
        <w:rPr>
          <w:rFonts w:ascii="Times New Roman" w:hAnsi="Times New Roman" w:cs="Times New Roman"/>
          <w:spacing w:val="-8"/>
          <w:sz w:val="24"/>
          <w:szCs w:val="24"/>
        </w:rPr>
        <w:t xml:space="preserve"> </w:t>
      </w:r>
      <w:r w:rsidRPr="00FF61DC">
        <w:rPr>
          <w:rFonts w:ascii="Times New Roman" w:hAnsi="Times New Roman" w:cs="Times New Roman"/>
          <w:sz w:val="24"/>
          <w:szCs w:val="24"/>
        </w:rPr>
        <w:t>(norēķinu</w:t>
      </w:r>
      <w:r w:rsidRPr="00FF61DC">
        <w:rPr>
          <w:rFonts w:ascii="Times New Roman" w:hAnsi="Times New Roman" w:cs="Times New Roman"/>
          <w:spacing w:val="-10"/>
          <w:sz w:val="24"/>
          <w:szCs w:val="24"/>
        </w:rPr>
        <w:t xml:space="preserve"> </w:t>
      </w:r>
      <w:r w:rsidRPr="00FF61DC">
        <w:rPr>
          <w:rFonts w:ascii="Times New Roman" w:hAnsi="Times New Roman" w:cs="Times New Roman"/>
          <w:sz w:val="24"/>
          <w:szCs w:val="24"/>
        </w:rPr>
        <w:t>kontu</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un</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skaidras</w:t>
      </w:r>
      <w:r w:rsidRPr="00FF61DC">
        <w:rPr>
          <w:rFonts w:ascii="Times New Roman" w:hAnsi="Times New Roman" w:cs="Times New Roman"/>
          <w:spacing w:val="-6"/>
          <w:sz w:val="24"/>
          <w:szCs w:val="24"/>
        </w:rPr>
        <w:t xml:space="preserve"> </w:t>
      </w:r>
      <w:r w:rsidRPr="00FF61DC">
        <w:rPr>
          <w:rFonts w:ascii="Times New Roman" w:hAnsi="Times New Roman" w:cs="Times New Roman"/>
          <w:sz w:val="24"/>
          <w:szCs w:val="24"/>
        </w:rPr>
        <w:t>naudas</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kasē)</w:t>
      </w:r>
      <w:r w:rsidRPr="00FF61DC">
        <w:rPr>
          <w:rFonts w:ascii="Times New Roman" w:hAnsi="Times New Roman" w:cs="Times New Roman"/>
          <w:spacing w:val="-8"/>
          <w:sz w:val="24"/>
          <w:szCs w:val="24"/>
        </w:rPr>
        <w:t xml:space="preserve"> </w:t>
      </w:r>
      <w:r w:rsidRPr="00FF61DC">
        <w:rPr>
          <w:rFonts w:ascii="Times New Roman" w:hAnsi="Times New Roman" w:cs="Times New Roman"/>
          <w:sz w:val="24"/>
          <w:szCs w:val="24"/>
        </w:rPr>
        <w:t>pārskata</w:t>
      </w:r>
      <w:r w:rsidRPr="00FF61DC">
        <w:rPr>
          <w:rFonts w:ascii="Times New Roman" w:hAnsi="Times New Roman" w:cs="Times New Roman"/>
          <w:spacing w:val="-2"/>
          <w:sz w:val="24"/>
          <w:szCs w:val="24"/>
        </w:rPr>
        <w:t xml:space="preserve"> </w:t>
      </w:r>
      <w:r w:rsidRPr="00FF61DC">
        <w:rPr>
          <w:rFonts w:ascii="Times New Roman" w:hAnsi="Times New Roman" w:cs="Times New Roman"/>
          <w:sz w:val="24"/>
          <w:szCs w:val="24"/>
        </w:rPr>
        <w:t>gada</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slēguma</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inventarizāciju</w:t>
      </w:r>
      <w:r w:rsidRPr="00FF61DC">
        <w:rPr>
          <w:rFonts w:ascii="Times New Roman" w:hAnsi="Times New Roman" w:cs="Times New Roman"/>
          <w:spacing w:val="-6"/>
          <w:sz w:val="24"/>
          <w:szCs w:val="24"/>
        </w:rPr>
        <w:t xml:space="preserve"> </w:t>
      </w:r>
      <w:r w:rsidRPr="00FF61DC">
        <w:rPr>
          <w:rFonts w:ascii="Times New Roman" w:hAnsi="Times New Roman" w:cs="Times New Roman"/>
          <w:sz w:val="24"/>
          <w:szCs w:val="24"/>
        </w:rPr>
        <w:t>veic pārskata datumā, pārrēķinot atlikumus atbilstoši grāmatvedības datiem pārskata datumā, un, ja nepieciešams (atbildīgās personas maiņas gadījumā u.tml.), arī</w:t>
      </w:r>
      <w:r w:rsidRPr="00FF61DC">
        <w:rPr>
          <w:rFonts w:ascii="Times New Roman" w:hAnsi="Times New Roman" w:cs="Times New Roman"/>
          <w:spacing w:val="-2"/>
          <w:sz w:val="24"/>
          <w:szCs w:val="24"/>
        </w:rPr>
        <w:t xml:space="preserve"> </w:t>
      </w:r>
      <w:r w:rsidRPr="00FF61DC">
        <w:rPr>
          <w:rFonts w:ascii="Times New Roman" w:hAnsi="Times New Roman" w:cs="Times New Roman"/>
          <w:sz w:val="24"/>
          <w:szCs w:val="24"/>
        </w:rPr>
        <w:t>biežāk.</w:t>
      </w:r>
    </w:p>
    <w:p w14:paraId="15999C1A" w14:textId="77777777" w:rsid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622.Norēķinu kontu inventarizācija paredz budžeta iestādes norēķinu un noguldījumu kontos esošās naudas atlikumu salīdzināšanu ar attiecīgajām kredītiestādēm. Šim nolūkam tiek sagatavoti salīdzināšanās akti katram valūtas veidam un katram norēķinu kontam atsevišķi</w:t>
      </w:r>
      <w:r>
        <w:rPr>
          <w:rFonts w:ascii="Times New Roman" w:hAnsi="Times New Roman" w:cs="Times New Roman"/>
          <w:sz w:val="24"/>
          <w:szCs w:val="24"/>
        </w:rPr>
        <w:t>.</w:t>
      </w:r>
    </w:p>
    <w:p w14:paraId="41065A80" w14:textId="77777777" w:rsidR="00FF61DC" w:rsidRPr="00581DF1"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623</w:t>
      </w:r>
      <w:r w:rsidRPr="00581DF1">
        <w:rPr>
          <w:rFonts w:ascii="Times New Roman" w:hAnsi="Times New Roman" w:cs="Times New Roman"/>
          <w:sz w:val="24"/>
          <w:szCs w:val="24"/>
        </w:rPr>
        <w:t>. Skaidras</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naudas</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atlikumu</w:t>
      </w:r>
      <w:r w:rsidRPr="00581DF1">
        <w:rPr>
          <w:rFonts w:ascii="Times New Roman" w:hAnsi="Times New Roman" w:cs="Times New Roman"/>
          <w:spacing w:val="-5"/>
          <w:sz w:val="24"/>
          <w:szCs w:val="24"/>
        </w:rPr>
        <w:t xml:space="preserve"> </w:t>
      </w:r>
      <w:r w:rsidRPr="00581DF1">
        <w:rPr>
          <w:rFonts w:ascii="Times New Roman" w:hAnsi="Times New Roman" w:cs="Times New Roman"/>
          <w:sz w:val="24"/>
          <w:szCs w:val="24"/>
        </w:rPr>
        <w:t>kasē</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pārbauda,</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veicot</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inventarizāciju.</w:t>
      </w:r>
      <w:r w:rsidRPr="00581DF1">
        <w:rPr>
          <w:rFonts w:ascii="Times New Roman" w:hAnsi="Times New Roman" w:cs="Times New Roman"/>
          <w:spacing w:val="-5"/>
          <w:sz w:val="24"/>
          <w:szCs w:val="24"/>
        </w:rPr>
        <w:t xml:space="preserve"> </w:t>
      </w:r>
      <w:r w:rsidRPr="00581DF1">
        <w:rPr>
          <w:rFonts w:ascii="Times New Roman" w:hAnsi="Times New Roman" w:cs="Times New Roman"/>
          <w:sz w:val="24"/>
          <w:szCs w:val="24"/>
        </w:rPr>
        <w:t>Inventarizāciju</w:t>
      </w:r>
      <w:r w:rsidRPr="00581DF1">
        <w:rPr>
          <w:rFonts w:ascii="Times New Roman" w:hAnsi="Times New Roman" w:cs="Times New Roman"/>
          <w:spacing w:val="-5"/>
          <w:sz w:val="24"/>
          <w:szCs w:val="24"/>
        </w:rPr>
        <w:t xml:space="preserve"> </w:t>
      </w:r>
      <w:r w:rsidRPr="00581DF1">
        <w:rPr>
          <w:rFonts w:ascii="Times New Roman" w:hAnsi="Times New Roman" w:cs="Times New Roman"/>
          <w:sz w:val="24"/>
          <w:szCs w:val="24"/>
        </w:rPr>
        <w:t>veic</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budžeta</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iestādes vadītāja apstiprināta inventarizācijas komisija, un tās rezultātus apstiprina inventarizācijas</w:t>
      </w:r>
      <w:r w:rsidRPr="00581DF1">
        <w:rPr>
          <w:rFonts w:ascii="Times New Roman" w:hAnsi="Times New Roman" w:cs="Times New Roman"/>
          <w:spacing w:val="36"/>
          <w:sz w:val="24"/>
          <w:szCs w:val="24"/>
        </w:rPr>
        <w:t xml:space="preserve"> </w:t>
      </w:r>
      <w:r w:rsidRPr="00581DF1">
        <w:rPr>
          <w:rFonts w:ascii="Times New Roman" w:hAnsi="Times New Roman" w:cs="Times New Roman"/>
          <w:sz w:val="24"/>
          <w:szCs w:val="24"/>
        </w:rPr>
        <w:t>komisijas</w:t>
      </w:r>
      <w:r w:rsidR="00581DF1">
        <w:rPr>
          <w:rFonts w:ascii="Times New Roman" w:hAnsi="Times New Roman" w:cs="Times New Roman"/>
          <w:sz w:val="24"/>
          <w:szCs w:val="24"/>
        </w:rPr>
        <w:t xml:space="preserve"> </w:t>
      </w:r>
      <w:r w:rsidRPr="00581DF1">
        <w:rPr>
          <w:rFonts w:ascii="Times New Roman" w:hAnsi="Times New Roman" w:cs="Times New Roman"/>
          <w:sz w:val="24"/>
          <w:szCs w:val="24"/>
        </w:rPr>
        <w:t>locekļi,</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budžeta</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iestādes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vadītājs</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un</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atbildīgās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personas,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ja</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tās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ir</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piedalījušās</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veikšanā. Budžeta</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iestāde</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savos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iekšējos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normatīvajos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aktos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par</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kārtību</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nosaka</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skaidras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naudas inventarizācijas biežumu un</w:t>
      </w:r>
      <w:r w:rsidRPr="00581DF1">
        <w:rPr>
          <w:rFonts w:ascii="Times New Roman" w:hAnsi="Times New Roman" w:cs="Times New Roman"/>
          <w:spacing w:val="-1"/>
          <w:sz w:val="24"/>
          <w:szCs w:val="24"/>
        </w:rPr>
        <w:t xml:space="preserve"> </w:t>
      </w:r>
      <w:r w:rsidRPr="00581DF1">
        <w:rPr>
          <w:rFonts w:ascii="Times New Roman" w:hAnsi="Times New Roman" w:cs="Times New Roman"/>
          <w:sz w:val="24"/>
          <w:szCs w:val="24"/>
        </w:rPr>
        <w:t>kārtību.</w:t>
      </w:r>
    </w:p>
    <w:p w14:paraId="2BCABE29" w14:textId="77777777" w:rsidR="00FF61DC" w:rsidRPr="00581DF1"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624. Inventarizācijas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komisijas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personālsastāvu</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un</w:t>
      </w:r>
      <w:r w:rsidRPr="00581DF1">
        <w:rPr>
          <w:rFonts w:ascii="Times New Roman" w:hAnsi="Times New Roman" w:cs="Times New Roman"/>
          <w:spacing w:val="-18"/>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sākšanas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un</w:t>
      </w:r>
      <w:r w:rsidRPr="00581DF1">
        <w:rPr>
          <w:rFonts w:ascii="Times New Roman" w:hAnsi="Times New Roman" w:cs="Times New Roman"/>
          <w:spacing w:val="-18"/>
          <w:sz w:val="24"/>
          <w:szCs w:val="24"/>
        </w:rPr>
        <w:t xml:space="preserve"> </w:t>
      </w:r>
      <w:r w:rsidRPr="00581DF1">
        <w:rPr>
          <w:rFonts w:ascii="Times New Roman" w:hAnsi="Times New Roman" w:cs="Times New Roman"/>
          <w:sz w:val="24"/>
          <w:szCs w:val="24"/>
        </w:rPr>
        <w:t>beigšanas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termiņus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Pr="00581DF1">
        <w:rPr>
          <w:rFonts w:ascii="Times New Roman" w:hAnsi="Times New Roman" w:cs="Times New Roman"/>
          <w:spacing w:val="-3"/>
          <w:sz w:val="24"/>
          <w:szCs w:val="24"/>
        </w:rPr>
        <w:t xml:space="preserve"> </w:t>
      </w:r>
      <w:r w:rsidRPr="00581DF1">
        <w:rPr>
          <w:rFonts w:ascii="Times New Roman" w:hAnsi="Times New Roman" w:cs="Times New Roman"/>
          <w:sz w:val="24"/>
          <w:szCs w:val="24"/>
        </w:rPr>
        <w:t>termiņus.</w:t>
      </w:r>
    </w:p>
    <w:p w14:paraId="1BEE06AF" w14:textId="77777777" w:rsidR="00FF61DC" w:rsidRPr="00581DF1"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625. Ja inventarizācijas rezultātā ir konstatēti naudas līdzekļi, kas līdz šim nav bijuši iekļauti uzskaitē (pārpalikums),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budžeta</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iestādes</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vadītājs</w:t>
      </w:r>
      <w:r w:rsidRPr="00581DF1">
        <w:rPr>
          <w:rFonts w:ascii="Times New Roman" w:hAnsi="Times New Roman" w:cs="Times New Roman"/>
          <w:spacing w:val="-11"/>
          <w:sz w:val="24"/>
          <w:szCs w:val="24"/>
        </w:rPr>
        <w:t xml:space="preserve"> </w:t>
      </w:r>
      <w:r w:rsidRPr="00581DF1">
        <w:rPr>
          <w:rFonts w:ascii="Times New Roman" w:hAnsi="Times New Roman" w:cs="Times New Roman"/>
          <w:sz w:val="24"/>
          <w:szCs w:val="24"/>
        </w:rPr>
        <w:t>apstiprina</w:t>
      </w:r>
      <w:r w:rsidRPr="00581DF1">
        <w:rPr>
          <w:rFonts w:ascii="Times New Roman" w:hAnsi="Times New Roman" w:cs="Times New Roman"/>
          <w:spacing w:val="-14"/>
          <w:sz w:val="24"/>
          <w:szCs w:val="24"/>
        </w:rPr>
        <w:t xml:space="preserve"> </w:t>
      </w:r>
      <w:r w:rsidRPr="00581DF1">
        <w:rPr>
          <w:rFonts w:ascii="Times New Roman" w:hAnsi="Times New Roman" w:cs="Times New Roman"/>
          <w:sz w:val="24"/>
          <w:szCs w:val="24"/>
        </w:rPr>
        <w:t>to,</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ka</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attiecīgie</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naudas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līdzekļi</w:t>
      </w:r>
      <w:r w:rsidRPr="00581DF1">
        <w:rPr>
          <w:rFonts w:ascii="Times New Roman" w:hAnsi="Times New Roman" w:cs="Times New Roman"/>
          <w:spacing w:val="-11"/>
          <w:sz w:val="24"/>
          <w:szCs w:val="24"/>
        </w:rPr>
        <w:t xml:space="preserve"> </w:t>
      </w:r>
      <w:r w:rsidRPr="00581DF1">
        <w:rPr>
          <w:rFonts w:ascii="Times New Roman" w:hAnsi="Times New Roman" w:cs="Times New Roman"/>
          <w:sz w:val="24"/>
          <w:szCs w:val="24"/>
        </w:rPr>
        <w:t>tiek</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ņemti</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uzskaitē.</w:t>
      </w:r>
    </w:p>
    <w:p w14:paraId="15832E9C" w14:textId="77777777" w:rsidR="00FF61DC" w:rsidRDefault="00FF61DC" w:rsidP="00CD363C">
      <w:pPr>
        <w:widowControl w:val="0"/>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626. Budžeta</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iestāde,</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pamatojoties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uz</w:t>
      </w:r>
      <w:r w:rsidRPr="00581DF1">
        <w:rPr>
          <w:rFonts w:ascii="Times New Roman" w:hAnsi="Times New Roman" w:cs="Times New Roman"/>
          <w:spacing w:val="-13"/>
          <w:sz w:val="24"/>
          <w:szCs w:val="24"/>
        </w:rPr>
        <w:t xml:space="preserve"> </w:t>
      </w:r>
      <w:r w:rsidRPr="00581DF1">
        <w:rPr>
          <w:rFonts w:ascii="Times New Roman" w:hAnsi="Times New Roman" w:cs="Times New Roman"/>
          <w:sz w:val="24"/>
          <w:szCs w:val="24"/>
        </w:rPr>
        <w:t>komisijas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sagatavoto</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naudas</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līdzekļu</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aktu,</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sākotnēji atzīst uzskaitē iepriekš neuzrādītos naudas līdzekļus, palielina attiecīgo naudas līdzekļu un atbilstošo ieņēmumu kontu, veicot sekojošu grāmatojumu:</w:t>
      </w:r>
    </w:p>
    <w:p w14:paraId="649FD1A3" w14:textId="77777777" w:rsidR="00581DF1" w:rsidRPr="00581DF1" w:rsidRDefault="00581DF1" w:rsidP="00CD363C">
      <w:pPr>
        <w:widowControl w:val="0"/>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D  2600  Naudas līdzekļi</w:t>
      </w:r>
    </w:p>
    <w:p w14:paraId="623A588B" w14:textId="77777777" w:rsidR="00581DF1" w:rsidRDefault="00581DF1" w:rsidP="00CD363C">
      <w:pPr>
        <w:widowControl w:val="0"/>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K  8570  Ieņēmumi no īstermiņa aktīvu sākotnējās atzīšanas</w:t>
      </w:r>
    </w:p>
    <w:p w14:paraId="7363AFC6" w14:textId="77777777" w:rsid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627. Ja inventarizācijas rezultātā ir konstatēts naudas līdzekļu iztrūkums vai bojājums,</w:t>
      </w:r>
      <w:r>
        <w:t xml:space="preserve"> </w:t>
      </w:r>
      <w:r w:rsidRPr="00581DF1">
        <w:rPr>
          <w:rFonts w:ascii="Times New Roman" w:hAnsi="Times New Roman" w:cs="Times New Roman"/>
          <w:sz w:val="24"/>
          <w:szCs w:val="24"/>
        </w:rPr>
        <w:t>kas liegtu to tālāku izmantošanu budžeta iestādes darbībā, budžeta iestāde, pamatojoties uz iestādes vadītāja apstiprinātu kārtību, attiecīgos naudas līdzekļus noraksta no uzskaites, veicot sekojošu</w:t>
      </w:r>
      <w:r w:rsidRPr="00581DF1">
        <w:rPr>
          <w:rFonts w:ascii="Times New Roman" w:hAnsi="Times New Roman" w:cs="Times New Roman"/>
          <w:spacing w:val="-11"/>
          <w:sz w:val="24"/>
          <w:szCs w:val="24"/>
        </w:rPr>
        <w:t xml:space="preserve"> </w:t>
      </w:r>
      <w:r w:rsidRPr="00581DF1">
        <w:rPr>
          <w:rFonts w:ascii="Times New Roman" w:hAnsi="Times New Roman" w:cs="Times New Roman"/>
          <w:sz w:val="24"/>
          <w:szCs w:val="24"/>
        </w:rPr>
        <w:t>grāmatojumu:</w:t>
      </w:r>
    </w:p>
    <w:p w14:paraId="525B329E" w14:textId="77777777" w:rsidR="00581DF1" w:rsidRP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D  8630  Izdevumi no prasību norakstīšanas un naudas līdzekļu vai to ekvivalent</w:t>
      </w:r>
      <w:r>
        <w:rPr>
          <w:rFonts w:ascii="Times New Roman" w:hAnsi="Times New Roman" w:cs="Times New Roman"/>
          <w:b/>
          <w:sz w:val="24"/>
          <w:szCs w:val="24"/>
        </w:rPr>
        <w:t>u</w:t>
      </w:r>
      <w:r w:rsidRPr="00581DF1">
        <w:rPr>
          <w:rFonts w:ascii="Times New Roman" w:hAnsi="Times New Roman" w:cs="Times New Roman"/>
          <w:b/>
          <w:sz w:val="24"/>
          <w:szCs w:val="24"/>
        </w:rPr>
        <w:t xml:space="preserve"> iztrūkuma</w:t>
      </w:r>
    </w:p>
    <w:p w14:paraId="0FB1C2A0" w14:textId="77777777" w:rsid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K  2600 Naudas līdzekļi</w:t>
      </w:r>
    </w:p>
    <w:p w14:paraId="318424D4" w14:textId="77777777" w:rsid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p>
    <w:p w14:paraId="3585B567" w14:textId="77777777" w:rsidR="00581DF1" w:rsidRDefault="00581DF1" w:rsidP="00CD363C">
      <w:pPr>
        <w:pStyle w:val="Sarakstarindkopa"/>
        <w:spacing w:after="0" w:line="240" w:lineRule="auto"/>
        <w:ind w:left="540" w:right="-66"/>
        <w:jc w:val="both"/>
        <w:rPr>
          <w:rFonts w:ascii="Times New Roman" w:hAnsi="Times New Roman" w:cs="Times New Roman"/>
          <w:b/>
          <w:sz w:val="28"/>
          <w:szCs w:val="28"/>
        </w:rPr>
      </w:pPr>
      <w:r w:rsidRPr="00581DF1">
        <w:rPr>
          <w:rFonts w:ascii="Times New Roman" w:hAnsi="Times New Roman" w:cs="Times New Roman"/>
          <w:b/>
          <w:sz w:val="28"/>
          <w:szCs w:val="28"/>
        </w:rPr>
        <w:t>17. Uzkrājumu, iespējamo saistību un iespējamo aktīvu uzskaite</w:t>
      </w:r>
    </w:p>
    <w:p w14:paraId="658D08D5" w14:textId="77777777" w:rsidR="00581DF1" w:rsidRPr="00581DF1" w:rsidRDefault="00581DF1" w:rsidP="00CD363C">
      <w:pPr>
        <w:pStyle w:val="Sarakstarindkopa"/>
        <w:spacing w:after="0" w:line="240" w:lineRule="auto"/>
        <w:ind w:left="540" w:right="-66"/>
        <w:jc w:val="both"/>
        <w:rPr>
          <w:rFonts w:ascii="Times New Roman" w:hAnsi="Times New Roman" w:cs="Times New Roman"/>
          <w:b/>
          <w:sz w:val="28"/>
          <w:szCs w:val="28"/>
        </w:rPr>
      </w:pPr>
    </w:p>
    <w:p w14:paraId="6E98BA1A" w14:textId="77777777" w:rsidR="007F5DA5" w:rsidRPr="007A5C0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628</w:t>
      </w:r>
      <w:r w:rsidR="007F5DA5" w:rsidRPr="007F5DA5">
        <w:rPr>
          <w:rFonts w:ascii="Times New Roman" w:hAnsi="Times New Roman" w:cs="Times New Roman"/>
          <w:sz w:val="24"/>
          <w:szCs w:val="24"/>
        </w:rPr>
        <w:t xml:space="preserve"> </w:t>
      </w:r>
      <w:r w:rsidR="007F5DA5" w:rsidRPr="007A5C04">
        <w:rPr>
          <w:rFonts w:ascii="Times New Roman" w:hAnsi="Times New Roman" w:cs="Times New Roman"/>
          <w:sz w:val="24"/>
          <w:szCs w:val="24"/>
        </w:rPr>
        <w:t xml:space="preserve">Uzkrājumus var atšķirt no citām saistībām, piemēram, parādiem piegādātājiem un darbuzņēmējiem un uzkrātajām saistībām, jo pastāv nenoteiktība par izpildes laiku vai summu, kas nepieciešama saistību izpildei nākotnē. </w:t>
      </w:r>
    </w:p>
    <w:p w14:paraId="742878C5" w14:textId="77777777" w:rsidR="007F5DA5" w:rsidRPr="004F534E"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628</w:t>
      </w:r>
      <w:r w:rsidR="007F5DA5" w:rsidRPr="004F534E">
        <w:rPr>
          <w:rFonts w:ascii="Times New Roman" w:hAnsi="Times New Roman" w:cs="Times New Roman"/>
          <w:sz w:val="24"/>
          <w:szCs w:val="24"/>
        </w:rPr>
        <w:t xml:space="preserve">1.saistības pret piegādātājiem un darbuzņēmējiem ir budžeta iestādes pašreizējs pienākums veikt norēķinus par saņemtām precēm un saņemtiem pakalpojumiem, pamatojoties uz saņemto rēķinu vai vienošanos ar piegādātāju; </w:t>
      </w:r>
    </w:p>
    <w:p w14:paraId="4FAE0B30" w14:textId="77777777" w:rsidR="007F5DA5"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628</w:t>
      </w:r>
      <w:r w:rsidR="007F5DA5" w:rsidRPr="004F534E">
        <w:rPr>
          <w:rFonts w:ascii="Times New Roman" w:hAnsi="Times New Roman" w:cs="Times New Roman"/>
          <w:sz w:val="24"/>
          <w:szCs w:val="24"/>
        </w:rPr>
        <w:t>.2.uzkrātās saistības ir saistības samaksāt par saņemtām precēm vai saņemtajiem pakalpojumiem, par ko nav veikta samaksa un nav izrakstīts rēķins līdz pārskata datumam, vai darbiniekiem izmaksājamās summas, piemēram, summas, kas saistītas ar uzkrātajiem atvaļinājumiem.</w:t>
      </w:r>
    </w:p>
    <w:p w14:paraId="62F00062" w14:textId="77777777" w:rsidR="007F5DA5" w:rsidRDefault="007F5DA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17.1. Uzkrājumu atzīšana</w:t>
      </w:r>
    </w:p>
    <w:p w14:paraId="2C4BA88A" w14:textId="77777777" w:rsidR="007F5DA5" w:rsidRPr="007A5C04" w:rsidRDefault="007F5DA5" w:rsidP="00CD363C">
      <w:pPr>
        <w:spacing w:after="0" w:line="240" w:lineRule="auto"/>
        <w:ind w:right="-66"/>
        <w:jc w:val="both"/>
        <w:rPr>
          <w:rFonts w:ascii="Times New Roman" w:hAnsi="Times New Roman" w:cs="Times New Roman"/>
          <w:sz w:val="24"/>
          <w:szCs w:val="24"/>
        </w:rPr>
      </w:pPr>
      <w:r w:rsidRPr="007F5DA5">
        <w:rPr>
          <w:rFonts w:ascii="Times New Roman" w:hAnsi="Times New Roman" w:cs="Times New Roman"/>
          <w:sz w:val="24"/>
          <w:szCs w:val="24"/>
        </w:rPr>
        <w:t>62</w:t>
      </w:r>
      <w:r w:rsidR="00AF4FC4">
        <w:rPr>
          <w:rFonts w:ascii="Times New Roman" w:hAnsi="Times New Roman" w:cs="Times New Roman"/>
          <w:sz w:val="24"/>
          <w:szCs w:val="24"/>
        </w:rPr>
        <w:t>9</w:t>
      </w:r>
      <w:r w:rsidRPr="007F5DA5">
        <w:rPr>
          <w:rFonts w:ascii="Times New Roman" w:hAnsi="Times New Roman" w:cs="Times New Roman"/>
          <w:sz w:val="24"/>
          <w:szCs w:val="24"/>
        </w:rPr>
        <w:t xml:space="preserve">. </w:t>
      </w:r>
      <w:r w:rsidRPr="007A5C04">
        <w:rPr>
          <w:rFonts w:ascii="Times New Roman" w:hAnsi="Times New Roman" w:cs="Times New Roman"/>
          <w:sz w:val="24"/>
          <w:szCs w:val="24"/>
        </w:rPr>
        <w:t xml:space="preserve"> Budžeta iestāde atzīst uzkrājumus, kad izpildās visi sekojošie kritēriji: </w:t>
      </w:r>
    </w:p>
    <w:p w14:paraId="6D8D700D"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w:t>
      </w:r>
      <w:r w:rsidR="00AF4FC4">
        <w:rPr>
          <w:rFonts w:ascii="Times New Roman" w:hAnsi="Times New Roman" w:cs="Times New Roman"/>
          <w:sz w:val="24"/>
          <w:szCs w:val="24"/>
        </w:rPr>
        <w:t>9</w:t>
      </w:r>
      <w:r w:rsidRPr="007A5C04">
        <w:rPr>
          <w:rFonts w:ascii="Times New Roman" w:hAnsi="Times New Roman" w:cs="Times New Roman"/>
          <w:sz w:val="24"/>
          <w:szCs w:val="24"/>
        </w:rPr>
        <w:t xml:space="preserve">.1. budžeta iestādei ir pašreizējs pienākums (juridisks vai prakses radīts) pagātnes notikuma dēļ; </w:t>
      </w:r>
    </w:p>
    <w:p w14:paraId="66108C38"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w:t>
      </w:r>
      <w:r w:rsidR="00AF4FC4">
        <w:rPr>
          <w:rFonts w:ascii="Times New Roman" w:hAnsi="Times New Roman" w:cs="Times New Roman"/>
          <w:sz w:val="24"/>
          <w:szCs w:val="24"/>
        </w:rPr>
        <w:t>9</w:t>
      </w:r>
      <w:r w:rsidRPr="007A5C04">
        <w:rPr>
          <w:rFonts w:ascii="Times New Roman" w:hAnsi="Times New Roman" w:cs="Times New Roman"/>
          <w:sz w:val="24"/>
          <w:szCs w:val="24"/>
        </w:rPr>
        <w:t xml:space="preserve">.2. sagaidāms, ka šī pienākuma izpildei būs nepieciešams resursu izlietojums; </w:t>
      </w:r>
    </w:p>
    <w:p w14:paraId="23E036F5"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w:t>
      </w:r>
      <w:r w:rsidR="00AF4FC4">
        <w:rPr>
          <w:rFonts w:ascii="Times New Roman" w:hAnsi="Times New Roman" w:cs="Times New Roman"/>
          <w:sz w:val="24"/>
          <w:szCs w:val="24"/>
        </w:rPr>
        <w:t>9</w:t>
      </w:r>
      <w:r w:rsidRPr="007A5C04">
        <w:rPr>
          <w:rFonts w:ascii="Times New Roman" w:hAnsi="Times New Roman" w:cs="Times New Roman"/>
          <w:sz w:val="24"/>
          <w:szCs w:val="24"/>
        </w:rPr>
        <w:t xml:space="preserve">.3 var veikt ticamu pienākuma (saistību) summas aplēsi. </w:t>
      </w:r>
    </w:p>
    <w:p w14:paraId="6BA91D15" w14:textId="77777777" w:rsidR="007F5DA5"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w:t>
      </w:r>
      <w:r w:rsidR="00AF4FC4">
        <w:rPr>
          <w:rFonts w:ascii="Times New Roman" w:hAnsi="Times New Roman" w:cs="Times New Roman"/>
          <w:sz w:val="24"/>
          <w:szCs w:val="24"/>
        </w:rPr>
        <w:t>30</w:t>
      </w:r>
      <w:r>
        <w:rPr>
          <w:rFonts w:ascii="Times New Roman" w:hAnsi="Times New Roman" w:cs="Times New Roman"/>
          <w:sz w:val="24"/>
          <w:szCs w:val="24"/>
        </w:rPr>
        <w:t>.</w:t>
      </w:r>
      <w:r w:rsidRPr="007A5C04">
        <w:rPr>
          <w:rFonts w:ascii="Times New Roman" w:hAnsi="Times New Roman" w:cs="Times New Roman"/>
          <w:sz w:val="24"/>
          <w:szCs w:val="24"/>
        </w:rPr>
        <w:t>Ja kāds no iepriekšminētajiem kritērijiem neizpildās, budžeta iestāde uzkrājumus neatzīst.</w:t>
      </w:r>
    </w:p>
    <w:p w14:paraId="51CDA4CA" w14:textId="77777777" w:rsidR="007F5DA5" w:rsidRPr="007F5DA5" w:rsidRDefault="007F5DA5" w:rsidP="00CD363C">
      <w:pPr>
        <w:spacing w:after="0" w:line="240" w:lineRule="auto"/>
        <w:ind w:left="360" w:right="-66"/>
        <w:jc w:val="both"/>
        <w:rPr>
          <w:rFonts w:ascii="Times New Roman" w:hAnsi="Times New Roman" w:cs="Times New Roman"/>
          <w:b/>
          <w:sz w:val="24"/>
          <w:szCs w:val="24"/>
        </w:rPr>
      </w:pPr>
      <w:r w:rsidRPr="007F5DA5">
        <w:rPr>
          <w:rFonts w:ascii="Times New Roman" w:hAnsi="Times New Roman" w:cs="Times New Roman"/>
          <w:b/>
          <w:sz w:val="24"/>
          <w:szCs w:val="24"/>
        </w:rPr>
        <w:t xml:space="preserve">Pašreizējs pienākums </w:t>
      </w:r>
    </w:p>
    <w:p w14:paraId="5937C474"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w:t>
      </w:r>
      <w:r w:rsidR="00AF4FC4">
        <w:rPr>
          <w:rFonts w:ascii="Times New Roman" w:hAnsi="Times New Roman" w:cs="Times New Roman"/>
          <w:sz w:val="24"/>
          <w:szCs w:val="24"/>
        </w:rPr>
        <w:t>31</w:t>
      </w:r>
      <w:r w:rsidRPr="007A5C04">
        <w:rPr>
          <w:rFonts w:ascii="Times New Roman" w:hAnsi="Times New Roman" w:cs="Times New Roman"/>
          <w:sz w:val="24"/>
          <w:szCs w:val="24"/>
        </w:rPr>
        <w:t xml:space="preserve">. Lai noteiktu, vai budžeta iestādei pastāv pašreizējs pienākums, iestāde izvērtē, vai eksistē kāds pagātnes notikums, kas rada budžeta iestādei pašreizēju pienākumu. Budžeta iestāde ņem vērā visus pieejamos pierādījumus, tai skaitā, ekspertu viedokli, lai to izvērtētu. Piemēram, tiesvedību gadījumā iestāde izvērtē juristu viedokli, lai noteiktu pašreizējā pienākuma esamību. Pie izvērtējamiem pieejamiem pierādījumiem pieder visi papildus pierādījumi, ko sniedz notikumi pēc pārskata perioda beigām. </w:t>
      </w:r>
    </w:p>
    <w:p w14:paraId="4B7885A2"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w:t>
      </w:r>
      <w:r w:rsidR="00AF4FC4">
        <w:rPr>
          <w:rFonts w:ascii="Times New Roman" w:hAnsi="Times New Roman" w:cs="Times New Roman"/>
          <w:sz w:val="24"/>
          <w:szCs w:val="24"/>
        </w:rPr>
        <w:t>32</w:t>
      </w:r>
      <w:r w:rsidRPr="007A5C04">
        <w:rPr>
          <w:rFonts w:ascii="Times New Roman" w:hAnsi="Times New Roman" w:cs="Times New Roman"/>
          <w:sz w:val="24"/>
          <w:szCs w:val="24"/>
        </w:rPr>
        <w:t xml:space="preserve">. Ja ir ticams, ka budžeta iestādei pārskata datumā pastāv pašreizējs pienākums, un ir izpildīti uzkrājumu atzīšanas kritēriji, budžeta iestāde atzīst uzkrājumus, veicot sekojošu grāmatojumu: </w:t>
      </w:r>
    </w:p>
    <w:p w14:paraId="69AB7C7A" w14:textId="77777777" w:rsidR="007F5DA5" w:rsidRPr="00AF4FC4" w:rsidRDefault="00AF4FC4"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007F5DA5" w:rsidRPr="00AF4FC4">
        <w:rPr>
          <w:rFonts w:ascii="Times New Roman" w:hAnsi="Times New Roman" w:cs="Times New Roman"/>
          <w:b/>
          <w:sz w:val="24"/>
          <w:szCs w:val="24"/>
        </w:rPr>
        <w:t xml:space="preserve">D 8660 Izdevumi uzkrājumu veidošanai </w:t>
      </w:r>
    </w:p>
    <w:p w14:paraId="72D35259" w14:textId="77777777" w:rsidR="007F5DA5" w:rsidRDefault="00AF4FC4"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007F5DA5" w:rsidRPr="00AF4FC4">
        <w:rPr>
          <w:rFonts w:ascii="Times New Roman" w:hAnsi="Times New Roman" w:cs="Times New Roman"/>
          <w:b/>
          <w:sz w:val="24"/>
          <w:szCs w:val="24"/>
        </w:rPr>
        <w:t>K 4000 Uzkrājumi</w:t>
      </w:r>
    </w:p>
    <w:p w14:paraId="300B0E1A" w14:textId="77777777" w:rsidR="00AF4FC4" w:rsidRDefault="00AF4FC4"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Pagātnes notikums</w:t>
      </w:r>
    </w:p>
    <w:p w14:paraId="3328D955" w14:textId="77777777" w:rsidR="00AF4FC4" w:rsidRDefault="00AF4FC4"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F4FC4">
        <w:rPr>
          <w:rFonts w:ascii="Times New Roman" w:hAnsi="Times New Roman" w:cs="Times New Roman"/>
          <w:sz w:val="24"/>
          <w:szCs w:val="24"/>
        </w:rPr>
        <w:t>633.</w:t>
      </w:r>
      <w:r w:rsidRPr="00AF4FC4">
        <w:t xml:space="preserve"> </w:t>
      </w:r>
      <w:r w:rsidRPr="00AF4FC4">
        <w:rPr>
          <w:rFonts w:ascii="Times New Roman" w:hAnsi="Times New Roman" w:cs="Times New Roman"/>
          <w:sz w:val="24"/>
          <w:szCs w:val="24"/>
        </w:rPr>
        <w:t>Pagātnes</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notikumu,</w:t>
      </w:r>
      <w:r w:rsidRPr="00AF4FC4">
        <w:rPr>
          <w:rFonts w:ascii="Times New Roman" w:hAnsi="Times New Roman" w:cs="Times New Roman"/>
          <w:spacing w:val="-2"/>
          <w:sz w:val="24"/>
          <w:szCs w:val="24"/>
        </w:rPr>
        <w:t xml:space="preserve"> </w:t>
      </w:r>
      <w:r w:rsidRPr="00AF4FC4">
        <w:rPr>
          <w:rFonts w:ascii="Times New Roman" w:hAnsi="Times New Roman" w:cs="Times New Roman"/>
          <w:sz w:val="24"/>
          <w:szCs w:val="24"/>
        </w:rPr>
        <w:t>kura</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dēļ</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rodas</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pašreizējs</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pienākums,</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sauc</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par</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pienākumu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radošu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notikumu.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Lai notikumu</w:t>
      </w:r>
      <w:r w:rsidRPr="00AF4FC4">
        <w:rPr>
          <w:rFonts w:ascii="Times New Roman" w:hAnsi="Times New Roman" w:cs="Times New Roman"/>
          <w:spacing w:val="-6"/>
          <w:sz w:val="24"/>
          <w:szCs w:val="24"/>
        </w:rPr>
        <w:t xml:space="preserve"> </w:t>
      </w:r>
      <w:r w:rsidRPr="00AF4FC4">
        <w:rPr>
          <w:rFonts w:ascii="Times New Roman" w:hAnsi="Times New Roman" w:cs="Times New Roman"/>
          <w:sz w:val="24"/>
          <w:szCs w:val="24"/>
        </w:rPr>
        <w:t>uzskatītu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par</w:t>
      </w:r>
      <w:r w:rsidRPr="00AF4FC4">
        <w:rPr>
          <w:rFonts w:ascii="Times New Roman" w:hAnsi="Times New Roman" w:cs="Times New Roman"/>
          <w:spacing w:val="-6"/>
          <w:sz w:val="24"/>
          <w:szCs w:val="24"/>
        </w:rPr>
        <w:t xml:space="preserve"> </w:t>
      </w:r>
      <w:r w:rsidRPr="00AF4FC4">
        <w:rPr>
          <w:rFonts w:ascii="Times New Roman" w:hAnsi="Times New Roman" w:cs="Times New Roman"/>
          <w:sz w:val="24"/>
          <w:szCs w:val="24"/>
        </w:rPr>
        <w:t>pienākumu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radošu</w:t>
      </w:r>
      <w:r w:rsidRPr="00AF4FC4">
        <w:rPr>
          <w:rFonts w:ascii="Times New Roman" w:hAnsi="Times New Roman" w:cs="Times New Roman"/>
          <w:spacing w:val="-8"/>
          <w:sz w:val="24"/>
          <w:szCs w:val="24"/>
        </w:rPr>
        <w:t xml:space="preserve"> </w:t>
      </w:r>
      <w:r w:rsidRPr="00AF4FC4">
        <w:rPr>
          <w:rFonts w:ascii="Times New Roman" w:hAnsi="Times New Roman" w:cs="Times New Roman"/>
          <w:sz w:val="24"/>
          <w:szCs w:val="24"/>
        </w:rPr>
        <w:t>notikumu,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nepieciešams,</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lai budžeta</w:t>
      </w:r>
      <w:r w:rsidRPr="00AF4FC4">
        <w:rPr>
          <w:rFonts w:ascii="Times New Roman" w:hAnsi="Times New Roman" w:cs="Times New Roman"/>
          <w:spacing w:val="-7"/>
          <w:sz w:val="24"/>
          <w:szCs w:val="24"/>
        </w:rPr>
        <w:t xml:space="preserve"> </w:t>
      </w:r>
      <w:r w:rsidRPr="00AF4FC4">
        <w:rPr>
          <w:rFonts w:ascii="Times New Roman" w:hAnsi="Times New Roman" w:cs="Times New Roman"/>
          <w:sz w:val="24"/>
          <w:szCs w:val="24"/>
        </w:rPr>
        <w:t>iestādei</w:t>
      </w:r>
      <w:r w:rsidRPr="00AF4FC4">
        <w:rPr>
          <w:rFonts w:ascii="Times New Roman" w:hAnsi="Times New Roman" w:cs="Times New Roman"/>
          <w:spacing w:val="-6"/>
          <w:sz w:val="24"/>
          <w:szCs w:val="24"/>
        </w:rPr>
        <w:t xml:space="preserve"> </w:t>
      </w:r>
      <w:r w:rsidRPr="00AF4FC4">
        <w:rPr>
          <w:rFonts w:ascii="Times New Roman" w:hAnsi="Times New Roman" w:cs="Times New Roman"/>
          <w:sz w:val="24"/>
          <w:szCs w:val="24"/>
        </w:rPr>
        <w:t>nebūtu</w:t>
      </w:r>
      <w:r w:rsidRPr="00AF4FC4">
        <w:rPr>
          <w:rFonts w:ascii="Times New Roman" w:hAnsi="Times New Roman" w:cs="Times New Roman"/>
          <w:spacing w:val="-7"/>
          <w:sz w:val="24"/>
          <w:szCs w:val="24"/>
        </w:rPr>
        <w:t xml:space="preserve"> </w:t>
      </w:r>
      <w:r w:rsidRPr="00AF4FC4">
        <w:rPr>
          <w:rFonts w:ascii="Times New Roman" w:hAnsi="Times New Roman" w:cs="Times New Roman"/>
          <w:sz w:val="24"/>
          <w:szCs w:val="24"/>
        </w:rPr>
        <w:t>citas alternatīvas,</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kā</w:t>
      </w:r>
      <w:r w:rsidRPr="00AF4FC4">
        <w:rPr>
          <w:rFonts w:ascii="Times New Roman" w:hAnsi="Times New Roman" w:cs="Times New Roman"/>
          <w:spacing w:val="-9"/>
          <w:sz w:val="24"/>
          <w:szCs w:val="24"/>
        </w:rPr>
        <w:t xml:space="preserve"> </w:t>
      </w:r>
      <w:r w:rsidRPr="00AF4FC4">
        <w:rPr>
          <w:rFonts w:ascii="Times New Roman" w:hAnsi="Times New Roman" w:cs="Times New Roman"/>
          <w:sz w:val="24"/>
          <w:szCs w:val="24"/>
        </w:rPr>
        <w:t>vien</w:t>
      </w:r>
      <w:r w:rsidRPr="00AF4FC4">
        <w:rPr>
          <w:rFonts w:ascii="Times New Roman" w:hAnsi="Times New Roman" w:cs="Times New Roman"/>
          <w:spacing w:val="-12"/>
          <w:sz w:val="24"/>
          <w:szCs w:val="24"/>
        </w:rPr>
        <w:t xml:space="preserve"> </w:t>
      </w:r>
      <w:r w:rsidRPr="00AF4FC4">
        <w:rPr>
          <w:rFonts w:ascii="Times New Roman" w:hAnsi="Times New Roman" w:cs="Times New Roman"/>
          <w:sz w:val="24"/>
          <w:szCs w:val="24"/>
        </w:rPr>
        <w:t>izpildīt</w:t>
      </w:r>
      <w:r w:rsidRPr="00AF4FC4">
        <w:rPr>
          <w:rFonts w:ascii="Times New Roman" w:hAnsi="Times New Roman" w:cs="Times New Roman"/>
          <w:spacing w:val="-12"/>
          <w:sz w:val="24"/>
          <w:szCs w:val="24"/>
        </w:rPr>
        <w:t xml:space="preserve"> </w:t>
      </w:r>
      <w:r w:rsidRPr="00AF4FC4">
        <w:rPr>
          <w:rFonts w:ascii="Times New Roman" w:hAnsi="Times New Roman" w:cs="Times New Roman"/>
          <w:sz w:val="24"/>
          <w:szCs w:val="24"/>
        </w:rPr>
        <w:t>notikuma</w:t>
      </w:r>
      <w:r w:rsidRPr="00AF4FC4">
        <w:rPr>
          <w:rFonts w:ascii="Times New Roman" w:hAnsi="Times New Roman" w:cs="Times New Roman"/>
          <w:spacing w:val="-10"/>
          <w:sz w:val="24"/>
          <w:szCs w:val="24"/>
        </w:rPr>
        <w:t xml:space="preserve"> </w:t>
      </w:r>
      <w:r w:rsidRPr="00AF4FC4">
        <w:rPr>
          <w:rFonts w:ascii="Times New Roman" w:hAnsi="Times New Roman" w:cs="Times New Roman"/>
          <w:sz w:val="24"/>
          <w:szCs w:val="24"/>
        </w:rPr>
        <w:t>dēļ</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radušos</w:t>
      </w:r>
      <w:r w:rsidRPr="00AF4FC4">
        <w:rPr>
          <w:rFonts w:ascii="Times New Roman" w:hAnsi="Times New Roman" w:cs="Times New Roman"/>
          <w:spacing w:val="-12"/>
          <w:sz w:val="24"/>
          <w:szCs w:val="24"/>
        </w:rPr>
        <w:t xml:space="preserve"> </w:t>
      </w:r>
      <w:r w:rsidRPr="00AF4FC4">
        <w:rPr>
          <w:rFonts w:ascii="Times New Roman" w:hAnsi="Times New Roman" w:cs="Times New Roman"/>
          <w:sz w:val="24"/>
          <w:szCs w:val="24"/>
        </w:rPr>
        <w:t>pienākumu.</w:t>
      </w:r>
      <w:r w:rsidRPr="00AF4FC4">
        <w:rPr>
          <w:rFonts w:ascii="Times New Roman" w:hAnsi="Times New Roman" w:cs="Times New Roman"/>
          <w:spacing w:val="-9"/>
          <w:sz w:val="24"/>
          <w:szCs w:val="24"/>
        </w:rPr>
        <w:t xml:space="preserve"> </w:t>
      </w:r>
      <w:r w:rsidRPr="00AF4FC4">
        <w:rPr>
          <w:rFonts w:ascii="Times New Roman" w:hAnsi="Times New Roman" w:cs="Times New Roman"/>
          <w:sz w:val="24"/>
          <w:szCs w:val="24"/>
        </w:rPr>
        <w:t>Tāda</w:t>
      </w:r>
      <w:r w:rsidRPr="00AF4FC4">
        <w:rPr>
          <w:rFonts w:ascii="Times New Roman" w:hAnsi="Times New Roman" w:cs="Times New Roman"/>
          <w:spacing w:val="-10"/>
          <w:sz w:val="24"/>
          <w:szCs w:val="24"/>
        </w:rPr>
        <w:t xml:space="preserve"> </w:t>
      </w:r>
      <w:r w:rsidRPr="00AF4FC4">
        <w:rPr>
          <w:rFonts w:ascii="Times New Roman" w:hAnsi="Times New Roman" w:cs="Times New Roman"/>
          <w:sz w:val="24"/>
          <w:szCs w:val="24"/>
        </w:rPr>
        <w:t>situācija</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rodas</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vienīgi</w:t>
      </w:r>
      <w:r w:rsidRPr="00AF4FC4">
        <w:rPr>
          <w:rFonts w:ascii="Times New Roman" w:hAnsi="Times New Roman" w:cs="Times New Roman"/>
          <w:spacing w:val="-9"/>
          <w:sz w:val="24"/>
          <w:szCs w:val="24"/>
        </w:rPr>
        <w:t xml:space="preserve"> </w:t>
      </w:r>
      <w:r w:rsidRPr="00AF4FC4">
        <w:rPr>
          <w:rFonts w:ascii="Times New Roman" w:hAnsi="Times New Roman" w:cs="Times New Roman"/>
          <w:sz w:val="24"/>
          <w:szCs w:val="24"/>
        </w:rPr>
        <w:t>sekojošos gadījumos:</w:t>
      </w:r>
    </w:p>
    <w:p w14:paraId="41265C35" w14:textId="77777777" w:rsidR="00AF4FC4" w:rsidRPr="007A5C0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633</w:t>
      </w:r>
      <w:r w:rsidRPr="007A5C04">
        <w:rPr>
          <w:rFonts w:ascii="Times New Roman" w:hAnsi="Times New Roman" w:cs="Times New Roman"/>
          <w:sz w:val="24"/>
          <w:szCs w:val="24"/>
        </w:rPr>
        <w:t xml:space="preserve">.1. juridiski radīta pienākuma gadījumā; vai </w:t>
      </w:r>
    </w:p>
    <w:p w14:paraId="77AC3E48" w14:textId="77777777" w:rsidR="00AF4FC4" w:rsidRPr="007A5C0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633</w:t>
      </w:r>
      <w:r w:rsidRPr="007A5C04">
        <w:rPr>
          <w:rFonts w:ascii="Times New Roman" w:hAnsi="Times New Roman" w:cs="Times New Roman"/>
          <w:sz w:val="24"/>
          <w:szCs w:val="24"/>
        </w:rPr>
        <w:t xml:space="preserve">.2. prakses radīta pienākuma gadījumā, ja notikums (kas var būt budžeta iestādes darbība) ir devis citām personām pamatotu iemeslu sagaidīt, ka budžeta iestāde izpildīs attiecīgo pienākumu. </w:t>
      </w:r>
    </w:p>
    <w:p w14:paraId="25DE58FA" w14:textId="77777777" w:rsidR="00AF4FC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634</w:t>
      </w:r>
      <w:r w:rsidRPr="007A5C04">
        <w:rPr>
          <w:rFonts w:ascii="Times New Roman" w:hAnsi="Times New Roman" w:cs="Times New Roman"/>
          <w:sz w:val="24"/>
          <w:szCs w:val="24"/>
        </w:rPr>
        <w:t>. Par uzkrājumiem atzīst tikai tos pagātnes notikumu dēļ radušos pienākumus, kas pastāv neatkarīgi no budžeta iestādes darbības nākotnē, tas ir, no tās nākotnes darbības īstenošanas.</w:t>
      </w:r>
    </w:p>
    <w:p w14:paraId="5E083C5F" w14:textId="77777777" w:rsidR="00AF4FC4" w:rsidRPr="00584C57" w:rsidRDefault="00AF4FC4"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584C57">
        <w:rPr>
          <w:rFonts w:ascii="Times New Roman" w:hAnsi="Times New Roman" w:cs="Times New Roman"/>
          <w:sz w:val="24"/>
          <w:szCs w:val="24"/>
        </w:rPr>
        <w:t>635.</w:t>
      </w:r>
      <w:r w:rsidRPr="00584C57">
        <w:rPr>
          <w:sz w:val="24"/>
          <w:szCs w:val="24"/>
        </w:rPr>
        <w:t xml:space="preserve"> </w:t>
      </w:r>
      <w:r w:rsidRPr="00584C57">
        <w:rPr>
          <w:rFonts w:ascii="Times New Roman" w:hAnsi="Times New Roman" w:cs="Times New Roman"/>
          <w:sz w:val="24"/>
          <w:szCs w:val="24"/>
        </w:rPr>
        <w:t>Šādu pienākumu piemēri var būt,</w:t>
      </w:r>
      <w:r w:rsidRPr="00584C57">
        <w:rPr>
          <w:rFonts w:ascii="Times New Roman" w:hAnsi="Times New Roman" w:cs="Times New Roman"/>
          <w:spacing w:val="1"/>
          <w:sz w:val="24"/>
          <w:szCs w:val="24"/>
        </w:rPr>
        <w:t xml:space="preserve"> </w:t>
      </w:r>
      <w:r w:rsidRPr="00584C57">
        <w:rPr>
          <w:rFonts w:ascii="Times New Roman" w:hAnsi="Times New Roman" w:cs="Times New Roman"/>
          <w:sz w:val="24"/>
          <w:szCs w:val="24"/>
        </w:rPr>
        <w:t>piemēram:</w:t>
      </w:r>
    </w:p>
    <w:p w14:paraId="7D00E246" w14:textId="77777777" w:rsidR="00AF4FC4" w:rsidRPr="00584C57" w:rsidRDefault="00AF4FC4" w:rsidP="00CD363C">
      <w:pPr>
        <w:widowControl w:val="0"/>
        <w:tabs>
          <w:tab w:val="left" w:pos="1352"/>
        </w:tabs>
        <w:autoSpaceDE w:val="0"/>
        <w:autoSpaceDN w:val="0"/>
        <w:spacing w:after="0" w:line="240" w:lineRule="auto"/>
        <w:ind w:right="-66"/>
        <w:jc w:val="both"/>
        <w:rPr>
          <w:i/>
          <w:sz w:val="24"/>
          <w:szCs w:val="24"/>
        </w:rPr>
      </w:pPr>
      <w:r w:rsidRPr="00584C57">
        <w:rPr>
          <w:i/>
          <w:sz w:val="24"/>
          <w:szCs w:val="24"/>
        </w:rPr>
        <w:t>- budžeta iestādei uzlikts vai no tiesību aktiem izriet pienākums samaksāt sodu vai segt vides sakārtošanas izmaksas gadījumā, kad nodarīts kaitējums apkārtējai videi. Abu šo pienākumu izpildes rezultātā rastos resursu izlietojums neatkarīgi no budžeta iestādes darbības</w:t>
      </w:r>
      <w:r w:rsidRPr="00584C57">
        <w:rPr>
          <w:i/>
          <w:spacing w:val="-29"/>
          <w:sz w:val="24"/>
          <w:szCs w:val="24"/>
        </w:rPr>
        <w:t xml:space="preserve"> </w:t>
      </w:r>
      <w:r w:rsidRPr="00584C57">
        <w:rPr>
          <w:i/>
          <w:sz w:val="24"/>
          <w:szCs w:val="24"/>
        </w:rPr>
        <w:t>nākotnē;</w:t>
      </w:r>
    </w:p>
    <w:p w14:paraId="25F58880" w14:textId="77777777" w:rsidR="00AF4FC4" w:rsidRPr="00584C57" w:rsidRDefault="00AF4FC4" w:rsidP="00CD363C">
      <w:pPr>
        <w:widowControl w:val="0"/>
        <w:tabs>
          <w:tab w:val="left" w:pos="1352"/>
        </w:tabs>
        <w:autoSpaceDE w:val="0"/>
        <w:autoSpaceDN w:val="0"/>
        <w:spacing w:after="0" w:line="240" w:lineRule="auto"/>
        <w:ind w:right="-66"/>
        <w:jc w:val="both"/>
        <w:rPr>
          <w:i/>
          <w:sz w:val="24"/>
          <w:szCs w:val="24"/>
        </w:rPr>
      </w:pPr>
      <w:r w:rsidRPr="00584C57">
        <w:rPr>
          <w:i/>
          <w:sz w:val="24"/>
          <w:szCs w:val="24"/>
        </w:rPr>
        <w:t>- budžeta</w:t>
      </w:r>
      <w:r w:rsidRPr="00584C57">
        <w:rPr>
          <w:i/>
          <w:spacing w:val="-17"/>
          <w:sz w:val="24"/>
          <w:szCs w:val="24"/>
        </w:rPr>
        <w:t xml:space="preserve"> </w:t>
      </w:r>
      <w:r w:rsidRPr="00584C57">
        <w:rPr>
          <w:i/>
          <w:sz w:val="24"/>
          <w:szCs w:val="24"/>
        </w:rPr>
        <w:t>iestādei</w:t>
      </w:r>
      <w:r w:rsidRPr="00584C57">
        <w:rPr>
          <w:i/>
          <w:spacing w:val="-18"/>
          <w:sz w:val="24"/>
          <w:szCs w:val="24"/>
        </w:rPr>
        <w:t xml:space="preserve"> </w:t>
      </w:r>
      <w:r w:rsidRPr="00584C57">
        <w:rPr>
          <w:i/>
          <w:sz w:val="24"/>
          <w:szCs w:val="24"/>
        </w:rPr>
        <w:t>var</w:t>
      </w:r>
      <w:r w:rsidRPr="00584C57">
        <w:rPr>
          <w:i/>
          <w:spacing w:val="-16"/>
          <w:sz w:val="24"/>
          <w:szCs w:val="24"/>
        </w:rPr>
        <w:t xml:space="preserve"> </w:t>
      </w:r>
      <w:r w:rsidRPr="00584C57">
        <w:rPr>
          <w:i/>
          <w:sz w:val="24"/>
          <w:szCs w:val="24"/>
        </w:rPr>
        <w:t>būt</w:t>
      </w:r>
      <w:r w:rsidRPr="00584C57">
        <w:rPr>
          <w:i/>
          <w:spacing w:val="-16"/>
          <w:sz w:val="24"/>
          <w:szCs w:val="24"/>
        </w:rPr>
        <w:t xml:space="preserve"> </w:t>
      </w:r>
      <w:r w:rsidRPr="00584C57">
        <w:rPr>
          <w:i/>
          <w:sz w:val="24"/>
          <w:szCs w:val="24"/>
        </w:rPr>
        <w:t>radies</w:t>
      </w:r>
      <w:r w:rsidRPr="00584C57">
        <w:rPr>
          <w:i/>
          <w:spacing w:val="-16"/>
          <w:sz w:val="24"/>
          <w:szCs w:val="24"/>
        </w:rPr>
        <w:t xml:space="preserve"> </w:t>
      </w:r>
      <w:r w:rsidRPr="00584C57">
        <w:rPr>
          <w:i/>
          <w:sz w:val="24"/>
          <w:szCs w:val="24"/>
        </w:rPr>
        <w:t>pienākums</w:t>
      </w:r>
      <w:r w:rsidRPr="00584C57">
        <w:rPr>
          <w:i/>
          <w:spacing w:val="-17"/>
          <w:sz w:val="24"/>
          <w:szCs w:val="24"/>
        </w:rPr>
        <w:t xml:space="preserve"> </w:t>
      </w:r>
      <w:r w:rsidRPr="00584C57">
        <w:rPr>
          <w:i/>
          <w:sz w:val="24"/>
          <w:szCs w:val="24"/>
        </w:rPr>
        <w:t>novērst</w:t>
      </w:r>
      <w:r w:rsidRPr="00584C57">
        <w:rPr>
          <w:i/>
          <w:spacing w:val="-16"/>
          <w:sz w:val="24"/>
          <w:szCs w:val="24"/>
        </w:rPr>
        <w:t xml:space="preserve"> </w:t>
      </w:r>
      <w:r w:rsidRPr="00584C57">
        <w:rPr>
          <w:i/>
          <w:sz w:val="24"/>
          <w:szCs w:val="24"/>
        </w:rPr>
        <w:t>kaitējumu,</w:t>
      </w:r>
      <w:r w:rsidRPr="00584C57">
        <w:rPr>
          <w:i/>
          <w:spacing w:val="-17"/>
          <w:sz w:val="24"/>
          <w:szCs w:val="24"/>
        </w:rPr>
        <w:t xml:space="preserve"> </w:t>
      </w:r>
      <w:r w:rsidRPr="00584C57">
        <w:rPr>
          <w:i/>
          <w:sz w:val="24"/>
          <w:szCs w:val="24"/>
        </w:rPr>
        <w:t>kas</w:t>
      </w:r>
      <w:r w:rsidRPr="00584C57">
        <w:rPr>
          <w:i/>
          <w:spacing w:val="-16"/>
          <w:sz w:val="24"/>
          <w:szCs w:val="24"/>
        </w:rPr>
        <w:t xml:space="preserve"> </w:t>
      </w:r>
      <w:r w:rsidRPr="00584C57">
        <w:rPr>
          <w:i/>
          <w:sz w:val="24"/>
          <w:szCs w:val="24"/>
        </w:rPr>
        <w:t>radies</w:t>
      </w:r>
      <w:r w:rsidRPr="00584C57">
        <w:rPr>
          <w:i/>
          <w:spacing w:val="-16"/>
          <w:sz w:val="24"/>
          <w:szCs w:val="24"/>
        </w:rPr>
        <w:t xml:space="preserve"> </w:t>
      </w:r>
      <w:r w:rsidRPr="00584C57">
        <w:rPr>
          <w:i/>
          <w:sz w:val="24"/>
          <w:szCs w:val="24"/>
        </w:rPr>
        <w:t>konkrēta</w:t>
      </w:r>
      <w:r w:rsidRPr="00584C57">
        <w:rPr>
          <w:i/>
          <w:spacing w:val="-17"/>
          <w:sz w:val="24"/>
          <w:szCs w:val="24"/>
        </w:rPr>
        <w:t xml:space="preserve"> </w:t>
      </w:r>
      <w:r w:rsidRPr="00584C57">
        <w:rPr>
          <w:i/>
          <w:sz w:val="24"/>
          <w:szCs w:val="24"/>
        </w:rPr>
        <w:t>pamatlīdzekļa būvniecības un ekspluatācijas rezultātā. Iestāde ir apņēmusies segt pamatlīdzekļa iepriekšējās atrašanās vietas atjaunošanas izmaksas pēc pamatlīdzekļa ekspluatācijas beigām. Šādā gadījumā</w:t>
      </w:r>
      <w:r w:rsidRPr="00584C57">
        <w:rPr>
          <w:i/>
          <w:spacing w:val="-15"/>
          <w:sz w:val="24"/>
          <w:szCs w:val="24"/>
        </w:rPr>
        <w:t xml:space="preserve"> </w:t>
      </w:r>
      <w:r w:rsidRPr="00584C57">
        <w:rPr>
          <w:i/>
          <w:sz w:val="24"/>
          <w:szCs w:val="24"/>
        </w:rPr>
        <w:t>pamatlīdzekļa</w:t>
      </w:r>
      <w:r w:rsidRPr="00584C57">
        <w:rPr>
          <w:i/>
          <w:spacing w:val="-17"/>
          <w:sz w:val="24"/>
          <w:szCs w:val="24"/>
        </w:rPr>
        <w:t xml:space="preserve"> </w:t>
      </w:r>
      <w:r w:rsidRPr="00584C57">
        <w:rPr>
          <w:i/>
          <w:sz w:val="24"/>
          <w:szCs w:val="24"/>
        </w:rPr>
        <w:t>nojaukšanas</w:t>
      </w:r>
      <w:r w:rsidRPr="00584C57">
        <w:rPr>
          <w:i/>
          <w:spacing w:val="-15"/>
          <w:sz w:val="24"/>
          <w:szCs w:val="24"/>
        </w:rPr>
        <w:t xml:space="preserve"> </w:t>
      </w:r>
      <w:r w:rsidRPr="00584C57">
        <w:rPr>
          <w:i/>
          <w:sz w:val="24"/>
          <w:szCs w:val="24"/>
        </w:rPr>
        <w:t>un</w:t>
      </w:r>
      <w:r w:rsidRPr="00584C57">
        <w:rPr>
          <w:i/>
          <w:spacing w:val="-17"/>
          <w:sz w:val="24"/>
          <w:szCs w:val="24"/>
        </w:rPr>
        <w:t xml:space="preserve"> </w:t>
      </w:r>
      <w:r w:rsidRPr="00584C57">
        <w:rPr>
          <w:i/>
          <w:sz w:val="24"/>
          <w:szCs w:val="24"/>
        </w:rPr>
        <w:t>atrašanās</w:t>
      </w:r>
      <w:r w:rsidRPr="00584C57">
        <w:rPr>
          <w:i/>
          <w:spacing w:val="-15"/>
          <w:sz w:val="24"/>
          <w:szCs w:val="24"/>
        </w:rPr>
        <w:t xml:space="preserve"> </w:t>
      </w:r>
      <w:r w:rsidRPr="00584C57">
        <w:rPr>
          <w:i/>
          <w:sz w:val="24"/>
          <w:szCs w:val="24"/>
        </w:rPr>
        <w:t>vietas</w:t>
      </w:r>
      <w:r w:rsidRPr="00584C57">
        <w:rPr>
          <w:i/>
          <w:spacing w:val="-14"/>
          <w:sz w:val="24"/>
          <w:szCs w:val="24"/>
        </w:rPr>
        <w:t xml:space="preserve"> </w:t>
      </w:r>
      <w:r w:rsidRPr="00584C57">
        <w:rPr>
          <w:i/>
          <w:sz w:val="24"/>
          <w:szCs w:val="24"/>
        </w:rPr>
        <w:t>atjaunošanas</w:t>
      </w:r>
      <w:r w:rsidRPr="00584C57">
        <w:rPr>
          <w:i/>
          <w:spacing w:val="-15"/>
          <w:sz w:val="24"/>
          <w:szCs w:val="24"/>
        </w:rPr>
        <w:t xml:space="preserve"> </w:t>
      </w:r>
      <w:r w:rsidRPr="00584C57">
        <w:rPr>
          <w:i/>
          <w:sz w:val="24"/>
          <w:szCs w:val="24"/>
        </w:rPr>
        <w:t>izmaksu</w:t>
      </w:r>
      <w:r w:rsidRPr="00584C57">
        <w:rPr>
          <w:i/>
          <w:spacing w:val="-16"/>
          <w:sz w:val="24"/>
          <w:szCs w:val="24"/>
        </w:rPr>
        <w:t xml:space="preserve"> </w:t>
      </w:r>
      <w:r w:rsidRPr="00584C57">
        <w:rPr>
          <w:i/>
          <w:sz w:val="24"/>
          <w:szCs w:val="24"/>
        </w:rPr>
        <w:t>aplēse</w:t>
      </w:r>
      <w:r w:rsidRPr="00584C57">
        <w:rPr>
          <w:i/>
          <w:spacing w:val="-16"/>
          <w:sz w:val="24"/>
          <w:szCs w:val="24"/>
        </w:rPr>
        <w:t xml:space="preserve"> </w:t>
      </w:r>
      <w:r w:rsidRPr="00584C57">
        <w:rPr>
          <w:i/>
          <w:sz w:val="24"/>
          <w:szCs w:val="24"/>
        </w:rPr>
        <w:t>saskaņā ar Rokasgrāmatas sadaļā “Pamatlīdzekļu uzskaite” noteiktajiem uzskaites principiem sākotnēji tiek iekļauta attiecīgā aktīva izmaksu vērtībā, tas ir, pie aktīva sākotnējās atzīšanas tiek atzīts uzkrājums aplēsto izmaksu apmērā un attiecīgi tādā pašā apmērā palielināta pamatlīdzekļa vērtība (iekļauts aktīva sākotnējā izmaksu</w:t>
      </w:r>
      <w:r w:rsidRPr="00584C57">
        <w:rPr>
          <w:i/>
          <w:spacing w:val="-8"/>
          <w:sz w:val="24"/>
          <w:szCs w:val="24"/>
        </w:rPr>
        <w:t xml:space="preserve"> </w:t>
      </w:r>
      <w:r w:rsidRPr="00584C57">
        <w:rPr>
          <w:i/>
          <w:sz w:val="24"/>
          <w:szCs w:val="24"/>
        </w:rPr>
        <w:t>vērtībā);</w:t>
      </w:r>
    </w:p>
    <w:p w14:paraId="57824DB9" w14:textId="77777777" w:rsidR="00AF4FC4" w:rsidRPr="00584C57" w:rsidRDefault="00AF4FC4" w:rsidP="00CD363C">
      <w:pPr>
        <w:widowControl w:val="0"/>
        <w:tabs>
          <w:tab w:val="left" w:pos="1352"/>
        </w:tabs>
        <w:autoSpaceDE w:val="0"/>
        <w:autoSpaceDN w:val="0"/>
        <w:spacing w:after="0" w:line="240" w:lineRule="auto"/>
        <w:ind w:right="-66"/>
        <w:jc w:val="both"/>
        <w:rPr>
          <w:i/>
          <w:sz w:val="24"/>
          <w:szCs w:val="24"/>
        </w:rPr>
      </w:pPr>
      <w:r w:rsidRPr="00584C57">
        <w:rPr>
          <w:i/>
          <w:sz w:val="24"/>
          <w:szCs w:val="24"/>
        </w:rPr>
        <w:t>- budžeta iestāde var uzņemties kādus izdevumus juridisko prasību vai sabiedrības spiediena rezultātā, vai ar mērķi veikt kādas darbības nākotnē. Piemēram, budžeta iestāde var nolemt uzstādīt savām automašīnām izplūdes gāzu kontrolierīces. Ja budžeta iestāde ar savu darbību nākotnē var izvairīties no šādiem nākotnes izdevumiem, piemēram, mainot savu darbību, tad tai</w:t>
      </w:r>
      <w:r w:rsidRPr="00584C57">
        <w:rPr>
          <w:i/>
          <w:spacing w:val="-9"/>
          <w:sz w:val="24"/>
          <w:szCs w:val="24"/>
        </w:rPr>
        <w:t xml:space="preserve"> </w:t>
      </w:r>
      <w:r w:rsidRPr="00584C57">
        <w:rPr>
          <w:i/>
          <w:sz w:val="24"/>
          <w:szCs w:val="24"/>
        </w:rPr>
        <w:t>nepastāv</w:t>
      </w:r>
      <w:r w:rsidRPr="00584C57">
        <w:rPr>
          <w:i/>
          <w:spacing w:val="-9"/>
          <w:sz w:val="24"/>
          <w:szCs w:val="24"/>
        </w:rPr>
        <w:t xml:space="preserve"> </w:t>
      </w:r>
      <w:r w:rsidRPr="00584C57">
        <w:rPr>
          <w:i/>
          <w:sz w:val="24"/>
          <w:szCs w:val="24"/>
        </w:rPr>
        <w:t>pašreizējs</w:t>
      </w:r>
      <w:r w:rsidRPr="00584C57">
        <w:rPr>
          <w:i/>
          <w:spacing w:val="-9"/>
          <w:sz w:val="24"/>
          <w:szCs w:val="24"/>
        </w:rPr>
        <w:t xml:space="preserve"> </w:t>
      </w:r>
      <w:r w:rsidRPr="00584C57">
        <w:rPr>
          <w:i/>
          <w:sz w:val="24"/>
          <w:szCs w:val="24"/>
        </w:rPr>
        <w:t>pienākums</w:t>
      </w:r>
      <w:r w:rsidRPr="00584C57">
        <w:rPr>
          <w:i/>
          <w:spacing w:val="-9"/>
          <w:sz w:val="24"/>
          <w:szCs w:val="24"/>
        </w:rPr>
        <w:t xml:space="preserve"> </w:t>
      </w:r>
      <w:r w:rsidRPr="00584C57">
        <w:rPr>
          <w:i/>
          <w:sz w:val="24"/>
          <w:szCs w:val="24"/>
        </w:rPr>
        <w:t>attiecībā</w:t>
      </w:r>
      <w:r w:rsidRPr="00584C57">
        <w:rPr>
          <w:i/>
          <w:spacing w:val="-10"/>
          <w:sz w:val="24"/>
          <w:szCs w:val="24"/>
        </w:rPr>
        <w:t xml:space="preserve"> </w:t>
      </w:r>
      <w:r w:rsidRPr="00584C57">
        <w:rPr>
          <w:i/>
          <w:sz w:val="24"/>
          <w:szCs w:val="24"/>
        </w:rPr>
        <w:t>uz</w:t>
      </w:r>
      <w:r w:rsidRPr="00584C57">
        <w:rPr>
          <w:i/>
          <w:spacing w:val="-9"/>
          <w:sz w:val="24"/>
          <w:szCs w:val="24"/>
        </w:rPr>
        <w:t xml:space="preserve"> </w:t>
      </w:r>
      <w:r w:rsidRPr="00584C57">
        <w:rPr>
          <w:i/>
          <w:sz w:val="24"/>
          <w:szCs w:val="24"/>
        </w:rPr>
        <w:t>šādiem</w:t>
      </w:r>
      <w:r w:rsidRPr="00584C57">
        <w:rPr>
          <w:i/>
          <w:spacing w:val="-9"/>
          <w:sz w:val="24"/>
          <w:szCs w:val="24"/>
        </w:rPr>
        <w:t xml:space="preserve"> </w:t>
      </w:r>
      <w:r w:rsidRPr="00584C57">
        <w:rPr>
          <w:i/>
          <w:sz w:val="24"/>
          <w:szCs w:val="24"/>
        </w:rPr>
        <w:t>nākotnes</w:t>
      </w:r>
      <w:r w:rsidRPr="00584C57">
        <w:rPr>
          <w:i/>
          <w:spacing w:val="-9"/>
          <w:sz w:val="24"/>
          <w:szCs w:val="24"/>
        </w:rPr>
        <w:t xml:space="preserve"> </w:t>
      </w:r>
      <w:r w:rsidRPr="00584C57">
        <w:rPr>
          <w:i/>
          <w:sz w:val="24"/>
          <w:szCs w:val="24"/>
        </w:rPr>
        <w:t>izdevumiem</w:t>
      </w:r>
      <w:r w:rsidRPr="00584C57">
        <w:rPr>
          <w:i/>
          <w:spacing w:val="-10"/>
          <w:sz w:val="24"/>
          <w:szCs w:val="24"/>
        </w:rPr>
        <w:t xml:space="preserve"> </w:t>
      </w:r>
      <w:r w:rsidRPr="00584C57">
        <w:rPr>
          <w:i/>
          <w:sz w:val="24"/>
          <w:szCs w:val="24"/>
        </w:rPr>
        <w:t>un</w:t>
      </w:r>
      <w:r w:rsidRPr="00584C57">
        <w:rPr>
          <w:i/>
          <w:spacing w:val="-9"/>
          <w:sz w:val="24"/>
          <w:szCs w:val="24"/>
        </w:rPr>
        <w:t xml:space="preserve"> </w:t>
      </w:r>
      <w:r w:rsidRPr="00584C57">
        <w:rPr>
          <w:i/>
          <w:sz w:val="24"/>
          <w:szCs w:val="24"/>
        </w:rPr>
        <w:t>budžeta</w:t>
      </w:r>
      <w:r w:rsidRPr="00584C57">
        <w:rPr>
          <w:i/>
          <w:spacing w:val="-12"/>
          <w:sz w:val="24"/>
          <w:szCs w:val="24"/>
        </w:rPr>
        <w:t xml:space="preserve"> </w:t>
      </w:r>
      <w:r w:rsidRPr="00584C57">
        <w:rPr>
          <w:i/>
          <w:sz w:val="24"/>
          <w:szCs w:val="24"/>
        </w:rPr>
        <w:t>iestāde uzkrājumus</w:t>
      </w:r>
      <w:r w:rsidRPr="00584C57">
        <w:rPr>
          <w:i/>
          <w:spacing w:val="-3"/>
          <w:sz w:val="24"/>
          <w:szCs w:val="24"/>
        </w:rPr>
        <w:t xml:space="preserve"> </w:t>
      </w:r>
      <w:r w:rsidRPr="00584C57">
        <w:rPr>
          <w:i/>
          <w:sz w:val="24"/>
          <w:szCs w:val="24"/>
        </w:rPr>
        <w:t>neatzīst.</w:t>
      </w:r>
    </w:p>
    <w:p w14:paraId="3CEC8707" w14:textId="77777777" w:rsidR="00584C57" w:rsidRDefault="00584C57"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584C57">
        <w:rPr>
          <w:sz w:val="24"/>
          <w:szCs w:val="24"/>
        </w:rPr>
        <w:t>636.</w:t>
      </w:r>
      <w:r w:rsidRPr="00584C57">
        <w:t xml:space="preserve"> </w:t>
      </w:r>
      <w:r w:rsidRPr="00584C57">
        <w:rPr>
          <w:rFonts w:ascii="Times New Roman" w:hAnsi="Times New Roman" w:cs="Times New Roman"/>
          <w:sz w:val="24"/>
          <w:szCs w:val="24"/>
        </w:rPr>
        <w:t>Pašreizējs</w:t>
      </w:r>
      <w:r w:rsidRPr="00584C57">
        <w:rPr>
          <w:rFonts w:ascii="Times New Roman" w:hAnsi="Times New Roman" w:cs="Times New Roman"/>
          <w:spacing w:val="-13"/>
          <w:sz w:val="24"/>
          <w:szCs w:val="24"/>
        </w:rPr>
        <w:t xml:space="preserve"> </w:t>
      </w:r>
      <w:r w:rsidRPr="00584C57">
        <w:rPr>
          <w:rFonts w:ascii="Times New Roman" w:hAnsi="Times New Roman" w:cs="Times New Roman"/>
          <w:sz w:val="24"/>
          <w:szCs w:val="24"/>
        </w:rPr>
        <w:t>pienākums</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vienmēr</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ietver</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otru</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pusi,</w:t>
      </w:r>
      <w:r w:rsidRPr="00584C57">
        <w:rPr>
          <w:rFonts w:ascii="Times New Roman" w:hAnsi="Times New Roman" w:cs="Times New Roman"/>
          <w:spacing w:val="-10"/>
          <w:sz w:val="24"/>
          <w:szCs w:val="24"/>
        </w:rPr>
        <w:t xml:space="preserve"> </w:t>
      </w:r>
      <w:r w:rsidRPr="00584C57">
        <w:rPr>
          <w:rFonts w:ascii="Times New Roman" w:hAnsi="Times New Roman" w:cs="Times New Roman"/>
          <w:sz w:val="24"/>
          <w:szCs w:val="24"/>
        </w:rPr>
        <w:t>pret</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kuru</w:t>
      </w:r>
      <w:r w:rsidRPr="00584C57">
        <w:rPr>
          <w:rFonts w:ascii="Times New Roman" w:hAnsi="Times New Roman" w:cs="Times New Roman"/>
          <w:spacing w:val="-11"/>
          <w:sz w:val="24"/>
          <w:szCs w:val="24"/>
        </w:rPr>
        <w:t xml:space="preserve"> </w:t>
      </w:r>
      <w:r w:rsidRPr="00584C57">
        <w:rPr>
          <w:rFonts w:ascii="Times New Roman" w:hAnsi="Times New Roman" w:cs="Times New Roman"/>
          <w:sz w:val="24"/>
          <w:szCs w:val="24"/>
        </w:rPr>
        <w:t>šis</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pienākums</w:t>
      </w:r>
      <w:r w:rsidRPr="00584C57">
        <w:rPr>
          <w:rFonts w:ascii="Times New Roman" w:hAnsi="Times New Roman" w:cs="Times New Roman"/>
          <w:spacing w:val="-11"/>
          <w:sz w:val="24"/>
          <w:szCs w:val="24"/>
        </w:rPr>
        <w:t xml:space="preserve"> </w:t>
      </w:r>
      <w:r w:rsidRPr="00584C57">
        <w:rPr>
          <w:rFonts w:ascii="Times New Roman" w:hAnsi="Times New Roman" w:cs="Times New Roman"/>
          <w:sz w:val="24"/>
          <w:szCs w:val="24"/>
        </w:rPr>
        <w:t>jāizpilda.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Tomēr</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nav</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obligāti noteikt tās puses identitāti, pret kuru pastāv pienākums. Pienākums var pastāvēt arī pret sabiedrību. Tā kā pienākums vienmēr ietver apņemšanos pret citu personu, no tā izriet, ka budžeta iestādes vadības</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vai</w:t>
      </w:r>
      <w:r w:rsidRPr="00584C57">
        <w:rPr>
          <w:rFonts w:ascii="Times New Roman" w:hAnsi="Times New Roman" w:cs="Times New Roman"/>
          <w:spacing w:val="-7"/>
          <w:sz w:val="24"/>
          <w:szCs w:val="24"/>
        </w:rPr>
        <w:t xml:space="preserve"> </w:t>
      </w:r>
      <w:r w:rsidRPr="00584C57">
        <w:rPr>
          <w:rFonts w:ascii="Times New Roman" w:hAnsi="Times New Roman" w:cs="Times New Roman"/>
          <w:sz w:val="24"/>
          <w:szCs w:val="24"/>
        </w:rPr>
        <w:t>citas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budžeta</w:t>
      </w:r>
      <w:r w:rsidRPr="00584C57">
        <w:rPr>
          <w:rFonts w:ascii="Times New Roman" w:hAnsi="Times New Roman" w:cs="Times New Roman"/>
          <w:spacing w:val="-10"/>
          <w:sz w:val="24"/>
          <w:szCs w:val="24"/>
        </w:rPr>
        <w:t xml:space="preserve"> </w:t>
      </w:r>
      <w:r w:rsidRPr="00584C57">
        <w:rPr>
          <w:rFonts w:ascii="Times New Roman" w:hAnsi="Times New Roman" w:cs="Times New Roman"/>
          <w:sz w:val="24"/>
          <w:szCs w:val="24"/>
        </w:rPr>
        <w:t>iestādes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lēmums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nerada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prakses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radītu</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pienākumu</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pārskata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datumā,</w:t>
      </w:r>
      <w:r w:rsidRPr="00584C57">
        <w:rPr>
          <w:rFonts w:ascii="Times New Roman" w:hAnsi="Times New Roman" w:cs="Times New Roman"/>
          <w:spacing w:val="-10"/>
          <w:sz w:val="24"/>
          <w:szCs w:val="24"/>
        </w:rPr>
        <w:t xml:space="preserve"> </w:t>
      </w:r>
      <w:r w:rsidRPr="00584C57">
        <w:rPr>
          <w:rFonts w:ascii="Times New Roman" w:hAnsi="Times New Roman" w:cs="Times New Roman"/>
          <w:sz w:val="24"/>
          <w:szCs w:val="24"/>
        </w:rPr>
        <w:t>ja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vien šis lēmums pirms pārskata datuma nav paziņots personām, kuras tas tieši ietekmē, lai dotu šīm personām pamatotu iemeslu sagaidīt no budžeta iestādes, ka tā izpildīs savus pienākumus.</w:t>
      </w:r>
    </w:p>
    <w:p w14:paraId="5904E2B2" w14:textId="77777777" w:rsidR="00584C57" w:rsidRDefault="00584C57" w:rsidP="00CD363C">
      <w:pPr>
        <w:widowControl w:val="0"/>
        <w:tabs>
          <w:tab w:val="left" w:pos="898"/>
        </w:tabs>
        <w:autoSpaceDE w:val="0"/>
        <w:autoSpaceDN w:val="0"/>
        <w:spacing w:after="0" w:line="240" w:lineRule="auto"/>
        <w:ind w:right="-66"/>
        <w:jc w:val="both"/>
        <w:rPr>
          <w:i/>
          <w:sz w:val="24"/>
          <w:szCs w:val="24"/>
        </w:rPr>
      </w:pPr>
      <w:r w:rsidRPr="00584C57">
        <w:rPr>
          <w:sz w:val="24"/>
          <w:szCs w:val="24"/>
        </w:rPr>
        <w:t xml:space="preserve"> </w:t>
      </w:r>
      <w:r w:rsidRPr="00584C57">
        <w:rPr>
          <w:i/>
          <w:sz w:val="24"/>
          <w:szCs w:val="24"/>
        </w:rPr>
        <w:t>Piemēram, ja pārskata gadā budžeta iestādes vadība ir nolēmusi slēgt struktūrvienību, tomēr līdz pārskata perioda beigām vadība nav informējusi iesaistītās puses, kā arī nav veikti nekādi citi pasākumi lēmuma izpildei pirms pārskata datuma, tad šādā gadījumā budžeta iestādes vadības darbības nav pietiekamas, lai radītu prakses radītu pienākumu pārskata</w:t>
      </w:r>
      <w:r w:rsidRPr="00584C57">
        <w:rPr>
          <w:i/>
          <w:spacing w:val="-6"/>
          <w:sz w:val="24"/>
          <w:szCs w:val="24"/>
        </w:rPr>
        <w:t xml:space="preserve"> </w:t>
      </w:r>
      <w:r w:rsidRPr="00584C57">
        <w:rPr>
          <w:i/>
          <w:sz w:val="24"/>
          <w:szCs w:val="24"/>
        </w:rPr>
        <w:t>datumā.</w:t>
      </w:r>
    </w:p>
    <w:p w14:paraId="2B79A79F" w14:textId="77777777" w:rsidR="00584C57" w:rsidRPr="00584C57" w:rsidRDefault="00584C57" w:rsidP="00CD363C">
      <w:pPr>
        <w:widowControl w:val="0"/>
        <w:tabs>
          <w:tab w:val="left" w:pos="898"/>
        </w:tabs>
        <w:autoSpaceDE w:val="0"/>
        <w:autoSpaceDN w:val="0"/>
        <w:spacing w:after="0" w:line="240" w:lineRule="auto"/>
        <w:ind w:right="-66"/>
        <w:jc w:val="both"/>
        <w:rPr>
          <w:rFonts w:ascii="Times New Roman" w:hAnsi="Times New Roman" w:cs="Times New Roman"/>
          <w:spacing w:val="-15"/>
          <w:sz w:val="24"/>
          <w:szCs w:val="24"/>
        </w:rPr>
      </w:pPr>
      <w:r w:rsidRPr="00584C57">
        <w:rPr>
          <w:sz w:val="24"/>
          <w:szCs w:val="24"/>
        </w:rPr>
        <w:t xml:space="preserve">637. </w:t>
      </w:r>
      <w:r w:rsidRPr="00584C57">
        <w:rPr>
          <w:rFonts w:ascii="Times New Roman" w:hAnsi="Times New Roman" w:cs="Times New Roman"/>
          <w:sz w:val="24"/>
          <w:szCs w:val="24"/>
        </w:rPr>
        <w:t>Notikums, kas tūlīt neveido pienākumu, var radīt pienākumu nākotnē sakarā ar izmaiņām tiesību aktos vai sakarā ar to, ka budžeta iestādes darbība (piemēram, publisks paziņojums) rada prakses radītu</w:t>
      </w:r>
      <w:r w:rsidRPr="00584C57">
        <w:rPr>
          <w:rFonts w:ascii="Times New Roman" w:hAnsi="Times New Roman" w:cs="Times New Roman"/>
          <w:spacing w:val="-17"/>
          <w:sz w:val="24"/>
          <w:szCs w:val="24"/>
        </w:rPr>
        <w:t xml:space="preserve"> </w:t>
      </w:r>
      <w:r w:rsidRPr="00584C57">
        <w:rPr>
          <w:rFonts w:ascii="Times New Roman" w:hAnsi="Times New Roman" w:cs="Times New Roman"/>
          <w:sz w:val="24"/>
          <w:szCs w:val="24"/>
        </w:rPr>
        <w:t>pienākumu.</w:t>
      </w:r>
      <w:r w:rsidRPr="00584C57">
        <w:rPr>
          <w:rFonts w:ascii="Times New Roman" w:hAnsi="Times New Roman" w:cs="Times New Roman"/>
          <w:spacing w:val="-15"/>
          <w:sz w:val="24"/>
          <w:szCs w:val="24"/>
        </w:rPr>
        <w:t xml:space="preserve">  </w:t>
      </w:r>
    </w:p>
    <w:p w14:paraId="75205A3F" w14:textId="77777777" w:rsidR="00584C57" w:rsidRDefault="00584C57" w:rsidP="00CD363C">
      <w:pPr>
        <w:widowControl w:val="0"/>
        <w:tabs>
          <w:tab w:val="left" w:pos="898"/>
        </w:tabs>
        <w:autoSpaceDE w:val="0"/>
        <w:autoSpaceDN w:val="0"/>
        <w:spacing w:after="0" w:line="240" w:lineRule="auto"/>
        <w:ind w:right="-66"/>
        <w:jc w:val="both"/>
        <w:rPr>
          <w:i/>
          <w:sz w:val="24"/>
          <w:szCs w:val="24"/>
        </w:rPr>
      </w:pPr>
      <w:r w:rsidRPr="00584C57">
        <w:rPr>
          <w:i/>
          <w:sz w:val="24"/>
          <w:szCs w:val="24"/>
        </w:rPr>
        <w:t>Piemēram,</w:t>
      </w:r>
      <w:r w:rsidRPr="00584C57">
        <w:rPr>
          <w:i/>
          <w:spacing w:val="-17"/>
          <w:sz w:val="24"/>
          <w:szCs w:val="24"/>
        </w:rPr>
        <w:t xml:space="preserve"> </w:t>
      </w:r>
      <w:r w:rsidRPr="00584C57">
        <w:rPr>
          <w:i/>
          <w:sz w:val="24"/>
          <w:szCs w:val="24"/>
        </w:rPr>
        <w:t>budžeta</w:t>
      </w:r>
      <w:r w:rsidRPr="00584C57">
        <w:rPr>
          <w:i/>
          <w:spacing w:val="-17"/>
          <w:sz w:val="24"/>
          <w:szCs w:val="24"/>
        </w:rPr>
        <w:t xml:space="preserve"> </w:t>
      </w:r>
      <w:r w:rsidRPr="00584C57">
        <w:rPr>
          <w:i/>
          <w:sz w:val="24"/>
          <w:szCs w:val="24"/>
        </w:rPr>
        <w:t>iestāde</w:t>
      </w:r>
      <w:r w:rsidRPr="00584C57">
        <w:rPr>
          <w:i/>
          <w:spacing w:val="-16"/>
          <w:sz w:val="24"/>
          <w:szCs w:val="24"/>
        </w:rPr>
        <w:t xml:space="preserve"> </w:t>
      </w:r>
      <w:r w:rsidRPr="00584C57">
        <w:rPr>
          <w:i/>
          <w:sz w:val="24"/>
          <w:szCs w:val="24"/>
        </w:rPr>
        <w:t>ir</w:t>
      </w:r>
      <w:r w:rsidRPr="00584C57">
        <w:rPr>
          <w:i/>
          <w:spacing w:val="-16"/>
          <w:sz w:val="24"/>
          <w:szCs w:val="24"/>
        </w:rPr>
        <w:t xml:space="preserve"> </w:t>
      </w:r>
      <w:r w:rsidRPr="00584C57">
        <w:rPr>
          <w:i/>
          <w:sz w:val="24"/>
          <w:szCs w:val="24"/>
        </w:rPr>
        <w:t>radījusi</w:t>
      </w:r>
      <w:r w:rsidRPr="00584C57">
        <w:rPr>
          <w:i/>
          <w:spacing w:val="-14"/>
          <w:sz w:val="24"/>
          <w:szCs w:val="24"/>
        </w:rPr>
        <w:t xml:space="preserve"> </w:t>
      </w:r>
      <w:r w:rsidRPr="00584C57">
        <w:rPr>
          <w:i/>
          <w:sz w:val="24"/>
          <w:szCs w:val="24"/>
        </w:rPr>
        <w:t>kaitējumu</w:t>
      </w:r>
      <w:r w:rsidRPr="00584C57">
        <w:rPr>
          <w:i/>
          <w:spacing w:val="-14"/>
          <w:sz w:val="24"/>
          <w:szCs w:val="24"/>
        </w:rPr>
        <w:t xml:space="preserve"> </w:t>
      </w:r>
      <w:r w:rsidRPr="00584C57">
        <w:rPr>
          <w:i/>
          <w:sz w:val="24"/>
          <w:szCs w:val="24"/>
        </w:rPr>
        <w:t>videi,</w:t>
      </w:r>
      <w:r w:rsidRPr="00584C57">
        <w:rPr>
          <w:i/>
          <w:spacing w:val="-17"/>
          <w:sz w:val="24"/>
          <w:szCs w:val="24"/>
        </w:rPr>
        <w:t xml:space="preserve"> </w:t>
      </w:r>
      <w:r w:rsidRPr="00584C57">
        <w:rPr>
          <w:i/>
          <w:sz w:val="24"/>
          <w:szCs w:val="24"/>
        </w:rPr>
        <w:t>un</w:t>
      </w:r>
      <w:r w:rsidRPr="00584C57">
        <w:rPr>
          <w:i/>
          <w:spacing w:val="-17"/>
          <w:sz w:val="24"/>
          <w:szCs w:val="24"/>
        </w:rPr>
        <w:t xml:space="preserve"> </w:t>
      </w:r>
      <w:r w:rsidRPr="00584C57">
        <w:rPr>
          <w:i/>
          <w:sz w:val="24"/>
          <w:szCs w:val="24"/>
        </w:rPr>
        <w:t>tai</w:t>
      </w:r>
      <w:r w:rsidRPr="00584C57">
        <w:rPr>
          <w:i/>
          <w:spacing w:val="-16"/>
          <w:sz w:val="24"/>
          <w:szCs w:val="24"/>
        </w:rPr>
        <w:t xml:space="preserve"> </w:t>
      </w:r>
      <w:r w:rsidRPr="00584C57">
        <w:rPr>
          <w:i/>
          <w:sz w:val="24"/>
          <w:szCs w:val="24"/>
        </w:rPr>
        <w:t>saskaņā</w:t>
      </w:r>
      <w:r w:rsidRPr="00584C57">
        <w:rPr>
          <w:i/>
          <w:spacing w:val="-16"/>
          <w:sz w:val="24"/>
          <w:szCs w:val="24"/>
        </w:rPr>
        <w:t xml:space="preserve"> </w:t>
      </w:r>
      <w:r w:rsidRPr="00584C57">
        <w:rPr>
          <w:i/>
          <w:sz w:val="24"/>
          <w:szCs w:val="24"/>
        </w:rPr>
        <w:t>ar</w:t>
      </w:r>
      <w:r w:rsidRPr="00584C57">
        <w:rPr>
          <w:i/>
          <w:spacing w:val="-16"/>
          <w:sz w:val="24"/>
          <w:szCs w:val="24"/>
        </w:rPr>
        <w:t xml:space="preserve"> </w:t>
      </w:r>
      <w:r w:rsidRPr="00584C57">
        <w:rPr>
          <w:i/>
          <w:sz w:val="24"/>
          <w:szCs w:val="24"/>
        </w:rPr>
        <w:t>kaitējuma radīšanas laikā spēkā esošiem tiesību aktiem var nebūt pienākums likvidēt kaitējuma radītās sekas. Taču kaitējuma radīšana kļūs par pienākumu radošu notikumu tad, ja šādu pienākumu novērst nosaka jauns tiesību akts, vai tad, ja budžeta iestāde vai kāda cita budžeta iestāde publiski uzņēmusies atbildību par kaitējuma novēršanu tādā veidā, ka tas rada prakses radītu</w:t>
      </w:r>
      <w:r w:rsidRPr="00584C57">
        <w:rPr>
          <w:i/>
          <w:spacing w:val="-27"/>
          <w:sz w:val="24"/>
          <w:szCs w:val="24"/>
        </w:rPr>
        <w:t xml:space="preserve"> </w:t>
      </w:r>
      <w:r w:rsidRPr="00584C57">
        <w:rPr>
          <w:i/>
          <w:sz w:val="24"/>
          <w:szCs w:val="24"/>
        </w:rPr>
        <w:t>pienākumu.</w:t>
      </w:r>
    </w:p>
    <w:p w14:paraId="75331AC5" w14:textId="77777777" w:rsidR="00584C57" w:rsidRPr="00584C57" w:rsidRDefault="00584C57" w:rsidP="00CD363C">
      <w:pPr>
        <w:spacing w:after="0" w:line="240" w:lineRule="auto"/>
        <w:ind w:left="360" w:right="-66"/>
        <w:jc w:val="both"/>
        <w:rPr>
          <w:rFonts w:ascii="Times New Roman" w:hAnsi="Times New Roman" w:cs="Times New Roman"/>
          <w:b/>
          <w:sz w:val="24"/>
          <w:szCs w:val="24"/>
        </w:rPr>
      </w:pPr>
      <w:r w:rsidRPr="00584C57">
        <w:rPr>
          <w:rFonts w:ascii="Times New Roman" w:hAnsi="Times New Roman" w:cs="Times New Roman"/>
          <w:b/>
          <w:sz w:val="24"/>
          <w:szCs w:val="24"/>
        </w:rPr>
        <w:t xml:space="preserve">Resursu ticams izlietojums </w:t>
      </w:r>
    </w:p>
    <w:p w14:paraId="4496E962" w14:textId="77777777" w:rsidR="00584C57" w:rsidRPr="007A5C04"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638</w:t>
      </w:r>
      <w:r w:rsidRPr="007A5C04">
        <w:rPr>
          <w:rFonts w:ascii="Times New Roman" w:hAnsi="Times New Roman" w:cs="Times New Roman"/>
          <w:sz w:val="24"/>
          <w:szCs w:val="24"/>
        </w:rPr>
        <w:t xml:space="preserve">. Lai saistības atbilstu atzīšanas kritērijiem, ir jāpastāv ne tikai pašreizējam pienākumam, bet arī ticamībai, ka šā pienākuma izpildes laikā būs nepieciešams resursu izlietojums. Resursu izlietojums vai cits notikums tiek uzskatīts par ticamu, ja pastāv lielāka ticamība, ka šis notikums norisināsies, nekā, ka tas nenorisināsies. </w:t>
      </w:r>
    </w:p>
    <w:p w14:paraId="6C842B24" w14:textId="77777777" w:rsidR="00584C57"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639</w:t>
      </w:r>
      <w:r w:rsidRPr="007A5C04">
        <w:rPr>
          <w:rFonts w:ascii="Times New Roman" w:hAnsi="Times New Roman" w:cs="Times New Roman"/>
          <w:sz w:val="24"/>
          <w:szCs w:val="24"/>
        </w:rPr>
        <w:t>. Ja nav ticamības, ka pastāv pašreizējais pienākums, bet šis pienākums ir iespējams nākotnē, budžeta iestāde atklāj informāciju par iespējamām saistībām un uzskaita tās zembilancē. Gadījumos, kad resursu izlietojuma iespēja ir maz ticama, informācija netiek atklāta.</w:t>
      </w:r>
    </w:p>
    <w:p w14:paraId="2577FC6A" w14:textId="77777777" w:rsidR="00584C57" w:rsidRPr="004F534E" w:rsidRDefault="00584C57" w:rsidP="00CD363C">
      <w:pPr>
        <w:pStyle w:val="Sarakstarindkopa"/>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17.2.</w:t>
      </w:r>
      <w:r w:rsidRPr="004F534E">
        <w:rPr>
          <w:rFonts w:ascii="Times New Roman" w:hAnsi="Times New Roman" w:cs="Times New Roman"/>
          <w:b/>
          <w:sz w:val="24"/>
          <w:szCs w:val="24"/>
        </w:rPr>
        <w:t>Uzkrājumu novērtēšana</w:t>
      </w:r>
    </w:p>
    <w:p w14:paraId="071B3D90" w14:textId="77777777" w:rsidR="00584C57" w:rsidRPr="007A5C04" w:rsidRDefault="00584C57" w:rsidP="00CD363C">
      <w:pPr>
        <w:spacing w:after="0" w:line="240" w:lineRule="auto"/>
        <w:ind w:left="360" w:right="-66"/>
        <w:jc w:val="both"/>
        <w:rPr>
          <w:rFonts w:ascii="Times New Roman" w:hAnsi="Times New Roman" w:cs="Times New Roman"/>
          <w:b/>
          <w:sz w:val="24"/>
          <w:szCs w:val="24"/>
        </w:rPr>
      </w:pPr>
    </w:p>
    <w:p w14:paraId="3B1562A1" w14:textId="77777777" w:rsidR="00584C57" w:rsidRPr="007A5C04"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640</w:t>
      </w:r>
      <w:r w:rsidRPr="007A5C04">
        <w:rPr>
          <w:rFonts w:ascii="Times New Roman" w:hAnsi="Times New Roman" w:cs="Times New Roman"/>
          <w:sz w:val="24"/>
          <w:szCs w:val="24"/>
        </w:rPr>
        <w:t xml:space="preserve">. Budžeta iestāde katrā pārskata datumā novērtē un atzīst uzkrājumus atbilstoši pašreizējā pienākuma izpildei nepieciešamo izdevumu precīzākajam novērtējumam pārskata datumā. </w:t>
      </w:r>
    </w:p>
    <w:p w14:paraId="3E757F7F" w14:textId="77777777" w:rsidR="00584C57"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641.</w:t>
      </w:r>
      <w:r w:rsidRPr="007A5C04">
        <w:rPr>
          <w:rFonts w:ascii="Times New Roman" w:hAnsi="Times New Roman" w:cs="Times New Roman"/>
          <w:sz w:val="24"/>
          <w:szCs w:val="24"/>
        </w:rPr>
        <w:t xml:space="preserve">. Budžeta iestāde nosaka iespējami precīzāko aplēsi, piemērojot vispāratzītas vērtēšanas metodes un ņemot vērā riskus un nenoteiktības, kas ietekmēs uzkrājumu segšanai nepieciešamo resursu vērtību, un veic šādas darbības: </w:t>
      </w:r>
    </w:p>
    <w:p w14:paraId="3CA91024" w14:textId="77777777" w:rsidR="00584C57" w:rsidRPr="00584C57" w:rsidRDefault="00584C57" w:rsidP="00CD363C">
      <w:pPr>
        <w:spacing w:after="0" w:line="240" w:lineRule="auto"/>
        <w:ind w:right="-66"/>
        <w:contextualSpacing/>
        <w:jc w:val="both"/>
        <w:rPr>
          <w:rFonts w:ascii="Times New Roman" w:hAnsi="Times New Roman" w:cs="Times New Roman"/>
          <w:b/>
          <w:sz w:val="24"/>
          <w:szCs w:val="24"/>
        </w:rPr>
      </w:pPr>
      <w:r>
        <w:rPr>
          <w:rFonts w:ascii="Times New Roman" w:hAnsi="Times New Roman" w:cs="Times New Roman"/>
          <w:sz w:val="24"/>
          <w:szCs w:val="24"/>
        </w:rPr>
        <w:t>641</w:t>
      </w:r>
      <w:r w:rsidRPr="00584C57">
        <w:rPr>
          <w:rFonts w:ascii="Times New Roman" w:hAnsi="Times New Roman" w:cs="Times New Roman"/>
          <w:sz w:val="24"/>
          <w:szCs w:val="24"/>
        </w:rPr>
        <w:t>.1.nosaka summu, kādu budžeta iestāde pamatoti maksātu, lai izpildītu pašreizēju pienākumu bilances datumā vai arī nodotu tā izpildi trešajai personai bilances datumā,</w:t>
      </w:r>
      <w:r>
        <w:t xml:space="preserve"> </w:t>
      </w:r>
      <w:r w:rsidRPr="00584C57">
        <w:rPr>
          <w:b/>
          <w:i/>
        </w:rPr>
        <w:t>Piemēram,</w:t>
      </w:r>
      <w:r w:rsidRPr="00584C57">
        <w:rPr>
          <w:i/>
        </w:rPr>
        <w:t xml:space="preserve"> iestāde iegūst izdevumu aplēsi saskaņā ar iekšēji izveidotu tāmi vai pieaicinot</w:t>
      </w:r>
      <w:r w:rsidRPr="00584C57">
        <w:rPr>
          <w:i/>
          <w:spacing w:val="-12"/>
        </w:rPr>
        <w:t xml:space="preserve"> </w:t>
      </w:r>
      <w:r w:rsidRPr="00584C57">
        <w:rPr>
          <w:i/>
        </w:rPr>
        <w:t>ekspertu;</w:t>
      </w:r>
    </w:p>
    <w:p w14:paraId="3CDD0939" w14:textId="77777777" w:rsidR="00584C57" w:rsidRPr="00584C57" w:rsidRDefault="00584C57" w:rsidP="00CD363C">
      <w:pPr>
        <w:spacing w:after="0" w:line="240" w:lineRule="auto"/>
        <w:ind w:right="-66"/>
        <w:contextualSpacing/>
        <w:jc w:val="both"/>
        <w:rPr>
          <w:rFonts w:ascii="Times New Roman" w:hAnsi="Times New Roman" w:cs="Times New Roman"/>
          <w:b/>
          <w:sz w:val="24"/>
          <w:szCs w:val="24"/>
        </w:rPr>
      </w:pPr>
      <w:r>
        <w:rPr>
          <w:rFonts w:ascii="Times New Roman" w:hAnsi="Times New Roman" w:cs="Times New Roman"/>
          <w:sz w:val="24"/>
          <w:szCs w:val="24"/>
        </w:rPr>
        <w:t>641</w:t>
      </w:r>
      <w:r w:rsidRPr="00584C57">
        <w:rPr>
          <w:rFonts w:ascii="Times New Roman" w:hAnsi="Times New Roman" w:cs="Times New Roman"/>
          <w:sz w:val="24"/>
          <w:szCs w:val="24"/>
        </w:rPr>
        <w:t>.2.veic uzkrājumu vērtības aplēsi, izmantojot pieejamo informāciju, pierādījumus, tai skaitā notikumus pēc bilances datuma, un pieredzi;</w:t>
      </w:r>
    </w:p>
    <w:p w14:paraId="06B7A8E0" w14:textId="77777777" w:rsidR="00584C57" w:rsidRDefault="00584C57" w:rsidP="00CD363C">
      <w:pPr>
        <w:spacing w:after="0" w:line="240" w:lineRule="auto"/>
        <w:ind w:right="-66"/>
        <w:contextualSpacing/>
        <w:jc w:val="both"/>
        <w:rPr>
          <w:rFonts w:ascii="Times New Roman" w:hAnsi="Times New Roman" w:cs="Times New Roman"/>
          <w:sz w:val="24"/>
          <w:szCs w:val="24"/>
        </w:rPr>
      </w:pPr>
      <w:r>
        <w:rPr>
          <w:rFonts w:ascii="Times New Roman" w:hAnsi="Times New Roman" w:cs="Times New Roman"/>
          <w:sz w:val="24"/>
          <w:szCs w:val="24"/>
        </w:rPr>
        <w:t>641</w:t>
      </w:r>
      <w:r w:rsidRPr="00584C57">
        <w:rPr>
          <w:rFonts w:ascii="Times New Roman" w:hAnsi="Times New Roman" w:cs="Times New Roman"/>
          <w:sz w:val="24"/>
          <w:szCs w:val="24"/>
        </w:rPr>
        <w:t>.3.aprēķina uzkrājumu pašreizējo vērtību, izmantojot Valsts kases tīmekļvietnē publicēto atbilstošo diskonta likmi, ja maksājums paredzēts vēlāk nekā gadu pēc bilances datuma.</w:t>
      </w:r>
    </w:p>
    <w:p w14:paraId="4ED652B2" w14:textId="77777777" w:rsidR="00AF1383" w:rsidRPr="00AF1383" w:rsidRDefault="00584C57"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AF1383">
        <w:rPr>
          <w:rFonts w:ascii="Times New Roman" w:hAnsi="Times New Roman" w:cs="Times New Roman"/>
          <w:sz w:val="24"/>
          <w:szCs w:val="24"/>
        </w:rPr>
        <w:t>642.</w:t>
      </w:r>
      <w:r w:rsidR="00AF1383" w:rsidRPr="00AF1383">
        <w:rPr>
          <w:rFonts w:ascii="Times New Roman" w:hAnsi="Times New Roman" w:cs="Times New Roman"/>
          <w:sz w:val="24"/>
          <w:szCs w:val="24"/>
        </w:rPr>
        <w:t xml:space="preserve"> Nenoteiktības, kas jāatzīst par uzkrājumiem, tiek izvērtētas atkarībā no</w:t>
      </w:r>
      <w:r w:rsidR="00AF1383" w:rsidRPr="00AF1383">
        <w:rPr>
          <w:rFonts w:ascii="Times New Roman" w:hAnsi="Times New Roman" w:cs="Times New Roman"/>
          <w:spacing w:val="-12"/>
          <w:sz w:val="24"/>
          <w:szCs w:val="24"/>
        </w:rPr>
        <w:t xml:space="preserve"> </w:t>
      </w:r>
      <w:r w:rsidR="00AF1383" w:rsidRPr="00AF1383">
        <w:rPr>
          <w:rFonts w:ascii="Times New Roman" w:hAnsi="Times New Roman" w:cs="Times New Roman"/>
          <w:sz w:val="24"/>
          <w:szCs w:val="24"/>
        </w:rPr>
        <w:t>apstākļiem:</w:t>
      </w:r>
    </w:p>
    <w:p w14:paraId="0F2F4EC8" w14:textId="77777777" w:rsidR="00AF1383" w:rsidRPr="00AF1383" w:rsidRDefault="00AF1383" w:rsidP="00CD363C">
      <w:pPr>
        <w:spacing w:after="0" w:line="240" w:lineRule="auto"/>
        <w:ind w:right="-66"/>
        <w:contextualSpacing/>
        <w:jc w:val="both"/>
        <w:rPr>
          <w:rFonts w:ascii="Times New Roman" w:hAnsi="Times New Roman" w:cs="Times New Roman"/>
          <w:sz w:val="24"/>
          <w:szCs w:val="24"/>
        </w:rPr>
      </w:pPr>
      <w:r>
        <w:rPr>
          <w:rFonts w:ascii="Times New Roman" w:hAnsi="Times New Roman" w:cs="Times New Roman"/>
          <w:sz w:val="24"/>
          <w:szCs w:val="24"/>
        </w:rPr>
        <w:t>642</w:t>
      </w:r>
      <w:r w:rsidRPr="00AF1383">
        <w:rPr>
          <w:rFonts w:ascii="Times New Roman" w:hAnsi="Times New Roman" w:cs="Times New Roman"/>
          <w:sz w:val="24"/>
          <w:szCs w:val="24"/>
        </w:rPr>
        <w:t>.1.ja uzkrājumi tiek veidoti lielam vienību skaitam, pienākumu aplēš, izvērtējot visus iespējamos iznākumus saskaņā ar tiem piemītošām varbūtībām (sagaidāmās vērtības metode). Tādēļ uzkrājumi būs atšķirīgi atkarībā no tā, vai konkrēto saistību varbūtība ir, piemēram, 60% vai 90%.</w:t>
      </w:r>
    </w:p>
    <w:p w14:paraId="24EE1983" w14:textId="77777777" w:rsidR="00AF1383" w:rsidRDefault="00AF1383" w:rsidP="00CD363C">
      <w:pPr>
        <w:spacing w:after="0" w:line="240" w:lineRule="auto"/>
        <w:ind w:right="-66"/>
        <w:contextualSpacing/>
        <w:jc w:val="both"/>
        <w:rPr>
          <w:rFonts w:ascii="Times New Roman" w:hAnsi="Times New Roman" w:cs="Times New Roman"/>
          <w:sz w:val="24"/>
          <w:szCs w:val="24"/>
        </w:rPr>
      </w:pPr>
      <w:r>
        <w:rPr>
          <w:rFonts w:ascii="Times New Roman" w:hAnsi="Times New Roman" w:cs="Times New Roman"/>
          <w:sz w:val="24"/>
          <w:szCs w:val="24"/>
        </w:rPr>
        <w:t>642</w:t>
      </w:r>
      <w:r w:rsidRPr="00AF1383">
        <w:rPr>
          <w:rFonts w:ascii="Times New Roman" w:hAnsi="Times New Roman" w:cs="Times New Roman"/>
          <w:sz w:val="24"/>
          <w:szCs w:val="24"/>
        </w:rPr>
        <w:t>.2.ja pastāv iespējamo iznākumu nepārtraukts diapazons un šajā diapazonā katrs punkts (iznākums) ir tikpat iespējams kā jebkurš cits, budžeta iestāde izmanto attiecīgā diapazona viduspunktu.</w:t>
      </w:r>
    </w:p>
    <w:p w14:paraId="5D557BAC" w14:textId="77777777" w:rsidR="00AF1383" w:rsidRDefault="00AF1383" w:rsidP="00CD363C">
      <w:pPr>
        <w:pStyle w:val="Virsraksts4"/>
        <w:tabs>
          <w:tab w:val="left" w:pos="759"/>
        </w:tabs>
        <w:spacing w:before="0"/>
        <w:ind w:left="0" w:right="-66"/>
        <w:jc w:val="both"/>
        <w:rPr>
          <w:color w:val="002069"/>
        </w:rPr>
      </w:pPr>
      <w:r w:rsidRPr="00AF1383">
        <w:t>643.</w:t>
      </w:r>
      <w:r w:rsidRPr="00AF1383">
        <w:rPr>
          <w:color w:val="002069"/>
        </w:rPr>
        <w:t xml:space="preserve"> </w:t>
      </w:r>
    </w:p>
    <w:p w14:paraId="33766175" w14:textId="77777777" w:rsidR="00AF1383" w:rsidRDefault="00AF1383" w:rsidP="00CD363C">
      <w:pPr>
        <w:pStyle w:val="Virsraksts4"/>
        <w:tabs>
          <w:tab w:val="left" w:pos="759"/>
        </w:tabs>
        <w:spacing w:before="0"/>
        <w:ind w:left="218" w:right="-66"/>
        <w:jc w:val="both"/>
      </w:pPr>
      <w:r>
        <w:rPr>
          <w:color w:val="002069"/>
        </w:rPr>
        <w:t>643.1Piemērs – uzkrājumu novērtēšana un atzīšana, izmantojot sagaidāmās vērtības</w:t>
      </w:r>
      <w:r>
        <w:rPr>
          <w:color w:val="002069"/>
          <w:spacing w:val="-14"/>
        </w:rPr>
        <w:t xml:space="preserve"> </w:t>
      </w:r>
      <w:r>
        <w:rPr>
          <w:color w:val="002069"/>
        </w:rPr>
        <w:t>metodi</w:t>
      </w:r>
    </w:p>
    <w:p w14:paraId="5F859587" w14:textId="77777777" w:rsidR="00AF1383" w:rsidRDefault="00AF1383" w:rsidP="00CD363C">
      <w:pPr>
        <w:pStyle w:val="Pamatteksts"/>
        <w:ind w:left="218" w:right="-66"/>
        <w:jc w:val="both"/>
      </w:pPr>
      <w:r>
        <w:t>Valsts</w:t>
      </w:r>
      <w:r>
        <w:rPr>
          <w:spacing w:val="-9"/>
        </w:rPr>
        <w:t xml:space="preserve"> </w:t>
      </w:r>
      <w:r>
        <w:t>medicīnas</w:t>
      </w:r>
      <w:r>
        <w:rPr>
          <w:spacing w:val="-9"/>
        </w:rPr>
        <w:t xml:space="preserve"> </w:t>
      </w:r>
      <w:r>
        <w:t>laboratorija</w:t>
      </w:r>
      <w:r>
        <w:rPr>
          <w:spacing w:val="-9"/>
        </w:rPr>
        <w:t xml:space="preserve"> </w:t>
      </w:r>
      <w:r>
        <w:t>2019.</w:t>
      </w:r>
      <w:r>
        <w:rPr>
          <w:spacing w:val="-10"/>
        </w:rPr>
        <w:t xml:space="preserve"> </w:t>
      </w:r>
      <w:r>
        <w:t>gada</w:t>
      </w:r>
      <w:r>
        <w:rPr>
          <w:spacing w:val="-8"/>
        </w:rPr>
        <w:t xml:space="preserve"> </w:t>
      </w:r>
      <w:r>
        <w:t>3.</w:t>
      </w:r>
      <w:r>
        <w:rPr>
          <w:spacing w:val="-10"/>
        </w:rPr>
        <w:t xml:space="preserve"> </w:t>
      </w:r>
      <w:r>
        <w:t>oktobrī</w:t>
      </w:r>
      <w:r>
        <w:rPr>
          <w:spacing w:val="-9"/>
        </w:rPr>
        <w:t xml:space="preserve"> </w:t>
      </w:r>
      <w:r>
        <w:t>piegādā</w:t>
      </w:r>
      <w:r>
        <w:rPr>
          <w:spacing w:val="-9"/>
        </w:rPr>
        <w:t xml:space="preserve"> </w:t>
      </w:r>
      <w:r>
        <w:t>ultraskaņas</w:t>
      </w:r>
      <w:r>
        <w:rPr>
          <w:spacing w:val="-9"/>
        </w:rPr>
        <w:t xml:space="preserve"> </w:t>
      </w:r>
      <w:r>
        <w:t>skenerus</w:t>
      </w:r>
      <w:r>
        <w:rPr>
          <w:spacing w:val="-8"/>
        </w:rPr>
        <w:t xml:space="preserve"> </w:t>
      </w:r>
      <w:r>
        <w:t>gan</w:t>
      </w:r>
      <w:r>
        <w:rPr>
          <w:spacing w:val="-9"/>
        </w:rPr>
        <w:t xml:space="preserve"> </w:t>
      </w:r>
      <w:r>
        <w:t>valsts,</w:t>
      </w:r>
      <w:r>
        <w:rPr>
          <w:spacing w:val="-9"/>
        </w:rPr>
        <w:t xml:space="preserve"> </w:t>
      </w:r>
      <w:r>
        <w:t>gan</w:t>
      </w:r>
      <w:r>
        <w:rPr>
          <w:spacing w:val="-9"/>
        </w:rPr>
        <w:t xml:space="preserve"> </w:t>
      </w:r>
      <w:r>
        <w:t>privātajiem medicīnas centriem, atgūstot izmaksas pilnā apmērā. Iekārtas tiek piegādātas ar garantiju, ka medicīnas centriem un slimnīcām tiks segtas jebkādas defektu novēršanas izmaksas, kas atklātos pirmajos sešos mēnešos pēc šo iekārtu iegādes. Ja visās piegādātajās iekārtās tiktu konstatēti nelieli defekti, to novēršanas izmaksas varētu sasniegt 1 milj. EUR. Ja visās piegādātajās iekārtās tiktu konstatēti būtiski defekti, to novēršanas izmaksas varētu sasniegt 4 milj. EUR. Laboratorijas iepriekšējā pieredze un prognozes liecina, ka</w:t>
      </w:r>
      <w:r>
        <w:rPr>
          <w:spacing w:val="-14"/>
        </w:rPr>
        <w:t xml:space="preserve"> </w:t>
      </w:r>
      <w:r>
        <w:t>nākamajā</w:t>
      </w:r>
      <w:r>
        <w:rPr>
          <w:spacing w:val="-14"/>
        </w:rPr>
        <w:t xml:space="preserve"> </w:t>
      </w:r>
      <w:r>
        <w:t>gadā</w:t>
      </w:r>
      <w:r>
        <w:rPr>
          <w:spacing w:val="-13"/>
        </w:rPr>
        <w:t xml:space="preserve"> </w:t>
      </w:r>
      <w:r>
        <w:t>75%</w:t>
      </w:r>
      <w:r>
        <w:rPr>
          <w:spacing w:val="-16"/>
        </w:rPr>
        <w:t xml:space="preserve"> </w:t>
      </w:r>
      <w:r>
        <w:t>iekārtu</w:t>
      </w:r>
      <w:r>
        <w:rPr>
          <w:spacing w:val="-13"/>
        </w:rPr>
        <w:t xml:space="preserve"> </w:t>
      </w:r>
      <w:r>
        <w:t>netiks</w:t>
      </w:r>
      <w:r>
        <w:rPr>
          <w:spacing w:val="-14"/>
        </w:rPr>
        <w:t xml:space="preserve"> </w:t>
      </w:r>
      <w:r>
        <w:t>atklāti</w:t>
      </w:r>
      <w:r>
        <w:rPr>
          <w:spacing w:val="-12"/>
        </w:rPr>
        <w:t xml:space="preserve"> </w:t>
      </w:r>
      <w:r>
        <w:t>nekādi</w:t>
      </w:r>
      <w:r>
        <w:rPr>
          <w:spacing w:val="-13"/>
        </w:rPr>
        <w:t xml:space="preserve"> </w:t>
      </w:r>
      <w:r>
        <w:t>defekti,</w:t>
      </w:r>
      <w:r>
        <w:rPr>
          <w:spacing w:val="-13"/>
        </w:rPr>
        <w:t xml:space="preserve"> </w:t>
      </w:r>
      <w:r>
        <w:t>20%</w:t>
      </w:r>
      <w:r>
        <w:rPr>
          <w:spacing w:val="-14"/>
        </w:rPr>
        <w:t xml:space="preserve"> </w:t>
      </w:r>
      <w:r>
        <w:t>iekārtu</w:t>
      </w:r>
      <w:r>
        <w:rPr>
          <w:spacing w:val="-13"/>
        </w:rPr>
        <w:t xml:space="preserve"> </w:t>
      </w:r>
      <w:r>
        <w:t>būs</w:t>
      </w:r>
      <w:r>
        <w:rPr>
          <w:spacing w:val="-14"/>
        </w:rPr>
        <w:t xml:space="preserve"> </w:t>
      </w:r>
      <w:r>
        <w:t>nelieli</w:t>
      </w:r>
      <w:r>
        <w:rPr>
          <w:spacing w:val="-15"/>
        </w:rPr>
        <w:t xml:space="preserve"> </w:t>
      </w:r>
      <w:r>
        <w:t>defekti</w:t>
      </w:r>
      <w:r>
        <w:rPr>
          <w:spacing w:val="-16"/>
        </w:rPr>
        <w:t xml:space="preserve"> </w:t>
      </w:r>
      <w:r>
        <w:t>un</w:t>
      </w:r>
      <w:r>
        <w:rPr>
          <w:spacing w:val="-13"/>
        </w:rPr>
        <w:t xml:space="preserve"> </w:t>
      </w:r>
      <w:r>
        <w:t>5%</w:t>
      </w:r>
      <w:r>
        <w:rPr>
          <w:spacing w:val="-14"/>
        </w:rPr>
        <w:t xml:space="preserve"> </w:t>
      </w:r>
      <w:r>
        <w:t>būs</w:t>
      </w:r>
      <w:r>
        <w:rPr>
          <w:spacing w:val="-13"/>
        </w:rPr>
        <w:t xml:space="preserve"> </w:t>
      </w:r>
      <w:r>
        <w:t>būtiski defekti. Saskaņā ar šīs Rokasgrāmatas sadaļā minēto informāciju laboratorija izvērtē no garantijas pienākumu izpildes izrietošo resursu izlietošanas ticamību kopumā uz pārskata</w:t>
      </w:r>
      <w:r>
        <w:rPr>
          <w:spacing w:val="-12"/>
        </w:rPr>
        <w:t xml:space="preserve"> </w:t>
      </w:r>
      <w:r>
        <w:t>datumu.</w:t>
      </w:r>
    </w:p>
    <w:p w14:paraId="22C63596" w14:textId="77777777" w:rsidR="00AF1383" w:rsidRDefault="00AF1383" w:rsidP="00CD363C">
      <w:pPr>
        <w:pStyle w:val="Virsraksts6"/>
        <w:ind w:left="218" w:right="-66"/>
        <w:jc w:val="both"/>
      </w:pPr>
      <w:r>
        <w:t>Prognozētais uzkrājuma apjoms nākamā gada remonta darbu izmaksām:</w:t>
      </w:r>
    </w:p>
    <w:p w14:paraId="2902714B" w14:textId="77777777" w:rsidR="00AF1383" w:rsidRDefault="00AF1383" w:rsidP="00CD363C">
      <w:pPr>
        <w:pStyle w:val="Pamatteksts"/>
        <w:ind w:right="-66"/>
        <w:jc w:val="both"/>
        <w:rPr>
          <w:b/>
          <w:sz w:val="20"/>
        </w:rPr>
      </w:pPr>
    </w:p>
    <w:p w14:paraId="5DC10DC1" w14:textId="77777777" w:rsidR="00AF1383" w:rsidRDefault="00AF1383" w:rsidP="00CD363C">
      <w:pPr>
        <w:pStyle w:val="Pamatteksts"/>
        <w:ind w:left="218" w:right="-66"/>
        <w:jc w:val="both"/>
      </w:pPr>
      <w:r>
        <w:t>(75% x 0) + (20% x 1 000 000) + (5% x 4 000 000) = 400 000,00 EUR</w:t>
      </w:r>
    </w:p>
    <w:p w14:paraId="52399834" w14:textId="77777777" w:rsidR="00AF1383" w:rsidRDefault="00AF1383" w:rsidP="00CD363C">
      <w:pPr>
        <w:pStyle w:val="Pamatteksts"/>
        <w:ind w:right="-66"/>
        <w:jc w:val="both"/>
        <w:rPr>
          <w:sz w:val="20"/>
        </w:rPr>
      </w:pPr>
    </w:p>
    <w:p w14:paraId="0690DCBC" w14:textId="77777777" w:rsidR="00AF1383" w:rsidRDefault="00AF1383" w:rsidP="00CD363C">
      <w:pPr>
        <w:pStyle w:val="Pamatteksts"/>
        <w:ind w:left="218" w:right="-66"/>
        <w:jc w:val="both"/>
      </w:pPr>
      <w:r>
        <w:t>Budžeta iestāde pārskata datumā atzīst uzkrājumus 400 000,00 EUR apmērā, veicot sekojošu grāmatojumu:</w:t>
      </w:r>
    </w:p>
    <w:p w14:paraId="7E70C39A" w14:textId="77777777" w:rsidR="00AF1383" w:rsidRDefault="00AF1383" w:rsidP="00CD363C">
      <w:pPr>
        <w:pStyle w:val="Pamatteksts"/>
        <w:ind w:right="-66"/>
        <w:jc w:val="both"/>
        <w:rPr>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968"/>
        <w:gridCol w:w="2437"/>
      </w:tblGrid>
      <w:tr w:rsidR="00AF1383" w14:paraId="37C3D6B6" w14:textId="77777777" w:rsidTr="00AF1383">
        <w:trPr>
          <w:trHeight w:val="289"/>
        </w:trPr>
        <w:tc>
          <w:tcPr>
            <w:tcW w:w="605" w:type="dxa"/>
          </w:tcPr>
          <w:p w14:paraId="470CEAB3" w14:textId="77777777" w:rsidR="00AF1383" w:rsidRDefault="00AF1383" w:rsidP="00CD363C">
            <w:pPr>
              <w:pStyle w:val="TableParagraph"/>
              <w:ind w:left="200" w:right="-66"/>
              <w:jc w:val="both"/>
              <w:rPr>
                <w:i/>
              </w:rPr>
            </w:pPr>
            <w:r>
              <w:rPr>
                <w:i/>
              </w:rPr>
              <w:t>D</w:t>
            </w:r>
          </w:p>
        </w:tc>
        <w:tc>
          <w:tcPr>
            <w:tcW w:w="1105" w:type="dxa"/>
          </w:tcPr>
          <w:p w14:paraId="5594A354" w14:textId="77777777" w:rsidR="00AF1383" w:rsidRDefault="00AF1383" w:rsidP="00CD363C">
            <w:pPr>
              <w:pStyle w:val="TableParagraph"/>
              <w:ind w:left="245" w:right="-66"/>
              <w:jc w:val="both"/>
              <w:rPr>
                <w:i/>
              </w:rPr>
            </w:pPr>
            <w:r>
              <w:rPr>
                <w:i/>
              </w:rPr>
              <w:t>8660</w:t>
            </w:r>
          </w:p>
        </w:tc>
        <w:tc>
          <w:tcPr>
            <w:tcW w:w="3968" w:type="dxa"/>
          </w:tcPr>
          <w:p w14:paraId="424AA03D" w14:textId="77777777" w:rsidR="00AF1383" w:rsidRDefault="00AF1383" w:rsidP="00CD363C">
            <w:pPr>
              <w:pStyle w:val="TableParagraph"/>
              <w:ind w:left="417" w:right="-66"/>
              <w:jc w:val="both"/>
              <w:rPr>
                <w:i/>
              </w:rPr>
            </w:pPr>
            <w:r>
              <w:rPr>
                <w:i/>
              </w:rPr>
              <w:t>Izdevumi uzkrājumu veidošanai</w:t>
            </w:r>
          </w:p>
        </w:tc>
        <w:tc>
          <w:tcPr>
            <w:tcW w:w="2437" w:type="dxa"/>
          </w:tcPr>
          <w:p w14:paraId="43F20C04" w14:textId="77777777" w:rsidR="00AF1383" w:rsidRDefault="00AF1383" w:rsidP="00CD363C">
            <w:pPr>
              <w:pStyle w:val="TableParagraph"/>
              <w:ind w:right="-66"/>
              <w:jc w:val="both"/>
              <w:rPr>
                <w:i/>
              </w:rPr>
            </w:pPr>
            <w:r>
              <w:rPr>
                <w:i/>
              </w:rPr>
              <w:t>400 000,00 EUR</w:t>
            </w:r>
          </w:p>
        </w:tc>
      </w:tr>
      <w:tr w:rsidR="00AF1383" w14:paraId="3966B10C" w14:textId="77777777" w:rsidTr="00AF1383">
        <w:trPr>
          <w:trHeight w:val="289"/>
        </w:trPr>
        <w:tc>
          <w:tcPr>
            <w:tcW w:w="605" w:type="dxa"/>
          </w:tcPr>
          <w:p w14:paraId="6F10D51D" w14:textId="77777777" w:rsidR="00AF1383" w:rsidRDefault="00AF1383" w:rsidP="00CD363C">
            <w:pPr>
              <w:pStyle w:val="TableParagraph"/>
              <w:ind w:left="200" w:right="-66"/>
              <w:jc w:val="both"/>
              <w:rPr>
                <w:i/>
              </w:rPr>
            </w:pPr>
            <w:r>
              <w:rPr>
                <w:i/>
              </w:rPr>
              <w:t>K</w:t>
            </w:r>
          </w:p>
        </w:tc>
        <w:tc>
          <w:tcPr>
            <w:tcW w:w="1105" w:type="dxa"/>
          </w:tcPr>
          <w:p w14:paraId="73CCA0EF" w14:textId="77777777" w:rsidR="00AF1383" w:rsidRDefault="00AF1383" w:rsidP="00CD363C">
            <w:pPr>
              <w:pStyle w:val="TableParagraph"/>
              <w:ind w:left="245" w:right="-66"/>
              <w:jc w:val="both"/>
              <w:rPr>
                <w:i/>
              </w:rPr>
            </w:pPr>
            <w:r>
              <w:rPr>
                <w:i/>
              </w:rPr>
              <w:t>4000</w:t>
            </w:r>
          </w:p>
        </w:tc>
        <w:tc>
          <w:tcPr>
            <w:tcW w:w="3968" w:type="dxa"/>
          </w:tcPr>
          <w:p w14:paraId="0C46E424" w14:textId="77777777" w:rsidR="00AF1383" w:rsidRDefault="00AF1383" w:rsidP="00CD363C">
            <w:pPr>
              <w:pStyle w:val="TableParagraph"/>
              <w:ind w:left="417" w:right="-66"/>
              <w:jc w:val="both"/>
              <w:rPr>
                <w:i/>
              </w:rPr>
            </w:pPr>
            <w:r>
              <w:rPr>
                <w:i/>
              </w:rPr>
              <w:t>Uzkrājumi</w:t>
            </w:r>
          </w:p>
        </w:tc>
        <w:tc>
          <w:tcPr>
            <w:tcW w:w="2437" w:type="dxa"/>
          </w:tcPr>
          <w:p w14:paraId="16AB0189" w14:textId="77777777" w:rsidR="00AF1383" w:rsidRDefault="00AF1383" w:rsidP="00CD363C">
            <w:pPr>
              <w:pStyle w:val="TableParagraph"/>
              <w:ind w:right="-66"/>
              <w:jc w:val="both"/>
              <w:rPr>
                <w:i/>
              </w:rPr>
            </w:pPr>
            <w:r>
              <w:rPr>
                <w:i/>
              </w:rPr>
              <w:t>400 000,00 EUR</w:t>
            </w:r>
          </w:p>
        </w:tc>
      </w:tr>
    </w:tbl>
    <w:p w14:paraId="33A2EFC1" w14:textId="77777777" w:rsidR="00AF1383" w:rsidRDefault="00AF1383" w:rsidP="00CD363C">
      <w:pPr>
        <w:pStyle w:val="Pamatteksts"/>
        <w:ind w:right="-66"/>
        <w:jc w:val="both"/>
        <w:rPr>
          <w:sz w:val="21"/>
        </w:rPr>
      </w:pPr>
    </w:p>
    <w:p w14:paraId="0CD48327" w14:textId="77777777" w:rsidR="00AF1383" w:rsidRDefault="00AF1383" w:rsidP="00CD363C">
      <w:pPr>
        <w:pStyle w:val="Virsraksts4"/>
        <w:tabs>
          <w:tab w:val="left" w:pos="759"/>
        </w:tabs>
        <w:spacing w:before="0"/>
        <w:ind w:left="0" w:right="-66"/>
        <w:jc w:val="both"/>
        <w:rPr>
          <w:color w:val="002069"/>
        </w:rPr>
      </w:pPr>
    </w:p>
    <w:p w14:paraId="4FB81FF2" w14:textId="77777777" w:rsidR="00AF1383" w:rsidRDefault="00AF1383" w:rsidP="00CD363C">
      <w:pPr>
        <w:pStyle w:val="Virsraksts4"/>
        <w:tabs>
          <w:tab w:val="left" w:pos="759"/>
        </w:tabs>
        <w:spacing w:before="0"/>
        <w:ind w:left="0" w:right="-66"/>
        <w:jc w:val="both"/>
        <w:rPr>
          <w:color w:val="002069"/>
        </w:rPr>
      </w:pPr>
    </w:p>
    <w:p w14:paraId="65AE6A44" w14:textId="77777777" w:rsidR="00AF1383" w:rsidRDefault="00AF1383" w:rsidP="00CD363C">
      <w:pPr>
        <w:pStyle w:val="Virsraksts4"/>
        <w:tabs>
          <w:tab w:val="left" w:pos="759"/>
        </w:tabs>
        <w:spacing w:before="0"/>
        <w:ind w:left="0" w:right="-66"/>
        <w:jc w:val="both"/>
        <w:rPr>
          <w:color w:val="002069"/>
        </w:rPr>
      </w:pPr>
    </w:p>
    <w:p w14:paraId="6F2FAD5C" w14:textId="77777777" w:rsidR="00AF1383" w:rsidRDefault="00AF1383" w:rsidP="00CD363C">
      <w:pPr>
        <w:pStyle w:val="Virsraksts4"/>
        <w:tabs>
          <w:tab w:val="left" w:pos="759"/>
        </w:tabs>
        <w:spacing w:before="0"/>
        <w:ind w:left="0" w:right="-66"/>
        <w:jc w:val="both"/>
      </w:pPr>
      <w:r>
        <w:rPr>
          <w:color w:val="002069"/>
        </w:rPr>
        <w:t xml:space="preserve">  643.2Piemērs – uzkrājuma pašreizējās vērtības</w:t>
      </w:r>
      <w:r>
        <w:rPr>
          <w:color w:val="002069"/>
          <w:spacing w:val="-4"/>
        </w:rPr>
        <w:t xml:space="preserve"> </w:t>
      </w:r>
      <w:r>
        <w:rPr>
          <w:color w:val="002069"/>
        </w:rPr>
        <w:t>noteikšana</w:t>
      </w:r>
    </w:p>
    <w:p w14:paraId="131A8987" w14:textId="77777777" w:rsidR="00AF1383" w:rsidRDefault="00AF1383" w:rsidP="00CD363C">
      <w:pPr>
        <w:pStyle w:val="Pamatteksts"/>
        <w:ind w:left="218" w:right="-66"/>
        <w:jc w:val="both"/>
      </w:pPr>
      <w:r>
        <w:t>2019.</w:t>
      </w:r>
      <w:r>
        <w:rPr>
          <w:spacing w:val="-2"/>
        </w:rPr>
        <w:t xml:space="preserve"> </w:t>
      </w:r>
      <w:r>
        <w:t>gadā</w:t>
      </w:r>
      <w:r>
        <w:rPr>
          <w:spacing w:val="-7"/>
        </w:rPr>
        <w:t xml:space="preserve"> </w:t>
      </w:r>
      <w:r>
        <w:t>iestādes</w:t>
      </w:r>
      <w:r>
        <w:rPr>
          <w:spacing w:val="-7"/>
        </w:rPr>
        <w:t xml:space="preserve"> </w:t>
      </w:r>
      <w:r>
        <w:t>darbības</w:t>
      </w:r>
      <w:r>
        <w:rPr>
          <w:spacing w:val="-6"/>
        </w:rPr>
        <w:t xml:space="preserve"> </w:t>
      </w:r>
      <w:r>
        <w:t>rezultātā,</w:t>
      </w:r>
      <w:r>
        <w:rPr>
          <w:spacing w:val="-7"/>
        </w:rPr>
        <w:t xml:space="preserve"> </w:t>
      </w:r>
      <w:r>
        <w:t>izmantojot</w:t>
      </w:r>
      <w:r>
        <w:rPr>
          <w:spacing w:val="-6"/>
        </w:rPr>
        <w:t xml:space="preserve"> </w:t>
      </w:r>
      <w:r>
        <w:t>konkrētu</w:t>
      </w:r>
      <w:r>
        <w:rPr>
          <w:spacing w:val="-9"/>
        </w:rPr>
        <w:t xml:space="preserve"> </w:t>
      </w:r>
      <w:r>
        <w:t>aktīvu,</w:t>
      </w:r>
      <w:r>
        <w:rPr>
          <w:spacing w:val="-7"/>
        </w:rPr>
        <w:t xml:space="preserve"> </w:t>
      </w:r>
      <w:r>
        <w:t>tiek</w:t>
      </w:r>
      <w:r>
        <w:rPr>
          <w:spacing w:val="-8"/>
        </w:rPr>
        <w:t xml:space="preserve"> </w:t>
      </w:r>
      <w:r>
        <w:t>nodarīts</w:t>
      </w:r>
      <w:r>
        <w:rPr>
          <w:spacing w:val="-7"/>
        </w:rPr>
        <w:t xml:space="preserve"> </w:t>
      </w:r>
      <w:r>
        <w:t>kaitējums</w:t>
      </w:r>
      <w:r>
        <w:rPr>
          <w:spacing w:val="-7"/>
        </w:rPr>
        <w:t xml:space="preserve"> </w:t>
      </w:r>
      <w:r>
        <w:t>videi.</w:t>
      </w:r>
      <w:r>
        <w:rPr>
          <w:spacing w:val="-6"/>
        </w:rPr>
        <w:t xml:space="preserve"> </w:t>
      </w:r>
      <w:r>
        <w:t>Saskaņā</w:t>
      </w:r>
      <w:r>
        <w:rPr>
          <w:spacing w:val="-7"/>
        </w:rPr>
        <w:t xml:space="preserve"> </w:t>
      </w:r>
      <w:r>
        <w:t>ar normatīvo aktu (lēmumu) iestādei 5 gadu laikā jānovērš vides kaitējums. Iestāde ir pieņēmusi lēmumu likvidēt kaitējumu 2024. gada beigās. Aplēstās izmaksas piektā gada beigās 200 000,00</w:t>
      </w:r>
      <w:r>
        <w:rPr>
          <w:spacing w:val="-6"/>
        </w:rPr>
        <w:t xml:space="preserve"> </w:t>
      </w:r>
      <w:r>
        <w:t>EUR.</w:t>
      </w:r>
    </w:p>
    <w:p w14:paraId="7C1AB11E" w14:textId="77777777" w:rsidR="00AF1383" w:rsidRDefault="00AF1383" w:rsidP="00CD363C">
      <w:pPr>
        <w:pStyle w:val="Pamatteksts"/>
        <w:ind w:left="218" w:right="-66"/>
        <w:jc w:val="both"/>
      </w:pPr>
      <w:r>
        <w:t>Iestāde, izmantojot Valsts kases tīmekļvietnē publicēto diskonta likmi attiecīgajam laika periodam (5 gadiem), nosaka uzkrājumu pašreizējo vērtību.</w:t>
      </w:r>
    </w:p>
    <w:p w14:paraId="2709CB21" w14:textId="77777777" w:rsidR="00AF1383" w:rsidRDefault="00AF1383" w:rsidP="00CD363C">
      <w:pPr>
        <w:pStyle w:val="Pamatteksts"/>
        <w:ind w:left="218" w:right="-66"/>
        <w:jc w:val="both"/>
      </w:pPr>
      <w:r>
        <w:t>Piemērā izmantota diskonta likme 12%.</w:t>
      </w:r>
    </w:p>
    <w:p w14:paraId="3DC274F3" w14:textId="77777777" w:rsidR="00AF1383" w:rsidRDefault="00AF1383" w:rsidP="00CD363C">
      <w:pPr>
        <w:pStyle w:val="Pamatteksts"/>
        <w:ind w:right="-66"/>
        <w:jc w:val="both"/>
        <w:rPr>
          <w:sz w:val="20"/>
        </w:rPr>
      </w:pPr>
    </w:p>
    <w:p w14:paraId="680D5E73" w14:textId="77777777" w:rsidR="00AF1383" w:rsidRDefault="00AF1383" w:rsidP="00CD363C">
      <w:pPr>
        <w:pStyle w:val="Pamatteksts"/>
        <w:ind w:left="218" w:right="-66"/>
        <w:jc w:val="both"/>
      </w:pPr>
      <w:r>
        <w:t>Sagatavojot 2019. gada finanšu pārskatu, budžeta iestāde aprēķina uzkrājumu (paredzamo izmaksu) pašreizējo vērtību sekojoši:</w:t>
      </w:r>
    </w:p>
    <w:p w14:paraId="63ED4940" w14:textId="77777777" w:rsidR="00AF1383" w:rsidRDefault="00AF1383" w:rsidP="00CD363C">
      <w:pPr>
        <w:spacing w:after="0" w:line="240" w:lineRule="auto"/>
        <w:ind w:left="218" w:right="-66"/>
        <w:jc w:val="both"/>
        <w:rPr>
          <w:i/>
        </w:rPr>
      </w:pPr>
      <w:r>
        <w:rPr>
          <w:i/>
        </w:rPr>
        <w:t>Uzkrājuma pašreizējā vērtība, kas atzīstama izdevumos 2019. gadā:</w:t>
      </w:r>
    </w:p>
    <w:p w14:paraId="21201689" w14:textId="77777777" w:rsidR="00AF1383" w:rsidRDefault="00AF1383" w:rsidP="00CD363C">
      <w:pPr>
        <w:pStyle w:val="Pamatteksts"/>
        <w:ind w:right="-66"/>
        <w:jc w:val="both"/>
        <w:rPr>
          <w:i/>
          <w:sz w:val="19"/>
        </w:rPr>
      </w:pPr>
    </w:p>
    <w:p w14:paraId="670D4A07" w14:textId="77777777" w:rsidR="00AF1383" w:rsidRDefault="00AF1383" w:rsidP="00CD363C">
      <w:pPr>
        <w:pStyle w:val="Pamatteksts"/>
        <w:ind w:right="-66"/>
        <w:jc w:val="both"/>
        <w:rPr>
          <w:rFonts w:ascii="DejaVu Serif"/>
        </w:rPr>
      </w:pPr>
      <w:r>
        <w:rPr>
          <w:rFonts w:ascii="DejaVu Serif"/>
          <w:w w:val="95"/>
        </w:rPr>
        <w:t>200 000</w:t>
      </w:r>
    </w:p>
    <w:p w14:paraId="03DDDA98" w14:textId="77777777" w:rsidR="00AF1383" w:rsidRDefault="00870ECE" w:rsidP="00CD363C">
      <w:pPr>
        <w:pStyle w:val="Pamatteksts"/>
        <w:ind w:right="-66"/>
        <w:jc w:val="both"/>
        <w:rPr>
          <w:rFonts w:ascii="DejaVu Serif" w:eastAsia="DejaVu Serif"/>
        </w:rPr>
      </w:pPr>
      <w:r>
        <w:rPr>
          <w:noProof/>
        </w:rPr>
        <mc:AlternateContent>
          <mc:Choice Requires="wps">
            <w:drawing>
              <wp:anchor distT="0" distB="0" distL="114300" distR="114300" simplePos="0" relativeHeight="251661312" behindDoc="1" locked="0" layoutInCell="1" allowOverlap="1" wp14:anchorId="7910B7E2" wp14:editId="116B3FFB">
                <wp:simplePos x="0" y="0"/>
                <wp:positionH relativeFrom="page">
                  <wp:posOffset>2972435</wp:posOffset>
                </wp:positionH>
                <wp:positionV relativeFrom="paragraph">
                  <wp:posOffset>82550</wp:posOffset>
                </wp:positionV>
                <wp:extent cx="685800" cy="0"/>
                <wp:effectExtent l="10160" t="6350" r="8890" b="12700"/>
                <wp:wrapNone/>
                <wp:docPr id="35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A081C" id="Line 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Ho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wPIB&#10;6B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+ 0,12)</w:t>
      </w:r>
      <w:r w:rsidR="00AF1383">
        <w:rPr>
          <w:rFonts w:ascii="DejaVu Serif" w:eastAsia="DejaVu Serif"/>
          <w:position w:val="-7"/>
          <w:sz w:val="16"/>
        </w:rPr>
        <w:t xml:space="preserve">5 </w:t>
      </w:r>
      <w:r w:rsidR="00AF1383">
        <w:rPr>
          <w:rFonts w:ascii="DejaVu Serif" w:eastAsia="DejaVu Serif"/>
        </w:rPr>
        <w:t>= 113 485,37 𝐸𝑈R</w:t>
      </w:r>
    </w:p>
    <w:tbl>
      <w:tblPr>
        <w:tblW w:w="0" w:type="auto"/>
        <w:tblInd w:w="228" w:type="dxa"/>
        <w:tblBorders>
          <w:top w:val="single" w:sz="8" w:space="0" w:color="C3C4C5"/>
          <w:left w:val="single" w:sz="8" w:space="0" w:color="C3C4C5"/>
          <w:bottom w:val="single" w:sz="8" w:space="0" w:color="C3C4C5"/>
          <w:right w:val="single" w:sz="8" w:space="0" w:color="C3C4C5"/>
          <w:insideH w:val="single" w:sz="8" w:space="0" w:color="C3C4C5"/>
          <w:insideV w:val="single" w:sz="8" w:space="0" w:color="C3C4C5"/>
        </w:tblBorders>
        <w:tblLayout w:type="fixed"/>
        <w:tblCellMar>
          <w:left w:w="0" w:type="dxa"/>
          <w:right w:w="0" w:type="dxa"/>
        </w:tblCellMar>
        <w:tblLook w:val="01E0" w:firstRow="1" w:lastRow="1" w:firstColumn="1" w:lastColumn="1" w:noHBand="0" w:noVBand="0"/>
      </w:tblPr>
      <w:tblGrid>
        <w:gridCol w:w="984"/>
        <w:gridCol w:w="1133"/>
        <w:gridCol w:w="4253"/>
        <w:gridCol w:w="2976"/>
      </w:tblGrid>
      <w:tr w:rsidR="00AF1383" w14:paraId="1E83F200" w14:textId="77777777" w:rsidTr="00AF1383">
        <w:trPr>
          <w:trHeight w:val="534"/>
        </w:trPr>
        <w:tc>
          <w:tcPr>
            <w:tcW w:w="984" w:type="dxa"/>
            <w:shd w:val="clear" w:color="auto" w:fill="F1F1F1"/>
          </w:tcPr>
          <w:p w14:paraId="7117A9D8" w14:textId="77777777" w:rsidR="00AF1383" w:rsidRDefault="00AF1383" w:rsidP="00CD363C">
            <w:pPr>
              <w:pStyle w:val="TableParagraph"/>
              <w:ind w:left="239" w:right="-66"/>
              <w:jc w:val="both"/>
              <w:rPr>
                <w:b/>
                <w:sz w:val="20"/>
              </w:rPr>
            </w:pPr>
            <w:r>
              <w:rPr>
                <w:b/>
                <w:sz w:val="20"/>
              </w:rPr>
              <w:t>Gads</w:t>
            </w:r>
          </w:p>
        </w:tc>
        <w:tc>
          <w:tcPr>
            <w:tcW w:w="1133" w:type="dxa"/>
            <w:shd w:val="clear" w:color="auto" w:fill="F1F1F1"/>
          </w:tcPr>
          <w:p w14:paraId="33DBBF40" w14:textId="77777777" w:rsidR="00AF1383" w:rsidRDefault="00AF1383" w:rsidP="00CD363C">
            <w:pPr>
              <w:pStyle w:val="TableParagraph"/>
              <w:ind w:left="265" w:right="-66" w:hanging="118"/>
              <w:jc w:val="both"/>
              <w:rPr>
                <w:b/>
                <w:sz w:val="20"/>
              </w:rPr>
            </w:pPr>
            <w:r>
              <w:rPr>
                <w:b/>
                <w:sz w:val="20"/>
              </w:rPr>
              <w:t>Gads pēc kārtas</w:t>
            </w:r>
          </w:p>
        </w:tc>
        <w:tc>
          <w:tcPr>
            <w:tcW w:w="4253" w:type="dxa"/>
            <w:shd w:val="clear" w:color="auto" w:fill="F1F1F1"/>
          </w:tcPr>
          <w:p w14:paraId="1044D6CA" w14:textId="77777777" w:rsidR="00AF1383" w:rsidRDefault="00AF1383" w:rsidP="00CD363C">
            <w:pPr>
              <w:pStyle w:val="TableParagraph"/>
              <w:ind w:left="196" w:right="-66"/>
              <w:jc w:val="both"/>
              <w:rPr>
                <w:b/>
                <w:sz w:val="20"/>
              </w:rPr>
            </w:pPr>
            <w:r>
              <w:rPr>
                <w:b/>
                <w:sz w:val="20"/>
              </w:rPr>
              <w:t>Pašreizējā uzkrājuma vērtība pārskata gadā</w:t>
            </w:r>
          </w:p>
        </w:tc>
        <w:tc>
          <w:tcPr>
            <w:tcW w:w="2976" w:type="dxa"/>
            <w:shd w:val="clear" w:color="auto" w:fill="F1F1F1"/>
          </w:tcPr>
          <w:p w14:paraId="3BF0C35F" w14:textId="77777777" w:rsidR="00AF1383" w:rsidRDefault="00AF1383" w:rsidP="00CD363C">
            <w:pPr>
              <w:pStyle w:val="TableParagraph"/>
              <w:ind w:left="384" w:right="-66" w:firstLine="244"/>
              <w:jc w:val="both"/>
              <w:rPr>
                <w:b/>
                <w:sz w:val="20"/>
              </w:rPr>
            </w:pPr>
            <w:r>
              <w:rPr>
                <w:b/>
                <w:sz w:val="20"/>
              </w:rPr>
              <w:t>Procentu izdevumu (uzkrājuma pieaugums)*</w:t>
            </w:r>
          </w:p>
        </w:tc>
      </w:tr>
      <w:tr w:rsidR="00AF1383" w14:paraId="35BCFD86" w14:textId="77777777" w:rsidTr="00AF1383">
        <w:trPr>
          <w:trHeight w:val="340"/>
        </w:trPr>
        <w:tc>
          <w:tcPr>
            <w:tcW w:w="984" w:type="dxa"/>
          </w:tcPr>
          <w:p w14:paraId="46E79F59" w14:textId="77777777" w:rsidR="00AF1383" w:rsidRDefault="00AF1383" w:rsidP="00CD363C">
            <w:pPr>
              <w:pStyle w:val="TableParagraph"/>
              <w:ind w:right="-66"/>
              <w:jc w:val="both"/>
              <w:rPr>
                <w:sz w:val="20"/>
              </w:rPr>
            </w:pPr>
            <w:r>
              <w:rPr>
                <w:sz w:val="20"/>
              </w:rPr>
              <w:t>2019.</w:t>
            </w:r>
          </w:p>
        </w:tc>
        <w:tc>
          <w:tcPr>
            <w:tcW w:w="1133" w:type="dxa"/>
          </w:tcPr>
          <w:p w14:paraId="3ED8FFC2" w14:textId="77777777" w:rsidR="00AF1383" w:rsidRDefault="00AF1383" w:rsidP="00CD363C">
            <w:pPr>
              <w:pStyle w:val="TableParagraph"/>
              <w:ind w:right="-66"/>
              <w:jc w:val="both"/>
              <w:rPr>
                <w:sz w:val="20"/>
              </w:rPr>
            </w:pPr>
            <w:r>
              <w:rPr>
                <w:w w:val="99"/>
                <w:sz w:val="20"/>
              </w:rPr>
              <w:t>0</w:t>
            </w:r>
          </w:p>
        </w:tc>
        <w:tc>
          <w:tcPr>
            <w:tcW w:w="4253" w:type="dxa"/>
          </w:tcPr>
          <w:p w14:paraId="25D89AEE" w14:textId="77777777" w:rsidR="00AF1383" w:rsidRDefault="00AF1383" w:rsidP="00CD363C">
            <w:pPr>
              <w:pStyle w:val="TableParagraph"/>
              <w:ind w:right="-66"/>
              <w:jc w:val="both"/>
              <w:rPr>
                <w:sz w:val="20"/>
              </w:rPr>
            </w:pPr>
            <w:r>
              <w:rPr>
                <w:sz w:val="20"/>
              </w:rPr>
              <w:t>200 000,00 EUR /(1+0,12)^5=113 485,37 EUR</w:t>
            </w:r>
          </w:p>
        </w:tc>
        <w:tc>
          <w:tcPr>
            <w:tcW w:w="2976" w:type="dxa"/>
          </w:tcPr>
          <w:p w14:paraId="01BC740E" w14:textId="77777777" w:rsidR="00AF1383" w:rsidRDefault="00AF1383" w:rsidP="00CD363C">
            <w:pPr>
              <w:pStyle w:val="TableParagraph"/>
              <w:ind w:right="-66"/>
              <w:jc w:val="both"/>
              <w:rPr>
                <w:sz w:val="20"/>
              </w:rPr>
            </w:pPr>
            <w:r>
              <w:rPr>
                <w:w w:val="99"/>
                <w:sz w:val="20"/>
              </w:rPr>
              <w:t>-</w:t>
            </w:r>
          </w:p>
        </w:tc>
      </w:tr>
      <w:tr w:rsidR="00AF1383" w14:paraId="3A183FC4" w14:textId="77777777" w:rsidTr="00AF1383">
        <w:trPr>
          <w:trHeight w:val="690"/>
        </w:trPr>
        <w:tc>
          <w:tcPr>
            <w:tcW w:w="984" w:type="dxa"/>
          </w:tcPr>
          <w:p w14:paraId="2E56DF9D" w14:textId="77777777" w:rsidR="00AF1383" w:rsidRDefault="00AF1383" w:rsidP="00CD363C">
            <w:pPr>
              <w:pStyle w:val="TableParagraph"/>
              <w:ind w:right="-66"/>
              <w:jc w:val="both"/>
              <w:rPr>
                <w:rFonts w:ascii="DejaVu Serif"/>
                <w:sz w:val="19"/>
              </w:rPr>
            </w:pPr>
          </w:p>
          <w:p w14:paraId="55CD6406" w14:textId="77777777" w:rsidR="00AF1383" w:rsidRDefault="00AF1383" w:rsidP="00CD363C">
            <w:pPr>
              <w:pStyle w:val="TableParagraph"/>
              <w:ind w:right="-66"/>
              <w:jc w:val="both"/>
              <w:rPr>
                <w:sz w:val="20"/>
              </w:rPr>
            </w:pPr>
            <w:r>
              <w:rPr>
                <w:sz w:val="20"/>
              </w:rPr>
              <w:t>2020.</w:t>
            </w:r>
          </w:p>
        </w:tc>
        <w:tc>
          <w:tcPr>
            <w:tcW w:w="1133" w:type="dxa"/>
          </w:tcPr>
          <w:p w14:paraId="438319CA" w14:textId="77777777" w:rsidR="00AF1383" w:rsidRDefault="00AF1383" w:rsidP="00CD363C">
            <w:pPr>
              <w:pStyle w:val="TableParagraph"/>
              <w:ind w:right="-66"/>
              <w:jc w:val="both"/>
              <w:rPr>
                <w:rFonts w:ascii="DejaVu Serif"/>
                <w:sz w:val="19"/>
              </w:rPr>
            </w:pPr>
          </w:p>
          <w:p w14:paraId="17812B88" w14:textId="77777777" w:rsidR="00AF1383" w:rsidRDefault="00AF1383" w:rsidP="00CD363C">
            <w:pPr>
              <w:pStyle w:val="TableParagraph"/>
              <w:ind w:right="-66"/>
              <w:jc w:val="both"/>
              <w:rPr>
                <w:sz w:val="20"/>
              </w:rPr>
            </w:pPr>
            <w:r>
              <w:rPr>
                <w:w w:val="99"/>
                <w:sz w:val="20"/>
              </w:rPr>
              <w:t>1</w:t>
            </w:r>
          </w:p>
        </w:tc>
        <w:tc>
          <w:tcPr>
            <w:tcW w:w="4253" w:type="dxa"/>
          </w:tcPr>
          <w:p w14:paraId="516FCF61" w14:textId="77777777" w:rsidR="00AF1383" w:rsidRDefault="00AF1383" w:rsidP="00CD363C">
            <w:pPr>
              <w:pStyle w:val="TableParagraph"/>
              <w:ind w:right="-66"/>
              <w:jc w:val="both"/>
              <w:rPr>
                <w:rFonts w:ascii="DejaVu Serif"/>
                <w:sz w:val="19"/>
              </w:rPr>
            </w:pPr>
          </w:p>
          <w:p w14:paraId="4973A750" w14:textId="77777777" w:rsidR="00AF1383" w:rsidRDefault="00AF1383" w:rsidP="00CD363C">
            <w:pPr>
              <w:pStyle w:val="TableParagraph"/>
              <w:ind w:right="-66"/>
              <w:jc w:val="both"/>
              <w:rPr>
                <w:sz w:val="20"/>
              </w:rPr>
            </w:pPr>
            <w:r>
              <w:rPr>
                <w:sz w:val="20"/>
              </w:rPr>
              <w:t>200 000,00 EUR /(1+0,12)^4=127 103,62 EUR</w:t>
            </w:r>
          </w:p>
        </w:tc>
        <w:tc>
          <w:tcPr>
            <w:tcW w:w="2976" w:type="dxa"/>
          </w:tcPr>
          <w:p w14:paraId="74E67131" w14:textId="77777777" w:rsidR="00AF1383" w:rsidRDefault="00AF1383" w:rsidP="00CD363C">
            <w:pPr>
              <w:pStyle w:val="TableParagraph"/>
              <w:ind w:left="1395" w:right="-66"/>
              <w:jc w:val="both"/>
              <w:rPr>
                <w:sz w:val="20"/>
              </w:rPr>
            </w:pPr>
            <w:r>
              <w:rPr>
                <w:sz w:val="20"/>
              </w:rPr>
              <w:t>127 103,62</w:t>
            </w:r>
            <w:r>
              <w:rPr>
                <w:spacing w:val="-3"/>
                <w:sz w:val="20"/>
              </w:rPr>
              <w:t xml:space="preserve"> </w:t>
            </w:r>
            <w:r>
              <w:rPr>
                <w:sz w:val="20"/>
              </w:rPr>
              <w:t>EUR-</w:t>
            </w:r>
          </w:p>
          <w:p w14:paraId="4791496E" w14:textId="77777777" w:rsidR="00AF1383" w:rsidRDefault="00AF1383" w:rsidP="00CD363C">
            <w:pPr>
              <w:pStyle w:val="TableParagraph"/>
              <w:ind w:left="1459" w:right="-66"/>
              <w:jc w:val="both"/>
              <w:rPr>
                <w:sz w:val="20"/>
              </w:rPr>
            </w:pPr>
            <w:r>
              <w:rPr>
                <w:sz w:val="20"/>
              </w:rPr>
              <w:t>113 485,37</w:t>
            </w:r>
            <w:r>
              <w:rPr>
                <w:spacing w:val="-3"/>
                <w:sz w:val="20"/>
              </w:rPr>
              <w:t xml:space="preserve"> </w:t>
            </w:r>
            <w:r>
              <w:rPr>
                <w:sz w:val="20"/>
              </w:rPr>
              <w:t>EUR</w:t>
            </w:r>
          </w:p>
          <w:p w14:paraId="2BBAD8B4" w14:textId="77777777" w:rsidR="00AF1383" w:rsidRDefault="00AF1383" w:rsidP="00CD363C">
            <w:pPr>
              <w:pStyle w:val="TableParagraph"/>
              <w:ind w:left="1397" w:right="-66"/>
              <w:jc w:val="both"/>
              <w:rPr>
                <w:sz w:val="20"/>
              </w:rPr>
            </w:pPr>
            <w:r>
              <w:rPr>
                <w:sz w:val="20"/>
              </w:rPr>
              <w:t>= 13 618,24</w:t>
            </w:r>
            <w:r>
              <w:rPr>
                <w:spacing w:val="-3"/>
                <w:sz w:val="20"/>
              </w:rPr>
              <w:t xml:space="preserve"> </w:t>
            </w:r>
            <w:r>
              <w:rPr>
                <w:sz w:val="20"/>
              </w:rPr>
              <w:t>EUR</w:t>
            </w:r>
          </w:p>
        </w:tc>
      </w:tr>
      <w:tr w:rsidR="00AF1383" w14:paraId="30FBCC77" w14:textId="77777777" w:rsidTr="00AF1383">
        <w:trPr>
          <w:trHeight w:val="690"/>
        </w:trPr>
        <w:tc>
          <w:tcPr>
            <w:tcW w:w="984" w:type="dxa"/>
          </w:tcPr>
          <w:p w14:paraId="4F531BE4" w14:textId="77777777" w:rsidR="00AF1383" w:rsidRDefault="00AF1383" w:rsidP="00CD363C">
            <w:pPr>
              <w:pStyle w:val="TableParagraph"/>
              <w:ind w:right="-66"/>
              <w:jc w:val="both"/>
              <w:rPr>
                <w:rFonts w:ascii="DejaVu Serif"/>
                <w:sz w:val="19"/>
              </w:rPr>
            </w:pPr>
          </w:p>
          <w:p w14:paraId="4261E3ED" w14:textId="77777777" w:rsidR="00AF1383" w:rsidRDefault="00AF1383" w:rsidP="00CD363C">
            <w:pPr>
              <w:pStyle w:val="TableParagraph"/>
              <w:ind w:right="-66"/>
              <w:jc w:val="both"/>
              <w:rPr>
                <w:sz w:val="20"/>
              </w:rPr>
            </w:pPr>
            <w:r>
              <w:rPr>
                <w:sz w:val="20"/>
              </w:rPr>
              <w:t>2021.</w:t>
            </w:r>
          </w:p>
        </w:tc>
        <w:tc>
          <w:tcPr>
            <w:tcW w:w="1133" w:type="dxa"/>
          </w:tcPr>
          <w:p w14:paraId="4071DCBB" w14:textId="77777777" w:rsidR="00AF1383" w:rsidRDefault="00AF1383" w:rsidP="00CD363C">
            <w:pPr>
              <w:pStyle w:val="TableParagraph"/>
              <w:ind w:right="-66"/>
              <w:jc w:val="both"/>
              <w:rPr>
                <w:rFonts w:ascii="DejaVu Serif"/>
                <w:sz w:val="19"/>
              </w:rPr>
            </w:pPr>
          </w:p>
          <w:p w14:paraId="6B2DBF68" w14:textId="77777777" w:rsidR="00AF1383" w:rsidRDefault="00AF1383" w:rsidP="00CD363C">
            <w:pPr>
              <w:pStyle w:val="TableParagraph"/>
              <w:ind w:right="-66"/>
              <w:jc w:val="both"/>
              <w:rPr>
                <w:sz w:val="20"/>
              </w:rPr>
            </w:pPr>
            <w:r>
              <w:rPr>
                <w:w w:val="99"/>
                <w:sz w:val="20"/>
              </w:rPr>
              <w:t>2</w:t>
            </w:r>
          </w:p>
        </w:tc>
        <w:tc>
          <w:tcPr>
            <w:tcW w:w="4253" w:type="dxa"/>
          </w:tcPr>
          <w:p w14:paraId="5514F1F0" w14:textId="77777777" w:rsidR="00AF1383" w:rsidRDefault="00AF1383" w:rsidP="00CD363C">
            <w:pPr>
              <w:pStyle w:val="TableParagraph"/>
              <w:ind w:right="-66"/>
              <w:jc w:val="both"/>
              <w:rPr>
                <w:rFonts w:ascii="DejaVu Serif"/>
                <w:sz w:val="19"/>
              </w:rPr>
            </w:pPr>
          </w:p>
          <w:p w14:paraId="1F927974" w14:textId="77777777" w:rsidR="00AF1383" w:rsidRDefault="00AF1383" w:rsidP="00CD363C">
            <w:pPr>
              <w:pStyle w:val="TableParagraph"/>
              <w:ind w:right="-66"/>
              <w:jc w:val="both"/>
              <w:rPr>
                <w:sz w:val="20"/>
              </w:rPr>
            </w:pPr>
            <w:r>
              <w:rPr>
                <w:sz w:val="20"/>
              </w:rPr>
              <w:t>200 000,00 EUR /(1+0,12)^3=142 356,05 EUR</w:t>
            </w:r>
          </w:p>
        </w:tc>
        <w:tc>
          <w:tcPr>
            <w:tcW w:w="2976" w:type="dxa"/>
          </w:tcPr>
          <w:p w14:paraId="514A14E1" w14:textId="77777777" w:rsidR="00AF1383" w:rsidRDefault="00AF1383" w:rsidP="00CD363C">
            <w:pPr>
              <w:pStyle w:val="TableParagraph"/>
              <w:ind w:left="1325" w:right="-66"/>
              <w:jc w:val="both"/>
              <w:rPr>
                <w:sz w:val="20"/>
              </w:rPr>
            </w:pPr>
            <w:r>
              <w:rPr>
                <w:sz w:val="20"/>
              </w:rPr>
              <w:t>142 356,05 EUR</w:t>
            </w:r>
            <w:r>
              <w:rPr>
                <w:spacing w:val="-1"/>
                <w:sz w:val="20"/>
              </w:rPr>
              <w:t xml:space="preserve"> </w:t>
            </w:r>
            <w:r>
              <w:rPr>
                <w:sz w:val="20"/>
              </w:rPr>
              <w:t>-</w:t>
            </w:r>
          </w:p>
          <w:p w14:paraId="220FEF5B" w14:textId="77777777" w:rsidR="00AF1383" w:rsidRDefault="00AF1383" w:rsidP="00CD363C">
            <w:pPr>
              <w:pStyle w:val="TableParagraph"/>
              <w:ind w:left="1325" w:right="-66"/>
              <w:jc w:val="both"/>
              <w:rPr>
                <w:sz w:val="20"/>
              </w:rPr>
            </w:pPr>
            <w:r>
              <w:rPr>
                <w:sz w:val="20"/>
              </w:rPr>
              <w:t>127 103,62</w:t>
            </w:r>
            <w:r>
              <w:rPr>
                <w:spacing w:val="-3"/>
                <w:sz w:val="20"/>
              </w:rPr>
              <w:t xml:space="preserve"> </w:t>
            </w:r>
            <w:r>
              <w:rPr>
                <w:sz w:val="20"/>
              </w:rPr>
              <w:t>EUR</w:t>
            </w:r>
          </w:p>
          <w:p w14:paraId="585E33F3" w14:textId="77777777" w:rsidR="00AF1383" w:rsidRDefault="00AF1383" w:rsidP="00CD363C">
            <w:pPr>
              <w:pStyle w:val="TableParagraph"/>
              <w:ind w:left="1325" w:right="-66"/>
              <w:jc w:val="both"/>
              <w:rPr>
                <w:sz w:val="20"/>
              </w:rPr>
            </w:pPr>
            <w:r>
              <w:rPr>
                <w:sz w:val="20"/>
              </w:rPr>
              <w:t>=15 252,43</w:t>
            </w:r>
            <w:r>
              <w:rPr>
                <w:spacing w:val="-3"/>
                <w:sz w:val="20"/>
              </w:rPr>
              <w:t xml:space="preserve"> </w:t>
            </w:r>
            <w:r>
              <w:rPr>
                <w:sz w:val="20"/>
              </w:rPr>
              <w:t>EUR</w:t>
            </w:r>
          </w:p>
        </w:tc>
      </w:tr>
      <w:tr w:rsidR="00AF1383" w14:paraId="43235640" w14:textId="77777777" w:rsidTr="00AF1383">
        <w:trPr>
          <w:trHeight w:val="688"/>
        </w:trPr>
        <w:tc>
          <w:tcPr>
            <w:tcW w:w="984" w:type="dxa"/>
          </w:tcPr>
          <w:p w14:paraId="46DFCD3E" w14:textId="77777777" w:rsidR="00AF1383" w:rsidRDefault="00AF1383" w:rsidP="00CD363C">
            <w:pPr>
              <w:pStyle w:val="TableParagraph"/>
              <w:ind w:right="-66"/>
              <w:jc w:val="both"/>
              <w:rPr>
                <w:rFonts w:ascii="DejaVu Serif"/>
                <w:sz w:val="19"/>
              </w:rPr>
            </w:pPr>
          </w:p>
          <w:p w14:paraId="12D19F77" w14:textId="77777777" w:rsidR="00AF1383" w:rsidRDefault="00AF1383" w:rsidP="00CD363C">
            <w:pPr>
              <w:pStyle w:val="TableParagraph"/>
              <w:ind w:right="-66"/>
              <w:jc w:val="both"/>
              <w:rPr>
                <w:sz w:val="20"/>
              </w:rPr>
            </w:pPr>
            <w:r>
              <w:rPr>
                <w:sz w:val="20"/>
              </w:rPr>
              <w:t>2022.</w:t>
            </w:r>
          </w:p>
        </w:tc>
        <w:tc>
          <w:tcPr>
            <w:tcW w:w="1133" w:type="dxa"/>
          </w:tcPr>
          <w:p w14:paraId="0EDF46D7" w14:textId="77777777" w:rsidR="00AF1383" w:rsidRDefault="00AF1383" w:rsidP="00CD363C">
            <w:pPr>
              <w:pStyle w:val="TableParagraph"/>
              <w:ind w:right="-66"/>
              <w:jc w:val="both"/>
              <w:rPr>
                <w:rFonts w:ascii="DejaVu Serif"/>
                <w:sz w:val="19"/>
              </w:rPr>
            </w:pPr>
          </w:p>
          <w:p w14:paraId="26AD58D5" w14:textId="77777777" w:rsidR="00AF1383" w:rsidRDefault="00AF1383" w:rsidP="00CD363C">
            <w:pPr>
              <w:pStyle w:val="TableParagraph"/>
              <w:ind w:right="-66"/>
              <w:jc w:val="both"/>
              <w:rPr>
                <w:sz w:val="20"/>
              </w:rPr>
            </w:pPr>
            <w:r>
              <w:rPr>
                <w:w w:val="99"/>
                <w:sz w:val="20"/>
              </w:rPr>
              <w:t>3</w:t>
            </w:r>
          </w:p>
        </w:tc>
        <w:tc>
          <w:tcPr>
            <w:tcW w:w="4253" w:type="dxa"/>
          </w:tcPr>
          <w:p w14:paraId="6335BC18" w14:textId="77777777" w:rsidR="00AF1383" w:rsidRDefault="00AF1383" w:rsidP="00CD363C">
            <w:pPr>
              <w:pStyle w:val="TableParagraph"/>
              <w:ind w:right="-66"/>
              <w:jc w:val="both"/>
              <w:rPr>
                <w:rFonts w:ascii="DejaVu Serif"/>
                <w:sz w:val="19"/>
              </w:rPr>
            </w:pPr>
          </w:p>
          <w:p w14:paraId="1F7DC0F5" w14:textId="77777777" w:rsidR="00AF1383" w:rsidRDefault="00AF1383" w:rsidP="00CD363C">
            <w:pPr>
              <w:pStyle w:val="TableParagraph"/>
              <w:ind w:right="-66"/>
              <w:jc w:val="both"/>
              <w:rPr>
                <w:sz w:val="20"/>
              </w:rPr>
            </w:pPr>
            <w:r>
              <w:rPr>
                <w:sz w:val="20"/>
              </w:rPr>
              <w:t>200 000,00 EUR /(1+0,12)^2=159 438,78 EUR</w:t>
            </w:r>
          </w:p>
        </w:tc>
        <w:tc>
          <w:tcPr>
            <w:tcW w:w="2976" w:type="dxa"/>
          </w:tcPr>
          <w:p w14:paraId="3660417C" w14:textId="77777777" w:rsidR="00AF1383" w:rsidRDefault="00AF1383" w:rsidP="00CD363C">
            <w:pPr>
              <w:pStyle w:val="TableParagraph"/>
              <w:ind w:left="1325" w:right="-66"/>
              <w:jc w:val="both"/>
              <w:rPr>
                <w:sz w:val="20"/>
              </w:rPr>
            </w:pPr>
            <w:r>
              <w:rPr>
                <w:sz w:val="20"/>
              </w:rPr>
              <w:t>159 438,78 EUR</w:t>
            </w:r>
            <w:r>
              <w:rPr>
                <w:spacing w:val="-1"/>
                <w:sz w:val="20"/>
              </w:rPr>
              <w:t xml:space="preserve"> </w:t>
            </w:r>
            <w:r>
              <w:rPr>
                <w:sz w:val="20"/>
              </w:rPr>
              <w:t>-</w:t>
            </w:r>
          </w:p>
          <w:p w14:paraId="25BCFAA8" w14:textId="77777777" w:rsidR="00AF1383" w:rsidRDefault="00AF1383" w:rsidP="00CD363C">
            <w:pPr>
              <w:pStyle w:val="TableParagraph"/>
              <w:ind w:left="1325" w:right="-66"/>
              <w:jc w:val="both"/>
              <w:rPr>
                <w:sz w:val="20"/>
              </w:rPr>
            </w:pPr>
            <w:r>
              <w:rPr>
                <w:sz w:val="20"/>
              </w:rPr>
              <w:t>142 356,05</w:t>
            </w:r>
            <w:r>
              <w:rPr>
                <w:spacing w:val="-3"/>
                <w:sz w:val="20"/>
              </w:rPr>
              <w:t xml:space="preserve"> </w:t>
            </w:r>
            <w:r>
              <w:rPr>
                <w:sz w:val="20"/>
              </w:rPr>
              <w:t>EUR</w:t>
            </w:r>
          </w:p>
          <w:p w14:paraId="5DE8B2E1" w14:textId="77777777" w:rsidR="00AF1383" w:rsidRDefault="00AF1383" w:rsidP="00CD363C">
            <w:pPr>
              <w:pStyle w:val="TableParagraph"/>
              <w:ind w:left="1325" w:right="-66"/>
              <w:jc w:val="both"/>
              <w:rPr>
                <w:sz w:val="20"/>
              </w:rPr>
            </w:pPr>
            <w:r>
              <w:rPr>
                <w:sz w:val="20"/>
              </w:rPr>
              <w:t>=17 082,73</w:t>
            </w:r>
            <w:r>
              <w:rPr>
                <w:spacing w:val="-3"/>
                <w:sz w:val="20"/>
              </w:rPr>
              <w:t xml:space="preserve"> </w:t>
            </w:r>
            <w:r>
              <w:rPr>
                <w:sz w:val="20"/>
              </w:rPr>
              <w:t>EUR</w:t>
            </w:r>
          </w:p>
        </w:tc>
      </w:tr>
      <w:tr w:rsidR="00AF1383" w14:paraId="142DAB78" w14:textId="77777777" w:rsidTr="00AF1383">
        <w:trPr>
          <w:trHeight w:val="690"/>
        </w:trPr>
        <w:tc>
          <w:tcPr>
            <w:tcW w:w="984" w:type="dxa"/>
          </w:tcPr>
          <w:p w14:paraId="3DB0C066" w14:textId="77777777" w:rsidR="00AF1383" w:rsidRDefault="00AF1383" w:rsidP="00CD363C">
            <w:pPr>
              <w:pStyle w:val="TableParagraph"/>
              <w:ind w:right="-66"/>
              <w:jc w:val="both"/>
              <w:rPr>
                <w:rFonts w:ascii="DejaVu Serif"/>
                <w:sz w:val="19"/>
              </w:rPr>
            </w:pPr>
          </w:p>
          <w:p w14:paraId="40D1D927" w14:textId="77777777" w:rsidR="00AF1383" w:rsidRDefault="00AF1383" w:rsidP="00CD363C">
            <w:pPr>
              <w:pStyle w:val="TableParagraph"/>
              <w:ind w:right="-66"/>
              <w:jc w:val="both"/>
              <w:rPr>
                <w:sz w:val="20"/>
              </w:rPr>
            </w:pPr>
            <w:r>
              <w:rPr>
                <w:sz w:val="20"/>
              </w:rPr>
              <w:t>2023.</w:t>
            </w:r>
          </w:p>
        </w:tc>
        <w:tc>
          <w:tcPr>
            <w:tcW w:w="1133" w:type="dxa"/>
          </w:tcPr>
          <w:p w14:paraId="4D848DAD" w14:textId="77777777" w:rsidR="00AF1383" w:rsidRDefault="00AF1383" w:rsidP="00CD363C">
            <w:pPr>
              <w:pStyle w:val="TableParagraph"/>
              <w:ind w:right="-66"/>
              <w:jc w:val="both"/>
              <w:rPr>
                <w:rFonts w:ascii="DejaVu Serif"/>
                <w:sz w:val="19"/>
              </w:rPr>
            </w:pPr>
          </w:p>
          <w:p w14:paraId="713BFDE3" w14:textId="77777777" w:rsidR="00AF1383" w:rsidRDefault="00AF1383" w:rsidP="00CD363C">
            <w:pPr>
              <w:pStyle w:val="TableParagraph"/>
              <w:ind w:right="-66"/>
              <w:jc w:val="both"/>
              <w:rPr>
                <w:sz w:val="20"/>
              </w:rPr>
            </w:pPr>
            <w:r>
              <w:rPr>
                <w:w w:val="99"/>
                <w:sz w:val="20"/>
              </w:rPr>
              <w:t>4</w:t>
            </w:r>
          </w:p>
        </w:tc>
        <w:tc>
          <w:tcPr>
            <w:tcW w:w="4253" w:type="dxa"/>
          </w:tcPr>
          <w:p w14:paraId="2587D7B7" w14:textId="77777777" w:rsidR="00AF1383" w:rsidRDefault="00AF1383" w:rsidP="00CD363C">
            <w:pPr>
              <w:pStyle w:val="TableParagraph"/>
              <w:ind w:right="-66"/>
              <w:jc w:val="both"/>
              <w:rPr>
                <w:rFonts w:ascii="DejaVu Serif"/>
                <w:sz w:val="19"/>
              </w:rPr>
            </w:pPr>
          </w:p>
          <w:p w14:paraId="676B50D5" w14:textId="77777777" w:rsidR="00AF1383" w:rsidRDefault="00AF1383" w:rsidP="00CD363C">
            <w:pPr>
              <w:pStyle w:val="TableParagraph"/>
              <w:ind w:right="-66"/>
              <w:jc w:val="both"/>
              <w:rPr>
                <w:sz w:val="20"/>
              </w:rPr>
            </w:pPr>
            <w:r>
              <w:rPr>
                <w:sz w:val="20"/>
              </w:rPr>
              <w:t>200 000,00 EUR /(1+0,12)^1=178 571,43 EUR</w:t>
            </w:r>
          </w:p>
        </w:tc>
        <w:tc>
          <w:tcPr>
            <w:tcW w:w="2976" w:type="dxa"/>
          </w:tcPr>
          <w:p w14:paraId="1B08F4EA" w14:textId="77777777" w:rsidR="00AF1383" w:rsidRDefault="00AF1383" w:rsidP="00CD363C">
            <w:pPr>
              <w:pStyle w:val="TableParagraph"/>
              <w:ind w:left="1325" w:right="-66"/>
              <w:jc w:val="both"/>
              <w:rPr>
                <w:sz w:val="20"/>
              </w:rPr>
            </w:pPr>
            <w:r>
              <w:rPr>
                <w:sz w:val="20"/>
              </w:rPr>
              <w:t>178 571,43 EUR</w:t>
            </w:r>
            <w:r>
              <w:rPr>
                <w:spacing w:val="-1"/>
                <w:sz w:val="20"/>
              </w:rPr>
              <w:t xml:space="preserve"> </w:t>
            </w:r>
            <w:r>
              <w:rPr>
                <w:sz w:val="20"/>
              </w:rPr>
              <w:t>-</w:t>
            </w:r>
          </w:p>
          <w:p w14:paraId="41A88050" w14:textId="77777777" w:rsidR="00AF1383" w:rsidRDefault="00AF1383" w:rsidP="00CD363C">
            <w:pPr>
              <w:pStyle w:val="TableParagraph"/>
              <w:ind w:left="1325" w:right="-66"/>
              <w:jc w:val="both"/>
              <w:rPr>
                <w:sz w:val="20"/>
              </w:rPr>
            </w:pPr>
            <w:r>
              <w:rPr>
                <w:sz w:val="20"/>
              </w:rPr>
              <w:t>159 438,78</w:t>
            </w:r>
            <w:r>
              <w:rPr>
                <w:spacing w:val="-3"/>
                <w:sz w:val="20"/>
              </w:rPr>
              <w:t xml:space="preserve"> </w:t>
            </w:r>
            <w:r>
              <w:rPr>
                <w:sz w:val="20"/>
              </w:rPr>
              <w:t>EUR</w:t>
            </w:r>
          </w:p>
          <w:p w14:paraId="784F4597" w14:textId="77777777" w:rsidR="00AF1383" w:rsidRDefault="00AF1383" w:rsidP="00CD363C">
            <w:pPr>
              <w:pStyle w:val="TableParagraph"/>
              <w:ind w:left="1325" w:right="-66"/>
              <w:jc w:val="both"/>
              <w:rPr>
                <w:sz w:val="20"/>
              </w:rPr>
            </w:pPr>
            <w:r>
              <w:rPr>
                <w:sz w:val="20"/>
              </w:rPr>
              <w:t>=19 132,65</w:t>
            </w:r>
            <w:r>
              <w:rPr>
                <w:spacing w:val="-3"/>
                <w:sz w:val="20"/>
              </w:rPr>
              <w:t xml:space="preserve"> </w:t>
            </w:r>
            <w:r>
              <w:rPr>
                <w:sz w:val="20"/>
              </w:rPr>
              <w:t>EUR</w:t>
            </w:r>
          </w:p>
        </w:tc>
      </w:tr>
      <w:tr w:rsidR="00AF1383" w14:paraId="1F82C3ED" w14:textId="77777777" w:rsidTr="00AF1383">
        <w:trPr>
          <w:trHeight w:val="691"/>
        </w:trPr>
        <w:tc>
          <w:tcPr>
            <w:tcW w:w="984" w:type="dxa"/>
          </w:tcPr>
          <w:p w14:paraId="3717C694" w14:textId="77777777" w:rsidR="00AF1383" w:rsidRDefault="00AF1383" w:rsidP="00CD363C">
            <w:pPr>
              <w:pStyle w:val="TableParagraph"/>
              <w:ind w:right="-66"/>
              <w:jc w:val="both"/>
              <w:rPr>
                <w:rFonts w:ascii="DejaVu Serif"/>
                <w:sz w:val="19"/>
              </w:rPr>
            </w:pPr>
          </w:p>
          <w:p w14:paraId="2629E725" w14:textId="77777777" w:rsidR="00AF1383" w:rsidRDefault="00AF1383" w:rsidP="00CD363C">
            <w:pPr>
              <w:pStyle w:val="TableParagraph"/>
              <w:ind w:right="-66"/>
              <w:jc w:val="both"/>
              <w:rPr>
                <w:sz w:val="20"/>
              </w:rPr>
            </w:pPr>
            <w:r>
              <w:rPr>
                <w:sz w:val="20"/>
              </w:rPr>
              <w:t>2024.</w:t>
            </w:r>
          </w:p>
        </w:tc>
        <w:tc>
          <w:tcPr>
            <w:tcW w:w="1133" w:type="dxa"/>
          </w:tcPr>
          <w:p w14:paraId="309545F1" w14:textId="77777777" w:rsidR="00AF1383" w:rsidRDefault="00AF1383" w:rsidP="00CD363C">
            <w:pPr>
              <w:pStyle w:val="TableParagraph"/>
              <w:ind w:right="-66"/>
              <w:jc w:val="both"/>
              <w:rPr>
                <w:rFonts w:ascii="DejaVu Serif"/>
                <w:sz w:val="19"/>
              </w:rPr>
            </w:pPr>
          </w:p>
          <w:p w14:paraId="69A8FDAC" w14:textId="77777777" w:rsidR="00AF1383" w:rsidRDefault="00AF1383" w:rsidP="00CD363C">
            <w:pPr>
              <w:pStyle w:val="TableParagraph"/>
              <w:ind w:right="-66"/>
              <w:jc w:val="both"/>
              <w:rPr>
                <w:sz w:val="20"/>
              </w:rPr>
            </w:pPr>
            <w:r>
              <w:rPr>
                <w:w w:val="99"/>
                <w:sz w:val="20"/>
              </w:rPr>
              <w:t>5</w:t>
            </w:r>
          </w:p>
        </w:tc>
        <w:tc>
          <w:tcPr>
            <w:tcW w:w="4253" w:type="dxa"/>
          </w:tcPr>
          <w:p w14:paraId="1318A87F" w14:textId="77777777" w:rsidR="00AF1383" w:rsidRDefault="00AF1383" w:rsidP="00CD363C">
            <w:pPr>
              <w:pStyle w:val="TableParagraph"/>
              <w:ind w:right="-66"/>
              <w:jc w:val="both"/>
              <w:rPr>
                <w:rFonts w:ascii="DejaVu Serif"/>
                <w:sz w:val="19"/>
              </w:rPr>
            </w:pPr>
          </w:p>
          <w:p w14:paraId="3404D107" w14:textId="77777777" w:rsidR="00AF1383" w:rsidRDefault="00AF1383" w:rsidP="00CD363C">
            <w:pPr>
              <w:pStyle w:val="TableParagraph"/>
              <w:ind w:right="-66"/>
              <w:jc w:val="both"/>
              <w:rPr>
                <w:sz w:val="20"/>
              </w:rPr>
            </w:pPr>
            <w:r>
              <w:rPr>
                <w:sz w:val="20"/>
              </w:rPr>
              <w:t>200 000,00 EUR /(1+0,12)^0=200 000,00 EUR</w:t>
            </w:r>
          </w:p>
        </w:tc>
        <w:tc>
          <w:tcPr>
            <w:tcW w:w="2976" w:type="dxa"/>
          </w:tcPr>
          <w:p w14:paraId="37D3B88F" w14:textId="77777777" w:rsidR="00AF1383" w:rsidRDefault="00AF1383" w:rsidP="00CD363C">
            <w:pPr>
              <w:pStyle w:val="TableParagraph"/>
              <w:ind w:left="1395" w:right="-66"/>
              <w:jc w:val="both"/>
              <w:rPr>
                <w:sz w:val="20"/>
              </w:rPr>
            </w:pPr>
            <w:r>
              <w:rPr>
                <w:sz w:val="20"/>
              </w:rPr>
              <w:t>200 000,00</w:t>
            </w:r>
            <w:r>
              <w:rPr>
                <w:spacing w:val="-2"/>
                <w:sz w:val="20"/>
              </w:rPr>
              <w:t xml:space="preserve"> </w:t>
            </w:r>
            <w:r>
              <w:rPr>
                <w:sz w:val="20"/>
              </w:rPr>
              <w:t>EUR-</w:t>
            </w:r>
          </w:p>
          <w:p w14:paraId="505C1692" w14:textId="77777777" w:rsidR="00AF1383" w:rsidRDefault="00AF1383" w:rsidP="00CD363C">
            <w:pPr>
              <w:pStyle w:val="TableParagraph"/>
              <w:ind w:left="1459" w:right="-66"/>
              <w:jc w:val="both"/>
              <w:rPr>
                <w:sz w:val="20"/>
              </w:rPr>
            </w:pPr>
            <w:r>
              <w:rPr>
                <w:sz w:val="20"/>
              </w:rPr>
              <w:t>178 571,43</w:t>
            </w:r>
            <w:r>
              <w:rPr>
                <w:spacing w:val="-3"/>
                <w:sz w:val="20"/>
              </w:rPr>
              <w:t xml:space="preserve"> </w:t>
            </w:r>
            <w:r>
              <w:rPr>
                <w:sz w:val="20"/>
              </w:rPr>
              <w:t>EUR</w:t>
            </w:r>
          </w:p>
          <w:p w14:paraId="77DAC9F5" w14:textId="77777777" w:rsidR="00AF1383" w:rsidRDefault="00AF1383" w:rsidP="00CD363C">
            <w:pPr>
              <w:pStyle w:val="TableParagraph"/>
              <w:ind w:left="1447" w:right="-66"/>
              <w:jc w:val="both"/>
              <w:rPr>
                <w:sz w:val="20"/>
              </w:rPr>
            </w:pPr>
            <w:r>
              <w:rPr>
                <w:sz w:val="20"/>
              </w:rPr>
              <w:t>=21 428,57</w:t>
            </w:r>
            <w:r>
              <w:rPr>
                <w:spacing w:val="-3"/>
                <w:sz w:val="20"/>
              </w:rPr>
              <w:t xml:space="preserve"> </w:t>
            </w:r>
            <w:r>
              <w:rPr>
                <w:sz w:val="20"/>
              </w:rPr>
              <w:t>EUR</w:t>
            </w:r>
          </w:p>
        </w:tc>
      </w:tr>
    </w:tbl>
    <w:p w14:paraId="76A321C1" w14:textId="77777777" w:rsidR="00AF1383" w:rsidRDefault="00AF1383" w:rsidP="00CD363C">
      <w:pPr>
        <w:spacing w:after="0" w:line="240" w:lineRule="auto"/>
        <w:ind w:left="218" w:right="-66"/>
        <w:jc w:val="both"/>
        <w:rPr>
          <w:i/>
          <w:sz w:val="20"/>
        </w:rPr>
      </w:pPr>
      <w:r>
        <w:rPr>
          <w:i/>
          <w:sz w:val="20"/>
        </w:rPr>
        <w:t>*uzkrājuma pieaugums = pašreizējā uzkrājuma vērtība pārskata gadā – pašreizējā uzkrājuma vērtība iepriekšējā pārskata gadā</w:t>
      </w:r>
    </w:p>
    <w:p w14:paraId="6B52CDF7" w14:textId="77777777" w:rsidR="00AF1383" w:rsidRDefault="00AF1383" w:rsidP="00CD363C">
      <w:pPr>
        <w:spacing w:after="0" w:line="240" w:lineRule="auto"/>
        <w:ind w:left="218" w:right="-66"/>
        <w:jc w:val="both"/>
        <w:rPr>
          <w:i/>
        </w:rPr>
      </w:pPr>
      <w:r>
        <w:rPr>
          <w:i/>
        </w:rPr>
        <w:t>Grāmatojums, sākotnēji atzīstot uzkrājumus 2019. gada pārskata datumā:</w:t>
      </w:r>
    </w:p>
    <w:p w14:paraId="62B46973" w14:textId="77777777" w:rsidR="00AF1383" w:rsidRDefault="00AF1383" w:rsidP="00CD363C">
      <w:pPr>
        <w:pStyle w:val="Pamatteksts"/>
        <w:ind w:right="-66"/>
        <w:jc w:val="both"/>
        <w:rPr>
          <w:i/>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968"/>
        <w:gridCol w:w="2437"/>
      </w:tblGrid>
      <w:tr w:rsidR="00AF1383" w14:paraId="626CE5D4" w14:textId="77777777" w:rsidTr="00AF1383">
        <w:trPr>
          <w:trHeight w:val="289"/>
        </w:trPr>
        <w:tc>
          <w:tcPr>
            <w:tcW w:w="605" w:type="dxa"/>
          </w:tcPr>
          <w:p w14:paraId="3E3E5032" w14:textId="77777777" w:rsidR="00AF1383" w:rsidRDefault="00AF1383" w:rsidP="00CD363C">
            <w:pPr>
              <w:pStyle w:val="TableParagraph"/>
              <w:ind w:left="200" w:right="-66"/>
              <w:jc w:val="both"/>
              <w:rPr>
                <w:i/>
              </w:rPr>
            </w:pPr>
            <w:r>
              <w:rPr>
                <w:i/>
              </w:rPr>
              <w:t>D</w:t>
            </w:r>
          </w:p>
        </w:tc>
        <w:tc>
          <w:tcPr>
            <w:tcW w:w="1105" w:type="dxa"/>
          </w:tcPr>
          <w:p w14:paraId="77976BD2" w14:textId="77777777" w:rsidR="00AF1383" w:rsidRDefault="00AF1383" w:rsidP="00CD363C">
            <w:pPr>
              <w:pStyle w:val="TableParagraph"/>
              <w:ind w:left="245" w:right="-66"/>
              <w:jc w:val="both"/>
              <w:rPr>
                <w:i/>
              </w:rPr>
            </w:pPr>
            <w:r>
              <w:rPr>
                <w:i/>
              </w:rPr>
              <w:t>8660</w:t>
            </w:r>
          </w:p>
        </w:tc>
        <w:tc>
          <w:tcPr>
            <w:tcW w:w="3968" w:type="dxa"/>
          </w:tcPr>
          <w:p w14:paraId="07105971" w14:textId="77777777" w:rsidR="00AF1383" w:rsidRDefault="00AF1383" w:rsidP="00CD363C">
            <w:pPr>
              <w:pStyle w:val="TableParagraph"/>
              <w:ind w:left="417" w:right="-66"/>
              <w:jc w:val="both"/>
              <w:rPr>
                <w:i/>
              </w:rPr>
            </w:pPr>
            <w:r>
              <w:rPr>
                <w:i/>
              </w:rPr>
              <w:t>Izdevumi uzkrājumu veidošanai</w:t>
            </w:r>
          </w:p>
        </w:tc>
        <w:tc>
          <w:tcPr>
            <w:tcW w:w="2437" w:type="dxa"/>
          </w:tcPr>
          <w:p w14:paraId="19440B29" w14:textId="77777777" w:rsidR="00AF1383" w:rsidRDefault="00AF1383" w:rsidP="00CD363C">
            <w:pPr>
              <w:pStyle w:val="TableParagraph"/>
              <w:ind w:right="-66"/>
              <w:jc w:val="both"/>
              <w:rPr>
                <w:i/>
              </w:rPr>
            </w:pPr>
            <w:r>
              <w:rPr>
                <w:i/>
              </w:rPr>
              <w:t>113 485,37 EUR</w:t>
            </w:r>
          </w:p>
        </w:tc>
      </w:tr>
      <w:tr w:rsidR="00AF1383" w14:paraId="00F38CE7" w14:textId="77777777" w:rsidTr="00AF1383">
        <w:trPr>
          <w:trHeight w:val="289"/>
        </w:trPr>
        <w:tc>
          <w:tcPr>
            <w:tcW w:w="605" w:type="dxa"/>
          </w:tcPr>
          <w:p w14:paraId="06B9F03A" w14:textId="77777777" w:rsidR="00AF1383" w:rsidRDefault="00AF1383" w:rsidP="00CD363C">
            <w:pPr>
              <w:pStyle w:val="TableParagraph"/>
              <w:ind w:left="200" w:right="-66"/>
              <w:jc w:val="both"/>
              <w:rPr>
                <w:i/>
              </w:rPr>
            </w:pPr>
            <w:r>
              <w:rPr>
                <w:i/>
              </w:rPr>
              <w:t>K</w:t>
            </w:r>
          </w:p>
        </w:tc>
        <w:tc>
          <w:tcPr>
            <w:tcW w:w="1105" w:type="dxa"/>
          </w:tcPr>
          <w:p w14:paraId="26419E5D" w14:textId="77777777" w:rsidR="00AF1383" w:rsidRDefault="00AF1383" w:rsidP="00CD363C">
            <w:pPr>
              <w:pStyle w:val="TableParagraph"/>
              <w:ind w:left="245" w:right="-66"/>
              <w:jc w:val="both"/>
              <w:rPr>
                <w:i/>
              </w:rPr>
            </w:pPr>
            <w:r>
              <w:rPr>
                <w:i/>
              </w:rPr>
              <w:t>4000</w:t>
            </w:r>
          </w:p>
        </w:tc>
        <w:tc>
          <w:tcPr>
            <w:tcW w:w="3968" w:type="dxa"/>
          </w:tcPr>
          <w:p w14:paraId="3E651F97" w14:textId="77777777" w:rsidR="00AF1383" w:rsidRDefault="00AF1383" w:rsidP="00CD363C">
            <w:pPr>
              <w:pStyle w:val="TableParagraph"/>
              <w:ind w:left="417" w:right="-66"/>
              <w:jc w:val="both"/>
              <w:rPr>
                <w:i/>
              </w:rPr>
            </w:pPr>
            <w:r>
              <w:rPr>
                <w:i/>
              </w:rPr>
              <w:t>Uzkrājumi</w:t>
            </w:r>
          </w:p>
        </w:tc>
        <w:tc>
          <w:tcPr>
            <w:tcW w:w="2437" w:type="dxa"/>
          </w:tcPr>
          <w:p w14:paraId="4879BA79" w14:textId="77777777" w:rsidR="00AF1383" w:rsidRDefault="00AF1383" w:rsidP="00CD363C">
            <w:pPr>
              <w:pStyle w:val="TableParagraph"/>
              <w:ind w:right="-66"/>
              <w:jc w:val="both"/>
              <w:rPr>
                <w:i/>
              </w:rPr>
            </w:pPr>
            <w:r>
              <w:rPr>
                <w:i/>
              </w:rPr>
              <w:t>113 485,37 EUR</w:t>
            </w:r>
          </w:p>
        </w:tc>
      </w:tr>
    </w:tbl>
    <w:p w14:paraId="1A711E56" w14:textId="77777777" w:rsidR="00AF1383" w:rsidRDefault="00AF1383" w:rsidP="00CD363C">
      <w:pPr>
        <w:pStyle w:val="Pamatteksts"/>
        <w:ind w:right="-66"/>
        <w:jc w:val="both"/>
        <w:rPr>
          <w:i/>
          <w:sz w:val="21"/>
        </w:rPr>
      </w:pPr>
    </w:p>
    <w:p w14:paraId="00A5875D" w14:textId="77777777" w:rsidR="00AF1383" w:rsidRDefault="00AF1383" w:rsidP="00CD363C">
      <w:pPr>
        <w:spacing w:after="0" w:line="240" w:lineRule="auto"/>
        <w:ind w:left="218" w:right="-66"/>
        <w:jc w:val="both"/>
        <w:rPr>
          <w:i/>
        </w:rPr>
      </w:pPr>
      <w:r>
        <w:rPr>
          <w:i/>
        </w:rPr>
        <w:t>Grāmatojums 2020. gada pārskata datumā, atzīstot uzkrājuma vērtības izmaiņas (palielinājumu) un procentu</w:t>
      </w:r>
      <w:r>
        <w:rPr>
          <w:i/>
          <w:spacing w:val="-4"/>
        </w:rPr>
        <w:t xml:space="preserve"> </w:t>
      </w:r>
      <w:r>
        <w:rPr>
          <w:i/>
        </w:rPr>
        <w:t>izdevumus:</w:t>
      </w:r>
    </w:p>
    <w:p w14:paraId="6946A9A7" w14:textId="77777777" w:rsidR="00AF1383" w:rsidRDefault="00AF1383" w:rsidP="00CD363C">
      <w:pPr>
        <w:pStyle w:val="Pamatteksts"/>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05FF986B" w14:textId="77777777" w:rsidTr="00AF1383">
        <w:trPr>
          <w:trHeight w:val="289"/>
        </w:trPr>
        <w:tc>
          <w:tcPr>
            <w:tcW w:w="605" w:type="dxa"/>
          </w:tcPr>
          <w:p w14:paraId="56E749F7" w14:textId="77777777" w:rsidR="00AF1383" w:rsidRDefault="00AF1383" w:rsidP="00CD363C">
            <w:pPr>
              <w:pStyle w:val="TableParagraph"/>
              <w:ind w:left="200" w:right="-66"/>
              <w:jc w:val="both"/>
              <w:rPr>
                <w:i/>
              </w:rPr>
            </w:pPr>
            <w:r>
              <w:rPr>
                <w:i/>
              </w:rPr>
              <w:t>D</w:t>
            </w:r>
          </w:p>
        </w:tc>
        <w:tc>
          <w:tcPr>
            <w:tcW w:w="1105" w:type="dxa"/>
          </w:tcPr>
          <w:p w14:paraId="020D71B6" w14:textId="77777777" w:rsidR="00AF1383" w:rsidRDefault="00AF1383" w:rsidP="00CD363C">
            <w:pPr>
              <w:pStyle w:val="TableParagraph"/>
              <w:ind w:left="245" w:right="-66"/>
              <w:jc w:val="both"/>
              <w:rPr>
                <w:i/>
              </w:rPr>
            </w:pPr>
            <w:r>
              <w:rPr>
                <w:i/>
              </w:rPr>
              <w:t>8220</w:t>
            </w:r>
          </w:p>
        </w:tc>
        <w:tc>
          <w:tcPr>
            <w:tcW w:w="3397" w:type="dxa"/>
          </w:tcPr>
          <w:p w14:paraId="58CFF296" w14:textId="77777777" w:rsidR="00AF1383" w:rsidRDefault="00AF1383" w:rsidP="00CD363C">
            <w:pPr>
              <w:pStyle w:val="TableParagraph"/>
              <w:ind w:left="417" w:right="-66"/>
              <w:jc w:val="both"/>
              <w:rPr>
                <w:i/>
              </w:rPr>
            </w:pPr>
            <w:r>
              <w:rPr>
                <w:i/>
              </w:rPr>
              <w:t>Procentu izdevumi</w:t>
            </w:r>
          </w:p>
        </w:tc>
        <w:tc>
          <w:tcPr>
            <w:tcW w:w="2900" w:type="dxa"/>
          </w:tcPr>
          <w:p w14:paraId="3C9A496C" w14:textId="77777777" w:rsidR="00AF1383" w:rsidRDefault="00AF1383" w:rsidP="00CD363C">
            <w:pPr>
              <w:pStyle w:val="TableParagraph"/>
              <w:ind w:right="-66"/>
              <w:jc w:val="both"/>
              <w:rPr>
                <w:i/>
              </w:rPr>
            </w:pPr>
            <w:r>
              <w:rPr>
                <w:i/>
              </w:rPr>
              <w:t>13 618,24 EUR</w:t>
            </w:r>
          </w:p>
        </w:tc>
      </w:tr>
      <w:tr w:rsidR="00AF1383" w14:paraId="025281B0" w14:textId="77777777" w:rsidTr="00AF1383">
        <w:trPr>
          <w:trHeight w:val="289"/>
        </w:trPr>
        <w:tc>
          <w:tcPr>
            <w:tcW w:w="605" w:type="dxa"/>
          </w:tcPr>
          <w:p w14:paraId="3986EEBA" w14:textId="77777777" w:rsidR="00AF1383" w:rsidRDefault="00AF1383" w:rsidP="00CD363C">
            <w:pPr>
              <w:pStyle w:val="TableParagraph"/>
              <w:ind w:left="200" w:right="-66"/>
              <w:jc w:val="both"/>
              <w:rPr>
                <w:i/>
              </w:rPr>
            </w:pPr>
            <w:r>
              <w:rPr>
                <w:i/>
              </w:rPr>
              <w:t>K</w:t>
            </w:r>
          </w:p>
        </w:tc>
        <w:tc>
          <w:tcPr>
            <w:tcW w:w="1105" w:type="dxa"/>
          </w:tcPr>
          <w:p w14:paraId="088135B5" w14:textId="77777777" w:rsidR="00AF1383" w:rsidRDefault="00AF1383" w:rsidP="00CD363C">
            <w:pPr>
              <w:pStyle w:val="TableParagraph"/>
              <w:ind w:left="245" w:right="-66"/>
              <w:jc w:val="both"/>
              <w:rPr>
                <w:i/>
              </w:rPr>
            </w:pPr>
            <w:r>
              <w:rPr>
                <w:i/>
              </w:rPr>
              <w:t>4000</w:t>
            </w:r>
          </w:p>
        </w:tc>
        <w:tc>
          <w:tcPr>
            <w:tcW w:w="3397" w:type="dxa"/>
          </w:tcPr>
          <w:p w14:paraId="5FF615F4" w14:textId="77777777" w:rsidR="00AF1383" w:rsidRDefault="00AF1383" w:rsidP="00CD363C">
            <w:pPr>
              <w:pStyle w:val="TableParagraph"/>
              <w:ind w:left="417" w:right="-66"/>
              <w:jc w:val="both"/>
              <w:rPr>
                <w:i/>
              </w:rPr>
            </w:pPr>
            <w:r>
              <w:rPr>
                <w:i/>
              </w:rPr>
              <w:t>Uzkrājumi</w:t>
            </w:r>
          </w:p>
        </w:tc>
        <w:tc>
          <w:tcPr>
            <w:tcW w:w="2900" w:type="dxa"/>
          </w:tcPr>
          <w:p w14:paraId="7EB50A21" w14:textId="77777777" w:rsidR="00AF1383" w:rsidRDefault="00AF1383" w:rsidP="00CD363C">
            <w:pPr>
              <w:pStyle w:val="TableParagraph"/>
              <w:ind w:right="-66"/>
              <w:jc w:val="both"/>
              <w:rPr>
                <w:i/>
              </w:rPr>
            </w:pPr>
            <w:r>
              <w:rPr>
                <w:i/>
              </w:rPr>
              <w:t>13 618,24 EUR</w:t>
            </w:r>
          </w:p>
        </w:tc>
      </w:tr>
    </w:tbl>
    <w:p w14:paraId="3245ED6B" w14:textId="77777777" w:rsidR="00AF1383" w:rsidRDefault="00AF1383" w:rsidP="00CD363C">
      <w:pPr>
        <w:pStyle w:val="Pamatteksts"/>
        <w:ind w:right="-66"/>
        <w:jc w:val="both"/>
        <w:rPr>
          <w:i/>
          <w:sz w:val="21"/>
        </w:rPr>
      </w:pPr>
    </w:p>
    <w:p w14:paraId="3FB1E95B" w14:textId="77777777" w:rsidR="00AF1383" w:rsidRDefault="00AF1383" w:rsidP="00CD363C">
      <w:pPr>
        <w:spacing w:after="0" w:line="240" w:lineRule="auto"/>
        <w:ind w:left="218" w:right="-66"/>
        <w:jc w:val="both"/>
        <w:rPr>
          <w:i/>
        </w:rPr>
      </w:pPr>
      <w:r>
        <w:rPr>
          <w:i/>
        </w:rPr>
        <w:t>Grāmatojums 2021. gada pārskata datumā, atzīstot uzkrājuma vērtības izmaiņas (palielinājumu) un procentu</w:t>
      </w:r>
      <w:r>
        <w:rPr>
          <w:i/>
          <w:spacing w:val="-4"/>
        </w:rPr>
        <w:t xml:space="preserve"> </w:t>
      </w:r>
      <w:r>
        <w:rPr>
          <w:i/>
        </w:rPr>
        <w:t>izdevumus:</w:t>
      </w: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7EB3E2B2" w14:textId="77777777" w:rsidTr="00AF1383">
        <w:trPr>
          <w:trHeight w:val="287"/>
        </w:trPr>
        <w:tc>
          <w:tcPr>
            <w:tcW w:w="605" w:type="dxa"/>
          </w:tcPr>
          <w:p w14:paraId="27521D7B" w14:textId="77777777" w:rsidR="00AF1383" w:rsidRDefault="00AF1383" w:rsidP="00CD363C">
            <w:pPr>
              <w:pStyle w:val="TableParagraph"/>
              <w:ind w:left="200" w:right="-66"/>
              <w:jc w:val="both"/>
              <w:rPr>
                <w:i/>
              </w:rPr>
            </w:pPr>
            <w:r>
              <w:rPr>
                <w:i/>
              </w:rPr>
              <w:t>D</w:t>
            </w:r>
          </w:p>
        </w:tc>
        <w:tc>
          <w:tcPr>
            <w:tcW w:w="1105" w:type="dxa"/>
          </w:tcPr>
          <w:p w14:paraId="1441ADDC" w14:textId="77777777" w:rsidR="00AF1383" w:rsidRDefault="00AF1383" w:rsidP="00CD363C">
            <w:pPr>
              <w:pStyle w:val="TableParagraph"/>
              <w:ind w:left="245" w:right="-66"/>
              <w:jc w:val="both"/>
              <w:rPr>
                <w:i/>
              </w:rPr>
            </w:pPr>
            <w:r>
              <w:rPr>
                <w:i/>
              </w:rPr>
              <w:t>8220</w:t>
            </w:r>
          </w:p>
        </w:tc>
        <w:tc>
          <w:tcPr>
            <w:tcW w:w="3397" w:type="dxa"/>
          </w:tcPr>
          <w:p w14:paraId="36B790E9" w14:textId="77777777" w:rsidR="00AF1383" w:rsidRDefault="00AF1383" w:rsidP="00CD363C">
            <w:pPr>
              <w:pStyle w:val="TableParagraph"/>
              <w:ind w:left="417" w:right="-66"/>
              <w:jc w:val="both"/>
              <w:rPr>
                <w:i/>
              </w:rPr>
            </w:pPr>
            <w:r>
              <w:rPr>
                <w:i/>
              </w:rPr>
              <w:t>Procentu izdevumi</w:t>
            </w:r>
          </w:p>
        </w:tc>
        <w:tc>
          <w:tcPr>
            <w:tcW w:w="2900" w:type="dxa"/>
          </w:tcPr>
          <w:p w14:paraId="3B3F1921" w14:textId="77777777" w:rsidR="00AF1383" w:rsidRDefault="00AF1383" w:rsidP="00CD363C">
            <w:pPr>
              <w:pStyle w:val="TableParagraph"/>
              <w:ind w:right="-66"/>
              <w:jc w:val="both"/>
              <w:rPr>
                <w:i/>
              </w:rPr>
            </w:pPr>
            <w:r>
              <w:rPr>
                <w:i/>
              </w:rPr>
              <w:t>15 252,43 EUR</w:t>
            </w:r>
          </w:p>
        </w:tc>
      </w:tr>
      <w:tr w:rsidR="00AF1383" w14:paraId="7C5FA221" w14:textId="77777777" w:rsidTr="00AF1383">
        <w:trPr>
          <w:trHeight w:val="287"/>
        </w:trPr>
        <w:tc>
          <w:tcPr>
            <w:tcW w:w="605" w:type="dxa"/>
          </w:tcPr>
          <w:p w14:paraId="560CD374" w14:textId="77777777" w:rsidR="00AF1383" w:rsidRDefault="00AF1383" w:rsidP="00CD363C">
            <w:pPr>
              <w:pStyle w:val="TableParagraph"/>
              <w:ind w:left="200" w:right="-66"/>
              <w:jc w:val="both"/>
              <w:rPr>
                <w:i/>
              </w:rPr>
            </w:pPr>
            <w:r>
              <w:rPr>
                <w:i/>
              </w:rPr>
              <w:t>K</w:t>
            </w:r>
          </w:p>
        </w:tc>
        <w:tc>
          <w:tcPr>
            <w:tcW w:w="1105" w:type="dxa"/>
          </w:tcPr>
          <w:p w14:paraId="4518EEAB" w14:textId="77777777" w:rsidR="00AF1383" w:rsidRDefault="00AF1383" w:rsidP="00CD363C">
            <w:pPr>
              <w:pStyle w:val="TableParagraph"/>
              <w:ind w:left="245" w:right="-66"/>
              <w:jc w:val="both"/>
              <w:rPr>
                <w:i/>
              </w:rPr>
            </w:pPr>
            <w:r>
              <w:rPr>
                <w:i/>
              </w:rPr>
              <w:t>4000</w:t>
            </w:r>
          </w:p>
        </w:tc>
        <w:tc>
          <w:tcPr>
            <w:tcW w:w="3397" w:type="dxa"/>
          </w:tcPr>
          <w:p w14:paraId="6888F4AE" w14:textId="77777777" w:rsidR="00AF1383" w:rsidRDefault="00AF1383" w:rsidP="00CD363C">
            <w:pPr>
              <w:pStyle w:val="TableParagraph"/>
              <w:ind w:left="417" w:right="-66"/>
              <w:jc w:val="both"/>
              <w:rPr>
                <w:i/>
              </w:rPr>
            </w:pPr>
            <w:r>
              <w:rPr>
                <w:i/>
              </w:rPr>
              <w:t>Uzkrājumi</w:t>
            </w:r>
          </w:p>
        </w:tc>
        <w:tc>
          <w:tcPr>
            <w:tcW w:w="2900" w:type="dxa"/>
          </w:tcPr>
          <w:p w14:paraId="691F99E4" w14:textId="77777777" w:rsidR="00AF1383" w:rsidRDefault="00AF1383" w:rsidP="00CD363C">
            <w:pPr>
              <w:pStyle w:val="TableParagraph"/>
              <w:ind w:right="-66"/>
              <w:jc w:val="both"/>
              <w:rPr>
                <w:i/>
              </w:rPr>
            </w:pPr>
            <w:r>
              <w:rPr>
                <w:i/>
              </w:rPr>
              <w:t>15 252,43 EUR</w:t>
            </w:r>
          </w:p>
        </w:tc>
      </w:tr>
    </w:tbl>
    <w:p w14:paraId="7BDBD82D" w14:textId="77777777" w:rsidR="00AF1383" w:rsidRDefault="00AF1383" w:rsidP="00CD363C">
      <w:pPr>
        <w:pStyle w:val="Pamatteksts"/>
        <w:ind w:right="-66"/>
        <w:jc w:val="both"/>
        <w:rPr>
          <w:i/>
          <w:sz w:val="21"/>
        </w:rPr>
      </w:pPr>
    </w:p>
    <w:p w14:paraId="3C0130DB" w14:textId="77777777" w:rsidR="00AF1383" w:rsidRDefault="00AF1383" w:rsidP="00CD363C">
      <w:pPr>
        <w:spacing w:after="0" w:line="240" w:lineRule="auto"/>
        <w:ind w:left="218" w:right="-66"/>
        <w:jc w:val="both"/>
        <w:rPr>
          <w:i/>
        </w:rPr>
      </w:pPr>
      <w:r>
        <w:rPr>
          <w:i/>
        </w:rPr>
        <w:t>Grāmatojums 2022. gada pārskata datumā, atzīstot uzkrājuma vērtības izmaiņas un atzīst procentu izdevumus:</w:t>
      </w:r>
    </w:p>
    <w:p w14:paraId="14BC1ACD" w14:textId="77777777" w:rsidR="00AF1383" w:rsidRDefault="00AF1383" w:rsidP="00CD363C">
      <w:pPr>
        <w:pStyle w:val="Pamatteksts"/>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75C22341" w14:textId="77777777" w:rsidTr="00AF1383">
        <w:trPr>
          <w:trHeight w:val="289"/>
        </w:trPr>
        <w:tc>
          <w:tcPr>
            <w:tcW w:w="605" w:type="dxa"/>
          </w:tcPr>
          <w:p w14:paraId="0F5CEAC4" w14:textId="77777777" w:rsidR="00AF1383" w:rsidRDefault="00AF1383" w:rsidP="00CD363C">
            <w:pPr>
              <w:pStyle w:val="TableParagraph"/>
              <w:ind w:left="200" w:right="-66"/>
              <w:jc w:val="both"/>
              <w:rPr>
                <w:i/>
              </w:rPr>
            </w:pPr>
            <w:r>
              <w:rPr>
                <w:i/>
              </w:rPr>
              <w:t>D</w:t>
            </w:r>
          </w:p>
        </w:tc>
        <w:tc>
          <w:tcPr>
            <w:tcW w:w="1105" w:type="dxa"/>
          </w:tcPr>
          <w:p w14:paraId="7AA70ED5" w14:textId="77777777" w:rsidR="00AF1383" w:rsidRDefault="00AF1383" w:rsidP="00CD363C">
            <w:pPr>
              <w:pStyle w:val="TableParagraph"/>
              <w:ind w:left="245" w:right="-66"/>
              <w:jc w:val="both"/>
              <w:rPr>
                <w:i/>
              </w:rPr>
            </w:pPr>
            <w:r>
              <w:rPr>
                <w:i/>
              </w:rPr>
              <w:t>8220</w:t>
            </w:r>
          </w:p>
        </w:tc>
        <w:tc>
          <w:tcPr>
            <w:tcW w:w="3397" w:type="dxa"/>
          </w:tcPr>
          <w:p w14:paraId="75F0F2F8" w14:textId="77777777" w:rsidR="00AF1383" w:rsidRDefault="00AF1383" w:rsidP="00CD363C">
            <w:pPr>
              <w:pStyle w:val="TableParagraph"/>
              <w:ind w:left="417" w:right="-66"/>
              <w:jc w:val="both"/>
              <w:rPr>
                <w:i/>
              </w:rPr>
            </w:pPr>
            <w:r>
              <w:rPr>
                <w:i/>
              </w:rPr>
              <w:t>Procentu izdevumi</w:t>
            </w:r>
          </w:p>
        </w:tc>
        <w:tc>
          <w:tcPr>
            <w:tcW w:w="2900" w:type="dxa"/>
          </w:tcPr>
          <w:p w14:paraId="37A5FC05" w14:textId="77777777" w:rsidR="00AF1383" w:rsidRDefault="00AF1383" w:rsidP="00CD363C">
            <w:pPr>
              <w:pStyle w:val="TableParagraph"/>
              <w:ind w:right="-66"/>
              <w:jc w:val="both"/>
              <w:rPr>
                <w:i/>
              </w:rPr>
            </w:pPr>
            <w:r>
              <w:rPr>
                <w:i/>
              </w:rPr>
              <w:t>17 082,73 EUR</w:t>
            </w:r>
          </w:p>
        </w:tc>
      </w:tr>
      <w:tr w:rsidR="00AF1383" w14:paraId="2FC074F0" w14:textId="77777777" w:rsidTr="00AF1383">
        <w:trPr>
          <w:trHeight w:val="289"/>
        </w:trPr>
        <w:tc>
          <w:tcPr>
            <w:tcW w:w="605" w:type="dxa"/>
          </w:tcPr>
          <w:p w14:paraId="33CF73D8" w14:textId="77777777" w:rsidR="00AF1383" w:rsidRDefault="00AF1383" w:rsidP="00CD363C">
            <w:pPr>
              <w:pStyle w:val="TableParagraph"/>
              <w:ind w:left="200" w:right="-66"/>
              <w:jc w:val="both"/>
              <w:rPr>
                <w:i/>
              </w:rPr>
            </w:pPr>
            <w:r>
              <w:rPr>
                <w:i/>
              </w:rPr>
              <w:t>K</w:t>
            </w:r>
          </w:p>
        </w:tc>
        <w:tc>
          <w:tcPr>
            <w:tcW w:w="1105" w:type="dxa"/>
          </w:tcPr>
          <w:p w14:paraId="389BE96E" w14:textId="77777777" w:rsidR="00AF1383" w:rsidRDefault="00AF1383" w:rsidP="00CD363C">
            <w:pPr>
              <w:pStyle w:val="TableParagraph"/>
              <w:ind w:left="245" w:right="-66"/>
              <w:jc w:val="both"/>
              <w:rPr>
                <w:i/>
              </w:rPr>
            </w:pPr>
            <w:r>
              <w:rPr>
                <w:i/>
              </w:rPr>
              <w:t>4000</w:t>
            </w:r>
          </w:p>
        </w:tc>
        <w:tc>
          <w:tcPr>
            <w:tcW w:w="3397" w:type="dxa"/>
          </w:tcPr>
          <w:p w14:paraId="5056F122" w14:textId="77777777" w:rsidR="00AF1383" w:rsidRDefault="00AF1383" w:rsidP="00CD363C">
            <w:pPr>
              <w:pStyle w:val="TableParagraph"/>
              <w:ind w:left="417" w:right="-66"/>
              <w:jc w:val="both"/>
              <w:rPr>
                <w:i/>
              </w:rPr>
            </w:pPr>
            <w:r>
              <w:rPr>
                <w:i/>
              </w:rPr>
              <w:t>Uzkrājumi</w:t>
            </w:r>
          </w:p>
        </w:tc>
        <w:tc>
          <w:tcPr>
            <w:tcW w:w="2900" w:type="dxa"/>
          </w:tcPr>
          <w:p w14:paraId="326D8CD4" w14:textId="77777777" w:rsidR="00AF1383" w:rsidRDefault="00AF1383" w:rsidP="00CD363C">
            <w:pPr>
              <w:pStyle w:val="TableParagraph"/>
              <w:ind w:right="-66"/>
              <w:jc w:val="both"/>
              <w:rPr>
                <w:i/>
              </w:rPr>
            </w:pPr>
            <w:r>
              <w:rPr>
                <w:i/>
              </w:rPr>
              <w:t>17 082,73 EUR</w:t>
            </w:r>
          </w:p>
        </w:tc>
      </w:tr>
    </w:tbl>
    <w:p w14:paraId="0552DF73" w14:textId="77777777" w:rsidR="00AF1383" w:rsidRDefault="00AF1383" w:rsidP="00CD363C">
      <w:pPr>
        <w:pStyle w:val="Pamatteksts"/>
        <w:ind w:right="-66"/>
        <w:jc w:val="both"/>
        <w:rPr>
          <w:i/>
          <w:sz w:val="21"/>
        </w:rPr>
      </w:pPr>
    </w:p>
    <w:p w14:paraId="57530476" w14:textId="77777777" w:rsidR="00AF1383" w:rsidRDefault="00AF1383" w:rsidP="00CD363C">
      <w:pPr>
        <w:spacing w:after="0" w:line="240" w:lineRule="auto"/>
        <w:ind w:left="218" w:right="-66"/>
        <w:jc w:val="both"/>
        <w:rPr>
          <w:i/>
        </w:rPr>
      </w:pPr>
      <w:r>
        <w:rPr>
          <w:i/>
        </w:rPr>
        <w:t>Grāmatojums 2023. gada pārskata datumā, atzīstot uzkrājuma vērtības izmaiņas un atzīst procentu izdevumus:</w:t>
      </w:r>
    </w:p>
    <w:p w14:paraId="26DEF9DC" w14:textId="77777777" w:rsidR="00AF1383" w:rsidRDefault="00AF1383" w:rsidP="00CD363C">
      <w:pPr>
        <w:pStyle w:val="Pamatteksts"/>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1438E621" w14:textId="77777777" w:rsidTr="00AF1383">
        <w:trPr>
          <w:trHeight w:val="289"/>
        </w:trPr>
        <w:tc>
          <w:tcPr>
            <w:tcW w:w="605" w:type="dxa"/>
          </w:tcPr>
          <w:p w14:paraId="53244257" w14:textId="77777777" w:rsidR="00AF1383" w:rsidRDefault="00AF1383" w:rsidP="00CD363C">
            <w:pPr>
              <w:pStyle w:val="TableParagraph"/>
              <w:ind w:left="200" w:right="-66"/>
              <w:jc w:val="both"/>
              <w:rPr>
                <w:i/>
              </w:rPr>
            </w:pPr>
            <w:r>
              <w:rPr>
                <w:i/>
              </w:rPr>
              <w:t>D</w:t>
            </w:r>
          </w:p>
        </w:tc>
        <w:tc>
          <w:tcPr>
            <w:tcW w:w="1105" w:type="dxa"/>
          </w:tcPr>
          <w:p w14:paraId="3111E025" w14:textId="77777777" w:rsidR="00AF1383" w:rsidRDefault="00AF1383" w:rsidP="00CD363C">
            <w:pPr>
              <w:pStyle w:val="TableParagraph"/>
              <w:ind w:left="245" w:right="-66"/>
              <w:jc w:val="both"/>
              <w:rPr>
                <w:i/>
              </w:rPr>
            </w:pPr>
            <w:r>
              <w:rPr>
                <w:i/>
              </w:rPr>
              <w:t>8220</w:t>
            </w:r>
          </w:p>
        </w:tc>
        <w:tc>
          <w:tcPr>
            <w:tcW w:w="3397" w:type="dxa"/>
          </w:tcPr>
          <w:p w14:paraId="15D0AB6F" w14:textId="77777777" w:rsidR="00AF1383" w:rsidRDefault="00AF1383" w:rsidP="00CD363C">
            <w:pPr>
              <w:pStyle w:val="TableParagraph"/>
              <w:ind w:left="417" w:right="-66"/>
              <w:jc w:val="both"/>
              <w:rPr>
                <w:i/>
              </w:rPr>
            </w:pPr>
            <w:r>
              <w:rPr>
                <w:i/>
              </w:rPr>
              <w:t>Procentu izdevumi</w:t>
            </w:r>
          </w:p>
        </w:tc>
        <w:tc>
          <w:tcPr>
            <w:tcW w:w="2900" w:type="dxa"/>
          </w:tcPr>
          <w:p w14:paraId="014D7973" w14:textId="77777777" w:rsidR="00AF1383" w:rsidRDefault="00AF1383" w:rsidP="00CD363C">
            <w:pPr>
              <w:pStyle w:val="TableParagraph"/>
              <w:ind w:right="-66"/>
              <w:jc w:val="both"/>
              <w:rPr>
                <w:i/>
              </w:rPr>
            </w:pPr>
            <w:r>
              <w:rPr>
                <w:i/>
              </w:rPr>
              <w:t>19 132,65 EUR</w:t>
            </w:r>
          </w:p>
        </w:tc>
      </w:tr>
      <w:tr w:rsidR="00AF1383" w14:paraId="17F06C06" w14:textId="77777777" w:rsidTr="00AF1383">
        <w:trPr>
          <w:trHeight w:val="289"/>
        </w:trPr>
        <w:tc>
          <w:tcPr>
            <w:tcW w:w="605" w:type="dxa"/>
          </w:tcPr>
          <w:p w14:paraId="65E1400D" w14:textId="77777777" w:rsidR="00AF1383" w:rsidRDefault="00AF1383" w:rsidP="00CD363C">
            <w:pPr>
              <w:pStyle w:val="TableParagraph"/>
              <w:ind w:left="200" w:right="-66"/>
              <w:jc w:val="both"/>
              <w:rPr>
                <w:i/>
              </w:rPr>
            </w:pPr>
            <w:r>
              <w:rPr>
                <w:i/>
              </w:rPr>
              <w:t>K</w:t>
            </w:r>
          </w:p>
        </w:tc>
        <w:tc>
          <w:tcPr>
            <w:tcW w:w="1105" w:type="dxa"/>
          </w:tcPr>
          <w:p w14:paraId="0D6323AE" w14:textId="77777777" w:rsidR="00AF1383" w:rsidRDefault="00AF1383" w:rsidP="00CD363C">
            <w:pPr>
              <w:pStyle w:val="TableParagraph"/>
              <w:ind w:left="245" w:right="-66"/>
              <w:jc w:val="both"/>
              <w:rPr>
                <w:i/>
              </w:rPr>
            </w:pPr>
            <w:r>
              <w:rPr>
                <w:i/>
              </w:rPr>
              <w:t>4000</w:t>
            </w:r>
          </w:p>
        </w:tc>
        <w:tc>
          <w:tcPr>
            <w:tcW w:w="3397" w:type="dxa"/>
          </w:tcPr>
          <w:p w14:paraId="2F5C8A0D" w14:textId="77777777" w:rsidR="00AF1383" w:rsidRDefault="00AF1383" w:rsidP="00CD363C">
            <w:pPr>
              <w:pStyle w:val="TableParagraph"/>
              <w:ind w:left="417" w:right="-66"/>
              <w:jc w:val="both"/>
              <w:rPr>
                <w:i/>
              </w:rPr>
            </w:pPr>
            <w:r>
              <w:rPr>
                <w:i/>
              </w:rPr>
              <w:t>Uzkrājumi</w:t>
            </w:r>
          </w:p>
        </w:tc>
        <w:tc>
          <w:tcPr>
            <w:tcW w:w="2900" w:type="dxa"/>
          </w:tcPr>
          <w:p w14:paraId="0C28E546" w14:textId="77777777" w:rsidR="00AF1383" w:rsidRDefault="00AF1383" w:rsidP="00CD363C">
            <w:pPr>
              <w:pStyle w:val="TableParagraph"/>
              <w:ind w:right="-66"/>
              <w:jc w:val="both"/>
              <w:rPr>
                <w:i/>
              </w:rPr>
            </w:pPr>
            <w:r>
              <w:rPr>
                <w:i/>
              </w:rPr>
              <w:t>19 132,65 EUR</w:t>
            </w:r>
          </w:p>
        </w:tc>
      </w:tr>
    </w:tbl>
    <w:p w14:paraId="7D6CE17E" w14:textId="77777777" w:rsidR="00AF1383" w:rsidRDefault="00AF1383" w:rsidP="00CD363C">
      <w:pPr>
        <w:pStyle w:val="Pamatteksts"/>
        <w:ind w:right="-66"/>
        <w:jc w:val="both"/>
        <w:rPr>
          <w:i/>
          <w:sz w:val="21"/>
        </w:rPr>
      </w:pPr>
    </w:p>
    <w:p w14:paraId="55138B45" w14:textId="77777777" w:rsidR="00AF1383" w:rsidRDefault="00AF1383" w:rsidP="00CD363C">
      <w:pPr>
        <w:spacing w:after="0" w:line="240" w:lineRule="auto"/>
        <w:ind w:left="218" w:right="-66"/>
        <w:jc w:val="both"/>
        <w:rPr>
          <w:i/>
        </w:rPr>
      </w:pPr>
      <w:r>
        <w:rPr>
          <w:i/>
        </w:rPr>
        <w:t>Grāmatojums 2024. gada pārskata datumā, atzīstot uzkrājuma vērtības izmaiņas un atzīst procentu izdevumus:</w:t>
      </w: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3022FE0F" w14:textId="77777777" w:rsidTr="00AF1383">
        <w:trPr>
          <w:trHeight w:val="287"/>
        </w:trPr>
        <w:tc>
          <w:tcPr>
            <w:tcW w:w="605" w:type="dxa"/>
          </w:tcPr>
          <w:p w14:paraId="69D2B081" w14:textId="77777777" w:rsidR="00AF1383" w:rsidRDefault="00AF1383" w:rsidP="00CD363C">
            <w:pPr>
              <w:pStyle w:val="TableParagraph"/>
              <w:ind w:left="200" w:right="-66"/>
              <w:jc w:val="both"/>
              <w:rPr>
                <w:i/>
              </w:rPr>
            </w:pPr>
            <w:r>
              <w:rPr>
                <w:i/>
              </w:rPr>
              <w:t>D</w:t>
            </w:r>
          </w:p>
        </w:tc>
        <w:tc>
          <w:tcPr>
            <w:tcW w:w="1105" w:type="dxa"/>
          </w:tcPr>
          <w:p w14:paraId="52CA27EB" w14:textId="77777777" w:rsidR="00AF1383" w:rsidRDefault="00AF1383" w:rsidP="00CD363C">
            <w:pPr>
              <w:pStyle w:val="TableParagraph"/>
              <w:ind w:left="245" w:right="-66"/>
              <w:jc w:val="both"/>
              <w:rPr>
                <w:i/>
              </w:rPr>
            </w:pPr>
            <w:r>
              <w:rPr>
                <w:i/>
              </w:rPr>
              <w:t>8220</w:t>
            </w:r>
          </w:p>
        </w:tc>
        <w:tc>
          <w:tcPr>
            <w:tcW w:w="3397" w:type="dxa"/>
          </w:tcPr>
          <w:p w14:paraId="306A4128" w14:textId="77777777" w:rsidR="00AF1383" w:rsidRDefault="00AF1383" w:rsidP="00CD363C">
            <w:pPr>
              <w:pStyle w:val="TableParagraph"/>
              <w:ind w:left="417" w:right="-66"/>
              <w:jc w:val="both"/>
              <w:rPr>
                <w:i/>
              </w:rPr>
            </w:pPr>
            <w:r>
              <w:rPr>
                <w:i/>
              </w:rPr>
              <w:t>Procentu izdevumi</w:t>
            </w:r>
          </w:p>
        </w:tc>
        <w:tc>
          <w:tcPr>
            <w:tcW w:w="2900" w:type="dxa"/>
          </w:tcPr>
          <w:p w14:paraId="77526CC0" w14:textId="77777777" w:rsidR="00AF1383" w:rsidRDefault="00AF1383" w:rsidP="00CD363C">
            <w:pPr>
              <w:pStyle w:val="TableParagraph"/>
              <w:ind w:right="-66"/>
              <w:jc w:val="both"/>
              <w:rPr>
                <w:i/>
              </w:rPr>
            </w:pPr>
            <w:r>
              <w:rPr>
                <w:i/>
              </w:rPr>
              <w:t>21 428,57 EUR</w:t>
            </w:r>
          </w:p>
        </w:tc>
      </w:tr>
      <w:tr w:rsidR="00AF1383" w14:paraId="3CE73421" w14:textId="77777777" w:rsidTr="00AF1383">
        <w:trPr>
          <w:trHeight w:val="287"/>
        </w:trPr>
        <w:tc>
          <w:tcPr>
            <w:tcW w:w="605" w:type="dxa"/>
          </w:tcPr>
          <w:p w14:paraId="4979461D" w14:textId="77777777" w:rsidR="00AF1383" w:rsidRDefault="00AF1383" w:rsidP="00CD363C">
            <w:pPr>
              <w:pStyle w:val="TableParagraph"/>
              <w:ind w:left="200" w:right="-66"/>
              <w:jc w:val="both"/>
              <w:rPr>
                <w:i/>
              </w:rPr>
            </w:pPr>
            <w:r>
              <w:rPr>
                <w:i/>
              </w:rPr>
              <w:t>K</w:t>
            </w:r>
          </w:p>
        </w:tc>
        <w:tc>
          <w:tcPr>
            <w:tcW w:w="1105" w:type="dxa"/>
          </w:tcPr>
          <w:p w14:paraId="4C839702" w14:textId="77777777" w:rsidR="00AF1383" w:rsidRDefault="00AF1383" w:rsidP="00CD363C">
            <w:pPr>
              <w:pStyle w:val="TableParagraph"/>
              <w:ind w:left="245" w:right="-66"/>
              <w:jc w:val="both"/>
              <w:rPr>
                <w:i/>
              </w:rPr>
            </w:pPr>
            <w:r>
              <w:rPr>
                <w:i/>
              </w:rPr>
              <w:t>4000</w:t>
            </w:r>
          </w:p>
        </w:tc>
        <w:tc>
          <w:tcPr>
            <w:tcW w:w="3397" w:type="dxa"/>
          </w:tcPr>
          <w:p w14:paraId="6F4504B6" w14:textId="77777777" w:rsidR="00AF1383" w:rsidRDefault="00AF1383" w:rsidP="00CD363C">
            <w:pPr>
              <w:pStyle w:val="TableParagraph"/>
              <w:ind w:left="417" w:right="-66"/>
              <w:jc w:val="both"/>
              <w:rPr>
                <w:i/>
              </w:rPr>
            </w:pPr>
            <w:r>
              <w:rPr>
                <w:i/>
              </w:rPr>
              <w:t>Uzkrājumi</w:t>
            </w:r>
          </w:p>
        </w:tc>
        <w:tc>
          <w:tcPr>
            <w:tcW w:w="2900" w:type="dxa"/>
          </w:tcPr>
          <w:p w14:paraId="45D2A3EA" w14:textId="77777777" w:rsidR="00AF1383" w:rsidRDefault="00AF1383" w:rsidP="00CD363C">
            <w:pPr>
              <w:pStyle w:val="TableParagraph"/>
              <w:ind w:right="-66"/>
              <w:jc w:val="both"/>
              <w:rPr>
                <w:i/>
              </w:rPr>
            </w:pPr>
            <w:r>
              <w:rPr>
                <w:i/>
              </w:rPr>
              <w:t>21 428,57 EUR</w:t>
            </w:r>
          </w:p>
        </w:tc>
      </w:tr>
    </w:tbl>
    <w:p w14:paraId="0CC7B3F4" w14:textId="77777777" w:rsidR="00AF1383" w:rsidRDefault="00AF1383" w:rsidP="00CD363C">
      <w:pPr>
        <w:pStyle w:val="Pamatteksts"/>
        <w:ind w:right="-66"/>
        <w:jc w:val="both"/>
        <w:rPr>
          <w:i/>
          <w:sz w:val="13"/>
        </w:rPr>
      </w:pPr>
    </w:p>
    <w:p w14:paraId="644F4293" w14:textId="77777777" w:rsidR="00AF1383" w:rsidRDefault="00AF1383" w:rsidP="00CD363C">
      <w:pPr>
        <w:spacing w:after="0" w:line="240" w:lineRule="auto"/>
        <w:ind w:left="218" w:right="-66"/>
        <w:jc w:val="both"/>
        <w:rPr>
          <w:i/>
        </w:rPr>
      </w:pPr>
      <w:r>
        <w:rPr>
          <w:i/>
        </w:rPr>
        <w:t>Budžeta iestāde 2025. gada 24. septembrī, saņemot rēķinu par kaitējuma novēršanas darbiem, saskaņā ar iestādes grāmatvedības kārtību atzīst uzkrājuma samazinājumu un saistību palielinājumu, veicot sekojošu grāmatojumu:</w:t>
      </w:r>
    </w:p>
    <w:p w14:paraId="4FB9DE50" w14:textId="77777777" w:rsidR="00AF1383" w:rsidRDefault="00AF1383" w:rsidP="00CD363C">
      <w:pPr>
        <w:pStyle w:val="Pamatteksts"/>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4594"/>
        <w:gridCol w:w="1811"/>
      </w:tblGrid>
      <w:tr w:rsidR="00AF1383" w14:paraId="03F22C92" w14:textId="77777777" w:rsidTr="00AF1383">
        <w:trPr>
          <w:trHeight w:val="289"/>
        </w:trPr>
        <w:tc>
          <w:tcPr>
            <w:tcW w:w="605" w:type="dxa"/>
          </w:tcPr>
          <w:p w14:paraId="289285E5" w14:textId="77777777" w:rsidR="00AF1383" w:rsidRDefault="00AF1383" w:rsidP="00CD363C">
            <w:pPr>
              <w:pStyle w:val="TableParagraph"/>
              <w:ind w:left="200" w:right="-66"/>
              <w:jc w:val="both"/>
              <w:rPr>
                <w:i/>
              </w:rPr>
            </w:pPr>
            <w:r>
              <w:rPr>
                <w:i/>
              </w:rPr>
              <w:t>D</w:t>
            </w:r>
          </w:p>
        </w:tc>
        <w:tc>
          <w:tcPr>
            <w:tcW w:w="1105" w:type="dxa"/>
          </w:tcPr>
          <w:p w14:paraId="18276C13" w14:textId="77777777" w:rsidR="00AF1383" w:rsidRDefault="00AF1383" w:rsidP="00CD363C">
            <w:pPr>
              <w:pStyle w:val="TableParagraph"/>
              <w:ind w:left="245" w:right="-66"/>
              <w:jc w:val="both"/>
              <w:rPr>
                <w:i/>
              </w:rPr>
            </w:pPr>
            <w:r>
              <w:rPr>
                <w:i/>
              </w:rPr>
              <w:t>4000</w:t>
            </w:r>
          </w:p>
        </w:tc>
        <w:tc>
          <w:tcPr>
            <w:tcW w:w="4594" w:type="dxa"/>
          </w:tcPr>
          <w:p w14:paraId="3B69CC20" w14:textId="77777777" w:rsidR="00AF1383" w:rsidRDefault="00AF1383" w:rsidP="00CD363C">
            <w:pPr>
              <w:pStyle w:val="TableParagraph"/>
              <w:ind w:left="417" w:right="-66"/>
              <w:jc w:val="both"/>
              <w:rPr>
                <w:i/>
              </w:rPr>
            </w:pPr>
            <w:r>
              <w:rPr>
                <w:i/>
              </w:rPr>
              <w:t>Uzkrājumi</w:t>
            </w:r>
          </w:p>
        </w:tc>
        <w:tc>
          <w:tcPr>
            <w:tcW w:w="1811" w:type="dxa"/>
          </w:tcPr>
          <w:p w14:paraId="64C8BC71" w14:textId="77777777" w:rsidR="00AF1383" w:rsidRDefault="00AF1383" w:rsidP="00CD363C">
            <w:pPr>
              <w:pStyle w:val="TableParagraph"/>
              <w:ind w:left="118" w:right="-66"/>
              <w:jc w:val="both"/>
              <w:rPr>
                <w:i/>
              </w:rPr>
            </w:pPr>
            <w:r>
              <w:rPr>
                <w:i/>
              </w:rPr>
              <w:t>200 000,00 EUR</w:t>
            </w:r>
          </w:p>
        </w:tc>
      </w:tr>
      <w:tr w:rsidR="00AF1383" w14:paraId="2F49BC69" w14:textId="77777777" w:rsidTr="00AF1383">
        <w:trPr>
          <w:trHeight w:val="541"/>
        </w:trPr>
        <w:tc>
          <w:tcPr>
            <w:tcW w:w="605" w:type="dxa"/>
          </w:tcPr>
          <w:p w14:paraId="7CA497A1" w14:textId="77777777" w:rsidR="00AF1383" w:rsidRDefault="00AF1383" w:rsidP="00CD363C">
            <w:pPr>
              <w:pStyle w:val="TableParagraph"/>
              <w:ind w:left="200" w:right="-66"/>
              <w:jc w:val="both"/>
              <w:rPr>
                <w:i/>
              </w:rPr>
            </w:pPr>
            <w:r>
              <w:rPr>
                <w:i/>
              </w:rPr>
              <w:t>K</w:t>
            </w:r>
          </w:p>
        </w:tc>
        <w:tc>
          <w:tcPr>
            <w:tcW w:w="1105" w:type="dxa"/>
          </w:tcPr>
          <w:p w14:paraId="5159FD57" w14:textId="77777777" w:rsidR="00AF1383" w:rsidRDefault="00AF1383" w:rsidP="00CD363C">
            <w:pPr>
              <w:pStyle w:val="TableParagraph"/>
              <w:ind w:left="245" w:right="-66"/>
              <w:jc w:val="both"/>
              <w:rPr>
                <w:i/>
              </w:rPr>
            </w:pPr>
            <w:r>
              <w:rPr>
                <w:i/>
              </w:rPr>
              <w:t>5310</w:t>
            </w:r>
          </w:p>
        </w:tc>
        <w:tc>
          <w:tcPr>
            <w:tcW w:w="4594" w:type="dxa"/>
          </w:tcPr>
          <w:p w14:paraId="0458C435" w14:textId="77777777" w:rsidR="00AF1383" w:rsidRDefault="00AF1383" w:rsidP="00CD363C">
            <w:pPr>
              <w:pStyle w:val="TableParagraph"/>
              <w:ind w:left="417" w:right="-66"/>
              <w:jc w:val="both"/>
              <w:rPr>
                <w:i/>
              </w:rPr>
            </w:pPr>
            <w:r>
              <w:rPr>
                <w:i/>
              </w:rPr>
              <w:t>Īstermiņa saistības pret piegādātājiem un darbuzņēmējiem</w:t>
            </w:r>
          </w:p>
        </w:tc>
        <w:tc>
          <w:tcPr>
            <w:tcW w:w="1811" w:type="dxa"/>
          </w:tcPr>
          <w:p w14:paraId="5C6BD14F" w14:textId="77777777" w:rsidR="00AF1383" w:rsidRDefault="00AF1383" w:rsidP="00CD363C">
            <w:pPr>
              <w:pStyle w:val="TableParagraph"/>
              <w:ind w:left="118" w:right="-66"/>
              <w:jc w:val="both"/>
              <w:rPr>
                <w:i/>
              </w:rPr>
            </w:pPr>
            <w:r>
              <w:rPr>
                <w:i/>
              </w:rPr>
              <w:t>200 000,00 EUR</w:t>
            </w:r>
          </w:p>
        </w:tc>
      </w:tr>
    </w:tbl>
    <w:p w14:paraId="3ACDD386" w14:textId="77777777" w:rsidR="00AF1383" w:rsidRPr="00AF1383" w:rsidRDefault="00AF1383" w:rsidP="00CD363C">
      <w:pPr>
        <w:spacing w:after="0" w:line="240" w:lineRule="auto"/>
        <w:ind w:right="-66"/>
        <w:contextualSpacing/>
        <w:jc w:val="both"/>
        <w:rPr>
          <w:rFonts w:ascii="Times New Roman" w:hAnsi="Times New Roman" w:cs="Times New Roman"/>
          <w:sz w:val="24"/>
          <w:szCs w:val="24"/>
        </w:rPr>
      </w:pPr>
    </w:p>
    <w:p w14:paraId="05388B2F" w14:textId="77777777" w:rsidR="00584C57" w:rsidRPr="00584C57" w:rsidRDefault="00584C57" w:rsidP="00CD363C">
      <w:pPr>
        <w:spacing w:after="0" w:line="240" w:lineRule="auto"/>
        <w:ind w:right="-66"/>
        <w:contextualSpacing/>
        <w:jc w:val="both"/>
        <w:rPr>
          <w:rFonts w:ascii="Times New Roman" w:hAnsi="Times New Roman" w:cs="Times New Roman"/>
          <w:sz w:val="24"/>
          <w:szCs w:val="24"/>
        </w:rPr>
      </w:pPr>
    </w:p>
    <w:p w14:paraId="654032D5" w14:textId="77777777" w:rsidR="00AF1383" w:rsidRDefault="003F4C9D" w:rsidP="00CD363C">
      <w:pPr>
        <w:pStyle w:val="Virsraksts4"/>
        <w:tabs>
          <w:tab w:val="left" w:pos="752"/>
        </w:tabs>
        <w:spacing w:before="0"/>
        <w:ind w:left="218" w:right="-66"/>
        <w:jc w:val="both"/>
      </w:pPr>
      <w:r>
        <w:rPr>
          <w:color w:val="002069"/>
        </w:rPr>
        <w:t>643.3.</w:t>
      </w:r>
      <w:r w:rsidR="00AF1383">
        <w:rPr>
          <w:color w:val="002069"/>
        </w:rPr>
        <w:t>Piemērs</w:t>
      </w:r>
      <w:r w:rsidR="00AF1383">
        <w:rPr>
          <w:color w:val="002069"/>
          <w:spacing w:val="-11"/>
        </w:rPr>
        <w:t xml:space="preserve"> </w:t>
      </w:r>
      <w:r w:rsidR="00AF1383">
        <w:rPr>
          <w:color w:val="002069"/>
        </w:rPr>
        <w:t>–</w:t>
      </w:r>
      <w:r w:rsidR="00AF1383">
        <w:rPr>
          <w:color w:val="002069"/>
          <w:spacing w:val="-13"/>
        </w:rPr>
        <w:t xml:space="preserve"> </w:t>
      </w:r>
      <w:r w:rsidR="00AF1383">
        <w:rPr>
          <w:color w:val="002069"/>
        </w:rPr>
        <w:t>uzkrājumu</w:t>
      </w:r>
      <w:r w:rsidR="00AF1383">
        <w:rPr>
          <w:color w:val="002069"/>
          <w:spacing w:val="-10"/>
        </w:rPr>
        <w:t xml:space="preserve"> </w:t>
      </w:r>
      <w:r w:rsidR="00AF1383">
        <w:rPr>
          <w:color w:val="002069"/>
        </w:rPr>
        <w:t>turpmākā</w:t>
      </w:r>
      <w:r w:rsidR="00AF1383">
        <w:rPr>
          <w:color w:val="002069"/>
          <w:spacing w:val="-13"/>
        </w:rPr>
        <w:t xml:space="preserve"> </w:t>
      </w:r>
      <w:r w:rsidR="00AF1383">
        <w:rPr>
          <w:color w:val="002069"/>
        </w:rPr>
        <w:t>novērtēšana</w:t>
      </w:r>
      <w:r w:rsidR="00AF1383">
        <w:rPr>
          <w:color w:val="002069"/>
          <w:spacing w:val="-11"/>
        </w:rPr>
        <w:t xml:space="preserve"> </w:t>
      </w:r>
      <w:r w:rsidR="00AF1383">
        <w:rPr>
          <w:color w:val="002069"/>
        </w:rPr>
        <w:t>un</w:t>
      </w:r>
      <w:r w:rsidR="00AF1383">
        <w:rPr>
          <w:color w:val="002069"/>
          <w:spacing w:val="-9"/>
        </w:rPr>
        <w:t xml:space="preserve"> </w:t>
      </w:r>
      <w:r w:rsidR="00AF1383">
        <w:rPr>
          <w:color w:val="002069"/>
        </w:rPr>
        <w:t>pašreizējās</w:t>
      </w:r>
      <w:r w:rsidR="00AF1383">
        <w:rPr>
          <w:color w:val="002069"/>
          <w:spacing w:val="-10"/>
        </w:rPr>
        <w:t xml:space="preserve"> </w:t>
      </w:r>
      <w:r w:rsidR="00AF1383">
        <w:rPr>
          <w:color w:val="002069"/>
        </w:rPr>
        <w:t>vērtības</w:t>
      </w:r>
      <w:r w:rsidR="00AF1383">
        <w:rPr>
          <w:color w:val="002069"/>
          <w:spacing w:val="-11"/>
        </w:rPr>
        <w:t xml:space="preserve"> </w:t>
      </w:r>
      <w:r w:rsidR="00AF1383">
        <w:rPr>
          <w:color w:val="002069"/>
        </w:rPr>
        <w:t>noteikšana</w:t>
      </w:r>
      <w:r w:rsidR="00AF1383">
        <w:rPr>
          <w:color w:val="002069"/>
          <w:spacing w:val="-12"/>
        </w:rPr>
        <w:t xml:space="preserve"> </w:t>
      </w:r>
      <w:r w:rsidR="00AF1383">
        <w:rPr>
          <w:color w:val="002069"/>
        </w:rPr>
        <w:t>nākamajos pārskata</w:t>
      </w:r>
      <w:r w:rsidR="00AF1383">
        <w:rPr>
          <w:color w:val="002069"/>
          <w:spacing w:val="-1"/>
        </w:rPr>
        <w:t xml:space="preserve"> </w:t>
      </w:r>
      <w:r w:rsidR="00AF1383">
        <w:rPr>
          <w:color w:val="002069"/>
        </w:rPr>
        <w:t>periodos</w:t>
      </w:r>
    </w:p>
    <w:p w14:paraId="6AEB0E63" w14:textId="77777777" w:rsidR="00AF1383" w:rsidRDefault="00AF1383" w:rsidP="00CD363C">
      <w:pPr>
        <w:pStyle w:val="Pamatteksts"/>
        <w:ind w:left="218" w:right="-66"/>
        <w:jc w:val="both"/>
      </w:pPr>
      <w:r>
        <w:t xml:space="preserve">Situācijas apraksts balstīts uz </w:t>
      </w:r>
      <w:r w:rsidR="003F4C9D">
        <w:t>64</w:t>
      </w:r>
      <w:r>
        <w:t>3.2. piemērā sniegto informāciju:</w:t>
      </w:r>
    </w:p>
    <w:p w14:paraId="5693D337" w14:textId="77777777" w:rsidR="00AF1383" w:rsidRDefault="00AF1383" w:rsidP="00CD363C">
      <w:pPr>
        <w:pStyle w:val="Pamatteksts"/>
        <w:ind w:right="-66"/>
        <w:jc w:val="both"/>
        <w:rPr>
          <w:sz w:val="20"/>
        </w:rPr>
      </w:pPr>
    </w:p>
    <w:p w14:paraId="001ACA83" w14:textId="77777777" w:rsidR="00AF1383" w:rsidRDefault="00AF1383" w:rsidP="00CD363C">
      <w:pPr>
        <w:pStyle w:val="Sarakstarindkopa"/>
        <w:widowControl w:val="0"/>
        <w:numPr>
          <w:ilvl w:val="0"/>
          <w:numId w:val="8"/>
        </w:numPr>
        <w:tabs>
          <w:tab w:val="left" w:pos="1733"/>
          <w:tab w:val="left" w:pos="1734"/>
        </w:tabs>
        <w:autoSpaceDE w:val="0"/>
        <w:autoSpaceDN w:val="0"/>
        <w:spacing w:after="0" w:line="240" w:lineRule="auto"/>
        <w:ind w:right="-66"/>
        <w:contextualSpacing w:val="0"/>
        <w:jc w:val="both"/>
      </w:pPr>
      <w:r>
        <w:t>2019.gadā tiek nodarīts kaitējums videi, kas budžeta iestādei jānovērš 2024.gada</w:t>
      </w:r>
      <w:r>
        <w:rPr>
          <w:spacing w:val="-11"/>
        </w:rPr>
        <w:t xml:space="preserve"> </w:t>
      </w:r>
      <w:r>
        <w:t>beigās;</w:t>
      </w:r>
    </w:p>
    <w:p w14:paraId="1ED7BBCA" w14:textId="77777777" w:rsidR="00AF1383" w:rsidRDefault="00AF1383" w:rsidP="00CD363C">
      <w:pPr>
        <w:pStyle w:val="Sarakstarindkopa"/>
        <w:widowControl w:val="0"/>
        <w:numPr>
          <w:ilvl w:val="0"/>
          <w:numId w:val="8"/>
        </w:numPr>
        <w:tabs>
          <w:tab w:val="left" w:pos="1733"/>
          <w:tab w:val="left" w:pos="1734"/>
        </w:tabs>
        <w:autoSpaceDE w:val="0"/>
        <w:autoSpaceDN w:val="0"/>
        <w:spacing w:after="0" w:line="240" w:lineRule="auto"/>
        <w:ind w:right="-66"/>
        <w:contextualSpacing w:val="0"/>
        <w:jc w:val="both"/>
      </w:pPr>
      <w:r>
        <w:t>aplēstās kaitējuma novēršanas izmaksas piektā gada beigās – 200 000,00</w:t>
      </w:r>
      <w:r>
        <w:rPr>
          <w:spacing w:val="-5"/>
        </w:rPr>
        <w:t xml:space="preserve"> </w:t>
      </w:r>
      <w:r>
        <w:t>EUR.</w:t>
      </w:r>
    </w:p>
    <w:p w14:paraId="554BF0B3" w14:textId="77777777" w:rsidR="00AF1383" w:rsidRDefault="00AF1383" w:rsidP="00CD363C">
      <w:pPr>
        <w:pStyle w:val="Sarakstarindkopa"/>
        <w:widowControl w:val="0"/>
        <w:numPr>
          <w:ilvl w:val="0"/>
          <w:numId w:val="8"/>
        </w:numPr>
        <w:tabs>
          <w:tab w:val="left" w:pos="1733"/>
          <w:tab w:val="left" w:pos="1734"/>
        </w:tabs>
        <w:autoSpaceDE w:val="0"/>
        <w:autoSpaceDN w:val="0"/>
        <w:spacing w:after="0" w:line="240" w:lineRule="auto"/>
        <w:ind w:right="-66"/>
        <w:contextualSpacing w:val="0"/>
        <w:jc w:val="both"/>
      </w:pPr>
      <w:r>
        <w:t>Budžeta</w:t>
      </w:r>
      <w:r>
        <w:rPr>
          <w:spacing w:val="-12"/>
        </w:rPr>
        <w:t xml:space="preserve"> </w:t>
      </w:r>
      <w:r>
        <w:t>iestāde</w:t>
      </w:r>
      <w:r>
        <w:rPr>
          <w:spacing w:val="-13"/>
        </w:rPr>
        <w:t xml:space="preserve"> </w:t>
      </w:r>
      <w:r>
        <w:t>nosaka</w:t>
      </w:r>
      <w:r>
        <w:rPr>
          <w:spacing w:val="-12"/>
        </w:rPr>
        <w:t xml:space="preserve"> </w:t>
      </w:r>
      <w:r>
        <w:t>uzkrājumu</w:t>
      </w:r>
      <w:r>
        <w:rPr>
          <w:spacing w:val="-12"/>
        </w:rPr>
        <w:t xml:space="preserve"> </w:t>
      </w:r>
      <w:r>
        <w:t>pašreizējo</w:t>
      </w:r>
      <w:r>
        <w:rPr>
          <w:spacing w:val="-13"/>
        </w:rPr>
        <w:t xml:space="preserve"> </w:t>
      </w:r>
      <w:r>
        <w:t>vērtību,</w:t>
      </w:r>
      <w:r>
        <w:rPr>
          <w:spacing w:val="-12"/>
        </w:rPr>
        <w:t xml:space="preserve"> </w:t>
      </w:r>
      <w:r>
        <w:t>izmantojot</w:t>
      </w:r>
      <w:r>
        <w:rPr>
          <w:spacing w:val="-14"/>
        </w:rPr>
        <w:t xml:space="preserve"> </w:t>
      </w:r>
      <w:r>
        <w:t>Valsts</w:t>
      </w:r>
      <w:r>
        <w:rPr>
          <w:spacing w:val="-14"/>
        </w:rPr>
        <w:t xml:space="preserve"> </w:t>
      </w:r>
      <w:r>
        <w:t>kases</w:t>
      </w:r>
      <w:r>
        <w:rPr>
          <w:spacing w:val="-14"/>
        </w:rPr>
        <w:t xml:space="preserve"> </w:t>
      </w:r>
      <w:r>
        <w:t>tīmekļvietnē publicēto diskonta likmi attiecīgajam laika</w:t>
      </w:r>
      <w:r>
        <w:rPr>
          <w:spacing w:val="-7"/>
        </w:rPr>
        <w:t xml:space="preserve"> </w:t>
      </w:r>
      <w:r>
        <w:t>periodam.</w:t>
      </w:r>
    </w:p>
    <w:p w14:paraId="5D5DF3B8" w14:textId="77777777" w:rsidR="00AF1383" w:rsidRDefault="00AF1383" w:rsidP="00CD363C">
      <w:pPr>
        <w:spacing w:after="0" w:line="240" w:lineRule="auto"/>
        <w:ind w:left="218" w:right="-66"/>
        <w:jc w:val="both"/>
        <w:rPr>
          <w:b/>
        </w:rPr>
      </w:pPr>
      <w:r>
        <w:t>Piemērā</w:t>
      </w:r>
      <w:r>
        <w:rPr>
          <w:spacing w:val="-12"/>
        </w:rPr>
        <w:t xml:space="preserve"> </w:t>
      </w:r>
      <w:r>
        <w:t>izmantota</w:t>
      </w:r>
      <w:r>
        <w:rPr>
          <w:spacing w:val="-14"/>
        </w:rPr>
        <w:t xml:space="preserve"> </w:t>
      </w:r>
      <w:r>
        <w:t>sākotnējā</w:t>
      </w:r>
      <w:r>
        <w:rPr>
          <w:spacing w:val="-12"/>
        </w:rPr>
        <w:t xml:space="preserve"> </w:t>
      </w:r>
      <w:r>
        <w:t>diskonta</w:t>
      </w:r>
      <w:r>
        <w:rPr>
          <w:spacing w:val="-14"/>
        </w:rPr>
        <w:t xml:space="preserve"> </w:t>
      </w:r>
      <w:r>
        <w:t>likme</w:t>
      </w:r>
      <w:r>
        <w:rPr>
          <w:spacing w:val="-12"/>
        </w:rPr>
        <w:t xml:space="preserve"> </w:t>
      </w:r>
      <w:r>
        <w:t>12%</w:t>
      </w:r>
      <w:r>
        <w:rPr>
          <w:spacing w:val="-12"/>
        </w:rPr>
        <w:t xml:space="preserve"> </w:t>
      </w:r>
      <w:r>
        <w:t>(diskonta</w:t>
      </w:r>
      <w:r>
        <w:rPr>
          <w:spacing w:val="-14"/>
        </w:rPr>
        <w:t xml:space="preserve"> </w:t>
      </w:r>
      <w:r>
        <w:t>likme,</w:t>
      </w:r>
      <w:r>
        <w:rPr>
          <w:spacing w:val="-12"/>
        </w:rPr>
        <w:t xml:space="preserve"> </w:t>
      </w:r>
      <w:r>
        <w:t>kas</w:t>
      </w:r>
      <w:r>
        <w:rPr>
          <w:spacing w:val="-12"/>
        </w:rPr>
        <w:t xml:space="preserve"> </w:t>
      </w:r>
      <w:r>
        <w:t>spēkā</w:t>
      </w:r>
      <w:r>
        <w:rPr>
          <w:spacing w:val="-11"/>
        </w:rPr>
        <w:t xml:space="preserve"> </w:t>
      </w:r>
      <w:r>
        <w:t>2019.</w:t>
      </w:r>
      <w:r>
        <w:rPr>
          <w:spacing w:val="-6"/>
        </w:rPr>
        <w:t xml:space="preserve"> </w:t>
      </w:r>
      <w:r>
        <w:t>gadā).</w:t>
      </w:r>
      <w:r>
        <w:rPr>
          <w:spacing w:val="-12"/>
        </w:rPr>
        <w:t xml:space="preserve"> </w:t>
      </w:r>
      <w:r>
        <w:t>Piemērā</w:t>
      </w:r>
      <w:r>
        <w:rPr>
          <w:spacing w:val="-12"/>
        </w:rPr>
        <w:t xml:space="preserve"> </w:t>
      </w:r>
      <w:r>
        <w:t xml:space="preserve">pieņemts, ka </w:t>
      </w:r>
      <w:r>
        <w:rPr>
          <w:b/>
        </w:rPr>
        <w:t>nākamajā periodā jeb 2020. gadā attiecīgā diskonta likme ir</w:t>
      </w:r>
      <w:r>
        <w:rPr>
          <w:b/>
          <w:spacing w:val="-8"/>
        </w:rPr>
        <w:t xml:space="preserve"> </w:t>
      </w:r>
      <w:r>
        <w:rPr>
          <w:b/>
        </w:rPr>
        <w:t>14%.</w:t>
      </w:r>
    </w:p>
    <w:p w14:paraId="785BBADF" w14:textId="77777777" w:rsidR="00AF1383" w:rsidRDefault="00AF1383" w:rsidP="00CD363C">
      <w:pPr>
        <w:pStyle w:val="Pamatteksts"/>
        <w:ind w:left="218" w:right="-66"/>
        <w:jc w:val="both"/>
      </w:pPr>
      <w:r>
        <w:t>Sagatavojot 2019. gada finanšu pārskatus, iestāde aprēķina uzkrājumu (paredzamo izmaksu) pašreizējo vērtību sekojoši:</w:t>
      </w:r>
    </w:p>
    <w:p w14:paraId="721D05D4" w14:textId="77777777" w:rsidR="00AF1383" w:rsidRDefault="00AF1383" w:rsidP="00CD363C">
      <w:pPr>
        <w:spacing w:after="0" w:line="240" w:lineRule="auto"/>
        <w:ind w:left="218" w:right="-66"/>
        <w:jc w:val="both"/>
        <w:rPr>
          <w:i/>
        </w:rPr>
      </w:pPr>
      <w:r>
        <w:rPr>
          <w:i/>
        </w:rPr>
        <w:t>Uzkrājuma pašreizējā vērtība, kas atzīstama izdevumos 2019. gadā:</w:t>
      </w:r>
    </w:p>
    <w:p w14:paraId="5E7589EE" w14:textId="77777777" w:rsidR="00AF1383" w:rsidRDefault="00AF1383" w:rsidP="00CD363C">
      <w:pPr>
        <w:pStyle w:val="Pamatteksts"/>
        <w:ind w:right="-66"/>
        <w:jc w:val="both"/>
        <w:rPr>
          <w:i/>
          <w:sz w:val="18"/>
        </w:rPr>
      </w:pPr>
    </w:p>
    <w:p w14:paraId="5E39494C" w14:textId="77777777" w:rsidR="00AF1383" w:rsidRDefault="00AF1383" w:rsidP="00CD363C">
      <w:pPr>
        <w:pStyle w:val="Pamatteksts"/>
        <w:ind w:right="-66"/>
        <w:jc w:val="both"/>
        <w:rPr>
          <w:rFonts w:ascii="DejaVu Serif"/>
        </w:rPr>
      </w:pPr>
      <w:r>
        <w:rPr>
          <w:rFonts w:ascii="DejaVu Serif"/>
          <w:w w:val="95"/>
        </w:rPr>
        <w:t>200 000</w:t>
      </w:r>
    </w:p>
    <w:p w14:paraId="56BDE0A5" w14:textId="77777777" w:rsidR="00AF1383" w:rsidRDefault="00870ECE" w:rsidP="00CD363C">
      <w:pPr>
        <w:pStyle w:val="Pamatteksts"/>
        <w:ind w:right="-66"/>
        <w:jc w:val="both"/>
        <w:rPr>
          <w:rFonts w:ascii="DejaVu Serif" w:eastAsia="DejaVu Serif"/>
        </w:rPr>
      </w:pPr>
      <w:r>
        <w:rPr>
          <w:noProof/>
        </w:rPr>
        <mc:AlternateContent>
          <mc:Choice Requires="wps">
            <w:drawing>
              <wp:anchor distT="0" distB="0" distL="114300" distR="114300" simplePos="0" relativeHeight="251663360" behindDoc="1" locked="0" layoutInCell="1" allowOverlap="1" wp14:anchorId="5A8242CB" wp14:editId="524951F1">
                <wp:simplePos x="0" y="0"/>
                <wp:positionH relativeFrom="page">
                  <wp:posOffset>2972435</wp:posOffset>
                </wp:positionH>
                <wp:positionV relativeFrom="paragraph">
                  <wp:posOffset>82550</wp:posOffset>
                </wp:positionV>
                <wp:extent cx="685800" cy="0"/>
                <wp:effectExtent l="10160" t="12700" r="8890" b="6350"/>
                <wp:wrapNone/>
                <wp:docPr id="3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922C6"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t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QLS7&#10;Vx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+ 0,12)</w:t>
      </w:r>
      <w:r w:rsidR="00AF1383">
        <w:rPr>
          <w:rFonts w:ascii="DejaVu Serif" w:eastAsia="DejaVu Serif"/>
          <w:position w:val="-7"/>
          <w:sz w:val="16"/>
        </w:rPr>
        <w:t xml:space="preserve">5 </w:t>
      </w:r>
      <w:r w:rsidR="00AF1383">
        <w:rPr>
          <w:rFonts w:ascii="DejaVu Serif" w:eastAsia="DejaVu Serif"/>
        </w:rPr>
        <w:t>= 113 485,37 𝐸𝑈𝑅</w:t>
      </w:r>
    </w:p>
    <w:p w14:paraId="4D5FF355" w14:textId="77777777" w:rsidR="00AF1383" w:rsidRDefault="00AF1383" w:rsidP="00CD363C">
      <w:pPr>
        <w:spacing w:after="0" w:line="240" w:lineRule="auto"/>
        <w:ind w:left="218" w:right="-66"/>
        <w:jc w:val="both"/>
        <w:rPr>
          <w:i/>
        </w:rPr>
      </w:pPr>
      <w:r>
        <w:rPr>
          <w:i/>
        </w:rPr>
        <w:t>Grāmatojums, sākotnēji atzīstot uzkrājumus 2019. gada pārskata datumā:</w:t>
      </w:r>
    </w:p>
    <w:p w14:paraId="7506D21A" w14:textId="77777777" w:rsidR="00AF1383" w:rsidRDefault="00AF1383" w:rsidP="00CD363C">
      <w:pPr>
        <w:pStyle w:val="Pamatteksts"/>
        <w:ind w:right="-66"/>
        <w:jc w:val="both"/>
        <w:rPr>
          <w:i/>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896"/>
        <w:gridCol w:w="2365"/>
      </w:tblGrid>
      <w:tr w:rsidR="00AF1383" w14:paraId="57FC260D" w14:textId="77777777" w:rsidTr="00AF1383">
        <w:trPr>
          <w:trHeight w:val="287"/>
        </w:trPr>
        <w:tc>
          <w:tcPr>
            <w:tcW w:w="605" w:type="dxa"/>
          </w:tcPr>
          <w:p w14:paraId="21B72190" w14:textId="77777777" w:rsidR="00AF1383" w:rsidRDefault="00AF1383" w:rsidP="00CD363C">
            <w:pPr>
              <w:pStyle w:val="TableParagraph"/>
              <w:ind w:left="200" w:right="-66"/>
              <w:jc w:val="both"/>
              <w:rPr>
                <w:i/>
              </w:rPr>
            </w:pPr>
            <w:r>
              <w:rPr>
                <w:i/>
              </w:rPr>
              <w:t>D</w:t>
            </w:r>
          </w:p>
        </w:tc>
        <w:tc>
          <w:tcPr>
            <w:tcW w:w="1105" w:type="dxa"/>
          </w:tcPr>
          <w:p w14:paraId="098F5D5E" w14:textId="77777777" w:rsidR="00AF1383" w:rsidRDefault="00AF1383" w:rsidP="00CD363C">
            <w:pPr>
              <w:pStyle w:val="TableParagraph"/>
              <w:ind w:left="245" w:right="-66"/>
              <w:jc w:val="both"/>
              <w:rPr>
                <w:i/>
              </w:rPr>
            </w:pPr>
            <w:r>
              <w:rPr>
                <w:i/>
              </w:rPr>
              <w:t>8660</w:t>
            </w:r>
          </w:p>
        </w:tc>
        <w:tc>
          <w:tcPr>
            <w:tcW w:w="3896" w:type="dxa"/>
          </w:tcPr>
          <w:p w14:paraId="5BFDA0A2" w14:textId="77777777" w:rsidR="00AF1383" w:rsidRDefault="00AF1383" w:rsidP="00CD363C">
            <w:pPr>
              <w:pStyle w:val="TableParagraph"/>
              <w:ind w:left="417" w:right="-66"/>
              <w:jc w:val="both"/>
              <w:rPr>
                <w:i/>
              </w:rPr>
            </w:pPr>
            <w:r>
              <w:rPr>
                <w:i/>
              </w:rPr>
              <w:t>Izdevumi uzkrājumu veidošanai</w:t>
            </w:r>
          </w:p>
        </w:tc>
        <w:tc>
          <w:tcPr>
            <w:tcW w:w="2365" w:type="dxa"/>
          </w:tcPr>
          <w:p w14:paraId="2C085D9D" w14:textId="77777777" w:rsidR="00AF1383" w:rsidRDefault="00AF1383" w:rsidP="00CD363C">
            <w:pPr>
              <w:pStyle w:val="TableParagraph"/>
              <w:ind w:right="-66"/>
              <w:jc w:val="both"/>
              <w:rPr>
                <w:i/>
              </w:rPr>
            </w:pPr>
            <w:r>
              <w:rPr>
                <w:i/>
              </w:rPr>
              <w:t>113 485,37 EUR</w:t>
            </w:r>
          </w:p>
        </w:tc>
      </w:tr>
      <w:tr w:rsidR="00AF1383" w14:paraId="46FCB8EF" w14:textId="77777777" w:rsidTr="00AF1383">
        <w:trPr>
          <w:trHeight w:val="287"/>
        </w:trPr>
        <w:tc>
          <w:tcPr>
            <w:tcW w:w="605" w:type="dxa"/>
          </w:tcPr>
          <w:p w14:paraId="7F4CAEA4" w14:textId="77777777" w:rsidR="00AF1383" w:rsidRDefault="00AF1383" w:rsidP="00CD363C">
            <w:pPr>
              <w:pStyle w:val="TableParagraph"/>
              <w:ind w:left="200" w:right="-66"/>
              <w:jc w:val="both"/>
              <w:rPr>
                <w:i/>
              </w:rPr>
            </w:pPr>
            <w:r>
              <w:rPr>
                <w:i/>
              </w:rPr>
              <w:t>K</w:t>
            </w:r>
          </w:p>
        </w:tc>
        <w:tc>
          <w:tcPr>
            <w:tcW w:w="1105" w:type="dxa"/>
          </w:tcPr>
          <w:p w14:paraId="3BD4B553" w14:textId="77777777" w:rsidR="00AF1383" w:rsidRDefault="00AF1383" w:rsidP="00CD363C">
            <w:pPr>
              <w:pStyle w:val="TableParagraph"/>
              <w:ind w:left="245" w:right="-66"/>
              <w:jc w:val="both"/>
              <w:rPr>
                <w:i/>
              </w:rPr>
            </w:pPr>
            <w:r>
              <w:rPr>
                <w:i/>
              </w:rPr>
              <w:t>4000</w:t>
            </w:r>
          </w:p>
        </w:tc>
        <w:tc>
          <w:tcPr>
            <w:tcW w:w="3896" w:type="dxa"/>
          </w:tcPr>
          <w:p w14:paraId="6A3D12C8" w14:textId="77777777" w:rsidR="00AF1383" w:rsidRDefault="00AF1383" w:rsidP="00CD363C">
            <w:pPr>
              <w:pStyle w:val="TableParagraph"/>
              <w:ind w:left="417" w:right="-66"/>
              <w:jc w:val="both"/>
              <w:rPr>
                <w:i/>
              </w:rPr>
            </w:pPr>
            <w:r>
              <w:rPr>
                <w:i/>
              </w:rPr>
              <w:t>Uzkrājumi</w:t>
            </w:r>
          </w:p>
        </w:tc>
        <w:tc>
          <w:tcPr>
            <w:tcW w:w="2365" w:type="dxa"/>
          </w:tcPr>
          <w:p w14:paraId="4406767F" w14:textId="77777777" w:rsidR="00AF1383" w:rsidRDefault="00AF1383" w:rsidP="00CD363C">
            <w:pPr>
              <w:pStyle w:val="TableParagraph"/>
              <w:ind w:right="-66"/>
              <w:jc w:val="both"/>
              <w:rPr>
                <w:i/>
              </w:rPr>
            </w:pPr>
            <w:r>
              <w:rPr>
                <w:i/>
              </w:rPr>
              <w:t>113 485,37 EUR</w:t>
            </w:r>
          </w:p>
        </w:tc>
      </w:tr>
    </w:tbl>
    <w:p w14:paraId="684F77A6" w14:textId="77777777" w:rsidR="00AF1383" w:rsidRDefault="00AF1383" w:rsidP="00CD363C">
      <w:pPr>
        <w:pStyle w:val="Pamatteksts"/>
        <w:ind w:right="-66"/>
        <w:jc w:val="both"/>
        <w:rPr>
          <w:i/>
          <w:sz w:val="21"/>
        </w:rPr>
      </w:pPr>
    </w:p>
    <w:p w14:paraId="4BADF871" w14:textId="77777777" w:rsidR="00AF1383" w:rsidRDefault="00AF1383" w:rsidP="00CD363C">
      <w:pPr>
        <w:pStyle w:val="Pamatteksts"/>
        <w:ind w:left="218" w:right="-66"/>
        <w:jc w:val="both"/>
      </w:pPr>
      <w:r>
        <w:t>Nākamajā periodā jeb 2020. gadā attiecīgā diskonta likme ir palielinājusies no 12% uz 14%. Aprēķinot izmaiņas uzkrājumu pašreizējā vērtībā 2020. gadā, budžeta iestāde uzskaita:</w:t>
      </w:r>
    </w:p>
    <w:p w14:paraId="6C20D86C" w14:textId="77777777" w:rsidR="00AF1383" w:rsidRDefault="00AF1383" w:rsidP="00CD363C">
      <w:pPr>
        <w:pStyle w:val="Sarakstarindkopa"/>
        <w:widowControl w:val="0"/>
        <w:numPr>
          <w:ilvl w:val="0"/>
          <w:numId w:val="8"/>
        </w:numPr>
        <w:tabs>
          <w:tab w:val="left" w:pos="1733"/>
          <w:tab w:val="left" w:pos="1734"/>
        </w:tabs>
        <w:autoSpaceDE w:val="0"/>
        <w:autoSpaceDN w:val="0"/>
        <w:spacing w:after="0" w:line="240" w:lineRule="auto"/>
        <w:ind w:right="-66"/>
        <w:contextualSpacing w:val="0"/>
        <w:jc w:val="both"/>
      </w:pPr>
      <w:r>
        <w:t>procentu izdevumus, kas parāda laika faktora ietekmi uz uzkrājumu vērtību un kas aprēķināti, balstoties uz iepriekšējā periodā noteikto diskonta likmi</w:t>
      </w:r>
      <w:r>
        <w:rPr>
          <w:spacing w:val="-7"/>
        </w:rPr>
        <w:t xml:space="preserve"> </w:t>
      </w:r>
      <w:r>
        <w:t>(12%);</w:t>
      </w:r>
    </w:p>
    <w:p w14:paraId="431B8B1D" w14:textId="77777777" w:rsidR="00AF1383" w:rsidRDefault="00AF1383" w:rsidP="00CD363C">
      <w:pPr>
        <w:pStyle w:val="Sarakstarindkopa"/>
        <w:widowControl w:val="0"/>
        <w:numPr>
          <w:ilvl w:val="0"/>
          <w:numId w:val="8"/>
        </w:numPr>
        <w:tabs>
          <w:tab w:val="left" w:pos="1733"/>
          <w:tab w:val="left" w:pos="1734"/>
        </w:tabs>
        <w:autoSpaceDE w:val="0"/>
        <w:autoSpaceDN w:val="0"/>
        <w:spacing w:after="0" w:line="240" w:lineRule="auto"/>
        <w:ind w:right="-66"/>
        <w:contextualSpacing w:val="0"/>
        <w:jc w:val="both"/>
      </w:pPr>
      <w:r>
        <w:t xml:space="preserve">ieņēmumus no aplēses izmaiņām jeb diskonta likmes palielināšanās (no 12% uz 14%), </w:t>
      </w:r>
      <w:r>
        <w:rPr>
          <w:spacing w:val="-3"/>
        </w:rPr>
        <w:t xml:space="preserve">kā </w:t>
      </w:r>
      <w:r>
        <w:t>rezultātā ir samazinājusies uzkrājuma pašreizējā vērtība 2020. gada</w:t>
      </w:r>
      <w:r>
        <w:rPr>
          <w:spacing w:val="-4"/>
        </w:rPr>
        <w:t xml:space="preserve"> </w:t>
      </w:r>
      <w:r>
        <w:t>beigās.</w:t>
      </w:r>
    </w:p>
    <w:p w14:paraId="12B4B653" w14:textId="77777777" w:rsidR="00AF1383" w:rsidRDefault="00AF1383" w:rsidP="00CD363C">
      <w:pPr>
        <w:spacing w:after="0" w:line="240" w:lineRule="auto"/>
        <w:ind w:left="235" w:right="-66"/>
        <w:jc w:val="both"/>
        <w:rPr>
          <w:i/>
        </w:rPr>
      </w:pPr>
      <w:r>
        <w:rPr>
          <w:i/>
        </w:rPr>
        <w:t>Budžeta iestāde atzīst procentu izdevumus, balstoties uz iepriekšējā periodā noteikto diskonta likmi (12%):</w:t>
      </w:r>
    </w:p>
    <w:p w14:paraId="39C33903" w14:textId="77777777" w:rsidR="00AF1383" w:rsidRDefault="00AF1383" w:rsidP="00CD363C">
      <w:pPr>
        <w:pStyle w:val="Pamatteksts"/>
        <w:ind w:right="-66"/>
        <w:jc w:val="both"/>
        <w:rPr>
          <w:i/>
          <w:sz w:val="21"/>
        </w:rPr>
      </w:pPr>
    </w:p>
    <w:p w14:paraId="116EFE09" w14:textId="77777777" w:rsidR="00AF1383" w:rsidRDefault="00AF1383" w:rsidP="00CD363C">
      <w:pPr>
        <w:pStyle w:val="Pamatteksts"/>
        <w:ind w:left="2984" w:right="-66"/>
        <w:jc w:val="both"/>
        <w:rPr>
          <w:rFonts w:ascii="DejaVu Serif" w:eastAsia="DejaVu Serif" w:hAnsi="DejaVu Serif"/>
        </w:rPr>
      </w:pPr>
      <w:r>
        <w:rPr>
          <w:rFonts w:ascii="DejaVu Serif" w:eastAsia="DejaVu Serif" w:hAnsi="DejaVu Serif"/>
        </w:rPr>
        <w:t>113 485,37 𝐸𝑈𝑅 ∗ 12% = 13 618,24 𝐸𝑈𝑅</w:t>
      </w:r>
    </w:p>
    <w:p w14:paraId="6A145FDB" w14:textId="77777777" w:rsidR="00AF1383" w:rsidRDefault="00AF1383" w:rsidP="00CD363C">
      <w:pPr>
        <w:pStyle w:val="Pamatteksts"/>
        <w:ind w:right="-66"/>
        <w:jc w:val="both"/>
        <w:rPr>
          <w:rFonts w:ascii="DejaVu Serif"/>
          <w:sz w:val="19"/>
        </w:rPr>
      </w:pPr>
    </w:p>
    <w:p w14:paraId="2AAE446E" w14:textId="77777777" w:rsidR="00AF1383" w:rsidRDefault="00AF1383" w:rsidP="00CD363C">
      <w:pPr>
        <w:spacing w:after="0" w:line="240" w:lineRule="auto"/>
        <w:ind w:left="218" w:right="-66"/>
        <w:jc w:val="both"/>
        <w:rPr>
          <w:i/>
        </w:rPr>
      </w:pPr>
      <w:r>
        <w:rPr>
          <w:i/>
        </w:rPr>
        <w:t>Grāmatojums 31.12.2020., atzīstot uzkrājuma vērtības izmaiņas (palielinājumu) un procentu izdevumus:</w:t>
      </w:r>
    </w:p>
    <w:p w14:paraId="7A83EAB4" w14:textId="77777777" w:rsidR="00AF1383" w:rsidRDefault="00AF1383" w:rsidP="00CD363C">
      <w:pPr>
        <w:pStyle w:val="Pamatteksts"/>
        <w:ind w:right="-66"/>
        <w:jc w:val="both"/>
        <w:rPr>
          <w:i/>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8"/>
        <w:gridCol w:w="2900"/>
      </w:tblGrid>
      <w:tr w:rsidR="00AF1383" w14:paraId="1CA76DD2" w14:textId="77777777" w:rsidTr="00AF1383">
        <w:trPr>
          <w:trHeight w:val="289"/>
        </w:trPr>
        <w:tc>
          <w:tcPr>
            <w:tcW w:w="605" w:type="dxa"/>
          </w:tcPr>
          <w:p w14:paraId="31CFE4D1" w14:textId="77777777" w:rsidR="00AF1383" w:rsidRDefault="00AF1383" w:rsidP="00CD363C">
            <w:pPr>
              <w:pStyle w:val="TableParagraph"/>
              <w:ind w:left="200" w:right="-66"/>
              <w:jc w:val="both"/>
              <w:rPr>
                <w:i/>
              </w:rPr>
            </w:pPr>
            <w:r>
              <w:rPr>
                <w:i/>
              </w:rPr>
              <w:t>D</w:t>
            </w:r>
          </w:p>
        </w:tc>
        <w:tc>
          <w:tcPr>
            <w:tcW w:w="1105" w:type="dxa"/>
          </w:tcPr>
          <w:p w14:paraId="0F89EF49" w14:textId="77777777" w:rsidR="00AF1383" w:rsidRDefault="00AF1383" w:rsidP="00CD363C">
            <w:pPr>
              <w:pStyle w:val="TableParagraph"/>
              <w:ind w:left="245" w:right="-66"/>
              <w:jc w:val="both"/>
              <w:rPr>
                <w:i/>
              </w:rPr>
            </w:pPr>
            <w:r>
              <w:rPr>
                <w:i/>
              </w:rPr>
              <w:t>8220</w:t>
            </w:r>
          </w:p>
        </w:tc>
        <w:tc>
          <w:tcPr>
            <w:tcW w:w="3398" w:type="dxa"/>
          </w:tcPr>
          <w:p w14:paraId="39AD7054" w14:textId="77777777" w:rsidR="00AF1383" w:rsidRDefault="00AF1383" w:rsidP="00CD363C">
            <w:pPr>
              <w:pStyle w:val="TableParagraph"/>
              <w:ind w:left="417" w:right="-66"/>
              <w:jc w:val="both"/>
              <w:rPr>
                <w:i/>
              </w:rPr>
            </w:pPr>
            <w:r>
              <w:rPr>
                <w:i/>
              </w:rPr>
              <w:t>Procentu izdevumi</w:t>
            </w:r>
          </w:p>
        </w:tc>
        <w:tc>
          <w:tcPr>
            <w:tcW w:w="2900" w:type="dxa"/>
          </w:tcPr>
          <w:p w14:paraId="4DBB11D1" w14:textId="77777777" w:rsidR="00AF1383" w:rsidRDefault="00AF1383" w:rsidP="00CD363C">
            <w:pPr>
              <w:pStyle w:val="TableParagraph"/>
              <w:ind w:right="-66"/>
              <w:jc w:val="both"/>
              <w:rPr>
                <w:i/>
              </w:rPr>
            </w:pPr>
            <w:r>
              <w:rPr>
                <w:i/>
              </w:rPr>
              <w:t>13 618,24 EUR</w:t>
            </w:r>
          </w:p>
        </w:tc>
      </w:tr>
      <w:tr w:rsidR="00AF1383" w14:paraId="5AF36309" w14:textId="77777777" w:rsidTr="00AF1383">
        <w:trPr>
          <w:trHeight w:val="289"/>
        </w:trPr>
        <w:tc>
          <w:tcPr>
            <w:tcW w:w="605" w:type="dxa"/>
          </w:tcPr>
          <w:p w14:paraId="5E2CE488" w14:textId="77777777" w:rsidR="00AF1383" w:rsidRDefault="00AF1383" w:rsidP="00CD363C">
            <w:pPr>
              <w:pStyle w:val="TableParagraph"/>
              <w:ind w:left="200" w:right="-66"/>
              <w:jc w:val="both"/>
              <w:rPr>
                <w:i/>
              </w:rPr>
            </w:pPr>
            <w:r>
              <w:rPr>
                <w:i/>
              </w:rPr>
              <w:t>K</w:t>
            </w:r>
          </w:p>
        </w:tc>
        <w:tc>
          <w:tcPr>
            <w:tcW w:w="1105" w:type="dxa"/>
          </w:tcPr>
          <w:p w14:paraId="7B482E0A" w14:textId="77777777" w:rsidR="00AF1383" w:rsidRDefault="00AF1383" w:rsidP="00CD363C">
            <w:pPr>
              <w:pStyle w:val="TableParagraph"/>
              <w:ind w:left="245" w:right="-66"/>
              <w:jc w:val="both"/>
              <w:rPr>
                <w:i/>
              </w:rPr>
            </w:pPr>
            <w:r>
              <w:rPr>
                <w:i/>
              </w:rPr>
              <w:t>4000</w:t>
            </w:r>
          </w:p>
        </w:tc>
        <w:tc>
          <w:tcPr>
            <w:tcW w:w="3398" w:type="dxa"/>
          </w:tcPr>
          <w:p w14:paraId="1B1B2069" w14:textId="77777777" w:rsidR="00AF1383" w:rsidRDefault="00AF1383" w:rsidP="00CD363C">
            <w:pPr>
              <w:pStyle w:val="TableParagraph"/>
              <w:ind w:left="417" w:right="-66"/>
              <w:jc w:val="both"/>
              <w:rPr>
                <w:i/>
              </w:rPr>
            </w:pPr>
            <w:r>
              <w:rPr>
                <w:i/>
              </w:rPr>
              <w:t>Uzkrājumi</w:t>
            </w:r>
          </w:p>
        </w:tc>
        <w:tc>
          <w:tcPr>
            <w:tcW w:w="2900" w:type="dxa"/>
          </w:tcPr>
          <w:p w14:paraId="7AB70979" w14:textId="77777777" w:rsidR="00AF1383" w:rsidRDefault="00AF1383" w:rsidP="00CD363C">
            <w:pPr>
              <w:pStyle w:val="TableParagraph"/>
              <w:ind w:right="-66"/>
              <w:jc w:val="both"/>
              <w:rPr>
                <w:i/>
              </w:rPr>
            </w:pPr>
            <w:r>
              <w:rPr>
                <w:i/>
              </w:rPr>
              <w:t>13 618,24 EUR</w:t>
            </w:r>
          </w:p>
        </w:tc>
      </w:tr>
    </w:tbl>
    <w:p w14:paraId="462B48AE" w14:textId="77777777" w:rsidR="00AF1383" w:rsidRDefault="00AF1383" w:rsidP="00CD363C">
      <w:pPr>
        <w:pStyle w:val="Pamatteksts"/>
        <w:ind w:right="-66"/>
        <w:jc w:val="both"/>
        <w:rPr>
          <w:i/>
          <w:sz w:val="21"/>
        </w:rPr>
      </w:pPr>
    </w:p>
    <w:p w14:paraId="05901115" w14:textId="77777777" w:rsidR="00AF1383" w:rsidRDefault="00AF1383" w:rsidP="00CD363C">
      <w:pPr>
        <w:spacing w:after="0" w:line="240" w:lineRule="auto"/>
        <w:ind w:left="218" w:right="-66"/>
        <w:jc w:val="both"/>
        <w:rPr>
          <w:i/>
        </w:rPr>
      </w:pPr>
      <w:r>
        <w:rPr>
          <w:i/>
        </w:rPr>
        <w:t>Budžeta iestāde aprēķina uzkrājuma pašreizējo vērtību 2020. gada pārskata datumā, izmantojot iepriekšējā perioda jeb 2019. gada attiecīgo diskonta likmi (12%):</w:t>
      </w:r>
    </w:p>
    <w:p w14:paraId="02EC0C41" w14:textId="77777777" w:rsidR="00AF1383" w:rsidRDefault="00AF1383" w:rsidP="00CD363C">
      <w:pPr>
        <w:pStyle w:val="Pamatteksts"/>
        <w:ind w:left="3629" w:right="-66"/>
        <w:jc w:val="both"/>
        <w:rPr>
          <w:rFonts w:ascii="DejaVu Serif"/>
        </w:rPr>
      </w:pPr>
      <w:r>
        <w:rPr>
          <w:rFonts w:ascii="DejaVu Serif"/>
          <w:w w:val="95"/>
        </w:rPr>
        <w:t>200 000</w:t>
      </w:r>
    </w:p>
    <w:p w14:paraId="349EC0E0" w14:textId="77777777" w:rsidR="00AF1383" w:rsidRDefault="00870ECE" w:rsidP="00CD363C">
      <w:pPr>
        <w:pStyle w:val="Pamatteksts"/>
        <w:ind w:right="-66"/>
        <w:jc w:val="both"/>
        <w:rPr>
          <w:rFonts w:ascii="DejaVu Serif" w:eastAsia="DejaVu Serif"/>
        </w:rPr>
      </w:pPr>
      <w:r>
        <w:rPr>
          <w:noProof/>
        </w:rPr>
        <mc:AlternateContent>
          <mc:Choice Requires="wps">
            <w:drawing>
              <wp:anchor distT="0" distB="0" distL="114300" distR="114300" simplePos="0" relativeHeight="251664384" behindDoc="1" locked="0" layoutInCell="1" allowOverlap="1" wp14:anchorId="61D96F7A" wp14:editId="6D968EDB">
                <wp:simplePos x="0" y="0"/>
                <wp:positionH relativeFrom="page">
                  <wp:posOffset>2972435</wp:posOffset>
                </wp:positionH>
                <wp:positionV relativeFrom="paragraph">
                  <wp:posOffset>82550</wp:posOffset>
                </wp:positionV>
                <wp:extent cx="685800" cy="0"/>
                <wp:effectExtent l="10160" t="7620" r="8890" b="11430"/>
                <wp:wrapNone/>
                <wp:docPr id="3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0A37"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TEwIAACk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nnIb&#10;kx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+ 0,12)</w:t>
      </w:r>
      <w:r w:rsidR="00AF1383">
        <w:rPr>
          <w:rFonts w:ascii="DejaVu Serif" w:eastAsia="DejaVu Serif"/>
          <w:position w:val="-7"/>
          <w:sz w:val="16"/>
        </w:rPr>
        <w:t xml:space="preserve">4 </w:t>
      </w:r>
      <w:r w:rsidR="00AF1383">
        <w:rPr>
          <w:rFonts w:ascii="DejaVu Serif" w:eastAsia="DejaVu Serif"/>
        </w:rPr>
        <w:t>= 127 103,62 𝐸𝑈𝑅</w:t>
      </w:r>
    </w:p>
    <w:p w14:paraId="495A321C" w14:textId="77777777" w:rsidR="00AF1383" w:rsidRDefault="00AF1383" w:rsidP="00CD363C">
      <w:pPr>
        <w:spacing w:after="0" w:line="240" w:lineRule="auto"/>
        <w:ind w:left="218" w:right="-66"/>
        <w:jc w:val="both"/>
        <w:rPr>
          <w:i/>
        </w:rPr>
      </w:pPr>
      <w:r>
        <w:rPr>
          <w:i/>
        </w:rPr>
        <w:t>Budžeta</w:t>
      </w:r>
      <w:r>
        <w:rPr>
          <w:i/>
          <w:spacing w:val="-10"/>
        </w:rPr>
        <w:t xml:space="preserve"> </w:t>
      </w:r>
      <w:r>
        <w:rPr>
          <w:i/>
        </w:rPr>
        <w:t>iestāde</w:t>
      </w:r>
      <w:r>
        <w:rPr>
          <w:i/>
          <w:spacing w:val="-11"/>
        </w:rPr>
        <w:t xml:space="preserve"> </w:t>
      </w:r>
      <w:r>
        <w:rPr>
          <w:i/>
        </w:rPr>
        <w:t>aprēķina</w:t>
      </w:r>
      <w:r>
        <w:rPr>
          <w:i/>
          <w:spacing w:val="-12"/>
        </w:rPr>
        <w:t xml:space="preserve"> </w:t>
      </w:r>
      <w:r>
        <w:rPr>
          <w:i/>
        </w:rPr>
        <w:t>uzkrājuma</w:t>
      </w:r>
      <w:r>
        <w:rPr>
          <w:i/>
          <w:spacing w:val="-11"/>
        </w:rPr>
        <w:t xml:space="preserve"> </w:t>
      </w:r>
      <w:r>
        <w:rPr>
          <w:i/>
        </w:rPr>
        <w:t>pašreizējo</w:t>
      </w:r>
      <w:r>
        <w:rPr>
          <w:i/>
          <w:spacing w:val="-9"/>
        </w:rPr>
        <w:t xml:space="preserve"> </w:t>
      </w:r>
      <w:r>
        <w:rPr>
          <w:i/>
        </w:rPr>
        <w:t>vērtību</w:t>
      </w:r>
      <w:r>
        <w:rPr>
          <w:i/>
          <w:spacing w:val="-9"/>
        </w:rPr>
        <w:t xml:space="preserve"> </w:t>
      </w:r>
      <w:r>
        <w:rPr>
          <w:i/>
        </w:rPr>
        <w:t>2020.</w:t>
      </w:r>
      <w:r>
        <w:rPr>
          <w:i/>
          <w:spacing w:val="-2"/>
        </w:rPr>
        <w:t xml:space="preserve"> </w:t>
      </w:r>
      <w:r>
        <w:rPr>
          <w:i/>
        </w:rPr>
        <w:t>gada</w:t>
      </w:r>
      <w:r>
        <w:rPr>
          <w:i/>
          <w:spacing w:val="-11"/>
        </w:rPr>
        <w:t xml:space="preserve"> </w:t>
      </w:r>
      <w:r>
        <w:rPr>
          <w:i/>
        </w:rPr>
        <w:t>pārskata</w:t>
      </w:r>
      <w:r>
        <w:rPr>
          <w:i/>
          <w:spacing w:val="-9"/>
        </w:rPr>
        <w:t xml:space="preserve"> </w:t>
      </w:r>
      <w:r>
        <w:rPr>
          <w:i/>
        </w:rPr>
        <w:t>datumā,</w:t>
      </w:r>
      <w:r>
        <w:rPr>
          <w:i/>
          <w:spacing w:val="-10"/>
        </w:rPr>
        <w:t xml:space="preserve"> </w:t>
      </w:r>
      <w:r>
        <w:rPr>
          <w:i/>
        </w:rPr>
        <w:t>izmantojot</w:t>
      </w:r>
      <w:r>
        <w:rPr>
          <w:i/>
          <w:spacing w:val="-10"/>
        </w:rPr>
        <w:t xml:space="preserve"> </w:t>
      </w:r>
      <w:r>
        <w:rPr>
          <w:i/>
        </w:rPr>
        <w:t>2020. gada attiecīgo diskonta likmi</w:t>
      </w:r>
      <w:r>
        <w:rPr>
          <w:i/>
          <w:spacing w:val="-3"/>
        </w:rPr>
        <w:t xml:space="preserve"> </w:t>
      </w:r>
      <w:r>
        <w:rPr>
          <w:i/>
        </w:rPr>
        <w:t>(14%):</w:t>
      </w:r>
    </w:p>
    <w:p w14:paraId="244139C2" w14:textId="77777777" w:rsidR="00AF1383" w:rsidRDefault="00AF1383" w:rsidP="00CD363C">
      <w:pPr>
        <w:pStyle w:val="Pamatteksts"/>
        <w:ind w:left="3629" w:right="-66"/>
        <w:jc w:val="both"/>
        <w:rPr>
          <w:rFonts w:ascii="DejaVu Serif"/>
        </w:rPr>
      </w:pPr>
      <w:r>
        <w:rPr>
          <w:rFonts w:ascii="DejaVu Serif"/>
          <w:w w:val="95"/>
        </w:rPr>
        <w:t>200 000</w:t>
      </w:r>
    </w:p>
    <w:p w14:paraId="75519C4B" w14:textId="77777777" w:rsidR="00AF1383" w:rsidRDefault="00870ECE" w:rsidP="00CD363C">
      <w:pPr>
        <w:pStyle w:val="Pamatteksts"/>
        <w:ind w:right="-66"/>
        <w:jc w:val="both"/>
        <w:rPr>
          <w:rFonts w:ascii="DejaVu Serif" w:eastAsia="DejaVu Serif"/>
        </w:rPr>
      </w:pPr>
      <w:r>
        <w:rPr>
          <w:noProof/>
        </w:rPr>
        <mc:AlternateContent>
          <mc:Choice Requires="wps">
            <w:drawing>
              <wp:anchor distT="0" distB="0" distL="114300" distR="114300" simplePos="0" relativeHeight="251665408" behindDoc="1" locked="0" layoutInCell="1" allowOverlap="1" wp14:anchorId="43F36B35" wp14:editId="6C64AFA3">
                <wp:simplePos x="0" y="0"/>
                <wp:positionH relativeFrom="page">
                  <wp:posOffset>2972435</wp:posOffset>
                </wp:positionH>
                <wp:positionV relativeFrom="paragraph">
                  <wp:posOffset>82550</wp:posOffset>
                </wp:positionV>
                <wp:extent cx="685800" cy="0"/>
                <wp:effectExtent l="10160" t="12065" r="8890" b="6985"/>
                <wp:wrapNone/>
                <wp:docPr id="3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167CD"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Es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HjSh&#10;LB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+ 0,14)</w:t>
      </w:r>
      <w:r w:rsidR="00AF1383">
        <w:rPr>
          <w:rFonts w:ascii="DejaVu Serif" w:eastAsia="DejaVu Serif"/>
          <w:position w:val="-7"/>
          <w:sz w:val="16"/>
        </w:rPr>
        <w:t xml:space="preserve">4 </w:t>
      </w:r>
      <w:r w:rsidR="00AF1383">
        <w:rPr>
          <w:rFonts w:ascii="DejaVu Serif" w:eastAsia="DejaVu Serif"/>
        </w:rPr>
        <w:t>= 118 416,06 𝐸𝑈𝑅</w:t>
      </w:r>
    </w:p>
    <w:p w14:paraId="56E5DAC3" w14:textId="77777777" w:rsidR="00AF1383" w:rsidRDefault="00AF1383" w:rsidP="00CD363C">
      <w:pPr>
        <w:spacing w:after="0" w:line="240" w:lineRule="auto"/>
        <w:ind w:left="218" w:right="-66"/>
        <w:jc w:val="both"/>
        <w:rPr>
          <w:i/>
        </w:rPr>
      </w:pPr>
      <w:r>
        <w:rPr>
          <w:i/>
        </w:rPr>
        <w:t>Budžeta iestāde aprēķina ieņēmumus no uzkrājumu pašreizējās vērtības samazināšanās diskonta likmes palielināšanās rezultātā, salīdzinot uzkrājumu pašreizējo vērtību, kas aprēķināta, izmantojot iepriekšējā perioda</w:t>
      </w:r>
      <w:r>
        <w:rPr>
          <w:i/>
          <w:spacing w:val="-17"/>
        </w:rPr>
        <w:t xml:space="preserve"> </w:t>
      </w:r>
      <w:r>
        <w:rPr>
          <w:i/>
        </w:rPr>
        <w:t>jeb</w:t>
      </w:r>
      <w:r>
        <w:rPr>
          <w:i/>
          <w:spacing w:val="-15"/>
        </w:rPr>
        <w:t xml:space="preserve"> </w:t>
      </w:r>
      <w:r>
        <w:rPr>
          <w:i/>
        </w:rPr>
        <w:t>2019.</w:t>
      </w:r>
      <w:r>
        <w:rPr>
          <w:i/>
          <w:spacing w:val="-1"/>
        </w:rPr>
        <w:t xml:space="preserve"> </w:t>
      </w:r>
      <w:r>
        <w:rPr>
          <w:i/>
        </w:rPr>
        <w:t>gada</w:t>
      </w:r>
      <w:r>
        <w:rPr>
          <w:i/>
          <w:spacing w:val="-17"/>
        </w:rPr>
        <w:t xml:space="preserve"> </w:t>
      </w:r>
      <w:r>
        <w:rPr>
          <w:i/>
        </w:rPr>
        <w:t>attiecīgo</w:t>
      </w:r>
      <w:r>
        <w:rPr>
          <w:i/>
          <w:spacing w:val="-16"/>
        </w:rPr>
        <w:t xml:space="preserve"> </w:t>
      </w:r>
      <w:r>
        <w:rPr>
          <w:i/>
        </w:rPr>
        <w:t>diskonta</w:t>
      </w:r>
      <w:r>
        <w:rPr>
          <w:i/>
          <w:spacing w:val="-18"/>
        </w:rPr>
        <w:t xml:space="preserve"> </w:t>
      </w:r>
      <w:r>
        <w:rPr>
          <w:i/>
        </w:rPr>
        <w:t>likmi</w:t>
      </w:r>
      <w:r>
        <w:rPr>
          <w:i/>
          <w:spacing w:val="-12"/>
        </w:rPr>
        <w:t xml:space="preserve"> </w:t>
      </w:r>
      <w:r>
        <w:rPr>
          <w:i/>
        </w:rPr>
        <w:t>(12%)</w:t>
      </w:r>
      <w:r>
        <w:rPr>
          <w:i/>
          <w:spacing w:val="-15"/>
        </w:rPr>
        <w:t xml:space="preserve"> </w:t>
      </w:r>
      <w:r>
        <w:rPr>
          <w:i/>
        </w:rPr>
        <w:t>un</w:t>
      </w:r>
      <w:r>
        <w:rPr>
          <w:i/>
          <w:spacing w:val="-14"/>
        </w:rPr>
        <w:t xml:space="preserve"> </w:t>
      </w:r>
      <w:r>
        <w:rPr>
          <w:i/>
        </w:rPr>
        <w:t>pārskata</w:t>
      </w:r>
      <w:r>
        <w:rPr>
          <w:i/>
          <w:spacing w:val="-16"/>
        </w:rPr>
        <w:t xml:space="preserve"> </w:t>
      </w:r>
      <w:r>
        <w:rPr>
          <w:i/>
        </w:rPr>
        <w:t>perioda</w:t>
      </w:r>
      <w:r>
        <w:rPr>
          <w:i/>
          <w:spacing w:val="-18"/>
        </w:rPr>
        <w:t xml:space="preserve"> </w:t>
      </w:r>
      <w:r>
        <w:rPr>
          <w:i/>
        </w:rPr>
        <w:t>jeb</w:t>
      </w:r>
      <w:r>
        <w:rPr>
          <w:i/>
          <w:spacing w:val="-15"/>
        </w:rPr>
        <w:t xml:space="preserve"> </w:t>
      </w:r>
      <w:r>
        <w:rPr>
          <w:i/>
        </w:rPr>
        <w:t>2020.</w:t>
      </w:r>
      <w:r>
        <w:rPr>
          <w:i/>
          <w:spacing w:val="1"/>
        </w:rPr>
        <w:t xml:space="preserve"> </w:t>
      </w:r>
      <w:r>
        <w:rPr>
          <w:i/>
        </w:rPr>
        <w:t>gada</w:t>
      </w:r>
      <w:r>
        <w:rPr>
          <w:i/>
          <w:spacing w:val="-16"/>
        </w:rPr>
        <w:t xml:space="preserve"> </w:t>
      </w:r>
      <w:r>
        <w:rPr>
          <w:i/>
        </w:rPr>
        <w:t>attiecīgo</w:t>
      </w:r>
      <w:r>
        <w:rPr>
          <w:i/>
          <w:spacing w:val="-16"/>
        </w:rPr>
        <w:t xml:space="preserve"> </w:t>
      </w:r>
      <w:r>
        <w:rPr>
          <w:i/>
        </w:rPr>
        <w:t>diskonta likmi (14%):</w:t>
      </w:r>
    </w:p>
    <w:p w14:paraId="4B064BDF" w14:textId="77777777" w:rsidR="00AF1383" w:rsidRDefault="00AF1383" w:rsidP="00CD363C">
      <w:pPr>
        <w:pStyle w:val="Pamatteksts"/>
        <w:ind w:left="2458" w:right="-66"/>
        <w:jc w:val="both"/>
        <w:rPr>
          <w:rFonts w:ascii="DejaVu Serif" w:eastAsia="DejaVu Serif" w:hAnsi="DejaVu Serif"/>
        </w:rPr>
      </w:pPr>
      <w:r>
        <w:rPr>
          <w:rFonts w:ascii="DejaVu Serif" w:eastAsia="DejaVu Serif" w:hAnsi="DejaVu Serif"/>
        </w:rPr>
        <w:t>127 103,62 𝐸𝑈𝑅 − 118 416,06 𝐸𝑈𝑅 = 8 687,56 𝐸𝑈𝑅</w:t>
      </w:r>
    </w:p>
    <w:p w14:paraId="4B998C78" w14:textId="77777777" w:rsidR="00AF1383" w:rsidRDefault="00AF1383" w:rsidP="00CD363C">
      <w:pPr>
        <w:pStyle w:val="Pamatteksts"/>
        <w:ind w:right="-66"/>
        <w:jc w:val="both"/>
        <w:rPr>
          <w:rFonts w:ascii="DejaVu Serif"/>
          <w:sz w:val="19"/>
        </w:rPr>
      </w:pPr>
    </w:p>
    <w:p w14:paraId="5CAEA4FE" w14:textId="77777777" w:rsidR="00AF1383" w:rsidRDefault="00AF1383" w:rsidP="00CD363C">
      <w:pPr>
        <w:spacing w:after="0" w:line="240" w:lineRule="auto"/>
        <w:ind w:left="218" w:right="-66"/>
        <w:jc w:val="both"/>
        <w:rPr>
          <w:i/>
        </w:rPr>
      </w:pPr>
      <w:r>
        <w:rPr>
          <w:i/>
        </w:rPr>
        <w:t>Grāmatojums 2020. gada pārskata datumā, atzīstot ieņēmumus no diskonta likmes palielināšanās, kā rezultātā ir samazinājusies uzkrājumu pašreizējā vērtība:</w:t>
      </w:r>
    </w:p>
    <w:p w14:paraId="32FC9677" w14:textId="77777777" w:rsidR="00AF1383" w:rsidRDefault="00AF1383" w:rsidP="00CD363C">
      <w:pPr>
        <w:pStyle w:val="Pamatteksts"/>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4277"/>
        <w:gridCol w:w="1910"/>
      </w:tblGrid>
      <w:tr w:rsidR="00AF1383" w14:paraId="7C45D250" w14:textId="77777777" w:rsidTr="00AF1383">
        <w:trPr>
          <w:trHeight w:val="287"/>
        </w:trPr>
        <w:tc>
          <w:tcPr>
            <w:tcW w:w="605" w:type="dxa"/>
          </w:tcPr>
          <w:p w14:paraId="1F25262E" w14:textId="77777777" w:rsidR="00AF1383" w:rsidRDefault="00AF1383" w:rsidP="00CD363C">
            <w:pPr>
              <w:pStyle w:val="TableParagraph"/>
              <w:ind w:left="200" w:right="-66"/>
              <w:jc w:val="both"/>
              <w:rPr>
                <w:i/>
              </w:rPr>
            </w:pPr>
            <w:r>
              <w:rPr>
                <w:i/>
              </w:rPr>
              <w:t>D</w:t>
            </w:r>
          </w:p>
        </w:tc>
        <w:tc>
          <w:tcPr>
            <w:tcW w:w="1105" w:type="dxa"/>
          </w:tcPr>
          <w:p w14:paraId="6F36691B" w14:textId="77777777" w:rsidR="00AF1383" w:rsidRDefault="00AF1383" w:rsidP="00CD363C">
            <w:pPr>
              <w:pStyle w:val="TableParagraph"/>
              <w:ind w:left="245" w:right="-66"/>
              <w:jc w:val="both"/>
              <w:rPr>
                <w:i/>
              </w:rPr>
            </w:pPr>
            <w:r>
              <w:rPr>
                <w:i/>
              </w:rPr>
              <w:t>4000</w:t>
            </w:r>
          </w:p>
        </w:tc>
        <w:tc>
          <w:tcPr>
            <w:tcW w:w="4277" w:type="dxa"/>
          </w:tcPr>
          <w:p w14:paraId="156B2C12" w14:textId="77777777" w:rsidR="00AF1383" w:rsidRDefault="00AF1383" w:rsidP="00CD363C">
            <w:pPr>
              <w:pStyle w:val="TableParagraph"/>
              <w:ind w:left="417" w:right="-66"/>
              <w:jc w:val="both"/>
              <w:rPr>
                <w:i/>
              </w:rPr>
            </w:pPr>
            <w:r>
              <w:rPr>
                <w:i/>
              </w:rPr>
              <w:t>Uzkrājumi</w:t>
            </w:r>
          </w:p>
        </w:tc>
        <w:tc>
          <w:tcPr>
            <w:tcW w:w="1910" w:type="dxa"/>
          </w:tcPr>
          <w:p w14:paraId="4B865A5F" w14:textId="77777777" w:rsidR="00AF1383" w:rsidRDefault="00AF1383" w:rsidP="00CD363C">
            <w:pPr>
              <w:pStyle w:val="TableParagraph"/>
              <w:tabs>
                <w:tab w:val="left" w:pos="1263"/>
              </w:tabs>
              <w:ind w:right="-66"/>
              <w:jc w:val="both"/>
              <w:rPr>
                <w:i/>
              </w:rPr>
            </w:pPr>
            <w:r>
              <w:rPr>
                <w:i/>
              </w:rPr>
              <w:t>8 687,56 EUR</w:t>
            </w:r>
          </w:p>
        </w:tc>
      </w:tr>
      <w:tr w:rsidR="00AF1383" w14:paraId="50B75AD3" w14:textId="77777777" w:rsidTr="00AF1383">
        <w:trPr>
          <w:trHeight w:val="287"/>
        </w:trPr>
        <w:tc>
          <w:tcPr>
            <w:tcW w:w="605" w:type="dxa"/>
          </w:tcPr>
          <w:p w14:paraId="1DA2452B" w14:textId="77777777" w:rsidR="00AF1383" w:rsidRDefault="00AF1383" w:rsidP="00CD363C">
            <w:pPr>
              <w:pStyle w:val="TableParagraph"/>
              <w:ind w:left="200" w:right="-66"/>
              <w:jc w:val="both"/>
              <w:rPr>
                <w:i/>
              </w:rPr>
            </w:pPr>
            <w:r>
              <w:rPr>
                <w:i/>
              </w:rPr>
              <w:t>K</w:t>
            </w:r>
          </w:p>
        </w:tc>
        <w:tc>
          <w:tcPr>
            <w:tcW w:w="1105" w:type="dxa"/>
          </w:tcPr>
          <w:p w14:paraId="75445111" w14:textId="77777777" w:rsidR="00AF1383" w:rsidRDefault="00AF1383" w:rsidP="00CD363C">
            <w:pPr>
              <w:pStyle w:val="TableParagraph"/>
              <w:ind w:left="245" w:right="-66"/>
              <w:jc w:val="both"/>
              <w:rPr>
                <w:i/>
              </w:rPr>
            </w:pPr>
            <w:r>
              <w:rPr>
                <w:i/>
              </w:rPr>
              <w:t>8560</w:t>
            </w:r>
          </w:p>
        </w:tc>
        <w:tc>
          <w:tcPr>
            <w:tcW w:w="4277" w:type="dxa"/>
          </w:tcPr>
          <w:p w14:paraId="58E70032" w14:textId="77777777" w:rsidR="00AF1383" w:rsidRDefault="00AF1383" w:rsidP="00CD363C">
            <w:pPr>
              <w:pStyle w:val="TableParagraph"/>
              <w:ind w:left="417" w:right="-66"/>
              <w:jc w:val="both"/>
              <w:rPr>
                <w:i/>
              </w:rPr>
            </w:pPr>
            <w:r>
              <w:rPr>
                <w:i/>
              </w:rPr>
              <w:t>Ieņēmumi no uzkrājumu norakstīšanas</w:t>
            </w:r>
          </w:p>
        </w:tc>
        <w:tc>
          <w:tcPr>
            <w:tcW w:w="1910" w:type="dxa"/>
          </w:tcPr>
          <w:p w14:paraId="30FF644B" w14:textId="77777777" w:rsidR="00AF1383" w:rsidRDefault="00AF1383" w:rsidP="00CD363C">
            <w:pPr>
              <w:pStyle w:val="TableParagraph"/>
              <w:ind w:right="-66"/>
              <w:jc w:val="both"/>
              <w:rPr>
                <w:i/>
              </w:rPr>
            </w:pPr>
            <w:r>
              <w:rPr>
                <w:i/>
              </w:rPr>
              <w:t>8 687,56 EUR</w:t>
            </w:r>
          </w:p>
        </w:tc>
      </w:tr>
    </w:tbl>
    <w:p w14:paraId="252438BB" w14:textId="77777777" w:rsidR="00AF1383" w:rsidRDefault="00AF1383" w:rsidP="00CD363C">
      <w:pPr>
        <w:pStyle w:val="Pamatteksts"/>
        <w:ind w:right="-66"/>
        <w:jc w:val="both"/>
        <w:rPr>
          <w:i/>
          <w:sz w:val="21"/>
        </w:rPr>
      </w:pPr>
    </w:p>
    <w:p w14:paraId="79A11CDF" w14:textId="77777777" w:rsidR="00AF1383" w:rsidRDefault="00AF1383" w:rsidP="00CD363C">
      <w:pPr>
        <w:pStyle w:val="Pamatteksts"/>
        <w:ind w:left="218" w:right="-66"/>
        <w:jc w:val="both"/>
      </w:pPr>
      <w:r>
        <w:t>Turpmākajos</w:t>
      </w:r>
      <w:r>
        <w:rPr>
          <w:spacing w:val="-5"/>
        </w:rPr>
        <w:t xml:space="preserve"> </w:t>
      </w:r>
      <w:r>
        <w:t>periodos</w:t>
      </w:r>
      <w:r>
        <w:rPr>
          <w:spacing w:val="-3"/>
        </w:rPr>
        <w:t xml:space="preserve"> </w:t>
      </w:r>
      <w:r>
        <w:t>budžeta</w:t>
      </w:r>
      <w:r>
        <w:rPr>
          <w:spacing w:val="-7"/>
        </w:rPr>
        <w:t xml:space="preserve"> </w:t>
      </w:r>
      <w:r>
        <w:t>iestāde</w:t>
      </w:r>
      <w:r>
        <w:rPr>
          <w:spacing w:val="-7"/>
        </w:rPr>
        <w:t xml:space="preserve"> </w:t>
      </w:r>
      <w:r>
        <w:t>uzskaita</w:t>
      </w:r>
      <w:r>
        <w:rPr>
          <w:spacing w:val="-4"/>
        </w:rPr>
        <w:t xml:space="preserve"> </w:t>
      </w:r>
      <w:r>
        <w:t>un</w:t>
      </w:r>
      <w:r>
        <w:rPr>
          <w:spacing w:val="-5"/>
        </w:rPr>
        <w:t xml:space="preserve"> </w:t>
      </w:r>
      <w:r>
        <w:t>atzīst</w:t>
      </w:r>
      <w:r>
        <w:rPr>
          <w:spacing w:val="-4"/>
        </w:rPr>
        <w:t xml:space="preserve"> </w:t>
      </w:r>
      <w:r>
        <w:t>izmaiņas</w:t>
      </w:r>
      <w:r>
        <w:rPr>
          <w:spacing w:val="-4"/>
        </w:rPr>
        <w:t xml:space="preserve"> </w:t>
      </w:r>
      <w:r>
        <w:t>uzkrājuma</w:t>
      </w:r>
      <w:r>
        <w:rPr>
          <w:spacing w:val="-4"/>
        </w:rPr>
        <w:t xml:space="preserve"> </w:t>
      </w:r>
      <w:r>
        <w:t>pašreizējā</w:t>
      </w:r>
      <w:r>
        <w:rPr>
          <w:spacing w:val="-4"/>
        </w:rPr>
        <w:t xml:space="preserve"> </w:t>
      </w:r>
      <w:r>
        <w:t>vērtībā,</w:t>
      </w:r>
      <w:r>
        <w:rPr>
          <w:spacing w:val="-4"/>
        </w:rPr>
        <w:t xml:space="preserve"> </w:t>
      </w:r>
      <w:r>
        <w:t>ņemot</w:t>
      </w:r>
      <w:r>
        <w:rPr>
          <w:spacing w:val="-4"/>
        </w:rPr>
        <w:t xml:space="preserve"> </w:t>
      </w:r>
      <w:r>
        <w:t>vērā jebkuras</w:t>
      </w:r>
      <w:r>
        <w:rPr>
          <w:spacing w:val="-10"/>
        </w:rPr>
        <w:t xml:space="preserve"> </w:t>
      </w:r>
      <w:r>
        <w:t>izmaiņas</w:t>
      </w:r>
      <w:r>
        <w:rPr>
          <w:spacing w:val="-6"/>
        </w:rPr>
        <w:t xml:space="preserve"> </w:t>
      </w:r>
      <w:r>
        <w:t>aplēsēs,</w:t>
      </w:r>
      <w:r>
        <w:rPr>
          <w:spacing w:val="-10"/>
        </w:rPr>
        <w:t xml:space="preserve"> </w:t>
      </w:r>
      <w:r>
        <w:t>piemēram,</w:t>
      </w:r>
      <w:r>
        <w:rPr>
          <w:spacing w:val="-7"/>
        </w:rPr>
        <w:t xml:space="preserve"> </w:t>
      </w:r>
      <w:r>
        <w:t>diskonta</w:t>
      </w:r>
      <w:r>
        <w:rPr>
          <w:spacing w:val="-9"/>
        </w:rPr>
        <w:t xml:space="preserve"> </w:t>
      </w:r>
      <w:r>
        <w:t>likmes</w:t>
      </w:r>
      <w:r>
        <w:rPr>
          <w:spacing w:val="-6"/>
        </w:rPr>
        <w:t xml:space="preserve"> </w:t>
      </w:r>
      <w:r>
        <w:t>izmaiņas,</w:t>
      </w:r>
      <w:r>
        <w:rPr>
          <w:spacing w:val="-8"/>
        </w:rPr>
        <w:t xml:space="preserve"> </w:t>
      </w:r>
      <w:r>
        <w:t>izmaiņas</w:t>
      </w:r>
      <w:r>
        <w:rPr>
          <w:spacing w:val="-6"/>
        </w:rPr>
        <w:t xml:space="preserve"> </w:t>
      </w:r>
      <w:r>
        <w:t>paredzamo</w:t>
      </w:r>
      <w:r>
        <w:rPr>
          <w:spacing w:val="-7"/>
        </w:rPr>
        <w:t xml:space="preserve"> </w:t>
      </w:r>
      <w:r>
        <w:t>izdevumu</w:t>
      </w:r>
      <w:r>
        <w:rPr>
          <w:spacing w:val="-7"/>
        </w:rPr>
        <w:t xml:space="preserve"> </w:t>
      </w:r>
      <w:r>
        <w:t>aplēsēs</w:t>
      </w:r>
      <w:r>
        <w:rPr>
          <w:spacing w:val="-7"/>
        </w:rPr>
        <w:t xml:space="preserve"> </w:t>
      </w:r>
      <w:r>
        <w:t>u.c.</w:t>
      </w:r>
    </w:p>
    <w:p w14:paraId="34DD8708" w14:textId="77777777" w:rsidR="003F4C9D" w:rsidRPr="003F4C9D" w:rsidRDefault="003F4C9D"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3F4C9D">
        <w:rPr>
          <w:rFonts w:ascii="Times New Roman" w:hAnsi="Times New Roman" w:cs="Times New Roman"/>
          <w:sz w:val="24"/>
          <w:szCs w:val="24"/>
        </w:rPr>
        <w:t>644. Novērtējot atsevišķu pienākumu, atsevišķais iespējamākais iznākums būs saistību precīzākais novērtējums.</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Tomēr</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pat</w:t>
      </w:r>
      <w:r w:rsidRPr="003F4C9D">
        <w:rPr>
          <w:rFonts w:ascii="Times New Roman" w:hAnsi="Times New Roman" w:cs="Times New Roman"/>
          <w:spacing w:val="-7"/>
          <w:sz w:val="24"/>
          <w:szCs w:val="24"/>
        </w:rPr>
        <w:t xml:space="preserve"> </w:t>
      </w:r>
      <w:r w:rsidRPr="003F4C9D">
        <w:rPr>
          <w:rFonts w:ascii="Times New Roman" w:hAnsi="Times New Roman" w:cs="Times New Roman"/>
          <w:sz w:val="24"/>
          <w:szCs w:val="24"/>
        </w:rPr>
        <w:t>tādā</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gadījumā</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budžeta</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iestāde</w:t>
      </w:r>
      <w:r w:rsidRPr="003F4C9D">
        <w:rPr>
          <w:rFonts w:ascii="Times New Roman" w:hAnsi="Times New Roman" w:cs="Times New Roman"/>
          <w:spacing w:val="-8"/>
          <w:sz w:val="24"/>
          <w:szCs w:val="24"/>
        </w:rPr>
        <w:t xml:space="preserve"> </w:t>
      </w:r>
      <w:r w:rsidRPr="003F4C9D">
        <w:rPr>
          <w:rFonts w:ascii="Times New Roman" w:hAnsi="Times New Roman" w:cs="Times New Roman"/>
          <w:sz w:val="24"/>
          <w:szCs w:val="24"/>
        </w:rPr>
        <w:t>ņem</w:t>
      </w:r>
      <w:r w:rsidRPr="003F4C9D">
        <w:rPr>
          <w:rFonts w:ascii="Times New Roman" w:hAnsi="Times New Roman" w:cs="Times New Roman"/>
          <w:spacing w:val="-7"/>
          <w:sz w:val="24"/>
          <w:szCs w:val="24"/>
        </w:rPr>
        <w:t xml:space="preserve"> </w:t>
      </w:r>
      <w:r w:rsidRPr="003F4C9D">
        <w:rPr>
          <w:rFonts w:ascii="Times New Roman" w:hAnsi="Times New Roman" w:cs="Times New Roman"/>
          <w:sz w:val="24"/>
          <w:szCs w:val="24"/>
        </w:rPr>
        <w:t>vērā</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citus</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iespējamos</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iznākumus.</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Ja</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citi iespējamie</w:t>
      </w:r>
      <w:r w:rsidRPr="003F4C9D">
        <w:rPr>
          <w:rFonts w:ascii="Times New Roman" w:hAnsi="Times New Roman" w:cs="Times New Roman"/>
          <w:spacing w:val="-15"/>
          <w:sz w:val="24"/>
          <w:szCs w:val="24"/>
        </w:rPr>
        <w:t xml:space="preserve"> </w:t>
      </w:r>
      <w:r w:rsidRPr="003F4C9D">
        <w:rPr>
          <w:rFonts w:ascii="Times New Roman" w:hAnsi="Times New Roman" w:cs="Times New Roman"/>
          <w:sz w:val="24"/>
          <w:szCs w:val="24"/>
        </w:rPr>
        <w:t>iznākumi</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ir</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pārsvarā</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lielāki</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vai</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mazāki</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par</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iespējamo</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iznākumu,</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precīzākais</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 xml:space="preserve">novērtējums būs lielāka vai mazāka summa. </w:t>
      </w:r>
    </w:p>
    <w:p w14:paraId="319206AA" w14:textId="77777777" w:rsidR="003F4C9D" w:rsidRDefault="003F4C9D" w:rsidP="00CD363C">
      <w:pPr>
        <w:widowControl w:val="0"/>
        <w:tabs>
          <w:tab w:val="left" w:pos="898"/>
        </w:tabs>
        <w:autoSpaceDE w:val="0"/>
        <w:autoSpaceDN w:val="0"/>
        <w:spacing w:after="0" w:line="240" w:lineRule="auto"/>
        <w:ind w:right="-66"/>
        <w:jc w:val="both"/>
        <w:rPr>
          <w:rFonts w:ascii="Times New Roman" w:hAnsi="Times New Roman" w:cs="Times New Roman"/>
          <w:i/>
          <w:sz w:val="24"/>
          <w:szCs w:val="24"/>
        </w:rPr>
      </w:pPr>
      <w:r w:rsidRPr="003F4C9D">
        <w:rPr>
          <w:rFonts w:ascii="Times New Roman" w:hAnsi="Times New Roman" w:cs="Times New Roman"/>
          <w:b/>
          <w:i/>
          <w:sz w:val="24"/>
          <w:szCs w:val="24"/>
        </w:rPr>
        <w:t>Piemēram,</w:t>
      </w:r>
      <w:r w:rsidRPr="003F4C9D">
        <w:rPr>
          <w:rFonts w:ascii="Times New Roman" w:hAnsi="Times New Roman" w:cs="Times New Roman"/>
          <w:i/>
          <w:sz w:val="24"/>
          <w:szCs w:val="24"/>
        </w:rPr>
        <w:t xml:space="preserve"> ja budžeta iestādei jānovērš dabai radītais attīrīšanas iekārtas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piesārņojums,</w:t>
      </w:r>
      <w:r w:rsidRPr="003F4C9D">
        <w:rPr>
          <w:rFonts w:ascii="Times New Roman" w:hAnsi="Times New Roman" w:cs="Times New Roman"/>
          <w:i/>
          <w:spacing w:val="-6"/>
          <w:sz w:val="24"/>
          <w:szCs w:val="24"/>
        </w:rPr>
        <w:t xml:space="preserve"> </w:t>
      </w:r>
      <w:r w:rsidRPr="003F4C9D">
        <w:rPr>
          <w:rFonts w:ascii="Times New Roman" w:hAnsi="Times New Roman" w:cs="Times New Roman"/>
          <w:i/>
          <w:sz w:val="24"/>
          <w:szCs w:val="24"/>
        </w:rPr>
        <w:t>atsevišķais</w:t>
      </w:r>
      <w:r w:rsidRPr="003F4C9D">
        <w:rPr>
          <w:rFonts w:ascii="Times New Roman" w:hAnsi="Times New Roman" w:cs="Times New Roman"/>
          <w:i/>
          <w:spacing w:val="-7"/>
          <w:sz w:val="24"/>
          <w:szCs w:val="24"/>
        </w:rPr>
        <w:t xml:space="preserve"> </w:t>
      </w:r>
      <w:r w:rsidRPr="003F4C9D">
        <w:rPr>
          <w:rFonts w:ascii="Times New Roman" w:hAnsi="Times New Roman" w:cs="Times New Roman"/>
          <w:i/>
          <w:sz w:val="24"/>
          <w:szCs w:val="24"/>
        </w:rPr>
        <w:t>iespējamākais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iznākums</w:t>
      </w:r>
      <w:r w:rsidRPr="003F4C9D">
        <w:rPr>
          <w:rFonts w:ascii="Times New Roman" w:hAnsi="Times New Roman" w:cs="Times New Roman"/>
          <w:i/>
          <w:spacing w:val="-1"/>
          <w:sz w:val="24"/>
          <w:szCs w:val="24"/>
        </w:rPr>
        <w:t xml:space="preserve"> </w:t>
      </w:r>
      <w:r w:rsidRPr="003F4C9D">
        <w:rPr>
          <w:rFonts w:ascii="Times New Roman" w:hAnsi="Times New Roman" w:cs="Times New Roman"/>
          <w:i/>
          <w:sz w:val="24"/>
          <w:szCs w:val="24"/>
        </w:rPr>
        <w:t>var</w:t>
      </w:r>
      <w:r w:rsidRPr="003F4C9D">
        <w:rPr>
          <w:rFonts w:ascii="Times New Roman" w:hAnsi="Times New Roman" w:cs="Times New Roman"/>
          <w:i/>
          <w:spacing w:val="-4"/>
          <w:sz w:val="24"/>
          <w:szCs w:val="24"/>
        </w:rPr>
        <w:t xml:space="preserve"> </w:t>
      </w:r>
      <w:r w:rsidRPr="003F4C9D">
        <w:rPr>
          <w:rFonts w:ascii="Times New Roman" w:hAnsi="Times New Roman" w:cs="Times New Roman"/>
          <w:i/>
          <w:sz w:val="24"/>
          <w:szCs w:val="24"/>
        </w:rPr>
        <w:t>būt</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tāds,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ka</w:t>
      </w:r>
      <w:r w:rsidRPr="003F4C9D">
        <w:rPr>
          <w:rFonts w:ascii="Times New Roman" w:hAnsi="Times New Roman" w:cs="Times New Roman"/>
          <w:i/>
          <w:spacing w:val="-4"/>
          <w:sz w:val="24"/>
          <w:szCs w:val="24"/>
        </w:rPr>
        <w:t xml:space="preserve"> </w:t>
      </w:r>
      <w:r w:rsidRPr="003F4C9D">
        <w:rPr>
          <w:rFonts w:ascii="Times New Roman" w:hAnsi="Times New Roman" w:cs="Times New Roman"/>
          <w:i/>
          <w:sz w:val="24"/>
          <w:szCs w:val="24"/>
        </w:rPr>
        <w:t>būs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nepieciešams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darba apjoms,</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kurš</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izmaksās</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1</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milj.</w:t>
      </w:r>
      <w:r w:rsidRPr="003F4C9D">
        <w:rPr>
          <w:rFonts w:ascii="Times New Roman" w:hAnsi="Times New Roman" w:cs="Times New Roman"/>
          <w:i/>
          <w:spacing w:val="-14"/>
          <w:sz w:val="24"/>
          <w:szCs w:val="24"/>
        </w:rPr>
        <w:t xml:space="preserve"> </w:t>
      </w:r>
      <w:r w:rsidRPr="003F4C9D">
        <w:rPr>
          <w:rFonts w:ascii="Times New Roman" w:hAnsi="Times New Roman" w:cs="Times New Roman"/>
          <w:i/>
          <w:sz w:val="24"/>
          <w:szCs w:val="24"/>
        </w:rPr>
        <w:t>EUR,</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bet,</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ja</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ir</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pietiekama</w:t>
      </w:r>
      <w:r w:rsidRPr="003F4C9D">
        <w:rPr>
          <w:rFonts w:ascii="Times New Roman" w:hAnsi="Times New Roman" w:cs="Times New Roman"/>
          <w:i/>
          <w:spacing w:val="-17"/>
          <w:sz w:val="24"/>
          <w:szCs w:val="24"/>
        </w:rPr>
        <w:t xml:space="preserve"> </w:t>
      </w:r>
      <w:r w:rsidRPr="003F4C9D">
        <w:rPr>
          <w:rFonts w:ascii="Times New Roman" w:hAnsi="Times New Roman" w:cs="Times New Roman"/>
          <w:i/>
          <w:sz w:val="24"/>
          <w:szCs w:val="24"/>
        </w:rPr>
        <w:t>pārliecība,</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ka</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būs</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nepieciešams</w:t>
      </w:r>
      <w:r w:rsidRPr="003F4C9D">
        <w:rPr>
          <w:rFonts w:ascii="Times New Roman" w:hAnsi="Times New Roman" w:cs="Times New Roman"/>
          <w:i/>
          <w:spacing w:val="-13"/>
          <w:sz w:val="24"/>
          <w:szCs w:val="24"/>
        </w:rPr>
        <w:t xml:space="preserve"> </w:t>
      </w:r>
      <w:r w:rsidRPr="003F4C9D">
        <w:rPr>
          <w:rFonts w:ascii="Times New Roman" w:hAnsi="Times New Roman" w:cs="Times New Roman"/>
          <w:i/>
          <w:sz w:val="24"/>
          <w:szCs w:val="24"/>
        </w:rPr>
        <w:t>veikt</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darbus daudz lielākā apjomā, veido uzkrājumus lielākai</w:t>
      </w:r>
      <w:r w:rsidRPr="003F4C9D">
        <w:rPr>
          <w:rFonts w:ascii="Times New Roman" w:hAnsi="Times New Roman" w:cs="Times New Roman"/>
          <w:i/>
          <w:spacing w:val="-3"/>
          <w:sz w:val="24"/>
          <w:szCs w:val="24"/>
        </w:rPr>
        <w:t xml:space="preserve"> </w:t>
      </w:r>
      <w:r w:rsidRPr="003F4C9D">
        <w:rPr>
          <w:rFonts w:ascii="Times New Roman" w:hAnsi="Times New Roman" w:cs="Times New Roman"/>
          <w:i/>
          <w:sz w:val="24"/>
          <w:szCs w:val="24"/>
        </w:rPr>
        <w:t>summai.</w:t>
      </w:r>
    </w:p>
    <w:p w14:paraId="4A16698B" w14:textId="77777777" w:rsidR="003F4C9D" w:rsidRPr="003F4C9D" w:rsidRDefault="003F4C9D"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3F4C9D">
        <w:rPr>
          <w:rFonts w:ascii="Times New Roman" w:hAnsi="Times New Roman" w:cs="Times New Roman"/>
          <w:sz w:val="24"/>
          <w:szCs w:val="24"/>
        </w:rPr>
        <w:t>645. Veicot uzkrājumu precīzāko novērtējumu, jāņem vērā riski un nenoteiktības, kas nenovēršami saistītas ar daudziem notikumiem un</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apstākļiem.</w:t>
      </w:r>
    </w:p>
    <w:p w14:paraId="58DBE5C4" w14:textId="77777777" w:rsidR="003F4C9D" w:rsidRDefault="003F4C9D" w:rsidP="00CD363C">
      <w:pPr>
        <w:widowControl w:val="0"/>
        <w:tabs>
          <w:tab w:val="left" w:pos="898"/>
        </w:tabs>
        <w:autoSpaceDE w:val="0"/>
        <w:autoSpaceDN w:val="0"/>
        <w:spacing w:after="0" w:line="240" w:lineRule="auto"/>
        <w:ind w:right="-66"/>
        <w:jc w:val="both"/>
        <w:rPr>
          <w:i/>
          <w:sz w:val="24"/>
          <w:szCs w:val="24"/>
        </w:rPr>
      </w:pPr>
      <w:r w:rsidRPr="003F4C9D">
        <w:rPr>
          <w:rFonts w:ascii="Times New Roman" w:hAnsi="Times New Roman" w:cs="Times New Roman"/>
          <w:sz w:val="24"/>
          <w:szCs w:val="24"/>
        </w:rPr>
        <w:t>646.Risks raksturo iznākuma mainīgumu. Riska korekcija var palielināt summu, kurā tiek novērtētas saistības. Izdarot spriedumus nenoteiktības apstākļos, nepieciešama piesardzība, lai ieņēmumi vai aktīvi netiktu novērtēti par augstu un izdevumi vai saistības – par zemu. Tomēr nenoteiktība neattaisno pārmērīgi lielu uzkrājumu veidošanu vai saistību apzinātu pārmērīgi augstu novērtēšanu.</w:t>
      </w:r>
      <w:r w:rsidRPr="003F4C9D">
        <w:rPr>
          <w:sz w:val="24"/>
          <w:szCs w:val="24"/>
        </w:rPr>
        <w:t xml:space="preserve"> </w:t>
      </w:r>
      <w:r w:rsidRPr="003F4C9D">
        <w:rPr>
          <w:b/>
          <w:i/>
          <w:sz w:val="24"/>
          <w:szCs w:val="24"/>
        </w:rPr>
        <w:t>Piemēram, j</w:t>
      </w:r>
      <w:r w:rsidRPr="003F4C9D">
        <w:rPr>
          <w:i/>
          <w:sz w:val="24"/>
          <w:szCs w:val="24"/>
        </w:rPr>
        <w:t>a prognozētās izmaksas īpaši nelabvēlīga iznākuma gadījumā tiek aplēstas pēc piesardzības</w:t>
      </w:r>
      <w:r w:rsidRPr="003F4C9D">
        <w:rPr>
          <w:i/>
          <w:spacing w:val="-7"/>
          <w:sz w:val="24"/>
          <w:szCs w:val="24"/>
        </w:rPr>
        <w:t xml:space="preserve"> </w:t>
      </w:r>
      <w:r w:rsidRPr="003F4C9D">
        <w:rPr>
          <w:i/>
          <w:sz w:val="24"/>
          <w:szCs w:val="24"/>
        </w:rPr>
        <w:t>principa,</w:t>
      </w:r>
      <w:r w:rsidRPr="003F4C9D">
        <w:rPr>
          <w:i/>
          <w:spacing w:val="-7"/>
          <w:sz w:val="24"/>
          <w:szCs w:val="24"/>
        </w:rPr>
        <w:t xml:space="preserve"> </w:t>
      </w:r>
      <w:r w:rsidRPr="003F4C9D">
        <w:rPr>
          <w:i/>
          <w:sz w:val="24"/>
          <w:szCs w:val="24"/>
        </w:rPr>
        <w:t>šis</w:t>
      </w:r>
      <w:r w:rsidRPr="003F4C9D">
        <w:rPr>
          <w:i/>
          <w:spacing w:val="-6"/>
          <w:sz w:val="24"/>
          <w:szCs w:val="24"/>
        </w:rPr>
        <w:t xml:space="preserve"> </w:t>
      </w:r>
      <w:r w:rsidRPr="003F4C9D">
        <w:rPr>
          <w:i/>
          <w:sz w:val="24"/>
          <w:szCs w:val="24"/>
        </w:rPr>
        <w:t>iznākums</w:t>
      </w:r>
      <w:r w:rsidRPr="003F4C9D">
        <w:rPr>
          <w:i/>
          <w:spacing w:val="-7"/>
          <w:sz w:val="24"/>
          <w:szCs w:val="24"/>
        </w:rPr>
        <w:t xml:space="preserve"> </w:t>
      </w:r>
      <w:r w:rsidRPr="003F4C9D">
        <w:rPr>
          <w:i/>
          <w:sz w:val="24"/>
          <w:szCs w:val="24"/>
        </w:rPr>
        <w:t>tad</w:t>
      </w:r>
      <w:r w:rsidRPr="003F4C9D">
        <w:rPr>
          <w:i/>
          <w:spacing w:val="-7"/>
          <w:sz w:val="24"/>
          <w:szCs w:val="24"/>
        </w:rPr>
        <w:t xml:space="preserve"> </w:t>
      </w:r>
      <w:r w:rsidRPr="003F4C9D">
        <w:rPr>
          <w:i/>
          <w:sz w:val="24"/>
          <w:szCs w:val="24"/>
        </w:rPr>
        <w:t>netiek</w:t>
      </w:r>
      <w:r w:rsidRPr="003F4C9D">
        <w:rPr>
          <w:i/>
          <w:spacing w:val="-4"/>
          <w:sz w:val="24"/>
          <w:szCs w:val="24"/>
        </w:rPr>
        <w:t xml:space="preserve"> </w:t>
      </w:r>
      <w:r w:rsidRPr="003F4C9D">
        <w:rPr>
          <w:i/>
          <w:sz w:val="24"/>
          <w:szCs w:val="24"/>
        </w:rPr>
        <w:t>apzināti</w:t>
      </w:r>
      <w:r w:rsidRPr="003F4C9D">
        <w:rPr>
          <w:i/>
          <w:spacing w:val="-5"/>
          <w:sz w:val="24"/>
          <w:szCs w:val="24"/>
        </w:rPr>
        <w:t xml:space="preserve"> </w:t>
      </w:r>
      <w:r w:rsidRPr="003F4C9D">
        <w:rPr>
          <w:i/>
          <w:sz w:val="24"/>
          <w:szCs w:val="24"/>
        </w:rPr>
        <w:t>uzskatīts</w:t>
      </w:r>
      <w:r w:rsidRPr="003F4C9D">
        <w:rPr>
          <w:i/>
          <w:spacing w:val="-7"/>
          <w:sz w:val="24"/>
          <w:szCs w:val="24"/>
        </w:rPr>
        <w:t xml:space="preserve"> </w:t>
      </w:r>
      <w:r w:rsidRPr="003F4C9D">
        <w:rPr>
          <w:i/>
          <w:sz w:val="24"/>
          <w:szCs w:val="24"/>
        </w:rPr>
        <w:t>par</w:t>
      </w:r>
      <w:r w:rsidRPr="003F4C9D">
        <w:rPr>
          <w:i/>
          <w:spacing w:val="-7"/>
          <w:sz w:val="24"/>
          <w:szCs w:val="24"/>
        </w:rPr>
        <w:t xml:space="preserve"> </w:t>
      </w:r>
      <w:r w:rsidRPr="003F4C9D">
        <w:rPr>
          <w:i/>
          <w:sz w:val="24"/>
          <w:szCs w:val="24"/>
        </w:rPr>
        <w:t>ticamāku,</w:t>
      </w:r>
      <w:r w:rsidRPr="003F4C9D">
        <w:rPr>
          <w:i/>
          <w:spacing w:val="-4"/>
          <w:sz w:val="24"/>
          <w:szCs w:val="24"/>
        </w:rPr>
        <w:t xml:space="preserve"> </w:t>
      </w:r>
      <w:r w:rsidRPr="003F4C9D">
        <w:rPr>
          <w:i/>
          <w:sz w:val="24"/>
          <w:szCs w:val="24"/>
        </w:rPr>
        <w:t>nekā</w:t>
      </w:r>
      <w:r w:rsidRPr="003F4C9D">
        <w:rPr>
          <w:i/>
          <w:spacing w:val="-5"/>
          <w:sz w:val="24"/>
          <w:szCs w:val="24"/>
        </w:rPr>
        <w:t xml:space="preserve"> </w:t>
      </w:r>
      <w:r w:rsidRPr="003F4C9D">
        <w:rPr>
          <w:i/>
          <w:sz w:val="24"/>
          <w:szCs w:val="24"/>
        </w:rPr>
        <w:t>tas</w:t>
      </w:r>
      <w:r w:rsidRPr="003F4C9D">
        <w:rPr>
          <w:i/>
          <w:spacing w:val="-4"/>
          <w:sz w:val="24"/>
          <w:szCs w:val="24"/>
        </w:rPr>
        <w:t xml:space="preserve"> </w:t>
      </w:r>
      <w:r w:rsidRPr="003F4C9D">
        <w:rPr>
          <w:i/>
          <w:sz w:val="24"/>
          <w:szCs w:val="24"/>
        </w:rPr>
        <w:t>ir</w:t>
      </w:r>
      <w:r w:rsidRPr="003F4C9D">
        <w:rPr>
          <w:i/>
          <w:spacing w:val="-4"/>
          <w:sz w:val="24"/>
          <w:szCs w:val="24"/>
        </w:rPr>
        <w:t xml:space="preserve"> </w:t>
      </w:r>
      <w:r w:rsidRPr="003F4C9D">
        <w:rPr>
          <w:i/>
          <w:sz w:val="24"/>
          <w:szCs w:val="24"/>
        </w:rPr>
        <w:t>patiesībā. Jārīkojas piesardzīgi, lai izvairītos no riska un nenoteiktības korekciju dublēšanas un uzkrājumu pārmērīgi augstas</w:t>
      </w:r>
      <w:r w:rsidRPr="003F4C9D">
        <w:rPr>
          <w:i/>
          <w:spacing w:val="-3"/>
          <w:sz w:val="24"/>
          <w:szCs w:val="24"/>
        </w:rPr>
        <w:t xml:space="preserve"> </w:t>
      </w:r>
      <w:r w:rsidRPr="003F4C9D">
        <w:rPr>
          <w:i/>
          <w:sz w:val="24"/>
          <w:szCs w:val="24"/>
        </w:rPr>
        <w:t>novērtēšanas.</w:t>
      </w:r>
    </w:p>
    <w:p w14:paraId="070A7C1B" w14:textId="77777777" w:rsidR="003F4C9D" w:rsidRPr="003F4C9D" w:rsidRDefault="003F4C9D" w:rsidP="00CD363C">
      <w:pPr>
        <w:spacing w:after="0" w:line="240" w:lineRule="auto"/>
        <w:ind w:right="-66"/>
        <w:jc w:val="both"/>
        <w:rPr>
          <w:rFonts w:ascii="Times New Roman" w:hAnsi="Times New Roman" w:cs="Times New Roman"/>
          <w:sz w:val="24"/>
          <w:szCs w:val="24"/>
        </w:rPr>
      </w:pPr>
      <w:r w:rsidRPr="003F4C9D">
        <w:rPr>
          <w:sz w:val="24"/>
          <w:szCs w:val="24"/>
        </w:rPr>
        <w:t>647</w:t>
      </w:r>
      <w:r w:rsidRPr="003F4C9D">
        <w:rPr>
          <w:rFonts w:ascii="Times New Roman" w:hAnsi="Times New Roman" w:cs="Times New Roman"/>
          <w:sz w:val="24"/>
          <w:szCs w:val="24"/>
        </w:rPr>
        <w:t>. Budžeta</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iestāde</w:t>
      </w:r>
      <w:r w:rsidRPr="003F4C9D">
        <w:rPr>
          <w:rFonts w:ascii="Times New Roman" w:hAnsi="Times New Roman" w:cs="Times New Roman"/>
          <w:spacing w:val="-10"/>
          <w:sz w:val="24"/>
          <w:szCs w:val="24"/>
        </w:rPr>
        <w:t xml:space="preserve"> </w:t>
      </w:r>
      <w:r w:rsidRPr="003F4C9D">
        <w:rPr>
          <w:rFonts w:ascii="Times New Roman" w:hAnsi="Times New Roman" w:cs="Times New Roman"/>
          <w:sz w:val="24"/>
          <w:szCs w:val="24"/>
        </w:rPr>
        <w:t>ņem</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vērā</w:t>
      </w:r>
      <w:r w:rsidRPr="003F4C9D">
        <w:rPr>
          <w:rFonts w:ascii="Times New Roman" w:hAnsi="Times New Roman" w:cs="Times New Roman"/>
          <w:spacing w:val="-8"/>
          <w:sz w:val="24"/>
          <w:szCs w:val="24"/>
        </w:rPr>
        <w:t xml:space="preserve"> </w:t>
      </w:r>
      <w:r w:rsidRPr="003F4C9D">
        <w:rPr>
          <w:rFonts w:ascii="Times New Roman" w:hAnsi="Times New Roman" w:cs="Times New Roman"/>
          <w:sz w:val="24"/>
          <w:szCs w:val="24"/>
        </w:rPr>
        <w:t>paredzamos</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nākotnes</w:t>
      </w:r>
      <w:r w:rsidRPr="003F4C9D">
        <w:rPr>
          <w:rFonts w:ascii="Times New Roman" w:hAnsi="Times New Roman" w:cs="Times New Roman"/>
          <w:spacing w:val="-10"/>
          <w:sz w:val="24"/>
          <w:szCs w:val="24"/>
        </w:rPr>
        <w:t xml:space="preserve"> </w:t>
      </w:r>
      <w:r w:rsidRPr="003F4C9D">
        <w:rPr>
          <w:rFonts w:ascii="Times New Roman" w:hAnsi="Times New Roman" w:cs="Times New Roman"/>
          <w:sz w:val="24"/>
          <w:szCs w:val="24"/>
        </w:rPr>
        <w:t>notikumus,</w:t>
      </w:r>
      <w:r w:rsidRPr="003F4C9D">
        <w:rPr>
          <w:rFonts w:ascii="Times New Roman" w:hAnsi="Times New Roman" w:cs="Times New Roman"/>
          <w:spacing w:val="-8"/>
          <w:sz w:val="24"/>
          <w:szCs w:val="24"/>
        </w:rPr>
        <w:t xml:space="preserve"> </w:t>
      </w:r>
      <w:r w:rsidRPr="003F4C9D">
        <w:rPr>
          <w:rFonts w:ascii="Times New Roman" w:hAnsi="Times New Roman" w:cs="Times New Roman"/>
          <w:sz w:val="24"/>
          <w:szCs w:val="24"/>
        </w:rPr>
        <w:t>novērtējot</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uzkrājumu</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apmēru.</w:t>
      </w:r>
      <w:r w:rsidRPr="003F4C9D">
        <w:rPr>
          <w:rFonts w:ascii="Times New Roman" w:hAnsi="Times New Roman" w:cs="Times New Roman"/>
          <w:spacing w:val="-10"/>
          <w:sz w:val="24"/>
          <w:szCs w:val="24"/>
        </w:rPr>
        <w:t xml:space="preserve"> </w:t>
      </w:r>
      <w:r w:rsidRPr="003F4C9D">
        <w:rPr>
          <w:rFonts w:ascii="Times New Roman" w:hAnsi="Times New Roman" w:cs="Times New Roman"/>
          <w:sz w:val="24"/>
          <w:szCs w:val="24"/>
        </w:rPr>
        <w:t>Nākotnes notikumi, kas var ietekmēt saistību izpildei nepieciešamo summu, jāuzrāda uzkrājumu summā, ja</w:t>
      </w:r>
      <w:r w:rsidRPr="003F4C9D">
        <w:rPr>
          <w:rFonts w:ascii="Times New Roman" w:hAnsi="Times New Roman" w:cs="Times New Roman"/>
          <w:spacing w:val="-18"/>
          <w:sz w:val="24"/>
          <w:szCs w:val="24"/>
        </w:rPr>
        <w:t xml:space="preserve"> </w:t>
      </w:r>
      <w:r w:rsidRPr="003F4C9D">
        <w:rPr>
          <w:rFonts w:ascii="Times New Roman" w:hAnsi="Times New Roman" w:cs="Times New Roman"/>
          <w:sz w:val="24"/>
          <w:szCs w:val="24"/>
        </w:rPr>
        <w:t xml:space="preserve">ir pietiekami objektīvi pierādījumi, ka šie notikumi norisināsies. </w:t>
      </w:r>
    </w:p>
    <w:p w14:paraId="3847BA80" w14:textId="77777777" w:rsidR="003F4C9D" w:rsidRPr="003F4C9D" w:rsidRDefault="003F4C9D" w:rsidP="00CD363C">
      <w:pPr>
        <w:spacing w:after="0" w:line="240" w:lineRule="auto"/>
        <w:ind w:right="-66"/>
        <w:jc w:val="both"/>
        <w:rPr>
          <w:i/>
          <w:sz w:val="24"/>
          <w:szCs w:val="24"/>
        </w:rPr>
      </w:pPr>
      <w:r w:rsidRPr="003F4C9D">
        <w:rPr>
          <w:b/>
          <w:i/>
          <w:sz w:val="24"/>
          <w:szCs w:val="24"/>
        </w:rPr>
        <w:t>Piemēram,</w:t>
      </w:r>
      <w:r w:rsidRPr="003F4C9D">
        <w:rPr>
          <w:i/>
          <w:sz w:val="24"/>
          <w:szCs w:val="24"/>
        </w:rPr>
        <w:t xml:space="preserve"> budžeta iestāde ieviesusi jaunu tehnoloģiju, kuras izmantošana nākotnē samazinās izmaksas par videi nodarītā kaitējuma novēršanu. Šādā gadījumā iestāde novērtē un samazina iepriekš atzīto uzkrājumu vērtību atbilstoši izmaksu samazinājumam par videi nodarītā kaitējuma novēršanu.</w:t>
      </w:r>
    </w:p>
    <w:p w14:paraId="32CA9E29" w14:textId="77777777" w:rsidR="00291920" w:rsidRPr="00291920" w:rsidRDefault="00291920" w:rsidP="00CD363C">
      <w:pPr>
        <w:widowControl w:val="0"/>
        <w:tabs>
          <w:tab w:val="left" w:pos="898"/>
          <w:tab w:val="left" w:pos="7937"/>
        </w:tabs>
        <w:autoSpaceDE w:val="0"/>
        <w:autoSpaceDN w:val="0"/>
        <w:spacing w:after="0" w:line="240" w:lineRule="auto"/>
        <w:ind w:right="-66"/>
        <w:jc w:val="both"/>
        <w:rPr>
          <w:rFonts w:ascii="Times New Roman" w:hAnsi="Times New Roman" w:cs="Times New Roman"/>
          <w:sz w:val="24"/>
          <w:szCs w:val="24"/>
        </w:rPr>
      </w:pPr>
      <w:r w:rsidRPr="00291920">
        <w:rPr>
          <w:rFonts w:ascii="Times New Roman" w:hAnsi="Times New Roman" w:cs="Times New Roman"/>
          <w:sz w:val="24"/>
          <w:szCs w:val="24"/>
        </w:rPr>
        <w:t>648. Budžeta iestāde koriģē uzkrājumu vērtību katrā pārskata datumā atbilstoši pašreizējās vērtības visprecīzākajai aplēsei pārskata</w:t>
      </w:r>
      <w:r w:rsidRPr="00291920">
        <w:rPr>
          <w:rFonts w:ascii="Times New Roman" w:hAnsi="Times New Roman" w:cs="Times New Roman"/>
          <w:spacing w:val="-2"/>
          <w:sz w:val="24"/>
          <w:szCs w:val="24"/>
        </w:rPr>
        <w:t xml:space="preserve"> </w:t>
      </w:r>
      <w:r w:rsidRPr="00291920">
        <w:rPr>
          <w:rFonts w:ascii="Times New Roman" w:hAnsi="Times New Roman" w:cs="Times New Roman"/>
          <w:sz w:val="24"/>
          <w:szCs w:val="24"/>
        </w:rPr>
        <w:t>datumā.</w:t>
      </w:r>
    </w:p>
    <w:p w14:paraId="222266AF" w14:textId="77777777" w:rsidR="00291920" w:rsidRDefault="00291920" w:rsidP="00CD363C">
      <w:pPr>
        <w:widowControl w:val="0"/>
        <w:tabs>
          <w:tab w:val="left" w:pos="898"/>
          <w:tab w:val="left" w:pos="7938"/>
        </w:tabs>
        <w:autoSpaceDE w:val="0"/>
        <w:autoSpaceDN w:val="0"/>
        <w:spacing w:after="0" w:line="240" w:lineRule="auto"/>
        <w:ind w:right="-66"/>
        <w:jc w:val="both"/>
        <w:rPr>
          <w:rFonts w:ascii="Times New Roman" w:hAnsi="Times New Roman" w:cs="Times New Roman"/>
          <w:sz w:val="24"/>
          <w:szCs w:val="24"/>
        </w:rPr>
      </w:pPr>
      <w:r w:rsidRPr="00291920">
        <w:rPr>
          <w:rFonts w:ascii="Times New Roman" w:hAnsi="Times New Roman" w:cs="Times New Roman"/>
          <w:sz w:val="24"/>
          <w:szCs w:val="24"/>
        </w:rPr>
        <w:t>649. Ja vairs nav ticams, ka pienākuma izpildei būs nepieciešams resursu izlietojums, budžeta iestāde samazina izveidotos uzkrājumus, atzīstot pārējos ieņēmumus. Uzkrājumu samazinājumu veic par tādu summu, par kādu uzkrājumi bija sākotnēji atzīti vai mazāku, ja aplēsts, ka resursu izlietojums būs mazāks nekā sākotnēji plānots. Uzkrājumus samazinot, budžeta iestāde veic sekojošu grāmatojumu:</w:t>
      </w:r>
    </w:p>
    <w:p w14:paraId="1CCA0E9C" w14:textId="77777777" w:rsidR="00291920" w:rsidRPr="00291920" w:rsidRDefault="00291920"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291920">
        <w:rPr>
          <w:rFonts w:ascii="Times New Roman" w:hAnsi="Times New Roman" w:cs="Times New Roman"/>
          <w:b/>
          <w:sz w:val="24"/>
          <w:szCs w:val="24"/>
        </w:rPr>
        <w:t xml:space="preserve">    D  4000  Uzkrājumi</w:t>
      </w:r>
    </w:p>
    <w:p w14:paraId="0E9F31A5" w14:textId="77777777" w:rsidR="00291920" w:rsidRDefault="00291920"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291920">
        <w:rPr>
          <w:rFonts w:ascii="Times New Roman" w:hAnsi="Times New Roman" w:cs="Times New Roman"/>
          <w:b/>
          <w:sz w:val="24"/>
          <w:szCs w:val="24"/>
        </w:rPr>
        <w:t xml:space="preserve">    K  8560  Ieņēmumi no uzkrājumu norakstīšanas</w:t>
      </w:r>
    </w:p>
    <w:p w14:paraId="0C40388C" w14:textId="77777777" w:rsidR="009217D5" w:rsidRPr="007A5C04" w:rsidRDefault="00291920" w:rsidP="00CD363C">
      <w:pPr>
        <w:spacing w:after="0" w:line="240" w:lineRule="auto"/>
        <w:ind w:right="-66"/>
        <w:jc w:val="both"/>
        <w:rPr>
          <w:rFonts w:ascii="Times New Roman" w:hAnsi="Times New Roman" w:cs="Times New Roman"/>
          <w:sz w:val="24"/>
          <w:szCs w:val="24"/>
        </w:rPr>
      </w:pPr>
      <w:r w:rsidRPr="00291920">
        <w:rPr>
          <w:rFonts w:ascii="Times New Roman" w:hAnsi="Times New Roman" w:cs="Times New Roman"/>
          <w:sz w:val="24"/>
          <w:szCs w:val="24"/>
        </w:rPr>
        <w:t>65</w:t>
      </w:r>
      <w:r w:rsidR="009217D5">
        <w:rPr>
          <w:rFonts w:ascii="Times New Roman" w:hAnsi="Times New Roman" w:cs="Times New Roman"/>
          <w:sz w:val="24"/>
          <w:szCs w:val="24"/>
        </w:rPr>
        <w:t>0.</w:t>
      </w:r>
      <w:r w:rsidR="009217D5" w:rsidRPr="007A5C04">
        <w:rPr>
          <w:rFonts w:ascii="Times New Roman" w:hAnsi="Times New Roman" w:cs="Times New Roman"/>
          <w:sz w:val="24"/>
          <w:szCs w:val="24"/>
        </w:rPr>
        <w:t xml:space="preserve"> Ja kļūst ticams, ka pienākuma izpildei būs nepieciešams lielāks resursu izlietojums vai citu aplēšu izmaiņu gadījumā, kuru rezultātā aprēķinātā uzkrājumu vērtība ir lielāka nekā sākotnēji atzīts, budžeta iestāde palielina uzkrājumu uzskaites vērtību attiecīgajā apmērā, atzīstot pārējos izdevumus: </w:t>
      </w:r>
    </w:p>
    <w:p w14:paraId="16C60FC7" w14:textId="77777777" w:rsidR="009217D5" w:rsidRP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D 8660 Izdevumi uzkrājumu veidošanai </w:t>
      </w:r>
    </w:p>
    <w:p w14:paraId="4758129E" w14:textId="77777777" w:rsidR="009217D5" w:rsidRDefault="009217D5" w:rsidP="00CD363C">
      <w:pPr>
        <w:spacing w:after="0" w:line="240" w:lineRule="auto"/>
        <w:ind w:right="-66"/>
        <w:jc w:val="both"/>
        <w:rPr>
          <w:rFonts w:ascii="Times New Roman" w:hAnsi="Times New Roman" w:cs="Times New Roman"/>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K 4000 Uzkrājumi</w:t>
      </w:r>
      <w:r w:rsidRPr="007A5C04">
        <w:rPr>
          <w:rFonts w:ascii="Times New Roman" w:hAnsi="Times New Roman" w:cs="Times New Roman"/>
          <w:sz w:val="24"/>
          <w:szCs w:val="24"/>
        </w:rPr>
        <w:t xml:space="preserve"> </w:t>
      </w:r>
    </w:p>
    <w:p w14:paraId="18CF22A0" w14:textId="77777777" w:rsidR="009217D5" w:rsidRPr="007A5C04" w:rsidRDefault="009217D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651.</w:t>
      </w:r>
      <w:r w:rsidRPr="009217D5">
        <w:rPr>
          <w:rFonts w:ascii="Times New Roman" w:hAnsi="Times New Roman" w:cs="Times New Roman"/>
          <w:sz w:val="24"/>
          <w:szCs w:val="24"/>
        </w:rPr>
        <w:t xml:space="preserve"> </w:t>
      </w:r>
      <w:r w:rsidRPr="007A5C04">
        <w:rPr>
          <w:rFonts w:ascii="Times New Roman" w:hAnsi="Times New Roman" w:cs="Times New Roman"/>
          <w:sz w:val="24"/>
          <w:szCs w:val="24"/>
        </w:rPr>
        <w:t xml:space="preserve">Naudas laika vērtības dēļ uzkrājumi, kas saistīti ar naudas aizplūšanu neilgi pēc pārskata datuma, ir apgrūtinošāki par tiem, kas saistīti ar vēlākā laikā notikušu naudas aizplūšanu tādā pašā apmērā. Uzkrājumus diskontējot pa vairākiem gadiem, uzkrājumu uzskaites vērtība (pašreizējā vērtība) katrā pārskata periodā pieaug, tādējādi parādot laika faktora ietekmi. Šo pieaugumu budžeta iestāde atzīst kā procentu izdevumus, veicot sekojošu grāmatojumu: </w:t>
      </w:r>
    </w:p>
    <w:p w14:paraId="5D7004D4" w14:textId="77777777" w:rsidR="009217D5" w:rsidRP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D 8220 Procentu izdevumi </w:t>
      </w:r>
    </w:p>
    <w:p w14:paraId="2D761567" w14:textId="77777777" w:rsid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K 4000 Uzkrājumi </w:t>
      </w:r>
    </w:p>
    <w:p w14:paraId="261FE8D6" w14:textId="77777777" w:rsidR="009217D5" w:rsidRPr="007A5C04" w:rsidRDefault="009217D5" w:rsidP="00CD363C">
      <w:pPr>
        <w:spacing w:after="0" w:line="240" w:lineRule="auto"/>
        <w:ind w:right="-66"/>
        <w:jc w:val="both"/>
        <w:rPr>
          <w:rFonts w:ascii="Times New Roman" w:hAnsi="Times New Roman" w:cs="Times New Roman"/>
          <w:sz w:val="24"/>
          <w:szCs w:val="24"/>
        </w:rPr>
      </w:pPr>
      <w:r w:rsidRPr="009217D5">
        <w:rPr>
          <w:rFonts w:ascii="Times New Roman" w:hAnsi="Times New Roman" w:cs="Times New Roman"/>
          <w:sz w:val="24"/>
          <w:szCs w:val="24"/>
        </w:rPr>
        <w:t>652.</w:t>
      </w:r>
      <w:r w:rsidRPr="007A5C04">
        <w:rPr>
          <w:rFonts w:ascii="Times New Roman" w:hAnsi="Times New Roman" w:cs="Times New Roman"/>
          <w:sz w:val="24"/>
          <w:szCs w:val="24"/>
        </w:rPr>
        <w:t xml:space="preserve"> Budžeta iestāde izlieto uzkrājumus vienīgi tādiem izdevumiem, attiecībā uz kuriem uzkrājumi bija sākotnēji atzīti, lai pārskata lietotājs gūtu pareizu priekšstatu par uzkrājumu izmaiņu pārskata periodā. </w:t>
      </w:r>
    </w:p>
    <w:p w14:paraId="31341A1B" w14:textId="77777777" w:rsidR="009217D5" w:rsidRP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D 4000 Uzkrājumi </w:t>
      </w:r>
    </w:p>
    <w:p w14:paraId="36DA58C6" w14:textId="77777777" w:rsid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K 5000 Saistības</w:t>
      </w:r>
    </w:p>
    <w:p w14:paraId="718C6B09" w14:textId="77777777" w:rsidR="009217D5" w:rsidRDefault="009217D5" w:rsidP="00CD363C">
      <w:pPr>
        <w:spacing w:after="0" w:line="240" w:lineRule="auto"/>
        <w:ind w:right="-66"/>
        <w:jc w:val="both"/>
        <w:rPr>
          <w:rFonts w:ascii="Times New Roman" w:hAnsi="Times New Roman" w:cs="Times New Roman"/>
          <w:b/>
          <w:sz w:val="24"/>
          <w:szCs w:val="24"/>
        </w:rPr>
      </w:pPr>
    </w:p>
    <w:p w14:paraId="32F32092" w14:textId="77777777" w:rsid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17.3. Specifiski gadījumi uzkrājumu uzskaitē</w:t>
      </w:r>
    </w:p>
    <w:p w14:paraId="343554E3" w14:textId="77777777" w:rsidR="009217D5" w:rsidRPr="009217D5" w:rsidRDefault="009217D5" w:rsidP="00CD363C">
      <w:pPr>
        <w:spacing w:after="0" w:line="240" w:lineRule="auto"/>
        <w:ind w:right="-66"/>
        <w:jc w:val="both"/>
        <w:rPr>
          <w:rFonts w:ascii="Times New Roman" w:hAnsi="Times New Roman" w:cs="Times New Roman"/>
          <w:b/>
          <w:sz w:val="24"/>
          <w:szCs w:val="24"/>
        </w:rPr>
      </w:pPr>
    </w:p>
    <w:p w14:paraId="7D0645C1" w14:textId="77777777" w:rsidR="009217D5" w:rsidRDefault="009217D5" w:rsidP="00CD363C">
      <w:pPr>
        <w:spacing w:after="0" w:line="240" w:lineRule="auto"/>
        <w:ind w:left="218" w:right="-66"/>
        <w:jc w:val="both"/>
        <w:rPr>
          <w:b/>
          <w:i/>
          <w:sz w:val="24"/>
        </w:rPr>
      </w:pPr>
      <w:r>
        <w:rPr>
          <w:b/>
          <w:i/>
          <w:color w:val="002069"/>
          <w:sz w:val="24"/>
        </w:rPr>
        <w:t xml:space="preserve">  Izdevumu atlīdzināšana</w:t>
      </w:r>
    </w:p>
    <w:p w14:paraId="74AEED47" w14:textId="77777777" w:rsidR="009217D5" w:rsidRPr="009217D5" w:rsidRDefault="009217D5"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9217D5">
        <w:rPr>
          <w:rFonts w:ascii="Times New Roman" w:hAnsi="Times New Roman" w:cs="Times New Roman"/>
          <w:sz w:val="24"/>
          <w:szCs w:val="24"/>
        </w:rPr>
        <w:t>653. Ja</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ir</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paredzams,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ka</w:t>
      </w:r>
      <w:r w:rsidRPr="009217D5">
        <w:rPr>
          <w:rFonts w:ascii="Times New Roman" w:hAnsi="Times New Roman" w:cs="Times New Roman"/>
          <w:spacing w:val="-3"/>
          <w:sz w:val="24"/>
          <w:szCs w:val="24"/>
        </w:rPr>
        <w:t xml:space="preserve"> </w:t>
      </w:r>
      <w:r w:rsidRPr="009217D5">
        <w:rPr>
          <w:rFonts w:ascii="Times New Roman" w:hAnsi="Times New Roman" w:cs="Times New Roman"/>
          <w:sz w:val="24"/>
          <w:szCs w:val="24"/>
        </w:rPr>
        <w:t>visus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uzkrājumu</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segšanai</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nepieciešamos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izdevumus</w:t>
      </w:r>
      <w:r w:rsidRPr="009217D5">
        <w:rPr>
          <w:rFonts w:ascii="Times New Roman" w:hAnsi="Times New Roman" w:cs="Times New Roman"/>
          <w:spacing w:val="-2"/>
          <w:sz w:val="24"/>
          <w:szCs w:val="24"/>
        </w:rPr>
        <w:t xml:space="preserve"> </w:t>
      </w:r>
      <w:r w:rsidRPr="009217D5">
        <w:rPr>
          <w:rFonts w:ascii="Times New Roman" w:hAnsi="Times New Roman" w:cs="Times New Roman"/>
          <w:sz w:val="24"/>
          <w:szCs w:val="24"/>
        </w:rPr>
        <w:t>vai</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to</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daļu</w:t>
      </w:r>
      <w:r w:rsidRPr="009217D5">
        <w:rPr>
          <w:rFonts w:ascii="Times New Roman" w:hAnsi="Times New Roman" w:cs="Times New Roman"/>
          <w:spacing w:val="-2"/>
          <w:sz w:val="24"/>
          <w:szCs w:val="24"/>
        </w:rPr>
        <w:t xml:space="preserve"> </w:t>
      </w:r>
      <w:r w:rsidRPr="009217D5">
        <w:rPr>
          <w:rFonts w:ascii="Times New Roman" w:hAnsi="Times New Roman" w:cs="Times New Roman"/>
          <w:sz w:val="24"/>
          <w:szCs w:val="24"/>
        </w:rPr>
        <w:t>budžeta</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iestādei atlīdzinās cita persona, budžeta iestāde atzīst izdevumu atlīdzināšanu tikai tad, kad ir pilnīgi droši, ka izdevumi tiks atlīdzināti, ja budžeta iestāde izpildīs</w:t>
      </w:r>
      <w:r w:rsidRPr="009217D5">
        <w:rPr>
          <w:rFonts w:ascii="Times New Roman" w:hAnsi="Times New Roman" w:cs="Times New Roman"/>
          <w:spacing w:val="-8"/>
          <w:sz w:val="24"/>
          <w:szCs w:val="24"/>
        </w:rPr>
        <w:t xml:space="preserve"> </w:t>
      </w:r>
      <w:r w:rsidRPr="009217D5">
        <w:rPr>
          <w:rFonts w:ascii="Times New Roman" w:hAnsi="Times New Roman" w:cs="Times New Roman"/>
          <w:sz w:val="24"/>
          <w:szCs w:val="24"/>
        </w:rPr>
        <w:t>saistības.</w:t>
      </w:r>
    </w:p>
    <w:p w14:paraId="75D1B9D8" w14:textId="77777777" w:rsidR="009217D5" w:rsidRDefault="009217D5" w:rsidP="00CD363C">
      <w:pPr>
        <w:widowControl w:val="0"/>
        <w:tabs>
          <w:tab w:val="left" w:pos="898"/>
        </w:tabs>
        <w:autoSpaceDE w:val="0"/>
        <w:autoSpaceDN w:val="0"/>
        <w:spacing w:after="0" w:line="240" w:lineRule="auto"/>
        <w:ind w:right="-66"/>
        <w:jc w:val="both"/>
        <w:rPr>
          <w:sz w:val="24"/>
          <w:szCs w:val="24"/>
        </w:rPr>
      </w:pPr>
      <w:r w:rsidRPr="009217D5">
        <w:rPr>
          <w:rFonts w:ascii="Times New Roman" w:hAnsi="Times New Roman" w:cs="Times New Roman"/>
          <w:sz w:val="24"/>
          <w:szCs w:val="24"/>
        </w:rPr>
        <w:t>654. Atsevišķos</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gadījumos</w:t>
      </w:r>
      <w:r w:rsidRPr="009217D5">
        <w:rPr>
          <w:rFonts w:ascii="Times New Roman" w:hAnsi="Times New Roman" w:cs="Times New Roman"/>
          <w:spacing w:val="-3"/>
          <w:sz w:val="24"/>
          <w:szCs w:val="24"/>
        </w:rPr>
        <w:t xml:space="preserve"> </w:t>
      </w:r>
      <w:r w:rsidRPr="009217D5">
        <w:rPr>
          <w:rFonts w:ascii="Times New Roman" w:hAnsi="Times New Roman" w:cs="Times New Roman"/>
          <w:sz w:val="24"/>
          <w:szCs w:val="24"/>
        </w:rPr>
        <w:t>budžeta</w:t>
      </w:r>
      <w:r w:rsidRPr="009217D5">
        <w:rPr>
          <w:rFonts w:ascii="Times New Roman" w:hAnsi="Times New Roman" w:cs="Times New Roman"/>
          <w:spacing w:val="-7"/>
          <w:sz w:val="24"/>
          <w:szCs w:val="24"/>
        </w:rPr>
        <w:t xml:space="preserve"> </w:t>
      </w:r>
      <w:r w:rsidRPr="009217D5">
        <w:rPr>
          <w:rFonts w:ascii="Times New Roman" w:hAnsi="Times New Roman" w:cs="Times New Roman"/>
          <w:sz w:val="24"/>
          <w:szCs w:val="24"/>
        </w:rPr>
        <w:t>iestāde</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var</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paļauties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uz</w:t>
      </w:r>
      <w:r w:rsidRPr="009217D5">
        <w:rPr>
          <w:rFonts w:ascii="Times New Roman" w:hAnsi="Times New Roman" w:cs="Times New Roman"/>
          <w:spacing w:val="-7"/>
          <w:sz w:val="24"/>
          <w:szCs w:val="24"/>
        </w:rPr>
        <w:t xml:space="preserve"> </w:t>
      </w:r>
      <w:r w:rsidRPr="009217D5">
        <w:rPr>
          <w:rFonts w:ascii="Times New Roman" w:hAnsi="Times New Roman" w:cs="Times New Roman"/>
          <w:sz w:val="24"/>
          <w:szCs w:val="24"/>
        </w:rPr>
        <w:t>to,</w:t>
      </w:r>
      <w:r w:rsidRPr="009217D5">
        <w:rPr>
          <w:rFonts w:ascii="Times New Roman" w:hAnsi="Times New Roman" w:cs="Times New Roman"/>
          <w:spacing w:val="-6"/>
          <w:sz w:val="24"/>
          <w:szCs w:val="24"/>
        </w:rPr>
        <w:t xml:space="preserve"> </w:t>
      </w:r>
      <w:r w:rsidRPr="009217D5">
        <w:rPr>
          <w:rFonts w:ascii="Times New Roman" w:hAnsi="Times New Roman" w:cs="Times New Roman"/>
          <w:sz w:val="24"/>
          <w:szCs w:val="24"/>
        </w:rPr>
        <w:t>ka</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citas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personas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segs</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visus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ar</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pienākuma izpildi saistītos nepieciešamos izdevumus vai to daļu, piemēram, saskaņā ar apdrošināšanas līgumiem, zaudējumu atlīdzināšanas noteikumiem vai piegādātāju garantijām. Citas personas var atlīdzināt izdevumus, ko budžeta iestāde jau iepriekš samaksājusi trešajai personai.</w:t>
      </w:r>
      <w:r w:rsidRPr="009217D5">
        <w:rPr>
          <w:sz w:val="24"/>
          <w:szCs w:val="24"/>
        </w:rPr>
        <w:t xml:space="preserve"> </w:t>
      </w:r>
    </w:p>
    <w:p w14:paraId="09D399D2" w14:textId="77777777" w:rsidR="009217D5" w:rsidRDefault="009217D5" w:rsidP="00CD363C">
      <w:pPr>
        <w:widowControl w:val="0"/>
        <w:tabs>
          <w:tab w:val="left" w:pos="898"/>
        </w:tabs>
        <w:autoSpaceDE w:val="0"/>
        <w:autoSpaceDN w:val="0"/>
        <w:spacing w:after="0" w:line="240" w:lineRule="auto"/>
        <w:ind w:right="-66"/>
        <w:jc w:val="both"/>
        <w:rPr>
          <w:i/>
          <w:sz w:val="24"/>
          <w:szCs w:val="24"/>
        </w:rPr>
      </w:pPr>
      <w:r w:rsidRPr="009217D5">
        <w:rPr>
          <w:b/>
          <w:i/>
          <w:sz w:val="24"/>
          <w:szCs w:val="24"/>
        </w:rPr>
        <w:t>Piemēram,</w:t>
      </w:r>
      <w:r w:rsidRPr="009217D5">
        <w:rPr>
          <w:i/>
          <w:sz w:val="24"/>
          <w:szCs w:val="24"/>
        </w:rPr>
        <w:t xml:space="preserve"> budžeta iestādei var būt juridiskas saistības pret privātpersonu, kas izriet no budžeta iestādes darbinieku nepareizi sniegtām konsultācijām. Tomēr budžeta iestāde var atgūt daļu no šādiem izdevumiem, saņemot profesionālās darbības civiltiesiskās atbildības apdrošināšanas</w:t>
      </w:r>
      <w:r w:rsidRPr="009217D5">
        <w:rPr>
          <w:i/>
          <w:spacing w:val="-20"/>
          <w:sz w:val="24"/>
          <w:szCs w:val="24"/>
        </w:rPr>
        <w:t xml:space="preserve"> </w:t>
      </w:r>
      <w:r w:rsidRPr="009217D5">
        <w:rPr>
          <w:i/>
          <w:sz w:val="24"/>
          <w:szCs w:val="24"/>
        </w:rPr>
        <w:t>atlīdzību.</w:t>
      </w:r>
    </w:p>
    <w:p w14:paraId="15C0B4A1" w14:textId="77777777" w:rsidR="00155863" w:rsidRP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55863">
        <w:rPr>
          <w:rFonts w:ascii="Times New Roman" w:hAnsi="Times New Roman" w:cs="Times New Roman"/>
          <w:sz w:val="24"/>
          <w:szCs w:val="24"/>
        </w:rPr>
        <w:t>655.</w:t>
      </w:r>
      <w:r w:rsidRPr="00155863">
        <w:rPr>
          <w:rFonts w:ascii="Times New Roman" w:hAnsi="Times New Roman" w:cs="Times New Roman"/>
        </w:rPr>
        <w:t xml:space="preserve"> </w:t>
      </w:r>
      <w:r w:rsidRPr="00155863">
        <w:rPr>
          <w:rFonts w:ascii="Times New Roman" w:hAnsi="Times New Roman" w:cs="Times New Roman"/>
          <w:sz w:val="24"/>
          <w:szCs w:val="24"/>
        </w:rPr>
        <w:t>Budžeta iestāde atzīst izdevumu atlīdzināšanu kā atsevišķu aktīvu. Izdevumu atlīdzināšanai atzītā summa nedrīkst pārsniegt uzkrājumu</w:t>
      </w:r>
      <w:r w:rsidRPr="00155863">
        <w:rPr>
          <w:rFonts w:ascii="Times New Roman" w:hAnsi="Times New Roman" w:cs="Times New Roman"/>
          <w:spacing w:val="1"/>
          <w:sz w:val="24"/>
          <w:szCs w:val="24"/>
        </w:rPr>
        <w:t xml:space="preserve"> </w:t>
      </w:r>
      <w:r w:rsidRPr="00155863">
        <w:rPr>
          <w:rFonts w:ascii="Times New Roman" w:hAnsi="Times New Roman" w:cs="Times New Roman"/>
          <w:sz w:val="24"/>
          <w:szCs w:val="24"/>
        </w:rPr>
        <w:t>summu.</w:t>
      </w:r>
    </w:p>
    <w:p w14:paraId="1CDE45D4" w14:textId="77777777" w:rsidR="00155863" w:rsidRP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155863">
        <w:rPr>
          <w:rFonts w:ascii="Times New Roman" w:hAnsi="Times New Roman" w:cs="Times New Roman"/>
          <w:b/>
          <w:sz w:val="24"/>
          <w:szCs w:val="24"/>
        </w:rPr>
        <w:t xml:space="preserve">    D</w:t>
      </w:r>
      <w:r>
        <w:rPr>
          <w:rFonts w:ascii="Times New Roman" w:hAnsi="Times New Roman" w:cs="Times New Roman"/>
          <w:b/>
          <w:sz w:val="24"/>
          <w:szCs w:val="24"/>
        </w:rPr>
        <w:t xml:space="preserve"> </w:t>
      </w:r>
      <w:r w:rsidRPr="00155863">
        <w:rPr>
          <w:rFonts w:ascii="Times New Roman" w:hAnsi="Times New Roman" w:cs="Times New Roman"/>
          <w:b/>
          <w:sz w:val="24"/>
          <w:szCs w:val="24"/>
        </w:rPr>
        <w:t xml:space="preserve"> 2310  Prasības pret pircējiem pasūtītājiem</w:t>
      </w:r>
    </w:p>
    <w:p w14:paraId="1629987B" w14:textId="77777777" w:rsid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155863">
        <w:rPr>
          <w:rFonts w:ascii="Times New Roman" w:hAnsi="Times New Roman" w:cs="Times New Roman"/>
          <w:b/>
          <w:sz w:val="24"/>
          <w:szCs w:val="24"/>
        </w:rPr>
        <w:t xml:space="preserve">    K  8590  Pārējie iepriekš neklasificētie ieņēmumi</w:t>
      </w:r>
    </w:p>
    <w:p w14:paraId="54CB5E94" w14:textId="77777777" w:rsid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55863">
        <w:rPr>
          <w:rFonts w:ascii="Times New Roman" w:hAnsi="Times New Roman" w:cs="Times New Roman"/>
          <w:sz w:val="24"/>
          <w:szCs w:val="24"/>
        </w:rPr>
        <w:t>656. Lielākajā daļā gadījumu budžeta iestāde saglabās atbildību par visu attiecīgo summu, tādējādi, ja trešā persona kāda iemesla dēļ neveiktu maksājumu, budžeta iestādei būtu jāsamaksā visa summa. Tādā gadījumā uzkrājumus atzīst visai saistību summai un atsevišķu aktīvu atzīst paredzamajai izdevumu</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atlīdzināšanai,</w:t>
      </w:r>
      <w:r w:rsidRPr="00155863">
        <w:rPr>
          <w:rFonts w:ascii="Times New Roman" w:hAnsi="Times New Roman" w:cs="Times New Roman"/>
          <w:spacing w:val="-12"/>
          <w:sz w:val="24"/>
          <w:szCs w:val="24"/>
        </w:rPr>
        <w:t xml:space="preserve"> </w:t>
      </w:r>
      <w:r w:rsidRPr="00155863">
        <w:rPr>
          <w:rFonts w:ascii="Times New Roman" w:hAnsi="Times New Roman" w:cs="Times New Roman"/>
          <w:sz w:val="24"/>
          <w:szCs w:val="24"/>
        </w:rPr>
        <w:t>ja</w:t>
      </w:r>
      <w:r w:rsidRPr="00155863">
        <w:rPr>
          <w:rFonts w:ascii="Times New Roman" w:hAnsi="Times New Roman" w:cs="Times New Roman"/>
          <w:spacing w:val="-13"/>
          <w:sz w:val="24"/>
          <w:szCs w:val="24"/>
        </w:rPr>
        <w:t xml:space="preserve"> </w:t>
      </w:r>
      <w:r w:rsidRPr="00155863">
        <w:rPr>
          <w:rFonts w:ascii="Times New Roman" w:hAnsi="Times New Roman" w:cs="Times New Roman"/>
          <w:sz w:val="24"/>
          <w:szCs w:val="24"/>
        </w:rPr>
        <w:t>ir</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droši</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ticams,</w:t>
      </w:r>
      <w:r w:rsidRPr="00155863">
        <w:rPr>
          <w:rFonts w:ascii="Times New Roman" w:hAnsi="Times New Roman" w:cs="Times New Roman"/>
          <w:spacing w:val="-10"/>
          <w:sz w:val="24"/>
          <w:szCs w:val="24"/>
        </w:rPr>
        <w:t xml:space="preserve"> </w:t>
      </w:r>
      <w:r w:rsidRPr="00155863">
        <w:rPr>
          <w:rFonts w:ascii="Times New Roman" w:hAnsi="Times New Roman" w:cs="Times New Roman"/>
          <w:sz w:val="24"/>
          <w:szCs w:val="24"/>
        </w:rPr>
        <w:t>ka</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pēc</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tam,</w:t>
      </w:r>
      <w:r w:rsidRPr="00155863">
        <w:rPr>
          <w:rFonts w:ascii="Times New Roman" w:hAnsi="Times New Roman" w:cs="Times New Roman"/>
          <w:spacing w:val="-12"/>
          <w:sz w:val="24"/>
          <w:szCs w:val="24"/>
        </w:rPr>
        <w:t xml:space="preserve"> </w:t>
      </w:r>
      <w:r w:rsidRPr="00155863">
        <w:rPr>
          <w:rFonts w:ascii="Times New Roman" w:hAnsi="Times New Roman" w:cs="Times New Roman"/>
          <w:sz w:val="24"/>
          <w:szCs w:val="24"/>
        </w:rPr>
        <w:t>kad</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budžeta</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iestāde</w:t>
      </w:r>
      <w:r w:rsidRPr="00155863">
        <w:rPr>
          <w:rFonts w:ascii="Times New Roman" w:hAnsi="Times New Roman" w:cs="Times New Roman"/>
          <w:spacing w:val="-8"/>
          <w:sz w:val="24"/>
          <w:szCs w:val="24"/>
        </w:rPr>
        <w:t xml:space="preserve"> </w:t>
      </w:r>
      <w:r w:rsidRPr="00155863">
        <w:rPr>
          <w:rFonts w:ascii="Times New Roman" w:hAnsi="Times New Roman" w:cs="Times New Roman"/>
          <w:sz w:val="24"/>
          <w:szCs w:val="24"/>
        </w:rPr>
        <w:t>būs</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nokārtojusi</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saistības, izdevumi tiks atlīdzināti</w:t>
      </w:r>
      <w:r>
        <w:rPr>
          <w:rFonts w:ascii="Times New Roman" w:hAnsi="Times New Roman" w:cs="Times New Roman"/>
          <w:sz w:val="24"/>
          <w:szCs w:val="24"/>
        </w:rPr>
        <w:t>.</w:t>
      </w:r>
    </w:p>
    <w:p w14:paraId="18F840F0" w14:textId="77777777" w:rsidR="00155863" w:rsidRPr="00155863" w:rsidRDefault="00155863" w:rsidP="00CD363C">
      <w:pPr>
        <w:spacing w:after="0" w:line="240" w:lineRule="auto"/>
        <w:ind w:right="-66"/>
        <w:jc w:val="both"/>
        <w:rPr>
          <w:rFonts w:ascii="Times New Roman" w:hAnsi="Times New Roman" w:cs="Times New Roman"/>
          <w:b/>
          <w:i/>
          <w:color w:val="2F5496" w:themeColor="accent1" w:themeShade="BF"/>
          <w:sz w:val="24"/>
          <w:szCs w:val="24"/>
        </w:rPr>
      </w:pPr>
      <w:r w:rsidRPr="00155863">
        <w:rPr>
          <w:rFonts w:ascii="Times New Roman" w:hAnsi="Times New Roman" w:cs="Times New Roman"/>
          <w:b/>
          <w:i/>
          <w:color w:val="2F5496" w:themeColor="accent1" w:themeShade="BF"/>
          <w:sz w:val="24"/>
          <w:szCs w:val="24"/>
        </w:rPr>
        <w:t xml:space="preserve">    Apgrūtinoši līgumi </w:t>
      </w:r>
    </w:p>
    <w:p w14:paraId="06E0039E"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657.</w:t>
      </w:r>
      <w:r w:rsidRPr="007A5C04">
        <w:rPr>
          <w:rFonts w:ascii="Times New Roman" w:hAnsi="Times New Roman" w:cs="Times New Roman"/>
          <w:sz w:val="24"/>
          <w:szCs w:val="24"/>
        </w:rPr>
        <w:t xml:space="preserve"> Apgrūtinošs līgums ir tāds līgums, kura izpildei nepieciešamo nenovēršamo izmaksu apjoms pārsniedz tos resursus, kurus paredzams saņemt saskaņā ar šo līgumu, ieskaitot no trešajām pusēm atgūstamās summas. </w:t>
      </w:r>
    </w:p>
    <w:p w14:paraId="5AF7825D"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658.</w:t>
      </w:r>
      <w:r w:rsidRPr="007A5C04">
        <w:rPr>
          <w:rFonts w:ascii="Times New Roman" w:hAnsi="Times New Roman" w:cs="Times New Roman"/>
          <w:sz w:val="24"/>
          <w:szCs w:val="24"/>
        </w:rPr>
        <w:t xml:space="preserve"> Ja budžeta iestādei ir tiesisks darījums, piemēram, noslēgts līgums, kas ir apgrūtinošs, budžeta iestāde novērtē un atzīst līgumā noteikto pašreizējo pienākumu vērtību kā uzkrājumus, atskaitot no trešajām pusēm atgūstamās summas. </w:t>
      </w:r>
    </w:p>
    <w:p w14:paraId="64510BF0" w14:textId="77777777" w:rsidR="00155863" w:rsidRPr="00155863" w:rsidRDefault="00155863"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155863">
        <w:rPr>
          <w:rFonts w:ascii="Times New Roman" w:hAnsi="Times New Roman" w:cs="Times New Roman"/>
          <w:b/>
          <w:sz w:val="24"/>
          <w:szCs w:val="24"/>
        </w:rPr>
        <w:t xml:space="preserve">D 8660 Izdevumi uzkrājumu veidošanai </w:t>
      </w:r>
    </w:p>
    <w:p w14:paraId="1443F472" w14:textId="77777777" w:rsidR="00155863" w:rsidRDefault="00155863"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155863">
        <w:rPr>
          <w:rFonts w:ascii="Times New Roman" w:hAnsi="Times New Roman" w:cs="Times New Roman"/>
          <w:b/>
          <w:sz w:val="24"/>
          <w:szCs w:val="24"/>
        </w:rPr>
        <w:t xml:space="preserve">K 4000 Uzkrājumi </w:t>
      </w:r>
    </w:p>
    <w:p w14:paraId="0E056F5E" w14:textId="77777777" w:rsidR="00155863" w:rsidRPr="007A5C04" w:rsidRDefault="00155863" w:rsidP="00CD363C">
      <w:pPr>
        <w:spacing w:after="0" w:line="240" w:lineRule="auto"/>
        <w:ind w:right="-66"/>
        <w:jc w:val="both"/>
        <w:rPr>
          <w:rFonts w:ascii="Times New Roman" w:hAnsi="Times New Roman" w:cs="Times New Roman"/>
          <w:sz w:val="24"/>
          <w:szCs w:val="24"/>
        </w:rPr>
      </w:pPr>
      <w:r w:rsidRPr="00155863">
        <w:rPr>
          <w:rFonts w:ascii="Times New Roman" w:hAnsi="Times New Roman" w:cs="Times New Roman"/>
          <w:sz w:val="24"/>
          <w:szCs w:val="24"/>
        </w:rPr>
        <w:t xml:space="preserve">659. </w:t>
      </w:r>
      <w:r w:rsidRPr="007A5C04">
        <w:rPr>
          <w:rFonts w:ascii="Times New Roman" w:hAnsi="Times New Roman" w:cs="Times New Roman"/>
          <w:sz w:val="24"/>
          <w:szCs w:val="24"/>
        </w:rPr>
        <w:t xml:space="preserve"> No darījuma izrietošās nenovēršamās izmaksas nosaka, salīdzinot darījuma izpildes izmaksas un jebkādus līgumsodus vai kompensācijas par darījuma neizpildi un izvēloties mazāko no šīm summām.</w:t>
      </w:r>
    </w:p>
    <w:p w14:paraId="018E143D"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660</w:t>
      </w:r>
      <w:r w:rsidRPr="007A5C04">
        <w:rPr>
          <w:rFonts w:ascii="Times New Roman" w:hAnsi="Times New Roman" w:cs="Times New Roman"/>
          <w:sz w:val="24"/>
          <w:szCs w:val="24"/>
        </w:rPr>
        <w:t xml:space="preserve">. Daudzus līgumus, kas liecina par apmaiņas darījumiem (piemēram, dažus parastos iegādes pasūtījumus), var anulēt, nemaksājot otrai pusei kompensāciju, un tādēļ nepastāv pienākums. Citi tiesiskie darījumi (līgumi) katrai no līgumslēdzēja pusēm nosaka tiesības un pienākumus. Ja kādu notikumu dēļ līgums kļūst apgrūtinošs, budžeta iestādei rodas saistības, kuras tā atzīst. </w:t>
      </w:r>
    </w:p>
    <w:p w14:paraId="42AB0648" w14:textId="77777777" w:rsidR="00155863"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661</w:t>
      </w:r>
      <w:r w:rsidRPr="007A5C04">
        <w:rPr>
          <w:rFonts w:ascii="Times New Roman" w:hAnsi="Times New Roman" w:cs="Times New Roman"/>
          <w:sz w:val="24"/>
          <w:szCs w:val="24"/>
        </w:rPr>
        <w:t>. Pirms uzkrājumu izveidošanas katram apgrūtinošam līgumam budžeta iestāde atzīst izdevumus no vērtības samazinājuma aktīviem, kuri attiecas uz šo līgumu.</w:t>
      </w:r>
    </w:p>
    <w:p w14:paraId="361CD2BF" w14:textId="77777777" w:rsidR="00155863" w:rsidRDefault="00155863" w:rsidP="00CD363C">
      <w:pPr>
        <w:pStyle w:val="Virsraksts4"/>
        <w:spacing w:before="0"/>
        <w:ind w:left="218" w:right="-66"/>
        <w:jc w:val="both"/>
        <w:rPr>
          <w:color w:val="002069"/>
        </w:rPr>
      </w:pPr>
      <w:r>
        <w:rPr>
          <w:color w:val="002069"/>
        </w:rPr>
        <w:t xml:space="preserve">Pārstrukturēšana </w:t>
      </w:r>
    </w:p>
    <w:p w14:paraId="0ACDBF7C" w14:textId="77777777" w:rsidR="00155863" w:rsidRDefault="00155863" w:rsidP="00CD363C">
      <w:pPr>
        <w:pStyle w:val="Virsraksts4"/>
        <w:spacing w:before="0"/>
        <w:ind w:left="218" w:right="-66"/>
        <w:jc w:val="both"/>
      </w:pPr>
    </w:p>
    <w:p w14:paraId="1237A036"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662.</w:t>
      </w:r>
      <w:r w:rsidRPr="00155863">
        <w:rPr>
          <w:rFonts w:ascii="Times New Roman" w:hAnsi="Times New Roman" w:cs="Times New Roman"/>
          <w:sz w:val="24"/>
          <w:szCs w:val="24"/>
        </w:rPr>
        <w:t xml:space="preserve"> </w:t>
      </w:r>
      <w:r w:rsidRPr="007A5C04">
        <w:rPr>
          <w:rFonts w:ascii="Times New Roman" w:hAnsi="Times New Roman" w:cs="Times New Roman"/>
          <w:sz w:val="24"/>
          <w:szCs w:val="24"/>
        </w:rPr>
        <w:t xml:space="preserve"> Budžeta iestāde atzīst uzkrājumus pārstrukturēšanās izmaksām tikai tad, ja tie atbilst uzkrājumu atzīšanas kritērijiem. </w:t>
      </w:r>
    </w:p>
    <w:p w14:paraId="7B09F8E0"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663</w:t>
      </w:r>
      <w:r w:rsidRPr="007A5C04">
        <w:rPr>
          <w:rFonts w:ascii="Times New Roman" w:hAnsi="Times New Roman" w:cs="Times New Roman"/>
          <w:sz w:val="24"/>
          <w:szCs w:val="24"/>
        </w:rPr>
        <w:t>. Notikumi, kas var atbilst pārstrukturēšanas definīcijai, ir, piemēram, šādi:</w:t>
      </w:r>
    </w:p>
    <w:p w14:paraId="489DB198" w14:textId="77777777" w:rsidR="00155863" w:rsidRPr="00046F12" w:rsidRDefault="00155863"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663.1.darbības veida vai pakalpojuma pārtraukšana vai nodošana citai pusei;</w:t>
      </w:r>
    </w:p>
    <w:p w14:paraId="64B2F6BF" w14:textId="77777777" w:rsidR="00155863" w:rsidRPr="00046F12" w:rsidRDefault="00155863"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663.2.budžeta iestādes darbības izbeigšana kādā konkrētā vietā vai reģionā vai darbības pārvietošana no vienas valsts vai reģiona uz citu;</w:t>
      </w:r>
    </w:p>
    <w:p w14:paraId="40B0F81F" w14:textId="77777777" w:rsidR="00155863"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w:t>
      </w:r>
      <w:r w:rsidR="00155863" w:rsidRPr="00046F12">
        <w:rPr>
          <w:rFonts w:ascii="Times New Roman" w:hAnsi="Times New Roman" w:cs="Times New Roman"/>
          <w:sz w:val="24"/>
          <w:szCs w:val="24"/>
        </w:rPr>
        <w:t>.3.vadības struktūras izmaiņas, piemēram, kāda vadības līmeņa vai dienesta likvidēšana;</w:t>
      </w:r>
    </w:p>
    <w:p w14:paraId="602B84F7" w14:textId="77777777" w:rsidR="00155863"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w:t>
      </w:r>
      <w:r w:rsidR="00155863" w:rsidRPr="00046F12">
        <w:rPr>
          <w:rFonts w:ascii="Times New Roman" w:hAnsi="Times New Roman" w:cs="Times New Roman"/>
          <w:sz w:val="24"/>
          <w:szCs w:val="24"/>
        </w:rPr>
        <w:t xml:space="preserve">.4.fundamentāla reorganizācija, kam ir būtiska ietekme uz budžeta iestādes darbības veidu un virzību. </w:t>
      </w:r>
    </w:p>
    <w:p w14:paraId="0098F16B"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664.</w:t>
      </w:r>
      <w:r w:rsidRPr="00046F12">
        <w:rPr>
          <w:rFonts w:ascii="Times New Roman" w:hAnsi="Times New Roman" w:cs="Times New Roman"/>
          <w:sz w:val="24"/>
          <w:szCs w:val="24"/>
        </w:rPr>
        <w:t xml:space="preserve"> </w:t>
      </w:r>
      <w:r w:rsidRPr="007A5C04">
        <w:rPr>
          <w:rFonts w:ascii="Times New Roman" w:hAnsi="Times New Roman" w:cs="Times New Roman"/>
          <w:sz w:val="24"/>
          <w:szCs w:val="24"/>
        </w:rPr>
        <w:t xml:space="preserve"> Prakses radīts pienākums veikt pārstrukturēšanu rodas tikai tad, ja budžeta iestādei ir izpildīti abi sekojošie kritēriji: </w:t>
      </w:r>
    </w:p>
    <w:p w14:paraId="067248C0"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664</w:t>
      </w:r>
      <w:r w:rsidRPr="007A5C04">
        <w:rPr>
          <w:rFonts w:ascii="Times New Roman" w:hAnsi="Times New Roman" w:cs="Times New Roman"/>
          <w:sz w:val="24"/>
          <w:szCs w:val="24"/>
        </w:rPr>
        <w:t xml:space="preserve">.1. pastāv detalizēts oficiāls pārstrukturēšanas plāns, kurā noteikts vismaz sekojošais: </w:t>
      </w:r>
    </w:p>
    <w:p w14:paraId="695DAE0A"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664.1.1.pārstrukturēšanai pakļautais darbības veids/ struktūrvienība vai darbības veida/struktūrvienības daļa;</w:t>
      </w:r>
    </w:p>
    <w:p w14:paraId="49EA9520"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664.1.2.galvenās atrašanās vietas, uz kurām attieksies pārstrukturēšana;</w:t>
      </w:r>
    </w:p>
    <w:p w14:paraId="4767BEE5"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664.1.3.darbinieku darbavieta, amats un aptuvenais skaits, kuri saņems kompensācijas par darba attiecību izbeigšanu;</w:t>
      </w:r>
    </w:p>
    <w:p w14:paraId="721341F6"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664.1.4.paredzamie izdevumi;</w:t>
      </w:r>
    </w:p>
    <w:p w14:paraId="67D67459"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 xml:space="preserve">664.1.5.pārstrukturēšanas plāna īstenošanas termiņš. </w:t>
      </w:r>
    </w:p>
    <w:p w14:paraId="293A6F72"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664</w:t>
      </w:r>
      <w:r w:rsidRPr="007A5C04">
        <w:rPr>
          <w:rFonts w:ascii="Times New Roman" w:hAnsi="Times New Roman" w:cs="Times New Roman"/>
          <w:sz w:val="24"/>
          <w:szCs w:val="24"/>
        </w:rPr>
        <w:t>.2. budžeta iestāde ir devusi pamatotu iemeslu uzskatīt, ka veiks pārstrukturēšanu, uzsākot plāna īstenošanu vai paziņojot pārstrukturēšanas plāna galvenās iezīmes tām personām, uz kurām pārstrukturēšanās plāns attieksies.</w:t>
      </w:r>
    </w:p>
    <w:p w14:paraId="41D23E95"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665.</w:t>
      </w:r>
      <w:r w:rsidRPr="007A5C04">
        <w:rPr>
          <w:rFonts w:ascii="Times New Roman" w:hAnsi="Times New Roman" w:cs="Times New Roman"/>
          <w:sz w:val="24"/>
          <w:szCs w:val="24"/>
        </w:rPr>
        <w:t xml:space="preserve"> Pārstrukturēšana var notikt dažādos līmeņos, piemēram, budžeta iestādes, pašvaldības vai valdības līmenī. Pierādījumus tam, ka valdība vai atsevišķa budžeta iestāde ir sākusi īstenot pārstrukturēšanas plānu, var sniegt, piemēram, publisks paziņojums, kurā atklātas galvenās pārstrukturēšanas plāna iezīmes, aktīvu pārdošana vai nodošana, paziņojums par nolūku izbeigt nomas līgumus vai alternatīvas kārtības noteikšana pakalpojumu saņēmējiem</w:t>
      </w:r>
      <w:r>
        <w:rPr>
          <w:rFonts w:ascii="Times New Roman" w:hAnsi="Times New Roman" w:cs="Times New Roman"/>
          <w:sz w:val="24"/>
          <w:szCs w:val="24"/>
        </w:rPr>
        <w:t>.</w:t>
      </w:r>
    </w:p>
    <w:p w14:paraId="39B7AF9F"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666.</w:t>
      </w:r>
      <w:r w:rsidRPr="007A5C04">
        <w:rPr>
          <w:rFonts w:ascii="Times New Roman" w:hAnsi="Times New Roman" w:cs="Times New Roman"/>
          <w:sz w:val="24"/>
          <w:szCs w:val="24"/>
        </w:rPr>
        <w:t>Izvērtējot prakses radīto pienākumu, budžeta iestāde novērtē plānoto pārstrukturēšanas īstenošanas sākumu, paredzot, ka nozīmīgu izmaiņu rašanās plānā ir maz iespējama:</w:t>
      </w:r>
    </w:p>
    <w:p w14:paraId="56D94A44"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666.1.ja ir paredzams, ka līdz pārstrukturēšanas sākumam paies ilgs laiks vai ka pārstrukturēšana būs nepamatoti ilga, ir maz ticams, ka šī plāna dēļ citiem radīsies pamatots iemesls sagaidīt, ka valdība vai budžeta iestāde patlaban ir apņēmusies veikt pārstrukturēšanu, jo ilgais laiks dod valdībai vai budžeta iestādei iespēju mainīt savus lēmumus.</w:t>
      </w:r>
    </w:p>
    <w:p w14:paraId="6902F4EF" w14:textId="77777777" w:rsid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666.2.atsevišķos gadījumos galīgo lēmumu par budžeta iestādi pieņem vadība, kuras sastāvā ietilpst personas, kuras pārstāv nevis vadības, bet citu (piemēram, darbinieku) intereses, vai pirms vadības lēmuma pieņemšanas šie pārstāvji, iespējams, jāinformē. Sakarā ar to, ka šāds vadības lēmums ietver šo pārstāvju informēšanu, var rasties prakses radīts pienākums veikt pārstrukturēšanu.</w:t>
      </w:r>
    </w:p>
    <w:p w14:paraId="317B53AF" w14:textId="77777777" w:rsidR="00046F12" w:rsidRPr="007A5C04"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667.</w:t>
      </w:r>
      <w:r w:rsidRPr="007A5C04">
        <w:rPr>
          <w:rFonts w:ascii="Times New Roman" w:hAnsi="Times New Roman" w:cs="Times New Roman"/>
          <w:sz w:val="24"/>
          <w:szCs w:val="24"/>
        </w:rPr>
        <w:t>Uzkrājumi pārstrukturēšanai ietver tikai tiešos ar pārstrukturēšanu saistītos izdevumus, kas:</w:t>
      </w:r>
    </w:p>
    <w:p w14:paraId="634638C3"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667.1.neizbēgami rodas pārstrukturēšanas dēļ;</w:t>
      </w:r>
    </w:p>
    <w:p w14:paraId="17FC8907"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 xml:space="preserve">667.2.nav saistīti ar budžeta iestādes pašreizējo darbību. </w:t>
      </w:r>
    </w:p>
    <w:p w14:paraId="4E219281"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668</w:t>
      </w:r>
      <w:r w:rsidRPr="007A5C04">
        <w:rPr>
          <w:rFonts w:ascii="Times New Roman" w:hAnsi="Times New Roman" w:cs="Times New Roman"/>
          <w:sz w:val="24"/>
          <w:szCs w:val="24"/>
        </w:rPr>
        <w:t>. Uzkrājumi pārstrukturēšanai neietver tādas izmaksas kā, piemēram:</w:t>
      </w:r>
    </w:p>
    <w:p w14:paraId="78FE4B35"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668.1.pašreizējā personāla pārkvalifikācijas vai pārvietošanas izmaksas;</w:t>
      </w:r>
    </w:p>
    <w:p w14:paraId="4E98231E"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668.2.sabiedrisko attiecību veidošanas vai informācijas sniegšanas izmaksas;</w:t>
      </w:r>
    </w:p>
    <w:p w14:paraId="3D882145" w14:textId="77777777" w:rsid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 xml:space="preserve">668.3.ieguldījumu izmaksas jauno sistēmu izveidei un izplatīšanas tīklu attīstībai. </w:t>
      </w:r>
    </w:p>
    <w:p w14:paraId="2A713912" w14:textId="77777777" w:rsidR="00046F12" w:rsidRPr="007A5C04" w:rsidRDefault="00046F12"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Šādi izdevumi attiecas uz darbības veikšanu nākotnē, un tās nav saistības veikt pārstrukturēšanu pārskata datumā. Šos izdevumus budžeta iestāde atzīst pēc tāda paša principa, it kā tie būtu radušies neatkarīgi no pārstrukturēšanas.</w:t>
      </w:r>
    </w:p>
    <w:p w14:paraId="54A73BAF"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669.</w:t>
      </w:r>
      <w:r w:rsidRPr="007A5C04">
        <w:rPr>
          <w:rFonts w:ascii="Times New Roman" w:hAnsi="Times New Roman" w:cs="Times New Roman"/>
          <w:sz w:val="24"/>
          <w:szCs w:val="24"/>
        </w:rPr>
        <w:t xml:space="preserve"> Budžeta iestāde neiekļauj uzkrājumos iespējamos nākotnes zaudējumus no darbības turpināšanas, kas, iespējams, radīsies līdz pārstrukturēšanas brīdim, ja vien šādi izdevumi neattiecas uz apgrūtinošu līgumu. </w:t>
      </w:r>
    </w:p>
    <w:p w14:paraId="2EA981BE"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670.</w:t>
      </w:r>
      <w:r w:rsidRPr="007A5C04">
        <w:rPr>
          <w:rFonts w:ascii="Times New Roman" w:hAnsi="Times New Roman" w:cs="Times New Roman"/>
          <w:sz w:val="24"/>
          <w:szCs w:val="24"/>
        </w:rPr>
        <w:t>Novērtējot uzkrājumus pārstrukturēšanai, ieņēmumus no paredzamās aktīvu atsavināšanas neņem vērā pat tad, ja aktīvu pārdošana ir paredzēta kā pārstrukturēšanas daļa.</w:t>
      </w:r>
    </w:p>
    <w:p w14:paraId="37E30F58" w14:textId="77777777" w:rsidR="00046F12" w:rsidRDefault="00046F12" w:rsidP="00CD363C">
      <w:pPr>
        <w:spacing w:after="0" w:line="240" w:lineRule="auto"/>
        <w:ind w:right="-66"/>
        <w:jc w:val="both"/>
        <w:rPr>
          <w:rFonts w:ascii="Times New Roman" w:hAnsi="Times New Roman" w:cs="Times New Roman"/>
          <w:b/>
          <w:i/>
          <w:color w:val="2F5496" w:themeColor="accent1" w:themeShade="BF"/>
          <w:sz w:val="24"/>
          <w:szCs w:val="24"/>
        </w:rPr>
      </w:pPr>
      <w:r>
        <w:rPr>
          <w:rFonts w:ascii="Times New Roman" w:hAnsi="Times New Roman" w:cs="Times New Roman"/>
          <w:b/>
          <w:i/>
          <w:color w:val="2F5496" w:themeColor="accent1" w:themeShade="BF"/>
          <w:sz w:val="24"/>
          <w:szCs w:val="24"/>
        </w:rPr>
        <w:t xml:space="preserve">    </w:t>
      </w:r>
      <w:r w:rsidRPr="00046F12">
        <w:rPr>
          <w:rFonts w:ascii="Times New Roman" w:hAnsi="Times New Roman" w:cs="Times New Roman"/>
          <w:b/>
          <w:i/>
          <w:color w:val="2F5496" w:themeColor="accent1" w:themeShade="BF"/>
          <w:sz w:val="24"/>
          <w:szCs w:val="24"/>
        </w:rPr>
        <w:t xml:space="preserve">Nākotnes pamatdarbības zaudējumi </w:t>
      </w:r>
    </w:p>
    <w:p w14:paraId="1CD07B16" w14:textId="77777777" w:rsidR="00046F12" w:rsidRPr="007A5C04"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671.</w:t>
      </w:r>
      <w:r w:rsidRPr="007A5C04">
        <w:rPr>
          <w:rFonts w:ascii="Times New Roman" w:hAnsi="Times New Roman" w:cs="Times New Roman"/>
          <w:sz w:val="24"/>
          <w:szCs w:val="24"/>
        </w:rPr>
        <w:t xml:space="preserve">Budžeta iestādei nav jāatzīst uzkrājumi nākotnes pamatdarbības zaudējumiem, jo tie neatbilst saistību definīcijai un vispārējiem uzkrājumu atzīšanas kritērijiem. </w:t>
      </w:r>
    </w:p>
    <w:p w14:paraId="050EC5D9"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672</w:t>
      </w:r>
      <w:r w:rsidRPr="007A5C04">
        <w:rPr>
          <w:rFonts w:ascii="Times New Roman" w:hAnsi="Times New Roman" w:cs="Times New Roman"/>
          <w:sz w:val="24"/>
          <w:szCs w:val="24"/>
        </w:rPr>
        <w:t>.Fakts, ka sagaidāmi nākotnes pamatdarbības zaudējumi, norāda, ka pamatdarbībā izmantoto aktīvu vērtība varētu samazināties. Budžeta iestāde novērtē šos aktīvus, lai noteiktu, vai nav notikusi vērtības samazināšanās saskaņā ar attiecīgo aktīvu uzskaites principiem.</w:t>
      </w:r>
    </w:p>
    <w:p w14:paraId="22C8DAEB" w14:textId="77777777" w:rsidR="006D2D4D" w:rsidRDefault="006D2D4D" w:rsidP="00CD363C">
      <w:pPr>
        <w:spacing w:after="0" w:line="240" w:lineRule="auto"/>
        <w:ind w:right="-66"/>
        <w:jc w:val="both"/>
        <w:rPr>
          <w:rFonts w:ascii="Times New Roman" w:hAnsi="Times New Roman" w:cs="Times New Roman"/>
          <w:b/>
          <w:sz w:val="24"/>
          <w:szCs w:val="24"/>
        </w:rPr>
      </w:pPr>
    </w:p>
    <w:p w14:paraId="0E832EFC" w14:textId="77777777" w:rsidR="00F6239A" w:rsidRDefault="00F6239A" w:rsidP="00CD363C">
      <w:pPr>
        <w:spacing w:after="0" w:line="240" w:lineRule="auto"/>
        <w:ind w:right="-66"/>
        <w:jc w:val="both"/>
        <w:rPr>
          <w:rFonts w:ascii="Times New Roman" w:hAnsi="Times New Roman" w:cs="Times New Roman"/>
          <w:b/>
          <w:sz w:val="24"/>
          <w:szCs w:val="24"/>
        </w:rPr>
      </w:pPr>
      <w:r w:rsidRPr="00F6239A">
        <w:rPr>
          <w:rFonts w:ascii="Times New Roman" w:hAnsi="Times New Roman" w:cs="Times New Roman"/>
          <w:b/>
          <w:sz w:val="24"/>
          <w:szCs w:val="24"/>
        </w:rPr>
        <w:t>17.4. Iespējamo saistību uzskaite</w:t>
      </w:r>
    </w:p>
    <w:p w14:paraId="59AE2335" w14:textId="77777777" w:rsidR="006D2D4D" w:rsidRPr="007A5C04" w:rsidRDefault="00F6239A" w:rsidP="00CD363C">
      <w:pPr>
        <w:spacing w:after="0" w:line="240" w:lineRule="auto"/>
        <w:ind w:right="-66"/>
        <w:jc w:val="both"/>
        <w:rPr>
          <w:rFonts w:ascii="Times New Roman" w:hAnsi="Times New Roman" w:cs="Times New Roman"/>
          <w:sz w:val="24"/>
          <w:szCs w:val="24"/>
        </w:rPr>
      </w:pPr>
      <w:r w:rsidRPr="00F6239A">
        <w:rPr>
          <w:rFonts w:ascii="Times New Roman" w:hAnsi="Times New Roman" w:cs="Times New Roman"/>
          <w:sz w:val="24"/>
          <w:szCs w:val="24"/>
        </w:rPr>
        <w:t>673.</w:t>
      </w:r>
      <w:r w:rsidR="006D2D4D" w:rsidRPr="006D2D4D">
        <w:rPr>
          <w:rFonts w:ascii="Times New Roman" w:hAnsi="Times New Roman" w:cs="Times New Roman"/>
          <w:b/>
          <w:sz w:val="24"/>
          <w:szCs w:val="24"/>
        </w:rPr>
        <w:t xml:space="preserve"> </w:t>
      </w:r>
      <w:r w:rsidR="006D2D4D" w:rsidRPr="007A5C04">
        <w:rPr>
          <w:rFonts w:ascii="Times New Roman" w:hAnsi="Times New Roman" w:cs="Times New Roman"/>
          <w:sz w:val="24"/>
          <w:szCs w:val="24"/>
        </w:rPr>
        <w:t xml:space="preserve">Iespējamās saistības ir budžeta iestādes: </w:t>
      </w:r>
    </w:p>
    <w:p w14:paraId="088981CC"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673</w:t>
      </w:r>
      <w:r w:rsidRPr="007A5C04">
        <w:rPr>
          <w:rFonts w:ascii="Times New Roman" w:hAnsi="Times New Roman" w:cs="Times New Roman"/>
          <w:sz w:val="24"/>
          <w:szCs w:val="24"/>
        </w:rPr>
        <w:t xml:space="preserve">.1. iespējams pienākums, kas radies pagātnes notikumu rezultātā un kura pastāvēšana ir atkarīga no viena vai vairāku tādu nākotnes notikumu notikšanas vai nenotikšanas, kurus budžeta iestāde nevar kontrolēt; </w:t>
      </w:r>
    </w:p>
    <w:p w14:paraId="1E4524E9"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673</w:t>
      </w:r>
      <w:r w:rsidRPr="007A5C04">
        <w:rPr>
          <w:rFonts w:ascii="Times New Roman" w:hAnsi="Times New Roman" w:cs="Times New Roman"/>
          <w:sz w:val="24"/>
          <w:szCs w:val="24"/>
        </w:rPr>
        <w:t xml:space="preserve">.2. pašreizējs pienākums, kas radies pagātnes notikumu rezultātā, bet nav ticams, ka šā pienākuma izpildei būs nepieciešams budžeta iestādes resursu izlietojums, vai arī nav pietiekama pamatojuma saistību vērtības ticamam novērtējumam. </w:t>
      </w:r>
    </w:p>
    <w:p w14:paraId="5DA5C227"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674</w:t>
      </w:r>
      <w:r w:rsidRPr="007A5C04">
        <w:rPr>
          <w:rFonts w:ascii="Times New Roman" w:hAnsi="Times New Roman" w:cs="Times New Roman"/>
          <w:sz w:val="24"/>
          <w:szCs w:val="24"/>
        </w:rPr>
        <w:t xml:space="preserve">. Budžeta iestāde uzrāda informāciju par iespējamajām saistībām zembilancē, kā arī atklāj informāciju par iespējamām saistībām gada pārskatā. Ja budžeta iestādes resursu izlietošanas iespējas, lai izpildītu iespējamo vai pašreizējo pienākumu, ir nelielas, informāciju par iespējamajām saistībām zembilancē var neuzskaitīt. Grāmatojums, uzskaitot iespējamās saistības zembilancē: </w:t>
      </w:r>
    </w:p>
    <w:p w14:paraId="3B164542" w14:textId="77777777" w:rsidR="006D2D4D" w:rsidRPr="006D2D4D" w:rsidRDefault="006D2D4D" w:rsidP="00CD363C">
      <w:pPr>
        <w:spacing w:after="0" w:line="240" w:lineRule="auto"/>
        <w:ind w:right="-66"/>
        <w:jc w:val="both"/>
        <w:rPr>
          <w:rFonts w:ascii="Times New Roman" w:hAnsi="Times New Roman" w:cs="Times New Roman"/>
          <w:b/>
          <w:sz w:val="24"/>
          <w:szCs w:val="24"/>
        </w:rPr>
      </w:pPr>
      <w:r w:rsidRPr="006D2D4D">
        <w:rPr>
          <w:rFonts w:ascii="Times New Roman" w:hAnsi="Times New Roman" w:cs="Times New Roman"/>
          <w:b/>
          <w:sz w:val="24"/>
          <w:szCs w:val="24"/>
        </w:rPr>
        <w:t xml:space="preserve">    D 9xxx Tehniskais pretkonts </w:t>
      </w:r>
    </w:p>
    <w:p w14:paraId="606BCED0" w14:textId="77777777" w:rsidR="006D2D4D" w:rsidRPr="006D2D4D" w:rsidRDefault="006D2D4D" w:rsidP="00CD363C">
      <w:pPr>
        <w:spacing w:after="0" w:line="240" w:lineRule="auto"/>
        <w:ind w:right="-66"/>
        <w:jc w:val="both"/>
        <w:rPr>
          <w:rFonts w:ascii="Times New Roman" w:hAnsi="Times New Roman" w:cs="Times New Roman"/>
          <w:b/>
          <w:sz w:val="24"/>
          <w:szCs w:val="24"/>
        </w:rPr>
      </w:pPr>
      <w:r w:rsidRPr="006D2D4D">
        <w:rPr>
          <w:rFonts w:ascii="Times New Roman" w:hAnsi="Times New Roman" w:cs="Times New Roman"/>
          <w:b/>
          <w:sz w:val="24"/>
          <w:szCs w:val="24"/>
        </w:rPr>
        <w:t xml:space="preserve">    K 9500 Zembilances pasīvi </w:t>
      </w:r>
    </w:p>
    <w:p w14:paraId="22E9F99A"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675</w:t>
      </w:r>
      <w:r w:rsidRPr="007A5C04">
        <w:rPr>
          <w:rFonts w:ascii="Times New Roman" w:hAnsi="Times New Roman" w:cs="Times New Roman"/>
          <w:sz w:val="24"/>
          <w:szCs w:val="24"/>
        </w:rPr>
        <w:t xml:space="preserve">. Budžeta iestādes izsniegtie galvojumi, kam nav izveidoti uzkrājumi, tiek uzskaitīti iespējamo saistību sastāvā zembilancē kodā 9560 “Izsniegtie galvojumi”. </w:t>
      </w:r>
    </w:p>
    <w:p w14:paraId="05193BFA" w14:textId="77777777" w:rsidR="006D2D4D" w:rsidRPr="006D2D4D" w:rsidRDefault="006D2D4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6D2D4D">
        <w:rPr>
          <w:rFonts w:ascii="Times New Roman" w:hAnsi="Times New Roman" w:cs="Times New Roman"/>
          <w:b/>
          <w:sz w:val="24"/>
          <w:szCs w:val="24"/>
        </w:rPr>
        <w:t xml:space="preserve">D 9xxx Tehniskais pretkonts </w:t>
      </w:r>
    </w:p>
    <w:p w14:paraId="341E8DAF"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6D2D4D">
        <w:rPr>
          <w:rFonts w:ascii="Times New Roman" w:hAnsi="Times New Roman" w:cs="Times New Roman"/>
          <w:b/>
          <w:sz w:val="24"/>
          <w:szCs w:val="24"/>
        </w:rPr>
        <w:t xml:space="preserve">    K 9560 Izsniegtie galvojumi</w:t>
      </w:r>
    </w:p>
    <w:p w14:paraId="132E3E54"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676.</w:t>
      </w:r>
      <w:r w:rsidRPr="006D2D4D">
        <w:rPr>
          <w:rFonts w:ascii="Times New Roman" w:hAnsi="Times New Roman" w:cs="Times New Roman"/>
          <w:sz w:val="24"/>
          <w:szCs w:val="24"/>
        </w:rPr>
        <w:t xml:space="preserve"> </w:t>
      </w:r>
      <w:r w:rsidRPr="007A5C04">
        <w:rPr>
          <w:rFonts w:ascii="Times New Roman" w:hAnsi="Times New Roman" w:cs="Times New Roman"/>
          <w:sz w:val="24"/>
          <w:szCs w:val="24"/>
        </w:rPr>
        <w:t xml:space="preserve"> Ja budžeta iestāde ir noslēgusi līgumus par nākotnes ilgtermiņa ieguldījumiem un līdz bilances datumam pienākums nav izpildīts, šīs saistības uzskaita zembilancē. Šādu iespējamo saistību vērtību aprēķina, summējot pēc bilances 15 datuma paredzētos maksājumus atbilstoši noslēgtajiem līgumiem. Šādu iespējamo saistību vērtībā netiek iekļauti pēc bilances datumā paredzētie maksājumi, par kuriem jau ir atzīstas saistības vai uzkrātās saistības bilancē. </w:t>
      </w:r>
    </w:p>
    <w:p w14:paraId="7019E87E" w14:textId="77777777" w:rsidR="006D2D4D" w:rsidRPr="006D2D4D" w:rsidRDefault="006D2D4D" w:rsidP="00CD363C">
      <w:pPr>
        <w:spacing w:after="0" w:line="240" w:lineRule="auto"/>
        <w:ind w:right="-66"/>
        <w:jc w:val="both"/>
        <w:rPr>
          <w:rFonts w:ascii="Times New Roman" w:hAnsi="Times New Roman" w:cs="Times New Roman"/>
          <w:b/>
          <w:sz w:val="24"/>
          <w:szCs w:val="24"/>
        </w:rPr>
      </w:pPr>
      <w:r w:rsidRPr="006D2D4D">
        <w:rPr>
          <w:rFonts w:ascii="Times New Roman" w:hAnsi="Times New Roman" w:cs="Times New Roman"/>
          <w:b/>
          <w:sz w:val="24"/>
          <w:szCs w:val="24"/>
        </w:rPr>
        <w:t xml:space="preserve">    D 9xxx Tehniskais pretkonts </w:t>
      </w:r>
    </w:p>
    <w:p w14:paraId="2CF90AA8" w14:textId="77777777" w:rsidR="006D2D4D" w:rsidRDefault="006D2D4D" w:rsidP="00CD363C">
      <w:pPr>
        <w:spacing w:after="0" w:line="240" w:lineRule="auto"/>
        <w:ind w:right="-66"/>
        <w:jc w:val="both"/>
        <w:rPr>
          <w:rFonts w:ascii="Times New Roman" w:hAnsi="Times New Roman" w:cs="Times New Roman"/>
          <w:sz w:val="24"/>
          <w:szCs w:val="24"/>
        </w:rPr>
      </w:pPr>
      <w:r w:rsidRPr="006D2D4D">
        <w:rPr>
          <w:rFonts w:ascii="Times New Roman" w:hAnsi="Times New Roman" w:cs="Times New Roman"/>
          <w:b/>
          <w:sz w:val="24"/>
          <w:szCs w:val="24"/>
        </w:rPr>
        <w:t xml:space="preserve">    K 9520 Nākotnes saistības saskaņā ar līgumiem un vadības lēmumiem par ilgtermiņa ieguldījumu</w:t>
      </w:r>
      <w:r w:rsidRPr="007A5C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2D4D">
        <w:rPr>
          <w:rFonts w:ascii="Times New Roman" w:hAnsi="Times New Roman" w:cs="Times New Roman"/>
          <w:b/>
          <w:sz w:val="24"/>
          <w:szCs w:val="24"/>
        </w:rPr>
        <w:t>iegādi un izveidošanu,</w:t>
      </w:r>
      <w:r w:rsidRPr="007A5C04">
        <w:rPr>
          <w:rFonts w:ascii="Times New Roman" w:hAnsi="Times New Roman" w:cs="Times New Roman"/>
          <w:sz w:val="24"/>
          <w:szCs w:val="24"/>
        </w:rPr>
        <w:t xml:space="preserve"> izņemot tos, kas noslēgti par ārvalstu finanšu palīdzības un Eiropas Savienības politiku instrumentu finansētajiem projektiem.</w:t>
      </w:r>
    </w:p>
    <w:p w14:paraId="691AA3A0" w14:textId="77777777" w:rsidR="006D2D4D"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677.</w:t>
      </w:r>
      <w:r w:rsidRPr="006D2D4D">
        <w:rPr>
          <w:rFonts w:ascii="Times New Roman" w:hAnsi="Times New Roman" w:cs="Times New Roman"/>
          <w:sz w:val="24"/>
          <w:szCs w:val="24"/>
        </w:rPr>
        <w:t xml:space="preserve"> </w:t>
      </w:r>
      <w:r w:rsidRPr="007A5C04">
        <w:rPr>
          <w:rFonts w:ascii="Times New Roman" w:hAnsi="Times New Roman" w:cs="Times New Roman"/>
          <w:sz w:val="24"/>
          <w:szCs w:val="24"/>
        </w:rPr>
        <w:t xml:space="preserve"> Iespējamās saistības var rasties tādos veidos, kas sākotnēji nav bijuši sagaidāmi, tādēļ budžeta iestāde tās pastāvīgi novērtē, lai noteiktu, vai nav kļuvis ticams, ka pienākumu izpildei būs nepieciešams budžeta iestādes resursu izlietojums. Ja ir kļuvis ticams, ka pienākuma izpildei, kas iepriekš uzrādīts kā iespējamās saistības, būs nepieciešams budžeta iestādes resursu izlietojums, budžeta iestāde atzīst uzkrājumus un uzrāda tā perioda finanšu pārskatos, kurā kļūst ticams, ka saistību izpildei būs nepieciešams budžeta iestādes resursu patēriņš, un kurā budžeta iestāde var veikt ticamu pienākuma aplēsi.</w:t>
      </w:r>
    </w:p>
    <w:p w14:paraId="3E040DBD" w14:textId="77777777" w:rsidR="00766EE6" w:rsidRDefault="006D2D4D" w:rsidP="00CD363C">
      <w:pPr>
        <w:spacing w:after="0" w:line="240" w:lineRule="auto"/>
        <w:ind w:right="-66"/>
        <w:jc w:val="both"/>
        <w:rPr>
          <w:i/>
        </w:rPr>
      </w:pPr>
      <w:r w:rsidRPr="006D2D4D">
        <w:rPr>
          <w:b/>
          <w:i/>
        </w:rPr>
        <w:t>Piemēram</w:t>
      </w:r>
      <w:r>
        <w:rPr>
          <w:i/>
        </w:rPr>
        <w:t>, 2019.gadā budžeta iestāde pārkāpusi vides aizsardzības tiesību aktu prasības. Videi nodarītā kaitējuma apmērs nav zināms, tāpēc nav iespējams veikt ticamu pašreizējā pienākuma aplēsi. Līdz ar to, sagatavojot finanšu pārskatus par 2019.gadu, budžeta iestāde atklāj informāciju</w:t>
      </w:r>
      <w:r>
        <w:rPr>
          <w:i/>
          <w:spacing w:val="-8"/>
        </w:rPr>
        <w:t xml:space="preserve"> </w:t>
      </w:r>
      <w:r>
        <w:rPr>
          <w:i/>
        </w:rPr>
        <w:t>par</w:t>
      </w:r>
      <w:r>
        <w:rPr>
          <w:i/>
          <w:spacing w:val="-6"/>
        </w:rPr>
        <w:t xml:space="preserve"> </w:t>
      </w:r>
      <w:r>
        <w:rPr>
          <w:i/>
        </w:rPr>
        <w:t>iespējamajām</w:t>
      </w:r>
      <w:r>
        <w:rPr>
          <w:i/>
          <w:spacing w:val="-6"/>
        </w:rPr>
        <w:t xml:space="preserve"> </w:t>
      </w:r>
      <w:r>
        <w:rPr>
          <w:i/>
        </w:rPr>
        <w:t>saistībām.</w:t>
      </w:r>
      <w:r>
        <w:rPr>
          <w:i/>
          <w:spacing w:val="-6"/>
        </w:rPr>
        <w:t xml:space="preserve"> </w:t>
      </w:r>
      <w:r>
        <w:rPr>
          <w:i/>
        </w:rPr>
        <w:t>Turpmāk,</w:t>
      </w:r>
      <w:r>
        <w:rPr>
          <w:i/>
          <w:spacing w:val="-4"/>
        </w:rPr>
        <w:t xml:space="preserve"> </w:t>
      </w:r>
      <w:r>
        <w:rPr>
          <w:i/>
        </w:rPr>
        <w:t>2020.gadā,</w:t>
      </w:r>
      <w:r>
        <w:rPr>
          <w:i/>
          <w:spacing w:val="-7"/>
        </w:rPr>
        <w:t xml:space="preserve"> </w:t>
      </w:r>
      <w:r>
        <w:rPr>
          <w:i/>
        </w:rPr>
        <w:t>eksperti</w:t>
      </w:r>
      <w:r>
        <w:rPr>
          <w:i/>
          <w:spacing w:val="-7"/>
        </w:rPr>
        <w:t xml:space="preserve"> </w:t>
      </w:r>
      <w:r>
        <w:rPr>
          <w:i/>
        </w:rPr>
        <w:t>konstatē</w:t>
      </w:r>
      <w:r>
        <w:rPr>
          <w:i/>
          <w:spacing w:val="-4"/>
        </w:rPr>
        <w:t xml:space="preserve"> </w:t>
      </w:r>
      <w:r>
        <w:rPr>
          <w:i/>
        </w:rPr>
        <w:t>kaitējumu</w:t>
      </w:r>
      <w:r>
        <w:rPr>
          <w:i/>
          <w:spacing w:val="-7"/>
        </w:rPr>
        <w:t xml:space="preserve"> </w:t>
      </w:r>
      <w:r>
        <w:rPr>
          <w:i/>
        </w:rPr>
        <w:t>videi</w:t>
      </w:r>
      <w:r>
        <w:rPr>
          <w:i/>
          <w:spacing w:val="-6"/>
        </w:rPr>
        <w:t xml:space="preserve"> </w:t>
      </w:r>
      <w:r>
        <w:rPr>
          <w:i/>
        </w:rPr>
        <w:t>un nosaka tā apmēru. Iestāde aplēš attiecīgās izmaksas un, sagatavojot finanšu pārskatus par 2020.gadu, atzīst uzkrājumus, jo ir kļuvis ticams, ka būs nepieciešams budžeta iestādes resursu patēriņš, un ir zināma nepieciešamo izdevumu</w:t>
      </w:r>
      <w:r>
        <w:rPr>
          <w:i/>
          <w:spacing w:val="-7"/>
        </w:rPr>
        <w:t xml:space="preserve"> </w:t>
      </w:r>
      <w:r>
        <w:rPr>
          <w:i/>
        </w:rPr>
        <w:t>aplēse.</w:t>
      </w:r>
    </w:p>
    <w:p w14:paraId="3C8FD29E"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 xml:space="preserve">Grāmatojums, atzīstot iespējamās saistības </w:t>
      </w:r>
      <w:r>
        <w:rPr>
          <w:rFonts w:ascii="Times New Roman" w:hAnsi="Times New Roman" w:cs="Times New Roman"/>
          <w:sz w:val="24"/>
          <w:szCs w:val="24"/>
        </w:rPr>
        <w:t xml:space="preserve">tekošā </w:t>
      </w:r>
      <w:r w:rsidRPr="007A5C04">
        <w:rPr>
          <w:rFonts w:ascii="Times New Roman" w:hAnsi="Times New Roman" w:cs="Times New Roman"/>
          <w:sz w:val="24"/>
          <w:szCs w:val="24"/>
        </w:rPr>
        <w:t>gad</w:t>
      </w:r>
      <w:r>
        <w:rPr>
          <w:rFonts w:ascii="Times New Roman" w:hAnsi="Times New Roman" w:cs="Times New Roman"/>
          <w:sz w:val="24"/>
          <w:szCs w:val="24"/>
        </w:rPr>
        <w:t>a</w:t>
      </w:r>
      <w:r w:rsidRPr="007A5C04">
        <w:rPr>
          <w:rFonts w:ascii="Times New Roman" w:hAnsi="Times New Roman" w:cs="Times New Roman"/>
          <w:sz w:val="24"/>
          <w:szCs w:val="24"/>
        </w:rPr>
        <w:t xml:space="preserve"> zembilancē: </w:t>
      </w:r>
    </w:p>
    <w:p w14:paraId="748FD1C2" w14:textId="77777777" w:rsidR="006D2D4D"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 xml:space="preserve">D 9xxx Tehniskais pretkonts </w:t>
      </w:r>
    </w:p>
    <w:p w14:paraId="4C6F01ED" w14:textId="77777777" w:rsidR="006D2D4D"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 xml:space="preserve">K 9590 Citas zembilances saistības </w:t>
      </w:r>
    </w:p>
    <w:p w14:paraId="59A9C414"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 xml:space="preserve">Grāmatojums, atzīstot uzkrājumus </w:t>
      </w:r>
      <w:r>
        <w:rPr>
          <w:rFonts w:ascii="Times New Roman" w:hAnsi="Times New Roman" w:cs="Times New Roman"/>
          <w:sz w:val="24"/>
          <w:szCs w:val="24"/>
        </w:rPr>
        <w:t xml:space="preserve">nākamā gada </w:t>
      </w:r>
      <w:r w:rsidRPr="007A5C04">
        <w:rPr>
          <w:rFonts w:ascii="Times New Roman" w:hAnsi="Times New Roman" w:cs="Times New Roman"/>
          <w:sz w:val="24"/>
          <w:szCs w:val="24"/>
        </w:rPr>
        <w:t xml:space="preserve">bilancē: </w:t>
      </w:r>
    </w:p>
    <w:p w14:paraId="60D40B14" w14:textId="77777777" w:rsidR="006D2D4D" w:rsidRPr="00766EE6" w:rsidRDefault="00766EE6"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6D2D4D" w:rsidRPr="00766EE6">
        <w:rPr>
          <w:rFonts w:ascii="Times New Roman" w:hAnsi="Times New Roman" w:cs="Times New Roman"/>
          <w:b/>
          <w:sz w:val="24"/>
          <w:szCs w:val="24"/>
        </w:rPr>
        <w:t xml:space="preserve">D 8660 Izdevumi uzkrājumu veidošanai </w:t>
      </w:r>
    </w:p>
    <w:p w14:paraId="41B9F9F9" w14:textId="77777777" w:rsidR="006D2D4D" w:rsidRDefault="00766EE6" w:rsidP="00CD363C">
      <w:pPr>
        <w:spacing w:after="0" w:line="240" w:lineRule="auto"/>
        <w:ind w:right="-66"/>
        <w:jc w:val="both"/>
        <w:rPr>
          <w:rFonts w:ascii="Times New Roman" w:hAnsi="Times New Roman" w:cs="Times New Roman"/>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K 4000 Uzkrājumi</w:t>
      </w:r>
      <w:r w:rsidR="006D2D4D" w:rsidRPr="007A5C04">
        <w:rPr>
          <w:rFonts w:ascii="Times New Roman" w:hAnsi="Times New Roman" w:cs="Times New Roman"/>
          <w:sz w:val="24"/>
          <w:szCs w:val="24"/>
        </w:rPr>
        <w:t xml:space="preserve"> </w:t>
      </w:r>
    </w:p>
    <w:p w14:paraId="16B79B07"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 xml:space="preserve">Vienlaicīgi tiek izslēgtas iespējamās saistības no zembilances: </w:t>
      </w:r>
    </w:p>
    <w:p w14:paraId="1CC31FA8" w14:textId="77777777" w:rsidR="006D2D4D" w:rsidRPr="00766EE6" w:rsidRDefault="00766EE6"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6D2D4D" w:rsidRPr="00766EE6">
        <w:rPr>
          <w:rFonts w:ascii="Times New Roman" w:hAnsi="Times New Roman" w:cs="Times New Roman"/>
          <w:b/>
          <w:sz w:val="24"/>
          <w:szCs w:val="24"/>
        </w:rPr>
        <w:t xml:space="preserve">D 9500 Zembilances pasīvi </w:t>
      </w:r>
    </w:p>
    <w:p w14:paraId="04A227C8" w14:textId="77777777" w:rsidR="006D2D4D"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K 9xxx Tehniskais pretkonts</w:t>
      </w:r>
    </w:p>
    <w:p w14:paraId="5BDCDC87" w14:textId="77777777" w:rsidR="00766EE6" w:rsidRDefault="00766EE6" w:rsidP="00CD363C">
      <w:pPr>
        <w:widowControl w:val="0"/>
        <w:tabs>
          <w:tab w:val="left" w:pos="898"/>
        </w:tabs>
        <w:autoSpaceDE w:val="0"/>
        <w:autoSpaceDN w:val="0"/>
        <w:spacing w:after="0" w:line="240" w:lineRule="auto"/>
        <w:ind w:right="-66"/>
        <w:jc w:val="both"/>
        <w:rPr>
          <w:spacing w:val="-2"/>
        </w:rPr>
      </w:pPr>
      <w:r w:rsidRPr="00766EE6">
        <w:rPr>
          <w:rFonts w:ascii="Times New Roman" w:hAnsi="Times New Roman" w:cs="Times New Roman"/>
          <w:sz w:val="24"/>
          <w:szCs w:val="24"/>
        </w:rPr>
        <w:t>678.</w:t>
      </w:r>
      <w:r w:rsidRPr="00766EE6">
        <w:t xml:space="preserve"> </w:t>
      </w:r>
      <w:r w:rsidRPr="00766EE6">
        <w:rPr>
          <w:rFonts w:ascii="Times New Roman" w:hAnsi="Times New Roman" w:cs="Times New Roman"/>
          <w:sz w:val="24"/>
          <w:szCs w:val="24"/>
        </w:rPr>
        <w:t>Ja budžeta iestāde ir solidāri un arī atsevišķi atbildīga par pienākumā ietverto saistību segšanu, tad to</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pienākuma</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daļu,</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kuru,</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paredzams,</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segs</w:t>
      </w:r>
      <w:r w:rsidRPr="00766EE6">
        <w:rPr>
          <w:rFonts w:ascii="Times New Roman" w:hAnsi="Times New Roman" w:cs="Times New Roman"/>
          <w:spacing w:val="-6"/>
          <w:sz w:val="24"/>
          <w:szCs w:val="24"/>
        </w:rPr>
        <w:t xml:space="preserve"> </w:t>
      </w:r>
      <w:r w:rsidRPr="00766EE6">
        <w:rPr>
          <w:rFonts w:ascii="Times New Roman" w:hAnsi="Times New Roman" w:cs="Times New Roman"/>
          <w:sz w:val="24"/>
          <w:szCs w:val="24"/>
        </w:rPr>
        <w:t>citas</w:t>
      </w:r>
      <w:r w:rsidRPr="00766EE6">
        <w:rPr>
          <w:rFonts w:ascii="Times New Roman" w:hAnsi="Times New Roman" w:cs="Times New Roman"/>
          <w:spacing w:val="-6"/>
          <w:sz w:val="24"/>
          <w:szCs w:val="24"/>
        </w:rPr>
        <w:t xml:space="preserve"> </w:t>
      </w:r>
      <w:r w:rsidRPr="00766EE6">
        <w:rPr>
          <w:rFonts w:ascii="Times New Roman" w:hAnsi="Times New Roman" w:cs="Times New Roman"/>
          <w:sz w:val="24"/>
          <w:szCs w:val="24"/>
        </w:rPr>
        <w:t>personas,</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uzrāda</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kā</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iespējamās</w:t>
      </w:r>
      <w:r w:rsidRPr="00766EE6">
        <w:rPr>
          <w:rFonts w:ascii="Times New Roman" w:hAnsi="Times New Roman" w:cs="Times New Roman"/>
          <w:spacing w:val="-5"/>
          <w:sz w:val="24"/>
          <w:szCs w:val="24"/>
        </w:rPr>
        <w:t xml:space="preserve"> </w:t>
      </w:r>
      <w:r w:rsidRPr="00766EE6">
        <w:rPr>
          <w:rFonts w:ascii="Times New Roman" w:hAnsi="Times New Roman" w:cs="Times New Roman"/>
          <w:sz w:val="24"/>
          <w:szCs w:val="24"/>
        </w:rPr>
        <w:t>saistības.</w:t>
      </w:r>
      <w:r w:rsidRPr="00766EE6">
        <w:rPr>
          <w:spacing w:val="-2"/>
        </w:rPr>
        <w:t xml:space="preserve"> </w:t>
      </w:r>
    </w:p>
    <w:p w14:paraId="4304FBB6" w14:textId="77777777" w:rsidR="00766EE6" w:rsidRDefault="00766EE6" w:rsidP="00CD363C">
      <w:pPr>
        <w:widowControl w:val="0"/>
        <w:tabs>
          <w:tab w:val="left" w:pos="898"/>
        </w:tabs>
        <w:autoSpaceDE w:val="0"/>
        <w:autoSpaceDN w:val="0"/>
        <w:spacing w:after="0" w:line="240" w:lineRule="auto"/>
        <w:ind w:right="-66"/>
        <w:jc w:val="both"/>
        <w:rPr>
          <w:i/>
        </w:rPr>
      </w:pPr>
      <w:r w:rsidRPr="00766EE6">
        <w:rPr>
          <w:b/>
          <w:i/>
        </w:rPr>
        <w:t>Piemēram,</w:t>
      </w:r>
      <w:r w:rsidRPr="00766EE6">
        <w:rPr>
          <w:i/>
        </w:rPr>
        <w:t xml:space="preserve"> budžeta iestāde A ir apņēmusies segt videi nodarītā kaitējuma izmaksas solidāri ar iestādi B. Starp iestādēm noslēgts līgums vai cits tiesību akts, kas paredz budžeta iestādes atbildību segt 40% no kopējām videi nodarītā kaitējuma aplēstajām izmaksām un iestādei B segt 60% no kopējām izmaksām. Videi nodarītā kaitējuma aplēstās kopējās izmaksas ir 80 000,00 EUR. Budžeta iestāde A atzīst uzkrājumu 32 000,00 EUR apmērā (80 000,00 EUR * 40% = 32 000,00 EUR) un uzrāda iespējamās</w:t>
      </w:r>
      <w:r w:rsidRPr="00766EE6">
        <w:rPr>
          <w:i/>
          <w:spacing w:val="-7"/>
        </w:rPr>
        <w:t xml:space="preserve"> </w:t>
      </w:r>
      <w:r w:rsidRPr="00766EE6">
        <w:rPr>
          <w:i/>
        </w:rPr>
        <w:t>saistības</w:t>
      </w:r>
      <w:r w:rsidRPr="00766EE6">
        <w:rPr>
          <w:i/>
          <w:spacing w:val="-7"/>
        </w:rPr>
        <w:t xml:space="preserve"> </w:t>
      </w:r>
      <w:r w:rsidRPr="00766EE6">
        <w:rPr>
          <w:i/>
        </w:rPr>
        <w:t>48</w:t>
      </w:r>
      <w:r w:rsidRPr="00766EE6">
        <w:rPr>
          <w:i/>
          <w:spacing w:val="-1"/>
        </w:rPr>
        <w:t xml:space="preserve"> </w:t>
      </w:r>
      <w:r w:rsidRPr="00766EE6">
        <w:rPr>
          <w:i/>
        </w:rPr>
        <w:t>000,00</w:t>
      </w:r>
      <w:r w:rsidRPr="00766EE6">
        <w:rPr>
          <w:i/>
          <w:spacing w:val="-6"/>
        </w:rPr>
        <w:t xml:space="preserve"> </w:t>
      </w:r>
      <w:r w:rsidRPr="00766EE6">
        <w:rPr>
          <w:i/>
        </w:rPr>
        <w:t>EUR</w:t>
      </w:r>
      <w:r w:rsidRPr="00766EE6">
        <w:rPr>
          <w:i/>
          <w:spacing w:val="-7"/>
        </w:rPr>
        <w:t xml:space="preserve"> </w:t>
      </w:r>
      <w:r w:rsidRPr="00766EE6">
        <w:rPr>
          <w:i/>
        </w:rPr>
        <w:t>apmērā</w:t>
      </w:r>
      <w:r w:rsidRPr="00766EE6">
        <w:rPr>
          <w:i/>
          <w:spacing w:val="-6"/>
        </w:rPr>
        <w:t xml:space="preserve"> </w:t>
      </w:r>
      <w:r w:rsidRPr="00766EE6">
        <w:rPr>
          <w:i/>
        </w:rPr>
        <w:t>(80</w:t>
      </w:r>
      <w:r w:rsidRPr="00766EE6">
        <w:rPr>
          <w:i/>
          <w:spacing w:val="-1"/>
        </w:rPr>
        <w:t xml:space="preserve"> </w:t>
      </w:r>
      <w:r w:rsidRPr="00766EE6">
        <w:rPr>
          <w:i/>
        </w:rPr>
        <w:t>000,00</w:t>
      </w:r>
      <w:r w:rsidRPr="00766EE6">
        <w:rPr>
          <w:i/>
          <w:spacing w:val="-6"/>
        </w:rPr>
        <w:t xml:space="preserve"> </w:t>
      </w:r>
      <w:r w:rsidRPr="00766EE6">
        <w:rPr>
          <w:i/>
        </w:rPr>
        <w:t>EUR</w:t>
      </w:r>
      <w:r w:rsidRPr="00766EE6">
        <w:rPr>
          <w:i/>
          <w:spacing w:val="-7"/>
        </w:rPr>
        <w:t xml:space="preserve"> </w:t>
      </w:r>
      <w:r w:rsidRPr="00766EE6">
        <w:rPr>
          <w:i/>
        </w:rPr>
        <w:t>*</w:t>
      </w:r>
      <w:r w:rsidRPr="00766EE6">
        <w:rPr>
          <w:i/>
          <w:spacing w:val="-6"/>
        </w:rPr>
        <w:t xml:space="preserve"> </w:t>
      </w:r>
      <w:r w:rsidRPr="00766EE6">
        <w:rPr>
          <w:i/>
        </w:rPr>
        <w:t>60%</w:t>
      </w:r>
      <w:r w:rsidRPr="00766EE6">
        <w:rPr>
          <w:i/>
          <w:spacing w:val="-15"/>
        </w:rPr>
        <w:t xml:space="preserve"> </w:t>
      </w:r>
      <w:r w:rsidRPr="00766EE6">
        <w:rPr>
          <w:i/>
        </w:rPr>
        <w:t>=</w:t>
      </w:r>
      <w:r w:rsidRPr="00766EE6">
        <w:rPr>
          <w:i/>
          <w:spacing w:val="-6"/>
        </w:rPr>
        <w:t xml:space="preserve"> </w:t>
      </w:r>
      <w:r w:rsidRPr="00766EE6">
        <w:rPr>
          <w:i/>
        </w:rPr>
        <w:t>48 000,00</w:t>
      </w:r>
      <w:r w:rsidRPr="00766EE6">
        <w:rPr>
          <w:i/>
          <w:spacing w:val="-9"/>
        </w:rPr>
        <w:t xml:space="preserve"> </w:t>
      </w:r>
      <w:r w:rsidRPr="00766EE6">
        <w:rPr>
          <w:i/>
        </w:rPr>
        <w:t>EUR)</w:t>
      </w:r>
      <w:r w:rsidRPr="00766EE6">
        <w:rPr>
          <w:i/>
          <w:spacing w:val="-8"/>
        </w:rPr>
        <w:t xml:space="preserve"> </w:t>
      </w:r>
      <w:r w:rsidRPr="00766EE6">
        <w:rPr>
          <w:i/>
        </w:rPr>
        <w:t>attiecībā</w:t>
      </w:r>
      <w:r w:rsidRPr="00766EE6">
        <w:rPr>
          <w:i/>
          <w:spacing w:val="-6"/>
        </w:rPr>
        <w:t xml:space="preserve"> </w:t>
      </w:r>
      <w:r w:rsidRPr="00766EE6">
        <w:rPr>
          <w:i/>
        </w:rPr>
        <w:t>uz videi nodarītā kaitējuma izmaksu</w:t>
      </w:r>
      <w:r w:rsidRPr="00766EE6">
        <w:rPr>
          <w:i/>
          <w:spacing w:val="-3"/>
        </w:rPr>
        <w:t xml:space="preserve"> </w:t>
      </w:r>
      <w:r w:rsidRPr="00766EE6">
        <w:rPr>
          <w:i/>
        </w:rPr>
        <w:t>segšanu.</w:t>
      </w:r>
    </w:p>
    <w:p w14:paraId="313958B3" w14:textId="77777777" w:rsidR="00766EE6" w:rsidRDefault="00766EE6" w:rsidP="00CD363C">
      <w:pPr>
        <w:spacing w:after="0" w:line="240" w:lineRule="auto"/>
        <w:ind w:right="-66"/>
        <w:jc w:val="both"/>
        <w:rPr>
          <w:i/>
        </w:rPr>
      </w:pPr>
      <w:r>
        <w:rPr>
          <w:i/>
        </w:rPr>
        <w:t>Budžeta iestādes A grāmatojums, atzīstot iespējamās saistības zembilancē par budžeta iestādes B sedzamo izmaksu daļu:</w:t>
      </w:r>
    </w:p>
    <w:p w14:paraId="000C8DDE" w14:textId="77777777" w:rsidR="00766EE6"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D </w:t>
      </w:r>
      <w:r w:rsidRPr="00766EE6">
        <w:rPr>
          <w:rFonts w:ascii="Times New Roman" w:hAnsi="Times New Roman" w:cs="Times New Roman"/>
          <w:sz w:val="24"/>
          <w:szCs w:val="24"/>
        </w:rPr>
        <w:t xml:space="preserve"> </w:t>
      </w:r>
      <w:r w:rsidRPr="00766EE6">
        <w:rPr>
          <w:rFonts w:ascii="Times New Roman" w:hAnsi="Times New Roman" w:cs="Times New Roman"/>
          <w:b/>
          <w:sz w:val="24"/>
          <w:szCs w:val="24"/>
        </w:rPr>
        <w:t xml:space="preserve">9xxx Tehniskais pretkonts         </w:t>
      </w:r>
      <w:r>
        <w:rPr>
          <w:rFonts w:ascii="Times New Roman" w:hAnsi="Times New Roman" w:cs="Times New Roman"/>
          <w:b/>
          <w:sz w:val="24"/>
          <w:szCs w:val="24"/>
        </w:rPr>
        <w:t xml:space="preserve">                           </w:t>
      </w:r>
      <w:r w:rsidRPr="00766EE6">
        <w:rPr>
          <w:rFonts w:ascii="Times New Roman" w:hAnsi="Times New Roman" w:cs="Times New Roman"/>
          <w:b/>
          <w:sz w:val="24"/>
          <w:szCs w:val="24"/>
        </w:rPr>
        <w:t>48000,00 EUR</w:t>
      </w:r>
    </w:p>
    <w:p w14:paraId="7CAB3205" w14:textId="77777777" w:rsid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K  9590   Citas zembilances saistības      </w:t>
      </w:r>
      <w:r>
        <w:rPr>
          <w:rFonts w:ascii="Times New Roman" w:hAnsi="Times New Roman" w:cs="Times New Roman"/>
          <w:b/>
          <w:sz w:val="24"/>
          <w:szCs w:val="24"/>
        </w:rPr>
        <w:t xml:space="preserve">                 </w:t>
      </w:r>
      <w:r w:rsidRPr="00766EE6">
        <w:rPr>
          <w:rFonts w:ascii="Times New Roman" w:hAnsi="Times New Roman" w:cs="Times New Roman"/>
          <w:b/>
          <w:sz w:val="24"/>
          <w:szCs w:val="24"/>
        </w:rPr>
        <w:t xml:space="preserve"> 48000,00 EUR</w:t>
      </w:r>
    </w:p>
    <w:p w14:paraId="4EAAE8BF" w14:textId="77777777" w:rsidR="00766EE6" w:rsidRDefault="00766EE6" w:rsidP="00CD363C">
      <w:pPr>
        <w:spacing w:after="0" w:line="240" w:lineRule="auto"/>
        <w:ind w:right="-66"/>
        <w:jc w:val="both"/>
        <w:rPr>
          <w:i/>
        </w:rPr>
      </w:pPr>
      <w:r>
        <w:rPr>
          <w:i/>
        </w:rPr>
        <w:t>Budžeta iestādes A grāmatojums, atzīstot uzkrājumus bilancē par savu sedzamo izmaksu daļu:</w:t>
      </w:r>
    </w:p>
    <w:p w14:paraId="0DAFC37A" w14:textId="77777777" w:rsidR="00766EE6"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D 8660 Izdevumi no uzkrājumu veidošanas        </w:t>
      </w:r>
      <w:r>
        <w:rPr>
          <w:rFonts w:ascii="Times New Roman" w:hAnsi="Times New Roman" w:cs="Times New Roman"/>
          <w:b/>
          <w:sz w:val="24"/>
          <w:szCs w:val="24"/>
        </w:rPr>
        <w:t xml:space="preserve">    </w:t>
      </w:r>
      <w:r w:rsidRPr="00766EE6">
        <w:rPr>
          <w:rFonts w:ascii="Times New Roman" w:hAnsi="Times New Roman" w:cs="Times New Roman"/>
          <w:b/>
          <w:sz w:val="24"/>
          <w:szCs w:val="24"/>
        </w:rPr>
        <w:t>32000,00 EUR</w:t>
      </w:r>
    </w:p>
    <w:p w14:paraId="2AEADBDD" w14:textId="77777777" w:rsid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K  4000  Uzkrājumi                                                    32000,00 EUR  </w:t>
      </w:r>
    </w:p>
    <w:p w14:paraId="0F017E23"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A27C31">
        <w:rPr>
          <w:rFonts w:ascii="Times New Roman" w:hAnsi="Times New Roman" w:cs="Times New Roman"/>
          <w:sz w:val="24"/>
          <w:szCs w:val="24"/>
        </w:rPr>
        <w:t>679.Iespējamo saistību novērtēšanas principi sniegti 2.</w:t>
      </w:r>
      <w:r w:rsidRPr="00A27C31">
        <w:rPr>
          <w:rFonts w:ascii="Times New Roman" w:hAnsi="Times New Roman" w:cs="Times New Roman"/>
          <w:spacing w:val="1"/>
          <w:sz w:val="24"/>
          <w:szCs w:val="24"/>
        </w:rPr>
        <w:t xml:space="preserve"> </w:t>
      </w:r>
      <w:r w:rsidRPr="00A27C31">
        <w:rPr>
          <w:rFonts w:ascii="Times New Roman" w:hAnsi="Times New Roman" w:cs="Times New Roman"/>
          <w:sz w:val="24"/>
          <w:szCs w:val="24"/>
        </w:rPr>
        <w:t>tabulā.</w:t>
      </w:r>
    </w:p>
    <w:p w14:paraId="4750B7D1"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7EA8A21E"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266046E5"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568C8B8B"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68D230DB"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62A927D5" w14:textId="77777777" w:rsidR="00A27C31" w:rsidRDefault="00A27C31" w:rsidP="00CD363C">
      <w:pPr>
        <w:pStyle w:val="Sarakstarindkopa"/>
        <w:widowControl w:val="0"/>
        <w:numPr>
          <w:ilvl w:val="3"/>
          <w:numId w:val="7"/>
        </w:numPr>
        <w:tabs>
          <w:tab w:val="left" w:pos="5767"/>
        </w:tabs>
        <w:autoSpaceDE w:val="0"/>
        <w:autoSpaceDN w:val="0"/>
        <w:spacing w:after="0" w:line="240" w:lineRule="auto"/>
        <w:ind w:right="-66"/>
        <w:contextualSpacing w:val="0"/>
        <w:jc w:val="both"/>
        <w:rPr>
          <w:i/>
          <w:sz w:val="20"/>
        </w:rPr>
      </w:pPr>
      <w:r>
        <w:rPr>
          <w:i/>
          <w:sz w:val="20"/>
        </w:rPr>
        <w:t>tabula. Iespējamo saistību novērtēšanas</w:t>
      </w:r>
      <w:r>
        <w:rPr>
          <w:i/>
          <w:spacing w:val="-7"/>
          <w:sz w:val="20"/>
        </w:rPr>
        <w:t xml:space="preserve"> </w:t>
      </w:r>
      <w:r>
        <w:rPr>
          <w:i/>
          <w:sz w:val="20"/>
        </w:rPr>
        <w:t>principi</w:t>
      </w:r>
    </w:p>
    <w:tbl>
      <w:tblPr>
        <w:tblW w:w="0" w:type="auto"/>
        <w:tblInd w:w="360"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835"/>
        <w:gridCol w:w="3262"/>
        <w:gridCol w:w="3263"/>
      </w:tblGrid>
      <w:tr w:rsidR="00A27C31" w14:paraId="169807D0" w14:textId="77777777" w:rsidTr="00675407">
        <w:trPr>
          <w:trHeight w:val="1463"/>
        </w:trPr>
        <w:tc>
          <w:tcPr>
            <w:tcW w:w="9360" w:type="dxa"/>
            <w:gridSpan w:val="3"/>
            <w:shd w:val="clear" w:color="auto" w:fill="F1F1F1"/>
          </w:tcPr>
          <w:p w14:paraId="0E6A1443" w14:textId="77777777" w:rsidR="00A27C31" w:rsidRDefault="00A27C31" w:rsidP="00CD363C">
            <w:pPr>
              <w:pStyle w:val="TableParagraph"/>
              <w:ind w:left="232" w:right="-66" w:hanging="3"/>
              <w:jc w:val="both"/>
            </w:pPr>
            <w:r>
              <w:t xml:space="preserve">Ja budžeta iestādei pagātnes notikumu rezultātā var rasties budžeta iestādes resursu izlietojums, lai izpildītu (1) </w:t>
            </w:r>
            <w:r>
              <w:rPr>
                <w:b/>
              </w:rPr>
              <w:t xml:space="preserve">pašreizējo pienākumu </w:t>
            </w:r>
            <w:r>
              <w:t xml:space="preserve">vai (2) </w:t>
            </w:r>
            <w:r>
              <w:rPr>
                <w:b/>
              </w:rPr>
              <w:t>iespējamo pienākumu</w:t>
            </w:r>
            <w:r>
              <w:t>, kura pastāvēšana ir atkarīga no viena vai vairāku tādu nākotnes notikumu notikšanas vai nenotikšanas, kurus budžeta iestāde nevar kontrolēt:</w:t>
            </w:r>
          </w:p>
        </w:tc>
      </w:tr>
      <w:tr w:rsidR="00A27C31" w14:paraId="735DDC65" w14:textId="77777777" w:rsidTr="00675407">
        <w:trPr>
          <w:trHeight w:val="1617"/>
        </w:trPr>
        <w:tc>
          <w:tcPr>
            <w:tcW w:w="2835" w:type="dxa"/>
          </w:tcPr>
          <w:p w14:paraId="61707640" w14:textId="77777777" w:rsidR="00A27C31" w:rsidRDefault="00A27C31" w:rsidP="00CD363C">
            <w:pPr>
              <w:pStyle w:val="TableParagraph"/>
              <w:ind w:right="-66"/>
              <w:jc w:val="both"/>
              <w:rPr>
                <w:i/>
                <w:sz w:val="19"/>
              </w:rPr>
            </w:pPr>
          </w:p>
          <w:p w14:paraId="32755E3A" w14:textId="77777777" w:rsidR="00A27C31" w:rsidRDefault="00A27C31" w:rsidP="00CD363C">
            <w:pPr>
              <w:pStyle w:val="TableParagraph"/>
              <w:ind w:left="201" w:right="-66" w:firstLine="2"/>
              <w:jc w:val="both"/>
              <w:rPr>
                <w:b/>
              </w:rPr>
            </w:pPr>
            <w:r>
              <w:rPr>
                <w:b/>
              </w:rPr>
              <w:t>pastāv pašreizējs pienākums un ir ticams, ka tā izpildei būs nepieciešams budžeta iestādes resursu patēriņš</w:t>
            </w:r>
          </w:p>
        </w:tc>
        <w:tc>
          <w:tcPr>
            <w:tcW w:w="3262" w:type="dxa"/>
          </w:tcPr>
          <w:p w14:paraId="5BAC9CE7" w14:textId="77777777" w:rsidR="00A27C31" w:rsidRDefault="00A27C31" w:rsidP="00CD363C">
            <w:pPr>
              <w:pStyle w:val="TableParagraph"/>
              <w:ind w:left="294" w:right="-66" w:hanging="1"/>
              <w:jc w:val="both"/>
              <w:rPr>
                <w:b/>
              </w:rPr>
            </w:pPr>
            <w:r>
              <w:rPr>
                <w:b/>
              </w:rPr>
              <w:t>pastāv iespējams pienākums vai pašreizējs pienākums, bet nav droši ticams, ka tā izpildei būs nepieciešams budžeta iestādes resursu</w:t>
            </w:r>
          </w:p>
          <w:p w14:paraId="080C2EDA" w14:textId="77777777" w:rsidR="00A27C31" w:rsidRDefault="00A27C31" w:rsidP="00CD363C">
            <w:pPr>
              <w:pStyle w:val="TableParagraph"/>
              <w:ind w:left="390" w:right="-66"/>
              <w:jc w:val="both"/>
              <w:rPr>
                <w:b/>
              </w:rPr>
            </w:pPr>
            <w:r>
              <w:rPr>
                <w:b/>
              </w:rPr>
              <w:t>patēriņš*</w:t>
            </w:r>
          </w:p>
        </w:tc>
        <w:tc>
          <w:tcPr>
            <w:tcW w:w="3263" w:type="dxa"/>
          </w:tcPr>
          <w:p w14:paraId="566E0802" w14:textId="77777777" w:rsidR="00A27C31" w:rsidRDefault="00A27C31" w:rsidP="00CD363C">
            <w:pPr>
              <w:pStyle w:val="TableParagraph"/>
              <w:ind w:left="177" w:right="-66" w:firstLine="1"/>
              <w:jc w:val="both"/>
              <w:rPr>
                <w:b/>
              </w:rPr>
            </w:pPr>
            <w:r>
              <w:rPr>
                <w:b/>
              </w:rPr>
              <w:t>pastāv iespējams pienākums vai pašreizējs pienākums, un ir neliela (zema) iespēja, ka tā izpildei būs nepieciešams budžeta iestādes resursu</w:t>
            </w:r>
          </w:p>
          <w:p w14:paraId="56361203" w14:textId="77777777" w:rsidR="00A27C31" w:rsidRDefault="00A27C31" w:rsidP="00CD363C">
            <w:pPr>
              <w:pStyle w:val="TableParagraph"/>
              <w:ind w:left="132" w:right="-66"/>
              <w:jc w:val="both"/>
              <w:rPr>
                <w:b/>
              </w:rPr>
            </w:pPr>
            <w:r>
              <w:rPr>
                <w:b/>
              </w:rPr>
              <w:t>patēriņš</w:t>
            </w:r>
          </w:p>
        </w:tc>
      </w:tr>
      <w:tr w:rsidR="00A27C31" w14:paraId="231C5856" w14:textId="77777777" w:rsidTr="00675407">
        <w:trPr>
          <w:trHeight w:val="986"/>
        </w:trPr>
        <w:tc>
          <w:tcPr>
            <w:tcW w:w="2835" w:type="dxa"/>
          </w:tcPr>
          <w:p w14:paraId="72DD10B0" w14:textId="77777777" w:rsidR="00A27C31" w:rsidRDefault="00A27C31" w:rsidP="00CD363C">
            <w:pPr>
              <w:pStyle w:val="TableParagraph"/>
              <w:ind w:right="-66"/>
              <w:jc w:val="both"/>
              <w:rPr>
                <w:i/>
                <w:sz w:val="25"/>
              </w:rPr>
            </w:pPr>
          </w:p>
          <w:p w14:paraId="25D635D6" w14:textId="77777777" w:rsidR="00A27C31" w:rsidRDefault="00A27C31" w:rsidP="00CD363C">
            <w:pPr>
              <w:pStyle w:val="TableParagraph"/>
              <w:ind w:left="582" w:right="-66"/>
              <w:jc w:val="both"/>
            </w:pPr>
            <w:r>
              <w:t>Atzīst uzkrājumus</w:t>
            </w:r>
          </w:p>
        </w:tc>
        <w:tc>
          <w:tcPr>
            <w:tcW w:w="3262" w:type="dxa"/>
          </w:tcPr>
          <w:p w14:paraId="25DC1D00" w14:textId="77777777" w:rsidR="00A27C31" w:rsidRDefault="00A27C31" w:rsidP="00CD363C">
            <w:pPr>
              <w:pStyle w:val="TableParagraph"/>
              <w:ind w:left="189" w:right="-66" w:hanging="70"/>
              <w:jc w:val="both"/>
            </w:pPr>
            <w:r>
              <w:t>Neatzīst uzkrājumus, bet uzskaita zembilancē iespējamās saistības</w:t>
            </w:r>
          </w:p>
        </w:tc>
        <w:tc>
          <w:tcPr>
            <w:tcW w:w="3263" w:type="dxa"/>
          </w:tcPr>
          <w:p w14:paraId="08513CB4" w14:textId="77777777" w:rsidR="00A27C31" w:rsidRDefault="00A27C31" w:rsidP="00CD363C">
            <w:pPr>
              <w:pStyle w:val="TableParagraph"/>
              <w:ind w:right="-66"/>
              <w:jc w:val="both"/>
              <w:rPr>
                <w:i/>
                <w:sz w:val="25"/>
              </w:rPr>
            </w:pPr>
          </w:p>
          <w:p w14:paraId="2F92859B" w14:textId="77777777" w:rsidR="00A27C31" w:rsidRDefault="00A27C31" w:rsidP="00CD363C">
            <w:pPr>
              <w:pStyle w:val="TableParagraph"/>
              <w:ind w:left="701" w:right="-66"/>
              <w:jc w:val="both"/>
            </w:pPr>
            <w:r>
              <w:t>Neatzīst uzkrājumus</w:t>
            </w:r>
          </w:p>
        </w:tc>
      </w:tr>
      <w:tr w:rsidR="00A27C31" w14:paraId="4272D02F" w14:textId="77777777" w:rsidTr="00675407">
        <w:trPr>
          <w:trHeight w:val="1269"/>
        </w:trPr>
        <w:tc>
          <w:tcPr>
            <w:tcW w:w="2835" w:type="dxa"/>
          </w:tcPr>
          <w:p w14:paraId="1175AA98" w14:textId="77777777" w:rsidR="00A27C31" w:rsidRDefault="00A27C31" w:rsidP="00CD363C">
            <w:pPr>
              <w:pStyle w:val="TableParagraph"/>
              <w:ind w:right="-66"/>
              <w:jc w:val="both"/>
              <w:rPr>
                <w:i/>
                <w:sz w:val="25"/>
              </w:rPr>
            </w:pPr>
          </w:p>
          <w:p w14:paraId="6A1E4A67" w14:textId="77777777" w:rsidR="00A27C31" w:rsidRDefault="00A27C31" w:rsidP="00CD363C">
            <w:pPr>
              <w:pStyle w:val="TableParagraph"/>
              <w:ind w:left="244" w:right="-66" w:hanging="68"/>
              <w:jc w:val="both"/>
            </w:pPr>
            <w:r>
              <w:t>Uzrāda informāciju finanšu pārskatā par uzkrājumiem</w:t>
            </w:r>
          </w:p>
        </w:tc>
        <w:tc>
          <w:tcPr>
            <w:tcW w:w="3262" w:type="dxa"/>
          </w:tcPr>
          <w:p w14:paraId="271952AC" w14:textId="77777777" w:rsidR="00A27C31" w:rsidRDefault="00A27C31" w:rsidP="00CD363C">
            <w:pPr>
              <w:pStyle w:val="TableParagraph"/>
              <w:ind w:left="390" w:right="-66"/>
              <w:jc w:val="both"/>
            </w:pPr>
            <w:r>
              <w:t>Uzrāda informāciju finanšu pārskatā par iespējamajām saistībām</w:t>
            </w:r>
          </w:p>
        </w:tc>
        <w:tc>
          <w:tcPr>
            <w:tcW w:w="3263" w:type="dxa"/>
          </w:tcPr>
          <w:p w14:paraId="118550A0" w14:textId="77777777" w:rsidR="00A27C31" w:rsidRDefault="00A27C31" w:rsidP="00CD363C">
            <w:pPr>
              <w:pStyle w:val="TableParagraph"/>
              <w:ind w:left="132" w:right="-66"/>
              <w:jc w:val="both"/>
            </w:pPr>
            <w:r>
              <w:t>Nav jāuzrāda informācija finanšu pārskatā par iespējamajām saistībām</w:t>
            </w:r>
          </w:p>
        </w:tc>
      </w:tr>
    </w:tbl>
    <w:p w14:paraId="49A96E8B" w14:textId="77777777" w:rsidR="00A27C31" w:rsidRDefault="00A27C31" w:rsidP="00CD363C">
      <w:pPr>
        <w:pStyle w:val="Sarakstarindkopa"/>
        <w:widowControl w:val="0"/>
        <w:numPr>
          <w:ilvl w:val="1"/>
          <w:numId w:val="2"/>
        </w:numPr>
        <w:tabs>
          <w:tab w:val="left" w:pos="368"/>
        </w:tabs>
        <w:autoSpaceDE w:val="0"/>
        <w:autoSpaceDN w:val="0"/>
        <w:spacing w:after="0" w:line="240" w:lineRule="auto"/>
        <w:ind w:right="-66" w:firstLine="0"/>
        <w:contextualSpacing w:val="0"/>
        <w:jc w:val="both"/>
        <w:rPr>
          <w:i/>
          <w:sz w:val="20"/>
        </w:rPr>
      </w:pPr>
      <w:r>
        <w:rPr>
          <w:i/>
          <w:sz w:val="20"/>
        </w:rPr>
        <w:t>Retos</w:t>
      </w:r>
      <w:r>
        <w:rPr>
          <w:i/>
          <w:spacing w:val="-5"/>
          <w:sz w:val="20"/>
        </w:rPr>
        <w:t xml:space="preserve"> </w:t>
      </w:r>
      <w:r>
        <w:rPr>
          <w:i/>
          <w:sz w:val="20"/>
        </w:rPr>
        <w:t>gadījumos</w:t>
      </w:r>
      <w:r>
        <w:rPr>
          <w:i/>
          <w:spacing w:val="-4"/>
          <w:sz w:val="20"/>
        </w:rPr>
        <w:t xml:space="preserve"> </w:t>
      </w:r>
      <w:r>
        <w:rPr>
          <w:i/>
          <w:sz w:val="20"/>
        </w:rPr>
        <w:t>var</w:t>
      </w:r>
      <w:r>
        <w:rPr>
          <w:i/>
          <w:spacing w:val="-5"/>
          <w:sz w:val="20"/>
        </w:rPr>
        <w:t xml:space="preserve"> </w:t>
      </w:r>
      <w:r>
        <w:rPr>
          <w:i/>
          <w:sz w:val="20"/>
        </w:rPr>
        <w:t>rasties</w:t>
      </w:r>
      <w:r>
        <w:rPr>
          <w:i/>
          <w:spacing w:val="-2"/>
          <w:sz w:val="20"/>
        </w:rPr>
        <w:t xml:space="preserve"> </w:t>
      </w:r>
      <w:r>
        <w:rPr>
          <w:i/>
          <w:sz w:val="20"/>
        </w:rPr>
        <w:t>iespējamās</w:t>
      </w:r>
      <w:r>
        <w:rPr>
          <w:i/>
          <w:spacing w:val="-4"/>
          <w:sz w:val="20"/>
        </w:rPr>
        <w:t xml:space="preserve"> </w:t>
      </w:r>
      <w:r>
        <w:rPr>
          <w:i/>
          <w:sz w:val="20"/>
        </w:rPr>
        <w:t>saistības,</w:t>
      </w:r>
      <w:r>
        <w:rPr>
          <w:i/>
          <w:spacing w:val="-4"/>
          <w:sz w:val="20"/>
        </w:rPr>
        <w:t xml:space="preserve"> </w:t>
      </w:r>
      <w:r>
        <w:rPr>
          <w:i/>
          <w:sz w:val="20"/>
        </w:rPr>
        <w:t>kad</w:t>
      </w:r>
      <w:r>
        <w:rPr>
          <w:i/>
          <w:spacing w:val="-2"/>
          <w:sz w:val="20"/>
        </w:rPr>
        <w:t xml:space="preserve"> </w:t>
      </w:r>
      <w:r>
        <w:rPr>
          <w:i/>
          <w:sz w:val="20"/>
        </w:rPr>
        <w:t>pastāv</w:t>
      </w:r>
      <w:r>
        <w:rPr>
          <w:i/>
          <w:spacing w:val="-4"/>
          <w:sz w:val="20"/>
        </w:rPr>
        <w:t xml:space="preserve"> </w:t>
      </w:r>
      <w:r>
        <w:rPr>
          <w:i/>
          <w:sz w:val="20"/>
        </w:rPr>
        <w:t>pašreizējs</w:t>
      </w:r>
      <w:r>
        <w:rPr>
          <w:i/>
          <w:spacing w:val="-4"/>
          <w:sz w:val="20"/>
        </w:rPr>
        <w:t xml:space="preserve"> </w:t>
      </w:r>
      <w:r>
        <w:rPr>
          <w:i/>
          <w:sz w:val="20"/>
        </w:rPr>
        <w:t>pienākums</w:t>
      </w:r>
      <w:r>
        <w:rPr>
          <w:i/>
          <w:spacing w:val="-3"/>
          <w:sz w:val="20"/>
        </w:rPr>
        <w:t xml:space="preserve"> </w:t>
      </w:r>
      <w:r>
        <w:rPr>
          <w:i/>
          <w:sz w:val="20"/>
        </w:rPr>
        <w:t>(saistības),</w:t>
      </w:r>
      <w:r>
        <w:rPr>
          <w:i/>
          <w:spacing w:val="-3"/>
          <w:sz w:val="20"/>
        </w:rPr>
        <w:t xml:space="preserve"> </w:t>
      </w:r>
      <w:r>
        <w:rPr>
          <w:i/>
          <w:sz w:val="20"/>
        </w:rPr>
        <w:t>kuras</w:t>
      </w:r>
      <w:r>
        <w:rPr>
          <w:i/>
          <w:spacing w:val="-4"/>
          <w:sz w:val="20"/>
        </w:rPr>
        <w:t xml:space="preserve"> </w:t>
      </w:r>
      <w:r>
        <w:rPr>
          <w:i/>
          <w:sz w:val="20"/>
        </w:rPr>
        <w:t>neatzīst,</w:t>
      </w:r>
      <w:r>
        <w:rPr>
          <w:i/>
          <w:spacing w:val="-4"/>
          <w:sz w:val="20"/>
        </w:rPr>
        <w:t xml:space="preserve"> </w:t>
      </w:r>
      <w:r>
        <w:rPr>
          <w:i/>
          <w:sz w:val="20"/>
        </w:rPr>
        <w:t>jo</w:t>
      </w:r>
      <w:r>
        <w:rPr>
          <w:i/>
          <w:spacing w:val="-3"/>
          <w:sz w:val="20"/>
        </w:rPr>
        <w:t xml:space="preserve"> </w:t>
      </w:r>
      <w:r>
        <w:rPr>
          <w:i/>
          <w:sz w:val="20"/>
        </w:rPr>
        <w:t>nav iespējams veikt ticamu saistību novērtējumu.</w:t>
      </w:r>
    </w:p>
    <w:p w14:paraId="0402B1AD"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7666F1E4"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b/>
          <w:sz w:val="24"/>
          <w:szCs w:val="24"/>
        </w:rPr>
      </w:pPr>
      <w:r w:rsidRPr="00A27C31">
        <w:rPr>
          <w:rFonts w:ascii="Times New Roman" w:hAnsi="Times New Roman" w:cs="Times New Roman"/>
          <w:b/>
          <w:sz w:val="24"/>
          <w:szCs w:val="24"/>
        </w:rPr>
        <w:t>17.5. Iespējamo aktīvu uzskaite</w:t>
      </w:r>
    </w:p>
    <w:p w14:paraId="665AB2EF" w14:textId="77777777" w:rsidR="009F178F" w:rsidRDefault="009F178F" w:rsidP="00CD363C">
      <w:pPr>
        <w:widowControl w:val="0"/>
        <w:tabs>
          <w:tab w:val="left" w:pos="897"/>
          <w:tab w:val="left" w:pos="898"/>
        </w:tabs>
        <w:autoSpaceDE w:val="0"/>
        <w:autoSpaceDN w:val="0"/>
        <w:spacing w:after="0" w:line="240" w:lineRule="auto"/>
        <w:ind w:right="-66"/>
        <w:jc w:val="both"/>
        <w:rPr>
          <w:rFonts w:ascii="Times New Roman" w:hAnsi="Times New Roman" w:cs="Times New Roman"/>
          <w:b/>
          <w:sz w:val="24"/>
          <w:szCs w:val="24"/>
        </w:rPr>
      </w:pPr>
    </w:p>
    <w:p w14:paraId="408F6573" w14:textId="77777777" w:rsidR="009F178F" w:rsidRPr="007A5C04" w:rsidRDefault="009F178F" w:rsidP="00CD363C">
      <w:pPr>
        <w:spacing w:after="0" w:line="240" w:lineRule="auto"/>
        <w:ind w:right="-66"/>
        <w:jc w:val="both"/>
        <w:rPr>
          <w:rFonts w:ascii="Times New Roman" w:hAnsi="Times New Roman" w:cs="Times New Roman"/>
          <w:sz w:val="24"/>
          <w:szCs w:val="24"/>
        </w:rPr>
      </w:pPr>
      <w:r w:rsidRPr="009F178F">
        <w:rPr>
          <w:rFonts w:ascii="Times New Roman" w:hAnsi="Times New Roman" w:cs="Times New Roman"/>
          <w:sz w:val="24"/>
          <w:szCs w:val="24"/>
        </w:rPr>
        <w:t>680.</w:t>
      </w:r>
      <w:r w:rsidRPr="007A5C04">
        <w:rPr>
          <w:rFonts w:ascii="Times New Roman" w:hAnsi="Times New Roman" w:cs="Times New Roman"/>
          <w:sz w:val="24"/>
          <w:szCs w:val="24"/>
        </w:rPr>
        <w:t xml:space="preserve">Budžeta iestādei iespējamie aktīvi var rasties sakarā ar neplānotiem vai citiem negaidītiem notikumiem, kurus budžeta iestāde nevar pilnībā kontrolēt un kas rada resursu saņemšanas iespēju budžeta iestādē, piemēram, budžeta iestādes prasība tiesā, kuras iznākums ir nenoteikts. </w:t>
      </w:r>
    </w:p>
    <w:p w14:paraId="5833B276" w14:textId="77777777" w:rsidR="009F178F" w:rsidRDefault="009F178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681</w:t>
      </w:r>
      <w:r w:rsidRPr="007A5C04">
        <w:rPr>
          <w:rFonts w:ascii="Times New Roman" w:hAnsi="Times New Roman" w:cs="Times New Roman"/>
          <w:sz w:val="24"/>
          <w:szCs w:val="24"/>
        </w:rPr>
        <w:t xml:space="preserve">. Budžeta iestādei nav jāatzīst iespējamie aktīvi, jo budžeta iestāde neatzīst ieņēmumus, kuru saņemšana nav droši ticama. Budžeta iestāde atklāj informāciju par iespējamajiem aktīviem zembilancē. Ja ieņēmumu saņemšana kļūst droši ticama, budžeta iestāde atzīst attiecīgo aktīvu un uzrāda pārskatā par finansiālo stāvokli. Grāmatojums, atzīstot aktīvu bilancē, kad ieņēmumu saņemšana kļūst droši ticama: </w:t>
      </w:r>
    </w:p>
    <w:p w14:paraId="52522FDC" w14:textId="77777777" w:rsidR="009F178F" w:rsidRPr="009F178F" w:rsidRDefault="009F178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9F178F">
        <w:rPr>
          <w:rFonts w:ascii="Times New Roman" w:hAnsi="Times New Roman" w:cs="Times New Roman"/>
          <w:b/>
          <w:sz w:val="24"/>
          <w:szCs w:val="24"/>
        </w:rPr>
        <w:t xml:space="preserve">D 2310 Prasības pret pircējiem un pasūtītājiem </w:t>
      </w:r>
    </w:p>
    <w:p w14:paraId="3602E057" w14:textId="77777777" w:rsidR="009F178F" w:rsidRPr="009F178F" w:rsidRDefault="009F178F" w:rsidP="00CD363C">
      <w:pPr>
        <w:spacing w:after="0" w:line="240" w:lineRule="auto"/>
        <w:ind w:right="-66"/>
        <w:jc w:val="both"/>
        <w:rPr>
          <w:rFonts w:ascii="Times New Roman" w:hAnsi="Times New Roman" w:cs="Times New Roman"/>
          <w:b/>
          <w:sz w:val="24"/>
          <w:szCs w:val="24"/>
        </w:rPr>
      </w:pPr>
      <w:r w:rsidRPr="009F178F">
        <w:rPr>
          <w:rFonts w:ascii="Times New Roman" w:hAnsi="Times New Roman" w:cs="Times New Roman"/>
          <w:b/>
          <w:sz w:val="24"/>
          <w:szCs w:val="24"/>
        </w:rPr>
        <w:t xml:space="preserve">    K 8590 Pārējie iepriekš neklasificētie ieņēmumi vai </w:t>
      </w:r>
    </w:p>
    <w:p w14:paraId="27654625" w14:textId="77777777" w:rsidR="009F178F" w:rsidRPr="009F178F" w:rsidRDefault="009F178F" w:rsidP="00CD363C">
      <w:pPr>
        <w:spacing w:after="0" w:line="240" w:lineRule="auto"/>
        <w:ind w:right="-66"/>
        <w:jc w:val="both"/>
        <w:rPr>
          <w:rFonts w:ascii="Times New Roman" w:hAnsi="Times New Roman" w:cs="Times New Roman"/>
          <w:b/>
          <w:sz w:val="24"/>
          <w:szCs w:val="24"/>
        </w:rPr>
      </w:pPr>
      <w:r w:rsidRPr="009F178F">
        <w:rPr>
          <w:rFonts w:ascii="Times New Roman" w:hAnsi="Times New Roman" w:cs="Times New Roman"/>
          <w:b/>
          <w:sz w:val="24"/>
          <w:szCs w:val="24"/>
        </w:rPr>
        <w:t xml:space="preserve">    K 6000 Pamatdarbības ieņēmumi </w:t>
      </w:r>
    </w:p>
    <w:p w14:paraId="7340B96D" w14:textId="77777777" w:rsidR="009F178F" w:rsidRPr="007A5C04" w:rsidRDefault="009F178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682</w:t>
      </w:r>
      <w:r w:rsidRPr="007A5C04">
        <w:rPr>
          <w:rFonts w:ascii="Times New Roman" w:hAnsi="Times New Roman" w:cs="Times New Roman"/>
          <w:sz w:val="24"/>
          <w:szCs w:val="24"/>
        </w:rPr>
        <w:t xml:space="preserve">. Budžeta iestāde pastāvīgi novērtē iespējamos aktīvus, lai nodrošinātu, ka visas izmaiņas tiek atbilstoši uzrādītas finanšu pārskatos. Ja pastāv pietiekama pārliecība, ka notiks resursu saņemšana (ieplūde), un ja aktīva vērtību var ticami noteikt, budžeta iestāde atzīst aktīvu un attiecīgos ieņēmumus tā perioda finanšu pārskatos, kurā šīs izmaiņas notiek. Ja resursu saņemšana (ieplūde) kļūst ticama, budžeta iestāde atklāj informāciju par iespējamajiem aktīviem zembilancē. </w:t>
      </w:r>
      <w:r>
        <w:rPr>
          <w:rFonts w:ascii="Times New Roman" w:hAnsi="Times New Roman" w:cs="Times New Roman"/>
          <w:sz w:val="24"/>
          <w:szCs w:val="24"/>
        </w:rPr>
        <w:t xml:space="preserve">       </w:t>
      </w:r>
      <w:r w:rsidRPr="007A5C04">
        <w:rPr>
          <w:rFonts w:ascii="Times New Roman" w:hAnsi="Times New Roman" w:cs="Times New Roman"/>
          <w:sz w:val="24"/>
          <w:szCs w:val="24"/>
        </w:rPr>
        <w:t xml:space="preserve">Grāmatojums, atzīstot iespējamos aktīvus zembilancē: </w:t>
      </w:r>
    </w:p>
    <w:p w14:paraId="15168F73" w14:textId="77777777" w:rsidR="009F178F" w:rsidRPr="009F178F" w:rsidRDefault="009F178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9F178F">
        <w:rPr>
          <w:rFonts w:ascii="Times New Roman" w:hAnsi="Times New Roman" w:cs="Times New Roman"/>
          <w:b/>
          <w:sz w:val="24"/>
          <w:szCs w:val="24"/>
        </w:rPr>
        <w:t xml:space="preserve">D 9100 Iespējamie aktīvi </w:t>
      </w:r>
    </w:p>
    <w:p w14:paraId="1D89E434" w14:textId="77777777" w:rsidR="00A27C31" w:rsidRPr="009F178F" w:rsidRDefault="009F178F" w:rsidP="00CD363C">
      <w:pPr>
        <w:widowControl w:val="0"/>
        <w:tabs>
          <w:tab w:val="left" w:pos="270"/>
          <w:tab w:val="left" w:pos="897"/>
          <w:tab w:val="left" w:pos="898"/>
        </w:tabs>
        <w:autoSpaceDE w:val="0"/>
        <w:autoSpaceDN w:val="0"/>
        <w:spacing w:after="0" w:line="240" w:lineRule="auto"/>
        <w:ind w:right="-66"/>
        <w:jc w:val="both"/>
        <w:rPr>
          <w:rFonts w:ascii="Times New Roman" w:hAnsi="Times New Roman" w:cs="Times New Roman"/>
          <w:b/>
          <w:sz w:val="24"/>
          <w:szCs w:val="24"/>
        </w:rPr>
      </w:pPr>
      <w:r w:rsidRPr="009F178F">
        <w:rPr>
          <w:rFonts w:ascii="Times New Roman" w:hAnsi="Times New Roman" w:cs="Times New Roman"/>
          <w:b/>
          <w:sz w:val="24"/>
          <w:szCs w:val="24"/>
        </w:rPr>
        <w:t xml:space="preserve">    K 9xxx Tehniskais pretkonts</w:t>
      </w:r>
      <w:r w:rsidR="00A27C31" w:rsidRPr="009F178F">
        <w:rPr>
          <w:rFonts w:ascii="Times New Roman" w:hAnsi="Times New Roman" w:cs="Times New Roman"/>
          <w:b/>
          <w:sz w:val="24"/>
          <w:szCs w:val="24"/>
        </w:rPr>
        <w:tab/>
      </w:r>
      <w:r w:rsidR="00A27C31" w:rsidRPr="009F178F">
        <w:rPr>
          <w:rFonts w:ascii="Times New Roman" w:hAnsi="Times New Roman" w:cs="Times New Roman"/>
          <w:b/>
          <w:sz w:val="24"/>
          <w:szCs w:val="24"/>
        </w:rPr>
        <w:tab/>
      </w:r>
    </w:p>
    <w:p w14:paraId="4E0465EC" w14:textId="77777777" w:rsidR="009F178F" w:rsidRDefault="009F178F"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9F178F">
        <w:rPr>
          <w:rFonts w:ascii="Times New Roman" w:hAnsi="Times New Roman" w:cs="Times New Roman"/>
          <w:sz w:val="24"/>
          <w:szCs w:val="24"/>
        </w:rPr>
        <w:t>683.    Iespējamo aktīvu novērtēšanas principi sniegti 3.</w:t>
      </w:r>
      <w:r w:rsidRPr="009F178F">
        <w:rPr>
          <w:rFonts w:ascii="Times New Roman" w:hAnsi="Times New Roman" w:cs="Times New Roman"/>
          <w:spacing w:val="1"/>
          <w:sz w:val="24"/>
          <w:szCs w:val="24"/>
        </w:rPr>
        <w:t xml:space="preserve"> </w:t>
      </w:r>
      <w:r w:rsidRPr="009F178F">
        <w:rPr>
          <w:rFonts w:ascii="Times New Roman" w:hAnsi="Times New Roman" w:cs="Times New Roman"/>
          <w:sz w:val="24"/>
          <w:szCs w:val="24"/>
        </w:rPr>
        <w:t>tabulā.</w:t>
      </w:r>
    </w:p>
    <w:p w14:paraId="19C6F012" w14:textId="77777777" w:rsidR="009F178F" w:rsidRPr="0094772B" w:rsidRDefault="0094772B" w:rsidP="00CD363C">
      <w:pPr>
        <w:widowControl w:val="0"/>
        <w:tabs>
          <w:tab w:val="left" w:pos="5901"/>
        </w:tabs>
        <w:autoSpaceDE w:val="0"/>
        <w:autoSpaceDN w:val="0"/>
        <w:spacing w:after="0" w:line="240" w:lineRule="auto"/>
        <w:ind w:left="5564" w:right="-66"/>
        <w:jc w:val="both"/>
        <w:rPr>
          <w:i/>
          <w:sz w:val="20"/>
        </w:rPr>
      </w:pPr>
      <w:r>
        <w:rPr>
          <w:i/>
          <w:sz w:val="20"/>
        </w:rPr>
        <w:t>3.</w:t>
      </w:r>
      <w:r w:rsidR="009F178F" w:rsidRPr="0094772B">
        <w:rPr>
          <w:i/>
          <w:sz w:val="20"/>
        </w:rPr>
        <w:t>tabula. Iespējamo aktīvu novērtēšanas</w:t>
      </w:r>
      <w:r w:rsidR="009F178F" w:rsidRPr="0094772B">
        <w:rPr>
          <w:i/>
          <w:spacing w:val="-7"/>
          <w:sz w:val="20"/>
        </w:rPr>
        <w:t xml:space="preserve"> </w:t>
      </w:r>
      <w:r w:rsidR="009F178F" w:rsidRPr="0094772B">
        <w:rPr>
          <w:i/>
          <w:sz w:val="20"/>
        </w:rPr>
        <w:t>principi</w:t>
      </w:r>
    </w:p>
    <w:tbl>
      <w:tblPr>
        <w:tblW w:w="9714" w:type="dxa"/>
        <w:tblInd w:w="5"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190"/>
        <w:gridCol w:w="3404"/>
        <w:gridCol w:w="3120"/>
      </w:tblGrid>
      <w:tr w:rsidR="009F178F" w14:paraId="64E40C5B" w14:textId="77777777" w:rsidTr="009F178F">
        <w:trPr>
          <w:trHeight w:val="1173"/>
        </w:trPr>
        <w:tc>
          <w:tcPr>
            <w:tcW w:w="9714" w:type="dxa"/>
            <w:gridSpan w:val="3"/>
            <w:shd w:val="clear" w:color="auto" w:fill="F1F1F1"/>
          </w:tcPr>
          <w:p w14:paraId="7FF49423" w14:textId="77777777" w:rsidR="009F178F" w:rsidRDefault="009F178F" w:rsidP="00CD363C">
            <w:pPr>
              <w:pStyle w:val="TableParagraph"/>
              <w:ind w:left="395" w:right="-66"/>
              <w:jc w:val="both"/>
            </w:pPr>
            <w:r>
              <w:t>Ja budžeta iestādei pagātnes notikumu rezultātā var rasties iespējamais aktīvs, kura pastāvēšana apstiprināsies tikai atkarībā no viena vai vairāku tādu nākotnes notikumu notikšanas vai nenotikšanas, kurus budžeta iestāde nevar kontrolēt:</w:t>
            </w:r>
          </w:p>
        </w:tc>
      </w:tr>
      <w:tr w:rsidR="009F178F" w14:paraId="5CFD8E53" w14:textId="77777777" w:rsidTr="009F178F">
        <w:trPr>
          <w:trHeight w:val="1022"/>
        </w:trPr>
        <w:tc>
          <w:tcPr>
            <w:tcW w:w="3190" w:type="dxa"/>
          </w:tcPr>
          <w:p w14:paraId="1BBAF2D3" w14:textId="77777777" w:rsidR="009F178F" w:rsidRDefault="009F178F" w:rsidP="00CD363C">
            <w:pPr>
              <w:pStyle w:val="TableParagraph"/>
              <w:ind w:left="323" w:right="-66" w:hanging="5"/>
              <w:jc w:val="both"/>
              <w:rPr>
                <w:b/>
              </w:rPr>
            </w:pPr>
            <w:r>
              <w:rPr>
                <w:b/>
              </w:rPr>
              <w:t>resursu saņemšanas iespēja budžeta iestādē ir droši ticama</w:t>
            </w:r>
          </w:p>
        </w:tc>
        <w:tc>
          <w:tcPr>
            <w:tcW w:w="3404" w:type="dxa"/>
          </w:tcPr>
          <w:p w14:paraId="6E02547A" w14:textId="77777777" w:rsidR="009F178F" w:rsidRDefault="009F178F" w:rsidP="00CD363C">
            <w:pPr>
              <w:pStyle w:val="TableParagraph"/>
              <w:ind w:left="364" w:right="-66" w:hanging="2"/>
              <w:jc w:val="both"/>
              <w:rPr>
                <w:b/>
              </w:rPr>
            </w:pPr>
            <w:r>
              <w:rPr>
                <w:b/>
              </w:rPr>
              <w:t>resursu saņemšanas iespēja budžeta iestādē ir iespējama, bet nepietiekami ticama</w:t>
            </w:r>
          </w:p>
        </w:tc>
        <w:tc>
          <w:tcPr>
            <w:tcW w:w="3120" w:type="dxa"/>
          </w:tcPr>
          <w:p w14:paraId="6A6FC5A1" w14:textId="77777777" w:rsidR="009F178F" w:rsidRDefault="009F178F" w:rsidP="00CD363C">
            <w:pPr>
              <w:pStyle w:val="TableParagraph"/>
              <w:ind w:left="343" w:right="-66"/>
              <w:jc w:val="both"/>
              <w:rPr>
                <w:b/>
              </w:rPr>
            </w:pPr>
            <w:r>
              <w:rPr>
                <w:b/>
              </w:rPr>
              <w:t>resursu saņemšanas iespēja budžeta iestādē nav iespējama</w:t>
            </w:r>
          </w:p>
        </w:tc>
      </w:tr>
      <w:tr w:rsidR="009F178F" w14:paraId="4FABE9A0" w14:textId="77777777" w:rsidTr="009F178F">
        <w:trPr>
          <w:trHeight w:val="837"/>
        </w:trPr>
        <w:tc>
          <w:tcPr>
            <w:tcW w:w="3190" w:type="dxa"/>
          </w:tcPr>
          <w:p w14:paraId="0649E205" w14:textId="77777777" w:rsidR="009F178F" w:rsidRDefault="009F178F" w:rsidP="00CD363C">
            <w:pPr>
              <w:pStyle w:val="TableParagraph"/>
              <w:ind w:right="-66"/>
              <w:jc w:val="both"/>
              <w:rPr>
                <w:i/>
                <w:sz w:val="29"/>
              </w:rPr>
            </w:pPr>
          </w:p>
          <w:p w14:paraId="5B708174" w14:textId="77777777" w:rsidR="009F178F" w:rsidRDefault="009F178F" w:rsidP="00CD363C">
            <w:pPr>
              <w:pStyle w:val="TableParagraph"/>
              <w:ind w:left="338" w:right="-66"/>
              <w:jc w:val="both"/>
            </w:pPr>
            <w:r>
              <w:t>Atzīst aktīvu (prasības)</w:t>
            </w:r>
          </w:p>
        </w:tc>
        <w:tc>
          <w:tcPr>
            <w:tcW w:w="3404" w:type="dxa"/>
          </w:tcPr>
          <w:p w14:paraId="06231C5B" w14:textId="77777777" w:rsidR="009F178F" w:rsidRDefault="009F178F" w:rsidP="00CD363C">
            <w:pPr>
              <w:pStyle w:val="TableParagraph"/>
              <w:ind w:left="285" w:right="-66" w:firstLine="36"/>
              <w:jc w:val="both"/>
            </w:pPr>
            <w:r>
              <w:t>Neatzīst aktīvu, bet uzskaita iespējamo aktīvu zembilancē</w:t>
            </w:r>
          </w:p>
        </w:tc>
        <w:tc>
          <w:tcPr>
            <w:tcW w:w="3120" w:type="dxa"/>
          </w:tcPr>
          <w:p w14:paraId="0C03810A" w14:textId="77777777" w:rsidR="009F178F" w:rsidRDefault="009F178F" w:rsidP="00CD363C">
            <w:pPr>
              <w:pStyle w:val="TableParagraph"/>
              <w:ind w:right="-66"/>
              <w:jc w:val="both"/>
              <w:rPr>
                <w:i/>
                <w:sz w:val="29"/>
              </w:rPr>
            </w:pPr>
          </w:p>
          <w:p w14:paraId="7D7A1606" w14:textId="77777777" w:rsidR="009F178F" w:rsidRDefault="009F178F" w:rsidP="00CD363C">
            <w:pPr>
              <w:pStyle w:val="TableParagraph"/>
              <w:ind w:left="971" w:right="-66"/>
              <w:jc w:val="both"/>
            </w:pPr>
            <w:r>
              <w:t>Neatzīst aktīvu</w:t>
            </w:r>
          </w:p>
        </w:tc>
      </w:tr>
      <w:tr w:rsidR="009F178F" w14:paraId="151464BE" w14:textId="77777777" w:rsidTr="009F178F">
        <w:trPr>
          <w:trHeight w:val="990"/>
        </w:trPr>
        <w:tc>
          <w:tcPr>
            <w:tcW w:w="3190" w:type="dxa"/>
          </w:tcPr>
          <w:p w14:paraId="112E8C4C" w14:textId="77777777" w:rsidR="009F178F" w:rsidRDefault="009F178F" w:rsidP="00CD363C">
            <w:pPr>
              <w:pStyle w:val="TableParagraph"/>
              <w:ind w:left="477" w:right="-66" w:firstLine="2"/>
              <w:jc w:val="both"/>
            </w:pPr>
            <w:r>
              <w:t>Uzrāda informāciju finanšu pārskatā par aktīviem</w:t>
            </w:r>
          </w:p>
        </w:tc>
        <w:tc>
          <w:tcPr>
            <w:tcW w:w="3404" w:type="dxa"/>
          </w:tcPr>
          <w:p w14:paraId="41C90C09" w14:textId="77777777" w:rsidR="009F178F" w:rsidRDefault="009F178F" w:rsidP="00CD363C">
            <w:pPr>
              <w:pStyle w:val="TableParagraph"/>
              <w:ind w:left="352" w:right="-66"/>
              <w:jc w:val="both"/>
            </w:pPr>
            <w:r>
              <w:t>Uzrāda informāciju finanšu pārskatā par iespējamajiem aktīviem</w:t>
            </w:r>
          </w:p>
        </w:tc>
        <w:tc>
          <w:tcPr>
            <w:tcW w:w="3120" w:type="dxa"/>
          </w:tcPr>
          <w:p w14:paraId="58DF9999" w14:textId="77777777" w:rsidR="009F178F" w:rsidRDefault="009F178F" w:rsidP="00CD363C">
            <w:pPr>
              <w:pStyle w:val="TableParagraph"/>
              <w:ind w:left="343" w:right="-66"/>
              <w:jc w:val="both"/>
            </w:pPr>
            <w:r>
              <w:t>Nav jāuzrāda informācija finanšu pārskatā par iespējamajiem aktīviem</w:t>
            </w:r>
          </w:p>
        </w:tc>
      </w:tr>
    </w:tbl>
    <w:p w14:paraId="4A697E8D" w14:textId="77777777" w:rsidR="009F178F" w:rsidRPr="009F178F" w:rsidRDefault="009F178F"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4C28C389" w14:textId="77777777" w:rsidR="00A27C31" w:rsidRDefault="007F6422" w:rsidP="00CD363C">
      <w:pPr>
        <w:widowControl w:val="0"/>
        <w:tabs>
          <w:tab w:val="left" w:pos="897"/>
          <w:tab w:val="left" w:pos="898"/>
        </w:tabs>
        <w:autoSpaceDE w:val="0"/>
        <w:autoSpaceDN w:val="0"/>
        <w:spacing w:after="0" w:line="240" w:lineRule="auto"/>
        <w:ind w:right="-66"/>
        <w:jc w:val="center"/>
        <w:rPr>
          <w:rFonts w:ascii="Times New Roman" w:hAnsi="Times New Roman" w:cs="Times New Roman"/>
          <w:b/>
          <w:sz w:val="28"/>
          <w:szCs w:val="28"/>
        </w:rPr>
      </w:pPr>
      <w:r w:rsidRPr="007F6422">
        <w:rPr>
          <w:rFonts w:ascii="Times New Roman" w:hAnsi="Times New Roman" w:cs="Times New Roman"/>
          <w:b/>
          <w:sz w:val="28"/>
          <w:szCs w:val="28"/>
        </w:rPr>
        <w:t>18.Saistību uzskaite</w:t>
      </w:r>
    </w:p>
    <w:p w14:paraId="52E23037" w14:textId="77777777" w:rsidR="007F6422" w:rsidRPr="007F6422" w:rsidRDefault="007F6422" w:rsidP="00CD363C">
      <w:pPr>
        <w:widowControl w:val="0"/>
        <w:tabs>
          <w:tab w:val="left" w:pos="897"/>
          <w:tab w:val="left" w:pos="898"/>
        </w:tabs>
        <w:autoSpaceDE w:val="0"/>
        <w:autoSpaceDN w:val="0"/>
        <w:spacing w:after="0" w:line="240" w:lineRule="auto"/>
        <w:ind w:right="-66"/>
        <w:jc w:val="both"/>
        <w:rPr>
          <w:rFonts w:ascii="Times New Roman" w:hAnsi="Times New Roman" w:cs="Times New Roman"/>
          <w:b/>
          <w:sz w:val="24"/>
          <w:szCs w:val="24"/>
        </w:rPr>
      </w:pPr>
      <w:r w:rsidRPr="007F6422">
        <w:rPr>
          <w:rFonts w:ascii="Times New Roman" w:hAnsi="Times New Roman" w:cs="Times New Roman"/>
          <w:b/>
          <w:sz w:val="24"/>
          <w:szCs w:val="24"/>
        </w:rPr>
        <w:t>18.1.Saistību uzskaite</w:t>
      </w:r>
    </w:p>
    <w:p w14:paraId="4A6098D4" w14:textId="77777777" w:rsidR="007F6422" w:rsidRDefault="007F6422" w:rsidP="00CD363C">
      <w:pPr>
        <w:pStyle w:val="Sarakstarindkopa"/>
        <w:spacing w:after="0" w:line="240" w:lineRule="auto"/>
        <w:ind w:left="360" w:right="-66"/>
        <w:jc w:val="both"/>
        <w:rPr>
          <w:rFonts w:ascii="Times New Roman" w:hAnsi="Times New Roman" w:cs="Times New Roman"/>
          <w:sz w:val="24"/>
          <w:szCs w:val="24"/>
        </w:rPr>
      </w:pPr>
      <w:r w:rsidRPr="007F6422">
        <w:rPr>
          <w:rFonts w:ascii="Times New Roman" w:hAnsi="Times New Roman" w:cs="Times New Roman"/>
          <w:sz w:val="28"/>
          <w:szCs w:val="28"/>
        </w:rPr>
        <w:t>684.</w:t>
      </w:r>
      <w:r w:rsidRPr="007F6422">
        <w:rPr>
          <w:rFonts w:ascii="Times New Roman" w:hAnsi="Times New Roman" w:cs="Times New Roman"/>
          <w:sz w:val="24"/>
          <w:szCs w:val="24"/>
        </w:rPr>
        <w:t xml:space="preserve"> </w:t>
      </w:r>
      <w:r w:rsidRPr="007A5C04">
        <w:rPr>
          <w:rFonts w:ascii="Times New Roman" w:hAnsi="Times New Roman" w:cs="Times New Roman"/>
          <w:sz w:val="24"/>
          <w:szCs w:val="24"/>
        </w:rPr>
        <w:t xml:space="preserve">Saskaņā ar grāmatvedības uzskaites pamatprincipiem saistības iedala ilgtermiņa saistībās (saistībās, kuru atmaksas termiņš ir ilgāks kā 12 mēneši no pārskata perioda datuma) un īstermiņa saistībās (saistībās, kuru atmaksas termiņš ir īsāks kā 12 mēneši no pārskata perioda datuma). </w:t>
      </w:r>
    </w:p>
    <w:p w14:paraId="76D3D79A" w14:textId="77777777" w:rsidR="007F6422" w:rsidRPr="007A5C04" w:rsidRDefault="007F6422" w:rsidP="00CD363C">
      <w:pPr>
        <w:pStyle w:val="Sarakstarindkopa"/>
        <w:spacing w:after="0" w:line="240" w:lineRule="auto"/>
        <w:ind w:left="360" w:right="-66"/>
        <w:jc w:val="both"/>
        <w:rPr>
          <w:rFonts w:ascii="Times New Roman" w:hAnsi="Times New Roman" w:cs="Times New Roman"/>
          <w:sz w:val="24"/>
          <w:szCs w:val="24"/>
        </w:rPr>
      </w:pPr>
    </w:p>
    <w:p w14:paraId="38031FF0" w14:textId="77777777" w:rsidR="007F6422" w:rsidRDefault="007F6422" w:rsidP="00CD363C">
      <w:pPr>
        <w:pStyle w:val="Sarakstarindkopa"/>
        <w:spacing w:after="0" w:line="240" w:lineRule="auto"/>
        <w:ind w:left="360" w:right="-66"/>
        <w:jc w:val="both"/>
        <w:rPr>
          <w:rFonts w:ascii="Times New Roman" w:hAnsi="Times New Roman" w:cs="Times New Roman"/>
          <w:sz w:val="24"/>
          <w:szCs w:val="24"/>
        </w:rPr>
      </w:pPr>
      <w:r>
        <w:rPr>
          <w:rFonts w:ascii="Times New Roman" w:hAnsi="Times New Roman" w:cs="Times New Roman"/>
          <w:sz w:val="24"/>
          <w:szCs w:val="24"/>
        </w:rPr>
        <w:t>685</w:t>
      </w:r>
      <w:r w:rsidRPr="007A5C04">
        <w:rPr>
          <w:rFonts w:ascii="Times New Roman" w:hAnsi="Times New Roman" w:cs="Times New Roman"/>
          <w:sz w:val="24"/>
          <w:szCs w:val="24"/>
        </w:rPr>
        <w:t xml:space="preserve">. Saņemot attaisnojuma dokumentu (rēķinu, pavadzīmi) par pakalpojumu izpildi vai preču piegādi, budžeta iestāde atzīst aktīvu kontu palielinājumu vai izdevumus un atzīst īstermiņa vai ilgtermiņa saistības, veicot sekojošu grāmatojumu: </w:t>
      </w:r>
    </w:p>
    <w:p w14:paraId="6AED10BA" w14:textId="77777777" w:rsidR="007F6422" w:rsidRPr="007A5C04" w:rsidRDefault="007F6422" w:rsidP="00CD363C">
      <w:pPr>
        <w:pStyle w:val="Sarakstarindkopa"/>
        <w:spacing w:after="0" w:line="240" w:lineRule="auto"/>
        <w:ind w:left="360" w:right="-66"/>
        <w:jc w:val="both"/>
        <w:rPr>
          <w:rFonts w:ascii="Times New Roman" w:hAnsi="Times New Roman" w:cs="Times New Roman"/>
          <w:sz w:val="24"/>
          <w:szCs w:val="24"/>
        </w:rPr>
      </w:pPr>
    </w:p>
    <w:p w14:paraId="23A7A7E8"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7F6422">
        <w:rPr>
          <w:rFonts w:ascii="Times New Roman" w:hAnsi="Times New Roman" w:cs="Times New Roman"/>
          <w:b/>
          <w:sz w:val="24"/>
          <w:szCs w:val="24"/>
        </w:rPr>
        <w:t xml:space="preserve">D 1000 vai Ilgtermiņa ieguldījumi </w:t>
      </w:r>
    </w:p>
    <w:p w14:paraId="71E13E54"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p>
    <w:p w14:paraId="69210E8E"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2100 vai Krājumi </w:t>
      </w:r>
    </w:p>
    <w:p w14:paraId="3438491C"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p>
    <w:p w14:paraId="6E5983BF"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7000 Pamatdarbības izdevumi </w:t>
      </w:r>
    </w:p>
    <w:p w14:paraId="7B2028A6"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p>
    <w:p w14:paraId="1BC468A9"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5723 Pievienotās vērtības nodoklis </w:t>
      </w:r>
    </w:p>
    <w:p w14:paraId="58EFD4B7"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p>
    <w:p w14:paraId="03C0489A"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5311 Saistības pret piegādātājiem un darbuzņēmējiem </w:t>
      </w:r>
    </w:p>
    <w:p w14:paraId="02ADE071" w14:textId="77777777" w:rsidR="007F6422" w:rsidRPr="007A5C04" w:rsidRDefault="007F6422" w:rsidP="00CD363C">
      <w:pPr>
        <w:pStyle w:val="Sarakstarindkopa"/>
        <w:spacing w:after="0" w:line="240" w:lineRule="auto"/>
        <w:ind w:left="360" w:right="-66"/>
        <w:jc w:val="both"/>
        <w:rPr>
          <w:rFonts w:ascii="Times New Roman" w:hAnsi="Times New Roman" w:cs="Times New Roman"/>
          <w:sz w:val="24"/>
          <w:szCs w:val="24"/>
        </w:rPr>
      </w:pPr>
      <w:r w:rsidRPr="007A5C04">
        <w:rPr>
          <w:rFonts w:ascii="Times New Roman" w:hAnsi="Times New Roman" w:cs="Times New Roman"/>
          <w:sz w:val="24"/>
          <w:szCs w:val="24"/>
        </w:rPr>
        <w:t xml:space="preserve">* gadījumā, ja budžeta iestāde ir PVN maksātāja </w:t>
      </w:r>
    </w:p>
    <w:p w14:paraId="6387EDC5" w14:textId="77777777" w:rsidR="007F6422" w:rsidRDefault="007F6422" w:rsidP="00CD363C">
      <w:pPr>
        <w:pStyle w:val="Sarakstarindkopa"/>
        <w:spacing w:after="0" w:line="240" w:lineRule="auto"/>
        <w:ind w:left="360" w:right="-66"/>
        <w:jc w:val="both"/>
        <w:rPr>
          <w:rFonts w:ascii="Times New Roman" w:hAnsi="Times New Roman" w:cs="Times New Roman"/>
          <w:sz w:val="24"/>
          <w:szCs w:val="24"/>
        </w:rPr>
      </w:pPr>
    </w:p>
    <w:p w14:paraId="70B98A8A" w14:textId="77777777" w:rsidR="007F6422" w:rsidRDefault="007F6422" w:rsidP="00CD363C">
      <w:pPr>
        <w:pStyle w:val="Sarakstarindkopa"/>
        <w:spacing w:after="0" w:line="240" w:lineRule="auto"/>
        <w:ind w:left="360" w:right="-66"/>
        <w:jc w:val="both"/>
        <w:rPr>
          <w:rFonts w:ascii="Times New Roman" w:hAnsi="Times New Roman" w:cs="Times New Roman"/>
          <w:sz w:val="24"/>
          <w:szCs w:val="24"/>
        </w:rPr>
      </w:pPr>
      <w:r>
        <w:rPr>
          <w:rFonts w:ascii="Times New Roman" w:hAnsi="Times New Roman" w:cs="Times New Roman"/>
          <w:sz w:val="24"/>
          <w:szCs w:val="24"/>
        </w:rPr>
        <w:t>686.</w:t>
      </w:r>
      <w:r w:rsidRPr="007A5C04">
        <w:rPr>
          <w:rFonts w:ascii="Times New Roman" w:hAnsi="Times New Roman" w:cs="Times New Roman"/>
          <w:sz w:val="24"/>
          <w:szCs w:val="24"/>
        </w:rPr>
        <w:t xml:space="preserve"> Veicot saņemtā attaisnojuma dokumenta apmaksu, budžeta iestāde atzīst atbilstošo saistību un naudas līdzekļu kontu samazinājumu, veicot sekojošu grāmatojumu: </w:t>
      </w:r>
    </w:p>
    <w:p w14:paraId="1904B729" w14:textId="77777777" w:rsidR="007F6422" w:rsidRPr="007A5C04" w:rsidRDefault="007F6422" w:rsidP="00CD363C">
      <w:pPr>
        <w:pStyle w:val="Sarakstarindkopa"/>
        <w:spacing w:after="0" w:line="240" w:lineRule="auto"/>
        <w:ind w:left="360" w:right="-66"/>
        <w:jc w:val="both"/>
        <w:rPr>
          <w:rFonts w:ascii="Times New Roman" w:hAnsi="Times New Roman" w:cs="Times New Roman"/>
          <w:sz w:val="24"/>
          <w:szCs w:val="24"/>
        </w:rPr>
      </w:pPr>
    </w:p>
    <w:p w14:paraId="64F37071" w14:textId="77777777" w:rsidR="007F6422" w:rsidRDefault="007F6422" w:rsidP="00CD363C">
      <w:pPr>
        <w:pStyle w:val="Sarakstarindkopa"/>
        <w:spacing w:after="0" w:line="240" w:lineRule="auto"/>
        <w:ind w:left="360" w:right="-66"/>
        <w:jc w:val="both"/>
        <w:rPr>
          <w:rFonts w:ascii="Times New Roman" w:hAnsi="Times New Roman" w:cs="Times New Roman"/>
          <w:sz w:val="24"/>
          <w:szCs w:val="24"/>
        </w:rPr>
      </w:pPr>
    </w:p>
    <w:p w14:paraId="6A2D8301"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5311 Saistības pret piegādātājiem un darbuzņēmējiem </w:t>
      </w:r>
    </w:p>
    <w:p w14:paraId="6F07A30A"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2620 Norēķinu konti Valsts kasē, kredītiestādēs vai citās institūcijās </w:t>
      </w:r>
    </w:p>
    <w:p w14:paraId="1306A322" w14:textId="77777777" w:rsidR="007F6422" w:rsidRPr="007F6422" w:rsidRDefault="007F6422" w:rsidP="00CD363C">
      <w:pPr>
        <w:pStyle w:val="Sarakstarindkopa"/>
        <w:spacing w:after="0" w:line="240" w:lineRule="auto"/>
        <w:ind w:left="360" w:right="-66"/>
        <w:jc w:val="both"/>
        <w:rPr>
          <w:rFonts w:ascii="Times New Roman" w:hAnsi="Times New Roman" w:cs="Times New Roman"/>
          <w:sz w:val="24"/>
          <w:szCs w:val="24"/>
        </w:rPr>
      </w:pPr>
      <w:r w:rsidRPr="007F6422">
        <w:rPr>
          <w:rFonts w:ascii="Times New Roman" w:hAnsi="Times New Roman" w:cs="Times New Roman"/>
          <w:sz w:val="24"/>
          <w:szCs w:val="24"/>
        </w:rPr>
        <w:t>687. Katra pārskata perioda beigās budžeta iestāde nodala īstermiņa saistību daļu un ilgtermiņa saistību daļu. Budžeta iestāde pārskata perioda datumā pārgrāmato ilgtermiņa saistību daļu uz īstermiņa saistībām, veicot sekojošu grāmatojumu:</w:t>
      </w:r>
    </w:p>
    <w:p w14:paraId="00AD036E" w14:textId="77777777" w:rsidR="007F6422" w:rsidRPr="007F6422" w:rsidRDefault="007F6422" w:rsidP="00CD363C">
      <w:pPr>
        <w:pStyle w:val="Sarakstarindkopa"/>
        <w:spacing w:after="0" w:line="240" w:lineRule="auto"/>
        <w:ind w:left="360" w:right="-66"/>
        <w:jc w:val="both"/>
        <w:rPr>
          <w:rFonts w:ascii="Times New Roman" w:hAnsi="Times New Roman" w:cs="Times New Roman"/>
          <w:sz w:val="24"/>
          <w:szCs w:val="24"/>
        </w:rPr>
      </w:pPr>
      <w:r w:rsidRPr="007F6422">
        <w:rPr>
          <w:rFonts w:ascii="Times New Roman" w:hAnsi="Times New Roman" w:cs="Times New Roman"/>
          <w:sz w:val="24"/>
          <w:szCs w:val="24"/>
        </w:rPr>
        <w:t xml:space="preserve"> </w:t>
      </w:r>
    </w:p>
    <w:p w14:paraId="08694FA8"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5131 Ilgtermiņa saistības pret piegādātājiem un darbuzņēmējiem </w:t>
      </w:r>
    </w:p>
    <w:p w14:paraId="4B219874"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5311 Saistības pret piegādātājiem un darbuzņēmējiem</w:t>
      </w:r>
    </w:p>
    <w:p w14:paraId="62E276DD" w14:textId="77777777" w:rsidR="007F6422" w:rsidRPr="007A5C04" w:rsidRDefault="007F6422" w:rsidP="00CD363C">
      <w:pPr>
        <w:pStyle w:val="Sarakstarindkopa"/>
        <w:spacing w:after="0" w:line="240" w:lineRule="auto"/>
        <w:ind w:left="0" w:right="-66"/>
        <w:jc w:val="both"/>
        <w:rPr>
          <w:rFonts w:ascii="Times New Roman" w:hAnsi="Times New Roman" w:cs="Times New Roman"/>
          <w:sz w:val="24"/>
          <w:szCs w:val="24"/>
        </w:rPr>
      </w:pPr>
      <w:r w:rsidRPr="007F6422">
        <w:rPr>
          <w:rFonts w:ascii="Times New Roman" w:hAnsi="Times New Roman" w:cs="Times New Roman"/>
          <w:sz w:val="24"/>
          <w:szCs w:val="24"/>
        </w:rPr>
        <w:t>688</w:t>
      </w:r>
      <w:r>
        <w:rPr>
          <w:rFonts w:ascii="Times New Roman" w:hAnsi="Times New Roman" w:cs="Times New Roman"/>
          <w:sz w:val="24"/>
          <w:szCs w:val="24"/>
        </w:rPr>
        <w:t>.</w:t>
      </w:r>
      <w:r w:rsidRPr="007A5C04">
        <w:rPr>
          <w:rFonts w:ascii="Times New Roman" w:hAnsi="Times New Roman" w:cs="Times New Roman"/>
          <w:sz w:val="24"/>
          <w:szCs w:val="24"/>
        </w:rPr>
        <w:t xml:space="preserve"> Saistību sastāvā kā uzkrātās saistības budžeta iestāde uzskaita tādus izdevumus, kas saskaņā ar noslēgtajiem līgumiem vai citiem attaisnojuma dokumentiem attiecas uz pārskata periodu, bet attiecībā uz kuriem nav pienācis norēķinu attaisnojuma dokumenta iesniegšanas termiņš, un par kuriem ir skaidri zināmas saistību summas. Budžeta iestāde atzīst uzkrātās saistības, veicot sekojošus grāmatojumus: </w:t>
      </w:r>
    </w:p>
    <w:p w14:paraId="24F6E0D7" w14:textId="77777777" w:rsidR="007F6422" w:rsidRPr="007A5C04" w:rsidRDefault="007F6422" w:rsidP="00CD363C">
      <w:pPr>
        <w:pStyle w:val="Sarakstarindkopa"/>
        <w:spacing w:after="0" w:line="240" w:lineRule="auto"/>
        <w:ind w:left="360" w:right="-66"/>
        <w:jc w:val="both"/>
        <w:rPr>
          <w:rFonts w:ascii="Times New Roman" w:hAnsi="Times New Roman" w:cs="Times New Roman"/>
          <w:sz w:val="24"/>
          <w:szCs w:val="24"/>
        </w:rPr>
      </w:pPr>
    </w:p>
    <w:p w14:paraId="2E1C68CE" w14:textId="77777777" w:rsidR="007F6422" w:rsidRP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7000  Pamatdarbības izdevumi </w:t>
      </w:r>
    </w:p>
    <w:p w14:paraId="12ED725E" w14:textId="77777777" w:rsidR="007F6422" w:rsidRDefault="007F6422" w:rsidP="00CD363C">
      <w:pPr>
        <w:pStyle w:val="Sarakstarindkopa"/>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5424 Uzkrātās saistības norēķiniem ar piegādātājiem un darbuzņēmējiem </w:t>
      </w:r>
    </w:p>
    <w:p w14:paraId="3A493739" w14:textId="77777777" w:rsidR="00675407" w:rsidRPr="007A5C04" w:rsidRDefault="007F6422" w:rsidP="00CD363C">
      <w:pPr>
        <w:pStyle w:val="Sarakstarindkopa"/>
        <w:spacing w:after="0" w:line="240" w:lineRule="auto"/>
        <w:ind w:left="0" w:right="-66"/>
        <w:jc w:val="both"/>
        <w:rPr>
          <w:rFonts w:ascii="Times New Roman" w:hAnsi="Times New Roman" w:cs="Times New Roman"/>
          <w:sz w:val="24"/>
          <w:szCs w:val="24"/>
        </w:rPr>
      </w:pPr>
      <w:r w:rsidRPr="007F6422">
        <w:rPr>
          <w:rFonts w:ascii="Times New Roman" w:hAnsi="Times New Roman" w:cs="Times New Roman"/>
          <w:sz w:val="24"/>
          <w:szCs w:val="24"/>
        </w:rPr>
        <w:t>689.</w:t>
      </w:r>
      <w:r w:rsidR="00675407" w:rsidRPr="007A5C04">
        <w:rPr>
          <w:rFonts w:ascii="Times New Roman" w:hAnsi="Times New Roman" w:cs="Times New Roman"/>
          <w:sz w:val="24"/>
          <w:szCs w:val="24"/>
        </w:rPr>
        <w:t xml:space="preserve"> Budžeta iestāde nākamajā pārskata periodā, saņemot norēķinu attaisnojuma dokumentu, dzēš uzkrātās saistības un atzīst saistības pret darījuma partneri, veicot sekojošu grāmatojumu: </w:t>
      </w:r>
    </w:p>
    <w:p w14:paraId="25D84C97"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p>
    <w:p w14:paraId="75FF103F"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7000 Pamatdarbības izdevumi </w:t>
      </w:r>
    </w:p>
    <w:p w14:paraId="551F4775"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5424 Uzkrātās saistības norēķiniem ar piegādātājiem un darbuzņēmējiem </w:t>
      </w:r>
    </w:p>
    <w:p w14:paraId="2C053609"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5723 Pievienotās vērtības nodoklis </w:t>
      </w:r>
    </w:p>
    <w:p w14:paraId="5EF6CBA3"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K 5311 Saistības pret piegādātājiem un darbuzņēmējiem </w:t>
      </w:r>
    </w:p>
    <w:p w14:paraId="3CEF1A49" w14:textId="77777777" w:rsidR="00675407" w:rsidRDefault="00675407" w:rsidP="00CD363C">
      <w:pPr>
        <w:pStyle w:val="Sarakstarindkopa"/>
        <w:spacing w:after="0" w:line="240" w:lineRule="auto"/>
        <w:ind w:left="360" w:right="-66"/>
        <w:jc w:val="both"/>
        <w:rPr>
          <w:rFonts w:ascii="Times New Roman" w:hAnsi="Times New Roman" w:cs="Times New Roman"/>
          <w:sz w:val="24"/>
          <w:szCs w:val="24"/>
        </w:rPr>
      </w:pPr>
      <w:r w:rsidRPr="007A5C04">
        <w:rPr>
          <w:rFonts w:ascii="Times New Roman" w:hAnsi="Times New Roman" w:cs="Times New Roman"/>
          <w:sz w:val="24"/>
          <w:szCs w:val="24"/>
        </w:rPr>
        <w:t xml:space="preserve">* gadījumā, ja rēķinā uzrādītā summa ir lielāka par uzkrātajās saistībās atzīto summu </w:t>
      </w:r>
    </w:p>
    <w:p w14:paraId="3BD035D7" w14:textId="77777777" w:rsidR="00675407" w:rsidRDefault="00675407" w:rsidP="00CD363C">
      <w:pPr>
        <w:pStyle w:val="Sarakstarindkopa"/>
        <w:spacing w:after="0" w:line="240" w:lineRule="auto"/>
        <w:ind w:left="360" w:right="-66"/>
        <w:jc w:val="both"/>
        <w:rPr>
          <w:rFonts w:ascii="Times New Roman" w:hAnsi="Times New Roman" w:cs="Times New Roman"/>
          <w:sz w:val="24"/>
          <w:szCs w:val="24"/>
        </w:rPr>
      </w:pPr>
    </w:p>
    <w:p w14:paraId="3DAE5258" w14:textId="77777777" w:rsidR="00675407" w:rsidRPr="007A5C04" w:rsidRDefault="00675407" w:rsidP="00CD363C">
      <w:pPr>
        <w:pStyle w:val="Sarakstarindkopa"/>
        <w:spacing w:after="0" w:line="240" w:lineRule="auto"/>
        <w:ind w:left="0" w:right="-66"/>
        <w:jc w:val="both"/>
        <w:rPr>
          <w:rFonts w:ascii="Times New Roman" w:hAnsi="Times New Roman" w:cs="Times New Roman"/>
          <w:sz w:val="24"/>
          <w:szCs w:val="24"/>
        </w:rPr>
      </w:pPr>
      <w:r>
        <w:rPr>
          <w:rFonts w:ascii="Times New Roman" w:hAnsi="Times New Roman" w:cs="Times New Roman"/>
          <w:sz w:val="24"/>
          <w:szCs w:val="24"/>
        </w:rPr>
        <w:t>690.</w:t>
      </w:r>
      <w:r w:rsidRPr="00675407">
        <w:rPr>
          <w:rFonts w:ascii="Times New Roman" w:hAnsi="Times New Roman" w:cs="Times New Roman"/>
          <w:sz w:val="24"/>
          <w:szCs w:val="24"/>
        </w:rPr>
        <w:t xml:space="preserve"> </w:t>
      </w:r>
      <w:r w:rsidRPr="007A5C04">
        <w:rPr>
          <w:rFonts w:ascii="Times New Roman" w:hAnsi="Times New Roman" w:cs="Times New Roman"/>
          <w:sz w:val="24"/>
          <w:szCs w:val="24"/>
        </w:rPr>
        <w:t xml:space="preserve">Budžeta iestāde, izsludinot publisko iepirkumu procedūras, publiskās izsoles vai citos gadījumos, atbilstoši attiecīgo procedūru noteikumiem, saņem no dalībniekiem drošības naudu kā garantiju, ka dalībnieks izpildīs noteiktās prasības. Saņemot drošības naudu vai citus tamlīdzīgus naudas līdzekļu maksājumus, budžeta iestāde darījuma dienā, pamatojoties uz attaisnojuma dokumentu, atzīst saistības par saņemto drošības naudu un naudas līdzekļu palielinājumu, veicot sekojošu grāmatojumu: </w:t>
      </w:r>
    </w:p>
    <w:p w14:paraId="6399E09E" w14:textId="77777777" w:rsidR="00675407" w:rsidRPr="007A5C04" w:rsidRDefault="00675407" w:rsidP="00CD363C">
      <w:pPr>
        <w:pStyle w:val="Sarakstarindkopa"/>
        <w:spacing w:after="0" w:line="240" w:lineRule="auto"/>
        <w:ind w:left="360" w:right="-66"/>
        <w:jc w:val="both"/>
        <w:rPr>
          <w:rFonts w:ascii="Times New Roman" w:hAnsi="Times New Roman" w:cs="Times New Roman"/>
          <w:sz w:val="24"/>
          <w:szCs w:val="24"/>
        </w:rPr>
      </w:pPr>
    </w:p>
    <w:p w14:paraId="214B07C2"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D 2624 Citu budžetu līdzekļi</w:t>
      </w:r>
    </w:p>
    <w:p w14:paraId="567568B4" w14:textId="77777777" w:rsid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K 5813 Saistības par saņemto drošības naudu un citiem naudas līdzekļiem </w:t>
      </w:r>
    </w:p>
    <w:p w14:paraId="713EA950" w14:textId="77777777" w:rsidR="00675407" w:rsidRPr="007A5C04" w:rsidRDefault="00675407" w:rsidP="00CD363C">
      <w:pPr>
        <w:pStyle w:val="Sarakstarindkopa"/>
        <w:spacing w:after="0" w:line="240" w:lineRule="auto"/>
        <w:ind w:left="0" w:right="-66"/>
        <w:jc w:val="both"/>
        <w:rPr>
          <w:rFonts w:ascii="Times New Roman" w:hAnsi="Times New Roman" w:cs="Times New Roman"/>
          <w:sz w:val="24"/>
          <w:szCs w:val="24"/>
        </w:rPr>
      </w:pPr>
      <w:r w:rsidRPr="00675407">
        <w:rPr>
          <w:rFonts w:ascii="Times New Roman" w:hAnsi="Times New Roman" w:cs="Times New Roman"/>
          <w:sz w:val="24"/>
          <w:szCs w:val="24"/>
        </w:rPr>
        <w:t>691.</w:t>
      </w:r>
      <w:r w:rsidRPr="007A5C04">
        <w:rPr>
          <w:rFonts w:ascii="Times New Roman" w:hAnsi="Times New Roman" w:cs="Times New Roman"/>
          <w:sz w:val="24"/>
          <w:szCs w:val="24"/>
        </w:rPr>
        <w:t xml:space="preserve"> Atsevišķos gadījumos budžeta iestāde saņemtos drošības vai garantijas naudas līdzekļus var atmaksāt darījuma partnerim līdz noteikta termiņa beigām. Budžeta iestāde, veicot saņemtās drošības vai garantijas naudas atmaksu, darījuma dienā atzīst saistību par saņemto drošības naudu un naudas līdzekļu samazinājumu, veicot sekojošu grāmatojumu: </w:t>
      </w:r>
    </w:p>
    <w:p w14:paraId="0BF25FCC" w14:textId="77777777" w:rsidR="00675407" w:rsidRPr="007A5C04" w:rsidRDefault="00675407" w:rsidP="00CD363C">
      <w:pPr>
        <w:pStyle w:val="Sarakstarindkopa"/>
        <w:spacing w:after="0" w:line="240" w:lineRule="auto"/>
        <w:ind w:left="360" w:right="-66"/>
        <w:jc w:val="both"/>
        <w:rPr>
          <w:rFonts w:ascii="Times New Roman" w:hAnsi="Times New Roman" w:cs="Times New Roman"/>
          <w:sz w:val="24"/>
          <w:szCs w:val="24"/>
        </w:rPr>
      </w:pPr>
    </w:p>
    <w:p w14:paraId="6C51C0CA" w14:textId="77777777" w:rsidR="00675407" w:rsidRP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5813 Saistības par saņemto drošības naudu un citiem naudas līdzekļiem </w:t>
      </w:r>
    </w:p>
    <w:p w14:paraId="175E019E" w14:textId="77777777" w:rsidR="00675407" w:rsidRDefault="00675407"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K 2624 Citu budžetu līdzekļi</w:t>
      </w:r>
    </w:p>
    <w:p w14:paraId="0C70C42C" w14:textId="77777777" w:rsidR="00675407" w:rsidRDefault="00675407"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675407">
        <w:rPr>
          <w:rFonts w:ascii="Times New Roman" w:hAnsi="Times New Roman" w:cs="Times New Roman"/>
          <w:sz w:val="24"/>
          <w:szCs w:val="24"/>
        </w:rPr>
        <w:t>692. Ja budžeta iestāde saņemto drošības naudu vai citus tamlīdzīgus naudas līdzekļus neatmaksā, budžeta iestāde drošības naudas vērtībā atzīst saistības pret valsts budžetu, veicot sekojošu grāmatojumu</w:t>
      </w:r>
      <w:r>
        <w:rPr>
          <w:rFonts w:ascii="Times New Roman" w:hAnsi="Times New Roman" w:cs="Times New Roman"/>
          <w:sz w:val="24"/>
          <w:szCs w:val="24"/>
        </w:rPr>
        <w:t>:</w:t>
      </w:r>
    </w:p>
    <w:p w14:paraId="5D22812F" w14:textId="77777777" w:rsidR="00675407" w:rsidRP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w:t>
      </w:r>
      <w:r w:rsidR="00675407" w:rsidRPr="003B5C7A">
        <w:rPr>
          <w:rFonts w:ascii="Times New Roman" w:hAnsi="Times New Roman" w:cs="Times New Roman"/>
          <w:b/>
          <w:sz w:val="24"/>
          <w:szCs w:val="24"/>
        </w:rPr>
        <w:t>D  5813  Saistības par saņemto drošības naudu un citiem</w:t>
      </w:r>
    </w:p>
    <w:p w14:paraId="0FC2C091" w14:textId="77777777" w:rsidR="00917AA6"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w:t>
      </w:r>
      <w:r w:rsidR="00917AA6" w:rsidRPr="003B5C7A">
        <w:rPr>
          <w:rFonts w:ascii="Times New Roman" w:hAnsi="Times New Roman" w:cs="Times New Roman"/>
          <w:b/>
          <w:sz w:val="24"/>
          <w:szCs w:val="24"/>
        </w:rPr>
        <w:t xml:space="preserve">K  </w:t>
      </w:r>
      <w:r w:rsidRPr="003B5C7A">
        <w:rPr>
          <w:rFonts w:ascii="Times New Roman" w:hAnsi="Times New Roman" w:cs="Times New Roman"/>
          <w:b/>
          <w:sz w:val="24"/>
          <w:szCs w:val="24"/>
        </w:rPr>
        <w:t>5815  Saistības pret budžetu</w:t>
      </w:r>
    </w:p>
    <w:p w14:paraId="3D624202" w14:textId="77777777" w:rsid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693. Ja budžeta iestāde saņemto drošības naudu neatmaksā drošības naudas maksātājam un ir atzinusi saistības pret valsts budžetu, tad, samaksājot naudas līdzekļus valsts budžetā, budžeta iestāde veic sekojošu grāmatojumu:</w:t>
      </w:r>
    </w:p>
    <w:p w14:paraId="7D8B1D91" w14:textId="77777777" w:rsidR="003B5C7A" w:rsidRP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5815  Saistības pret budžetu</w:t>
      </w:r>
    </w:p>
    <w:p w14:paraId="5CFA3185" w14:textId="77777777" w:rsidR="003B5C7A" w:rsidRP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2620  Norēķinu konti Valsts kasē vai kredītiestādēs</w:t>
      </w:r>
    </w:p>
    <w:p w14:paraId="054AA040" w14:textId="77777777" w:rsidR="003B5C7A" w:rsidRPr="007A5C04"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694</w:t>
      </w:r>
      <w:r>
        <w:rPr>
          <w:rFonts w:ascii="Times New Roman" w:hAnsi="Times New Roman" w:cs="Times New Roman"/>
          <w:sz w:val="24"/>
          <w:szCs w:val="24"/>
        </w:rPr>
        <w:t xml:space="preserve">. </w:t>
      </w:r>
      <w:r w:rsidRPr="003B5C7A">
        <w:rPr>
          <w:rFonts w:ascii="Times New Roman" w:hAnsi="Times New Roman" w:cs="Times New Roman"/>
          <w:sz w:val="24"/>
          <w:szCs w:val="24"/>
        </w:rPr>
        <w:t>Ja budžeta iestāde saņemto drošības naudu vai citus tamlīdzīgus naudas līdzekļus neatmaksā un normatīvajos aktos noteiktajos gadījumos uzskaita ieņēmumos neatmaksājamos naudas līdzekļus, budžeta iestāde attiecīgajā vērtībā atzīst saistību par saņemto drošības naudu samazinājumu un atbilstoši spēkā esošajiem normatīvajiem aktiem atzīst ieņēmumos neatmaksājamos naudas līdzekļus.</w:t>
      </w:r>
      <w:r w:rsidRPr="007A5C04">
        <w:rPr>
          <w:rFonts w:ascii="Times New Roman" w:hAnsi="Times New Roman" w:cs="Times New Roman"/>
          <w:sz w:val="24"/>
          <w:szCs w:val="24"/>
        </w:rPr>
        <w:t xml:space="preserve"> </w:t>
      </w:r>
    </w:p>
    <w:p w14:paraId="1AF25E11"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D 5813 Saistības par saņemto drošības naudu un citiem naudas līdzekļiem</w:t>
      </w:r>
    </w:p>
    <w:p w14:paraId="5F0F6919" w14:textId="77777777" w:rsid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K 6000 Pamatdarbības ieņēmumi </w:t>
      </w:r>
    </w:p>
    <w:p w14:paraId="6D3FC363" w14:textId="77777777" w:rsidR="003B5C7A" w:rsidRPr="003B5C7A"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695. Vienlaikus budžeta iestāde izvērtē un, ja nepieciešams, pārgrāmato uzskaitītos naudas līdzekļus no citu budžetu līdzekļiem uz pamatbudžeta vai speciālā budžeta līdzekļiem.</w:t>
      </w:r>
    </w:p>
    <w:p w14:paraId="4237AEF7" w14:textId="77777777" w:rsidR="003B5C7A" w:rsidRPr="007A5C04" w:rsidRDefault="003B5C7A" w:rsidP="00CD363C">
      <w:pPr>
        <w:pStyle w:val="Sarakstarindkopa"/>
        <w:spacing w:after="0" w:line="240" w:lineRule="auto"/>
        <w:ind w:left="360" w:right="-66"/>
        <w:jc w:val="both"/>
        <w:rPr>
          <w:rFonts w:ascii="Times New Roman" w:hAnsi="Times New Roman" w:cs="Times New Roman"/>
          <w:sz w:val="24"/>
          <w:szCs w:val="24"/>
        </w:rPr>
      </w:pPr>
    </w:p>
    <w:p w14:paraId="6D401943"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2621 Pamatbudžeta līdzekļi vai </w:t>
      </w:r>
    </w:p>
    <w:p w14:paraId="4F160FE2"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2622 Speciālā budžeta līdzekļi</w:t>
      </w:r>
    </w:p>
    <w:p w14:paraId="1C6C2459" w14:textId="77777777" w:rsid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2614 Citu budžetu līdzekļi</w:t>
      </w:r>
    </w:p>
    <w:p w14:paraId="7BBB3C9A" w14:textId="77777777" w:rsidR="0094772B" w:rsidRDefault="0094772B" w:rsidP="00CD363C">
      <w:pPr>
        <w:pStyle w:val="Sarakstarindkopa"/>
        <w:spacing w:after="0" w:line="240" w:lineRule="auto"/>
        <w:ind w:left="360" w:right="-66"/>
        <w:jc w:val="both"/>
        <w:rPr>
          <w:rFonts w:ascii="Times New Roman" w:hAnsi="Times New Roman" w:cs="Times New Roman"/>
          <w:b/>
          <w:sz w:val="24"/>
          <w:szCs w:val="24"/>
        </w:rPr>
      </w:pPr>
    </w:p>
    <w:p w14:paraId="5910CAB8" w14:textId="77777777" w:rsidR="003B5C7A" w:rsidRPr="007A5C04" w:rsidRDefault="003B5C7A" w:rsidP="00CD363C">
      <w:pPr>
        <w:pStyle w:val="Sarakstarindkopa"/>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18.2.</w:t>
      </w:r>
      <w:r w:rsidRPr="007A5C04">
        <w:rPr>
          <w:rFonts w:ascii="Times New Roman" w:hAnsi="Times New Roman" w:cs="Times New Roman"/>
          <w:b/>
          <w:sz w:val="24"/>
          <w:szCs w:val="24"/>
        </w:rPr>
        <w:t>Nākamo periodu ieņēmumu un saņemto avansu uzskaite</w:t>
      </w:r>
    </w:p>
    <w:p w14:paraId="743DC889" w14:textId="77777777" w:rsidR="003B5C7A" w:rsidRDefault="003B5C7A" w:rsidP="00CD363C">
      <w:pPr>
        <w:pStyle w:val="Sarakstarindkopa"/>
        <w:spacing w:after="0" w:line="240" w:lineRule="auto"/>
        <w:ind w:left="360" w:right="-66"/>
        <w:jc w:val="both"/>
        <w:rPr>
          <w:rFonts w:ascii="Times New Roman" w:hAnsi="Times New Roman" w:cs="Times New Roman"/>
          <w:sz w:val="24"/>
          <w:szCs w:val="24"/>
        </w:rPr>
      </w:pPr>
    </w:p>
    <w:p w14:paraId="01432BDB" w14:textId="77777777" w:rsidR="003B5C7A" w:rsidRPr="003B5C7A"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696. Budžeta iestāde saistību sastāvā kā ilgtermiņa vai īstermiņa nākamo periodu ieņēmumus uzskaita:</w:t>
      </w:r>
    </w:p>
    <w:p w14:paraId="08F61C3F" w14:textId="77777777" w:rsidR="003B5C7A" w:rsidRPr="003B5C7A" w:rsidRDefault="003B5C7A"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696</w:t>
      </w:r>
      <w:r w:rsidRPr="003B5C7A">
        <w:rPr>
          <w:rFonts w:ascii="Times New Roman" w:hAnsi="Times New Roman" w:cs="Times New Roman"/>
          <w:sz w:val="24"/>
          <w:szCs w:val="24"/>
        </w:rPr>
        <w:t xml:space="preserve">.1.maksājumus, kas saņemti līdz pārskata perioda beigām, par konkrētiem pakalpojumiem, kurus budžeta iestāde sniegs nākamajos (pārskata periodam sekojošos) periodos, </w:t>
      </w:r>
    </w:p>
    <w:p w14:paraId="64A64C64" w14:textId="77777777" w:rsidR="003B5C7A" w:rsidRPr="007A5C04" w:rsidRDefault="003B5C7A"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696</w:t>
      </w:r>
      <w:r w:rsidRPr="003B5C7A">
        <w:rPr>
          <w:rFonts w:ascii="Times New Roman" w:hAnsi="Times New Roman" w:cs="Times New Roman"/>
          <w:sz w:val="24"/>
          <w:szCs w:val="24"/>
        </w:rPr>
        <w:t xml:space="preserve">.2.saņemtos resursus, attiecībā uz kuriem ir iekļauti nosacījumi par to, kā saņēmējam jālieto saņemtie resursi, un kas izpildāmi juridisku un administratīvu procesu ietvaros. </w:t>
      </w:r>
    </w:p>
    <w:p w14:paraId="5ACD83D0" w14:textId="77777777" w:rsidR="003B5C7A" w:rsidRPr="003B5C7A"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 xml:space="preserve">697. Budžeta iestāde, saņemot maksājumus par pakalpojumiem, kurus sniegs nākamajos periodos vai aktīviem (precēm), kuru piegāde notiks nākamajos periodos atzīst nākamo periodu ieņēmumu un naudas līdzekļu palielinājumu vai atzīst šos maksājumus kā saņemto avansu, veicot sekojošu grāmatojumu: </w:t>
      </w:r>
    </w:p>
    <w:p w14:paraId="19469EE0" w14:textId="77777777" w:rsidR="003B5C7A" w:rsidRPr="007A5C04" w:rsidRDefault="003B5C7A" w:rsidP="00CD363C">
      <w:pPr>
        <w:pStyle w:val="Sarakstarindkopa"/>
        <w:spacing w:after="0" w:line="240" w:lineRule="auto"/>
        <w:ind w:left="360" w:right="-66"/>
        <w:jc w:val="both"/>
        <w:rPr>
          <w:rFonts w:ascii="Times New Roman" w:hAnsi="Times New Roman" w:cs="Times New Roman"/>
          <w:sz w:val="24"/>
          <w:szCs w:val="24"/>
        </w:rPr>
      </w:pPr>
    </w:p>
    <w:p w14:paraId="4549C8D2"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2620 Norēķinu konti Valsts kasē, kredītiestādēs vai citās institūcijās </w:t>
      </w:r>
    </w:p>
    <w:p w14:paraId="3AAA0B23"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5150 Ilgtermiņa nākamo periodu ieņēmumi un saņemtie avansa maksājumi vai</w:t>
      </w:r>
    </w:p>
    <w:p w14:paraId="287A184E"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5910 Nākamo periodu ieņēmumi un saņemtie avansa maksājumi</w:t>
      </w:r>
    </w:p>
    <w:p w14:paraId="6F0332F6"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 5723 Pievienotās vērtības nodoklis </w:t>
      </w:r>
    </w:p>
    <w:p w14:paraId="68C70445" w14:textId="77777777" w:rsidR="003B5C7A" w:rsidRDefault="003B5C7A" w:rsidP="00CD363C">
      <w:pPr>
        <w:pStyle w:val="Sarakstarindkopa"/>
        <w:spacing w:after="0" w:line="240" w:lineRule="auto"/>
        <w:ind w:left="360" w:right="-66"/>
        <w:jc w:val="both"/>
        <w:rPr>
          <w:rFonts w:ascii="Times New Roman" w:hAnsi="Times New Roman" w:cs="Times New Roman"/>
          <w:sz w:val="24"/>
          <w:szCs w:val="24"/>
        </w:rPr>
      </w:pPr>
      <w:r w:rsidRPr="007A5C04">
        <w:rPr>
          <w:rFonts w:ascii="Times New Roman" w:hAnsi="Times New Roman" w:cs="Times New Roman"/>
          <w:sz w:val="24"/>
          <w:szCs w:val="24"/>
        </w:rPr>
        <w:t xml:space="preserve">* gadījumā, ja budžeta iestāde ir PVN maksātāja </w:t>
      </w:r>
    </w:p>
    <w:p w14:paraId="35FBC37A" w14:textId="77777777" w:rsidR="003B5C7A" w:rsidRDefault="003B5C7A" w:rsidP="00CD363C">
      <w:pPr>
        <w:pStyle w:val="Sarakstarindkopa"/>
        <w:spacing w:after="0" w:line="240" w:lineRule="auto"/>
        <w:ind w:left="360" w:right="-66"/>
        <w:jc w:val="both"/>
        <w:rPr>
          <w:rFonts w:ascii="Times New Roman" w:hAnsi="Times New Roman" w:cs="Times New Roman"/>
          <w:sz w:val="24"/>
          <w:szCs w:val="24"/>
        </w:rPr>
      </w:pPr>
    </w:p>
    <w:p w14:paraId="1686F531" w14:textId="77777777" w:rsidR="003B5C7A" w:rsidRPr="00685752" w:rsidRDefault="003B5C7A" w:rsidP="00CD363C">
      <w:pPr>
        <w:spacing w:after="0" w:line="240" w:lineRule="auto"/>
        <w:ind w:right="-66"/>
        <w:jc w:val="both"/>
        <w:rPr>
          <w:rFonts w:ascii="Times New Roman" w:hAnsi="Times New Roman" w:cs="Times New Roman"/>
          <w:sz w:val="24"/>
          <w:szCs w:val="24"/>
        </w:rPr>
      </w:pPr>
      <w:r w:rsidRPr="00685752">
        <w:rPr>
          <w:rFonts w:ascii="Times New Roman" w:hAnsi="Times New Roman" w:cs="Times New Roman"/>
          <w:sz w:val="24"/>
          <w:szCs w:val="24"/>
        </w:rPr>
        <w:t xml:space="preserve">698. Pārskata perioda beigās budžeta iestāde aprēķina nākamo periodu ieņēmumu daļu un saņemto avansu daļu, kuras preču piegādes, pakalpojumu sniegšanas vai ieņēmumos atzīšanas termiņš nepārsniedz 12 mēnešus no bilances datuma, un pārgrāmato uz īstermiņa saistībām, veicot sekojošu grāmatojumu: </w:t>
      </w:r>
    </w:p>
    <w:p w14:paraId="5279126B" w14:textId="77777777" w:rsidR="003B5C7A" w:rsidRDefault="003B5C7A" w:rsidP="00CD363C">
      <w:pPr>
        <w:pStyle w:val="Sarakstarindkopa"/>
        <w:spacing w:after="0" w:line="240" w:lineRule="auto"/>
        <w:ind w:left="360" w:right="-66"/>
        <w:jc w:val="both"/>
        <w:rPr>
          <w:rFonts w:ascii="Times New Roman" w:hAnsi="Times New Roman" w:cs="Times New Roman"/>
          <w:sz w:val="24"/>
          <w:szCs w:val="24"/>
        </w:rPr>
      </w:pPr>
    </w:p>
    <w:p w14:paraId="09C486DD"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D 5150 Ilgtermiņa nākamo periodu ieņēmumi un saņemtie avansa maksājumi </w:t>
      </w:r>
    </w:p>
    <w:p w14:paraId="537686A7" w14:textId="77777777" w:rsidR="003B5C7A" w:rsidRPr="003B5C7A" w:rsidRDefault="003B5C7A" w:rsidP="00CD363C">
      <w:pPr>
        <w:pStyle w:val="Sarakstarindkopa"/>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K 5910 Nākamo periodu ieņēmumi un saņemtie avansa maksājumi </w:t>
      </w:r>
    </w:p>
    <w:p w14:paraId="0518A19E" w14:textId="77777777" w:rsidR="00685752" w:rsidRDefault="003B5C7A"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699.</w:t>
      </w:r>
      <w:r w:rsidR="00685752">
        <w:rPr>
          <w:rFonts w:ascii="Times New Roman" w:hAnsi="Times New Roman" w:cs="Times New Roman"/>
          <w:sz w:val="24"/>
          <w:szCs w:val="24"/>
        </w:rPr>
        <w:t>Aktīva</w:t>
      </w:r>
      <w:r w:rsidR="00685752" w:rsidRPr="00970322">
        <w:rPr>
          <w:rFonts w:ascii="Times New Roman" w:hAnsi="Times New Roman" w:cs="Times New Roman"/>
          <w:sz w:val="24"/>
          <w:szCs w:val="24"/>
        </w:rPr>
        <w:t xml:space="preserve"> piegādes vai pakalpojumu sniegšanas dienā budžeta iestāde atzīst prasības pret debitoru un ieņēmumus, kā arī vienlaicīgi samazina saņemtos avansus vai nākamo periodu ieņēmumus, veicot </w:t>
      </w:r>
      <w:r w:rsidR="00685752">
        <w:rPr>
          <w:rFonts w:ascii="Times New Roman" w:hAnsi="Times New Roman" w:cs="Times New Roman"/>
          <w:sz w:val="24"/>
          <w:szCs w:val="24"/>
        </w:rPr>
        <w:t>s</w:t>
      </w:r>
      <w:r w:rsidR="00685752" w:rsidRPr="00970322">
        <w:rPr>
          <w:rFonts w:ascii="Times New Roman" w:hAnsi="Times New Roman" w:cs="Times New Roman"/>
          <w:sz w:val="24"/>
          <w:szCs w:val="24"/>
        </w:rPr>
        <w:t xml:space="preserve">ekojošus grāmatojumus: </w:t>
      </w:r>
    </w:p>
    <w:p w14:paraId="1CFCE1EC" w14:textId="77777777" w:rsidR="00685752" w:rsidRPr="00970322" w:rsidRDefault="00685752" w:rsidP="00CD363C">
      <w:pPr>
        <w:spacing w:after="0" w:line="240" w:lineRule="auto"/>
        <w:ind w:right="-66" w:firstLine="360"/>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atzīstot prasības pret debitoru un ieņēmumus: </w:t>
      </w:r>
    </w:p>
    <w:p w14:paraId="2C73E511" w14:textId="77777777" w:rsidR="00685752" w:rsidRPr="00685752" w:rsidRDefault="00685752" w:rsidP="00CD363C">
      <w:pPr>
        <w:spacing w:after="0" w:line="240" w:lineRule="auto"/>
        <w:ind w:right="-66"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752">
        <w:rPr>
          <w:rFonts w:ascii="Times New Roman" w:hAnsi="Times New Roman" w:cs="Times New Roman"/>
          <w:b/>
          <w:sz w:val="24"/>
          <w:szCs w:val="24"/>
        </w:rPr>
        <w:t xml:space="preserve">D 2310 Prasības pret pircējiem un pasūtītājiem </w:t>
      </w:r>
    </w:p>
    <w:p w14:paraId="752777D7" w14:textId="77777777" w:rsidR="00685752" w:rsidRPr="00685752" w:rsidRDefault="00685752" w:rsidP="00CD363C">
      <w:pPr>
        <w:spacing w:after="0" w:line="240" w:lineRule="auto"/>
        <w:ind w:right="-66"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752">
        <w:rPr>
          <w:rFonts w:ascii="Times New Roman" w:hAnsi="Times New Roman" w:cs="Times New Roman"/>
          <w:b/>
          <w:sz w:val="24"/>
          <w:szCs w:val="24"/>
        </w:rPr>
        <w:t xml:space="preserve">K 6000 Pamatdarbības ieņēmumi </w:t>
      </w:r>
    </w:p>
    <w:p w14:paraId="062D7BEE" w14:textId="77777777" w:rsidR="00685752" w:rsidRPr="00685752" w:rsidRDefault="00685752" w:rsidP="00CD363C">
      <w:pPr>
        <w:spacing w:after="0" w:line="240" w:lineRule="auto"/>
        <w:ind w:right="-66"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752">
        <w:rPr>
          <w:rFonts w:ascii="Times New Roman" w:hAnsi="Times New Roman" w:cs="Times New Roman"/>
          <w:b/>
          <w:sz w:val="24"/>
          <w:szCs w:val="24"/>
        </w:rPr>
        <w:t>K* 5723 Pievienotās vērtības nodoklis</w:t>
      </w:r>
    </w:p>
    <w:p w14:paraId="19F800A7" w14:textId="77777777" w:rsidR="00685752" w:rsidRPr="00970322" w:rsidRDefault="00685752" w:rsidP="00CD363C">
      <w:pPr>
        <w:spacing w:after="0" w:line="240" w:lineRule="auto"/>
        <w:ind w:right="-66" w:firstLine="360"/>
        <w:jc w:val="both"/>
        <w:rPr>
          <w:rFonts w:ascii="Times New Roman" w:hAnsi="Times New Roman" w:cs="Times New Roman"/>
          <w:sz w:val="24"/>
          <w:szCs w:val="24"/>
        </w:rPr>
      </w:pPr>
      <w:r w:rsidRPr="00970322">
        <w:rPr>
          <w:rFonts w:ascii="Times New Roman" w:hAnsi="Times New Roman" w:cs="Times New Roman"/>
          <w:sz w:val="24"/>
          <w:szCs w:val="24"/>
        </w:rPr>
        <w:t xml:space="preserve">* gadījumā, ja budžeta iestāde ir PVN maksātāja </w:t>
      </w:r>
    </w:p>
    <w:p w14:paraId="5A3DBA11" w14:textId="77777777" w:rsidR="00685752" w:rsidRPr="00970322" w:rsidRDefault="00685752"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samazinot saņemtos avansus vai nākamo periodu ieņēmumus, ja tie iepriekš atzīti: </w:t>
      </w:r>
    </w:p>
    <w:p w14:paraId="0D180F3F"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D 5910 Nākamo periodu ieņēmumi un saņemtie avansa maksājumi </w:t>
      </w:r>
    </w:p>
    <w:p w14:paraId="6F0D9B08"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D* 5723 Pievienotās vērtības nodoklis </w:t>
      </w:r>
    </w:p>
    <w:p w14:paraId="7801761E"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2310 Prasības pret pircējiem un pasūtītājiem </w:t>
      </w:r>
    </w:p>
    <w:p w14:paraId="6B1D529C" w14:textId="77777777" w:rsidR="00685752" w:rsidRDefault="00685752" w:rsidP="00CD363C">
      <w:pPr>
        <w:pStyle w:val="Sarakstarindkopa"/>
        <w:spacing w:after="0" w:line="240" w:lineRule="auto"/>
        <w:ind w:left="360" w:right="-66"/>
        <w:jc w:val="both"/>
        <w:rPr>
          <w:rFonts w:ascii="Times New Roman" w:hAnsi="Times New Roman" w:cs="Times New Roman"/>
          <w:sz w:val="24"/>
          <w:szCs w:val="24"/>
        </w:rPr>
      </w:pPr>
      <w:bookmarkStart w:id="66" w:name="_Hlk528848908"/>
      <w:r w:rsidRPr="00970322">
        <w:rPr>
          <w:rFonts w:ascii="Times New Roman" w:hAnsi="Times New Roman" w:cs="Times New Roman"/>
          <w:sz w:val="24"/>
          <w:szCs w:val="24"/>
        </w:rPr>
        <w:t xml:space="preserve">* gadījumā, ja budžeta iestāde ir PVN maksātāja </w:t>
      </w:r>
    </w:p>
    <w:p w14:paraId="5EF7124C" w14:textId="77777777" w:rsidR="00685752" w:rsidRPr="00970322" w:rsidRDefault="0068575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700.</w:t>
      </w:r>
      <w:r w:rsidRPr="00685752">
        <w:rPr>
          <w:rFonts w:ascii="Times New Roman" w:hAnsi="Times New Roman" w:cs="Times New Roman"/>
          <w:sz w:val="24"/>
          <w:szCs w:val="24"/>
        </w:rPr>
        <w:t xml:space="preserve"> </w:t>
      </w:r>
      <w:r w:rsidRPr="00970322">
        <w:rPr>
          <w:rFonts w:ascii="Times New Roman" w:hAnsi="Times New Roman" w:cs="Times New Roman"/>
          <w:sz w:val="24"/>
          <w:szCs w:val="24"/>
        </w:rPr>
        <w:t xml:space="preserve">Budžeta iestāde atzīst saistības, saņemot aktīvu darījumā bez atlīdzības (piemēram, ārvalstu finanšu palīdzība, ziedojums, dāvinājums .u.c.), ja ar saņemšanu saistītajos tiesību aktos ir ietverts šo noteikumu nosacījums par saņemto resursu izlietojumu noteiktā veidā un nosacījuma pārkāpšanas gadījumā resursi jānodod atpakaļ resursu devējam. </w:t>
      </w:r>
    </w:p>
    <w:p w14:paraId="4785CF8A" w14:textId="77777777" w:rsidR="00685752" w:rsidRPr="00970322" w:rsidRDefault="0068575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701</w:t>
      </w:r>
      <w:r w:rsidRPr="00970322">
        <w:rPr>
          <w:rFonts w:ascii="Times New Roman" w:hAnsi="Times New Roman" w:cs="Times New Roman"/>
          <w:sz w:val="24"/>
          <w:szCs w:val="24"/>
        </w:rPr>
        <w:t>. Ja gadījumā budžeta iestāde saņem finanšu palīdzību, finansiālo atbalstu, dāvinājumus vai ziedojumus un tiesību aktā, saskaņā ar kuru ir saņemti resursi, ietverts iepriekšminētais nosacījums, budžeta iestāde veic sekojošus grāmatojumus:</w:t>
      </w:r>
    </w:p>
    <w:p w14:paraId="7377CA7B" w14:textId="77777777" w:rsidR="00685752" w:rsidRPr="00970322" w:rsidRDefault="00685752"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atzīstot saņemtos resursu un saistības: </w:t>
      </w:r>
    </w:p>
    <w:p w14:paraId="559FB95C" w14:textId="77777777" w:rsidR="00685752" w:rsidRPr="00685752" w:rsidRDefault="0068575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685752">
        <w:rPr>
          <w:rFonts w:ascii="Times New Roman" w:hAnsi="Times New Roman" w:cs="Times New Roman"/>
          <w:b/>
          <w:sz w:val="24"/>
          <w:szCs w:val="24"/>
        </w:rPr>
        <w:t xml:space="preserve">D 1000 Ilgtermiņa ieguldījumi vai </w:t>
      </w:r>
    </w:p>
    <w:p w14:paraId="6B96CED1" w14:textId="77777777" w:rsidR="00685752" w:rsidRPr="00685752" w:rsidRDefault="0068575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685752">
        <w:rPr>
          <w:rFonts w:ascii="Times New Roman" w:hAnsi="Times New Roman" w:cs="Times New Roman"/>
          <w:b/>
          <w:sz w:val="24"/>
          <w:szCs w:val="24"/>
        </w:rPr>
        <w:t xml:space="preserve">D 2620 Norēķinu konti Valsts kasē, kredītiestādēs vai citās institūcijās </w:t>
      </w:r>
    </w:p>
    <w:p w14:paraId="1389244F"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5910 Nākamo periodu ieņēmumi un saņemtie avansa maksājumi vai</w:t>
      </w:r>
    </w:p>
    <w:p w14:paraId="0F42B242"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5150 Ilgtermiņa nākamo periodu ieņēmumi un saņemtie avansa maksājumi</w:t>
      </w:r>
    </w:p>
    <w:p w14:paraId="0CBD535D" w14:textId="77777777" w:rsidR="00685752" w:rsidRPr="00970322" w:rsidRDefault="00685752"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atzīstot saņemtos resursus ieņēmumos dienā, kad izpildīti nosacījumi attiecībā uz darījumā bez atlīdzības saņemtajiem resursiem: </w:t>
      </w:r>
    </w:p>
    <w:p w14:paraId="5633D1E7"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D 5910 Nākamo periodu ieņēmumi un saņemtie avansa maksājumi </w:t>
      </w:r>
    </w:p>
    <w:p w14:paraId="1D0870D3" w14:textId="77777777" w:rsid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6000 Pamatdarbības ieņēmumi.</w:t>
      </w:r>
    </w:p>
    <w:p w14:paraId="67DD0353" w14:textId="77777777" w:rsidR="00685752" w:rsidRDefault="00685752" w:rsidP="00CD363C">
      <w:pPr>
        <w:pStyle w:val="Virsraksts4"/>
        <w:tabs>
          <w:tab w:val="left" w:pos="759"/>
        </w:tabs>
        <w:spacing w:before="0"/>
        <w:ind w:left="0" w:right="-66"/>
        <w:jc w:val="both"/>
        <w:rPr>
          <w:color w:val="002069"/>
        </w:rPr>
      </w:pPr>
      <w:r w:rsidRPr="00685752">
        <w:t>702.</w:t>
      </w:r>
      <w:r w:rsidRPr="00685752">
        <w:rPr>
          <w:color w:val="002069"/>
        </w:rPr>
        <w:t xml:space="preserve"> </w:t>
      </w:r>
      <w:r>
        <w:rPr>
          <w:color w:val="002069"/>
        </w:rPr>
        <w:t>Piemēri</w:t>
      </w:r>
    </w:p>
    <w:p w14:paraId="24D57B98" w14:textId="77777777" w:rsidR="00685752" w:rsidRDefault="00685752" w:rsidP="00CD363C">
      <w:pPr>
        <w:pStyle w:val="Virsraksts4"/>
        <w:tabs>
          <w:tab w:val="left" w:pos="759"/>
        </w:tabs>
        <w:spacing w:before="0"/>
        <w:ind w:left="0" w:right="-66"/>
        <w:jc w:val="both"/>
      </w:pPr>
      <w:r>
        <w:rPr>
          <w:color w:val="002069"/>
        </w:rPr>
        <w:t>702.1Piemērs - uzkrāto saistību</w:t>
      </w:r>
      <w:r>
        <w:rPr>
          <w:color w:val="002069"/>
          <w:spacing w:val="-1"/>
        </w:rPr>
        <w:t xml:space="preserve"> </w:t>
      </w:r>
      <w:r>
        <w:rPr>
          <w:color w:val="002069"/>
        </w:rPr>
        <w:t>uzskaite</w:t>
      </w:r>
    </w:p>
    <w:p w14:paraId="2CF33409" w14:textId="77777777" w:rsidR="00685752" w:rsidRDefault="00685752" w:rsidP="00CD363C">
      <w:pPr>
        <w:pStyle w:val="Pamatteksts"/>
        <w:ind w:right="-66"/>
        <w:jc w:val="both"/>
      </w:pPr>
      <w:r>
        <w:t>Budžeta</w:t>
      </w:r>
      <w:r>
        <w:rPr>
          <w:spacing w:val="-8"/>
        </w:rPr>
        <w:t xml:space="preserve"> </w:t>
      </w:r>
      <w:r>
        <w:t>iestāde</w:t>
      </w:r>
      <w:r>
        <w:rPr>
          <w:spacing w:val="-8"/>
        </w:rPr>
        <w:t xml:space="preserve"> </w:t>
      </w:r>
      <w:r>
        <w:t>2020.</w:t>
      </w:r>
      <w:r>
        <w:rPr>
          <w:spacing w:val="-2"/>
        </w:rPr>
        <w:t xml:space="preserve"> </w:t>
      </w:r>
      <w:r>
        <w:t>gada</w:t>
      </w:r>
      <w:r>
        <w:rPr>
          <w:spacing w:val="-8"/>
        </w:rPr>
        <w:t xml:space="preserve"> </w:t>
      </w:r>
      <w:r>
        <w:t>2.</w:t>
      </w:r>
      <w:r>
        <w:rPr>
          <w:spacing w:val="-3"/>
        </w:rPr>
        <w:t xml:space="preserve"> </w:t>
      </w:r>
      <w:r>
        <w:t>janvārī</w:t>
      </w:r>
      <w:r>
        <w:rPr>
          <w:spacing w:val="-8"/>
        </w:rPr>
        <w:t xml:space="preserve"> </w:t>
      </w:r>
      <w:r>
        <w:t>saņem</w:t>
      </w:r>
      <w:r>
        <w:rPr>
          <w:spacing w:val="-11"/>
        </w:rPr>
        <w:t xml:space="preserve"> </w:t>
      </w:r>
      <w:r>
        <w:t>rēķinu</w:t>
      </w:r>
      <w:r>
        <w:rPr>
          <w:spacing w:val="-9"/>
        </w:rPr>
        <w:t xml:space="preserve"> </w:t>
      </w:r>
      <w:r>
        <w:t>par</w:t>
      </w:r>
      <w:r>
        <w:rPr>
          <w:spacing w:val="-9"/>
        </w:rPr>
        <w:t xml:space="preserve"> </w:t>
      </w:r>
      <w:r>
        <w:t>2019.</w:t>
      </w:r>
      <w:r>
        <w:rPr>
          <w:spacing w:val="-1"/>
        </w:rPr>
        <w:t xml:space="preserve"> </w:t>
      </w:r>
      <w:r>
        <w:t>gada</w:t>
      </w:r>
      <w:r>
        <w:rPr>
          <w:spacing w:val="-8"/>
        </w:rPr>
        <w:t xml:space="preserve"> </w:t>
      </w:r>
      <w:r>
        <w:t>decembrī</w:t>
      </w:r>
      <w:r>
        <w:rPr>
          <w:spacing w:val="-7"/>
        </w:rPr>
        <w:t xml:space="preserve"> </w:t>
      </w:r>
      <w:r>
        <w:t>saņemtajiem</w:t>
      </w:r>
      <w:r>
        <w:rPr>
          <w:spacing w:val="-12"/>
        </w:rPr>
        <w:t xml:space="preserve"> </w:t>
      </w:r>
      <w:r>
        <w:t>telekomunikāciju pakalpojumiem. Rēķina apmaksas datums ir 2020. gada 20. janvāris. Rēķina kopējā summa 180,00 EUR, tai skaitā PVN 21 % 31,24 EUR, rēķina summa bez PVN 148,76 EUR. Budžeta iestāde ir PVN maksātāja un</w:t>
      </w:r>
      <w:r>
        <w:rPr>
          <w:spacing w:val="-17"/>
        </w:rPr>
        <w:t xml:space="preserve"> </w:t>
      </w:r>
      <w:r>
        <w:t>atzīst</w:t>
      </w:r>
      <w:r>
        <w:rPr>
          <w:spacing w:val="-16"/>
        </w:rPr>
        <w:t xml:space="preserve"> </w:t>
      </w:r>
      <w:r>
        <w:t>PVN</w:t>
      </w:r>
      <w:r>
        <w:rPr>
          <w:spacing w:val="-18"/>
        </w:rPr>
        <w:t xml:space="preserve"> </w:t>
      </w:r>
      <w:r>
        <w:t>kā</w:t>
      </w:r>
      <w:r>
        <w:rPr>
          <w:spacing w:val="-16"/>
        </w:rPr>
        <w:t xml:space="preserve"> </w:t>
      </w:r>
      <w:r>
        <w:t>priekšnodokli.</w:t>
      </w:r>
      <w:r>
        <w:rPr>
          <w:spacing w:val="-17"/>
        </w:rPr>
        <w:t xml:space="preserve"> </w:t>
      </w:r>
      <w:r>
        <w:t>Lai</w:t>
      </w:r>
      <w:r>
        <w:rPr>
          <w:spacing w:val="-16"/>
        </w:rPr>
        <w:t xml:space="preserve"> </w:t>
      </w:r>
      <w:r>
        <w:t>budžeta</w:t>
      </w:r>
      <w:r>
        <w:rPr>
          <w:spacing w:val="-16"/>
        </w:rPr>
        <w:t xml:space="preserve"> </w:t>
      </w:r>
      <w:r>
        <w:t>iestādes</w:t>
      </w:r>
      <w:r>
        <w:rPr>
          <w:spacing w:val="-16"/>
        </w:rPr>
        <w:t xml:space="preserve"> </w:t>
      </w:r>
      <w:r>
        <w:t>izdevumi</w:t>
      </w:r>
      <w:r>
        <w:rPr>
          <w:spacing w:val="-16"/>
        </w:rPr>
        <w:t xml:space="preserve"> </w:t>
      </w:r>
      <w:r>
        <w:t>būtu</w:t>
      </w:r>
      <w:r>
        <w:rPr>
          <w:spacing w:val="-17"/>
        </w:rPr>
        <w:t xml:space="preserve"> </w:t>
      </w:r>
      <w:r>
        <w:t>attiecināti</w:t>
      </w:r>
      <w:r>
        <w:rPr>
          <w:spacing w:val="-16"/>
        </w:rPr>
        <w:t xml:space="preserve"> </w:t>
      </w:r>
      <w:r>
        <w:t>uz</w:t>
      </w:r>
      <w:r>
        <w:rPr>
          <w:spacing w:val="-19"/>
        </w:rPr>
        <w:t xml:space="preserve"> </w:t>
      </w:r>
      <w:r>
        <w:t>atbilstošo</w:t>
      </w:r>
      <w:r>
        <w:rPr>
          <w:spacing w:val="-11"/>
        </w:rPr>
        <w:t xml:space="preserve"> </w:t>
      </w:r>
      <w:r>
        <w:t>pārskata</w:t>
      </w:r>
      <w:r>
        <w:rPr>
          <w:spacing w:val="-16"/>
        </w:rPr>
        <w:t xml:space="preserve"> </w:t>
      </w:r>
      <w:r>
        <w:t>periodu, budžeta iestāde atzīst kārtējos izdevumus un uzkrātās saistības 2019. gada 31. decembrī atbilstoši rēķinā norādītajai summai un nākamajā pārskata periodā noraksta uzkrātās saistības un atzīst saistības pret pakalpojuma</w:t>
      </w:r>
      <w:r>
        <w:rPr>
          <w:spacing w:val="-1"/>
        </w:rPr>
        <w:t xml:space="preserve"> </w:t>
      </w:r>
      <w:r>
        <w:t>sniedzēju.</w:t>
      </w:r>
    </w:p>
    <w:p w14:paraId="0920117E" w14:textId="77777777" w:rsidR="00685752" w:rsidRDefault="00685752" w:rsidP="00CD363C">
      <w:pPr>
        <w:pStyle w:val="Pamatteksts"/>
        <w:ind w:right="-66"/>
        <w:jc w:val="both"/>
      </w:pPr>
      <w:r>
        <w:t>Budžeta iestāde veic sekojošus grāmatojumus:</w:t>
      </w:r>
    </w:p>
    <w:p w14:paraId="2E4BC88B" w14:textId="77777777" w:rsidR="00685752" w:rsidRDefault="00685752" w:rsidP="00CD363C">
      <w:pPr>
        <w:pStyle w:val="Pamatteksts"/>
        <w:ind w:right="-66"/>
        <w:jc w:val="both"/>
        <w:rPr>
          <w:sz w:val="20"/>
        </w:rPr>
      </w:pPr>
    </w:p>
    <w:p w14:paraId="2C59580F" w14:textId="77777777" w:rsidR="00685752" w:rsidRDefault="00685752" w:rsidP="00CD363C">
      <w:pPr>
        <w:spacing w:after="0" w:line="240" w:lineRule="auto"/>
        <w:ind w:left="218" w:right="-66"/>
        <w:jc w:val="both"/>
        <w:rPr>
          <w:i/>
        </w:rPr>
      </w:pPr>
      <w:r>
        <w:rPr>
          <w:i/>
        </w:rPr>
        <w:t>Grāmatojums, atzīstot uzkrātās saistības 2019. gada 31. decembrī:</w:t>
      </w:r>
    </w:p>
    <w:p w14:paraId="7A940FF0" w14:textId="77777777" w:rsidR="00685752" w:rsidRDefault="00685752" w:rsidP="00CD363C">
      <w:pPr>
        <w:pStyle w:val="Pamatteksts"/>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084359F1" w14:textId="77777777" w:rsidTr="00195A06">
        <w:trPr>
          <w:trHeight w:val="447"/>
        </w:trPr>
        <w:tc>
          <w:tcPr>
            <w:tcW w:w="689" w:type="dxa"/>
          </w:tcPr>
          <w:p w14:paraId="1D3457E3" w14:textId="77777777" w:rsidR="00685752" w:rsidRDefault="00685752" w:rsidP="00CD363C">
            <w:pPr>
              <w:pStyle w:val="TableParagraph"/>
              <w:ind w:left="200" w:right="-66"/>
              <w:jc w:val="both"/>
              <w:rPr>
                <w:i/>
              </w:rPr>
            </w:pPr>
            <w:r>
              <w:rPr>
                <w:i/>
              </w:rPr>
              <w:t>D</w:t>
            </w:r>
          </w:p>
        </w:tc>
        <w:tc>
          <w:tcPr>
            <w:tcW w:w="1063" w:type="dxa"/>
          </w:tcPr>
          <w:p w14:paraId="7C1C4FF1" w14:textId="77777777" w:rsidR="00685752" w:rsidRDefault="00685752" w:rsidP="00CD363C">
            <w:pPr>
              <w:pStyle w:val="TableParagraph"/>
              <w:ind w:right="-66"/>
              <w:jc w:val="both"/>
              <w:rPr>
                <w:i/>
              </w:rPr>
            </w:pPr>
            <w:r>
              <w:rPr>
                <w:i/>
              </w:rPr>
              <w:t>7000</w:t>
            </w:r>
          </w:p>
        </w:tc>
        <w:tc>
          <w:tcPr>
            <w:tcW w:w="4124" w:type="dxa"/>
          </w:tcPr>
          <w:p w14:paraId="6533BE65" w14:textId="77777777" w:rsidR="00685752" w:rsidRDefault="00685752" w:rsidP="00CD363C">
            <w:pPr>
              <w:pStyle w:val="TableParagraph"/>
              <w:ind w:left="291" w:right="-66"/>
              <w:jc w:val="both"/>
              <w:rPr>
                <w:i/>
              </w:rPr>
            </w:pPr>
            <w:r>
              <w:rPr>
                <w:i/>
              </w:rPr>
              <w:t>Pamatdarbības izdevumi</w:t>
            </w:r>
          </w:p>
        </w:tc>
        <w:tc>
          <w:tcPr>
            <w:tcW w:w="1427" w:type="dxa"/>
          </w:tcPr>
          <w:p w14:paraId="0D1C0DA0" w14:textId="77777777" w:rsidR="00685752" w:rsidRDefault="00685752" w:rsidP="00CD363C">
            <w:pPr>
              <w:pStyle w:val="TableParagraph"/>
              <w:ind w:left="135" w:right="-66"/>
              <w:jc w:val="both"/>
              <w:rPr>
                <w:i/>
              </w:rPr>
            </w:pPr>
            <w:r>
              <w:rPr>
                <w:i/>
              </w:rPr>
              <w:t>148,76 EUR</w:t>
            </w:r>
          </w:p>
        </w:tc>
      </w:tr>
      <w:tr w:rsidR="00685752" w14:paraId="0E44DE64" w14:textId="77777777" w:rsidTr="00195A06">
        <w:trPr>
          <w:trHeight w:val="639"/>
        </w:trPr>
        <w:tc>
          <w:tcPr>
            <w:tcW w:w="689" w:type="dxa"/>
          </w:tcPr>
          <w:p w14:paraId="1ADE297A" w14:textId="77777777" w:rsidR="00685752" w:rsidRDefault="00685752" w:rsidP="00CD363C">
            <w:pPr>
              <w:pStyle w:val="TableParagraph"/>
              <w:ind w:left="200" w:right="-66"/>
              <w:jc w:val="both"/>
              <w:rPr>
                <w:i/>
              </w:rPr>
            </w:pPr>
            <w:r>
              <w:rPr>
                <w:i/>
              </w:rPr>
              <w:t>K</w:t>
            </w:r>
          </w:p>
        </w:tc>
        <w:tc>
          <w:tcPr>
            <w:tcW w:w="1063" w:type="dxa"/>
          </w:tcPr>
          <w:p w14:paraId="57E9E644" w14:textId="77777777" w:rsidR="00685752" w:rsidRDefault="00685752" w:rsidP="00CD363C">
            <w:pPr>
              <w:pStyle w:val="TableParagraph"/>
              <w:ind w:right="-66"/>
              <w:jc w:val="both"/>
              <w:rPr>
                <w:i/>
              </w:rPr>
            </w:pPr>
            <w:r>
              <w:rPr>
                <w:i/>
              </w:rPr>
              <w:t>5424</w:t>
            </w:r>
          </w:p>
        </w:tc>
        <w:tc>
          <w:tcPr>
            <w:tcW w:w="4124" w:type="dxa"/>
          </w:tcPr>
          <w:p w14:paraId="43339A57"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27" w:type="dxa"/>
          </w:tcPr>
          <w:p w14:paraId="2DB4DB11" w14:textId="77777777" w:rsidR="00685752" w:rsidRDefault="00685752" w:rsidP="00CD363C">
            <w:pPr>
              <w:pStyle w:val="TableParagraph"/>
              <w:ind w:left="135" w:right="-66"/>
              <w:jc w:val="both"/>
              <w:rPr>
                <w:i/>
              </w:rPr>
            </w:pPr>
            <w:r>
              <w:rPr>
                <w:i/>
              </w:rPr>
              <w:t>148,76 EUR</w:t>
            </w:r>
          </w:p>
        </w:tc>
      </w:tr>
    </w:tbl>
    <w:p w14:paraId="0314532F" w14:textId="77777777" w:rsidR="00685752" w:rsidRDefault="00685752" w:rsidP="00CD363C">
      <w:pPr>
        <w:spacing w:after="0" w:line="240" w:lineRule="auto"/>
        <w:ind w:left="218" w:right="-66"/>
        <w:jc w:val="both"/>
        <w:rPr>
          <w:i/>
        </w:rPr>
      </w:pPr>
      <w:r>
        <w:rPr>
          <w:i/>
        </w:rPr>
        <w:t>Grāmatojums, atzīstot īstermiņa saistības 2020. gada 2. janvārī:</w:t>
      </w:r>
    </w:p>
    <w:p w14:paraId="3DC7F609" w14:textId="77777777" w:rsidR="00685752" w:rsidRDefault="00685752" w:rsidP="00CD363C">
      <w:pPr>
        <w:pStyle w:val="Pamatteksts"/>
        <w:ind w:right="-66"/>
        <w:jc w:val="both"/>
        <w:rPr>
          <w:i/>
          <w:sz w:val="26"/>
        </w:rPr>
      </w:pPr>
    </w:p>
    <w:tbl>
      <w:tblPr>
        <w:tblW w:w="0" w:type="auto"/>
        <w:tblInd w:w="126" w:type="dxa"/>
        <w:tblLayout w:type="fixed"/>
        <w:tblCellMar>
          <w:left w:w="0" w:type="dxa"/>
          <w:right w:w="0" w:type="dxa"/>
        </w:tblCellMar>
        <w:tblLook w:val="01E0" w:firstRow="1" w:lastRow="1" w:firstColumn="1" w:lastColumn="1" w:noHBand="0" w:noVBand="0"/>
      </w:tblPr>
      <w:tblGrid>
        <w:gridCol w:w="743"/>
        <w:gridCol w:w="1009"/>
        <w:gridCol w:w="4124"/>
        <w:gridCol w:w="1482"/>
      </w:tblGrid>
      <w:tr w:rsidR="00685752" w14:paraId="5B3AB234" w14:textId="77777777" w:rsidTr="00195A06">
        <w:trPr>
          <w:trHeight w:val="543"/>
        </w:trPr>
        <w:tc>
          <w:tcPr>
            <w:tcW w:w="743" w:type="dxa"/>
          </w:tcPr>
          <w:p w14:paraId="3B368772" w14:textId="77777777" w:rsidR="00685752" w:rsidRDefault="00685752" w:rsidP="00CD363C">
            <w:pPr>
              <w:pStyle w:val="TableParagraph"/>
              <w:ind w:left="200" w:right="-66"/>
              <w:jc w:val="both"/>
              <w:rPr>
                <w:i/>
              </w:rPr>
            </w:pPr>
            <w:r>
              <w:rPr>
                <w:i/>
              </w:rPr>
              <w:t>D</w:t>
            </w:r>
          </w:p>
        </w:tc>
        <w:tc>
          <w:tcPr>
            <w:tcW w:w="1009" w:type="dxa"/>
          </w:tcPr>
          <w:p w14:paraId="35F6F888" w14:textId="77777777" w:rsidR="00685752" w:rsidRDefault="00685752" w:rsidP="00CD363C">
            <w:pPr>
              <w:pStyle w:val="TableParagraph"/>
              <w:ind w:left="257" w:right="-66"/>
              <w:jc w:val="both"/>
              <w:rPr>
                <w:i/>
              </w:rPr>
            </w:pPr>
            <w:r>
              <w:rPr>
                <w:i/>
              </w:rPr>
              <w:t>5424</w:t>
            </w:r>
          </w:p>
        </w:tc>
        <w:tc>
          <w:tcPr>
            <w:tcW w:w="4124" w:type="dxa"/>
          </w:tcPr>
          <w:p w14:paraId="5EA94442"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82" w:type="dxa"/>
          </w:tcPr>
          <w:p w14:paraId="1EAC836D" w14:textId="77777777" w:rsidR="00685752" w:rsidRDefault="00685752" w:rsidP="00CD363C">
            <w:pPr>
              <w:pStyle w:val="TableParagraph"/>
              <w:ind w:left="135" w:right="-66"/>
              <w:jc w:val="both"/>
              <w:rPr>
                <w:i/>
              </w:rPr>
            </w:pPr>
            <w:r>
              <w:rPr>
                <w:i/>
              </w:rPr>
              <w:t>148,76 EUR</w:t>
            </w:r>
          </w:p>
        </w:tc>
      </w:tr>
      <w:tr w:rsidR="00685752" w14:paraId="5F0BC3D8" w14:textId="77777777" w:rsidTr="00195A06">
        <w:trPr>
          <w:trHeight w:val="495"/>
        </w:trPr>
        <w:tc>
          <w:tcPr>
            <w:tcW w:w="743" w:type="dxa"/>
          </w:tcPr>
          <w:p w14:paraId="75D36B46" w14:textId="77777777" w:rsidR="00685752" w:rsidRDefault="00685752" w:rsidP="00CD363C">
            <w:pPr>
              <w:pStyle w:val="TableParagraph"/>
              <w:ind w:left="200" w:right="-66"/>
              <w:jc w:val="both"/>
              <w:rPr>
                <w:i/>
              </w:rPr>
            </w:pPr>
            <w:r>
              <w:rPr>
                <w:i/>
              </w:rPr>
              <w:t>D*</w:t>
            </w:r>
          </w:p>
        </w:tc>
        <w:tc>
          <w:tcPr>
            <w:tcW w:w="1009" w:type="dxa"/>
          </w:tcPr>
          <w:p w14:paraId="4AC75C55" w14:textId="77777777" w:rsidR="00685752" w:rsidRDefault="00685752" w:rsidP="00CD363C">
            <w:pPr>
              <w:pStyle w:val="TableParagraph"/>
              <w:ind w:left="257" w:right="-66"/>
              <w:jc w:val="both"/>
              <w:rPr>
                <w:i/>
              </w:rPr>
            </w:pPr>
            <w:r>
              <w:rPr>
                <w:i/>
              </w:rPr>
              <w:t>5723</w:t>
            </w:r>
          </w:p>
        </w:tc>
        <w:tc>
          <w:tcPr>
            <w:tcW w:w="4124" w:type="dxa"/>
          </w:tcPr>
          <w:p w14:paraId="5D2E051D" w14:textId="77777777" w:rsidR="00685752" w:rsidRDefault="00685752" w:rsidP="00CD363C">
            <w:pPr>
              <w:pStyle w:val="TableParagraph"/>
              <w:ind w:left="291" w:right="-66"/>
              <w:jc w:val="both"/>
              <w:rPr>
                <w:i/>
              </w:rPr>
            </w:pPr>
            <w:r>
              <w:rPr>
                <w:i/>
              </w:rPr>
              <w:t>Pievienotās vērtības nodoklis</w:t>
            </w:r>
          </w:p>
        </w:tc>
        <w:tc>
          <w:tcPr>
            <w:tcW w:w="1482" w:type="dxa"/>
          </w:tcPr>
          <w:p w14:paraId="49871A60" w14:textId="77777777" w:rsidR="00685752" w:rsidRDefault="00685752" w:rsidP="00CD363C">
            <w:pPr>
              <w:pStyle w:val="TableParagraph"/>
              <w:ind w:left="300" w:right="-66"/>
              <w:jc w:val="both"/>
              <w:rPr>
                <w:i/>
              </w:rPr>
            </w:pPr>
            <w:r>
              <w:rPr>
                <w:i/>
              </w:rPr>
              <w:t>31,24 EUR</w:t>
            </w:r>
          </w:p>
        </w:tc>
      </w:tr>
      <w:tr w:rsidR="00685752" w14:paraId="67888BC7" w14:textId="77777777" w:rsidTr="00195A06">
        <w:trPr>
          <w:trHeight w:val="640"/>
        </w:trPr>
        <w:tc>
          <w:tcPr>
            <w:tcW w:w="743" w:type="dxa"/>
          </w:tcPr>
          <w:p w14:paraId="61650FAE" w14:textId="77777777" w:rsidR="00685752" w:rsidRDefault="00685752" w:rsidP="00CD363C">
            <w:pPr>
              <w:pStyle w:val="TableParagraph"/>
              <w:ind w:left="200" w:right="-66"/>
              <w:jc w:val="both"/>
              <w:rPr>
                <w:i/>
              </w:rPr>
            </w:pPr>
            <w:r>
              <w:rPr>
                <w:i/>
              </w:rPr>
              <w:t>K</w:t>
            </w:r>
          </w:p>
        </w:tc>
        <w:tc>
          <w:tcPr>
            <w:tcW w:w="1009" w:type="dxa"/>
          </w:tcPr>
          <w:p w14:paraId="7D177AB9" w14:textId="77777777" w:rsidR="00685752" w:rsidRDefault="00685752" w:rsidP="00CD363C">
            <w:pPr>
              <w:pStyle w:val="TableParagraph"/>
              <w:ind w:left="257" w:right="-66"/>
              <w:jc w:val="both"/>
              <w:rPr>
                <w:i/>
              </w:rPr>
            </w:pPr>
            <w:r>
              <w:rPr>
                <w:i/>
              </w:rPr>
              <w:t>5310</w:t>
            </w:r>
          </w:p>
        </w:tc>
        <w:tc>
          <w:tcPr>
            <w:tcW w:w="4124" w:type="dxa"/>
          </w:tcPr>
          <w:p w14:paraId="08CBF65C" w14:textId="77777777" w:rsidR="00685752" w:rsidRDefault="00685752" w:rsidP="00CD363C">
            <w:pPr>
              <w:pStyle w:val="TableParagraph"/>
              <w:ind w:left="291" w:right="-66"/>
              <w:jc w:val="both"/>
              <w:rPr>
                <w:i/>
              </w:rPr>
            </w:pPr>
            <w:r>
              <w:rPr>
                <w:i/>
              </w:rPr>
              <w:t>Īstermiņa saistības pret piegādātājiem un darbuzņēmējiem</w:t>
            </w:r>
          </w:p>
        </w:tc>
        <w:tc>
          <w:tcPr>
            <w:tcW w:w="1482" w:type="dxa"/>
          </w:tcPr>
          <w:p w14:paraId="13B6D14F" w14:textId="77777777" w:rsidR="00685752" w:rsidRDefault="00685752" w:rsidP="00CD363C">
            <w:pPr>
              <w:pStyle w:val="TableParagraph"/>
              <w:ind w:left="135" w:right="-66"/>
              <w:jc w:val="both"/>
              <w:rPr>
                <w:i/>
              </w:rPr>
            </w:pPr>
            <w:r>
              <w:rPr>
                <w:i/>
              </w:rPr>
              <w:t>180,00 EUR</w:t>
            </w:r>
          </w:p>
        </w:tc>
      </w:tr>
    </w:tbl>
    <w:p w14:paraId="7C674774" w14:textId="77777777" w:rsidR="00685752" w:rsidRDefault="00685752" w:rsidP="00CD363C">
      <w:pPr>
        <w:pStyle w:val="Sarakstarindkopa"/>
        <w:widowControl w:val="0"/>
        <w:numPr>
          <w:ilvl w:val="1"/>
          <w:numId w:val="2"/>
        </w:numPr>
        <w:tabs>
          <w:tab w:val="left" w:pos="370"/>
        </w:tabs>
        <w:autoSpaceDE w:val="0"/>
        <w:autoSpaceDN w:val="0"/>
        <w:spacing w:after="0" w:line="240" w:lineRule="auto"/>
        <w:ind w:left="369" w:right="-66" w:hanging="151"/>
        <w:contextualSpacing w:val="0"/>
        <w:jc w:val="both"/>
        <w:rPr>
          <w:i/>
          <w:sz w:val="20"/>
        </w:rPr>
      </w:pPr>
      <w:r>
        <w:rPr>
          <w:i/>
          <w:sz w:val="20"/>
        </w:rPr>
        <w:t>budžeta iestāde ir PVN</w:t>
      </w:r>
      <w:r>
        <w:rPr>
          <w:i/>
          <w:spacing w:val="-4"/>
          <w:sz w:val="20"/>
        </w:rPr>
        <w:t xml:space="preserve"> </w:t>
      </w:r>
      <w:r>
        <w:rPr>
          <w:i/>
          <w:sz w:val="20"/>
        </w:rPr>
        <w:t>maksātāja</w:t>
      </w:r>
    </w:p>
    <w:p w14:paraId="212D1824" w14:textId="77777777" w:rsidR="00685752" w:rsidRDefault="00685752" w:rsidP="00CD363C">
      <w:pPr>
        <w:pStyle w:val="Pamatteksts"/>
        <w:ind w:right="-66"/>
        <w:jc w:val="both"/>
      </w:pPr>
      <w:r>
        <w:t>Budžeta iestāde 2020. gada 20. janvārī apmaksā saņemto rēķinu un veic sekojošu grāmatojumu:</w:t>
      </w:r>
    </w:p>
    <w:p w14:paraId="5A03DF3D" w14:textId="77777777" w:rsidR="00685752" w:rsidRDefault="00685752" w:rsidP="00CD363C">
      <w:pPr>
        <w:pStyle w:val="Pamatteksts"/>
        <w:ind w:right="-66"/>
        <w:jc w:val="both"/>
        <w:rPr>
          <w:sz w:val="20"/>
        </w:rPr>
      </w:pPr>
    </w:p>
    <w:p w14:paraId="61980FE8" w14:textId="77777777" w:rsidR="00685752" w:rsidRDefault="00685752" w:rsidP="00CD363C">
      <w:pPr>
        <w:pStyle w:val="Pamatteksts"/>
        <w:ind w:right="-66"/>
        <w:jc w:val="both"/>
        <w:rPr>
          <w:sz w:val="1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4D4EE463" w14:textId="77777777" w:rsidTr="00195A06">
        <w:trPr>
          <w:trHeight w:val="541"/>
        </w:trPr>
        <w:tc>
          <w:tcPr>
            <w:tcW w:w="689" w:type="dxa"/>
          </w:tcPr>
          <w:p w14:paraId="21A734F0" w14:textId="77777777" w:rsidR="00685752" w:rsidRDefault="00685752" w:rsidP="00CD363C">
            <w:pPr>
              <w:pStyle w:val="TableParagraph"/>
              <w:ind w:left="200" w:right="-66"/>
              <w:jc w:val="both"/>
              <w:rPr>
                <w:i/>
              </w:rPr>
            </w:pPr>
            <w:r>
              <w:rPr>
                <w:i/>
              </w:rPr>
              <w:t>D</w:t>
            </w:r>
          </w:p>
        </w:tc>
        <w:tc>
          <w:tcPr>
            <w:tcW w:w="1063" w:type="dxa"/>
          </w:tcPr>
          <w:p w14:paraId="26A6A61E" w14:textId="77777777" w:rsidR="00685752" w:rsidRDefault="00685752" w:rsidP="00CD363C">
            <w:pPr>
              <w:pStyle w:val="TableParagraph"/>
              <w:ind w:right="-66"/>
              <w:jc w:val="both"/>
              <w:rPr>
                <w:i/>
              </w:rPr>
            </w:pPr>
            <w:r>
              <w:rPr>
                <w:i/>
              </w:rPr>
              <w:t>5310</w:t>
            </w:r>
          </w:p>
        </w:tc>
        <w:tc>
          <w:tcPr>
            <w:tcW w:w="4124" w:type="dxa"/>
          </w:tcPr>
          <w:p w14:paraId="623F98F3" w14:textId="77777777" w:rsidR="00685752" w:rsidRDefault="00685752" w:rsidP="00CD363C">
            <w:pPr>
              <w:pStyle w:val="TableParagraph"/>
              <w:ind w:left="291" w:right="-66"/>
              <w:jc w:val="both"/>
              <w:rPr>
                <w:i/>
              </w:rPr>
            </w:pPr>
            <w:r>
              <w:rPr>
                <w:i/>
              </w:rPr>
              <w:t>Īstermiņa saistības pret piegādātājiem un darbuzņēmējiem</w:t>
            </w:r>
          </w:p>
        </w:tc>
        <w:tc>
          <w:tcPr>
            <w:tcW w:w="1427" w:type="dxa"/>
          </w:tcPr>
          <w:p w14:paraId="3CDB8A21" w14:textId="77777777" w:rsidR="00685752" w:rsidRDefault="00685752" w:rsidP="00CD363C">
            <w:pPr>
              <w:pStyle w:val="TableParagraph"/>
              <w:ind w:left="135" w:right="-66"/>
              <w:jc w:val="both"/>
              <w:rPr>
                <w:i/>
              </w:rPr>
            </w:pPr>
            <w:r>
              <w:rPr>
                <w:i/>
              </w:rPr>
              <w:t>180,00 EUR</w:t>
            </w:r>
          </w:p>
        </w:tc>
      </w:tr>
      <w:tr w:rsidR="00685752" w14:paraId="3DD8E40F" w14:textId="77777777" w:rsidTr="00195A06">
        <w:trPr>
          <w:trHeight w:val="541"/>
        </w:trPr>
        <w:tc>
          <w:tcPr>
            <w:tcW w:w="689" w:type="dxa"/>
          </w:tcPr>
          <w:p w14:paraId="669C7FFB" w14:textId="77777777" w:rsidR="00685752" w:rsidRDefault="00685752" w:rsidP="00CD363C">
            <w:pPr>
              <w:pStyle w:val="TableParagraph"/>
              <w:ind w:left="200" w:right="-66"/>
              <w:jc w:val="both"/>
              <w:rPr>
                <w:i/>
              </w:rPr>
            </w:pPr>
            <w:r>
              <w:rPr>
                <w:i/>
              </w:rPr>
              <w:t>K</w:t>
            </w:r>
          </w:p>
        </w:tc>
        <w:tc>
          <w:tcPr>
            <w:tcW w:w="1063" w:type="dxa"/>
          </w:tcPr>
          <w:p w14:paraId="1CE6AE1B" w14:textId="77777777" w:rsidR="00685752" w:rsidRDefault="00685752" w:rsidP="00CD363C">
            <w:pPr>
              <w:pStyle w:val="TableParagraph"/>
              <w:ind w:right="-66"/>
              <w:jc w:val="both"/>
              <w:rPr>
                <w:i/>
              </w:rPr>
            </w:pPr>
            <w:r>
              <w:rPr>
                <w:i/>
              </w:rPr>
              <w:t>2620</w:t>
            </w:r>
          </w:p>
        </w:tc>
        <w:tc>
          <w:tcPr>
            <w:tcW w:w="4124" w:type="dxa"/>
          </w:tcPr>
          <w:p w14:paraId="58B20731" w14:textId="77777777" w:rsidR="00685752" w:rsidRDefault="00685752" w:rsidP="00CD363C">
            <w:pPr>
              <w:pStyle w:val="TableParagraph"/>
              <w:tabs>
                <w:tab w:val="left" w:pos="1421"/>
                <w:tab w:val="left" w:pos="2172"/>
                <w:tab w:val="left" w:pos="3016"/>
                <w:tab w:val="left" w:pos="3719"/>
              </w:tabs>
              <w:ind w:left="291" w:right="-66"/>
              <w:jc w:val="both"/>
              <w:rPr>
                <w:i/>
              </w:rPr>
            </w:pPr>
            <w:r>
              <w:rPr>
                <w:i/>
              </w:rPr>
              <w:t>Norēķinu</w:t>
            </w:r>
            <w:r>
              <w:rPr>
                <w:i/>
              </w:rPr>
              <w:tab/>
              <w:t>konti</w:t>
            </w:r>
            <w:r>
              <w:rPr>
                <w:i/>
              </w:rPr>
              <w:tab/>
              <w:t>Valsts</w:t>
            </w:r>
            <w:r>
              <w:rPr>
                <w:i/>
              </w:rPr>
              <w:tab/>
              <w:t>kasē</w:t>
            </w:r>
            <w:r>
              <w:rPr>
                <w:i/>
              </w:rPr>
              <w:tab/>
              <w:t>vai kredītiestādēs</w:t>
            </w:r>
          </w:p>
        </w:tc>
        <w:tc>
          <w:tcPr>
            <w:tcW w:w="1427" w:type="dxa"/>
          </w:tcPr>
          <w:p w14:paraId="40CAC448" w14:textId="77777777" w:rsidR="00685752" w:rsidRDefault="00685752" w:rsidP="00CD363C">
            <w:pPr>
              <w:pStyle w:val="TableParagraph"/>
              <w:ind w:left="135" w:right="-66"/>
              <w:jc w:val="both"/>
              <w:rPr>
                <w:i/>
              </w:rPr>
            </w:pPr>
            <w:r>
              <w:rPr>
                <w:i/>
              </w:rPr>
              <w:t>180,00 EUR</w:t>
            </w:r>
          </w:p>
        </w:tc>
      </w:tr>
    </w:tbl>
    <w:p w14:paraId="44B1EE7D" w14:textId="77777777" w:rsidR="00685752" w:rsidRDefault="00685752" w:rsidP="00CD363C">
      <w:pPr>
        <w:pStyle w:val="Virsraksts4"/>
        <w:tabs>
          <w:tab w:val="left" w:pos="759"/>
        </w:tabs>
        <w:spacing w:before="0"/>
        <w:ind w:left="0" w:right="-66"/>
        <w:jc w:val="both"/>
        <w:rPr>
          <w:color w:val="002069"/>
        </w:rPr>
      </w:pPr>
    </w:p>
    <w:p w14:paraId="7916FF7B" w14:textId="77777777" w:rsidR="00685752" w:rsidRDefault="00685752" w:rsidP="00CD363C">
      <w:pPr>
        <w:pStyle w:val="Virsraksts4"/>
        <w:tabs>
          <w:tab w:val="left" w:pos="759"/>
        </w:tabs>
        <w:spacing w:before="0"/>
        <w:ind w:left="0" w:right="-66"/>
        <w:jc w:val="both"/>
      </w:pPr>
      <w:r>
        <w:rPr>
          <w:color w:val="002069"/>
        </w:rPr>
        <w:t>702.2.Piemērs – uzkrāto saistību</w:t>
      </w:r>
      <w:r>
        <w:rPr>
          <w:color w:val="002069"/>
          <w:spacing w:val="-6"/>
        </w:rPr>
        <w:t xml:space="preserve"> </w:t>
      </w:r>
      <w:r>
        <w:rPr>
          <w:color w:val="002069"/>
        </w:rPr>
        <w:t>uzskaite</w:t>
      </w:r>
    </w:p>
    <w:p w14:paraId="02541C3B" w14:textId="77777777" w:rsidR="00685752" w:rsidRDefault="00685752" w:rsidP="00CD363C">
      <w:pPr>
        <w:pStyle w:val="Pamatteksts"/>
        <w:ind w:right="-66"/>
        <w:jc w:val="both"/>
      </w:pPr>
      <w:r>
        <w:t>Budžeta iestāde saņem atkritumu apsaimniekošanas pakalpojumus un katru mēnesi apmaksā saņemtos rēķinus</w:t>
      </w:r>
      <w:r>
        <w:rPr>
          <w:spacing w:val="-11"/>
        </w:rPr>
        <w:t xml:space="preserve"> </w:t>
      </w:r>
      <w:r>
        <w:t>par</w:t>
      </w:r>
      <w:r>
        <w:rPr>
          <w:spacing w:val="-10"/>
        </w:rPr>
        <w:t xml:space="preserve"> </w:t>
      </w:r>
      <w:r>
        <w:t>atkritumu</w:t>
      </w:r>
      <w:r>
        <w:rPr>
          <w:spacing w:val="-9"/>
        </w:rPr>
        <w:t xml:space="preserve"> </w:t>
      </w:r>
      <w:r>
        <w:t>apsaimniekošanu</w:t>
      </w:r>
      <w:r>
        <w:rPr>
          <w:spacing w:val="-10"/>
        </w:rPr>
        <w:t xml:space="preserve"> </w:t>
      </w:r>
      <w:r>
        <w:t>vidēji</w:t>
      </w:r>
      <w:r>
        <w:rPr>
          <w:spacing w:val="-10"/>
        </w:rPr>
        <w:t xml:space="preserve"> </w:t>
      </w:r>
      <w:r>
        <w:t>120,00</w:t>
      </w:r>
      <w:r>
        <w:rPr>
          <w:spacing w:val="-9"/>
        </w:rPr>
        <w:t xml:space="preserve"> </w:t>
      </w:r>
      <w:r>
        <w:t>EUR</w:t>
      </w:r>
      <w:r>
        <w:rPr>
          <w:spacing w:val="-9"/>
        </w:rPr>
        <w:t xml:space="preserve"> </w:t>
      </w:r>
      <w:r>
        <w:t>apmērā.</w:t>
      </w:r>
      <w:r>
        <w:rPr>
          <w:spacing w:val="-6"/>
        </w:rPr>
        <w:t xml:space="preserve"> </w:t>
      </w:r>
      <w:r>
        <w:t>Līdz</w:t>
      </w:r>
      <w:r>
        <w:rPr>
          <w:spacing w:val="-10"/>
        </w:rPr>
        <w:t xml:space="preserve"> </w:t>
      </w:r>
      <w:r>
        <w:t>2019.</w:t>
      </w:r>
      <w:r>
        <w:rPr>
          <w:spacing w:val="-2"/>
        </w:rPr>
        <w:t xml:space="preserve"> </w:t>
      </w:r>
      <w:r>
        <w:t>gada</w:t>
      </w:r>
      <w:r>
        <w:rPr>
          <w:spacing w:val="-8"/>
        </w:rPr>
        <w:t xml:space="preserve"> </w:t>
      </w:r>
      <w:r>
        <w:t>31.</w:t>
      </w:r>
      <w:r>
        <w:rPr>
          <w:spacing w:val="-1"/>
        </w:rPr>
        <w:t xml:space="preserve"> </w:t>
      </w:r>
      <w:r>
        <w:t>decembrim</w:t>
      </w:r>
      <w:r>
        <w:rPr>
          <w:spacing w:val="-13"/>
        </w:rPr>
        <w:t xml:space="preserve"> </w:t>
      </w:r>
      <w:r>
        <w:t>budžeta iestāde rēķinu par atkritumu apsaimniekošanu decembrī vēl nav saņēmusi no pakalpojuma</w:t>
      </w:r>
      <w:r>
        <w:rPr>
          <w:spacing w:val="-25"/>
        </w:rPr>
        <w:t xml:space="preserve"> </w:t>
      </w:r>
      <w:r>
        <w:t>sniedzēja.</w:t>
      </w:r>
    </w:p>
    <w:p w14:paraId="6FCBB15D" w14:textId="77777777" w:rsidR="00685752" w:rsidRDefault="00685752" w:rsidP="00CD363C">
      <w:pPr>
        <w:pStyle w:val="Pamatteksts"/>
        <w:ind w:right="-66"/>
        <w:jc w:val="both"/>
      </w:pPr>
      <w:r>
        <w:t>Pakalpojumu</w:t>
      </w:r>
      <w:r>
        <w:rPr>
          <w:spacing w:val="-11"/>
        </w:rPr>
        <w:t xml:space="preserve"> </w:t>
      </w:r>
      <w:r>
        <w:t>sniedzējs</w:t>
      </w:r>
      <w:r>
        <w:rPr>
          <w:spacing w:val="-13"/>
        </w:rPr>
        <w:t xml:space="preserve"> </w:t>
      </w:r>
      <w:r>
        <w:t>rēķinu</w:t>
      </w:r>
      <w:r>
        <w:rPr>
          <w:spacing w:val="-11"/>
        </w:rPr>
        <w:t xml:space="preserve"> </w:t>
      </w:r>
      <w:r>
        <w:t>par</w:t>
      </w:r>
      <w:r>
        <w:rPr>
          <w:spacing w:val="-10"/>
        </w:rPr>
        <w:t xml:space="preserve"> </w:t>
      </w:r>
      <w:r>
        <w:t>2019.</w:t>
      </w:r>
      <w:r>
        <w:rPr>
          <w:spacing w:val="-1"/>
        </w:rPr>
        <w:t xml:space="preserve"> </w:t>
      </w:r>
      <w:r>
        <w:t>gada</w:t>
      </w:r>
      <w:r>
        <w:rPr>
          <w:spacing w:val="-10"/>
        </w:rPr>
        <w:t xml:space="preserve"> </w:t>
      </w:r>
      <w:r>
        <w:t>decembri</w:t>
      </w:r>
      <w:r>
        <w:rPr>
          <w:spacing w:val="-12"/>
        </w:rPr>
        <w:t xml:space="preserve"> </w:t>
      </w:r>
      <w:r>
        <w:t>sniegs</w:t>
      </w:r>
      <w:r>
        <w:rPr>
          <w:spacing w:val="-10"/>
        </w:rPr>
        <w:t xml:space="preserve"> </w:t>
      </w:r>
      <w:r>
        <w:t>līdz</w:t>
      </w:r>
      <w:r>
        <w:rPr>
          <w:spacing w:val="-11"/>
        </w:rPr>
        <w:t xml:space="preserve"> </w:t>
      </w:r>
      <w:r>
        <w:t>2020.</w:t>
      </w:r>
      <w:r>
        <w:rPr>
          <w:spacing w:val="-1"/>
        </w:rPr>
        <w:t xml:space="preserve"> </w:t>
      </w:r>
      <w:r>
        <w:t>gada</w:t>
      </w:r>
      <w:r>
        <w:rPr>
          <w:spacing w:val="-10"/>
        </w:rPr>
        <w:t xml:space="preserve"> </w:t>
      </w:r>
      <w:r>
        <w:t>25.</w:t>
      </w:r>
      <w:r>
        <w:rPr>
          <w:spacing w:val="-6"/>
        </w:rPr>
        <w:t xml:space="preserve"> </w:t>
      </w:r>
      <w:r>
        <w:t>janvārim.</w:t>
      </w:r>
      <w:r>
        <w:rPr>
          <w:spacing w:val="-11"/>
        </w:rPr>
        <w:t xml:space="preserve"> </w:t>
      </w:r>
      <w:r>
        <w:t>Budžeta</w:t>
      </w:r>
      <w:r>
        <w:rPr>
          <w:spacing w:val="-10"/>
        </w:rPr>
        <w:t xml:space="preserve"> </w:t>
      </w:r>
      <w:r>
        <w:t>iestāde nav PVN</w:t>
      </w:r>
      <w:r>
        <w:rPr>
          <w:spacing w:val="-4"/>
        </w:rPr>
        <w:t xml:space="preserve"> </w:t>
      </w:r>
      <w:r>
        <w:t>maksātāja.</w:t>
      </w:r>
    </w:p>
    <w:p w14:paraId="746023E3" w14:textId="77777777" w:rsidR="00685752" w:rsidRDefault="00685752" w:rsidP="00CD363C">
      <w:pPr>
        <w:pStyle w:val="Pamatteksts"/>
        <w:ind w:left="218" w:right="-66"/>
        <w:jc w:val="both"/>
      </w:pPr>
      <w:r>
        <w:t>Budžeta iestāde 2019. gada 31. decembrī atzīst uzkrātās saistības, balstoties uz vēsturisko pieredzi.</w:t>
      </w:r>
    </w:p>
    <w:p w14:paraId="274DA9FC" w14:textId="77777777" w:rsidR="00685752" w:rsidRDefault="00685752" w:rsidP="00CD363C">
      <w:pPr>
        <w:pStyle w:val="Pamatteksts"/>
        <w:ind w:right="-66"/>
        <w:jc w:val="both"/>
        <w:rPr>
          <w:sz w:val="24"/>
        </w:rPr>
      </w:pPr>
    </w:p>
    <w:p w14:paraId="697EFF63" w14:textId="77777777" w:rsidR="00685752" w:rsidRDefault="00685752" w:rsidP="00CD363C">
      <w:pPr>
        <w:pStyle w:val="Pamatteksts"/>
        <w:ind w:right="-66"/>
        <w:jc w:val="both"/>
        <w:rPr>
          <w:sz w:val="31"/>
        </w:rPr>
      </w:pPr>
    </w:p>
    <w:p w14:paraId="481866CF" w14:textId="77777777" w:rsidR="00685752" w:rsidRDefault="00685752" w:rsidP="00CD363C">
      <w:pPr>
        <w:spacing w:after="0" w:line="240" w:lineRule="auto"/>
        <w:ind w:left="218" w:right="-66"/>
        <w:jc w:val="both"/>
        <w:rPr>
          <w:i/>
        </w:rPr>
      </w:pPr>
      <w:r>
        <w:rPr>
          <w:i/>
        </w:rPr>
        <w:t>Grāmatojums, atzīstot uzkrātās saistības 2019. gada 31. decembrī:</w:t>
      </w:r>
    </w:p>
    <w:p w14:paraId="6B2CF7FA" w14:textId="77777777" w:rsidR="00685752" w:rsidRDefault="00685752" w:rsidP="00CD363C">
      <w:pPr>
        <w:pStyle w:val="Pamatteksts"/>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0524E79B" w14:textId="77777777" w:rsidTr="00195A06">
        <w:trPr>
          <w:trHeight w:val="287"/>
        </w:trPr>
        <w:tc>
          <w:tcPr>
            <w:tcW w:w="689" w:type="dxa"/>
          </w:tcPr>
          <w:p w14:paraId="3732176D" w14:textId="77777777" w:rsidR="00685752" w:rsidRDefault="00685752" w:rsidP="00CD363C">
            <w:pPr>
              <w:pStyle w:val="TableParagraph"/>
              <w:ind w:left="200" w:right="-66"/>
              <w:jc w:val="both"/>
              <w:rPr>
                <w:i/>
              </w:rPr>
            </w:pPr>
            <w:r>
              <w:rPr>
                <w:i/>
              </w:rPr>
              <w:t>D</w:t>
            </w:r>
          </w:p>
        </w:tc>
        <w:tc>
          <w:tcPr>
            <w:tcW w:w="1063" w:type="dxa"/>
          </w:tcPr>
          <w:p w14:paraId="17B96FC4" w14:textId="77777777" w:rsidR="00685752" w:rsidRDefault="00685752" w:rsidP="00CD363C">
            <w:pPr>
              <w:pStyle w:val="TableParagraph"/>
              <w:ind w:right="-66"/>
              <w:jc w:val="both"/>
              <w:rPr>
                <w:i/>
              </w:rPr>
            </w:pPr>
            <w:r>
              <w:rPr>
                <w:i/>
              </w:rPr>
              <w:t>7000</w:t>
            </w:r>
          </w:p>
        </w:tc>
        <w:tc>
          <w:tcPr>
            <w:tcW w:w="4124" w:type="dxa"/>
          </w:tcPr>
          <w:p w14:paraId="40016A66" w14:textId="77777777" w:rsidR="00685752" w:rsidRDefault="00685752" w:rsidP="00CD363C">
            <w:pPr>
              <w:pStyle w:val="TableParagraph"/>
              <w:ind w:left="291" w:right="-66"/>
              <w:jc w:val="both"/>
              <w:rPr>
                <w:i/>
              </w:rPr>
            </w:pPr>
            <w:r>
              <w:rPr>
                <w:i/>
              </w:rPr>
              <w:t>Pamatdarbības izdevumi</w:t>
            </w:r>
          </w:p>
        </w:tc>
        <w:tc>
          <w:tcPr>
            <w:tcW w:w="1427" w:type="dxa"/>
          </w:tcPr>
          <w:p w14:paraId="115BADBD" w14:textId="77777777" w:rsidR="00685752" w:rsidRDefault="00685752" w:rsidP="00CD363C">
            <w:pPr>
              <w:pStyle w:val="TableParagraph"/>
              <w:ind w:left="135" w:right="-66"/>
              <w:jc w:val="both"/>
              <w:rPr>
                <w:i/>
              </w:rPr>
            </w:pPr>
            <w:r>
              <w:rPr>
                <w:i/>
              </w:rPr>
              <w:t>120,00 EUR</w:t>
            </w:r>
          </w:p>
        </w:tc>
      </w:tr>
      <w:tr w:rsidR="00685752" w14:paraId="12D9787D" w14:textId="77777777" w:rsidTr="00195A06">
        <w:trPr>
          <w:trHeight w:val="539"/>
        </w:trPr>
        <w:tc>
          <w:tcPr>
            <w:tcW w:w="689" w:type="dxa"/>
          </w:tcPr>
          <w:p w14:paraId="73D5E4C5" w14:textId="77777777" w:rsidR="00685752" w:rsidRDefault="00685752" w:rsidP="00CD363C">
            <w:pPr>
              <w:pStyle w:val="TableParagraph"/>
              <w:ind w:left="200" w:right="-66"/>
              <w:jc w:val="both"/>
              <w:rPr>
                <w:i/>
              </w:rPr>
            </w:pPr>
            <w:r>
              <w:rPr>
                <w:i/>
              </w:rPr>
              <w:t>K</w:t>
            </w:r>
          </w:p>
        </w:tc>
        <w:tc>
          <w:tcPr>
            <w:tcW w:w="1063" w:type="dxa"/>
          </w:tcPr>
          <w:p w14:paraId="6FB653FF" w14:textId="77777777" w:rsidR="00685752" w:rsidRDefault="00685752" w:rsidP="00CD363C">
            <w:pPr>
              <w:pStyle w:val="TableParagraph"/>
              <w:ind w:right="-66"/>
              <w:jc w:val="both"/>
              <w:rPr>
                <w:i/>
              </w:rPr>
            </w:pPr>
            <w:r>
              <w:rPr>
                <w:i/>
              </w:rPr>
              <w:t>5424</w:t>
            </w:r>
          </w:p>
        </w:tc>
        <w:tc>
          <w:tcPr>
            <w:tcW w:w="4124" w:type="dxa"/>
          </w:tcPr>
          <w:p w14:paraId="40C15659"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27" w:type="dxa"/>
          </w:tcPr>
          <w:p w14:paraId="541A5FC9" w14:textId="77777777" w:rsidR="00685752" w:rsidRDefault="00685752" w:rsidP="00CD363C">
            <w:pPr>
              <w:pStyle w:val="TableParagraph"/>
              <w:ind w:left="135" w:right="-66"/>
              <w:jc w:val="both"/>
              <w:rPr>
                <w:i/>
              </w:rPr>
            </w:pPr>
            <w:r>
              <w:rPr>
                <w:i/>
              </w:rPr>
              <w:t>120,00 EUR</w:t>
            </w:r>
          </w:p>
        </w:tc>
      </w:tr>
    </w:tbl>
    <w:p w14:paraId="3BF01E6A" w14:textId="77777777" w:rsidR="00685752" w:rsidRDefault="00685752" w:rsidP="00CD363C">
      <w:pPr>
        <w:pStyle w:val="Pamatteksts"/>
        <w:ind w:right="-66"/>
        <w:jc w:val="both"/>
        <w:rPr>
          <w:i/>
          <w:sz w:val="24"/>
        </w:rPr>
      </w:pPr>
    </w:p>
    <w:p w14:paraId="05CB9B88" w14:textId="77777777" w:rsidR="00685752" w:rsidRDefault="00685752" w:rsidP="00CD363C">
      <w:pPr>
        <w:pStyle w:val="Pamatteksts"/>
        <w:ind w:right="-66"/>
        <w:jc w:val="both"/>
      </w:pPr>
      <w:r>
        <w:t>2020. gada 25. janvārī budžeta iestāde saņem rēķinu no pakalpojuma sniedzēja un samazina iepriekšējā pārskata periodā atzītās uzkrātās saistības un atzīst saistības pret pakalpojuma sniedzēju.</w:t>
      </w:r>
    </w:p>
    <w:p w14:paraId="6F1A6DC5" w14:textId="77777777" w:rsidR="00685752" w:rsidRDefault="00685752" w:rsidP="00CD363C">
      <w:pPr>
        <w:spacing w:after="0" w:line="240" w:lineRule="auto"/>
        <w:ind w:right="-66"/>
        <w:jc w:val="both"/>
        <w:rPr>
          <w:i/>
        </w:rPr>
      </w:pPr>
      <w:r>
        <w:rPr>
          <w:i/>
        </w:rPr>
        <w:t xml:space="preserve">    Grāmatojums, saņemot rēķinu 2020. gada 25. janvārī:</w:t>
      </w:r>
    </w:p>
    <w:p w14:paraId="63F215B3" w14:textId="77777777" w:rsidR="00685752" w:rsidRDefault="00685752" w:rsidP="00CD363C">
      <w:pPr>
        <w:pStyle w:val="Pamatteksts"/>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76ED2C70" w14:textId="77777777" w:rsidTr="00195A06">
        <w:trPr>
          <w:trHeight w:val="541"/>
        </w:trPr>
        <w:tc>
          <w:tcPr>
            <w:tcW w:w="689" w:type="dxa"/>
          </w:tcPr>
          <w:p w14:paraId="59376D09" w14:textId="77777777" w:rsidR="00685752" w:rsidRDefault="00685752" w:rsidP="00CD363C">
            <w:pPr>
              <w:pStyle w:val="TableParagraph"/>
              <w:ind w:left="200" w:right="-66"/>
              <w:jc w:val="both"/>
              <w:rPr>
                <w:i/>
              </w:rPr>
            </w:pPr>
            <w:r>
              <w:rPr>
                <w:i/>
              </w:rPr>
              <w:t>D</w:t>
            </w:r>
          </w:p>
        </w:tc>
        <w:tc>
          <w:tcPr>
            <w:tcW w:w="1063" w:type="dxa"/>
          </w:tcPr>
          <w:p w14:paraId="3E5ED985" w14:textId="77777777" w:rsidR="00685752" w:rsidRDefault="00685752" w:rsidP="00CD363C">
            <w:pPr>
              <w:pStyle w:val="TableParagraph"/>
              <w:ind w:right="-66"/>
              <w:jc w:val="both"/>
              <w:rPr>
                <w:i/>
              </w:rPr>
            </w:pPr>
            <w:r>
              <w:rPr>
                <w:i/>
              </w:rPr>
              <w:t>5424</w:t>
            </w:r>
          </w:p>
        </w:tc>
        <w:tc>
          <w:tcPr>
            <w:tcW w:w="4124" w:type="dxa"/>
          </w:tcPr>
          <w:p w14:paraId="57CBA8B1"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27" w:type="dxa"/>
          </w:tcPr>
          <w:p w14:paraId="3B13854A" w14:textId="77777777" w:rsidR="00685752" w:rsidRDefault="00685752" w:rsidP="00CD363C">
            <w:pPr>
              <w:pStyle w:val="TableParagraph"/>
              <w:ind w:left="135" w:right="-66"/>
              <w:jc w:val="both"/>
              <w:rPr>
                <w:i/>
              </w:rPr>
            </w:pPr>
            <w:r>
              <w:rPr>
                <w:i/>
              </w:rPr>
              <w:t>120,00 EUR</w:t>
            </w:r>
          </w:p>
        </w:tc>
      </w:tr>
      <w:tr w:rsidR="00685752" w14:paraId="0D2A1041" w14:textId="77777777" w:rsidTr="00195A06">
        <w:trPr>
          <w:trHeight w:val="541"/>
        </w:trPr>
        <w:tc>
          <w:tcPr>
            <w:tcW w:w="689" w:type="dxa"/>
          </w:tcPr>
          <w:p w14:paraId="03CECC9D" w14:textId="77777777" w:rsidR="00685752" w:rsidRDefault="00685752" w:rsidP="00CD363C">
            <w:pPr>
              <w:pStyle w:val="TableParagraph"/>
              <w:ind w:left="200" w:right="-66"/>
              <w:jc w:val="both"/>
              <w:rPr>
                <w:i/>
              </w:rPr>
            </w:pPr>
            <w:r>
              <w:rPr>
                <w:i/>
              </w:rPr>
              <w:t>K</w:t>
            </w:r>
          </w:p>
        </w:tc>
        <w:tc>
          <w:tcPr>
            <w:tcW w:w="1063" w:type="dxa"/>
          </w:tcPr>
          <w:p w14:paraId="2F8C4355" w14:textId="77777777" w:rsidR="00685752" w:rsidRDefault="00685752" w:rsidP="00CD363C">
            <w:pPr>
              <w:pStyle w:val="TableParagraph"/>
              <w:ind w:right="-66"/>
              <w:jc w:val="both"/>
              <w:rPr>
                <w:i/>
              </w:rPr>
            </w:pPr>
            <w:r>
              <w:rPr>
                <w:i/>
              </w:rPr>
              <w:t>5310</w:t>
            </w:r>
          </w:p>
        </w:tc>
        <w:tc>
          <w:tcPr>
            <w:tcW w:w="4124" w:type="dxa"/>
          </w:tcPr>
          <w:p w14:paraId="32FFD25F" w14:textId="77777777" w:rsidR="00685752" w:rsidRDefault="00685752" w:rsidP="00CD363C">
            <w:pPr>
              <w:pStyle w:val="TableParagraph"/>
              <w:ind w:left="291" w:right="-66"/>
              <w:jc w:val="both"/>
              <w:rPr>
                <w:i/>
              </w:rPr>
            </w:pPr>
            <w:r>
              <w:rPr>
                <w:i/>
              </w:rPr>
              <w:t>Īstermiņa saistības pret piegādātājiem un darbuzņēmējiem</w:t>
            </w:r>
          </w:p>
        </w:tc>
        <w:tc>
          <w:tcPr>
            <w:tcW w:w="1427" w:type="dxa"/>
          </w:tcPr>
          <w:p w14:paraId="1B364CB9" w14:textId="77777777" w:rsidR="00685752" w:rsidRDefault="00685752" w:rsidP="00CD363C">
            <w:pPr>
              <w:pStyle w:val="TableParagraph"/>
              <w:ind w:left="135" w:right="-66"/>
              <w:jc w:val="both"/>
              <w:rPr>
                <w:i/>
              </w:rPr>
            </w:pPr>
            <w:r>
              <w:rPr>
                <w:i/>
              </w:rPr>
              <w:t>120,00 EUR</w:t>
            </w:r>
          </w:p>
        </w:tc>
      </w:tr>
    </w:tbl>
    <w:p w14:paraId="21BE4630" w14:textId="77777777" w:rsidR="00685752" w:rsidRDefault="00685752" w:rsidP="00CD363C">
      <w:pPr>
        <w:pStyle w:val="Pamatteksts"/>
        <w:ind w:right="-66"/>
        <w:jc w:val="both"/>
        <w:rPr>
          <w:i/>
          <w:sz w:val="24"/>
        </w:rPr>
      </w:pPr>
    </w:p>
    <w:p w14:paraId="1B97583C" w14:textId="77777777" w:rsidR="00685752" w:rsidRDefault="00685752" w:rsidP="00CD363C">
      <w:pPr>
        <w:pStyle w:val="Virsraksts4"/>
        <w:tabs>
          <w:tab w:val="left" w:pos="759"/>
        </w:tabs>
        <w:spacing w:before="0"/>
        <w:ind w:left="0" w:right="-66"/>
        <w:jc w:val="both"/>
      </w:pPr>
      <w:bookmarkStart w:id="67" w:name="10.3._Piemērs_–_nākamo_periodu_ieņēmumu_"/>
      <w:bookmarkStart w:id="68" w:name="_bookmark252"/>
      <w:bookmarkEnd w:id="67"/>
      <w:bookmarkEnd w:id="68"/>
      <w:r>
        <w:rPr>
          <w:color w:val="002069"/>
        </w:rPr>
        <w:t>702.3. Piemērs – nākamo periodu ieņēmumu</w:t>
      </w:r>
      <w:r>
        <w:rPr>
          <w:color w:val="002069"/>
          <w:spacing w:val="-5"/>
        </w:rPr>
        <w:t xml:space="preserve"> </w:t>
      </w:r>
      <w:r>
        <w:rPr>
          <w:color w:val="002069"/>
        </w:rPr>
        <w:t>uzskaite</w:t>
      </w:r>
    </w:p>
    <w:p w14:paraId="1820C380" w14:textId="77777777" w:rsidR="00685752" w:rsidRDefault="00685752" w:rsidP="00CD363C">
      <w:pPr>
        <w:pStyle w:val="Pamatteksts"/>
        <w:ind w:right="-66"/>
        <w:jc w:val="both"/>
      </w:pPr>
      <w:r>
        <w:t>Budžeta iestāde 2019. gada 19. decembrī ir noslēgusi līgumu par pakalpojumu sniegšanu periodā 01.01.2020.- 28.02.2020. par kopējo summu 10 000,00 EUR. 2019. gada 19. decembrī budžeta iestāde izraksta priekšapmaksas rēķinu par kopējo pakalpojuma summu. 2019. gada 20. decembrī tiek saņemta rēķina pilna apmaksa.</w:t>
      </w:r>
    </w:p>
    <w:p w14:paraId="3BF8C6D7" w14:textId="77777777" w:rsidR="00685752" w:rsidRDefault="00685752" w:rsidP="00CD363C">
      <w:pPr>
        <w:spacing w:after="0" w:line="240" w:lineRule="auto"/>
        <w:ind w:left="218" w:right="-66"/>
        <w:jc w:val="both"/>
        <w:rPr>
          <w:i/>
        </w:rPr>
      </w:pPr>
      <w:r>
        <w:rPr>
          <w:i/>
        </w:rPr>
        <w:t>Grāmatojums, saņemot rēķina apmaksu 2019.gada 20.decembrī:</w:t>
      </w:r>
    </w:p>
    <w:p w14:paraId="51F0E891" w14:textId="77777777" w:rsidR="00685752" w:rsidRDefault="00685752" w:rsidP="00CD363C">
      <w:pPr>
        <w:pStyle w:val="Pamatteksts"/>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5"/>
        <w:gridCol w:w="1702"/>
      </w:tblGrid>
      <w:tr w:rsidR="00685752" w14:paraId="6149154F" w14:textId="77777777" w:rsidTr="00195A06">
        <w:trPr>
          <w:trHeight w:val="541"/>
        </w:trPr>
        <w:tc>
          <w:tcPr>
            <w:tcW w:w="689" w:type="dxa"/>
          </w:tcPr>
          <w:p w14:paraId="2216E0F0" w14:textId="77777777" w:rsidR="00685752" w:rsidRDefault="00685752" w:rsidP="00CD363C">
            <w:pPr>
              <w:pStyle w:val="TableParagraph"/>
              <w:ind w:left="200" w:right="-66"/>
              <w:jc w:val="both"/>
              <w:rPr>
                <w:i/>
              </w:rPr>
            </w:pPr>
            <w:r>
              <w:rPr>
                <w:i/>
              </w:rPr>
              <w:t>D</w:t>
            </w:r>
          </w:p>
        </w:tc>
        <w:tc>
          <w:tcPr>
            <w:tcW w:w="1063" w:type="dxa"/>
          </w:tcPr>
          <w:p w14:paraId="62C01DFE" w14:textId="77777777" w:rsidR="00685752" w:rsidRDefault="00685752" w:rsidP="00CD363C">
            <w:pPr>
              <w:pStyle w:val="TableParagraph"/>
              <w:ind w:right="-66"/>
              <w:jc w:val="both"/>
              <w:rPr>
                <w:i/>
              </w:rPr>
            </w:pPr>
            <w:r>
              <w:rPr>
                <w:i/>
              </w:rPr>
              <w:t>2620</w:t>
            </w:r>
          </w:p>
        </w:tc>
        <w:tc>
          <w:tcPr>
            <w:tcW w:w="4125" w:type="dxa"/>
          </w:tcPr>
          <w:p w14:paraId="7F4B8C0F" w14:textId="77777777" w:rsidR="00685752" w:rsidRDefault="00685752" w:rsidP="00CD363C">
            <w:pPr>
              <w:pStyle w:val="TableParagraph"/>
              <w:ind w:left="291" w:right="-66"/>
              <w:jc w:val="both"/>
              <w:rPr>
                <w:i/>
              </w:rPr>
            </w:pPr>
            <w:r>
              <w:rPr>
                <w:i/>
              </w:rPr>
              <w:t>Norēķinu konti Valsts kasē, kredītiestādēs vai citās institūcijās</w:t>
            </w:r>
          </w:p>
        </w:tc>
        <w:tc>
          <w:tcPr>
            <w:tcW w:w="1702" w:type="dxa"/>
          </w:tcPr>
          <w:p w14:paraId="10492625" w14:textId="77777777" w:rsidR="00685752" w:rsidRDefault="00685752" w:rsidP="00CD363C">
            <w:pPr>
              <w:pStyle w:val="TableParagraph"/>
              <w:ind w:left="116" w:right="-66"/>
              <w:jc w:val="both"/>
              <w:rPr>
                <w:i/>
              </w:rPr>
            </w:pPr>
            <w:r>
              <w:rPr>
                <w:i/>
              </w:rPr>
              <w:t>10 000,00 EUR</w:t>
            </w:r>
          </w:p>
        </w:tc>
      </w:tr>
      <w:tr w:rsidR="00685752" w14:paraId="32F0C416" w14:textId="77777777" w:rsidTr="00195A06">
        <w:trPr>
          <w:trHeight w:val="541"/>
        </w:trPr>
        <w:tc>
          <w:tcPr>
            <w:tcW w:w="689" w:type="dxa"/>
          </w:tcPr>
          <w:p w14:paraId="4BC3568F" w14:textId="77777777" w:rsidR="00685752" w:rsidRDefault="00685752" w:rsidP="00CD363C">
            <w:pPr>
              <w:pStyle w:val="TableParagraph"/>
              <w:ind w:left="200" w:right="-66"/>
              <w:jc w:val="both"/>
              <w:rPr>
                <w:i/>
              </w:rPr>
            </w:pPr>
            <w:r>
              <w:rPr>
                <w:i/>
              </w:rPr>
              <w:t>K</w:t>
            </w:r>
          </w:p>
        </w:tc>
        <w:tc>
          <w:tcPr>
            <w:tcW w:w="1063" w:type="dxa"/>
          </w:tcPr>
          <w:p w14:paraId="1FDC8424" w14:textId="77777777" w:rsidR="00685752" w:rsidRDefault="00685752" w:rsidP="00CD363C">
            <w:pPr>
              <w:pStyle w:val="TableParagraph"/>
              <w:ind w:right="-66"/>
              <w:jc w:val="both"/>
              <w:rPr>
                <w:i/>
              </w:rPr>
            </w:pPr>
            <w:r>
              <w:rPr>
                <w:i/>
              </w:rPr>
              <w:t>5910</w:t>
            </w:r>
          </w:p>
        </w:tc>
        <w:tc>
          <w:tcPr>
            <w:tcW w:w="4125" w:type="dxa"/>
          </w:tcPr>
          <w:p w14:paraId="69C62AE6" w14:textId="77777777" w:rsidR="00685752" w:rsidRDefault="00685752" w:rsidP="00CD363C">
            <w:pPr>
              <w:pStyle w:val="TableParagraph"/>
              <w:ind w:left="291" w:right="-66"/>
              <w:jc w:val="both"/>
              <w:rPr>
                <w:i/>
              </w:rPr>
            </w:pPr>
            <w:r>
              <w:rPr>
                <w:i/>
              </w:rPr>
              <w:t>Nākamo periodu ieņēmumi un saņemtie avansa maksājumi</w:t>
            </w:r>
          </w:p>
        </w:tc>
        <w:tc>
          <w:tcPr>
            <w:tcW w:w="1702" w:type="dxa"/>
          </w:tcPr>
          <w:p w14:paraId="7268A0E1" w14:textId="77777777" w:rsidR="00685752" w:rsidRDefault="00685752" w:rsidP="00CD363C">
            <w:pPr>
              <w:pStyle w:val="TableParagraph"/>
              <w:ind w:left="116" w:right="-66"/>
              <w:jc w:val="both"/>
              <w:rPr>
                <w:i/>
              </w:rPr>
            </w:pPr>
            <w:r>
              <w:rPr>
                <w:i/>
              </w:rPr>
              <w:t>10 000,00 EUR</w:t>
            </w:r>
          </w:p>
        </w:tc>
      </w:tr>
    </w:tbl>
    <w:p w14:paraId="599F4CA5" w14:textId="77777777" w:rsidR="00685752" w:rsidRDefault="00685752" w:rsidP="00CD363C">
      <w:pPr>
        <w:pStyle w:val="Pamatteksts"/>
        <w:ind w:right="-66"/>
        <w:jc w:val="both"/>
        <w:rPr>
          <w:i/>
          <w:sz w:val="24"/>
        </w:rPr>
      </w:pPr>
    </w:p>
    <w:p w14:paraId="4F4C28D0" w14:textId="77777777" w:rsidR="00685752" w:rsidRDefault="00685752" w:rsidP="00CD363C">
      <w:pPr>
        <w:pStyle w:val="Pamatteksts"/>
        <w:ind w:right="-66"/>
        <w:jc w:val="both"/>
        <w:rPr>
          <w:i/>
          <w:sz w:val="24"/>
        </w:rPr>
      </w:pPr>
    </w:p>
    <w:p w14:paraId="37C6895B" w14:textId="77777777" w:rsidR="00685752" w:rsidRDefault="00685752" w:rsidP="00CD363C">
      <w:pPr>
        <w:pStyle w:val="Pamatteksts"/>
        <w:tabs>
          <w:tab w:val="left" w:pos="739"/>
          <w:tab w:val="left" w:pos="2084"/>
        </w:tabs>
        <w:ind w:left="218" w:right="-66"/>
        <w:jc w:val="both"/>
      </w:pPr>
      <w:r>
        <w:t>Pēc</w:t>
      </w:r>
      <w:r>
        <w:tab/>
        <w:t>pakalpojumu</w:t>
      </w:r>
      <w:r>
        <w:tab/>
        <w:t>sniegšanas, pamatojoties uz pakalpojuma izpildi apliecinošiem attaisnojuma dokumentiem, 2020. gadā budžeta iestāde atzīst</w:t>
      </w:r>
      <w:r>
        <w:rPr>
          <w:spacing w:val="-4"/>
        </w:rPr>
        <w:t xml:space="preserve"> </w:t>
      </w:r>
      <w:r>
        <w:t>ieņēmumus.</w:t>
      </w:r>
    </w:p>
    <w:p w14:paraId="56904113" w14:textId="77777777" w:rsidR="00685752" w:rsidRDefault="00685752" w:rsidP="00CD363C">
      <w:pPr>
        <w:spacing w:after="0" w:line="240" w:lineRule="auto"/>
        <w:ind w:left="218" w:right="-66"/>
        <w:jc w:val="both"/>
        <w:rPr>
          <w:i/>
        </w:rPr>
      </w:pPr>
      <w:r>
        <w:rPr>
          <w:i/>
        </w:rPr>
        <w:t>Grāmatojums, atzīstot ieņēmumus saskaņā ar attaisnojuma dokumentiem:</w:t>
      </w:r>
    </w:p>
    <w:p w14:paraId="771D47A5" w14:textId="77777777" w:rsidR="00685752" w:rsidRDefault="00685752" w:rsidP="00CD363C">
      <w:pPr>
        <w:pStyle w:val="Pamatteksts"/>
        <w:ind w:right="-66"/>
        <w:jc w:val="both"/>
        <w:rPr>
          <w:i/>
          <w:sz w:val="26"/>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702"/>
      </w:tblGrid>
      <w:tr w:rsidR="00685752" w14:paraId="16A6B66A" w14:textId="77777777" w:rsidTr="00195A06">
        <w:trPr>
          <w:trHeight w:val="543"/>
        </w:trPr>
        <w:tc>
          <w:tcPr>
            <w:tcW w:w="689" w:type="dxa"/>
          </w:tcPr>
          <w:p w14:paraId="39528BAA" w14:textId="77777777" w:rsidR="00685752" w:rsidRDefault="00685752" w:rsidP="00CD363C">
            <w:pPr>
              <w:pStyle w:val="TableParagraph"/>
              <w:ind w:left="200" w:right="-66"/>
              <w:jc w:val="both"/>
              <w:rPr>
                <w:i/>
              </w:rPr>
            </w:pPr>
            <w:r>
              <w:rPr>
                <w:i/>
              </w:rPr>
              <w:t>D</w:t>
            </w:r>
          </w:p>
        </w:tc>
        <w:tc>
          <w:tcPr>
            <w:tcW w:w="1063" w:type="dxa"/>
          </w:tcPr>
          <w:p w14:paraId="2EC4C303" w14:textId="77777777" w:rsidR="00685752" w:rsidRDefault="00685752" w:rsidP="00CD363C">
            <w:pPr>
              <w:pStyle w:val="TableParagraph"/>
              <w:ind w:right="-66"/>
              <w:jc w:val="both"/>
              <w:rPr>
                <w:i/>
              </w:rPr>
            </w:pPr>
            <w:r>
              <w:rPr>
                <w:i/>
              </w:rPr>
              <w:t>5910</w:t>
            </w:r>
          </w:p>
        </w:tc>
        <w:tc>
          <w:tcPr>
            <w:tcW w:w="4124" w:type="dxa"/>
          </w:tcPr>
          <w:p w14:paraId="4D7A2427" w14:textId="77777777" w:rsidR="00685752" w:rsidRDefault="00685752" w:rsidP="00CD363C">
            <w:pPr>
              <w:pStyle w:val="TableParagraph"/>
              <w:ind w:left="291" w:right="-66"/>
              <w:jc w:val="both"/>
              <w:rPr>
                <w:i/>
              </w:rPr>
            </w:pPr>
            <w:r>
              <w:rPr>
                <w:i/>
              </w:rPr>
              <w:t>Nākamo periodu ieņēmumi un saņemtie avansa maksājumi</w:t>
            </w:r>
          </w:p>
        </w:tc>
        <w:tc>
          <w:tcPr>
            <w:tcW w:w="1702" w:type="dxa"/>
          </w:tcPr>
          <w:p w14:paraId="61C9D2BE" w14:textId="77777777" w:rsidR="00685752" w:rsidRDefault="00685752" w:rsidP="00CD363C">
            <w:pPr>
              <w:pStyle w:val="TableParagraph"/>
              <w:ind w:left="117" w:right="-66"/>
              <w:jc w:val="both"/>
              <w:rPr>
                <w:i/>
              </w:rPr>
            </w:pPr>
            <w:r>
              <w:rPr>
                <w:i/>
              </w:rPr>
              <w:t>10 000,00 EUR</w:t>
            </w:r>
          </w:p>
        </w:tc>
      </w:tr>
      <w:tr w:rsidR="00685752" w14:paraId="5C3A98B2" w14:textId="77777777" w:rsidTr="00195A06">
        <w:trPr>
          <w:trHeight w:val="289"/>
        </w:trPr>
        <w:tc>
          <w:tcPr>
            <w:tcW w:w="689" w:type="dxa"/>
          </w:tcPr>
          <w:p w14:paraId="14B0CFDC" w14:textId="77777777" w:rsidR="00685752" w:rsidRDefault="00685752" w:rsidP="00CD363C">
            <w:pPr>
              <w:pStyle w:val="TableParagraph"/>
              <w:ind w:left="200" w:right="-66"/>
              <w:jc w:val="both"/>
              <w:rPr>
                <w:i/>
              </w:rPr>
            </w:pPr>
            <w:r>
              <w:rPr>
                <w:i/>
              </w:rPr>
              <w:t>K</w:t>
            </w:r>
          </w:p>
        </w:tc>
        <w:tc>
          <w:tcPr>
            <w:tcW w:w="1063" w:type="dxa"/>
          </w:tcPr>
          <w:p w14:paraId="5E22EC1C" w14:textId="77777777" w:rsidR="00685752" w:rsidRDefault="00685752" w:rsidP="00CD363C">
            <w:pPr>
              <w:pStyle w:val="TableParagraph"/>
              <w:ind w:right="-66"/>
              <w:jc w:val="both"/>
              <w:rPr>
                <w:i/>
              </w:rPr>
            </w:pPr>
            <w:r>
              <w:rPr>
                <w:i/>
              </w:rPr>
              <w:t>6000</w:t>
            </w:r>
          </w:p>
        </w:tc>
        <w:tc>
          <w:tcPr>
            <w:tcW w:w="4124" w:type="dxa"/>
          </w:tcPr>
          <w:p w14:paraId="7CC8C90E" w14:textId="77777777" w:rsidR="00685752" w:rsidRDefault="00685752" w:rsidP="00CD363C">
            <w:pPr>
              <w:pStyle w:val="TableParagraph"/>
              <w:ind w:left="291" w:right="-66"/>
              <w:jc w:val="both"/>
              <w:rPr>
                <w:i/>
              </w:rPr>
            </w:pPr>
            <w:r>
              <w:rPr>
                <w:i/>
              </w:rPr>
              <w:t>Pamatdarbības ieņēmumi</w:t>
            </w:r>
          </w:p>
        </w:tc>
        <w:tc>
          <w:tcPr>
            <w:tcW w:w="1702" w:type="dxa"/>
          </w:tcPr>
          <w:p w14:paraId="3DD62AF4" w14:textId="77777777" w:rsidR="00685752" w:rsidRDefault="00685752" w:rsidP="00CD363C">
            <w:pPr>
              <w:pStyle w:val="TableParagraph"/>
              <w:ind w:left="117" w:right="-66"/>
              <w:jc w:val="both"/>
              <w:rPr>
                <w:i/>
              </w:rPr>
            </w:pPr>
            <w:r>
              <w:rPr>
                <w:i/>
              </w:rPr>
              <w:t>10 000,00 EUR</w:t>
            </w:r>
          </w:p>
        </w:tc>
      </w:tr>
    </w:tbl>
    <w:p w14:paraId="4F00DE7F" w14:textId="77777777" w:rsidR="00685752" w:rsidRDefault="00685752" w:rsidP="00CD363C">
      <w:pPr>
        <w:spacing w:after="0" w:line="240" w:lineRule="auto"/>
        <w:ind w:right="-66"/>
        <w:jc w:val="both"/>
        <w:rPr>
          <w:rFonts w:ascii="Times New Roman" w:hAnsi="Times New Roman" w:cs="Times New Roman"/>
          <w:sz w:val="24"/>
          <w:szCs w:val="24"/>
        </w:rPr>
      </w:pPr>
    </w:p>
    <w:p w14:paraId="6F64954F" w14:textId="77777777" w:rsidR="00442F19" w:rsidRDefault="00442F19" w:rsidP="00CD363C">
      <w:pPr>
        <w:spacing w:after="0" w:line="240" w:lineRule="auto"/>
        <w:ind w:right="-66"/>
        <w:jc w:val="both"/>
        <w:rPr>
          <w:rFonts w:ascii="Times New Roman" w:hAnsi="Times New Roman" w:cs="Times New Roman"/>
          <w:b/>
          <w:sz w:val="24"/>
          <w:szCs w:val="24"/>
        </w:rPr>
      </w:pPr>
      <w:r w:rsidRPr="00442F19">
        <w:rPr>
          <w:rFonts w:ascii="Times New Roman" w:hAnsi="Times New Roman" w:cs="Times New Roman"/>
          <w:b/>
          <w:sz w:val="24"/>
          <w:szCs w:val="24"/>
        </w:rPr>
        <w:t>18.3. Saistību inventarizācija</w:t>
      </w:r>
    </w:p>
    <w:p w14:paraId="00C0FC7A" w14:textId="77777777" w:rsidR="00442F19" w:rsidRDefault="00442F19" w:rsidP="00CD363C">
      <w:pPr>
        <w:tabs>
          <w:tab w:val="left" w:pos="255"/>
        </w:tabs>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703. Budžeta iestāde veic visu saistību (darījuma partneru) un saņemto avansa maksājumu inventarizāciju, saskaņojot norēķinu summas ar darījuma partneriem. Inventarizējot norēķinus, pēc attiecīgajiem dokumentiem pārbauda grāmatvedības kontos uzrādītās summas. Nākamo periodu ieņēmumus budžeta iestāde inventarizē, salīdzinot bilances konta atlikumu ar attaisnojuma dokumentiem</w:t>
      </w:r>
      <w:r w:rsidRPr="00442F19">
        <w:rPr>
          <w:rFonts w:ascii="Times New Roman" w:hAnsi="Times New Roman" w:cs="Times New Roman"/>
          <w:spacing w:val="-19"/>
          <w:sz w:val="24"/>
          <w:szCs w:val="24"/>
        </w:rPr>
        <w:t xml:space="preserve"> </w:t>
      </w:r>
      <w:r w:rsidRPr="00442F19">
        <w:rPr>
          <w:rFonts w:ascii="Times New Roman" w:hAnsi="Times New Roman" w:cs="Times New Roman"/>
          <w:sz w:val="24"/>
          <w:szCs w:val="24"/>
        </w:rPr>
        <w:t>par</w:t>
      </w:r>
      <w:r w:rsidRPr="00442F19">
        <w:rPr>
          <w:rFonts w:ascii="Times New Roman" w:hAnsi="Times New Roman" w:cs="Times New Roman"/>
          <w:spacing w:val="-15"/>
          <w:sz w:val="24"/>
          <w:szCs w:val="24"/>
        </w:rPr>
        <w:t xml:space="preserve"> </w:t>
      </w:r>
      <w:r w:rsidRPr="00442F19">
        <w:rPr>
          <w:rFonts w:ascii="Times New Roman" w:hAnsi="Times New Roman" w:cs="Times New Roman"/>
          <w:sz w:val="24"/>
          <w:szCs w:val="24"/>
        </w:rPr>
        <w:t>saņemtajiem</w:t>
      </w:r>
      <w:r w:rsidRPr="00442F19">
        <w:rPr>
          <w:rFonts w:ascii="Times New Roman" w:hAnsi="Times New Roman" w:cs="Times New Roman"/>
          <w:spacing w:val="-16"/>
          <w:sz w:val="24"/>
          <w:szCs w:val="24"/>
        </w:rPr>
        <w:t xml:space="preserve"> </w:t>
      </w:r>
      <w:r w:rsidRPr="00442F19">
        <w:rPr>
          <w:rFonts w:ascii="Times New Roman" w:hAnsi="Times New Roman" w:cs="Times New Roman"/>
          <w:sz w:val="24"/>
          <w:szCs w:val="24"/>
        </w:rPr>
        <w:t>maksājumiem</w:t>
      </w:r>
      <w:r>
        <w:rPr>
          <w:rFonts w:ascii="Times New Roman" w:hAnsi="Times New Roman" w:cs="Times New Roman"/>
          <w:sz w:val="24"/>
          <w:szCs w:val="24"/>
        </w:rPr>
        <w:t>.</w:t>
      </w:r>
    </w:p>
    <w:p w14:paraId="06A282B4" w14:textId="77777777" w:rsidR="00442F19" w:rsidRDefault="00442F1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704. Lai</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pārliecinātos</w:t>
      </w:r>
      <w:r w:rsidRPr="00442F19">
        <w:rPr>
          <w:rFonts w:ascii="Times New Roman" w:hAnsi="Times New Roman" w:cs="Times New Roman"/>
          <w:spacing w:val="-6"/>
          <w:sz w:val="24"/>
          <w:szCs w:val="24"/>
        </w:rPr>
        <w:t xml:space="preserve"> </w:t>
      </w:r>
      <w:r w:rsidRPr="00442F19">
        <w:rPr>
          <w:rFonts w:ascii="Times New Roman" w:hAnsi="Times New Roman" w:cs="Times New Roman"/>
          <w:sz w:val="24"/>
          <w:szCs w:val="24"/>
        </w:rPr>
        <w:t>par</w:t>
      </w:r>
      <w:r w:rsidRPr="00442F19">
        <w:rPr>
          <w:rFonts w:ascii="Times New Roman" w:hAnsi="Times New Roman" w:cs="Times New Roman"/>
          <w:spacing w:val="-8"/>
          <w:sz w:val="24"/>
          <w:szCs w:val="24"/>
        </w:rPr>
        <w:t xml:space="preserve"> </w:t>
      </w:r>
      <w:r w:rsidRPr="00442F19">
        <w:rPr>
          <w:rFonts w:ascii="Times New Roman" w:hAnsi="Times New Roman" w:cs="Times New Roman"/>
          <w:sz w:val="24"/>
          <w:szCs w:val="24"/>
        </w:rPr>
        <w:t>maksājamajām</w:t>
      </w:r>
      <w:r w:rsidRPr="00442F19">
        <w:rPr>
          <w:rFonts w:ascii="Times New Roman" w:hAnsi="Times New Roman" w:cs="Times New Roman"/>
          <w:spacing w:val="-9"/>
          <w:sz w:val="24"/>
          <w:szCs w:val="24"/>
        </w:rPr>
        <w:t xml:space="preserve"> </w:t>
      </w:r>
      <w:r w:rsidRPr="00442F19">
        <w:rPr>
          <w:rFonts w:ascii="Times New Roman" w:hAnsi="Times New Roman" w:cs="Times New Roman"/>
          <w:sz w:val="24"/>
          <w:szCs w:val="24"/>
        </w:rPr>
        <w:t>summām</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un</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saņemtajiem</w:t>
      </w:r>
      <w:r w:rsidRPr="00442F19">
        <w:rPr>
          <w:rFonts w:ascii="Times New Roman" w:hAnsi="Times New Roman" w:cs="Times New Roman"/>
          <w:spacing w:val="-10"/>
          <w:sz w:val="24"/>
          <w:szCs w:val="24"/>
        </w:rPr>
        <w:t xml:space="preserve"> </w:t>
      </w:r>
      <w:r w:rsidRPr="00442F19">
        <w:rPr>
          <w:rFonts w:ascii="Times New Roman" w:hAnsi="Times New Roman" w:cs="Times New Roman"/>
          <w:sz w:val="24"/>
          <w:szCs w:val="24"/>
        </w:rPr>
        <w:t>avansa</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maksājumiem,</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tiek</w:t>
      </w:r>
      <w:r w:rsidRPr="00442F19">
        <w:rPr>
          <w:rFonts w:ascii="Times New Roman" w:hAnsi="Times New Roman" w:cs="Times New Roman"/>
          <w:spacing w:val="-9"/>
          <w:sz w:val="24"/>
          <w:szCs w:val="24"/>
        </w:rPr>
        <w:t xml:space="preserve"> </w:t>
      </w:r>
      <w:r w:rsidRPr="00442F19">
        <w:rPr>
          <w:rFonts w:ascii="Times New Roman" w:hAnsi="Times New Roman" w:cs="Times New Roman"/>
          <w:sz w:val="24"/>
          <w:szCs w:val="24"/>
        </w:rPr>
        <w:t xml:space="preserve">sagatavoti un visiem darījuma partneriem nosūtīti akti par savstarpējo norēķinu salīdzināšanu. Salīdzināšanās vispārējās valdības sektora ietvaros tiek veikta ePārskatu sistēmā. Norēķinus par nodokļiem un sociālajiem maksājumiem inventarizē </w:t>
      </w:r>
      <w:r>
        <w:rPr>
          <w:rFonts w:ascii="Times New Roman" w:hAnsi="Times New Roman" w:cs="Times New Roman"/>
          <w:sz w:val="24"/>
          <w:szCs w:val="24"/>
        </w:rPr>
        <w:t>salīdzinot datus ar VID EDS sistēmā uzrādītajiem pārskatiem par veiktajiem maksājumiem un nodokļu atlikumiem atlikumiem.</w:t>
      </w:r>
    </w:p>
    <w:p w14:paraId="237CF794" w14:textId="77777777" w:rsidR="00442F19" w:rsidRDefault="00442F1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705 Budžeta</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iestāde</w:t>
      </w:r>
      <w:r w:rsidRPr="00442F19">
        <w:rPr>
          <w:rFonts w:ascii="Times New Roman" w:hAnsi="Times New Roman" w:cs="Times New Roman"/>
          <w:spacing w:val="-12"/>
          <w:sz w:val="24"/>
          <w:szCs w:val="24"/>
        </w:rPr>
        <w:t xml:space="preserve"> </w:t>
      </w:r>
      <w:r w:rsidRPr="00442F19">
        <w:rPr>
          <w:rFonts w:ascii="Times New Roman" w:hAnsi="Times New Roman" w:cs="Times New Roman"/>
          <w:sz w:val="24"/>
          <w:szCs w:val="24"/>
        </w:rPr>
        <w:t>sagatavo</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inventarizācijas</w:t>
      </w:r>
      <w:r w:rsidRPr="00442F19">
        <w:rPr>
          <w:rFonts w:ascii="Times New Roman" w:hAnsi="Times New Roman" w:cs="Times New Roman"/>
          <w:spacing w:val="-12"/>
          <w:sz w:val="24"/>
          <w:szCs w:val="24"/>
        </w:rPr>
        <w:t xml:space="preserve"> </w:t>
      </w:r>
      <w:r w:rsidRPr="00442F19">
        <w:rPr>
          <w:rFonts w:ascii="Times New Roman" w:hAnsi="Times New Roman" w:cs="Times New Roman"/>
          <w:sz w:val="24"/>
          <w:szCs w:val="24"/>
        </w:rPr>
        <w:t>sarakstu,</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kurā</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uzskaita</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katram</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darījuma</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partnerim</w:t>
      </w:r>
      <w:r w:rsidRPr="00442F19">
        <w:rPr>
          <w:rFonts w:ascii="Times New Roman" w:hAnsi="Times New Roman" w:cs="Times New Roman"/>
          <w:spacing w:val="-15"/>
          <w:sz w:val="24"/>
          <w:szCs w:val="24"/>
        </w:rPr>
        <w:t xml:space="preserve"> </w:t>
      </w:r>
      <w:r w:rsidRPr="00442F19">
        <w:rPr>
          <w:rFonts w:ascii="Times New Roman" w:hAnsi="Times New Roman" w:cs="Times New Roman"/>
          <w:sz w:val="24"/>
          <w:szCs w:val="24"/>
        </w:rPr>
        <w:t>atlikušo maksājamo</w:t>
      </w:r>
      <w:r w:rsidRPr="00442F19">
        <w:rPr>
          <w:rFonts w:ascii="Times New Roman" w:hAnsi="Times New Roman" w:cs="Times New Roman"/>
          <w:spacing w:val="-1"/>
          <w:sz w:val="24"/>
          <w:szCs w:val="24"/>
        </w:rPr>
        <w:t xml:space="preserve"> </w:t>
      </w:r>
      <w:r w:rsidRPr="00442F19">
        <w:rPr>
          <w:rFonts w:ascii="Times New Roman" w:hAnsi="Times New Roman" w:cs="Times New Roman"/>
          <w:sz w:val="24"/>
          <w:szCs w:val="24"/>
        </w:rPr>
        <w:t>summu</w:t>
      </w:r>
      <w:r>
        <w:rPr>
          <w:rFonts w:ascii="Times New Roman" w:hAnsi="Times New Roman" w:cs="Times New Roman"/>
          <w:sz w:val="24"/>
          <w:szCs w:val="24"/>
        </w:rPr>
        <w:t>.</w:t>
      </w:r>
    </w:p>
    <w:p w14:paraId="0C32B2FB" w14:textId="77777777" w:rsidR="00442F19" w:rsidRDefault="00442F1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706. Saistību, tai skaitā uzkrāto saistību, atlikumus finanšu pārskatā budžeta iestāde uzrāda atbilstoši attaisnojuma dokumentiem un ierakstiem grāmatvedības reģistros, un tiem jābūt saskaņotiem ar saistību un uzkrāto saistību uzskaites datiem pārskata datumā. Strīda gadījumos saistību atlikumus bilancē norāda atbilstoši iestādes grāmatvedības</w:t>
      </w:r>
      <w:r w:rsidRPr="00442F19">
        <w:rPr>
          <w:rFonts w:ascii="Times New Roman" w:hAnsi="Times New Roman" w:cs="Times New Roman"/>
          <w:spacing w:val="-6"/>
          <w:sz w:val="24"/>
          <w:szCs w:val="24"/>
        </w:rPr>
        <w:t xml:space="preserve"> </w:t>
      </w:r>
      <w:r w:rsidRPr="00442F19">
        <w:rPr>
          <w:rFonts w:ascii="Times New Roman" w:hAnsi="Times New Roman" w:cs="Times New Roman"/>
          <w:sz w:val="24"/>
          <w:szCs w:val="24"/>
        </w:rPr>
        <w:t>datiem.</w:t>
      </w:r>
    </w:p>
    <w:p w14:paraId="100902F1" w14:textId="77777777" w:rsidR="008C7A8F" w:rsidRDefault="008C7A8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4C298C7" w14:textId="77777777" w:rsidR="00442F19" w:rsidRPr="00B23EA3" w:rsidRDefault="00442F19"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18.4.</w:t>
      </w:r>
      <w:r w:rsidRPr="00B23EA3">
        <w:rPr>
          <w:rFonts w:ascii="Times New Roman" w:hAnsi="Times New Roman" w:cs="Times New Roman"/>
          <w:b/>
          <w:sz w:val="24"/>
          <w:szCs w:val="24"/>
        </w:rPr>
        <w:t>Saistību pret darbiniekiem par darba samaksu uzskaite</w:t>
      </w:r>
    </w:p>
    <w:p w14:paraId="786BD57B" w14:textId="77777777" w:rsidR="00E92F5D" w:rsidRPr="004949EE" w:rsidRDefault="00E92F5D" w:rsidP="00CD363C">
      <w:pPr>
        <w:spacing w:after="0" w:line="240" w:lineRule="auto"/>
        <w:ind w:left="720" w:right="-66"/>
        <w:jc w:val="both"/>
        <w:rPr>
          <w:rFonts w:ascii="Times New Roman" w:hAnsi="Times New Roman" w:cs="Times New Roman"/>
          <w:b/>
          <w:sz w:val="24"/>
          <w:szCs w:val="24"/>
        </w:rPr>
      </w:pPr>
      <w:r>
        <w:rPr>
          <w:rFonts w:ascii="Times New Roman" w:hAnsi="Times New Roman" w:cs="Times New Roman"/>
          <w:b/>
          <w:sz w:val="24"/>
          <w:szCs w:val="24"/>
        </w:rPr>
        <w:t>18.4.1.</w:t>
      </w:r>
      <w:r w:rsidRPr="004949EE">
        <w:rPr>
          <w:rFonts w:ascii="Times New Roman" w:hAnsi="Times New Roman" w:cs="Times New Roman"/>
          <w:b/>
          <w:sz w:val="24"/>
          <w:szCs w:val="24"/>
        </w:rPr>
        <w:t>Darbinieku īstermiņa labumu uzskaite</w:t>
      </w:r>
    </w:p>
    <w:p w14:paraId="5BE9C745" w14:textId="77777777" w:rsidR="00E92F5D" w:rsidRPr="00970322" w:rsidRDefault="00E92F5D" w:rsidP="00CD363C">
      <w:pPr>
        <w:spacing w:after="0" w:line="240" w:lineRule="auto"/>
        <w:ind w:right="-66"/>
        <w:jc w:val="both"/>
        <w:rPr>
          <w:rFonts w:ascii="Times New Roman" w:hAnsi="Times New Roman" w:cs="Times New Roman"/>
          <w:b/>
          <w:sz w:val="24"/>
          <w:szCs w:val="24"/>
        </w:rPr>
      </w:pPr>
    </w:p>
    <w:p w14:paraId="328E7803"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707</w:t>
      </w:r>
      <w:r w:rsidRPr="00970322">
        <w:rPr>
          <w:rFonts w:ascii="Times New Roman" w:hAnsi="Times New Roman" w:cs="Times New Roman"/>
          <w:sz w:val="24"/>
          <w:szCs w:val="24"/>
        </w:rPr>
        <w:t xml:space="preserve">. Darbinieku īstermiņa labumi ietver tādus labumus kā, piemēram: </w:t>
      </w:r>
    </w:p>
    <w:p w14:paraId="1E9ECBAE"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707.1.atalgojums un sociālās apdrošināšanas iemaksas; </w:t>
      </w:r>
    </w:p>
    <w:p w14:paraId="4CF89BB7"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707.2.īslaicīgi apmaksāti kavējumi, ja kompensācijas par kavējumu izmaksa paredzēta 12 mēnešu laikā pēc tā perioda beigām, kurā darbinieks veicis attiecīgo darbu. Piemēram, apmaksāts ikgadējais atvaļinājums un apmaksāta slimības lapa; </w:t>
      </w:r>
    </w:p>
    <w:p w14:paraId="787A9C96"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707.3.piešķirtās prēmijas, kas maksājamas 12 mēnešu laikā pēc perioda beigām, kurā darbinieks veic attiecīgo darbu; </w:t>
      </w:r>
    </w:p>
    <w:p w14:paraId="12D60FEB"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707.4.nemonetārie labumi budžeta iestādes pašreizējiem darbiniekiem. </w:t>
      </w:r>
    </w:p>
    <w:p w14:paraId="392D73BA" w14:textId="77777777" w:rsidR="00E92F5D" w:rsidRPr="00970322" w:rsidRDefault="00E92F5D"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Piemēram, medicīniskā aprūpe, mājoklis, automašīna, bezmaksas vai subsidētas preces vai pakalpojumi, veselības apdrošināšanas polises. </w:t>
      </w:r>
    </w:p>
    <w:p w14:paraId="1FBD79BE"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708</w:t>
      </w:r>
      <w:r w:rsidRPr="00970322">
        <w:rPr>
          <w:rFonts w:ascii="Times New Roman" w:hAnsi="Times New Roman" w:cs="Times New Roman"/>
          <w:sz w:val="24"/>
          <w:szCs w:val="24"/>
        </w:rPr>
        <w:t>. Budžeta iestāde atzīst īstermiņa saistības (vai uzkrātās saistības) un izdevumus par darbinieka veikto darbu pārskata periodā vai tam pienākošajiem (prēmiju) maksājumiem. Budžeta iestāde ņem vērā iepriekš jau izmaksātās summas, atskaitot tās no saistībām. Gadījumā, ja iepriekš jau izmaksātā summa pārsniedz saistību summu, budžeta iestādei šis pārsniegums jāatzīst par nākamo periodu izdevumiem, ja iepriekš veiktais avansa maksājums rada nepieciešamību, piemēram, samazināt turpmākos maksājumus vai atmaksāt atpakaļ naudas līdzekļus.</w:t>
      </w:r>
    </w:p>
    <w:p w14:paraId="42F43954"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709</w:t>
      </w:r>
      <w:r w:rsidRPr="00970322">
        <w:rPr>
          <w:rFonts w:ascii="Times New Roman" w:hAnsi="Times New Roman" w:cs="Times New Roman"/>
          <w:sz w:val="24"/>
          <w:szCs w:val="24"/>
        </w:rPr>
        <w:t xml:space="preserve">. Aprēķinot darba samaksu budžeta iestādes darbiniekiem, atzīst attiecīgās saistības un izdevumus, veicot sekojošu grāmatojumu: </w:t>
      </w:r>
    </w:p>
    <w:p w14:paraId="2E48140C"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D 7000  Pamatdarbības izdevumi </w:t>
      </w:r>
    </w:p>
    <w:p w14:paraId="1E35E39B"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K 5610 Norēķini par darba samaksu </w:t>
      </w:r>
    </w:p>
    <w:p w14:paraId="14698395"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K 5720 Nodokļi, sociālās apdrošināšanas maksājumi un citi maksājumi </w:t>
      </w:r>
    </w:p>
    <w:p w14:paraId="2EE9AF8A"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710</w:t>
      </w:r>
      <w:r w:rsidRPr="00970322">
        <w:rPr>
          <w:rFonts w:ascii="Times New Roman" w:hAnsi="Times New Roman" w:cs="Times New Roman"/>
          <w:sz w:val="24"/>
          <w:szCs w:val="24"/>
        </w:rPr>
        <w:t xml:space="preserve">. Izmaksājot naudas līdzekļus, samazina saistību un naudas līdzekļu kontus, veicot sekojošu grāmatojumu: </w:t>
      </w:r>
    </w:p>
    <w:p w14:paraId="560014C0"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D 5610 Norēķini par darba samaksu </w:t>
      </w:r>
    </w:p>
    <w:p w14:paraId="5C28FEDD"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D 5720 Nodokļi, sociālās apdrošināšanas maksājumi un citi maksājumi </w:t>
      </w:r>
    </w:p>
    <w:p w14:paraId="2BC63A74"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K 2620 Norēķinu konti Valsts kasē, kredītiestādēs vai citās institūcijās.</w:t>
      </w:r>
    </w:p>
    <w:p w14:paraId="6EBD49A2"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711</w:t>
      </w:r>
      <w:r w:rsidRPr="009F3741">
        <w:rPr>
          <w:rFonts w:ascii="Times New Roman" w:hAnsi="Times New Roman" w:cs="Times New Roman"/>
          <w:sz w:val="24"/>
          <w:szCs w:val="24"/>
        </w:rPr>
        <w:t xml:space="preserve">. Budžeta iestāde var darbiniekiem apmaksāt kavējumus dažādu iemeslu dēļ, piemēram, atvaļinājuma vai slimības dēļ. Apmaksātie kavējumi var būt uzkrātie un neuzkrātie. </w:t>
      </w:r>
    </w:p>
    <w:p w14:paraId="6EBEAF5B" w14:textId="77777777" w:rsidR="00E92F5D" w:rsidRPr="009F3741"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712.</w:t>
      </w:r>
      <w:r w:rsidRPr="009F3741">
        <w:rPr>
          <w:rFonts w:ascii="Times New Roman" w:hAnsi="Times New Roman" w:cs="Times New Roman"/>
          <w:sz w:val="24"/>
          <w:szCs w:val="24"/>
        </w:rPr>
        <w:t xml:space="preserve">Uzkrātie apmaksātie kavējumi ir tie, kurus var izmantot nākamajos periodos, ja pārskata periodā darbinieks nav pilnībā izmantojis savas tiesības uz tiem un darbiniekam pienākas neizmantoto tiesību izmaksa naudā, pārtraucot darba attiecības ar budžeta iestādi. Piemēram, darbiniekam pienākas ikgadējā neizmantotā atvaļinājuma tiesību izmaksa naudā (kompensācija), izbeidzot darba attiecības ar budžeta iestādi. </w:t>
      </w:r>
    </w:p>
    <w:p w14:paraId="245A184B"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713</w:t>
      </w:r>
      <w:r w:rsidRPr="009F3741">
        <w:rPr>
          <w:rFonts w:ascii="Times New Roman" w:hAnsi="Times New Roman" w:cs="Times New Roman"/>
          <w:sz w:val="24"/>
          <w:szCs w:val="24"/>
        </w:rPr>
        <w:t xml:space="preserve"> Neuzkrātie apmaksātie kavējumi netiek pārnesti uz nākamajiem periodiem. Tie zaudē spēku, ja pārskata perioda tiesības uz tiem netiek pilnīgi izmantotas un darbiniekam nepienākas neizmantoto tiesību izmaksa naudā, aizejot no budžeta iestādes. Tas visbiežāk attiecas uz slimības pabalstu. Budžeta iestāde neatzīst ne saistības, ne izdevumus līdz kavējuma dienai, jo darbinieka darbs nepalielina labumu summu. </w:t>
      </w:r>
    </w:p>
    <w:p w14:paraId="2F62ADD1" w14:textId="77777777" w:rsidR="00E92F5D" w:rsidRPr="009F3741"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714.</w:t>
      </w:r>
      <w:r w:rsidRPr="009F3741">
        <w:rPr>
          <w:rFonts w:ascii="Times New Roman" w:hAnsi="Times New Roman" w:cs="Times New Roman"/>
          <w:sz w:val="24"/>
          <w:szCs w:val="24"/>
        </w:rPr>
        <w:t xml:space="preserve"> Pārskata perioda beigās budžeta iestāde aprēķina saistības pret darbinieku par neizmantotajām atvaļinājuma dienām pārskata datumā (neatkarīgi no darbinieka izlietoto atvaļinājuma dienu skaita pēc pārskata datuma). Aprēķinu veic katram darbiniekam atsevišķi, reizinot darbinieka līdz pārskata perioda beigām neizmantoto atvaļinājuma dienu skaitu ar darbinieka dienas vidējo izpeļņu un aprēķinot attiecīgos darba devēja sociālās apdrošināšanas maksājumus.</w:t>
      </w:r>
    </w:p>
    <w:p w14:paraId="77B30A15" w14:textId="77777777" w:rsidR="00E92F5D" w:rsidRPr="00FC7616"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715</w:t>
      </w:r>
      <w:r w:rsidRPr="00FC7616">
        <w:rPr>
          <w:rFonts w:ascii="Times New Roman" w:hAnsi="Times New Roman" w:cs="Times New Roman"/>
          <w:sz w:val="24"/>
          <w:szCs w:val="24"/>
        </w:rPr>
        <w:t xml:space="preserve">. Budžeta iestāde aprēķina kopējo uzkrāto saistību summu budžeta iestādes darbinieku neizmantotajiem atvaļinājumiem, saskaitot uzkrāto saistību summu katram darbiniekam, un atzīst uzkrātās saistības budžeta iestādes darbinieku ikgadējiem atvaļinājumiem, veicot sekojošu grāmatojumu: </w:t>
      </w:r>
    </w:p>
    <w:p w14:paraId="2A96BBB2" w14:textId="77777777" w:rsidR="00E92F5D" w:rsidRPr="00E92F5D" w:rsidRDefault="00E92F5D" w:rsidP="00CD363C">
      <w:pPr>
        <w:spacing w:after="0" w:line="240" w:lineRule="auto"/>
        <w:ind w:right="-66"/>
        <w:jc w:val="both"/>
        <w:rPr>
          <w:rFonts w:ascii="Times New Roman" w:hAnsi="Times New Roman" w:cs="Times New Roman"/>
          <w:b/>
          <w:sz w:val="24"/>
          <w:szCs w:val="24"/>
        </w:rPr>
      </w:pPr>
      <w:r w:rsidRPr="00E92F5D">
        <w:rPr>
          <w:rFonts w:ascii="Times New Roman" w:hAnsi="Times New Roman" w:cs="Times New Roman"/>
          <w:b/>
          <w:sz w:val="24"/>
          <w:szCs w:val="24"/>
        </w:rPr>
        <w:t xml:space="preserve">    D 7000 Pamatdarbības izdevumi (uzkrātās atvaļinājuma un sociālās apdrošināšanas izmaksas) </w:t>
      </w:r>
    </w:p>
    <w:p w14:paraId="73AB5D13" w14:textId="77777777" w:rsidR="00E92F5D" w:rsidRPr="00E92F5D" w:rsidRDefault="00E92F5D" w:rsidP="00CD363C">
      <w:pPr>
        <w:spacing w:after="0" w:line="240" w:lineRule="auto"/>
        <w:ind w:right="-66"/>
        <w:jc w:val="both"/>
        <w:rPr>
          <w:rFonts w:ascii="Times New Roman" w:hAnsi="Times New Roman" w:cs="Times New Roman"/>
          <w:b/>
          <w:sz w:val="24"/>
          <w:szCs w:val="24"/>
        </w:rPr>
      </w:pPr>
      <w:r w:rsidRPr="00E92F5D">
        <w:rPr>
          <w:rFonts w:ascii="Times New Roman" w:hAnsi="Times New Roman" w:cs="Times New Roman"/>
          <w:b/>
          <w:sz w:val="24"/>
          <w:szCs w:val="24"/>
        </w:rPr>
        <w:t xml:space="preserve">    K 5421 Uzkrātās saistības norēķiniem ar darbiniekiem </w:t>
      </w:r>
    </w:p>
    <w:p w14:paraId="101E91B3" w14:textId="77777777" w:rsidR="00E92F5D" w:rsidRDefault="00E92F5D" w:rsidP="00CD363C">
      <w:pPr>
        <w:spacing w:after="0" w:line="240" w:lineRule="auto"/>
        <w:ind w:right="-66"/>
        <w:jc w:val="both"/>
        <w:rPr>
          <w:rFonts w:ascii="Times New Roman" w:hAnsi="Times New Roman" w:cs="Times New Roman"/>
          <w:b/>
          <w:sz w:val="24"/>
          <w:szCs w:val="24"/>
        </w:rPr>
      </w:pPr>
      <w:r w:rsidRPr="00E92F5D">
        <w:rPr>
          <w:rFonts w:ascii="Times New Roman" w:hAnsi="Times New Roman" w:cs="Times New Roman"/>
          <w:b/>
          <w:sz w:val="24"/>
          <w:szCs w:val="24"/>
        </w:rPr>
        <w:t xml:space="preserve">    K 5422 Uzkrātās saistības norēķiniem par nodokļiem un sociālās apdrošināšanas maksājumiem </w:t>
      </w:r>
    </w:p>
    <w:p w14:paraId="7FC833CD" w14:textId="77777777" w:rsidR="00E92F5D" w:rsidRPr="00FC7616"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716. </w:t>
      </w:r>
      <w:r w:rsidRPr="00FC7616">
        <w:rPr>
          <w:rFonts w:ascii="Times New Roman" w:hAnsi="Times New Roman" w:cs="Times New Roman"/>
          <w:sz w:val="24"/>
          <w:szCs w:val="24"/>
        </w:rPr>
        <w:t>Budžeta iestāde atzīst saistības attiecībā uz paredzamiem prēmiju maksājumiem tikai tad, ja:</w:t>
      </w:r>
    </w:p>
    <w:p w14:paraId="3E782D05"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716.1.budžeta iestādei ir pašreizējs juridisks vai prakses radīts pienākums veikt šos maksājumus pagātnes notikumu rezultātā; </w:t>
      </w:r>
    </w:p>
    <w:p w14:paraId="2363E1E0" w14:textId="77777777" w:rsid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716.2.budžeta iestāde var veikt ticamu pienākuma aplēsi. </w:t>
      </w:r>
    </w:p>
    <w:p w14:paraId="49DD05AC"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717.</w:t>
      </w:r>
      <w:r w:rsidRPr="00FC7616">
        <w:rPr>
          <w:rFonts w:ascii="Times New Roman" w:hAnsi="Times New Roman" w:cs="Times New Roman"/>
          <w:sz w:val="24"/>
          <w:szCs w:val="24"/>
        </w:rPr>
        <w:t xml:space="preserve"> Pašreizējs pienākums pastāv tikai tad, kad budžeta iestādei nav citas iespējas kā veikt maksājumus. </w:t>
      </w:r>
    </w:p>
    <w:p w14:paraId="3F2F7346"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718.</w:t>
      </w:r>
      <w:r w:rsidRPr="00E92F5D">
        <w:rPr>
          <w:rFonts w:ascii="Times New Roman" w:hAnsi="Times New Roman" w:cs="Times New Roman"/>
          <w:sz w:val="24"/>
          <w:szCs w:val="24"/>
        </w:rPr>
        <w:t xml:space="preserve"> </w:t>
      </w:r>
      <w:r w:rsidRPr="00FC7616">
        <w:rPr>
          <w:rFonts w:ascii="Times New Roman" w:hAnsi="Times New Roman" w:cs="Times New Roman"/>
          <w:sz w:val="24"/>
          <w:szCs w:val="24"/>
        </w:rPr>
        <w:t xml:space="preserve"> Budžeta iestādē var būt noteiktas prēmijas darbiniekiem par darba mērķu vai noteiktu finanšu rezultātu sasniegšanu, kas paredz prēmiju izmaksu darbiniekiem ņemot vērā to, kā novērtēts viņu ieguldījums budžeta iestādes mērķu sasniegšanā. Atsevišķos gadījumos prēmijas var tikt paredzētas noteiktām darbinieku grupām, piemēram, ja tiek novērtēti visu vai dažu darbinieku darba rezultāti kādā konkrētā jomā, nevis katra darbinieka darba izpildījums atsevišķi. Budžeta iestāde var arī novērtēt darbinieku darba rezultātus pēc noteiktiem budžeta iestādes finanšu rādītājiem, piemēram, pēc radītajām maksas pakalpojumu ieņēmumu plūsmām un budžeta mērķu sasniegšanas.</w:t>
      </w:r>
    </w:p>
    <w:p w14:paraId="1A660B77"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719.</w:t>
      </w:r>
      <w:r w:rsidRPr="00FC7616">
        <w:rPr>
          <w:rFonts w:ascii="Times New Roman" w:hAnsi="Times New Roman" w:cs="Times New Roman"/>
          <w:sz w:val="24"/>
          <w:szCs w:val="24"/>
        </w:rPr>
        <w:t xml:space="preserve"> Budžeta iestādei var nebūt juridiska pienākuma maksāt prēmiju. Tomēr dažos gadījumos budžeta iestāde praktizē prēmiju maksāšanu. Tādos gadījumos budžeta iestāde izvērtē, vai tai pastāv prakses radīts pienākums maksāt prēmiju. </w:t>
      </w:r>
    </w:p>
    <w:p w14:paraId="57D28F33"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720</w:t>
      </w:r>
      <w:r w:rsidRPr="00FC7616">
        <w:rPr>
          <w:rFonts w:ascii="Times New Roman" w:hAnsi="Times New Roman" w:cs="Times New Roman"/>
          <w:sz w:val="24"/>
          <w:szCs w:val="24"/>
        </w:rPr>
        <w:t>. Budžeta iestāde var paredzēt prēmiju izmaksu visiem darbiniekiem, kas veikuši darbu pārskata periodā pat tādā gadījumā, ja viņi atstājuši budžeta iestādi pirms pārskata datuma. Atsevišķos gadījumos budžeta iestāde var paredzēt, ka darbinieki saņem prēmijas tikai tad, ja nostrādā budžeta iestādē noteiktu laika periodu, piemēram, prasība, ka darbiniekam budžeta iestādē jānostrādā pilns pārskata periods. Šādā gadījumā tas rada prakses radītu pienākumu, jo darbinieki veic darbu, kas palielina summu, kura būtu jāmaksā, ja viņi paliek darbā līdz noteiktā perioda beigām. Budžeta iestāde, novērtējot prakses radīto pienākumu, ņem vērā varbūtību, ka daži darbinieki var aiziet no darba pirms pārskata perioda beigām, nesaņemot prēmiju maksājumus.</w:t>
      </w:r>
    </w:p>
    <w:p w14:paraId="43CC6F7E"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721</w:t>
      </w:r>
      <w:r w:rsidRPr="00FC7616">
        <w:rPr>
          <w:rFonts w:ascii="Times New Roman" w:hAnsi="Times New Roman" w:cs="Times New Roman"/>
          <w:sz w:val="24"/>
          <w:szCs w:val="24"/>
        </w:rPr>
        <w:t xml:space="preserve">. Budžeta iestāde var veikt ticamu aplēsi par tās juridisku vai prakses radītu pašreizējo pienākumu par prēmiju maksājumiem tikai tad, ja: </w:t>
      </w:r>
    </w:p>
    <w:p w14:paraId="14DE180E" w14:textId="77777777" w:rsidR="00D4205D" w:rsidRP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 xml:space="preserve">721.1.prēmiju maksājumu aprēķins ir dokumentēts rakstveidā un ir paredzēts algoritms (aprēķins) labuma summas noteikšanai; </w:t>
      </w:r>
    </w:p>
    <w:p w14:paraId="274D9E6A" w14:textId="77777777" w:rsidR="00D4205D" w:rsidRP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72</w:t>
      </w:r>
      <w:r>
        <w:rPr>
          <w:rFonts w:ascii="Times New Roman" w:hAnsi="Times New Roman" w:cs="Times New Roman"/>
          <w:sz w:val="24"/>
          <w:szCs w:val="24"/>
        </w:rPr>
        <w:t>1</w:t>
      </w:r>
      <w:r w:rsidRPr="00D4205D">
        <w:rPr>
          <w:rFonts w:ascii="Times New Roman" w:hAnsi="Times New Roman" w:cs="Times New Roman"/>
          <w:sz w:val="24"/>
          <w:szCs w:val="24"/>
        </w:rPr>
        <w:t xml:space="preserve">.2.budžeta iestāde nosaka maksājamās summas pirms finanšu pārskatu apstiprināšanas; </w:t>
      </w:r>
    </w:p>
    <w:p w14:paraId="67C30D5D" w14:textId="77777777" w:rsid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72</w:t>
      </w:r>
      <w:r>
        <w:rPr>
          <w:rFonts w:ascii="Times New Roman" w:hAnsi="Times New Roman" w:cs="Times New Roman"/>
          <w:sz w:val="24"/>
          <w:szCs w:val="24"/>
        </w:rPr>
        <w:t>1</w:t>
      </w:r>
      <w:r w:rsidRPr="00D4205D">
        <w:rPr>
          <w:rFonts w:ascii="Times New Roman" w:hAnsi="Times New Roman" w:cs="Times New Roman"/>
          <w:sz w:val="24"/>
          <w:szCs w:val="24"/>
        </w:rPr>
        <w:t>.3.iepriekšējā prakse sniedz ticamus pierādījumus par budžeta iestādes radīto pienākumu. Piemēram, budžeta iestādē iepriekšējos 5 gados darbiniekiem tiek piemērota prēmija algas apmērā nākamā gada janvārī par darbu iepriekšējā gadā, tas nozīmē, ka budžeta iestāde, balstoties uz iepriekšēju praksi, var ticami aplēst izmaksājamās prēmijas apmēru.</w:t>
      </w:r>
    </w:p>
    <w:p w14:paraId="40E4A637" w14:textId="77777777" w:rsidR="00D4205D"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722.</w:t>
      </w:r>
      <w:r w:rsidRPr="00FC7616">
        <w:rPr>
          <w:rFonts w:ascii="Times New Roman" w:hAnsi="Times New Roman" w:cs="Times New Roman"/>
          <w:sz w:val="24"/>
          <w:szCs w:val="24"/>
        </w:rPr>
        <w:t xml:space="preserve"> Ja budžeta iestādei ir vadības lēmums, kurā noteikts prēmijas apmērs, tad budžeta iestāde veic sekojošu grāmatojumu, atzīstot attiecīgās saistības un izdevumus: </w:t>
      </w:r>
    </w:p>
    <w:p w14:paraId="1EC9685F"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7000* Pamatdarbības izdevumi </w:t>
      </w:r>
    </w:p>
    <w:p w14:paraId="2FB5B691"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5610 Norēķini par darba samaksu </w:t>
      </w:r>
    </w:p>
    <w:p w14:paraId="69299909"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5720 Nodokļi, sociālās apdrošināšanas maksājumi un citi maksājumi </w:t>
      </w:r>
    </w:p>
    <w:p w14:paraId="7BE0EF98"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723</w:t>
      </w:r>
      <w:r w:rsidRPr="00FC7616">
        <w:rPr>
          <w:rFonts w:ascii="Times New Roman" w:hAnsi="Times New Roman" w:cs="Times New Roman"/>
          <w:sz w:val="24"/>
          <w:szCs w:val="24"/>
        </w:rPr>
        <w:t>. Ja budžeta iestāde, balstoties uz iepriekšējo praksi, ir aplēsusi prēmijas apmēru tad budžeta iestāde veic sekojošu grāmatojumu, atzīstot īstermiņa uzkrātās saistības un izdevumus:</w:t>
      </w:r>
    </w:p>
    <w:p w14:paraId="7F5487AF"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05D">
        <w:rPr>
          <w:rFonts w:ascii="Times New Roman" w:hAnsi="Times New Roman" w:cs="Times New Roman"/>
          <w:b/>
          <w:sz w:val="24"/>
          <w:szCs w:val="24"/>
        </w:rPr>
        <w:t>D 7000* Pamatdarbības izdevumi</w:t>
      </w:r>
    </w:p>
    <w:p w14:paraId="68E6534F"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05D">
        <w:rPr>
          <w:rFonts w:ascii="Times New Roman" w:hAnsi="Times New Roman" w:cs="Times New Roman"/>
          <w:b/>
          <w:sz w:val="24"/>
          <w:szCs w:val="24"/>
        </w:rPr>
        <w:t xml:space="preserve">K 5400 Īstermiņa uzkrātās saistības (prēmijas neto summa) </w:t>
      </w:r>
    </w:p>
    <w:p w14:paraId="6716FEF3"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05D">
        <w:rPr>
          <w:rFonts w:ascii="Times New Roman" w:hAnsi="Times New Roman" w:cs="Times New Roman"/>
          <w:b/>
          <w:sz w:val="24"/>
          <w:szCs w:val="24"/>
        </w:rPr>
        <w:t xml:space="preserve">K 5400 Īstermiņa uzkrātās saistības (aprēķinātie nodokļi) </w:t>
      </w:r>
    </w:p>
    <w:p w14:paraId="783F96C7" w14:textId="77777777" w:rsidR="00D4205D"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724</w:t>
      </w:r>
      <w:r w:rsidRPr="00FC7616">
        <w:rPr>
          <w:rFonts w:ascii="Times New Roman" w:hAnsi="Times New Roman" w:cs="Times New Roman"/>
          <w:sz w:val="24"/>
          <w:szCs w:val="24"/>
        </w:rPr>
        <w:t>. Budžeta iestāde nākamajā pārskata periodā, pamatojoties uz maksājuma attaisnojuma dokumentu, dzēš uzkrātās saistības un atzīst saistības pret darbinieku, veicot sekojošu grāmatojumu:</w:t>
      </w:r>
    </w:p>
    <w:p w14:paraId="3A883CB7"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D4205D">
        <w:rPr>
          <w:rFonts w:ascii="Times New Roman" w:hAnsi="Times New Roman" w:cs="Times New Roman"/>
          <w:b/>
          <w:sz w:val="24"/>
          <w:szCs w:val="24"/>
        </w:rPr>
        <w:t xml:space="preserve">D 5400 Īstermiņa uzkrātās saistības (prēmijas neto summa) </w:t>
      </w:r>
    </w:p>
    <w:p w14:paraId="178E0C07"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5400 Īstermiņa uzkrātās saistības (aprēķinātie nodokļi) </w:t>
      </w:r>
    </w:p>
    <w:p w14:paraId="3F703053"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5610 Norēķini par darba samaksu </w:t>
      </w:r>
    </w:p>
    <w:p w14:paraId="4DFABA71"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5720 Nodokļi, sociālās apdrošināšanas maksājumi un citi maksājumi </w:t>
      </w:r>
    </w:p>
    <w:p w14:paraId="26CF562C"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725</w:t>
      </w:r>
      <w:r w:rsidRPr="00FC7616">
        <w:rPr>
          <w:rFonts w:ascii="Times New Roman" w:hAnsi="Times New Roman" w:cs="Times New Roman"/>
          <w:sz w:val="24"/>
          <w:szCs w:val="24"/>
        </w:rPr>
        <w:t xml:space="preserve">. Veicot prēmiju maksājumus, budžeta iestāde samazina saistību un naudas līdzekļu kontus, veicot sekojošu grāmatojumu: </w:t>
      </w:r>
    </w:p>
    <w:p w14:paraId="7B2996A5"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5610 Norēķini par darba samaksu </w:t>
      </w:r>
    </w:p>
    <w:p w14:paraId="05852EC8"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5720 Nodokļi, sociālās apdrošināšanas maksājumi un citi maksājumi </w:t>
      </w:r>
    </w:p>
    <w:p w14:paraId="6160656D" w14:textId="77777777" w:rsid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2620 Norēķinu konti Valsts kasē, kredītiestādēs vai citās institūcijās </w:t>
      </w:r>
    </w:p>
    <w:p w14:paraId="4A1FFE55" w14:textId="77777777" w:rsid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 xml:space="preserve">726. </w:t>
      </w:r>
      <w:r w:rsidRPr="00FC7616">
        <w:rPr>
          <w:rFonts w:ascii="Times New Roman" w:hAnsi="Times New Roman" w:cs="Times New Roman"/>
          <w:sz w:val="24"/>
          <w:szCs w:val="24"/>
        </w:rPr>
        <w:t>Gadījumā, ja budžeta iestādei nav jāveic prēmiju izmaksas pilnā apmērā 12 mēnešu laikā pēc pārskata perioda beigām, kurā darbinieki veic attiecīgo darbu, šādi maksājumi uzskatāmi par citiem darbinieku ilgtermiņa labumiem.</w:t>
      </w:r>
    </w:p>
    <w:p w14:paraId="486CE6C2" w14:textId="77777777" w:rsid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18.4.2. </w:t>
      </w:r>
      <w:r w:rsidRPr="00FC7616">
        <w:rPr>
          <w:rFonts w:ascii="Times New Roman" w:hAnsi="Times New Roman" w:cs="Times New Roman"/>
          <w:b/>
          <w:sz w:val="24"/>
          <w:szCs w:val="24"/>
        </w:rPr>
        <w:t>Pēcnodarbinātības labumu uzskaite</w:t>
      </w:r>
    </w:p>
    <w:p w14:paraId="14DD7F30"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727</w:t>
      </w:r>
      <w:r w:rsidRPr="00FC7616">
        <w:rPr>
          <w:rFonts w:ascii="Times New Roman" w:hAnsi="Times New Roman" w:cs="Times New Roman"/>
          <w:sz w:val="24"/>
          <w:szCs w:val="24"/>
        </w:rPr>
        <w:t>. Pēcnodarbinātības labumi ir darbinieku labumi (kas nav darba attiecību izbeigšanas labumi), kuri maksājami pēc nodarbinātības beigām.</w:t>
      </w:r>
    </w:p>
    <w:p w14:paraId="10651EB2"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728</w:t>
      </w:r>
      <w:r w:rsidRPr="00FC7616">
        <w:rPr>
          <w:rFonts w:ascii="Times New Roman" w:hAnsi="Times New Roman" w:cs="Times New Roman"/>
          <w:sz w:val="24"/>
          <w:szCs w:val="24"/>
        </w:rPr>
        <w:t xml:space="preserve">. Pasākumi, ar kuru palīdzību budžeta iestādes nodrošina pēcnodarbinātības labumus, ir pēcnodarbinātības labumu plāni. Pēcnodarbinātības labumi ir, piemēram, pēcnodarbinātības medicīniskā aprūpe. </w:t>
      </w:r>
    </w:p>
    <w:p w14:paraId="1257465E"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729</w:t>
      </w:r>
      <w:r w:rsidRPr="00FC7616">
        <w:rPr>
          <w:rFonts w:ascii="Times New Roman" w:hAnsi="Times New Roman" w:cs="Times New Roman"/>
          <w:sz w:val="24"/>
          <w:szCs w:val="24"/>
        </w:rPr>
        <w:t xml:space="preserve">. Pēcnodarbinātības labumu plāni paredz, ka budžeta iestāde: </w:t>
      </w:r>
    </w:p>
    <w:p w14:paraId="3933445D" w14:textId="77777777" w:rsidR="00D4205D" w:rsidRP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 xml:space="preserve">729.1.nodrošina noteiktos pēcnodarbinātības labumus budžeta iestādes pašreizējiem un bijušajiem darbiniekiem; </w:t>
      </w:r>
    </w:p>
    <w:p w14:paraId="7ED270CF"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sz w:val="24"/>
          <w:szCs w:val="24"/>
        </w:rPr>
        <w:t>729.2.uzņemas risku, ka labumi nākotnē izmaksās vairāk, nekā paredzēts (aktuārais risks) – un risku, ka nepietiks ieguldīto aktīvu, lai nodrošinātu paredzētos labumus (ieguldījuma risks).</w:t>
      </w:r>
    </w:p>
    <w:p w14:paraId="6A3EAAE9"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 Saistību pret darbiniekiem pēc darba attiecību izbeigšanas uzskaitē izmantojamie rādītāji: </w:t>
      </w:r>
    </w:p>
    <w:p w14:paraId="012F9446"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.1. aktuāra pieņēmumi, kas nepieciešami, lai budžeta iestāde novērtētu saistības pret darbiniekiem pēc darba attiecību izbeigšanas un attiecīgos izdevumus; </w:t>
      </w:r>
    </w:p>
    <w:p w14:paraId="1957FCED"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.2. diskonta likme, jo budžeta iestāde novērtē pienākumu izpildes saistības, tās diskontējot, jo par tām var norēķināties daudzus gadus pēc tam, kad darbinieki ir veikuši attiecīgo darbu; </w:t>
      </w:r>
    </w:p>
    <w:p w14:paraId="5F8ECC1D" w14:textId="77777777" w:rsidR="00D4205D"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.3. aktuāro guvumu un zaudējumu iespēja. </w:t>
      </w:r>
    </w:p>
    <w:p w14:paraId="04396CD6"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731.</w:t>
      </w:r>
      <w:r w:rsidRPr="00FC7616">
        <w:rPr>
          <w:rFonts w:ascii="Times New Roman" w:hAnsi="Times New Roman" w:cs="Times New Roman"/>
          <w:sz w:val="24"/>
          <w:szCs w:val="24"/>
        </w:rPr>
        <w:t xml:space="preserve"> Gadījumā, ja budžeta iestādei ir vairāki pēcnodarbinātības plāni, budžeta iestāde šīs procedūras piemēro katram būtiskajam plānam atsevišķi. Piemēram, pašvaldībai var būt atsevišķi plāni skolotājiem, veselības aprūpes darbiniekiem un citiem darbiniekiem. </w:t>
      </w:r>
    </w:p>
    <w:p w14:paraId="2A1105F1"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732</w:t>
      </w:r>
      <w:r w:rsidRPr="00FC7616">
        <w:rPr>
          <w:rFonts w:ascii="Times New Roman" w:hAnsi="Times New Roman" w:cs="Times New Roman"/>
          <w:sz w:val="24"/>
          <w:szCs w:val="24"/>
        </w:rPr>
        <w:t xml:space="preserve"> Budžeta iestāde var izmantot aplēses, vidējos rādītājus un aprēķinu vienkāršošanu, ja tas atļauj ticami noteikt detalizētiem aprēķiniem tuvinātas summas atbilstoši normatīvo aktu prasībām.</w:t>
      </w:r>
    </w:p>
    <w:p w14:paraId="6A1DAADE"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Pr="00FC7616">
        <w:rPr>
          <w:rFonts w:ascii="Times New Roman" w:hAnsi="Times New Roman" w:cs="Times New Roman"/>
          <w:sz w:val="24"/>
          <w:szCs w:val="24"/>
        </w:rPr>
        <w:t xml:space="preserve">. Budžeta iestāde uzkrājumus par pēcnodarbinātības labumiem pārskata perioda beigās nosaka šādā kārtībā: </w:t>
      </w:r>
    </w:p>
    <w:p w14:paraId="0F30E8F5"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Pr="00FC7616">
        <w:rPr>
          <w:rFonts w:ascii="Times New Roman" w:hAnsi="Times New Roman" w:cs="Times New Roman"/>
          <w:sz w:val="24"/>
          <w:szCs w:val="24"/>
        </w:rPr>
        <w:t xml:space="preserve">.1. veic aplēsi par labumu summu, ko darbinieki ir nopelnījuši par savu darbu pārskata periodā un iepriekšējos periodos un kuru budžeta iestādei būs jāizmaksā nākamajos periodos, ņemot vērā aktuāra pieņēmumus par mainīgajiem demogrāfiskajiem rādītājiem un mainīgajiem finanšu rādītājiem, kas ietekmēs labuma izmaksas. Piemēram, izmaiņas tādos demogrāfiskajos rādītājos kā darbinieku mainība un mirstība, izmaiņas tādos finanšu rādītājos kā plānotais algu kāpums vai izmaiņas veselības aprūpes izmaksās, kas varētu ietekmēt labumu izmaksu aprēķinu; </w:t>
      </w:r>
    </w:p>
    <w:p w14:paraId="6265BE77" w14:textId="77777777" w:rsidR="00D4205D"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00D4205D" w:rsidRPr="00FC7616">
        <w:rPr>
          <w:rFonts w:ascii="Times New Roman" w:hAnsi="Times New Roman" w:cs="Times New Roman"/>
          <w:sz w:val="24"/>
          <w:szCs w:val="24"/>
        </w:rPr>
        <w:t xml:space="preserve">.2. aprēķina sava pienākuma pašreizējo vērtību pārskata datumā, diskontējot aplēsto labumu summu ar Valsts Kases tīmekļa vietnē publicēto diskonta likmi, kas uzrāda naudas vērtību laikā, ņemot vērā labumu izmaksas termiņu; </w:t>
      </w:r>
    </w:p>
    <w:p w14:paraId="7448D5A9" w14:textId="77777777" w:rsidR="00D4205D"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00D4205D" w:rsidRPr="00FC7616">
        <w:rPr>
          <w:rFonts w:ascii="Times New Roman" w:hAnsi="Times New Roman" w:cs="Times New Roman"/>
          <w:sz w:val="24"/>
          <w:szCs w:val="24"/>
        </w:rPr>
        <w:t xml:space="preserve">.3. pieskaita aktuāro guvumu un zaudējumu kopsummu, kura nav atzīta ieņēmumos vai izdevumos līdz pārskata perioda beigām; </w:t>
      </w:r>
    </w:p>
    <w:p w14:paraId="2939ACF5" w14:textId="77777777" w:rsidR="00D4205D"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00D4205D" w:rsidRPr="00FC7616">
        <w:rPr>
          <w:rFonts w:ascii="Times New Roman" w:hAnsi="Times New Roman" w:cs="Times New Roman"/>
          <w:sz w:val="24"/>
          <w:szCs w:val="24"/>
        </w:rPr>
        <w:t>.4. atņem neatzītās iepriekšējā darba izmaksas. Iepriekšējā darba izmaksas aprēķina par periodos pirms pārskata perioda nopelnītiem labumiem, kurus budžeta iestāde saskaņā ar tiesību aktu ievieš vai maina un kurus tā izmaksās nākotnē. Aprēķinātās iepriekšējā darba izmaksas atzīst izdevumos pēc lineārās metodes, sākot ar izmaiņu apstiprināšanas datumu vidējā periodā līdz labumu izmaksāšanas datumam.</w:t>
      </w:r>
    </w:p>
    <w:p w14:paraId="24ACF086"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734.</w:t>
      </w:r>
      <w:r w:rsidRPr="00FC7616">
        <w:rPr>
          <w:rFonts w:ascii="Times New Roman" w:hAnsi="Times New Roman" w:cs="Times New Roman"/>
          <w:sz w:val="24"/>
          <w:szCs w:val="24"/>
        </w:rPr>
        <w:t>Budžeta iestāde, aprēķinot uzkrājumu pašreizējo vērtību, saistību summu atzīst pārējos izdevumos pēc lineārās metodes no datuma, kad darba dēļ darbiniekam pirmo reizi pienākas labumi, līdz datumam, kad darbiniekam pienākošies pēcnodarbinātības labumi turpmākā darba dēļ būtiski nepalielināsies.</w:t>
      </w:r>
    </w:p>
    <w:p w14:paraId="1993FD07"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Lai noteiktu budžeta iestādes pienākuma pašreizējo vērtību, attiecīgās kārtējā darba izmaksas un atkarībā no apstākļiem arī iepriekšējā darba izmaksas, budžeta iestāde veic sekojošo:</w:t>
      </w:r>
    </w:p>
    <w:p w14:paraId="5D5EBFCC"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xml:space="preserve">.1. izmanto aktuāra metodi - plānotās vienības kredītmetodi pienākuma pašreizējās vērtības aprēķinam. Saskaņā ar plānotās vienības kredītmetodi katrs nostrādātais periods rada labuma saņemšanas tiesību papildvienību un katru vienību novērtē atsevišķi, tādējādi aprēķinot galīgo pienākumu; </w:t>
      </w:r>
    </w:p>
    <w:p w14:paraId="16F0CF2D"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2. attiecina labuma summu uz darbinieka nostrādātajiem periodiem. Budžeta iestāde attiecina labumu uz pārskata periodu, lai noteiktu kārtējā darba izmaksas, kā arī uz pārskata periodu un iepriekšējiem periodiem, lai noteiktu labumu pienākumu pašreizējo vērtību. Budžeta iestāde attiecina labumu uz periodiem, kuros tai rodas pienākums nodrošināt pēcnodarbinātības labumus. Šis pienākums rodas, kad darbinieks veic darbu apmaiņā pret pēcnodarbinātības labumiem, kurus budžeta iestāde paredz maksāt nākamajos pārskata periodos. Lai arī noteikti pēcnodarbinātības labumi (piemēram, pēcnodarbinātības medicīniskā aprūpe) jāmaksā tikai, īstenojoties konkrētam notikumam pēc darbinieka nodarbinātības beigām, budžeta iestādes pienākums rodas tad, kad darbinieks veic darbu, kas dod tiesības saņemt pēcnodarbinātības labumu, īstenojoties konkrētam notikumam. Ticamība, ka konkrētais notikums īstenosies, ietekmē pienākuma novērtējumu, bet nenosaka pienākuma pastāvēšanu;</w:t>
      </w:r>
    </w:p>
    <w:p w14:paraId="2F48B190"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xml:space="preserve">.3. izmanto aktuāra pieņēmumus - aktuāra pieņēmumi ir budžeta iestādes precīzākās aplēses par mainīgajiem lielumiem, kas noteiks pēcnodarbinātības labumu galīgās izmaksas. Aktuāra pieņēmumiem jābūt objektīviem un savstarpēji savienojamiem un jābalstās uz tirgus prognozēm pārskata datumā par to periodu, kurā budžeta iestādei būs jānodrošina pēcnodarbinātības labumu izmaksa. Aktuāra pieņēmumus veido: </w:t>
      </w:r>
    </w:p>
    <w:p w14:paraId="12D0AE58" w14:textId="77777777" w:rsidR="00406C75" w:rsidRPr="00406C75" w:rsidRDefault="00406C75" w:rsidP="00CD363C">
      <w:pPr>
        <w:spacing w:after="0" w:line="240" w:lineRule="auto"/>
        <w:ind w:right="-66"/>
        <w:jc w:val="both"/>
        <w:rPr>
          <w:rFonts w:ascii="Times New Roman" w:hAnsi="Times New Roman" w:cs="Times New Roman"/>
          <w:sz w:val="24"/>
          <w:szCs w:val="24"/>
        </w:rPr>
      </w:pPr>
      <w:r w:rsidRPr="00406C75">
        <w:rPr>
          <w:rFonts w:ascii="Times New Roman" w:hAnsi="Times New Roman" w:cs="Times New Roman"/>
          <w:sz w:val="24"/>
          <w:szCs w:val="24"/>
        </w:rPr>
        <w:t>735.3.1.demogrāfiski pieņēmumi par to pašreizējo un bijušo darbinieku (un viņu apgādājamo) raksturojumu nākotnē, kuriem pienākas labumi. Piemēram, darbinieku mirstība nodarbinātības laikā un pēc tās, rādītāji par darbinieku mainību, invaliditāti un pirmstermiņa pensionēšanos, plāna dalībnieku proporcija, kuriem ir apgādājamie un kuriem pienāksies labumi u.c.;</w:t>
      </w:r>
    </w:p>
    <w:p w14:paraId="6ABD0EF4" w14:textId="77777777" w:rsidR="00406C75" w:rsidRPr="00406C75" w:rsidRDefault="00406C75" w:rsidP="00CD363C">
      <w:pPr>
        <w:spacing w:after="0" w:line="240" w:lineRule="auto"/>
        <w:ind w:right="-66"/>
        <w:jc w:val="both"/>
        <w:rPr>
          <w:rFonts w:ascii="Times New Roman" w:hAnsi="Times New Roman" w:cs="Times New Roman"/>
          <w:b/>
          <w:sz w:val="24"/>
          <w:szCs w:val="24"/>
        </w:rPr>
      </w:pPr>
      <w:r w:rsidRPr="00406C75">
        <w:rPr>
          <w:rFonts w:ascii="Times New Roman" w:hAnsi="Times New Roman" w:cs="Times New Roman"/>
          <w:sz w:val="24"/>
          <w:szCs w:val="24"/>
        </w:rPr>
        <w:t>735.3.2.finansiāli pieņēmumi. Piemēram, diskonta likme, algas un pēcnodarbinātības labuma apmērs nākotnē, veselības aprūpes izmaksas nākotnē gadījumā, ja pēcnodarbinātības labumi attiecas uz veselības aprūpes pakalpojumiem, administrēšanas izmaksas, ja tās ir būtiskas, u.c.</w:t>
      </w:r>
    </w:p>
    <w:p w14:paraId="71F38E30"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736</w:t>
      </w:r>
      <w:r w:rsidRPr="00FC7616">
        <w:rPr>
          <w:rFonts w:ascii="Times New Roman" w:hAnsi="Times New Roman" w:cs="Times New Roman"/>
          <w:sz w:val="24"/>
          <w:szCs w:val="24"/>
        </w:rPr>
        <w:t>. Katra pārskata perioda beigās budžeta iestāde pārvērtē sava pienākuma (uzkrājumu vai saistību) pašreizējo vērtību, lietojot aktuālos aktuāra pieņēmumus, un atzīst pārējos ieņēmumos vai izdevumos:</w:t>
      </w:r>
    </w:p>
    <w:p w14:paraId="27A2C8B1" w14:textId="77777777" w:rsidR="00406C75" w:rsidRPr="00406C75" w:rsidRDefault="00406C75" w:rsidP="00CD363C">
      <w:pPr>
        <w:spacing w:after="0" w:line="240" w:lineRule="auto"/>
        <w:ind w:right="-66"/>
        <w:jc w:val="both"/>
        <w:rPr>
          <w:rFonts w:ascii="Times New Roman" w:hAnsi="Times New Roman" w:cs="Times New Roman"/>
          <w:sz w:val="24"/>
          <w:szCs w:val="24"/>
        </w:rPr>
      </w:pPr>
      <w:r w:rsidRPr="00406C75">
        <w:rPr>
          <w:rFonts w:ascii="Times New Roman" w:hAnsi="Times New Roman" w:cs="Times New Roman"/>
          <w:sz w:val="24"/>
          <w:szCs w:val="24"/>
        </w:rPr>
        <w:t>736.1.pienākuma pašreizējās vērtības izmaiņas;</w:t>
      </w:r>
    </w:p>
    <w:p w14:paraId="2AF9EE84" w14:textId="77777777" w:rsidR="00406C75" w:rsidRPr="00406C75" w:rsidRDefault="00406C75" w:rsidP="00CD363C">
      <w:pPr>
        <w:spacing w:after="0" w:line="240" w:lineRule="auto"/>
        <w:ind w:right="-66"/>
        <w:jc w:val="both"/>
        <w:rPr>
          <w:rFonts w:ascii="Times New Roman" w:hAnsi="Times New Roman" w:cs="Times New Roman"/>
          <w:sz w:val="24"/>
          <w:szCs w:val="24"/>
        </w:rPr>
      </w:pPr>
      <w:r w:rsidRPr="00406C75">
        <w:rPr>
          <w:rFonts w:ascii="Times New Roman" w:hAnsi="Times New Roman" w:cs="Times New Roman"/>
          <w:sz w:val="24"/>
          <w:szCs w:val="24"/>
        </w:rPr>
        <w:t xml:space="preserve">736.2.attiecīgos ieņēmumus vai izdevumus un iepriekšējā darba izmaksas, kas nav atzītas iepriekš, ja samazinājums attiecas uz labumiem, kas darbiniekam pienākas par iepriekš veiktu darbu. </w:t>
      </w:r>
    </w:p>
    <w:p w14:paraId="51400AFB"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737</w:t>
      </w:r>
      <w:r w:rsidRPr="00FC7616">
        <w:rPr>
          <w:rFonts w:ascii="Times New Roman" w:hAnsi="Times New Roman" w:cs="Times New Roman"/>
          <w:sz w:val="24"/>
          <w:szCs w:val="24"/>
        </w:rPr>
        <w:t xml:space="preserve">. Aktuārie guvumi un zaudējumi var rasties, palielinoties vai samazinoties labumu pienākuma pašreizējai vērtībai. Aktuāro guvumu un zaudējumu rašanās cēloņi var būt, piemēram, izmaiņas tādos demogrāfiskajos rādītājos kā darbinieku mainība un mirstība, un tādos finanšu rādītājos kā plānotais algu kāpums vai diskonta likmes izmaiņas u.c. </w:t>
      </w:r>
    </w:p>
    <w:p w14:paraId="20F20E89"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738</w:t>
      </w:r>
      <w:r w:rsidRPr="00FC7616">
        <w:rPr>
          <w:rFonts w:ascii="Times New Roman" w:hAnsi="Times New Roman" w:cs="Times New Roman"/>
          <w:sz w:val="24"/>
          <w:szCs w:val="24"/>
        </w:rPr>
        <w:t>. Budžeta iestāde veic iepriekšminētos aprēķinus un piemēro tos katram pēcnodarbinātības labumu plānam atsevišķi.</w:t>
      </w:r>
    </w:p>
    <w:p w14:paraId="01245EF6"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w:t>
      </w:r>
      <w:r w:rsidRPr="00FC7616">
        <w:rPr>
          <w:rFonts w:ascii="Times New Roman" w:hAnsi="Times New Roman" w:cs="Times New Roman"/>
          <w:sz w:val="24"/>
          <w:szCs w:val="24"/>
        </w:rPr>
        <w:t>. Uzkrājumu par pēcnodarbinātības labumiem izmaiņas atzīst pārskata perioda pārējos ieņēmumos vai izdevumos un tās var veidot šādas komponentes:</w:t>
      </w:r>
    </w:p>
    <w:p w14:paraId="6B5BB7E4" w14:textId="77777777" w:rsidR="00406C75" w:rsidRPr="00FC7616" w:rsidRDefault="00406C75"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739.1.</w:t>
      </w:r>
      <w:r w:rsidRPr="00FC7616">
        <w:rPr>
          <w:rFonts w:ascii="Times New Roman" w:hAnsi="Times New Roman" w:cs="Times New Roman"/>
          <w:sz w:val="24"/>
          <w:szCs w:val="24"/>
        </w:rPr>
        <w:t>kārtējā darba izmaksas, ko nosaka kā pienākuma pašreizējās vērtības pieaugumu, kas radies no darbinieka darba pārskata periodā;</w:t>
      </w:r>
    </w:p>
    <w:p w14:paraId="38AA8C55" w14:textId="77777777" w:rsidR="00406C75" w:rsidRPr="00FC7616" w:rsidRDefault="00406C75"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739.2.</w:t>
      </w:r>
      <w:r w:rsidRPr="00FC7616">
        <w:rPr>
          <w:rFonts w:ascii="Times New Roman" w:hAnsi="Times New Roman" w:cs="Times New Roman"/>
          <w:sz w:val="24"/>
          <w:szCs w:val="24"/>
        </w:rPr>
        <w:t>procentu izmaksas, ko aprēķina kā pienākuma pašreizējās vērtības pieaugumu attiecīgajā periodā laika faktora izmaiņu dēļ, reizinot perioda sākumā noteikto diskonta likmi ar pienākuma pašreizējo vērtību attiecīgajā periodā;</w:t>
      </w:r>
    </w:p>
    <w:p w14:paraId="01D66A7B" w14:textId="77777777" w:rsidR="00406C75" w:rsidRPr="00FC7616" w:rsidRDefault="00406C75"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739.3.</w:t>
      </w:r>
      <w:r w:rsidRPr="00FC7616">
        <w:rPr>
          <w:rFonts w:ascii="Times New Roman" w:hAnsi="Times New Roman" w:cs="Times New Roman"/>
          <w:sz w:val="24"/>
          <w:szCs w:val="24"/>
        </w:rPr>
        <w:t>iepriekšējā darba izmaksas, kuras atzīst pārskata periodā;</w:t>
      </w:r>
    </w:p>
    <w:p w14:paraId="19BF9CBE" w14:textId="77777777" w:rsidR="00406C75" w:rsidRPr="00FC7616" w:rsidRDefault="00406C75"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739.4.</w:t>
      </w:r>
      <w:r w:rsidRPr="00FC7616">
        <w:rPr>
          <w:rFonts w:ascii="Times New Roman" w:hAnsi="Times New Roman" w:cs="Times New Roman"/>
          <w:sz w:val="24"/>
          <w:szCs w:val="24"/>
        </w:rPr>
        <w:t>aktuāros guvumus un zaudējumus, kurus atzīst pārskata periodā;</w:t>
      </w:r>
    </w:p>
    <w:p w14:paraId="66ECF75F" w14:textId="77777777" w:rsidR="00406C75" w:rsidRDefault="00406C75" w:rsidP="00CD363C">
      <w:pPr>
        <w:pStyle w:val="Sarakstarindkopa"/>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739.5.</w:t>
      </w:r>
      <w:r w:rsidRPr="00FC7616">
        <w:rPr>
          <w:rFonts w:ascii="Times New Roman" w:hAnsi="Times New Roman" w:cs="Times New Roman"/>
          <w:sz w:val="24"/>
          <w:szCs w:val="24"/>
        </w:rPr>
        <w:t>citas izmaiņas, kuras atzīst pamatdarbības vai pārējos ieņēmumos vai izdevumos.</w:t>
      </w:r>
    </w:p>
    <w:p w14:paraId="2BDAD9E5" w14:textId="77777777" w:rsidR="00406C75" w:rsidRDefault="00406C7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18.4.3. </w:t>
      </w:r>
      <w:r w:rsidRPr="00FC7616">
        <w:rPr>
          <w:rFonts w:ascii="Times New Roman" w:hAnsi="Times New Roman" w:cs="Times New Roman"/>
          <w:b/>
          <w:sz w:val="24"/>
          <w:szCs w:val="24"/>
        </w:rPr>
        <w:t>Darba attiecību izbeigšanas labumu uzskaite</w:t>
      </w:r>
    </w:p>
    <w:p w14:paraId="05E5ECA1" w14:textId="77777777" w:rsidR="003A07A4" w:rsidRPr="00FC7616" w:rsidRDefault="003A07A4" w:rsidP="00CD363C">
      <w:pPr>
        <w:spacing w:after="0" w:line="240" w:lineRule="auto"/>
        <w:ind w:right="-66"/>
        <w:jc w:val="both"/>
        <w:rPr>
          <w:rFonts w:ascii="Times New Roman" w:hAnsi="Times New Roman" w:cs="Times New Roman"/>
          <w:sz w:val="24"/>
          <w:szCs w:val="24"/>
        </w:rPr>
      </w:pPr>
      <w:r w:rsidRPr="003A07A4">
        <w:rPr>
          <w:rFonts w:ascii="Times New Roman" w:hAnsi="Times New Roman" w:cs="Times New Roman"/>
          <w:sz w:val="24"/>
          <w:szCs w:val="24"/>
        </w:rPr>
        <w:t>740.</w:t>
      </w:r>
      <w:r w:rsidRPr="00FC7616">
        <w:rPr>
          <w:rFonts w:ascii="Times New Roman" w:hAnsi="Times New Roman" w:cs="Times New Roman"/>
          <w:sz w:val="24"/>
          <w:szCs w:val="24"/>
        </w:rPr>
        <w:t xml:space="preserve"> Budžeta iestāde var būt apņēmusies veikt maksājumus saviem darbiniekiem, pārtraucot darba attiecības, saskaņā ar tiesību aktiem, līgumu vai citu vienošanos ar darbiniekiem. Šādi maksājumi ir darba attiecību izbeigšanas labumi. </w:t>
      </w:r>
    </w:p>
    <w:p w14:paraId="60B38612" w14:textId="77777777" w:rsidR="003A07A4" w:rsidRPr="00FC7616"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741</w:t>
      </w:r>
      <w:r w:rsidR="003A07A4" w:rsidRPr="00FC7616">
        <w:rPr>
          <w:rFonts w:ascii="Times New Roman" w:hAnsi="Times New Roman" w:cs="Times New Roman"/>
          <w:sz w:val="24"/>
          <w:szCs w:val="24"/>
        </w:rPr>
        <w:t xml:space="preserve">. Budžeta iestāde atzīst saistības par darba attiecību izbeigšanas labumiem un attiecīgos pamatdarbības izdevumus tikai tad, ja budžeta iestādei ir apņēmusies izbeigt darba attiecības vai ja darbinieks pieņem lēmumu brīvprātīgi aiziet no darba, pretī saņemot šos labumus. </w:t>
      </w:r>
    </w:p>
    <w:p w14:paraId="622B5979" w14:textId="77777777" w:rsidR="003A07A4" w:rsidRPr="00FC7616"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742</w:t>
      </w:r>
      <w:r w:rsidR="003A07A4" w:rsidRPr="00FC7616">
        <w:rPr>
          <w:rFonts w:ascii="Times New Roman" w:hAnsi="Times New Roman" w:cs="Times New Roman"/>
          <w:sz w:val="24"/>
          <w:szCs w:val="24"/>
        </w:rPr>
        <w:t>. Budžeta iestādes apņemšanos izbeigt darba attiecības raksturo tas, ka budžeta iestādei ir detalizēts oficiāls plāns darba attiecību izbeigšanai un tai nav iespēja plānu atsaukt, piemēram, budžeta iestādes pieņemts lēmums par darba attiecību izbeigšanu ar konkrēto darbinieku vai darbinieku kopumu. Darba attiecību izbeigšanas plānā (lēmumā) jābūt iekļautai vismaz šādai informācijai:</w:t>
      </w:r>
    </w:p>
    <w:p w14:paraId="3414573E" w14:textId="77777777" w:rsidR="003A07A4"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742</w:t>
      </w:r>
      <w:r w:rsidR="003A07A4" w:rsidRPr="00AD5660">
        <w:rPr>
          <w:rFonts w:ascii="Times New Roman" w:hAnsi="Times New Roman" w:cs="Times New Roman"/>
          <w:sz w:val="24"/>
          <w:szCs w:val="24"/>
        </w:rPr>
        <w:t>.1.to darbinieku darbavieta, amats un aptuvens skaits, ar kuriem darba attiecības tiks izbeigtas;</w:t>
      </w:r>
    </w:p>
    <w:p w14:paraId="0B63A8AA" w14:textId="77777777" w:rsidR="003A07A4"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742</w:t>
      </w:r>
      <w:r w:rsidR="003A07A4" w:rsidRPr="00AD5660">
        <w:rPr>
          <w:rFonts w:ascii="Times New Roman" w:hAnsi="Times New Roman" w:cs="Times New Roman"/>
          <w:sz w:val="24"/>
          <w:szCs w:val="24"/>
        </w:rPr>
        <w:t xml:space="preserve">.2.darba attiecību izbeigšanas labumi katram amatam; </w:t>
      </w:r>
    </w:p>
    <w:p w14:paraId="094A2BA5" w14:textId="77777777" w:rsidR="003A07A4"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742</w:t>
      </w:r>
      <w:r w:rsidR="003A07A4" w:rsidRPr="00AD5660">
        <w:rPr>
          <w:rFonts w:ascii="Times New Roman" w:hAnsi="Times New Roman" w:cs="Times New Roman"/>
          <w:sz w:val="24"/>
          <w:szCs w:val="24"/>
        </w:rPr>
        <w:t>.3.plāna īstenošanas laiks (termiņi).</w:t>
      </w:r>
    </w:p>
    <w:p w14:paraId="7D792105"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743. Maksājumi par saistībām pret darbiniekiem sakarā ar darba attiecību izbeigšanu parasti ir vienreizēji maksājumi, bet dažreiz tajos iekļauj arī papildsummas, kas tieši vai netieši saistītas ar pēcnodarbinātības labumu plānu, vai darbinieka algu līdz noteikta darba uzteikuma termiņam, ja darbinieks vairs neveic turpmāku darbu, kas budžeta iestādei radītu saimnieciskos labumus.</w:t>
      </w:r>
    </w:p>
    <w:p w14:paraId="2AF4B2FB" w14:textId="77777777" w:rsidR="00AD5660" w:rsidRPr="00FC7616"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744</w:t>
      </w:r>
      <w:r w:rsidRPr="00FC7616">
        <w:rPr>
          <w:rFonts w:ascii="Times New Roman" w:hAnsi="Times New Roman" w:cs="Times New Roman"/>
          <w:sz w:val="24"/>
          <w:szCs w:val="24"/>
        </w:rPr>
        <w:t xml:space="preserve">. Saistības pret darbiniekiem sakarā ar darba attiecību izbeigšanu nedod budžeta iestādei nākotnes saimnieciskos labumus, un budžeta iestāde tos uzreiz atzīst par izdevumiem. </w:t>
      </w:r>
    </w:p>
    <w:p w14:paraId="08830BE6" w14:textId="77777777" w:rsidR="00AD5660"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745</w:t>
      </w:r>
      <w:r w:rsidRPr="00FC7616">
        <w:rPr>
          <w:rFonts w:ascii="Times New Roman" w:hAnsi="Times New Roman" w:cs="Times New Roman"/>
          <w:sz w:val="24"/>
          <w:szCs w:val="24"/>
        </w:rPr>
        <w:t>. Budžeta iestāde atzīst saistības par darba attiecību izbeigšanas labumiem un attiecīgos pamatdarbības izdevumus datumā, kurā stājas spēkā detalizēts oficiāls plāns darba attiecību izbeigšanai, veicot sekojošu grāmatojumu:</w:t>
      </w:r>
    </w:p>
    <w:p w14:paraId="266C1953" w14:textId="77777777" w:rsidR="00AD5660" w:rsidRP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D 7000  Pamatdarbības izdevumi </w:t>
      </w:r>
    </w:p>
    <w:p w14:paraId="1C14436C" w14:textId="77777777" w:rsidR="00AD5660" w:rsidRP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K 5610   Norēķini par darba samaksu vai </w:t>
      </w:r>
    </w:p>
    <w:p w14:paraId="506B3789" w14:textId="77777777" w:rsidR="00AD5660" w:rsidRP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K 5400 Uzkrātās saistības </w:t>
      </w:r>
    </w:p>
    <w:p w14:paraId="3C3E708A" w14:textId="77777777" w:rsid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K 5720 Nodokļi, sociālās apdrošināšanas maksājumi un citi maksājumi </w:t>
      </w:r>
    </w:p>
    <w:p w14:paraId="42703BF1" w14:textId="77777777" w:rsidR="00AD5660" w:rsidRPr="00FC7616"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746. </w:t>
      </w:r>
      <w:r w:rsidRPr="00FC7616">
        <w:rPr>
          <w:rFonts w:ascii="Times New Roman" w:hAnsi="Times New Roman" w:cs="Times New Roman"/>
          <w:sz w:val="24"/>
          <w:szCs w:val="24"/>
        </w:rPr>
        <w:t xml:space="preserve"> Budžeta iestāde aprēķina saistību/uzkrāto saistību (vai uzkrājumu) summu pret darbiniekiem sakarā ar darba attiecību izbeigšanu saskaņā ar darba attiecību izbeigšanas plānu un gadījumā, ja saistību summas pret darbiniekiem sakarā ar darba attiecību izbeigšanu maksājuma termiņš iestāsies vēlāk nekā 12 mēnešus pēc pārskata perioda beigām, diskontē to ar Valsts kases tīmekļa vietnē publicēto diskonta likmi, kas uzrāda naudas vērtību laikā.</w:t>
      </w:r>
    </w:p>
    <w:p w14:paraId="66B87646" w14:textId="77777777" w:rsidR="00AD5660"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747</w:t>
      </w:r>
      <w:r w:rsidRPr="00FC7616">
        <w:rPr>
          <w:rFonts w:ascii="Times New Roman" w:hAnsi="Times New Roman" w:cs="Times New Roman"/>
          <w:sz w:val="24"/>
          <w:szCs w:val="24"/>
        </w:rPr>
        <w:t>. Katrā gadījumā, ja pastāv nenoteiktība attiecībā uz saistību pret darbiniekiem sakarā ar darba attiecību izbeigšanu apjomu, kuru budžeta iestādei būs pienākums nodrošināt, budžeta iestāde izvērtē, vai atzīstamas saistības/uzkrātās saistības vai uzkrājumi, vai zembilancē uzrādāma informācija par iespējamām saistībām.</w:t>
      </w:r>
    </w:p>
    <w:p w14:paraId="4D9E4095" w14:textId="77777777" w:rsidR="00AD5660" w:rsidRDefault="00AD5660" w:rsidP="00CD363C">
      <w:pPr>
        <w:spacing w:after="0" w:line="240" w:lineRule="auto"/>
        <w:ind w:right="-66"/>
        <w:jc w:val="both"/>
        <w:rPr>
          <w:rFonts w:ascii="Times New Roman" w:hAnsi="Times New Roman" w:cs="Times New Roman"/>
          <w:b/>
          <w:sz w:val="24"/>
          <w:szCs w:val="24"/>
        </w:rPr>
      </w:pPr>
    </w:p>
    <w:p w14:paraId="4B207636" w14:textId="77777777" w:rsidR="00AD5660" w:rsidRPr="002242A4" w:rsidRDefault="00AD5660" w:rsidP="00CD363C">
      <w:pPr>
        <w:spacing w:after="0" w:line="240" w:lineRule="auto"/>
        <w:ind w:right="-66"/>
        <w:jc w:val="both"/>
        <w:rPr>
          <w:rFonts w:ascii="Times New Roman" w:hAnsi="Times New Roman" w:cs="Times New Roman"/>
          <w:b/>
          <w:sz w:val="24"/>
          <w:szCs w:val="24"/>
        </w:rPr>
      </w:pPr>
      <w:r w:rsidRPr="002242A4">
        <w:rPr>
          <w:rFonts w:ascii="Times New Roman" w:hAnsi="Times New Roman" w:cs="Times New Roman"/>
          <w:b/>
          <w:sz w:val="24"/>
          <w:szCs w:val="24"/>
        </w:rPr>
        <w:t>18.4.4. Citu darbinieku ilgtermiņa labumu uzskaite</w:t>
      </w:r>
    </w:p>
    <w:p w14:paraId="3763C68A" w14:textId="77777777" w:rsidR="00AD5660" w:rsidRPr="00FC7616"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w:t>
      </w:r>
      <w:r w:rsidRPr="00AD5660">
        <w:rPr>
          <w:rFonts w:ascii="Times New Roman" w:hAnsi="Times New Roman" w:cs="Times New Roman"/>
          <w:b/>
          <w:sz w:val="24"/>
          <w:szCs w:val="24"/>
        </w:rPr>
        <w:t xml:space="preserve"> </w:t>
      </w:r>
      <w:r w:rsidRPr="00FC7616">
        <w:rPr>
          <w:rFonts w:ascii="Times New Roman" w:hAnsi="Times New Roman" w:cs="Times New Roman"/>
          <w:sz w:val="24"/>
          <w:szCs w:val="24"/>
        </w:rPr>
        <w:t xml:space="preserve">Citi darbinieku ilgtermiņa labumi ir tādi labumi, kas nav pēcnodarbinātības labumi un darba attiecību izbeigšanas labumi un kuru maksājuma termiņš iestājas vēlāk nekā 12 mēnešus pēc tā perioda beigām, kurā darbinieki veic attiecīgo darbu. </w:t>
      </w:r>
    </w:p>
    <w:p w14:paraId="09C47C92" w14:textId="77777777" w:rsidR="00AD5660" w:rsidRPr="00FC7616" w:rsidRDefault="00AD5660" w:rsidP="00CD363C">
      <w:pPr>
        <w:spacing w:after="0" w:line="240" w:lineRule="auto"/>
        <w:ind w:right="-66"/>
        <w:jc w:val="both"/>
        <w:rPr>
          <w:rFonts w:ascii="Times New Roman" w:hAnsi="Times New Roman" w:cs="Times New Roman"/>
          <w:sz w:val="24"/>
          <w:szCs w:val="24"/>
        </w:rPr>
      </w:pPr>
      <w:r w:rsidRPr="00FC7616">
        <w:rPr>
          <w:rFonts w:ascii="Times New Roman" w:hAnsi="Times New Roman" w:cs="Times New Roman"/>
          <w:sz w:val="24"/>
          <w:szCs w:val="24"/>
        </w:rPr>
        <w:t xml:space="preserve">Citi darbinieku ilgtermiņa labumi ir, piemēram: </w:t>
      </w:r>
    </w:p>
    <w:p w14:paraId="51EB97BF"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748.1.apmaksāti ilgstoši kavējumi, piemēram, mācību atvaļinājums; </w:t>
      </w:r>
    </w:p>
    <w:p w14:paraId="562968C1"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748.2.ilgstošas invaliditātes labumi;</w:t>
      </w:r>
    </w:p>
    <w:p w14:paraId="0DA4A34F"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748.3.prēmijas, kas maksājamas 12 mēnešu laikā vai ilgāk pēc perioda beigām, kurā darbinieki veic attiecīgo darbu;</w:t>
      </w:r>
    </w:p>
    <w:p w14:paraId="0019D675"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748.4.atliktā atlīdzība, ko izmaksā 12 mēnešus vai vēlāk pēc perioda beigām, kurā tā nopelnīta;</w:t>
      </w:r>
    </w:p>
    <w:p w14:paraId="7A45084A" w14:textId="77777777" w:rsid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748.5.atlīdzība, kas budžeta iestādei jāmaksā līdz brīdim, kad tās bijušais darbinieks uzsāk jaunas darba attiecības, piemēram, kompensācija darbiniekam par konkurences ierobežojumu, nestrādājot konkrētu laika periodu konkrētā darbības sfērā. </w:t>
      </w:r>
    </w:p>
    <w:p w14:paraId="455BEB28" w14:textId="77777777" w:rsidR="00AD5660"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749.</w:t>
      </w:r>
      <w:r w:rsidRPr="00FC7616">
        <w:rPr>
          <w:rFonts w:ascii="Times New Roman" w:hAnsi="Times New Roman" w:cs="Times New Roman"/>
          <w:sz w:val="24"/>
          <w:szCs w:val="24"/>
        </w:rPr>
        <w:t xml:space="preserve"> Budžeta iestāde aprēķina savu pienākumu attiecībā uz citām ilgtermiņa saistībām pret darbiniekiem pašreizējo vērtību pārskata perioda beigās un aprēķināto summu atzīst par saistībām.</w:t>
      </w:r>
    </w:p>
    <w:p w14:paraId="725930C6" w14:textId="77777777" w:rsidR="00AD5660" w:rsidRDefault="00AD5660" w:rsidP="00CD363C">
      <w:pPr>
        <w:spacing w:after="0" w:line="240" w:lineRule="auto"/>
        <w:ind w:right="-66"/>
        <w:jc w:val="both"/>
        <w:rPr>
          <w:i/>
          <w:sz w:val="24"/>
          <w:szCs w:val="24"/>
        </w:rPr>
      </w:pPr>
      <w:r w:rsidRPr="00AD5660">
        <w:rPr>
          <w:b/>
          <w:i/>
          <w:sz w:val="24"/>
          <w:szCs w:val="24"/>
        </w:rPr>
        <w:t>Piemēram,</w:t>
      </w:r>
      <w:r w:rsidRPr="00AD5660">
        <w:rPr>
          <w:i/>
          <w:sz w:val="24"/>
          <w:szCs w:val="24"/>
        </w:rPr>
        <w:t xml:space="preserve"> viens no citu darbinieka ilgtermiņa labumu veidiem var būt ilgstošas invaliditātes labums (darbinieka invaliditātes labumi). Gadījumā, ja pabalsta līmenis ir atkarīgs no darbinieka darba stāža, budžeta iestādes pienākums attiecībā uz ilgtermiņa labumu rodas darba veikšanas brīdī. Novērtējot šo pienākumu, budžeta iestāde ņem vērā ticamību, ka šo maksājumu būs nepieciešams veikt, un laika periodu, par kādu šis maksājums būtu veicams. Ja pabalsta līmenis ir tāds pats jebkuram darba nespējīgam darbiniekam neatkarīgi no nostrādātajiem gadiem, tad paredzamās izmaksas attiecībā uz ilgtermiņa labumu atzīst, kad īstenojas notikums, kas radījis ilgstošu invaliditāti. Ilgstošas invaliditātes pabalstu maksājumi var būt pakļauti lielākai nenoteiktībai nekā citi ilgtermiņa darbinieku labumi.</w:t>
      </w:r>
    </w:p>
    <w:p w14:paraId="62B11490" w14:textId="77777777" w:rsidR="002242A4" w:rsidRDefault="002242A4" w:rsidP="00CD363C">
      <w:pPr>
        <w:pStyle w:val="Virsraksts4"/>
        <w:tabs>
          <w:tab w:val="left" w:pos="879"/>
        </w:tabs>
        <w:spacing w:before="0"/>
        <w:ind w:left="0" w:right="-66"/>
        <w:jc w:val="both"/>
      </w:pPr>
      <w:r>
        <w:t>750.</w:t>
      </w:r>
      <w:r w:rsidRPr="002242A4">
        <w:rPr>
          <w:color w:val="002069"/>
        </w:rPr>
        <w:t xml:space="preserve"> </w:t>
      </w:r>
      <w:r>
        <w:rPr>
          <w:color w:val="002069"/>
        </w:rPr>
        <w:t>Piemērs – pēcnodarbinātības pabalsta</w:t>
      </w:r>
      <w:r>
        <w:rPr>
          <w:color w:val="002069"/>
          <w:spacing w:val="-1"/>
        </w:rPr>
        <w:t xml:space="preserve"> </w:t>
      </w:r>
      <w:r>
        <w:rPr>
          <w:color w:val="002069"/>
        </w:rPr>
        <w:t>uzskaite</w:t>
      </w:r>
    </w:p>
    <w:p w14:paraId="3E6EC33C" w14:textId="77777777" w:rsidR="002242A4" w:rsidRDefault="002242A4" w:rsidP="00CD363C">
      <w:pPr>
        <w:pStyle w:val="Pamatteksts"/>
        <w:ind w:right="-66"/>
        <w:jc w:val="both"/>
      </w:pPr>
      <w:r>
        <w:t xml:space="preserve">Pašvaldībai ir saistoši nodrošināt ikmēneša pabalsta izmaksu divu minimālo mēnešalgu apmērā bijušajam novada domes priekšsēdētājam saskaņā ar </w:t>
      </w:r>
      <w:hyperlink r:id="rId42">
        <w:r>
          <w:rPr>
            <w:color w:val="0462C1"/>
            <w:u w:val="single" w:color="0462C1"/>
          </w:rPr>
          <w:t>Republikas pilsētas domes un novada domes deputāta statusa</w:t>
        </w:r>
      </w:hyperlink>
      <w:r>
        <w:rPr>
          <w:color w:val="0462C1"/>
        </w:rPr>
        <w:t xml:space="preserve"> </w:t>
      </w:r>
      <w:hyperlink r:id="rId43">
        <w:r>
          <w:rPr>
            <w:color w:val="0462C1"/>
            <w:u w:val="single" w:color="0462C1"/>
          </w:rPr>
          <w:t>likuma</w:t>
        </w:r>
      </w:hyperlink>
      <w:r>
        <w:rPr>
          <w:color w:val="0462C1"/>
        </w:rPr>
        <w:t xml:space="preserve"> </w:t>
      </w:r>
      <w:r>
        <w:t>prasībām. Likums nosaka, ja personai vienlaikus ir tiesības uz noteikto pabalstu un invaliditātes pensiju, vecuma pensiju vai atlīdzību par darbspēju zaudējumu, tad izmaksā to pabalsta daļu, kas pārsniedz attiecīgi invaliditātes pensijas, vecuma pensijas vai atlīdzības par darbspēju zaudējumu apmēru.</w:t>
      </w:r>
    </w:p>
    <w:p w14:paraId="3A44B65B" w14:textId="77777777" w:rsidR="002242A4" w:rsidRDefault="002242A4" w:rsidP="00CD363C">
      <w:pPr>
        <w:pStyle w:val="Pamatteksts"/>
        <w:ind w:right="-66"/>
        <w:jc w:val="both"/>
      </w:pPr>
      <w:r>
        <w:t>Piemērā pieņemts, ka bijušajam priekšsēdētājam vienlaikus ir tiesības uz vecuma pensiju. 2019.gadā beigās pašvaldība ir apkopojusi sekojošo informāciju:</w:t>
      </w:r>
    </w:p>
    <w:p w14:paraId="79148790"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Priekšsēdētāja vecuma pensijas apmērs ir 600,00</w:t>
      </w:r>
      <w:r>
        <w:rPr>
          <w:spacing w:val="-2"/>
        </w:rPr>
        <w:t xml:space="preserve"> </w:t>
      </w:r>
      <w:r>
        <w:t>EUR</w:t>
      </w:r>
    </w:p>
    <w:p w14:paraId="23A19C98"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Minimālā alga ir 430,00</w:t>
      </w:r>
      <w:r>
        <w:rPr>
          <w:spacing w:val="-3"/>
        </w:rPr>
        <w:t xml:space="preserve"> </w:t>
      </w:r>
      <w:r>
        <w:t>EUR</w:t>
      </w:r>
    </w:p>
    <w:p w14:paraId="0A0141AC"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Izmaksājamā pabalsta apmērs ik mēnesi 260,00 EUR (430,00 x 2 –</w:t>
      </w:r>
      <w:r>
        <w:rPr>
          <w:spacing w:val="-11"/>
        </w:rPr>
        <w:t xml:space="preserve"> </w:t>
      </w:r>
      <w:r>
        <w:t>600,00)</w:t>
      </w:r>
    </w:p>
    <w:p w14:paraId="6D411DC7"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Priekšsēdētāja vecums ir 88</w:t>
      </w:r>
      <w:r>
        <w:rPr>
          <w:spacing w:val="-4"/>
        </w:rPr>
        <w:t xml:space="preserve"> </w:t>
      </w:r>
      <w:r>
        <w:t>gadi</w:t>
      </w:r>
    </w:p>
    <w:p w14:paraId="76204144"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Valsts kases tīmekļa vietnē publicētā diskonta likme uzkrājumiem ir</w:t>
      </w:r>
      <w:r>
        <w:rPr>
          <w:spacing w:val="-13"/>
        </w:rPr>
        <w:t xml:space="preserve"> </w:t>
      </w:r>
      <w:r>
        <w:t>1,7%</w:t>
      </w:r>
    </w:p>
    <w:p w14:paraId="4E74D626" w14:textId="77777777" w:rsidR="002242A4" w:rsidRDefault="002242A4" w:rsidP="00CD363C">
      <w:pPr>
        <w:pStyle w:val="Pamatteksts"/>
        <w:ind w:left="338" w:right="-66"/>
        <w:jc w:val="both"/>
      </w:pPr>
      <w:r>
        <w:t>Informācija no Centrālās statistikas pārvaldes datubāzes «Paredzamais mūža ilgums gados un mūža ilguma rādītāji»:</w:t>
      </w:r>
    </w:p>
    <w:p w14:paraId="734840CD" w14:textId="77777777" w:rsidR="0094772B" w:rsidRDefault="0094772B" w:rsidP="00CD363C">
      <w:pPr>
        <w:pStyle w:val="Pamatteksts"/>
        <w:ind w:left="338" w:right="-66"/>
        <w:jc w:val="both"/>
      </w:pPr>
    </w:p>
    <w:p w14:paraId="35EADFE0" w14:textId="77777777" w:rsidR="002242A4" w:rsidRDefault="002242A4" w:rsidP="00CD363C">
      <w:pPr>
        <w:spacing w:after="0" w:line="240" w:lineRule="auto"/>
        <w:ind w:right="-66"/>
        <w:jc w:val="both"/>
      </w:pPr>
    </w:p>
    <w:p w14:paraId="0E9B6154" w14:textId="77777777" w:rsidR="002242A4" w:rsidRDefault="00870ECE" w:rsidP="00CD363C">
      <w:pPr>
        <w:pStyle w:val="Sarakstarindkopa"/>
        <w:widowControl w:val="0"/>
        <w:tabs>
          <w:tab w:val="left" w:pos="2853"/>
        </w:tabs>
        <w:autoSpaceDE w:val="0"/>
        <w:autoSpaceDN w:val="0"/>
        <w:spacing w:after="0" w:line="240" w:lineRule="auto"/>
        <w:ind w:left="2852" w:right="-66"/>
        <w:contextualSpacing w:val="0"/>
        <w:jc w:val="both"/>
        <w:rPr>
          <w:sz w:val="20"/>
        </w:rPr>
        <w:sectPr w:rsidR="002242A4" w:rsidSect="006D602B">
          <w:pgSz w:w="11910" w:h="16840"/>
          <w:pgMar w:top="760" w:right="853" w:bottom="1200" w:left="1134" w:header="0" w:footer="937" w:gutter="0"/>
          <w:cols w:space="720"/>
        </w:sectPr>
      </w:pPr>
      <w:r>
        <w:rPr>
          <w:noProof/>
        </w:rPr>
        <mc:AlternateContent>
          <mc:Choice Requires="wps">
            <w:drawing>
              <wp:anchor distT="0" distB="0" distL="114300" distR="114300" simplePos="0" relativeHeight="251667456" behindDoc="0" locked="0" layoutInCell="1" allowOverlap="1" wp14:anchorId="6DB2E2D1" wp14:editId="02B46DA1">
                <wp:simplePos x="0" y="0"/>
                <wp:positionH relativeFrom="page">
                  <wp:posOffset>901065</wp:posOffset>
                </wp:positionH>
                <wp:positionV relativeFrom="paragraph">
                  <wp:posOffset>319405</wp:posOffset>
                </wp:positionV>
                <wp:extent cx="5278755" cy="1530350"/>
                <wp:effectExtent l="0" t="0" r="1905" b="0"/>
                <wp:wrapNone/>
                <wp:docPr id="7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765"/>
                              <w:gridCol w:w="2765"/>
                              <w:gridCol w:w="2768"/>
                            </w:tblGrid>
                            <w:tr w:rsidR="00335490" w14:paraId="0D531DAE" w14:textId="77777777">
                              <w:trPr>
                                <w:trHeight w:val="230"/>
                              </w:trPr>
                              <w:tc>
                                <w:tcPr>
                                  <w:tcW w:w="8298" w:type="dxa"/>
                                  <w:gridSpan w:val="3"/>
                                  <w:shd w:val="clear" w:color="auto" w:fill="F1F1F1"/>
                                </w:tcPr>
                                <w:p w14:paraId="0C96B965" w14:textId="77777777" w:rsidR="00335490" w:rsidRDefault="00335490">
                                  <w:pPr>
                                    <w:pStyle w:val="TableParagraph"/>
                                    <w:spacing w:line="210" w:lineRule="exact"/>
                                    <w:ind w:left="1206"/>
                                    <w:rPr>
                                      <w:b/>
                                      <w:sz w:val="20"/>
                                    </w:rPr>
                                  </w:pPr>
                                  <w:r>
                                    <w:rPr>
                                      <w:b/>
                                      <w:sz w:val="20"/>
                                    </w:rPr>
                                    <w:t>PAREDZAMAIS MŪŽA ILGUMS PĒC VECUMA UN DZIMUMA</w:t>
                                  </w:r>
                                </w:p>
                              </w:tc>
                            </w:tr>
                            <w:tr w:rsidR="00335490" w14:paraId="60986D86" w14:textId="77777777">
                              <w:trPr>
                                <w:trHeight w:val="230"/>
                              </w:trPr>
                              <w:tc>
                                <w:tcPr>
                                  <w:tcW w:w="2765" w:type="dxa"/>
                                  <w:vMerge w:val="restart"/>
                                  <w:shd w:val="clear" w:color="auto" w:fill="F1F1F1"/>
                                </w:tcPr>
                                <w:p w14:paraId="48A64259" w14:textId="77777777" w:rsidR="00335490" w:rsidRDefault="00335490">
                                  <w:pPr>
                                    <w:pStyle w:val="TableParagraph"/>
                                    <w:spacing w:before="120"/>
                                    <w:ind w:left="1122" w:right="1170"/>
                                    <w:jc w:val="center"/>
                                    <w:rPr>
                                      <w:b/>
                                      <w:sz w:val="20"/>
                                    </w:rPr>
                                  </w:pPr>
                                  <w:r>
                                    <w:rPr>
                                      <w:b/>
                                      <w:sz w:val="20"/>
                                    </w:rPr>
                                    <w:t>Gadi</w:t>
                                  </w:r>
                                </w:p>
                              </w:tc>
                              <w:tc>
                                <w:tcPr>
                                  <w:tcW w:w="5533" w:type="dxa"/>
                                  <w:gridSpan w:val="2"/>
                                  <w:shd w:val="clear" w:color="auto" w:fill="F1F1F1"/>
                                </w:tcPr>
                                <w:p w14:paraId="2D4C3BA1" w14:textId="77777777" w:rsidR="00335490" w:rsidRDefault="00335490">
                                  <w:pPr>
                                    <w:pStyle w:val="TableParagraph"/>
                                    <w:rPr>
                                      <w:sz w:val="16"/>
                                    </w:rPr>
                                  </w:pPr>
                                </w:p>
                              </w:tc>
                            </w:tr>
                            <w:tr w:rsidR="00335490" w14:paraId="76D234F0" w14:textId="77777777">
                              <w:trPr>
                                <w:trHeight w:val="230"/>
                              </w:trPr>
                              <w:tc>
                                <w:tcPr>
                                  <w:tcW w:w="2765" w:type="dxa"/>
                                  <w:vMerge/>
                                  <w:tcBorders>
                                    <w:top w:val="nil"/>
                                  </w:tcBorders>
                                  <w:shd w:val="clear" w:color="auto" w:fill="F1F1F1"/>
                                </w:tcPr>
                                <w:p w14:paraId="52AE85F2" w14:textId="77777777" w:rsidR="00335490" w:rsidRDefault="00335490">
                                  <w:pPr>
                                    <w:rPr>
                                      <w:sz w:val="2"/>
                                      <w:szCs w:val="2"/>
                                    </w:rPr>
                                  </w:pPr>
                                </w:p>
                              </w:tc>
                              <w:tc>
                                <w:tcPr>
                                  <w:tcW w:w="2765" w:type="dxa"/>
                                  <w:shd w:val="clear" w:color="auto" w:fill="F1F1F1"/>
                                </w:tcPr>
                                <w:p w14:paraId="0C556DB5" w14:textId="77777777" w:rsidR="00335490" w:rsidRDefault="00335490">
                                  <w:pPr>
                                    <w:pStyle w:val="TableParagraph"/>
                                    <w:rPr>
                                      <w:sz w:val="16"/>
                                    </w:rPr>
                                  </w:pPr>
                                </w:p>
                              </w:tc>
                              <w:tc>
                                <w:tcPr>
                                  <w:tcW w:w="2768" w:type="dxa"/>
                                  <w:shd w:val="clear" w:color="auto" w:fill="F1F1F1"/>
                                </w:tcPr>
                                <w:p w14:paraId="445E7599" w14:textId="77777777" w:rsidR="00335490" w:rsidRDefault="00335490">
                                  <w:pPr>
                                    <w:pStyle w:val="TableParagraph"/>
                                    <w:rPr>
                                      <w:sz w:val="16"/>
                                    </w:rPr>
                                  </w:pPr>
                                </w:p>
                              </w:tc>
                            </w:tr>
                            <w:tr w:rsidR="00335490" w14:paraId="41D9DA95" w14:textId="77777777">
                              <w:trPr>
                                <w:trHeight w:val="230"/>
                              </w:trPr>
                              <w:tc>
                                <w:tcPr>
                                  <w:tcW w:w="2765" w:type="dxa"/>
                                </w:tcPr>
                                <w:p w14:paraId="7945CA87" w14:textId="77777777" w:rsidR="00335490" w:rsidRDefault="00335490">
                                  <w:pPr>
                                    <w:pStyle w:val="TableParagraph"/>
                                    <w:spacing w:line="210" w:lineRule="exact"/>
                                    <w:ind w:left="1252"/>
                                    <w:rPr>
                                      <w:sz w:val="20"/>
                                    </w:rPr>
                                  </w:pPr>
                                  <w:r>
                                    <w:rPr>
                                      <w:sz w:val="20"/>
                                    </w:rPr>
                                    <w:t>60</w:t>
                                  </w:r>
                                </w:p>
                              </w:tc>
                              <w:tc>
                                <w:tcPr>
                                  <w:tcW w:w="2765" w:type="dxa"/>
                                </w:tcPr>
                                <w:p w14:paraId="05779A41" w14:textId="77777777" w:rsidR="00335490" w:rsidRDefault="00335490">
                                  <w:pPr>
                                    <w:pStyle w:val="TableParagraph"/>
                                    <w:spacing w:line="210" w:lineRule="exact"/>
                                    <w:ind w:left="1178"/>
                                    <w:rPr>
                                      <w:sz w:val="20"/>
                                    </w:rPr>
                                  </w:pPr>
                                  <w:r>
                                    <w:rPr>
                                      <w:sz w:val="20"/>
                                    </w:rPr>
                                    <w:t>16,9</w:t>
                                  </w:r>
                                </w:p>
                              </w:tc>
                              <w:tc>
                                <w:tcPr>
                                  <w:tcW w:w="2768" w:type="dxa"/>
                                </w:tcPr>
                                <w:p w14:paraId="586550CE" w14:textId="77777777" w:rsidR="00335490" w:rsidRDefault="00335490">
                                  <w:pPr>
                                    <w:pStyle w:val="TableParagraph"/>
                                    <w:spacing w:line="210" w:lineRule="exact"/>
                                    <w:ind w:left="1179"/>
                                    <w:rPr>
                                      <w:sz w:val="20"/>
                                    </w:rPr>
                                  </w:pPr>
                                  <w:r>
                                    <w:rPr>
                                      <w:sz w:val="20"/>
                                    </w:rPr>
                                    <w:t>22,9</w:t>
                                  </w:r>
                                </w:p>
                              </w:tc>
                            </w:tr>
                            <w:tr w:rsidR="00335490" w14:paraId="5727D020" w14:textId="77777777">
                              <w:trPr>
                                <w:trHeight w:val="230"/>
                              </w:trPr>
                              <w:tc>
                                <w:tcPr>
                                  <w:tcW w:w="2765" w:type="dxa"/>
                                </w:tcPr>
                                <w:p w14:paraId="5DA3679C" w14:textId="77777777" w:rsidR="00335490" w:rsidRDefault="00335490">
                                  <w:pPr>
                                    <w:pStyle w:val="TableParagraph"/>
                                    <w:spacing w:line="210" w:lineRule="exact"/>
                                    <w:ind w:left="1252"/>
                                    <w:rPr>
                                      <w:sz w:val="20"/>
                                    </w:rPr>
                                  </w:pPr>
                                  <w:r>
                                    <w:rPr>
                                      <w:sz w:val="20"/>
                                    </w:rPr>
                                    <w:t>65</w:t>
                                  </w:r>
                                </w:p>
                              </w:tc>
                              <w:tc>
                                <w:tcPr>
                                  <w:tcW w:w="2765" w:type="dxa"/>
                                </w:tcPr>
                                <w:p w14:paraId="60CAB193" w14:textId="77777777" w:rsidR="00335490" w:rsidRDefault="00335490">
                                  <w:pPr>
                                    <w:pStyle w:val="TableParagraph"/>
                                    <w:spacing w:line="210" w:lineRule="exact"/>
                                    <w:ind w:left="1178"/>
                                    <w:rPr>
                                      <w:sz w:val="20"/>
                                    </w:rPr>
                                  </w:pPr>
                                  <w:r>
                                    <w:rPr>
                                      <w:sz w:val="20"/>
                                    </w:rPr>
                                    <w:t>13,9</w:t>
                                  </w:r>
                                </w:p>
                              </w:tc>
                              <w:tc>
                                <w:tcPr>
                                  <w:tcW w:w="2768" w:type="dxa"/>
                                </w:tcPr>
                                <w:p w14:paraId="5B0B2F70" w14:textId="77777777" w:rsidR="00335490" w:rsidRDefault="00335490">
                                  <w:pPr>
                                    <w:pStyle w:val="TableParagraph"/>
                                    <w:spacing w:line="210" w:lineRule="exact"/>
                                    <w:ind w:left="1179"/>
                                    <w:rPr>
                                      <w:sz w:val="20"/>
                                    </w:rPr>
                                  </w:pPr>
                                  <w:r>
                                    <w:rPr>
                                      <w:sz w:val="20"/>
                                    </w:rPr>
                                    <w:t>18,8</w:t>
                                  </w:r>
                                </w:p>
                              </w:tc>
                            </w:tr>
                            <w:tr w:rsidR="00335490" w14:paraId="0F337AE9" w14:textId="77777777">
                              <w:trPr>
                                <w:trHeight w:val="230"/>
                              </w:trPr>
                              <w:tc>
                                <w:tcPr>
                                  <w:tcW w:w="2765" w:type="dxa"/>
                                </w:tcPr>
                                <w:p w14:paraId="2D683FCE" w14:textId="77777777" w:rsidR="00335490" w:rsidRDefault="00335490">
                                  <w:pPr>
                                    <w:pStyle w:val="TableParagraph"/>
                                    <w:spacing w:line="210" w:lineRule="exact"/>
                                    <w:ind w:left="1252"/>
                                    <w:rPr>
                                      <w:sz w:val="20"/>
                                    </w:rPr>
                                  </w:pPr>
                                  <w:r>
                                    <w:rPr>
                                      <w:sz w:val="20"/>
                                    </w:rPr>
                                    <w:t>70</w:t>
                                  </w:r>
                                </w:p>
                              </w:tc>
                              <w:tc>
                                <w:tcPr>
                                  <w:tcW w:w="2765" w:type="dxa"/>
                                </w:tcPr>
                                <w:p w14:paraId="1364960F" w14:textId="77777777" w:rsidR="00335490" w:rsidRDefault="00335490">
                                  <w:pPr>
                                    <w:pStyle w:val="TableParagraph"/>
                                    <w:spacing w:line="210" w:lineRule="exact"/>
                                    <w:ind w:left="1178"/>
                                    <w:rPr>
                                      <w:sz w:val="20"/>
                                    </w:rPr>
                                  </w:pPr>
                                  <w:r>
                                    <w:rPr>
                                      <w:sz w:val="20"/>
                                    </w:rPr>
                                    <w:t>11,3</w:t>
                                  </w:r>
                                </w:p>
                              </w:tc>
                              <w:tc>
                                <w:tcPr>
                                  <w:tcW w:w="2768" w:type="dxa"/>
                                </w:tcPr>
                                <w:p w14:paraId="14DD7739" w14:textId="77777777" w:rsidR="00335490" w:rsidRDefault="00335490">
                                  <w:pPr>
                                    <w:pStyle w:val="TableParagraph"/>
                                    <w:spacing w:line="210" w:lineRule="exact"/>
                                    <w:ind w:left="1179"/>
                                    <w:rPr>
                                      <w:sz w:val="20"/>
                                    </w:rPr>
                                  </w:pPr>
                                  <w:r>
                                    <w:rPr>
                                      <w:sz w:val="20"/>
                                    </w:rPr>
                                    <w:t>15,0</w:t>
                                  </w:r>
                                </w:p>
                              </w:tc>
                            </w:tr>
                            <w:tr w:rsidR="00335490" w14:paraId="7CEF808E" w14:textId="77777777">
                              <w:trPr>
                                <w:trHeight w:val="230"/>
                              </w:trPr>
                              <w:tc>
                                <w:tcPr>
                                  <w:tcW w:w="2765" w:type="dxa"/>
                                </w:tcPr>
                                <w:p w14:paraId="44FEEEC6" w14:textId="77777777" w:rsidR="00335490" w:rsidRDefault="00335490">
                                  <w:pPr>
                                    <w:pStyle w:val="TableParagraph"/>
                                    <w:spacing w:line="210" w:lineRule="exact"/>
                                    <w:ind w:left="1252"/>
                                    <w:rPr>
                                      <w:sz w:val="20"/>
                                    </w:rPr>
                                  </w:pPr>
                                  <w:r>
                                    <w:rPr>
                                      <w:sz w:val="20"/>
                                    </w:rPr>
                                    <w:t>75</w:t>
                                  </w:r>
                                </w:p>
                              </w:tc>
                              <w:tc>
                                <w:tcPr>
                                  <w:tcW w:w="2765" w:type="dxa"/>
                                </w:tcPr>
                                <w:p w14:paraId="031AE944" w14:textId="77777777" w:rsidR="00335490" w:rsidRDefault="00335490">
                                  <w:pPr>
                                    <w:pStyle w:val="TableParagraph"/>
                                    <w:spacing w:line="210" w:lineRule="exact"/>
                                    <w:ind w:left="1228"/>
                                    <w:rPr>
                                      <w:sz w:val="20"/>
                                    </w:rPr>
                                  </w:pPr>
                                  <w:r>
                                    <w:rPr>
                                      <w:sz w:val="20"/>
                                    </w:rPr>
                                    <w:t>9,0</w:t>
                                  </w:r>
                                </w:p>
                              </w:tc>
                              <w:tc>
                                <w:tcPr>
                                  <w:tcW w:w="2768" w:type="dxa"/>
                                </w:tcPr>
                                <w:p w14:paraId="3A73862F" w14:textId="77777777" w:rsidR="00335490" w:rsidRDefault="00335490">
                                  <w:pPr>
                                    <w:pStyle w:val="TableParagraph"/>
                                    <w:spacing w:line="210" w:lineRule="exact"/>
                                    <w:ind w:left="1179"/>
                                    <w:rPr>
                                      <w:sz w:val="20"/>
                                    </w:rPr>
                                  </w:pPr>
                                  <w:r>
                                    <w:rPr>
                                      <w:sz w:val="20"/>
                                    </w:rPr>
                                    <w:t>11,5</w:t>
                                  </w:r>
                                </w:p>
                              </w:tc>
                            </w:tr>
                            <w:tr w:rsidR="00335490" w14:paraId="62DD76BB" w14:textId="77777777">
                              <w:trPr>
                                <w:trHeight w:val="230"/>
                              </w:trPr>
                              <w:tc>
                                <w:tcPr>
                                  <w:tcW w:w="2765" w:type="dxa"/>
                                </w:tcPr>
                                <w:p w14:paraId="0B23C35F" w14:textId="77777777" w:rsidR="00335490" w:rsidRDefault="00335490">
                                  <w:pPr>
                                    <w:pStyle w:val="TableParagraph"/>
                                    <w:spacing w:line="210" w:lineRule="exact"/>
                                    <w:ind w:left="1252"/>
                                    <w:rPr>
                                      <w:sz w:val="20"/>
                                    </w:rPr>
                                  </w:pPr>
                                  <w:r>
                                    <w:rPr>
                                      <w:sz w:val="20"/>
                                    </w:rPr>
                                    <w:t>80</w:t>
                                  </w:r>
                                </w:p>
                              </w:tc>
                              <w:tc>
                                <w:tcPr>
                                  <w:tcW w:w="2765" w:type="dxa"/>
                                </w:tcPr>
                                <w:p w14:paraId="760AC9AF" w14:textId="77777777" w:rsidR="00335490" w:rsidRDefault="00335490">
                                  <w:pPr>
                                    <w:pStyle w:val="TableParagraph"/>
                                    <w:spacing w:line="210" w:lineRule="exact"/>
                                    <w:ind w:left="1228"/>
                                    <w:rPr>
                                      <w:sz w:val="20"/>
                                    </w:rPr>
                                  </w:pPr>
                                  <w:r>
                                    <w:rPr>
                                      <w:sz w:val="20"/>
                                    </w:rPr>
                                    <w:t>6,7</w:t>
                                  </w:r>
                                </w:p>
                              </w:tc>
                              <w:tc>
                                <w:tcPr>
                                  <w:tcW w:w="2768" w:type="dxa"/>
                                </w:tcPr>
                                <w:p w14:paraId="16E824EE" w14:textId="77777777" w:rsidR="00335490" w:rsidRDefault="00335490">
                                  <w:pPr>
                                    <w:pStyle w:val="TableParagraph"/>
                                    <w:spacing w:line="210" w:lineRule="exact"/>
                                    <w:ind w:left="1229"/>
                                    <w:rPr>
                                      <w:sz w:val="20"/>
                                    </w:rPr>
                                  </w:pPr>
                                  <w:r>
                                    <w:rPr>
                                      <w:sz w:val="20"/>
                                    </w:rPr>
                                    <w:t>8,3</w:t>
                                  </w:r>
                                </w:p>
                              </w:tc>
                            </w:tr>
                            <w:tr w:rsidR="00335490" w14:paraId="4E2BBB40" w14:textId="77777777">
                              <w:trPr>
                                <w:trHeight w:val="230"/>
                              </w:trPr>
                              <w:tc>
                                <w:tcPr>
                                  <w:tcW w:w="2765" w:type="dxa"/>
                                  <w:shd w:val="clear" w:color="auto" w:fill="DEEAF6"/>
                                </w:tcPr>
                                <w:p w14:paraId="6520CD95" w14:textId="77777777" w:rsidR="00335490" w:rsidRDefault="00335490">
                                  <w:pPr>
                                    <w:pStyle w:val="TableParagraph"/>
                                    <w:spacing w:line="210" w:lineRule="exact"/>
                                    <w:ind w:left="1252"/>
                                    <w:rPr>
                                      <w:sz w:val="20"/>
                                    </w:rPr>
                                  </w:pPr>
                                  <w:r>
                                    <w:rPr>
                                      <w:sz w:val="20"/>
                                    </w:rPr>
                                    <w:t>85</w:t>
                                  </w:r>
                                </w:p>
                              </w:tc>
                              <w:tc>
                                <w:tcPr>
                                  <w:tcW w:w="2765" w:type="dxa"/>
                                  <w:shd w:val="clear" w:color="auto" w:fill="DEEAF6"/>
                                </w:tcPr>
                                <w:p w14:paraId="367BAB51" w14:textId="77777777" w:rsidR="00335490" w:rsidRDefault="00335490">
                                  <w:pPr>
                                    <w:pStyle w:val="TableParagraph"/>
                                    <w:spacing w:line="210" w:lineRule="exact"/>
                                    <w:ind w:left="1228"/>
                                    <w:rPr>
                                      <w:sz w:val="20"/>
                                    </w:rPr>
                                  </w:pPr>
                                  <w:r>
                                    <w:rPr>
                                      <w:sz w:val="20"/>
                                    </w:rPr>
                                    <w:t>4,9</w:t>
                                  </w:r>
                                </w:p>
                              </w:tc>
                              <w:tc>
                                <w:tcPr>
                                  <w:tcW w:w="2768" w:type="dxa"/>
                                </w:tcPr>
                                <w:p w14:paraId="41680244" w14:textId="77777777" w:rsidR="00335490" w:rsidRDefault="00335490">
                                  <w:pPr>
                                    <w:pStyle w:val="TableParagraph"/>
                                    <w:spacing w:line="210" w:lineRule="exact"/>
                                    <w:ind w:left="1229"/>
                                    <w:rPr>
                                      <w:sz w:val="20"/>
                                    </w:rPr>
                                  </w:pPr>
                                  <w:r>
                                    <w:rPr>
                                      <w:sz w:val="20"/>
                                    </w:rPr>
                                    <w:t>5,7</w:t>
                                  </w:r>
                                </w:p>
                              </w:tc>
                            </w:tr>
                            <w:tr w:rsidR="00335490" w14:paraId="371E3F5F" w14:textId="77777777">
                              <w:trPr>
                                <w:trHeight w:val="230"/>
                              </w:trPr>
                              <w:tc>
                                <w:tcPr>
                                  <w:tcW w:w="2765" w:type="dxa"/>
                                  <w:shd w:val="clear" w:color="auto" w:fill="DEEAF6"/>
                                </w:tcPr>
                                <w:p w14:paraId="7EBB6A33" w14:textId="77777777" w:rsidR="00335490" w:rsidRDefault="00335490">
                                  <w:pPr>
                                    <w:pStyle w:val="TableParagraph"/>
                                    <w:spacing w:line="210" w:lineRule="exact"/>
                                    <w:ind w:left="1252"/>
                                    <w:rPr>
                                      <w:sz w:val="20"/>
                                    </w:rPr>
                                  </w:pPr>
                                  <w:r>
                                    <w:rPr>
                                      <w:sz w:val="20"/>
                                    </w:rPr>
                                    <w:t>90</w:t>
                                  </w:r>
                                </w:p>
                              </w:tc>
                              <w:tc>
                                <w:tcPr>
                                  <w:tcW w:w="2765" w:type="dxa"/>
                                  <w:shd w:val="clear" w:color="auto" w:fill="DEEAF6"/>
                                </w:tcPr>
                                <w:p w14:paraId="76E63291" w14:textId="77777777" w:rsidR="00335490" w:rsidRDefault="00335490">
                                  <w:pPr>
                                    <w:pStyle w:val="TableParagraph"/>
                                    <w:spacing w:line="210" w:lineRule="exact"/>
                                    <w:ind w:left="1228"/>
                                    <w:rPr>
                                      <w:sz w:val="20"/>
                                    </w:rPr>
                                  </w:pPr>
                                  <w:r>
                                    <w:rPr>
                                      <w:sz w:val="20"/>
                                    </w:rPr>
                                    <w:t>3,4</w:t>
                                  </w:r>
                                </w:p>
                              </w:tc>
                              <w:tc>
                                <w:tcPr>
                                  <w:tcW w:w="2768" w:type="dxa"/>
                                </w:tcPr>
                                <w:p w14:paraId="782ED13E" w14:textId="77777777" w:rsidR="00335490" w:rsidRDefault="00335490">
                                  <w:pPr>
                                    <w:pStyle w:val="TableParagraph"/>
                                    <w:spacing w:line="210" w:lineRule="exact"/>
                                    <w:ind w:left="1229"/>
                                    <w:rPr>
                                      <w:sz w:val="20"/>
                                    </w:rPr>
                                  </w:pPr>
                                  <w:r>
                                    <w:rPr>
                                      <w:sz w:val="20"/>
                                    </w:rPr>
                                    <w:t>4,0</w:t>
                                  </w:r>
                                </w:p>
                              </w:tc>
                            </w:tr>
                          </w:tbl>
                          <w:p w14:paraId="1E71DF21" w14:textId="77777777" w:rsidR="00335490" w:rsidRDefault="00335490" w:rsidP="001944BC">
                            <w:pPr>
                              <w:pStyle w:val="Pamatteks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2E2D1" id="Text Box 10" o:spid="_x0000_s1027" type="#_x0000_t202" style="position:absolute;left:0;text-align:left;margin-left:70.95pt;margin-top:25.15pt;width:415.65pt;height:12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" filled="f" stroked="f">
                <v:textbox inset="0,0,0,0">
                  <w:txbxContent>
                    <w:tbl>
                      <w:tblPr>
                        <w:tblW w:w="0" w:type="auto"/>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765"/>
                        <w:gridCol w:w="2765"/>
                        <w:gridCol w:w="2768"/>
                      </w:tblGrid>
                      <w:tr w:rsidR="00335490" w14:paraId="0D531DAE" w14:textId="77777777">
                        <w:trPr>
                          <w:trHeight w:val="230"/>
                        </w:trPr>
                        <w:tc>
                          <w:tcPr>
                            <w:tcW w:w="8298" w:type="dxa"/>
                            <w:gridSpan w:val="3"/>
                            <w:shd w:val="clear" w:color="auto" w:fill="F1F1F1"/>
                          </w:tcPr>
                          <w:p w14:paraId="0C96B965" w14:textId="77777777" w:rsidR="00335490" w:rsidRDefault="00335490">
                            <w:pPr>
                              <w:pStyle w:val="TableParagraph"/>
                              <w:spacing w:line="210" w:lineRule="exact"/>
                              <w:ind w:left="1206"/>
                              <w:rPr>
                                <w:b/>
                                <w:sz w:val="20"/>
                              </w:rPr>
                            </w:pPr>
                            <w:r>
                              <w:rPr>
                                <w:b/>
                                <w:sz w:val="20"/>
                              </w:rPr>
                              <w:t>PAREDZAMAIS MŪŽA ILGUMS PĒC VECUMA UN DZIMUMA</w:t>
                            </w:r>
                          </w:p>
                        </w:tc>
                      </w:tr>
                      <w:tr w:rsidR="00335490" w14:paraId="60986D86" w14:textId="77777777">
                        <w:trPr>
                          <w:trHeight w:val="230"/>
                        </w:trPr>
                        <w:tc>
                          <w:tcPr>
                            <w:tcW w:w="2765" w:type="dxa"/>
                            <w:vMerge w:val="restart"/>
                            <w:shd w:val="clear" w:color="auto" w:fill="F1F1F1"/>
                          </w:tcPr>
                          <w:p w14:paraId="48A64259" w14:textId="77777777" w:rsidR="00335490" w:rsidRDefault="00335490">
                            <w:pPr>
                              <w:pStyle w:val="TableParagraph"/>
                              <w:spacing w:before="120"/>
                              <w:ind w:left="1122" w:right="1170"/>
                              <w:jc w:val="center"/>
                              <w:rPr>
                                <w:b/>
                                <w:sz w:val="20"/>
                              </w:rPr>
                            </w:pPr>
                            <w:r>
                              <w:rPr>
                                <w:b/>
                                <w:sz w:val="20"/>
                              </w:rPr>
                              <w:t>Gadi</w:t>
                            </w:r>
                          </w:p>
                        </w:tc>
                        <w:tc>
                          <w:tcPr>
                            <w:tcW w:w="5533" w:type="dxa"/>
                            <w:gridSpan w:val="2"/>
                            <w:shd w:val="clear" w:color="auto" w:fill="F1F1F1"/>
                          </w:tcPr>
                          <w:p w14:paraId="2D4C3BA1" w14:textId="77777777" w:rsidR="00335490" w:rsidRDefault="00335490">
                            <w:pPr>
                              <w:pStyle w:val="TableParagraph"/>
                              <w:rPr>
                                <w:sz w:val="16"/>
                              </w:rPr>
                            </w:pPr>
                          </w:p>
                        </w:tc>
                      </w:tr>
                      <w:tr w:rsidR="00335490" w14:paraId="76D234F0" w14:textId="77777777">
                        <w:trPr>
                          <w:trHeight w:val="230"/>
                        </w:trPr>
                        <w:tc>
                          <w:tcPr>
                            <w:tcW w:w="2765" w:type="dxa"/>
                            <w:vMerge/>
                            <w:tcBorders>
                              <w:top w:val="nil"/>
                            </w:tcBorders>
                            <w:shd w:val="clear" w:color="auto" w:fill="F1F1F1"/>
                          </w:tcPr>
                          <w:p w14:paraId="52AE85F2" w14:textId="77777777" w:rsidR="00335490" w:rsidRDefault="00335490">
                            <w:pPr>
                              <w:rPr>
                                <w:sz w:val="2"/>
                                <w:szCs w:val="2"/>
                              </w:rPr>
                            </w:pPr>
                          </w:p>
                        </w:tc>
                        <w:tc>
                          <w:tcPr>
                            <w:tcW w:w="2765" w:type="dxa"/>
                            <w:shd w:val="clear" w:color="auto" w:fill="F1F1F1"/>
                          </w:tcPr>
                          <w:p w14:paraId="0C556DB5" w14:textId="77777777" w:rsidR="00335490" w:rsidRDefault="00335490">
                            <w:pPr>
                              <w:pStyle w:val="TableParagraph"/>
                              <w:rPr>
                                <w:sz w:val="16"/>
                              </w:rPr>
                            </w:pPr>
                          </w:p>
                        </w:tc>
                        <w:tc>
                          <w:tcPr>
                            <w:tcW w:w="2768" w:type="dxa"/>
                            <w:shd w:val="clear" w:color="auto" w:fill="F1F1F1"/>
                          </w:tcPr>
                          <w:p w14:paraId="445E7599" w14:textId="77777777" w:rsidR="00335490" w:rsidRDefault="00335490">
                            <w:pPr>
                              <w:pStyle w:val="TableParagraph"/>
                              <w:rPr>
                                <w:sz w:val="16"/>
                              </w:rPr>
                            </w:pPr>
                          </w:p>
                        </w:tc>
                      </w:tr>
                      <w:tr w:rsidR="00335490" w14:paraId="41D9DA95" w14:textId="77777777">
                        <w:trPr>
                          <w:trHeight w:val="230"/>
                        </w:trPr>
                        <w:tc>
                          <w:tcPr>
                            <w:tcW w:w="2765" w:type="dxa"/>
                          </w:tcPr>
                          <w:p w14:paraId="7945CA87" w14:textId="77777777" w:rsidR="00335490" w:rsidRDefault="00335490">
                            <w:pPr>
                              <w:pStyle w:val="TableParagraph"/>
                              <w:spacing w:line="210" w:lineRule="exact"/>
                              <w:ind w:left="1252"/>
                              <w:rPr>
                                <w:sz w:val="20"/>
                              </w:rPr>
                            </w:pPr>
                            <w:r>
                              <w:rPr>
                                <w:sz w:val="20"/>
                              </w:rPr>
                              <w:t>60</w:t>
                            </w:r>
                          </w:p>
                        </w:tc>
                        <w:tc>
                          <w:tcPr>
                            <w:tcW w:w="2765" w:type="dxa"/>
                          </w:tcPr>
                          <w:p w14:paraId="05779A41" w14:textId="77777777" w:rsidR="00335490" w:rsidRDefault="00335490">
                            <w:pPr>
                              <w:pStyle w:val="TableParagraph"/>
                              <w:spacing w:line="210" w:lineRule="exact"/>
                              <w:ind w:left="1178"/>
                              <w:rPr>
                                <w:sz w:val="20"/>
                              </w:rPr>
                            </w:pPr>
                            <w:r>
                              <w:rPr>
                                <w:sz w:val="20"/>
                              </w:rPr>
                              <w:t>16,9</w:t>
                            </w:r>
                          </w:p>
                        </w:tc>
                        <w:tc>
                          <w:tcPr>
                            <w:tcW w:w="2768" w:type="dxa"/>
                          </w:tcPr>
                          <w:p w14:paraId="586550CE" w14:textId="77777777" w:rsidR="00335490" w:rsidRDefault="00335490">
                            <w:pPr>
                              <w:pStyle w:val="TableParagraph"/>
                              <w:spacing w:line="210" w:lineRule="exact"/>
                              <w:ind w:left="1179"/>
                              <w:rPr>
                                <w:sz w:val="20"/>
                              </w:rPr>
                            </w:pPr>
                            <w:r>
                              <w:rPr>
                                <w:sz w:val="20"/>
                              </w:rPr>
                              <w:t>22,9</w:t>
                            </w:r>
                          </w:p>
                        </w:tc>
                      </w:tr>
                      <w:tr w:rsidR="00335490" w14:paraId="5727D020" w14:textId="77777777">
                        <w:trPr>
                          <w:trHeight w:val="230"/>
                        </w:trPr>
                        <w:tc>
                          <w:tcPr>
                            <w:tcW w:w="2765" w:type="dxa"/>
                          </w:tcPr>
                          <w:p w14:paraId="5DA3679C" w14:textId="77777777" w:rsidR="00335490" w:rsidRDefault="00335490">
                            <w:pPr>
                              <w:pStyle w:val="TableParagraph"/>
                              <w:spacing w:line="210" w:lineRule="exact"/>
                              <w:ind w:left="1252"/>
                              <w:rPr>
                                <w:sz w:val="20"/>
                              </w:rPr>
                            </w:pPr>
                            <w:r>
                              <w:rPr>
                                <w:sz w:val="20"/>
                              </w:rPr>
                              <w:t>65</w:t>
                            </w:r>
                          </w:p>
                        </w:tc>
                        <w:tc>
                          <w:tcPr>
                            <w:tcW w:w="2765" w:type="dxa"/>
                          </w:tcPr>
                          <w:p w14:paraId="60CAB193" w14:textId="77777777" w:rsidR="00335490" w:rsidRDefault="00335490">
                            <w:pPr>
                              <w:pStyle w:val="TableParagraph"/>
                              <w:spacing w:line="210" w:lineRule="exact"/>
                              <w:ind w:left="1178"/>
                              <w:rPr>
                                <w:sz w:val="20"/>
                              </w:rPr>
                            </w:pPr>
                            <w:r>
                              <w:rPr>
                                <w:sz w:val="20"/>
                              </w:rPr>
                              <w:t>13,9</w:t>
                            </w:r>
                          </w:p>
                        </w:tc>
                        <w:tc>
                          <w:tcPr>
                            <w:tcW w:w="2768" w:type="dxa"/>
                          </w:tcPr>
                          <w:p w14:paraId="5B0B2F70" w14:textId="77777777" w:rsidR="00335490" w:rsidRDefault="00335490">
                            <w:pPr>
                              <w:pStyle w:val="TableParagraph"/>
                              <w:spacing w:line="210" w:lineRule="exact"/>
                              <w:ind w:left="1179"/>
                              <w:rPr>
                                <w:sz w:val="20"/>
                              </w:rPr>
                            </w:pPr>
                            <w:r>
                              <w:rPr>
                                <w:sz w:val="20"/>
                              </w:rPr>
                              <w:t>18,8</w:t>
                            </w:r>
                          </w:p>
                        </w:tc>
                      </w:tr>
                      <w:tr w:rsidR="00335490" w14:paraId="0F337AE9" w14:textId="77777777">
                        <w:trPr>
                          <w:trHeight w:val="230"/>
                        </w:trPr>
                        <w:tc>
                          <w:tcPr>
                            <w:tcW w:w="2765" w:type="dxa"/>
                          </w:tcPr>
                          <w:p w14:paraId="2D683FCE" w14:textId="77777777" w:rsidR="00335490" w:rsidRDefault="00335490">
                            <w:pPr>
                              <w:pStyle w:val="TableParagraph"/>
                              <w:spacing w:line="210" w:lineRule="exact"/>
                              <w:ind w:left="1252"/>
                              <w:rPr>
                                <w:sz w:val="20"/>
                              </w:rPr>
                            </w:pPr>
                            <w:r>
                              <w:rPr>
                                <w:sz w:val="20"/>
                              </w:rPr>
                              <w:t>70</w:t>
                            </w:r>
                          </w:p>
                        </w:tc>
                        <w:tc>
                          <w:tcPr>
                            <w:tcW w:w="2765" w:type="dxa"/>
                          </w:tcPr>
                          <w:p w14:paraId="1364960F" w14:textId="77777777" w:rsidR="00335490" w:rsidRDefault="00335490">
                            <w:pPr>
                              <w:pStyle w:val="TableParagraph"/>
                              <w:spacing w:line="210" w:lineRule="exact"/>
                              <w:ind w:left="1178"/>
                              <w:rPr>
                                <w:sz w:val="20"/>
                              </w:rPr>
                            </w:pPr>
                            <w:r>
                              <w:rPr>
                                <w:sz w:val="20"/>
                              </w:rPr>
                              <w:t>11,3</w:t>
                            </w:r>
                          </w:p>
                        </w:tc>
                        <w:tc>
                          <w:tcPr>
                            <w:tcW w:w="2768" w:type="dxa"/>
                          </w:tcPr>
                          <w:p w14:paraId="14DD7739" w14:textId="77777777" w:rsidR="00335490" w:rsidRDefault="00335490">
                            <w:pPr>
                              <w:pStyle w:val="TableParagraph"/>
                              <w:spacing w:line="210" w:lineRule="exact"/>
                              <w:ind w:left="1179"/>
                              <w:rPr>
                                <w:sz w:val="20"/>
                              </w:rPr>
                            </w:pPr>
                            <w:r>
                              <w:rPr>
                                <w:sz w:val="20"/>
                              </w:rPr>
                              <w:t>15,0</w:t>
                            </w:r>
                          </w:p>
                        </w:tc>
                      </w:tr>
                      <w:tr w:rsidR="00335490" w14:paraId="7CEF808E" w14:textId="77777777">
                        <w:trPr>
                          <w:trHeight w:val="230"/>
                        </w:trPr>
                        <w:tc>
                          <w:tcPr>
                            <w:tcW w:w="2765" w:type="dxa"/>
                          </w:tcPr>
                          <w:p w14:paraId="44FEEEC6" w14:textId="77777777" w:rsidR="00335490" w:rsidRDefault="00335490">
                            <w:pPr>
                              <w:pStyle w:val="TableParagraph"/>
                              <w:spacing w:line="210" w:lineRule="exact"/>
                              <w:ind w:left="1252"/>
                              <w:rPr>
                                <w:sz w:val="20"/>
                              </w:rPr>
                            </w:pPr>
                            <w:r>
                              <w:rPr>
                                <w:sz w:val="20"/>
                              </w:rPr>
                              <w:t>75</w:t>
                            </w:r>
                          </w:p>
                        </w:tc>
                        <w:tc>
                          <w:tcPr>
                            <w:tcW w:w="2765" w:type="dxa"/>
                          </w:tcPr>
                          <w:p w14:paraId="031AE944" w14:textId="77777777" w:rsidR="00335490" w:rsidRDefault="00335490">
                            <w:pPr>
                              <w:pStyle w:val="TableParagraph"/>
                              <w:spacing w:line="210" w:lineRule="exact"/>
                              <w:ind w:left="1228"/>
                              <w:rPr>
                                <w:sz w:val="20"/>
                              </w:rPr>
                            </w:pPr>
                            <w:r>
                              <w:rPr>
                                <w:sz w:val="20"/>
                              </w:rPr>
                              <w:t>9,0</w:t>
                            </w:r>
                          </w:p>
                        </w:tc>
                        <w:tc>
                          <w:tcPr>
                            <w:tcW w:w="2768" w:type="dxa"/>
                          </w:tcPr>
                          <w:p w14:paraId="3A73862F" w14:textId="77777777" w:rsidR="00335490" w:rsidRDefault="00335490">
                            <w:pPr>
                              <w:pStyle w:val="TableParagraph"/>
                              <w:spacing w:line="210" w:lineRule="exact"/>
                              <w:ind w:left="1179"/>
                              <w:rPr>
                                <w:sz w:val="20"/>
                              </w:rPr>
                            </w:pPr>
                            <w:r>
                              <w:rPr>
                                <w:sz w:val="20"/>
                              </w:rPr>
                              <w:t>11,5</w:t>
                            </w:r>
                          </w:p>
                        </w:tc>
                      </w:tr>
                      <w:tr w:rsidR="00335490" w14:paraId="62DD76BB" w14:textId="77777777">
                        <w:trPr>
                          <w:trHeight w:val="230"/>
                        </w:trPr>
                        <w:tc>
                          <w:tcPr>
                            <w:tcW w:w="2765" w:type="dxa"/>
                          </w:tcPr>
                          <w:p w14:paraId="0B23C35F" w14:textId="77777777" w:rsidR="00335490" w:rsidRDefault="00335490">
                            <w:pPr>
                              <w:pStyle w:val="TableParagraph"/>
                              <w:spacing w:line="210" w:lineRule="exact"/>
                              <w:ind w:left="1252"/>
                              <w:rPr>
                                <w:sz w:val="20"/>
                              </w:rPr>
                            </w:pPr>
                            <w:r>
                              <w:rPr>
                                <w:sz w:val="20"/>
                              </w:rPr>
                              <w:t>80</w:t>
                            </w:r>
                          </w:p>
                        </w:tc>
                        <w:tc>
                          <w:tcPr>
                            <w:tcW w:w="2765" w:type="dxa"/>
                          </w:tcPr>
                          <w:p w14:paraId="760AC9AF" w14:textId="77777777" w:rsidR="00335490" w:rsidRDefault="00335490">
                            <w:pPr>
                              <w:pStyle w:val="TableParagraph"/>
                              <w:spacing w:line="210" w:lineRule="exact"/>
                              <w:ind w:left="1228"/>
                              <w:rPr>
                                <w:sz w:val="20"/>
                              </w:rPr>
                            </w:pPr>
                            <w:r>
                              <w:rPr>
                                <w:sz w:val="20"/>
                              </w:rPr>
                              <w:t>6,7</w:t>
                            </w:r>
                          </w:p>
                        </w:tc>
                        <w:tc>
                          <w:tcPr>
                            <w:tcW w:w="2768" w:type="dxa"/>
                          </w:tcPr>
                          <w:p w14:paraId="16E824EE" w14:textId="77777777" w:rsidR="00335490" w:rsidRDefault="00335490">
                            <w:pPr>
                              <w:pStyle w:val="TableParagraph"/>
                              <w:spacing w:line="210" w:lineRule="exact"/>
                              <w:ind w:left="1229"/>
                              <w:rPr>
                                <w:sz w:val="20"/>
                              </w:rPr>
                            </w:pPr>
                            <w:r>
                              <w:rPr>
                                <w:sz w:val="20"/>
                              </w:rPr>
                              <w:t>8,3</w:t>
                            </w:r>
                          </w:p>
                        </w:tc>
                      </w:tr>
                      <w:tr w:rsidR="00335490" w14:paraId="4E2BBB40" w14:textId="77777777">
                        <w:trPr>
                          <w:trHeight w:val="230"/>
                        </w:trPr>
                        <w:tc>
                          <w:tcPr>
                            <w:tcW w:w="2765" w:type="dxa"/>
                            <w:shd w:val="clear" w:color="auto" w:fill="DEEAF6"/>
                          </w:tcPr>
                          <w:p w14:paraId="6520CD95" w14:textId="77777777" w:rsidR="00335490" w:rsidRDefault="00335490">
                            <w:pPr>
                              <w:pStyle w:val="TableParagraph"/>
                              <w:spacing w:line="210" w:lineRule="exact"/>
                              <w:ind w:left="1252"/>
                              <w:rPr>
                                <w:sz w:val="20"/>
                              </w:rPr>
                            </w:pPr>
                            <w:r>
                              <w:rPr>
                                <w:sz w:val="20"/>
                              </w:rPr>
                              <w:t>85</w:t>
                            </w:r>
                          </w:p>
                        </w:tc>
                        <w:tc>
                          <w:tcPr>
                            <w:tcW w:w="2765" w:type="dxa"/>
                            <w:shd w:val="clear" w:color="auto" w:fill="DEEAF6"/>
                          </w:tcPr>
                          <w:p w14:paraId="367BAB51" w14:textId="77777777" w:rsidR="00335490" w:rsidRDefault="00335490">
                            <w:pPr>
                              <w:pStyle w:val="TableParagraph"/>
                              <w:spacing w:line="210" w:lineRule="exact"/>
                              <w:ind w:left="1228"/>
                              <w:rPr>
                                <w:sz w:val="20"/>
                              </w:rPr>
                            </w:pPr>
                            <w:r>
                              <w:rPr>
                                <w:sz w:val="20"/>
                              </w:rPr>
                              <w:t>4,9</w:t>
                            </w:r>
                          </w:p>
                        </w:tc>
                        <w:tc>
                          <w:tcPr>
                            <w:tcW w:w="2768" w:type="dxa"/>
                          </w:tcPr>
                          <w:p w14:paraId="41680244" w14:textId="77777777" w:rsidR="00335490" w:rsidRDefault="00335490">
                            <w:pPr>
                              <w:pStyle w:val="TableParagraph"/>
                              <w:spacing w:line="210" w:lineRule="exact"/>
                              <w:ind w:left="1229"/>
                              <w:rPr>
                                <w:sz w:val="20"/>
                              </w:rPr>
                            </w:pPr>
                            <w:r>
                              <w:rPr>
                                <w:sz w:val="20"/>
                              </w:rPr>
                              <w:t>5,7</w:t>
                            </w:r>
                          </w:p>
                        </w:tc>
                      </w:tr>
                      <w:tr w:rsidR="00335490" w14:paraId="371E3F5F" w14:textId="77777777">
                        <w:trPr>
                          <w:trHeight w:val="230"/>
                        </w:trPr>
                        <w:tc>
                          <w:tcPr>
                            <w:tcW w:w="2765" w:type="dxa"/>
                            <w:shd w:val="clear" w:color="auto" w:fill="DEEAF6"/>
                          </w:tcPr>
                          <w:p w14:paraId="7EBB6A33" w14:textId="77777777" w:rsidR="00335490" w:rsidRDefault="00335490">
                            <w:pPr>
                              <w:pStyle w:val="TableParagraph"/>
                              <w:spacing w:line="210" w:lineRule="exact"/>
                              <w:ind w:left="1252"/>
                              <w:rPr>
                                <w:sz w:val="20"/>
                              </w:rPr>
                            </w:pPr>
                            <w:r>
                              <w:rPr>
                                <w:sz w:val="20"/>
                              </w:rPr>
                              <w:t>90</w:t>
                            </w:r>
                          </w:p>
                        </w:tc>
                        <w:tc>
                          <w:tcPr>
                            <w:tcW w:w="2765" w:type="dxa"/>
                            <w:shd w:val="clear" w:color="auto" w:fill="DEEAF6"/>
                          </w:tcPr>
                          <w:p w14:paraId="76E63291" w14:textId="77777777" w:rsidR="00335490" w:rsidRDefault="00335490">
                            <w:pPr>
                              <w:pStyle w:val="TableParagraph"/>
                              <w:spacing w:line="210" w:lineRule="exact"/>
                              <w:ind w:left="1228"/>
                              <w:rPr>
                                <w:sz w:val="20"/>
                              </w:rPr>
                            </w:pPr>
                            <w:r>
                              <w:rPr>
                                <w:sz w:val="20"/>
                              </w:rPr>
                              <w:t>3,4</w:t>
                            </w:r>
                          </w:p>
                        </w:tc>
                        <w:tc>
                          <w:tcPr>
                            <w:tcW w:w="2768" w:type="dxa"/>
                          </w:tcPr>
                          <w:p w14:paraId="782ED13E" w14:textId="77777777" w:rsidR="00335490" w:rsidRDefault="00335490">
                            <w:pPr>
                              <w:pStyle w:val="TableParagraph"/>
                              <w:spacing w:line="210" w:lineRule="exact"/>
                              <w:ind w:left="1229"/>
                              <w:rPr>
                                <w:sz w:val="20"/>
                              </w:rPr>
                            </w:pPr>
                            <w:r>
                              <w:rPr>
                                <w:sz w:val="20"/>
                              </w:rPr>
                              <w:t>4,0</w:t>
                            </w:r>
                          </w:p>
                        </w:tc>
                      </w:tr>
                    </w:tbl>
                    <w:p w14:paraId="1E71DF21" w14:textId="77777777" w:rsidR="00335490" w:rsidRDefault="00335490" w:rsidP="001944BC">
                      <w:pPr>
                        <w:pStyle w:val="Pamatteksts"/>
                      </w:pPr>
                    </w:p>
                  </w:txbxContent>
                </v:textbox>
                <w10:wrap anchorx="page"/>
              </v:shape>
            </w:pict>
          </mc:Fallback>
        </mc:AlternateContent>
      </w:r>
      <w:r w:rsidR="002242A4">
        <w:rPr>
          <w:i/>
          <w:sz w:val="20"/>
        </w:rPr>
        <w:t>9.tabula. Paredzamais mūža ilgums gados un mūza ilgumu</w:t>
      </w:r>
      <w:r w:rsidR="002242A4">
        <w:rPr>
          <w:i/>
          <w:spacing w:val="-2"/>
          <w:sz w:val="20"/>
        </w:rPr>
        <w:t xml:space="preserve"> </w:t>
      </w:r>
      <w:r w:rsidR="002242A4">
        <w:rPr>
          <w:i/>
          <w:sz w:val="20"/>
        </w:rPr>
        <w:t>rādītāji*</w:t>
      </w:r>
    </w:p>
    <w:p w14:paraId="79F19BE5" w14:textId="77777777" w:rsidR="002242A4" w:rsidRDefault="002242A4" w:rsidP="00CD363C">
      <w:pPr>
        <w:pStyle w:val="Pamatteksts"/>
        <w:ind w:right="-66"/>
        <w:jc w:val="both"/>
        <w:rPr>
          <w:i/>
        </w:rPr>
      </w:pPr>
    </w:p>
    <w:p w14:paraId="44F68BDD" w14:textId="77777777" w:rsidR="002242A4" w:rsidRDefault="002242A4" w:rsidP="00CD363C">
      <w:pPr>
        <w:pStyle w:val="Pamatteksts"/>
        <w:ind w:right="-66"/>
        <w:jc w:val="both"/>
        <w:rPr>
          <w:i/>
          <w:sz w:val="18"/>
        </w:rPr>
      </w:pPr>
    </w:p>
    <w:p w14:paraId="416077E0" w14:textId="77777777" w:rsidR="002242A4" w:rsidRDefault="002242A4" w:rsidP="00CD363C">
      <w:pPr>
        <w:spacing w:after="0" w:line="240" w:lineRule="auto"/>
        <w:ind w:right="-66"/>
        <w:jc w:val="both"/>
        <w:rPr>
          <w:b/>
          <w:sz w:val="20"/>
        </w:rPr>
      </w:pPr>
      <w:r>
        <w:rPr>
          <w:b/>
          <w:w w:val="95"/>
          <w:sz w:val="20"/>
        </w:rPr>
        <w:t>Vīrieši</w:t>
      </w:r>
    </w:p>
    <w:p w14:paraId="2CE39701" w14:textId="77777777" w:rsidR="002242A4" w:rsidRDefault="002242A4" w:rsidP="00CD363C">
      <w:pPr>
        <w:pStyle w:val="Pamatteksts"/>
        <w:ind w:right="-66"/>
        <w:jc w:val="both"/>
        <w:rPr>
          <w:b/>
          <w:sz w:val="19"/>
        </w:rPr>
      </w:pPr>
      <w:r>
        <w:br w:type="column"/>
      </w:r>
    </w:p>
    <w:p w14:paraId="3224D7E8" w14:textId="77777777" w:rsidR="002242A4" w:rsidRDefault="002242A4" w:rsidP="00CD363C">
      <w:pPr>
        <w:spacing w:after="0" w:line="240" w:lineRule="auto"/>
        <w:ind w:right="-66"/>
        <w:jc w:val="both"/>
        <w:rPr>
          <w:b/>
          <w:sz w:val="20"/>
        </w:rPr>
      </w:pPr>
      <w:r>
        <w:rPr>
          <w:b/>
          <w:sz w:val="20"/>
        </w:rPr>
        <w:t>2018</w:t>
      </w:r>
    </w:p>
    <w:p w14:paraId="4A7BB141" w14:textId="77777777" w:rsidR="002242A4" w:rsidRDefault="002242A4" w:rsidP="00CD363C">
      <w:pPr>
        <w:pStyle w:val="Pamatteksts"/>
        <w:ind w:right="-66"/>
        <w:jc w:val="both"/>
        <w:rPr>
          <w:b/>
        </w:rPr>
      </w:pPr>
      <w:r>
        <w:br w:type="column"/>
      </w:r>
    </w:p>
    <w:p w14:paraId="064BD984" w14:textId="77777777" w:rsidR="002242A4" w:rsidRDefault="002242A4" w:rsidP="00CD363C">
      <w:pPr>
        <w:pStyle w:val="Pamatteksts"/>
        <w:ind w:right="-66"/>
        <w:jc w:val="both"/>
        <w:rPr>
          <w:b/>
          <w:sz w:val="18"/>
        </w:rPr>
      </w:pPr>
    </w:p>
    <w:p w14:paraId="26E45AB2" w14:textId="77777777" w:rsidR="002242A4" w:rsidRDefault="002242A4" w:rsidP="00CD363C">
      <w:pPr>
        <w:spacing w:after="0" w:line="240" w:lineRule="auto"/>
        <w:ind w:left="774" w:right="-66"/>
        <w:jc w:val="both"/>
        <w:rPr>
          <w:b/>
          <w:sz w:val="20"/>
        </w:rPr>
      </w:pPr>
      <w:r>
        <w:rPr>
          <w:b/>
          <w:sz w:val="20"/>
        </w:rPr>
        <w:t>Sievietes</w:t>
      </w:r>
    </w:p>
    <w:p w14:paraId="21782BEB" w14:textId="77777777" w:rsidR="002242A4" w:rsidRDefault="002242A4" w:rsidP="00CD363C">
      <w:pPr>
        <w:spacing w:after="0" w:line="240" w:lineRule="auto"/>
        <w:ind w:right="-66"/>
        <w:jc w:val="both"/>
        <w:rPr>
          <w:sz w:val="20"/>
        </w:rPr>
        <w:sectPr w:rsidR="002242A4">
          <w:type w:val="continuous"/>
          <w:pgSz w:w="11910" w:h="16840"/>
          <w:pgMar w:top="840" w:right="640" w:bottom="740" w:left="1080" w:header="720" w:footer="720" w:gutter="0"/>
          <w:cols w:num="3" w:space="720" w:equalWidth="0">
            <w:col w:w="4744" w:space="40"/>
            <w:col w:w="1266" w:space="39"/>
            <w:col w:w="4101"/>
          </w:cols>
        </w:sectPr>
      </w:pPr>
    </w:p>
    <w:p w14:paraId="1A399444" w14:textId="77777777" w:rsidR="002242A4" w:rsidRDefault="002242A4" w:rsidP="00CD363C">
      <w:pPr>
        <w:pStyle w:val="Pamatteksts"/>
        <w:ind w:left="338" w:right="-66"/>
        <w:jc w:val="both"/>
      </w:pPr>
      <w:r>
        <w:t>Detalizēti aprēķini par paredzamo mūža ilgumu sniegti 10.tabulā.</w:t>
      </w:r>
    </w:p>
    <w:p w14:paraId="2DF9A987" w14:textId="77777777" w:rsidR="002242A4" w:rsidRDefault="002242A4" w:rsidP="00CD363C">
      <w:pPr>
        <w:pStyle w:val="Pamatteksts"/>
        <w:ind w:right="-66"/>
        <w:jc w:val="both"/>
        <w:rPr>
          <w:sz w:val="20"/>
        </w:rPr>
      </w:pPr>
    </w:p>
    <w:p w14:paraId="5DE97C0E" w14:textId="77777777" w:rsidR="002242A4" w:rsidRDefault="002242A4" w:rsidP="00CD363C">
      <w:pPr>
        <w:pStyle w:val="Sarakstarindkopa"/>
        <w:widowControl w:val="0"/>
        <w:tabs>
          <w:tab w:val="left" w:pos="4936"/>
        </w:tabs>
        <w:autoSpaceDE w:val="0"/>
        <w:autoSpaceDN w:val="0"/>
        <w:spacing w:after="0" w:line="240" w:lineRule="auto"/>
        <w:ind w:left="4935" w:right="-66"/>
        <w:contextualSpacing w:val="0"/>
        <w:jc w:val="both"/>
        <w:rPr>
          <w:i/>
          <w:sz w:val="20"/>
        </w:rPr>
      </w:pPr>
    </w:p>
    <w:p w14:paraId="61490105" w14:textId="77777777" w:rsidR="002242A4" w:rsidRDefault="002242A4" w:rsidP="00CD363C">
      <w:pPr>
        <w:pStyle w:val="Sarakstarindkopa"/>
        <w:widowControl w:val="0"/>
        <w:tabs>
          <w:tab w:val="left" w:pos="4936"/>
        </w:tabs>
        <w:autoSpaceDE w:val="0"/>
        <w:autoSpaceDN w:val="0"/>
        <w:spacing w:after="0" w:line="240" w:lineRule="auto"/>
        <w:ind w:left="4935" w:right="-66"/>
        <w:contextualSpacing w:val="0"/>
        <w:jc w:val="both"/>
        <w:rPr>
          <w:i/>
          <w:sz w:val="20"/>
        </w:rPr>
      </w:pPr>
      <w:r>
        <w:rPr>
          <w:i/>
          <w:sz w:val="20"/>
        </w:rPr>
        <w:t>10.tabula. Paredzamais mūža ilgums</w:t>
      </w:r>
      <w:r>
        <w:rPr>
          <w:i/>
          <w:spacing w:val="-3"/>
          <w:sz w:val="20"/>
        </w:rPr>
        <w:t xml:space="preserve"> </w:t>
      </w:r>
      <w:r>
        <w:rPr>
          <w:i/>
          <w:sz w:val="20"/>
        </w:rPr>
        <w:t>(detalizēti)</w:t>
      </w:r>
    </w:p>
    <w:p w14:paraId="48B91826" w14:textId="77777777" w:rsidR="002242A4" w:rsidRDefault="002242A4" w:rsidP="00CD363C">
      <w:pPr>
        <w:pStyle w:val="Pamatteksts"/>
        <w:ind w:right="-66"/>
        <w:jc w:val="both"/>
        <w:rPr>
          <w:i/>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4"/>
        <w:gridCol w:w="2411"/>
        <w:gridCol w:w="1844"/>
        <w:gridCol w:w="2631"/>
      </w:tblGrid>
      <w:tr w:rsidR="002242A4" w14:paraId="5D18E3C9" w14:textId="77777777" w:rsidTr="00195A06">
        <w:trPr>
          <w:trHeight w:val="919"/>
        </w:trPr>
        <w:tc>
          <w:tcPr>
            <w:tcW w:w="1414" w:type="dxa"/>
            <w:shd w:val="clear" w:color="auto" w:fill="F1F1F1"/>
          </w:tcPr>
          <w:p w14:paraId="7FE042E4" w14:textId="77777777" w:rsidR="002242A4" w:rsidRDefault="002242A4" w:rsidP="00CD363C">
            <w:pPr>
              <w:pStyle w:val="TableParagraph"/>
              <w:ind w:right="-66"/>
              <w:jc w:val="both"/>
              <w:rPr>
                <w:i/>
                <w:sz w:val="30"/>
              </w:rPr>
            </w:pPr>
          </w:p>
          <w:p w14:paraId="597323E8" w14:textId="77777777" w:rsidR="002242A4" w:rsidRDefault="002242A4" w:rsidP="00CD363C">
            <w:pPr>
              <w:pStyle w:val="TableParagraph"/>
              <w:ind w:left="317" w:right="-66"/>
              <w:jc w:val="both"/>
              <w:rPr>
                <w:b/>
                <w:sz w:val="20"/>
              </w:rPr>
            </w:pPr>
            <w:r>
              <w:rPr>
                <w:b/>
                <w:sz w:val="20"/>
              </w:rPr>
              <w:t>Vecums</w:t>
            </w:r>
          </w:p>
        </w:tc>
        <w:tc>
          <w:tcPr>
            <w:tcW w:w="2411" w:type="dxa"/>
            <w:shd w:val="clear" w:color="auto" w:fill="F1F1F1"/>
          </w:tcPr>
          <w:p w14:paraId="31355785" w14:textId="77777777" w:rsidR="002242A4" w:rsidRDefault="002242A4" w:rsidP="00CD363C">
            <w:pPr>
              <w:pStyle w:val="TableParagraph"/>
              <w:ind w:left="306" w:right="-66"/>
              <w:jc w:val="both"/>
              <w:rPr>
                <w:b/>
                <w:sz w:val="20"/>
              </w:rPr>
            </w:pPr>
            <w:r>
              <w:rPr>
                <w:b/>
                <w:sz w:val="20"/>
              </w:rPr>
              <w:t>Paredzamais mūža ilgums saskaņā ar 9.</w:t>
            </w:r>
          </w:p>
          <w:p w14:paraId="666B53CB" w14:textId="77777777" w:rsidR="002242A4" w:rsidRDefault="002242A4" w:rsidP="00CD363C">
            <w:pPr>
              <w:pStyle w:val="TableParagraph"/>
              <w:ind w:left="306" w:right="-66"/>
              <w:jc w:val="both"/>
              <w:rPr>
                <w:b/>
                <w:sz w:val="20"/>
              </w:rPr>
            </w:pPr>
            <w:r>
              <w:rPr>
                <w:b/>
                <w:sz w:val="20"/>
              </w:rPr>
              <w:t>tabulā sniegto informāciju (gadi)</w:t>
            </w:r>
          </w:p>
        </w:tc>
        <w:tc>
          <w:tcPr>
            <w:tcW w:w="1844" w:type="dxa"/>
            <w:shd w:val="clear" w:color="auto" w:fill="F1F1F1"/>
          </w:tcPr>
          <w:p w14:paraId="3E7A81B7" w14:textId="77777777" w:rsidR="002242A4" w:rsidRDefault="002242A4" w:rsidP="00CD363C">
            <w:pPr>
              <w:pStyle w:val="TableParagraph"/>
              <w:ind w:left="330" w:right="-66"/>
              <w:jc w:val="both"/>
              <w:rPr>
                <w:b/>
                <w:sz w:val="20"/>
              </w:rPr>
            </w:pPr>
            <w:r>
              <w:rPr>
                <w:b/>
                <w:sz w:val="20"/>
              </w:rPr>
              <w:t>Aprēķinātais paredzamais</w:t>
            </w:r>
          </w:p>
          <w:p w14:paraId="7CCF23B1" w14:textId="77777777" w:rsidR="002242A4" w:rsidRDefault="002242A4" w:rsidP="00CD363C">
            <w:pPr>
              <w:pStyle w:val="TableParagraph"/>
              <w:ind w:left="330" w:right="-66"/>
              <w:jc w:val="both"/>
              <w:rPr>
                <w:b/>
                <w:sz w:val="20"/>
              </w:rPr>
            </w:pPr>
            <w:r>
              <w:rPr>
                <w:b/>
                <w:sz w:val="20"/>
              </w:rPr>
              <w:t>mūža ilgums (gadi)</w:t>
            </w:r>
          </w:p>
        </w:tc>
        <w:tc>
          <w:tcPr>
            <w:tcW w:w="2631" w:type="dxa"/>
            <w:shd w:val="clear" w:color="auto" w:fill="F1F1F1"/>
          </w:tcPr>
          <w:p w14:paraId="319931D1" w14:textId="77777777" w:rsidR="002242A4" w:rsidRDefault="002242A4" w:rsidP="00CD363C">
            <w:pPr>
              <w:pStyle w:val="TableParagraph"/>
              <w:ind w:left="576" w:right="-66" w:firstLine="1"/>
              <w:jc w:val="both"/>
              <w:rPr>
                <w:b/>
                <w:sz w:val="20"/>
              </w:rPr>
            </w:pPr>
            <w:r>
              <w:rPr>
                <w:b/>
                <w:sz w:val="20"/>
              </w:rPr>
              <w:t>Aprēķini  (3.ailes</w:t>
            </w:r>
            <w:r>
              <w:rPr>
                <w:b/>
                <w:spacing w:val="-7"/>
                <w:sz w:val="20"/>
              </w:rPr>
              <w:t xml:space="preserve"> </w:t>
            </w:r>
            <w:r>
              <w:rPr>
                <w:b/>
                <w:sz w:val="20"/>
              </w:rPr>
              <w:t>formulas atšifrējums)</w:t>
            </w:r>
          </w:p>
        </w:tc>
      </w:tr>
      <w:tr w:rsidR="002242A4" w14:paraId="0D8904A8" w14:textId="77777777" w:rsidTr="00195A06">
        <w:trPr>
          <w:trHeight w:val="227"/>
        </w:trPr>
        <w:tc>
          <w:tcPr>
            <w:tcW w:w="1414" w:type="dxa"/>
            <w:shd w:val="clear" w:color="auto" w:fill="F1F1F1"/>
          </w:tcPr>
          <w:p w14:paraId="1EE76D17" w14:textId="77777777" w:rsidR="002242A4" w:rsidRDefault="002242A4" w:rsidP="00CD363C">
            <w:pPr>
              <w:pStyle w:val="TableParagraph"/>
              <w:ind w:right="-66"/>
              <w:jc w:val="both"/>
              <w:rPr>
                <w:b/>
                <w:sz w:val="20"/>
              </w:rPr>
            </w:pPr>
            <w:r>
              <w:rPr>
                <w:b/>
                <w:w w:val="99"/>
                <w:sz w:val="20"/>
              </w:rPr>
              <w:t>1</w:t>
            </w:r>
          </w:p>
        </w:tc>
        <w:tc>
          <w:tcPr>
            <w:tcW w:w="2411" w:type="dxa"/>
            <w:shd w:val="clear" w:color="auto" w:fill="F1F1F1"/>
          </w:tcPr>
          <w:p w14:paraId="2F50C161" w14:textId="77777777" w:rsidR="002242A4" w:rsidRDefault="002242A4" w:rsidP="00CD363C">
            <w:pPr>
              <w:pStyle w:val="TableParagraph"/>
              <w:ind w:right="-66"/>
              <w:jc w:val="both"/>
              <w:rPr>
                <w:b/>
                <w:sz w:val="20"/>
              </w:rPr>
            </w:pPr>
            <w:r>
              <w:rPr>
                <w:b/>
                <w:w w:val="99"/>
                <w:sz w:val="20"/>
              </w:rPr>
              <w:t>2</w:t>
            </w:r>
          </w:p>
        </w:tc>
        <w:tc>
          <w:tcPr>
            <w:tcW w:w="1844" w:type="dxa"/>
            <w:shd w:val="clear" w:color="auto" w:fill="F1F1F1"/>
          </w:tcPr>
          <w:p w14:paraId="48177EA7" w14:textId="77777777" w:rsidR="002242A4" w:rsidRDefault="002242A4" w:rsidP="00CD363C">
            <w:pPr>
              <w:pStyle w:val="TableParagraph"/>
              <w:ind w:right="-66"/>
              <w:jc w:val="both"/>
              <w:rPr>
                <w:b/>
                <w:sz w:val="20"/>
              </w:rPr>
            </w:pPr>
            <w:r>
              <w:rPr>
                <w:b/>
                <w:w w:val="99"/>
                <w:sz w:val="20"/>
              </w:rPr>
              <w:t>3</w:t>
            </w:r>
          </w:p>
        </w:tc>
        <w:tc>
          <w:tcPr>
            <w:tcW w:w="2631" w:type="dxa"/>
            <w:shd w:val="clear" w:color="auto" w:fill="F1F1F1"/>
          </w:tcPr>
          <w:p w14:paraId="4862B365" w14:textId="77777777" w:rsidR="002242A4" w:rsidRDefault="002242A4" w:rsidP="00CD363C">
            <w:pPr>
              <w:pStyle w:val="TableParagraph"/>
              <w:ind w:right="-66"/>
              <w:jc w:val="both"/>
              <w:rPr>
                <w:b/>
                <w:sz w:val="20"/>
              </w:rPr>
            </w:pPr>
            <w:r>
              <w:rPr>
                <w:b/>
                <w:w w:val="99"/>
                <w:sz w:val="20"/>
              </w:rPr>
              <w:t>4</w:t>
            </w:r>
          </w:p>
        </w:tc>
      </w:tr>
      <w:tr w:rsidR="002242A4" w14:paraId="303A0582" w14:textId="77777777" w:rsidTr="00195A06">
        <w:trPr>
          <w:trHeight w:val="230"/>
        </w:trPr>
        <w:tc>
          <w:tcPr>
            <w:tcW w:w="1414" w:type="dxa"/>
          </w:tcPr>
          <w:p w14:paraId="5C846823" w14:textId="77777777" w:rsidR="002242A4" w:rsidRDefault="002242A4" w:rsidP="00CD363C">
            <w:pPr>
              <w:pStyle w:val="TableParagraph"/>
              <w:ind w:left="317" w:right="-66"/>
              <w:jc w:val="both"/>
              <w:rPr>
                <w:sz w:val="20"/>
              </w:rPr>
            </w:pPr>
            <w:r>
              <w:rPr>
                <w:sz w:val="20"/>
              </w:rPr>
              <w:t>85</w:t>
            </w:r>
          </w:p>
        </w:tc>
        <w:tc>
          <w:tcPr>
            <w:tcW w:w="2411" w:type="dxa"/>
          </w:tcPr>
          <w:p w14:paraId="5E9BEF03" w14:textId="77777777" w:rsidR="002242A4" w:rsidRDefault="002242A4" w:rsidP="00CD363C">
            <w:pPr>
              <w:pStyle w:val="TableParagraph"/>
              <w:ind w:left="306" w:right="-66"/>
              <w:jc w:val="both"/>
              <w:rPr>
                <w:sz w:val="20"/>
              </w:rPr>
            </w:pPr>
            <w:r>
              <w:rPr>
                <w:sz w:val="20"/>
              </w:rPr>
              <w:t>4,9</w:t>
            </w:r>
          </w:p>
        </w:tc>
        <w:tc>
          <w:tcPr>
            <w:tcW w:w="1844" w:type="dxa"/>
          </w:tcPr>
          <w:p w14:paraId="1F2D404D" w14:textId="77777777" w:rsidR="002242A4" w:rsidRDefault="002242A4" w:rsidP="00CD363C">
            <w:pPr>
              <w:pStyle w:val="TableParagraph"/>
              <w:ind w:left="330" w:right="-66"/>
              <w:jc w:val="both"/>
              <w:rPr>
                <w:sz w:val="20"/>
              </w:rPr>
            </w:pPr>
            <w:r>
              <w:rPr>
                <w:sz w:val="20"/>
              </w:rPr>
              <w:t>4,9</w:t>
            </w:r>
          </w:p>
        </w:tc>
        <w:tc>
          <w:tcPr>
            <w:tcW w:w="2631" w:type="dxa"/>
          </w:tcPr>
          <w:p w14:paraId="26088744" w14:textId="77777777" w:rsidR="002242A4" w:rsidRDefault="002242A4" w:rsidP="00CD363C">
            <w:pPr>
              <w:pStyle w:val="TableParagraph"/>
              <w:ind w:left="305" w:right="-66"/>
              <w:jc w:val="both"/>
              <w:rPr>
                <w:sz w:val="20"/>
              </w:rPr>
            </w:pPr>
            <w:r>
              <w:rPr>
                <w:sz w:val="20"/>
              </w:rPr>
              <w:t>4,9+(3,4 – 4,9)/5*0=4,9</w:t>
            </w:r>
          </w:p>
        </w:tc>
      </w:tr>
      <w:tr w:rsidR="002242A4" w14:paraId="14F20CB6" w14:textId="77777777" w:rsidTr="00195A06">
        <w:trPr>
          <w:trHeight w:val="230"/>
        </w:trPr>
        <w:tc>
          <w:tcPr>
            <w:tcW w:w="1414" w:type="dxa"/>
          </w:tcPr>
          <w:p w14:paraId="3CF222D8" w14:textId="77777777" w:rsidR="002242A4" w:rsidRDefault="002242A4" w:rsidP="00CD363C">
            <w:pPr>
              <w:pStyle w:val="TableParagraph"/>
              <w:ind w:left="317" w:right="-66"/>
              <w:jc w:val="both"/>
              <w:rPr>
                <w:sz w:val="20"/>
              </w:rPr>
            </w:pPr>
            <w:r>
              <w:rPr>
                <w:sz w:val="20"/>
              </w:rPr>
              <w:t>86</w:t>
            </w:r>
          </w:p>
        </w:tc>
        <w:tc>
          <w:tcPr>
            <w:tcW w:w="2411" w:type="dxa"/>
          </w:tcPr>
          <w:p w14:paraId="302F9169" w14:textId="77777777" w:rsidR="002242A4" w:rsidRDefault="002242A4" w:rsidP="00CD363C">
            <w:pPr>
              <w:pStyle w:val="TableParagraph"/>
              <w:ind w:right="-66"/>
              <w:jc w:val="both"/>
              <w:rPr>
                <w:sz w:val="16"/>
              </w:rPr>
            </w:pPr>
          </w:p>
        </w:tc>
        <w:tc>
          <w:tcPr>
            <w:tcW w:w="1844" w:type="dxa"/>
          </w:tcPr>
          <w:p w14:paraId="2BEA33ED" w14:textId="77777777" w:rsidR="002242A4" w:rsidRDefault="002242A4" w:rsidP="00CD363C">
            <w:pPr>
              <w:pStyle w:val="TableParagraph"/>
              <w:ind w:left="330" w:right="-66"/>
              <w:jc w:val="both"/>
              <w:rPr>
                <w:sz w:val="20"/>
              </w:rPr>
            </w:pPr>
            <w:r>
              <w:rPr>
                <w:sz w:val="20"/>
              </w:rPr>
              <w:t>4,6</w:t>
            </w:r>
          </w:p>
        </w:tc>
        <w:tc>
          <w:tcPr>
            <w:tcW w:w="2631" w:type="dxa"/>
          </w:tcPr>
          <w:p w14:paraId="52D6C936" w14:textId="77777777" w:rsidR="002242A4" w:rsidRDefault="002242A4" w:rsidP="00CD363C">
            <w:pPr>
              <w:pStyle w:val="TableParagraph"/>
              <w:ind w:left="305" w:right="-66"/>
              <w:jc w:val="both"/>
              <w:rPr>
                <w:sz w:val="20"/>
              </w:rPr>
            </w:pPr>
            <w:r>
              <w:rPr>
                <w:sz w:val="20"/>
              </w:rPr>
              <w:t>4,9+(3,4 – 4,9)/5*1=4,6</w:t>
            </w:r>
          </w:p>
        </w:tc>
      </w:tr>
      <w:tr w:rsidR="002242A4" w14:paraId="2984AA89" w14:textId="77777777" w:rsidTr="00195A06">
        <w:trPr>
          <w:trHeight w:val="230"/>
        </w:trPr>
        <w:tc>
          <w:tcPr>
            <w:tcW w:w="1414" w:type="dxa"/>
          </w:tcPr>
          <w:p w14:paraId="24DE71C5" w14:textId="77777777" w:rsidR="002242A4" w:rsidRDefault="002242A4" w:rsidP="00CD363C">
            <w:pPr>
              <w:pStyle w:val="TableParagraph"/>
              <w:ind w:left="317" w:right="-66"/>
              <w:jc w:val="both"/>
              <w:rPr>
                <w:sz w:val="20"/>
              </w:rPr>
            </w:pPr>
            <w:r>
              <w:rPr>
                <w:sz w:val="20"/>
              </w:rPr>
              <w:t>87</w:t>
            </w:r>
          </w:p>
        </w:tc>
        <w:tc>
          <w:tcPr>
            <w:tcW w:w="2411" w:type="dxa"/>
          </w:tcPr>
          <w:p w14:paraId="04BF4945" w14:textId="77777777" w:rsidR="002242A4" w:rsidRDefault="002242A4" w:rsidP="00CD363C">
            <w:pPr>
              <w:pStyle w:val="TableParagraph"/>
              <w:ind w:right="-66"/>
              <w:jc w:val="both"/>
              <w:rPr>
                <w:sz w:val="16"/>
              </w:rPr>
            </w:pPr>
          </w:p>
        </w:tc>
        <w:tc>
          <w:tcPr>
            <w:tcW w:w="1844" w:type="dxa"/>
          </w:tcPr>
          <w:p w14:paraId="396A801C" w14:textId="77777777" w:rsidR="002242A4" w:rsidRDefault="002242A4" w:rsidP="00CD363C">
            <w:pPr>
              <w:pStyle w:val="TableParagraph"/>
              <w:ind w:left="330" w:right="-66"/>
              <w:jc w:val="both"/>
              <w:rPr>
                <w:sz w:val="20"/>
              </w:rPr>
            </w:pPr>
            <w:r>
              <w:rPr>
                <w:sz w:val="20"/>
              </w:rPr>
              <w:t>4,3</w:t>
            </w:r>
          </w:p>
        </w:tc>
        <w:tc>
          <w:tcPr>
            <w:tcW w:w="2631" w:type="dxa"/>
          </w:tcPr>
          <w:p w14:paraId="45C173CF" w14:textId="77777777" w:rsidR="002242A4" w:rsidRDefault="002242A4" w:rsidP="00CD363C">
            <w:pPr>
              <w:pStyle w:val="TableParagraph"/>
              <w:ind w:left="305" w:right="-66"/>
              <w:jc w:val="both"/>
              <w:rPr>
                <w:sz w:val="20"/>
              </w:rPr>
            </w:pPr>
            <w:r>
              <w:rPr>
                <w:sz w:val="20"/>
              </w:rPr>
              <w:t>4,9+(3,4 – 4,9)/5*2=4,3</w:t>
            </w:r>
          </w:p>
        </w:tc>
      </w:tr>
      <w:tr w:rsidR="002242A4" w14:paraId="13DCB2A7" w14:textId="77777777" w:rsidTr="00195A06">
        <w:trPr>
          <w:trHeight w:val="230"/>
        </w:trPr>
        <w:tc>
          <w:tcPr>
            <w:tcW w:w="1414" w:type="dxa"/>
            <w:shd w:val="clear" w:color="auto" w:fill="DEEAF6"/>
          </w:tcPr>
          <w:p w14:paraId="618F178B" w14:textId="77777777" w:rsidR="002242A4" w:rsidRDefault="002242A4" w:rsidP="00CD363C">
            <w:pPr>
              <w:pStyle w:val="TableParagraph"/>
              <w:ind w:left="317" w:right="-66"/>
              <w:jc w:val="both"/>
              <w:rPr>
                <w:sz w:val="20"/>
              </w:rPr>
            </w:pPr>
            <w:r>
              <w:rPr>
                <w:sz w:val="20"/>
              </w:rPr>
              <w:t>88</w:t>
            </w:r>
          </w:p>
        </w:tc>
        <w:tc>
          <w:tcPr>
            <w:tcW w:w="2411" w:type="dxa"/>
            <w:shd w:val="clear" w:color="auto" w:fill="DEEAF6"/>
          </w:tcPr>
          <w:p w14:paraId="49871E2A" w14:textId="77777777" w:rsidR="002242A4" w:rsidRDefault="002242A4" w:rsidP="00CD363C">
            <w:pPr>
              <w:pStyle w:val="TableParagraph"/>
              <w:ind w:right="-66"/>
              <w:jc w:val="both"/>
              <w:rPr>
                <w:sz w:val="16"/>
              </w:rPr>
            </w:pPr>
          </w:p>
        </w:tc>
        <w:tc>
          <w:tcPr>
            <w:tcW w:w="1844" w:type="dxa"/>
            <w:shd w:val="clear" w:color="auto" w:fill="DEEAF6"/>
          </w:tcPr>
          <w:p w14:paraId="5F9D15F6" w14:textId="77777777" w:rsidR="002242A4" w:rsidRDefault="002242A4" w:rsidP="00CD363C">
            <w:pPr>
              <w:pStyle w:val="TableParagraph"/>
              <w:ind w:left="330" w:right="-66"/>
              <w:jc w:val="both"/>
              <w:rPr>
                <w:sz w:val="20"/>
              </w:rPr>
            </w:pPr>
            <w:r>
              <w:rPr>
                <w:sz w:val="20"/>
              </w:rPr>
              <w:t>4,0</w:t>
            </w:r>
          </w:p>
        </w:tc>
        <w:tc>
          <w:tcPr>
            <w:tcW w:w="2631" w:type="dxa"/>
            <w:shd w:val="clear" w:color="auto" w:fill="DEEAF6"/>
          </w:tcPr>
          <w:p w14:paraId="28605D01" w14:textId="77777777" w:rsidR="002242A4" w:rsidRDefault="002242A4" w:rsidP="00CD363C">
            <w:pPr>
              <w:pStyle w:val="TableParagraph"/>
              <w:ind w:left="305" w:right="-66"/>
              <w:jc w:val="both"/>
              <w:rPr>
                <w:sz w:val="20"/>
              </w:rPr>
            </w:pPr>
            <w:r>
              <w:rPr>
                <w:sz w:val="20"/>
              </w:rPr>
              <w:t>4,9+(3,4 – 4,9)/5*3=4,0</w:t>
            </w:r>
          </w:p>
        </w:tc>
      </w:tr>
      <w:tr w:rsidR="002242A4" w14:paraId="399FBF4F" w14:textId="77777777" w:rsidTr="00195A06">
        <w:trPr>
          <w:trHeight w:val="230"/>
        </w:trPr>
        <w:tc>
          <w:tcPr>
            <w:tcW w:w="1414" w:type="dxa"/>
          </w:tcPr>
          <w:p w14:paraId="14BE687E" w14:textId="77777777" w:rsidR="002242A4" w:rsidRDefault="002242A4" w:rsidP="00CD363C">
            <w:pPr>
              <w:pStyle w:val="TableParagraph"/>
              <w:ind w:left="317" w:right="-66"/>
              <w:jc w:val="both"/>
              <w:rPr>
                <w:sz w:val="20"/>
              </w:rPr>
            </w:pPr>
            <w:r>
              <w:rPr>
                <w:sz w:val="20"/>
              </w:rPr>
              <w:t>89</w:t>
            </w:r>
          </w:p>
        </w:tc>
        <w:tc>
          <w:tcPr>
            <w:tcW w:w="2411" w:type="dxa"/>
          </w:tcPr>
          <w:p w14:paraId="67BB699C" w14:textId="77777777" w:rsidR="002242A4" w:rsidRDefault="002242A4" w:rsidP="00CD363C">
            <w:pPr>
              <w:pStyle w:val="TableParagraph"/>
              <w:ind w:right="-66"/>
              <w:jc w:val="both"/>
              <w:rPr>
                <w:sz w:val="16"/>
              </w:rPr>
            </w:pPr>
          </w:p>
        </w:tc>
        <w:tc>
          <w:tcPr>
            <w:tcW w:w="1844" w:type="dxa"/>
          </w:tcPr>
          <w:p w14:paraId="1BCF7C96" w14:textId="77777777" w:rsidR="002242A4" w:rsidRDefault="002242A4" w:rsidP="00CD363C">
            <w:pPr>
              <w:pStyle w:val="TableParagraph"/>
              <w:ind w:left="330" w:right="-66"/>
              <w:jc w:val="both"/>
              <w:rPr>
                <w:sz w:val="20"/>
              </w:rPr>
            </w:pPr>
            <w:r>
              <w:rPr>
                <w:sz w:val="20"/>
              </w:rPr>
              <w:t>3,7</w:t>
            </w:r>
          </w:p>
        </w:tc>
        <w:tc>
          <w:tcPr>
            <w:tcW w:w="2631" w:type="dxa"/>
          </w:tcPr>
          <w:p w14:paraId="01EB4416" w14:textId="77777777" w:rsidR="002242A4" w:rsidRDefault="002242A4" w:rsidP="00CD363C">
            <w:pPr>
              <w:pStyle w:val="TableParagraph"/>
              <w:ind w:left="305" w:right="-66"/>
              <w:jc w:val="both"/>
              <w:rPr>
                <w:sz w:val="20"/>
              </w:rPr>
            </w:pPr>
            <w:r>
              <w:rPr>
                <w:sz w:val="20"/>
              </w:rPr>
              <w:t>4,9+(3,4 – 4,9)/5*4=3,7</w:t>
            </w:r>
          </w:p>
        </w:tc>
      </w:tr>
      <w:tr w:rsidR="002242A4" w14:paraId="1532B491" w14:textId="77777777" w:rsidTr="00195A06">
        <w:trPr>
          <w:trHeight w:val="230"/>
        </w:trPr>
        <w:tc>
          <w:tcPr>
            <w:tcW w:w="1414" w:type="dxa"/>
          </w:tcPr>
          <w:p w14:paraId="407AFFD6" w14:textId="77777777" w:rsidR="002242A4" w:rsidRDefault="002242A4" w:rsidP="00CD363C">
            <w:pPr>
              <w:pStyle w:val="TableParagraph"/>
              <w:ind w:left="317" w:right="-66"/>
              <w:jc w:val="both"/>
              <w:rPr>
                <w:sz w:val="20"/>
              </w:rPr>
            </w:pPr>
            <w:r>
              <w:rPr>
                <w:sz w:val="20"/>
              </w:rPr>
              <w:t>90</w:t>
            </w:r>
          </w:p>
        </w:tc>
        <w:tc>
          <w:tcPr>
            <w:tcW w:w="2411" w:type="dxa"/>
          </w:tcPr>
          <w:p w14:paraId="49B57FD2" w14:textId="77777777" w:rsidR="002242A4" w:rsidRDefault="002242A4" w:rsidP="00CD363C">
            <w:pPr>
              <w:pStyle w:val="TableParagraph"/>
              <w:ind w:left="306" w:right="-66"/>
              <w:jc w:val="both"/>
              <w:rPr>
                <w:sz w:val="20"/>
              </w:rPr>
            </w:pPr>
            <w:r>
              <w:rPr>
                <w:sz w:val="20"/>
              </w:rPr>
              <w:t>3,4</w:t>
            </w:r>
          </w:p>
        </w:tc>
        <w:tc>
          <w:tcPr>
            <w:tcW w:w="1844" w:type="dxa"/>
          </w:tcPr>
          <w:p w14:paraId="52F57547" w14:textId="77777777" w:rsidR="002242A4" w:rsidRDefault="002242A4" w:rsidP="00CD363C">
            <w:pPr>
              <w:pStyle w:val="TableParagraph"/>
              <w:ind w:left="330" w:right="-66"/>
              <w:jc w:val="both"/>
              <w:rPr>
                <w:sz w:val="20"/>
              </w:rPr>
            </w:pPr>
            <w:r>
              <w:rPr>
                <w:sz w:val="20"/>
              </w:rPr>
              <w:t>3,4</w:t>
            </w:r>
          </w:p>
        </w:tc>
        <w:tc>
          <w:tcPr>
            <w:tcW w:w="2631" w:type="dxa"/>
          </w:tcPr>
          <w:p w14:paraId="2DA10467" w14:textId="77777777" w:rsidR="002242A4" w:rsidRDefault="002242A4" w:rsidP="00CD363C">
            <w:pPr>
              <w:pStyle w:val="TableParagraph"/>
              <w:ind w:left="304" w:right="-66"/>
              <w:jc w:val="both"/>
              <w:rPr>
                <w:sz w:val="20"/>
              </w:rPr>
            </w:pPr>
            <w:r>
              <w:rPr>
                <w:sz w:val="20"/>
              </w:rPr>
              <w:t>4,9+(3,4 – 4,9)/5*5=3,4</w:t>
            </w:r>
          </w:p>
        </w:tc>
      </w:tr>
    </w:tbl>
    <w:p w14:paraId="5545EDA6" w14:textId="77777777" w:rsidR="002242A4" w:rsidRDefault="002242A4" w:rsidP="00CD363C">
      <w:pPr>
        <w:pStyle w:val="Pamatteksts"/>
        <w:ind w:left="338" w:right="-66"/>
        <w:jc w:val="both"/>
      </w:pPr>
      <w:r>
        <w:t>Aprēķinātais mūža ilgums bijušajam priekšsēdētājam ir 4,0 gadi</w:t>
      </w:r>
    </w:p>
    <w:p w14:paraId="76BAE460" w14:textId="77777777" w:rsidR="002242A4" w:rsidRDefault="002242A4" w:rsidP="00CD363C">
      <w:pPr>
        <w:pStyle w:val="Pamatteksts"/>
        <w:ind w:right="-66"/>
        <w:jc w:val="both"/>
        <w:rPr>
          <w:sz w:val="20"/>
        </w:rPr>
      </w:pPr>
    </w:p>
    <w:p w14:paraId="7AD8265D" w14:textId="77777777" w:rsidR="002242A4" w:rsidRDefault="002242A4" w:rsidP="00CD363C">
      <w:pPr>
        <w:pStyle w:val="Pamatteksts"/>
        <w:ind w:left="338" w:right="-66"/>
        <w:jc w:val="both"/>
      </w:pPr>
      <w:r>
        <w:t>Saistību pret darbiniekiem pēc darba attiecību izbeigšanas (uzkrājumu) aprēķinā budžeta iestāde izmanto sekojošus pieņēmumus:</w:t>
      </w:r>
    </w:p>
    <w:p w14:paraId="5144C8C7" w14:textId="77777777" w:rsidR="002242A4" w:rsidRDefault="002242A4" w:rsidP="00CD363C">
      <w:pPr>
        <w:pStyle w:val="Pamatteksts"/>
        <w:ind w:right="-66"/>
        <w:jc w:val="both"/>
        <w:rPr>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9"/>
        <w:gridCol w:w="3402"/>
        <w:gridCol w:w="3908"/>
      </w:tblGrid>
      <w:tr w:rsidR="002242A4" w14:paraId="34A21E20" w14:textId="77777777" w:rsidTr="00195A06">
        <w:trPr>
          <w:trHeight w:val="460"/>
        </w:trPr>
        <w:tc>
          <w:tcPr>
            <w:tcW w:w="989" w:type="dxa"/>
          </w:tcPr>
          <w:p w14:paraId="56D75208" w14:textId="77777777" w:rsidR="002242A4" w:rsidRDefault="002242A4" w:rsidP="00CD363C">
            <w:pPr>
              <w:pStyle w:val="TableParagraph"/>
              <w:ind w:left="107" w:right="-66"/>
              <w:jc w:val="both"/>
              <w:rPr>
                <w:b/>
                <w:sz w:val="20"/>
              </w:rPr>
            </w:pPr>
            <w:r>
              <w:rPr>
                <w:b/>
                <w:sz w:val="20"/>
              </w:rPr>
              <w:t>1.</w:t>
            </w:r>
          </w:p>
        </w:tc>
        <w:tc>
          <w:tcPr>
            <w:tcW w:w="3402" w:type="dxa"/>
          </w:tcPr>
          <w:p w14:paraId="1D72F1A6" w14:textId="77777777" w:rsidR="002242A4" w:rsidRDefault="002242A4" w:rsidP="00CD363C">
            <w:pPr>
              <w:pStyle w:val="TableParagraph"/>
              <w:ind w:left="107" w:right="-66"/>
              <w:jc w:val="both"/>
              <w:rPr>
                <w:b/>
                <w:sz w:val="20"/>
              </w:rPr>
            </w:pPr>
            <w:r>
              <w:rPr>
                <w:b/>
                <w:sz w:val="20"/>
              </w:rPr>
              <w:t>Pabalsta apmērs</w:t>
            </w:r>
          </w:p>
        </w:tc>
        <w:tc>
          <w:tcPr>
            <w:tcW w:w="3908" w:type="dxa"/>
          </w:tcPr>
          <w:p w14:paraId="5DAD20A1" w14:textId="77777777" w:rsidR="002242A4" w:rsidRDefault="002242A4" w:rsidP="00CD363C">
            <w:pPr>
              <w:pStyle w:val="TableParagraph"/>
              <w:ind w:left="2119" w:right="-66"/>
              <w:jc w:val="both"/>
              <w:rPr>
                <w:sz w:val="20"/>
              </w:rPr>
            </w:pPr>
            <w:r>
              <w:rPr>
                <w:sz w:val="20"/>
              </w:rPr>
              <w:t>260,00</w:t>
            </w:r>
            <w:r>
              <w:rPr>
                <w:spacing w:val="-9"/>
                <w:sz w:val="20"/>
              </w:rPr>
              <w:t xml:space="preserve"> </w:t>
            </w:r>
            <w:r>
              <w:rPr>
                <w:sz w:val="20"/>
              </w:rPr>
              <w:t>EUR/mēnesī</w:t>
            </w:r>
          </w:p>
          <w:p w14:paraId="55C9AA96" w14:textId="77777777" w:rsidR="002242A4" w:rsidRDefault="002242A4" w:rsidP="00CD363C">
            <w:pPr>
              <w:pStyle w:val="TableParagraph"/>
              <w:ind w:left="2157" w:right="-66"/>
              <w:jc w:val="both"/>
              <w:rPr>
                <w:sz w:val="20"/>
              </w:rPr>
            </w:pPr>
            <w:r>
              <w:rPr>
                <w:sz w:val="20"/>
              </w:rPr>
              <w:t>3 120,00</w:t>
            </w:r>
            <w:r>
              <w:rPr>
                <w:spacing w:val="-8"/>
                <w:sz w:val="20"/>
              </w:rPr>
              <w:t xml:space="preserve"> </w:t>
            </w:r>
            <w:r>
              <w:rPr>
                <w:sz w:val="20"/>
              </w:rPr>
              <w:t>EUR/gadā</w:t>
            </w:r>
          </w:p>
        </w:tc>
      </w:tr>
      <w:tr w:rsidR="002242A4" w14:paraId="6E1C3B77" w14:textId="77777777" w:rsidTr="00195A06">
        <w:trPr>
          <w:trHeight w:val="460"/>
        </w:trPr>
        <w:tc>
          <w:tcPr>
            <w:tcW w:w="989" w:type="dxa"/>
          </w:tcPr>
          <w:p w14:paraId="4A6A7F1A" w14:textId="77777777" w:rsidR="002242A4" w:rsidRDefault="002242A4" w:rsidP="00CD363C">
            <w:pPr>
              <w:pStyle w:val="TableParagraph"/>
              <w:ind w:left="107" w:right="-66"/>
              <w:jc w:val="both"/>
              <w:rPr>
                <w:b/>
                <w:sz w:val="20"/>
              </w:rPr>
            </w:pPr>
            <w:r>
              <w:rPr>
                <w:b/>
                <w:sz w:val="20"/>
              </w:rPr>
              <w:t>2.</w:t>
            </w:r>
          </w:p>
        </w:tc>
        <w:tc>
          <w:tcPr>
            <w:tcW w:w="3402" w:type="dxa"/>
          </w:tcPr>
          <w:p w14:paraId="729ADB3D" w14:textId="77777777" w:rsidR="002242A4" w:rsidRDefault="002242A4" w:rsidP="00CD363C">
            <w:pPr>
              <w:pStyle w:val="TableParagraph"/>
              <w:ind w:left="107" w:right="-66"/>
              <w:jc w:val="both"/>
              <w:rPr>
                <w:b/>
                <w:sz w:val="20"/>
              </w:rPr>
            </w:pPr>
            <w:r>
              <w:rPr>
                <w:b/>
                <w:sz w:val="20"/>
              </w:rPr>
              <w:t>Paredzamais mūža ilgums pēc vecuma un dzimuma</w:t>
            </w:r>
          </w:p>
        </w:tc>
        <w:tc>
          <w:tcPr>
            <w:tcW w:w="3908" w:type="dxa"/>
          </w:tcPr>
          <w:p w14:paraId="39D9A859" w14:textId="77777777" w:rsidR="002242A4" w:rsidRDefault="002242A4" w:rsidP="00CD363C">
            <w:pPr>
              <w:pStyle w:val="TableParagraph"/>
              <w:ind w:right="-66"/>
              <w:jc w:val="both"/>
              <w:rPr>
                <w:sz w:val="20"/>
              </w:rPr>
            </w:pPr>
            <w:r>
              <w:rPr>
                <w:sz w:val="20"/>
              </w:rPr>
              <w:t>4,0 gadi</w:t>
            </w:r>
          </w:p>
        </w:tc>
      </w:tr>
      <w:tr w:rsidR="002242A4" w14:paraId="58D0661A" w14:textId="77777777" w:rsidTr="00195A06">
        <w:trPr>
          <w:trHeight w:val="690"/>
        </w:trPr>
        <w:tc>
          <w:tcPr>
            <w:tcW w:w="989" w:type="dxa"/>
          </w:tcPr>
          <w:p w14:paraId="4C223BF7" w14:textId="77777777" w:rsidR="002242A4" w:rsidRDefault="002242A4" w:rsidP="00CD363C">
            <w:pPr>
              <w:pStyle w:val="TableParagraph"/>
              <w:ind w:left="107" w:right="-66"/>
              <w:jc w:val="both"/>
              <w:rPr>
                <w:b/>
                <w:sz w:val="20"/>
              </w:rPr>
            </w:pPr>
            <w:r>
              <w:rPr>
                <w:b/>
                <w:sz w:val="20"/>
              </w:rPr>
              <w:t>3.</w:t>
            </w:r>
          </w:p>
        </w:tc>
        <w:tc>
          <w:tcPr>
            <w:tcW w:w="3402" w:type="dxa"/>
          </w:tcPr>
          <w:p w14:paraId="586356C2" w14:textId="77777777" w:rsidR="002242A4" w:rsidRDefault="002242A4" w:rsidP="00CD363C">
            <w:pPr>
              <w:pStyle w:val="TableParagraph"/>
              <w:ind w:left="107" w:right="-66"/>
              <w:jc w:val="both"/>
              <w:rPr>
                <w:b/>
                <w:sz w:val="20"/>
              </w:rPr>
            </w:pPr>
            <w:r>
              <w:rPr>
                <w:b/>
                <w:sz w:val="20"/>
              </w:rPr>
              <w:t>Valsts kases mājas lapā publicētā diskonta likme, lai noteiktu saistību pašreizējo vērtību</w:t>
            </w:r>
          </w:p>
        </w:tc>
        <w:tc>
          <w:tcPr>
            <w:tcW w:w="3908" w:type="dxa"/>
          </w:tcPr>
          <w:p w14:paraId="76043D1F" w14:textId="77777777" w:rsidR="002242A4" w:rsidRDefault="002242A4" w:rsidP="00CD363C">
            <w:pPr>
              <w:pStyle w:val="TableParagraph"/>
              <w:ind w:right="-66"/>
              <w:jc w:val="both"/>
              <w:rPr>
                <w:sz w:val="19"/>
              </w:rPr>
            </w:pPr>
          </w:p>
          <w:p w14:paraId="1BA9B6A4" w14:textId="77777777" w:rsidR="002242A4" w:rsidRDefault="002242A4" w:rsidP="00CD363C">
            <w:pPr>
              <w:pStyle w:val="TableParagraph"/>
              <w:ind w:right="-66"/>
              <w:jc w:val="both"/>
              <w:rPr>
                <w:sz w:val="20"/>
              </w:rPr>
            </w:pPr>
            <w:r>
              <w:rPr>
                <w:sz w:val="20"/>
              </w:rPr>
              <w:t>1,7%</w:t>
            </w:r>
          </w:p>
        </w:tc>
      </w:tr>
    </w:tbl>
    <w:p w14:paraId="4DE9D9F2" w14:textId="77777777" w:rsidR="002242A4" w:rsidRDefault="002242A4" w:rsidP="00CD363C">
      <w:pPr>
        <w:pStyle w:val="Pamatteksts"/>
        <w:ind w:right="-66"/>
        <w:jc w:val="both"/>
        <w:rPr>
          <w:sz w:val="24"/>
        </w:rPr>
      </w:pPr>
    </w:p>
    <w:p w14:paraId="1F5B0556" w14:textId="77777777" w:rsidR="002242A4" w:rsidRDefault="002242A4" w:rsidP="00CD363C">
      <w:pPr>
        <w:pStyle w:val="Pamatteksts"/>
        <w:ind w:right="-66"/>
        <w:jc w:val="both"/>
        <w:rPr>
          <w:sz w:val="26"/>
        </w:rPr>
      </w:pPr>
    </w:p>
    <w:p w14:paraId="01E887B7" w14:textId="77777777" w:rsidR="002242A4" w:rsidRDefault="002242A4" w:rsidP="00CD363C">
      <w:pPr>
        <w:pStyle w:val="Pamatteksts"/>
        <w:ind w:left="338" w:right="-66"/>
        <w:jc w:val="both"/>
      </w:pPr>
      <w:r>
        <w:t>Budžeta iestāde veic pienākuma pašreizējās vērtības aprēķinu, nosakot uzkrājumu kopējo apmēru pārskata datumā un to diskontējot ar diskonta likmi:</w:t>
      </w:r>
    </w:p>
    <w:p w14:paraId="50AB384B" w14:textId="77777777" w:rsidR="002242A4" w:rsidRDefault="002242A4" w:rsidP="00CD363C">
      <w:pPr>
        <w:pStyle w:val="Pamatteksts"/>
        <w:ind w:right="-66"/>
        <w:jc w:val="both"/>
        <w:rPr>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658"/>
        <w:gridCol w:w="1661"/>
        <w:gridCol w:w="1658"/>
        <w:gridCol w:w="1797"/>
        <w:gridCol w:w="1660"/>
      </w:tblGrid>
      <w:tr w:rsidR="002242A4" w14:paraId="54E5C979" w14:textId="77777777" w:rsidTr="00195A06">
        <w:trPr>
          <w:trHeight w:val="1610"/>
        </w:trPr>
        <w:tc>
          <w:tcPr>
            <w:tcW w:w="1658" w:type="dxa"/>
            <w:shd w:val="clear" w:color="auto" w:fill="F1F1F1"/>
          </w:tcPr>
          <w:p w14:paraId="539B73A8" w14:textId="77777777" w:rsidR="002242A4" w:rsidRDefault="002242A4" w:rsidP="00CD363C">
            <w:pPr>
              <w:pStyle w:val="TableParagraph"/>
              <w:ind w:right="-66"/>
              <w:jc w:val="both"/>
            </w:pPr>
          </w:p>
          <w:p w14:paraId="0DB0DFC8" w14:textId="77777777" w:rsidR="002242A4" w:rsidRDefault="002242A4" w:rsidP="00CD363C">
            <w:pPr>
              <w:pStyle w:val="TableParagraph"/>
              <w:ind w:right="-66"/>
              <w:jc w:val="both"/>
              <w:rPr>
                <w:sz w:val="17"/>
              </w:rPr>
            </w:pPr>
          </w:p>
          <w:p w14:paraId="5585B6C6" w14:textId="77777777" w:rsidR="002242A4" w:rsidRDefault="002242A4" w:rsidP="00CD363C">
            <w:pPr>
              <w:pStyle w:val="TableParagraph"/>
              <w:ind w:left="235" w:right="-66" w:firstLine="1"/>
              <w:jc w:val="both"/>
              <w:rPr>
                <w:b/>
                <w:sz w:val="20"/>
              </w:rPr>
            </w:pPr>
            <w:r>
              <w:rPr>
                <w:b/>
                <w:sz w:val="20"/>
              </w:rPr>
              <w:t>Paredzamais mūža</w:t>
            </w:r>
            <w:r>
              <w:rPr>
                <w:b/>
                <w:spacing w:val="-8"/>
                <w:sz w:val="20"/>
              </w:rPr>
              <w:t xml:space="preserve"> </w:t>
            </w:r>
            <w:r>
              <w:rPr>
                <w:b/>
                <w:sz w:val="20"/>
              </w:rPr>
              <w:t>ilgums, gadi</w:t>
            </w:r>
          </w:p>
        </w:tc>
        <w:tc>
          <w:tcPr>
            <w:tcW w:w="1661" w:type="dxa"/>
            <w:shd w:val="clear" w:color="auto" w:fill="F1F1F1"/>
          </w:tcPr>
          <w:p w14:paraId="05C1AFD6" w14:textId="77777777" w:rsidR="002242A4" w:rsidRDefault="002242A4" w:rsidP="00CD363C">
            <w:pPr>
              <w:pStyle w:val="TableParagraph"/>
              <w:ind w:left="171" w:right="-66"/>
              <w:jc w:val="both"/>
              <w:rPr>
                <w:b/>
                <w:sz w:val="20"/>
              </w:rPr>
            </w:pPr>
            <w:r>
              <w:rPr>
                <w:b/>
                <w:sz w:val="20"/>
              </w:rPr>
              <w:t>Gads, uz kuru attiecas saistības pret darbiniekiem pēc darba</w:t>
            </w:r>
          </w:p>
          <w:p w14:paraId="7283596A" w14:textId="77777777" w:rsidR="002242A4" w:rsidRDefault="002242A4" w:rsidP="00CD363C">
            <w:pPr>
              <w:pStyle w:val="TableParagraph"/>
              <w:ind w:left="317" w:right="-66" w:hanging="1"/>
              <w:jc w:val="both"/>
              <w:rPr>
                <w:b/>
                <w:sz w:val="20"/>
              </w:rPr>
            </w:pPr>
            <w:r>
              <w:rPr>
                <w:b/>
                <w:sz w:val="20"/>
              </w:rPr>
              <w:t xml:space="preserve">attiecību </w:t>
            </w:r>
            <w:r>
              <w:rPr>
                <w:b/>
                <w:w w:val="95"/>
                <w:sz w:val="20"/>
              </w:rPr>
              <w:t>izbeigšanas</w:t>
            </w:r>
          </w:p>
        </w:tc>
        <w:tc>
          <w:tcPr>
            <w:tcW w:w="1658" w:type="dxa"/>
            <w:shd w:val="clear" w:color="auto" w:fill="F1F1F1"/>
          </w:tcPr>
          <w:p w14:paraId="340A2BF3" w14:textId="77777777" w:rsidR="002242A4" w:rsidRDefault="002242A4" w:rsidP="00CD363C">
            <w:pPr>
              <w:pStyle w:val="TableParagraph"/>
              <w:ind w:right="-66"/>
              <w:jc w:val="both"/>
            </w:pPr>
          </w:p>
          <w:p w14:paraId="0544C73F" w14:textId="77777777" w:rsidR="002242A4" w:rsidRDefault="002242A4" w:rsidP="00CD363C">
            <w:pPr>
              <w:pStyle w:val="TableParagraph"/>
              <w:ind w:right="-66"/>
              <w:jc w:val="both"/>
              <w:rPr>
                <w:sz w:val="17"/>
              </w:rPr>
            </w:pPr>
          </w:p>
          <w:p w14:paraId="3A9C77AE" w14:textId="77777777" w:rsidR="002242A4" w:rsidRDefault="002242A4" w:rsidP="00CD363C">
            <w:pPr>
              <w:pStyle w:val="TableParagraph"/>
              <w:ind w:left="226" w:right="-66" w:hanging="3"/>
              <w:jc w:val="both"/>
              <w:rPr>
                <w:b/>
                <w:sz w:val="20"/>
              </w:rPr>
            </w:pPr>
            <w:r>
              <w:rPr>
                <w:b/>
                <w:sz w:val="20"/>
              </w:rPr>
              <w:t>Uzkrājuma apmērs gadā, EUR</w:t>
            </w:r>
          </w:p>
        </w:tc>
        <w:tc>
          <w:tcPr>
            <w:tcW w:w="1797" w:type="dxa"/>
            <w:shd w:val="clear" w:color="auto" w:fill="F1F1F1"/>
          </w:tcPr>
          <w:p w14:paraId="1FA8261B" w14:textId="77777777" w:rsidR="002242A4" w:rsidRDefault="002242A4" w:rsidP="00CD363C">
            <w:pPr>
              <w:pStyle w:val="TableParagraph"/>
              <w:ind w:right="-66"/>
              <w:jc w:val="both"/>
            </w:pPr>
          </w:p>
          <w:p w14:paraId="10CA8FC3" w14:textId="77777777" w:rsidR="002242A4" w:rsidRDefault="002242A4" w:rsidP="00CD363C">
            <w:pPr>
              <w:pStyle w:val="TableParagraph"/>
              <w:ind w:right="-66"/>
              <w:jc w:val="both"/>
              <w:rPr>
                <w:sz w:val="17"/>
              </w:rPr>
            </w:pPr>
          </w:p>
          <w:p w14:paraId="45F9D6EC" w14:textId="77777777" w:rsidR="002242A4" w:rsidRDefault="002242A4" w:rsidP="00CD363C">
            <w:pPr>
              <w:pStyle w:val="TableParagraph"/>
              <w:ind w:left="109" w:right="-66" w:hanging="5"/>
              <w:jc w:val="both"/>
              <w:rPr>
                <w:b/>
                <w:sz w:val="20"/>
              </w:rPr>
            </w:pPr>
            <w:r>
              <w:rPr>
                <w:b/>
                <w:sz w:val="20"/>
              </w:rPr>
              <w:t xml:space="preserve">Diskonta faktors </w:t>
            </w:r>
            <w:r>
              <w:rPr>
                <w:b/>
                <w:w w:val="95"/>
                <w:sz w:val="20"/>
              </w:rPr>
              <w:t xml:space="preserve">(1/(1+1,7%)^gads </w:t>
            </w:r>
            <w:r>
              <w:rPr>
                <w:b/>
                <w:sz w:val="20"/>
              </w:rPr>
              <w:t>pēc kārtas)</w:t>
            </w:r>
          </w:p>
        </w:tc>
        <w:tc>
          <w:tcPr>
            <w:tcW w:w="1660" w:type="dxa"/>
            <w:shd w:val="clear" w:color="auto" w:fill="F1F1F1"/>
          </w:tcPr>
          <w:p w14:paraId="1CB70696" w14:textId="77777777" w:rsidR="002242A4" w:rsidRDefault="002242A4" w:rsidP="00CD363C">
            <w:pPr>
              <w:pStyle w:val="TableParagraph"/>
              <w:ind w:right="-66"/>
              <w:jc w:val="both"/>
              <w:rPr>
                <w:sz w:val="20"/>
              </w:rPr>
            </w:pPr>
          </w:p>
          <w:p w14:paraId="34845CB8" w14:textId="77777777" w:rsidR="002242A4" w:rsidRDefault="002242A4" w:rsidP="00CD363C">
            <w:pPr>
              <w:pStyle w:val="TableParagraph"/>
              <w:ind w:left="276" w:right="-66"/>
              <w:jc w:val="both"/>
              <w:rPr>
                <w:b/>
                <w:sz w:val="20"/>
              </w:rPr>
            </w:pPr>
            <w:r>
              <w:rPr>
                <w:b/>
                <w:sz w:val="20"/>
              </w:rPr>
              <w:t>Diskontētais uzkrājumu apmērs uz 31.12.2019.</w:t>
            </w:r>
          </w:p>
        </w:tc>
      </w:tr>
      <w:tr w:rsidR="002242A4" w14:paraId="23CA020F" w14:textId="77777777" w:rsidTr="00195A06">
        <w:trPr>
          <w:trHeight w:val="230"/>
        </w:trPr>
        <w:tc>
          <w:tcPr>
            <w:tcW w:w="1658" w:type="dxa"/>
            <w:shd w:val="clear" w:color="auto" w:fill="F1F1F1"/>
          </w:tcPr>
          <w:p w14:paraId="0E6EFD81" w14:textId="77777777" w:rsidR="002242A4" w:rsidRDefault="002242A4" w:rsidP="00CD363C">
            <w:pPr>
              <w:pStyle w:val="TableParagraph"/>
              <w:ind w:left="748" w:right="-66"/>
              <w:jc w:val="both"/>
              <w:rPr>
                <w:b/>
                <w:sz w:val="20"/>
              </w:rPr>
            </w:pPr>
            <w:r>
              <w:rPr>
                <w:b/>
                <w:w w:val="99"/>
                <w:sz w:val="20"/>
              </w:rPr>
              <w:t>1</w:t>
            </w:r>
          </w:p>
        </w:tc>
        <w:tc>
          <w:tcPr>
            <w:tcW w:w="1661" w:type="dxa"/>
            <w:shd w:val="clear" w:color="auto" w:fill="F1F1F1"/>
          </w:tcPr>
          <w:p w14:paraId="52FFE979" w14:textId="77777777" w:rsidR="002242A4" w:rsidRDefault="002242A4" w:rsidP="00CD363C">
            <w:pPr>
              <w:pStyle w:val="TableParagraph"/>
              <w:ind w:right="-66"/>
              <w:jc w:val="both"/>
              <w:rPr>
                <w:b/>
                <w:sz w:val="20"/>
              </w:rPr>
            </w:pPr>
            <w:r>
              <w:rPr>
                <w:b/>
                <w:w w:val="99"/>
                <w:sz w:val="20"/>
              </w:rPr>
              <w:t>2</w:t>
            </w:r>
          </w:p>
        </w:tc>
        <w:tc>
          <w:tcPr>
            <w:tcW w:w="1658" w:type="dxa"/>
            <w:shd w:val="clear" w:color="auto" w:fill="F1F1F1"/>
          </w:tcPr>
          <w:p w14:paraId="3EAC95DB" w14:textId="77777777" w:rsidR="002242A4" w:rsidRDefault="002242A4" w:rsidP="00CD363C">
            <w:pPr>
              <w:pStyle w:val="TableParagraph"/>
              <w:ind w:left="746" w:right="-66"/>
              <w:jc w:val="both"/>
              <w:rPr>
                <w:b/>
                <w:sz w:val="20"/>
              </w:rPr>
            </w:pPr>
            <w:r>
              <w:rPr>
                <w:b/>
                <w:w w:val="99"/>
                <w:sz w:val="20"/>
              </w:rPr>
              <w:t>3</w:t>
            </w:r>
          </w:p>
        </w:tc>
        <w:tc>
          <w:tcPr>
            <w:tcW w:w="1797" w:type="dxa"/>
            <w:shd w:val="clear" w:color="auto" w:fill="F1F1F1"/>
          </w:tcPr>
          <w:p w14:paraId="7DFDD6A9" w14:textId="77777777" w:rsidR="002242A4" w:rsidRDefault="002242A4" w:rsidP="00CD363C">
            <w:pPr>
              <w:pStyle w:val="TableParagraph"/>
              <w:ind w:right="-66"/>
              <w:jc w:val="both"/>
              <w:rPr>
                <w:b/>
                <w:sz w:val="20"/>
              </w:rPr>
            </w:pPr>
            <w:r>
              <w:rPr>
                <w:b/>
                <w:w w:val="99"/>
                <w:sz w:val="20"/>
              </w:rPr>
              <w:t>4</w:t>
            </w:r>
          </w:p>
        </w:tc>
        <w:tc>
          <w:tcPr>
            <w:tcW w:w="1660" w:type="dxa"/>
            <w:shd w:val="clear" w:color="auto" w:fill="F1F1F1"/>
          </w:tcPr>
          <w:p w14:paraId="0E210503" w14:textId="77777777" w:rsidR="002242A4" w:rsidRDefault="002242A4" w:rsidP="00CD363C">
            <w:pPr>
              <w:pStyle w:val="TableParagraph"/>
              <w:ind w:left="496" w:right="-66"/>
              <w:jc w:val="both"/>
              <w:rPr>
                <w:b/>
                <w:sz w:val="20"/>
              </w:rPr>
            </w:pPr>
            <w:r>
              <w:rPr>
                <w:b/>
                <w:sz w:val="20"/>
              </w:rPr>
              <w:t>5=3 x 4</w:t>
            </w:r>
          </w:p>
        </w:tc>
      </w:tr>
      <w:tr w:rsidR="002242A4" w14:paraId="3D62FAE7" w14:textId="77777777" w:rsidTr="00195A06">
        <w:trPr>
          <w:trHeight w:val="230"/>
        </w:trPr>
        <w:tc>
          <w:tcPr>
            <w:tcW w:w="1658" w:type="dxa"/>
          </w:tcPr>
          <w:p w14:paraId="17BDB53F" w14:textId="77777777" w:rsidR="002242A4" w:rsidRDefault="002242A4" w:rsidP="00CD363C">
            <w:pPr>
              <w:pStyle w:val="TableParagraph"/>
              <w:ind w:left="748" w:right="-66"/>
              <w:jc w:val="both"/>
              <w:rPr>
                <w:sz w:val="20"/>
              </w:rPr>
            </w:pPr>
            <w:r>
              <w:rPr>
                <w:w w:val="99"/>
                <w:sz w:val="20"/>
              </w:rPr>
              <w:t>1</w:t>
            </w:r>
          </w:p>
        </w:tc>
        <w:tc>
          <w:tcPr>
            <w:tcW w:w="1661" w:type="dxa"/>
          </w:tcPr>
          <w:p w14:paraId="63DEE36A" w14:textId="77777777" w:rsidR="002242A4" w:rsidRDefault="002242A4" w:rsidP="00CD363C">
            <w:pPr>
              <w:pStyle w:val="TableParagraph"/>
              <w:ind w:left="171" w:right="-66"/>
              <w:jc w:val="both"/>
              <w:rPr>
                <w:sz w:val="20"/>
              </w:rPr>
            </w:pPr>
            <w:r>
              <w:rPr>
                <w:sz w:val="20"/>
              </w:rPr>
              <w:t>2020</w:t>
            </w:r>
          </w:p>
        </w:tc>
        <w:tc>
          <w:tcPr>
            <w:tcW w:w="1658" w:type="dxa"/>
          </w:tcPr>
          <w:p w14:paraId="78C735D1" w14:textId="77777777" w:rsidR="002242A4" w:rsidRDefault="002242A4" w:rsidP="00CD363C">
            <w:pPr>
              <w:pStyle w:val="TableParagraph"/>
              <w:ind w:left="790" w:right="-66"/>
              <w:jc w:val="both"/>
              <w:rPr>
                <w:sz w:val="20"/>
              </w:rPr>
            </w:pPr>
            <w:r>
              <w:rPr>
                <w:sz w:val="20"/>
              </w:rPr>
              <w:t>3 120,00</w:t>
            </w:r>
          </w:p>
        </w:tc>
        <w:tc>
          <w:tcPr>
            <w:tcW w:w="1797" w:type="dxa"/>
          </w:tcPr>
          <w:p w14:paraId="0D688ABD" w14:textId="77777777" w:rsidR="002242A4" w:rsidRDefault="002242A4" w:rsidP="00CD363C">
            <w:pPr>
              <w:pStyle w:val="TableParagraph"/>
              <w:ind w:right="-66"/>
              <w:jc w:val="both"/>
              <w:rPr>
                <w:sz w:val="20"/>
              </w:rPr>
            </w:pPr>
            <w:r>
              <w:rPr>
                <w:w w:val="95"/>
                <w:sz w:val="20"/>
              </w:rPr>
              <w:t>0,9833</w:t>
            </w:r>
          </w:p>
        </w:tc>
        <w:tc>
          <w:tcPr>
            <w:tcW w:w="1660" w:type="dxa"/>
          </w:tcPr>
          <w:p w14:paraId="7E9F3937" w14:textId="77777777" w:rsidR="002242A4" w:rsidRDefault="002242A4" w:rsidP="00CD363C">
            <w:pPr>
              <w:pStyle w:val="TableParagraph"/>
              <w:ind w:right="-66"/>
              <w:jc w:val="both"/>
              <w:rPr>
                <w:sz w:val="20"/>
              </w:rPr>
            </w:pPr>
            <w:r>
              <w:rPr>
                <w:sz w:val="20"/>
              </w:rPr>
              <w:t>3 067,85</w:t>
            </w:r>
          </w:p>
        </w:tc>
      </w:tr>
      <w:tr w:rsidR="002242A4" w14:paraId="71A3CD8E" w14:textId="77777777" w:rsidTr="00195A06">
        <w:trPr>
          <w:trHeight w:val="230"/>
        </w:trPr>
        <w:tc>
          <w:tcPr>
            <w:tcW w:w="1658" w:type="dxa"/>
          </w:tcPr>
          <w:p w14:paraId="19403694" w14:textId="77777777" w:rsidR="002242A4" w:rsidRDefault="002242A4" w:rsidP="00CD363C">
            <w:pPr>
              <w:pStyle w:val="TableParagraph"/>
              <w:ind w:left="748" w:right="-66"/>
              <w:jc w:val="both"/>
              <w:rPr>
                <w:sz w:val="20"/>
              </w:rPr>
            </w:pPr>
            <w:r>
              <w:rPr>
                <w:w w:val="99"/>
                <w:sz w:val="20"/>
              </w:rPr>
              <w:t>2</w:t>
            </w:r>
          </w:p>
        </w:tc>
        <w:tc>
          <w:tcPr>
            <w:tcW w:w="1661" w:type="dxa"/>
          </w:tcPr>
          <w:p w14:paraId="4F7A8A41" w14:textId="77777777" w:rsidR="002242A4" w:rsidRDefault="002242A4" w:rsidP="00CD363C">
            <w:pPr>
              <w:pStyle w:val="TableParagraph"/>
              <w:ind w:left="171" w:right="-66"/>
              <w:jc w:val="both"/>
              <w:rPr>
                <w:sz w:val="20"/>
              </w:rPr>
            </w:pPr>
            <w:r>
              <w:rPr>
                <w:sz w:val="20"/>
              </w:rPr>
              <w:t>2021</w:t>
            </w:r>
          </w:p>
        </w:tc>
        <w:tc>
          <w:tcPr>
            <w:tcW w:w="1658" w:type="dxa"/>
          </w:tcPr>
          <w:p w14:paraId="2B16CC30" w14:textId="77777777" w:rsidR="002242A4" w:rsidRDefault="002242A4" w:rsidP="00CD363C">
            <w:pPr>
              <w:pStyle w:val="TableParagraph"/>
              <w:ind w:left="790" w:right="-66"/>
              <w:jc w:val="both"/>
              <w:rPr>
                <w:sz w:val="20"/>
              </w:rPr>
            </w:pPr>
            <w:r>
              <w:rPr>
                <w:sz w:val="20"/>
              </w:rPr>
              <w:t>3 120,00</w:t>
            </w:r>
          </w:p>
        </w:tc>
        <w:tc>
          <w:tcPr>
            <w:tcW w:w="1797" w:type="dxa"/>
          </w:tcPr>
          <w:p w14:paraId="24A4087C" w14:textId="77777777" w:rsidR="002242A4" w:rsidRDefault="002242A4" w:rsidP="00CD363C">
            <w:pPr>
              <w:pStyle w:val="TableParagraph"/>
              <w:ind w:right="-66"/>
              <w:jc w:val="both"/>
              <w:rPr>
                <w:sz w:val="20"/>
              </w:rPr>
            </w:pPr>
            <w:r>
              <w:rPr>
                <w:w w:val="95"/>
                <w:sz w:val="20"/>
              </w:rPr>
              <w:t>0,9668</w:t>
            </w:r>
          </w:p>
        </w:tc>
        <w:tc>
          <w:tcPr>
            <w:tcW w:w="1660" w:type="dxa"/>
          </w:tcPr>
          <w:p w14:paraId="43E6359E" w14:textId="77777777" w:rsidR="002242A4" w:rsidRDefault="002242A4" w:rsidP="00CD363C">
            <w:pPr>
              <w:pStyle w:val="TableParagraph"/>
              <w:ind w:right="-66"/>
              <w:jc w:val="both"/>
              <w:rPr>
                <w:sz w:val="20"/>
              </w:rPr>
            </w:pPr>
            <w:r>
              <w:rPr>
                <w:sz w:val="20"/>
              </w:rPr>
              <w:t>3 016,57</w:t>
            </w:r>
          </w:p>
        </w:tc>
      </w:tr>
      <w:tr w:rsidR="002242A4" w14:paraId="249648B1" w14:textId="77777777" w:rsidTr="00195A06">
        <w:trPr>
          <w:trHeight w:val="230"/>
        </w:trPr>
        <w:tc>
          <w:tcPr>
            <w:tcW w:w="1658" w:type="dxa"/>
          </w:tcPr>
          <w:p w14:paraId="3411B4A7" w14:textId="77777777" w:rsidR="002242A4" w:rsidRDefault="002242A4" w:rsidP="00CD363C">
            <w:pPr>
              <w:pStyle w:val="TableParagraph"/>
              <w:ind w:left="748" w:right="-66"/>
              <w:jc w:val="both"/>
              <w:rPr>
                <w:sz w:val="20"/>
              </w:rPr>
            </w:pPr>
            <w:r>
              <w:rPr>
                <w:w w:val="99"/>
                <w:sz w:val="20"/>
              </w:rPr>
              <w:t>3</w:t>
            </w:r>
          </w:p>
        </w:tc>
        <w:tc>
          <w:tcPr>
            <w:tcW w:w="1661" w:type="dxa"/>
          </w:tcPr>
          <w:p w14:paraId="264C2C15" w14:textId="77777777" w:rsidR="002242A4" w:rsidRDefault="002242A4" w:rsidP="00CD363C">
            <w:pPr>
              <w:pStyle w:val="TableParagraph"/>
              <w:ind w:left="171" w:right="-66"/>
              <w:jc w:val="both"/>
              <w:rPr>
                <w:sz w:val="20"/>
              </w:rPr>
            </w:pPr>
            <w:r>
              <w:rPr>
                <w:sz w:val="20"/>
              </w:rPr>
              <w:t>2022</w:t>
            </w:r>
          </w:p>
        </w:tc>
        <w:tc>
          <w:tcPr>
            <w:tcW w:w="1658" w:type="dxa"/>
          </w:tcPr>
          <w:p w14:paraId="5343EB0F" w14:textId="77777777" w:rsidR="002242A4" w:rsidRDefault="002242A4" w:rsidP="00CD363C">
            <w:pPr>
              <w:pStyle w:val="TableParagraph"/>
              <w:ind w:left="790" w:right="-66"/>
              <w:jc w:val="both"/>
              <w:rPr>
                <w:sz w:val="20"/>
              </w:rPr>
            </w:pPr>
            <w:r>
              <w:rPr>
                <w:sz w:val="20"/>
              </w:rPr>
              <w:t>3 120,00</w:t>
            </w:r>
          </w:p>
        </w:tc>
        <w:tc>
          <w:tcPr>
            <w:tcW w:w="1797" w:type="dxa"/>
          </w:tcPr>
          <w:p w14:paraId="6F9D7896" w14:textId="77777777" w:rsidR="002242A4" w:rsidRDefault="002242A4" w:rsidP="00CD363C">
            <w:pPr>
              <w:pStyle w:val="TableParagraph"/>
              <w:ind w:right="-66"/>
              <w:jc w:val="both"/>
              <w:rPr>
                <w:sz w:val="20"/>
              </w:rPr>
            </w:pPr>
            <w:r>
              <w:rPr>
                <w:w w:val="95"/>
                <w:sz w:val="20"/>
              </w:rPr>
              <w:t>0,9507</w:t>
            </w:r>
          </w:p>
        </w:tc>
        <w:tc>
          <w:tcPr>
            <w:tcW w:w="1660" w:type="dxa"/>
          </w:tcPr>
          <w:p w14:paraId="0728000B" w14:textId="77777777" w:rsidR="002242A4" w:rsidRDefault="002242A4" w:rsidP="00CD363C">
            <w:pPr>
              <w:pStyle w:val="TableParagraph"/>
              <w:ind w:right="-66"/>
              <w:jc w:val="both"/>
              <w:rPr>
                <w:sz w:val="20"/>
              </w:rPr>
            </w:pPr>
            <w:r>
              <w:rPr>
                <w:sz w:val="20"/>
              </w:rPr>
              <w:t>2 966,14</w:t>
            </w:r>
          </w:p>
        </w:tc>
      </w:tr>
      <w:tr w:rsidR="002242A4" w14:paraId="1CE8F29E" w14:textId="77777777" w:rsidTr="00195A06">
        <w:trPr>
          <w:trHeight w:val="229"/>
        </w:trPr>
        <w:tc>
          <w:tcPr>
            <w:tcW w:w="1658" w:type="dxa"/>
          </w:tcPr>
          <w:p w14:paraId="346F6599" w14:textId="77777777" w:rsidR="002242A4" w:rsidRDefault="002242A4" w:rsidP="00CD363C">
            <w:pPr>
              <w:pStyle w:val="TableParagraph"/>
              <w:ind w:left="748" w:right="-66"/>
              <w:jc w:val="both"/>
              <w:rPr>
                <w:sz w:val="20"/>
              </w:rPr>
            </w:pPr>
            <w:r>
              <w:rPr>
                <w:w w:val="99"/>
                <w:sz w:val="20"/>
              </w:rPr>
              <w:t>4</w:t>
            </w:r>
          </w:p>
        </w:tc>
        <w:tc>
          <w:tcPr>
            <w:tcW w:w="1661" w:type="dxa"/>
          </w:tcPr>
          <w:p w14:paraId="30997A5F" w14:textId="77777777" w:rsidR="002242A4" w:rsidRDefault="002242A4" w:rsidP="00CD363C">
            <w:pPr>
              <w:pStyle w:val="TableParagraph"/>
              <w:ind w:left="171" w:right="-66"/>
              <w:jc w:val="both"/>
              <w:rPr>
                <w:sz w:val="20"/>
              </w:rPr>
            </w:pPr>
            <w:r>
              <w:rPr>
                <w:sz w:val="20"/>
              </w:rPr>
              <w:t>2023</w:t>
            </w:r>
          </w:p>
        </w:tc>
        <w:tc>
          <w:tcPr>
            <w:tcW w:w="1658" w:type="dxa"/>
          </w:tcPr>
          <w:p w14:paraId="0AF8558C" w14:textId="77777777" w:rsidR="002242A4" w:rsidRDefault="002242A4" w:rsidP="00CD363C">
            <w:pPr>
              <w:pStyle w:val="TableParagraph"/>
              <w:ind w:left="790" w:right="-66"/>
              <w:jc w:val="both"/>
              <w:rPr>
                <w:sz w:val="20"/>
              </w:rPr>
            </w:pPr>
            <w:r>
              <w:rPr>
                <w:sz w:val="20"/>
              </w:rPr>
              <w:t>3 120,00</w:t>
            </w:r>
          </w:p>
        </w:tc>
        <w:tc>
          <w:tcPr>
            <w:tcW w:w="1797" w:type="dxa"/>
          </w:tcPr>
          <w:p w14:paraId="73F696D3" w14:textId="77777777" w:rsidR="002242A4" w:rsidRDefault="002242A4" w:rsidP="00CD363C">
            <w:pPr>
              <w:pStyle w:val="TableParagraph"/>
              <w:ind w:right="-66"/>
              <w:jc w:val="both"/>
              <w:rPr>
                <w:sz w:val="20"/>
              </w:rPr>
            </w:pPr>
            <w:r>
              <w:rPr>
                <w:w w:val="95"/>
                <w:sz w:val="20"/>
              </w:rPr>
              <w:t>0,9348</w:t>
            </w:r>
          </w:p>
        </w:tc>
        <w:tc>
          <w:tcPr>
            <w:tcW w:w="1660" w:type="dxa"/>
          </w:tcPr>
          <w:p w14:paraId="56051AFB" w14:textId="77777777" w:rsidR="002242A4" w:rsidRDefault="002242A4" w:rsidP="00CD363C">
            <w:pPr>
              <w:pStyle w:val="TableParagraph"/>
              <w:ind w:right="-66"/>
              <w:jc w:val="both"/>
              <w:rPr>
                <w:sz w:val="20"/>
              </w:rPr>
            </w:pPr>
            <w:r>
              <w:rPr>
                <w:sz w:val="20"/>
              </w:rPr>
              <w:t>2 916,56</w:t>
            </w:r>
          </w:p>
        </w:tc>
      </w:tr>
      <w:tr w:rsidR="002242A4" w14:paraId="5AE092AC" w14:textId="77777777" w:rsidTr="00195A06">
        <w:trPr>
          <w:trHeight w:val="230"/>
        </w:trPr>
        <w:tc>
          <w:tcPr>
            <w:tcW w:w="6774" w:type="dxa"/>
            <w:gridSpan w:val="4"/>
          </w:tcPr>
          <w:p w14:paraId="2FB04C4D" w14:textId="77777777" w:rsidR="002242A4" w:rsidRDefault="002242A4" w:rsidP="00CD363C">
            <w:pPr>
              <w:pStyle w:val="TableParagraph"/>
              <w:ind w:left="107" w:right="-66"/>
              <w:jc w:val="both"/>
              <w:rPr>
                <w:b/>
                <w:sz w:val="20"/>
              </w:rPr>
            </w:pPr>
            <w:r>
              <w:rPr>
                <w:b/>
                <w:sz w:val="20"/>
              </w:rPr>
              <w:t>Kopā uzkrājumu apmērs uz 31.12.2019.</w:t>
            </w:r>
          </w:p>
        </w:tc>
        <w:tc>
          <w:tcPr>
            <w:tcW w:w="1660" w:type="dxa"/>
          </w:tcPr>
          <w:p w14:paraId="196BE298" w14:textId="77777777" w:rsidR="002242A4" w:rsidRDefault="002242A4" w:rsidP="00CD363C">
            <w:pPr>
              <w:pStyle w:val="TableParagraph"/>
              <w:ind w:left="110" w:right="-66"/>
              <w:jc w:val="both"/>
              <w:rPr>
                <w:b/>
                <w:sz w:val="20"/>
              </w:rPr>
            </w:pPr>
            <w:r>
              <w:rPr>
                <w:b/>
                <w:sz w:val="20"/>
              </w:rPr>
              <w:t>11 967,11</w:t>
            </w:r>
          </w:p>
        </w:tc>
      </w:tr>
      <w:tr w:rsidR="005F5535" w14:paraId="1E64BDC1" w14:textId="77777777" w:rsidTr="00195A06">
        <w:trPr>
          <w:trHeight w:val="230"/>
        </w:trPr>
        <w:tc>
          <w:tcPr>
            <w:tcW w:w="6774" w:type="dxa"/>
            <w:gridSpan w:val="4"/>
          </w:tcPr>
          <w:p w14:paraId="7467A5D3" w14:textId="77777777" w:rsidR="005F5535" w:rsidRDefault="005F5535" w:rsidP="00CD363C">
            <w:pPr>
              <w:pStyle w:val="TableParagraph"/>
              <w:ind w:left="107" w:right="-66"/>
              <w:jc w:val="both"/>
              <w:rPr>
                <w:b/>
                <w:sz w:val="20"/>
              </w:rPr>
            </w:pPr>
          </w:p>
        </w:tc>
        <w:tc>
          <w:tcPr>
            <w:tcW w:w="1660" w:type="dxa"/>
          </w:tcPr>
          <w:p w14:paraId="47518B95" w14:textId="77777777" w:rsidR="005F5535" w:rsidRDefault="005F5535" w:rsidP="00CD363C">
            <w:pPr>
              <w:pStyle w:val="TableParagraph"/>
              <w:ind w:left="110" w:right="-66"/>
              <w:jc w:val="both"/>
              <w:rPr>
                <w:b/>
                <w:sz w:val="20"/>
              </w:rPr>
            </w:pPr>
          </w:p>
        </w:tc>
      </w:tr>
    </w:tbl>
    <w:p w14:paraId="19D05ACD" w14:textId="77777777" w:rsidR="002242A4" w:rsidRDefault="002242A4" w:rsidP="00CD363C">
      <w:pPr>
        <w:pStyle w:val="Pamatteksts"/>
        <w:ind w:left="338" w:right="-66"/>
        <w:jc w:val="both"/>
      </w:pPr>
      <w:r>
        <w:t>2019.gada pārskata datumā pašvaldība veic grāmatojumu, atzīstot pārskata perioda pārējos izdevumus un uzkrājumus:</w:t>
      </w:r>
    </w:p>
    <w:p w14:paraId="69381B19" w14:textId="77777777" w:rsidR="002242A4" w:rsidRDefault="002242A4" w:rsidP="00CD363C">
      <w:pPr>
        <w:pStyle w:val="Pamatteksts"/>
        <w:ind w:right="-66"/>
        <w:jc w:val="both"/>
        <w:rPr>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3"/>
        <w:gridCol w:w="850"/>
        <w:gridCol w:w="4150"/>
        <w:gridCol w:w="2724"/>
      </w:tblGrid>
      <w:tr w:rsidR="002242A4" w14:paraId="4B4A3486" w14:textId="77777777" w:rsidTr="00195A06">
        <w:trPr>
          <w:trHeight w:val="289"/>
        </w:trPr>
        <w:tc>
          <w:tcPr>
            <w:tcW w:w="563" w:type="dxa"/>
          </w:tcPr>
          <w:p w14:paraId="287489DE" w14:textId="77777777" w:rsidR="002242A4" w:rsidRDefault="002242A4" w:rsidP="00CD363C">
            <w:pPr>
              <w:pStyle w:val="TableParagraph"/>
              <w:ind w:left="200" w:right="-66"/>
              <w:jc w:val="both"/>
              <w:rPr>
                <w:i/>
              </w:rPr>
            </w:pPr>
            <w:r>
              <w:rPr>
                <w:i/>
              </w:rPr>
              <w:t>D</w:t>
            </w:r>
          </w:p>
        </w:tc>
        <w:tc>
          <w:tcPr>
            <w:tcW w:w="850" w:type="dxa"/>
          </w:tcPr>
          <w:p w14:paraId="19D9BFD3" w14:textId="77777777" w:rsidR="002242A4" w:rsidRDefault="002242A4" w:rsidP="00CD363C">
            <w:pPr>
              <w:pStyle w:val="TableParagraph"/>
              <w:ind w:left="176" w:right="-66"/>
              <w:jc w:val="both"/>
              <w:rPr>
                <w:i/>
              </w:rPr>
            </w:pPr>
            <w:r>
              <w:rPr>
                <w:i/>
              </w:rPr>
              <w:t>8660</w:t>
            </w:r>
          </w:p>
        </w:tc>
        <w:tc>
          <w:tcPr>
            <w:tcW w:w="4150" w:type="dxa"/>
          </w:tcPr>
          <w:p w14:paraId="51A0C1A4" w14:textId="77777777" w:rsidR="002242A4" w:rsidRDefault="002242A4" w:rsidP="00CD363C">
            <w:pPr>
              <w:pStyle w:val="TableParagraph"/>
              <w:ind w:left="205" w:right="-66"/>
              <w:jc w:val="both"/>
              <w:rPr>
                <w:i/>
              </w:rPr>
            </w:pPr>
            <w:r>
              <w:rPr>
                <w:i/>
              </w:rPr>
              <w:t>Izdevumi uzkrājumu veidošanai</w:t>
            </w:r>
          </w:p>
        </w:tc>
        <w:tc>
          <w:tcPr>
            <w:tcW w:w="2724" w:type="dxa"/>
          </w:tcPr>
          <w:p w14:paraId="1F318F11" w14:textId="77777777" w:rsidR="002242A4" w:rsidRDefault="002242A4" w:rsidP="00CD363C">
            <w:pPr>
              <w:pStyle w:val="TableParagraph"/>
              <w:ind w:right="-66"/>
              <w:jc w:val="both"/>
              <w:rPr>
                <w:i/>
              </w:rPr>
            </w:pPr>
            <w:r>
              <w:rPr>
                <w:i/>
              </w:rPr>
              <w:t>11 967,11 EUR</w:t>
            </w:r>
          </w:p>
        </w:tc>
      </w:tr>
      <w:tr w:rsidR="002242A4" w14:paraId="514ADA0D" w14:textId="77777777" w:rsidTr="00195A06">
        <w:trPr>
          <w:trHeight w:val="289"/>
        </w:trPr>
        <w:tc>
          <w:tcPr>
            <w:tcW w:w="563" w:type="dxa"/>
          </w:tcPr>
          <w:p w14:paraId="78CDDF1B" w14:textId="77777777" w:rsidR="002242A4" w:rsidRDefault="002242A4" w:rsidP="00CD363C">
            <w:pPr>
              <w:pStyle w:val="TableParagraph"/>
              <w:ind w:left="200" w:right="-66"/>
              <w:jc w:val="both"/>
              <w:rPr>
                <w:i/>
              </w:rPr>
            </w:pPr>
            <w:r>
              <w:rPr>
                <w:i/>
              </w:rPr>
              <w:t>K</w:t>
            </w:r>
          </w:p>
        </w:tc>
        <w:tc>
          <w:tcPr>
            <w:tcW w:w="850" w:type="dxa"/>
          </w:tcPr>
          <w:p w14:paraId="0CF4F444" w14:textId="77777777" w:rsidR="002242A4" w:rsidRDefault="002242A4" w:rsidP="00CD363C">
            <w:pPr>
              <w:pStyle w:val="TableParagraph"/>
              <w:ind w:left="176" w:right="-66"/>
              <w:jc w:val="both"/>
              <w:rPr>
                <w:i/>
              </w:rPr>
            </w:pPr>
            <w:r>
              <w:rPr>
                <w:i/>
              </w:rPr>
              <w:t>4000</w:t>
            </w:r>
          </w:p>
        </w:tc>
        <w:tc>
          <w:tcPr>
            <w:tcW w:w="4150" w:type="dxa"/>
          </w:tcPr>
          <w:p w14:paraId="2C4B8615" w14:textId="77777777" w:rsidR="002242A4" w:rsidRDefault="002242A4" w:rsidP="00CD363C">
            <w:pPr>
              <w:pStyle w:val="TableParagraph"/>
              <w:ind w:left="205" w:right="-66"/>
              <w:jc w:val="both"/>
              <w:rPr>
                <w:i/>
              </w:rPr>
            </w:pPr>
            <w:r>
              <w:rPr>
                <w:i/>
              </w:rPr>
              <w:t>Uzkrājumi</w:t>
            </w:r>
          </w:p>
        </w:tc>
        <w:tc>
          <w:tcPr>
            <w:tcW w:w="2724" w:type="dxa"/>
          </w:tcPr>
          <w:p w14:paraId="6863A200" w14:textId="77777777" w:rsidR="002242A4" w:rsidRDefault="002242A4" w:rsidP="00CD363C">
            <w:pPr>
              <w:pStyle w:val="TableParagraph"/>
              <w:ind w:right="-66"/>
              <w:jc w:val="both"/>
              <w:rPr>
                <w:i/>
              </w:rPr>
            </w:pPr>
            <w:r>
              <w:rPr>
                <w:i/>
              </w:rPr>
              <w:t>11 967,11 EUR</w:t>
            </w:r>
          </w:p>
        </w:tc>
      </w:tr>
    </w:tbl>
    <w:p w14:paraId="3F9C0ED2" w14:textId="77777777" w:rsidR="002242A4" w:rsidRDefault="002242A4" w:rsidP="00CD363C">
      <w:pPr>
        <w:pStyle w:val="Pamatteksts"/>
        <w:ind w:left="338" w:right="-66"/>
        <w:jc w:val="both"/>
      </w:pPr>
      <w:r>
        <w:t>Katra pārskata gada beigās pašvaldība izvērtē aktuālās aplēses un pārrēķina uzkrājuma pašreizējo vērtību pārskata perioda beigās un uzskaita:</w:t>
      </w:r>
    </w:p>
    <w:p w14:paraId="60F16FEB"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izmaiņas, kas saistās ar aplēšu izmaiņām un tiek uzskaitītas kā pārējie</w:t>
      </w:r>
      <w:r>
        <w:rPr>
          <w:spacing w:val="-14"/>
        </w:rPr>
        <w:t xml:space="preserve"> </w:t>
      </w:r>
      <w:r>
        <w:t>izdevumi;</w:t>
      </w:r>
    </w:p>
    <w:p w14:paraId="295F7E36" w14:textId="77777777" w:rsidR="002242A4" w:rsidRDefault="002242A4" w:rsidP="00CD363C">
      <w:pPr>
        <w:pStyle w:val="Pamatteksts"/>
        <w:ind w:right="-66"/>
        <w:jc w:val="both"/>
        <w:rPr>
          <w:sz w:val="13"/>
        </w:rPr>
      </w:pPr>
    </w:p>
    <w:tbl>
      <w:tblPr>
        <w:tblW w:w="0" w:type="auto"/>
        <w:tblInd w:w="246" w:type="dxa"/>
        <w:tblLayout w:type="fixed"/>
        <w:tblCellMar>
          <w:left w:w="0" w:type="dxa"/>
          <w:right w:w="0" w:type="dxa"/>
        </w:tblCellMar>
        <w:tblLook w:val="01E0" w:firstRow="1" w:lastRow="1" w:firstColumn="1" w:lastColumn="1" w:noHBand="0" w:noVBand="0"/>
      </w:tblPr>
      <w:tblGrid>
        <w:gridCol w:w="563"/>
        <w:gridCol w:w="850"/>
        <w:gridCol w:w="3181"/>
      </w:tblGrid>
      <w:tr w:rsidR="002242A4" w14:paraId="764AC5D2" w14:textId="77777777" w:rsidTr="00195A06">
        <w:trPr>
          <w:trHeight w:val="289"/>
        </w:trPr>
        <w:tc>
          <w:tcPr>
            <w:tcW w:w="563" w:type="dxa"/>
          </w:tcPr>
          <w:p w14:paraId="4F79B06A" w14:textId="77777777" w:rsidR="002242A4" w:rsidRDefault="002242A4" w:rsidP="00CD363C">
            <w:pPr>
              <w:pStyle w:val="TableParagraph"/>
              <w:ind w:left="200" w:right="-66"/>
              <w:jc w:val="both"/>
              <w:rPr>
                <w:i/>
              </w:rPr>
            </w:pPr>
            <w:r>
              <w:rPr>
                <w:i/>
              </w:rPr>
              <w:t>D</w:t>
            </w:r>
          </w:p>
        </w:tc>
        <w:tc>
          <w:tcPr>
            <w:tcW w:w="850" w:type="dxa"/>
          </w:tcPr>
          <w:p w14:paraId="0A71A156" w14:textId="77777777" w:rsidR="002242A4" w:rsidRDefault="002242A4" w:rsidP="00CD363C">
            <w:pPr>
              <w:pStyle w:val="TableParagraph"/>
              <w:ind w:left="176" w:right="-66"/>
              <w:jc w:val="both"/>
              <w:rPr>
                <w:i/>
              </w:rPr>
            </w:pPr>
            <w:r>
              <w:rPr>
                <w:i/>
              </w:rPr>
              <w:t>8660</w:t>
            </w:r>
          </w:p>
        </w:tc>
        <w:tc>
          <w:tcPr>
            <w:tcW w:w="3181" w:type="dxa"/>
          </w:tcPr>
          <w:p w14:paraId="44471704" w14:textId="77777777" w:rsidR="002242A4" w:rsidRDefault="002242A4" w:rsidP="00CD363C">
            <w:pPr>
              <w:pStyle w:val="TableParagraph"/>
              <w:ind w:left="205" w:right="-66"/>
              <w:jc w:val="both"/>
            </w:pPr>
            <w:r>
              <w:rPr>
                <w:i/>
              </w:rPr>
              <w:t xml:space="preserve">Izdevumi uzkrājumu </w:t>
            </w:r>
            <w:r>
              <w:t>veidošanai</w:t>
            </w:r>
          </w:p>
        </w:tc>
      </w:tr>
      <w:tr w:rsidR="002242A4" w14:paraId="448E401F" w14:textId="77777777" w:rsidTr="00195A06">
        <w:trPr>
          <w:trHeight w:val="289"/>
        </w:trPr>
        <w:tc>
          <w:tcPr>
            <w:tcW w:w="563" w:type="dxa"/>
          </w:tcPr>
          <w:p w14:paraId="2D941389" w14:textId="77777777" w:rsidR="002242A4" w:rsidRDefault="002242A4" w:rsidP="00CD363C">
            <w:pPr>
              <w:pStyle w:val="TableParagraph"/>
              <w:ind w:left="200" w:right="-66"/>
              <w:jc w:val="both"/>
              <w:rPr>
                <w:i/>
              </w:rPr>
            </w:pPr>
            <w:r>
              <w:rPr>
                <w:i/>
              </w:rPr>
              <w:t>K</w:t>
            </w:r>
          </w:p>
        </w:tc>
        <w:tc>
          <w:tcPr>
            <w:tcW w:w="850" w:type="dxa"/>
          </w:tcPr>
          <w:p w14:paraId="24BE2731" w14:textId="77777777" w:rsidR="002242A4" w:rsidRDefault="002242A4" w:rsidP="00CD363C">
            <w:pPr>
              <w:pStyle w:val="TableParagraph"/>
              <w:ind w:left="176" w:right="-66"/>
              <w:jc w:val="both"/>
              <w:rPr>
                <w:i/>
              </w:rPr>
            </w:pPr>
            <w:r>
              <w:rPr>
                <w:i/>
              </w:rPr>
              <w:t>4000</w:t>
            </w:r>
          </w:p>
        </w:tc>
        <w:tc>
          <w:tcPr>
            <w:tcW w:w="3181" w:type="dxa"/>
          </w:tcPr>
          <w:p w14:paraId="2DF25406" w14:textId="77777777" w:rsidR="002242A4" w:rsidRDefault="002242A4" w:rsidP="00CD363C">
            <w:pPr>
              <w:pStyle w:val="TableParagraph"/>
              <w:ind w:left="205" w:right="-66"/>
              <w:jc w:val="both"/>
              <w:rPr>
                <w:i/>
              </w:rPr>
            </w:pPr>
            <w:r>
              <w:rPr>
                <w:i/>
              </w:rPr>
              <w:t>Uzkrājumi</w:t>
            </w:r>
          </w:p>
        </w:tc>
      </w:tr>
    </w:tbl>
    <w:p w14:paraId="203ECC37" w14:textId="77777777" w:rsidR="002242A4" w:rsidRDefault="002242A4" w:rsidP="00CD363C">
      <w:pPr>
        <w:pStyle w:val="Pamatteksts"/>
        <w:ind w:right="-66"/>
        <w:jc w:val="both"/>
        <w:rPr>
          <w:sz w:val="26"/>
        </w:rPr>
      </w:pPr>
    </w:p>
    <w:p w14:paraId="242D237D" w14:textId="77777777" w:rsidR="002242A4" w:rsidRDefault="002242A4" w:rsidP="00CD363C">
      <w:pPr>
        <w:pStyle w:val="Sarakstarindkopa"/>
        <w:widowControl w:val="0"/>
        <w:numPr>
          <w:ilvl w:val="2"/>
          <w:numId w:val="9"/>
        </w:numPr>
        <w:tabs>
          <w:tab w:val="left" w:pos="1472"/>
        </w:tabs>
        <w:autoSpaceDE w:val="0"/>
        <w:autoSpaceDN w:val="0"/>
        <w:spacing w:after="0" w:line="240" w:lineRule="auto"/>
        <w:ind w:right="-66" w:hanging="283"/>
        <w:contextualSpacing w:val="0"/>
        <w:jc w:val="both"/>
      </w:pPr>
      <w:r>
        <w:t>uzkrājuma pieaugumu, kas saistās ar procentu izdevumu aprēķinu, atzīstot pārējos finanšu izdevumus.</w:t>
      </w:r>
    </w:p>
    <w:p w14:paraId="72B72D27" w14:textId="77777777" w:rsidR="002242A4" w:rsidRDefault="002242A4" w:rsidP="00CD363C">
      <w:pPr>
        <w:pStyle w:val="Pamatteksts"/>
        <w:ind w:right="-66"/>
        <w:jc w:val="both"/>
        <w:rPr>
          <w:sz w:val="9"/>
        </w:rPr>
      </w:pPr>
    </w:p>
    <w:tbl>
      <w:tblPr>
        <w:tblW w:w="0" w:type="auto"/>
        <w:tblInd w:w="246" w:type="dxa"/>
        <w:tblLayout w:type="fixed"/>
        <w:tblCellMar>
          <w:left w:w="0" w:type="dxa"/>
          <w:right w:w="0" w:type="dxa"/>
        </w:tblCellMar>
        <w:tblLook w:val="01E0" w:firstRow="1" w:lastRow="1" w:firstColumn="1" w:lastColumn="1" w:noHBand="0" w:noVBand="0"/>
      </w:tblPr>
      <w:tblGrid>
        <w:gridCol w:w="563"/>
        <w:gridCol w:w="850"/>
        <w:gridCol w:w="2050"/>
      </w:tblGrid>
      <w:tr w:rsidR="002242A4" w14:paraId="5F337693" w14:textId="77777777" w:rsidTr="00195A06">
        <w:trPr>
          <w:trHeight w:val="289"/>
        </w:trPr>
        <w:tc>
          <w:tcPr>
            <w:tcW w:w="563" w:type="dxa"/>
          </w:tcPr>
          <w:p w14:paraId="784C1A97" w14:textId="77777777" w:rsidR="002242A4" w:rsidRDefault="002242A4" w:rsidP="00CD363C">
            <w:pPr>
              <w:pStyle w:val="TableParagraph"/>
              <w:ind w:left="200" w:right="-66"/>
              <w:jc w:val="both"/>
              <w:rPr>
                <w:i/>
              </w:rPr>
            </w:pPr>
            <w:r>
              <w:rPr>
                <w:i/>
              </w:rPr>
              <w:t>D</w:t>
            </w:r>
          </w:p>
        </w:tc>
        <w:tc>
          <w:tcPr>
            <w:tcW w:w="850" w:type="dxa"/>
          </w:tcPr>
          <w:p w14:paraId="1AA50293" w14:textId="77777777" w:rsidR="002242A4" w:rsidRDefault="002242A4" w:rsidP="00CD363C">
            <w:pPr>
              <w:pStyle w:val="TableParagraph"/>
              <w:ind w:left="176" w:right="-66"/>
              <w:jc w:val="both"/>
            </w:pPr>
            <w:r>
              <w:rPr>
                <w:i/>
              </w:rPr>
              <w:t>82</w:t>
            </w:r>
            <w:r>
              <w:t>20</w:t>
            </w:r>
          </w:p>
        </w:tc>
        <w:tc>
          <w:tcPr>
            <w:tcW w:w="2050" w:type="dxa"/>
          </w:tcPr>
          <w:p w14:paraId="476094A6" w14:textId="77777777" w:rsidR="002242A4" w:rsidRDefault="002242A4" w:rsidP="00CD363C">
            <w:pPr>
              <w:pStyle w:val="TableParagraph"/>
              <w:ind w:left="205" w:right="-66"/>
              <w:jc w:val="both"/>
              <w:rPr>
                <w:i/>
              </w:rPr>
            </w:pPr>
            <w:r>
              <w:rPr>
                <w:i/>
              </w:rPr>
              <w:t>Procentu izdevumi</w:t>
            </w:r>
          </w:p>
        </w:tc>
      </w:tr>
      <w:tr w:rsidR="002242A4" w14:paraId="42CA35B6" w14:textId="77777777" w:rsidTr="00195A06">
        <w:trPr>
          <w:trHeight w:val="289"/>
        </w:trPr>
        <w:tc>
          <w:tcPr>
            <w:tcW w:w="563" w:type="dxa"/>
          </w:tcPr>
          <w:p w14:paraId="5458D02D" w14:textId="77777777" w:rsidR="002242A4" w:rsidRDefault="002242A4" w:rsidP="00CD363C">
            <w:pPr>
              <w:pStyle w:val="TableParagraph"/>
              <w:ind w:left="200" w:right="-66"/>
              <w:jc w:val="both"/>
              <w:rPr>
                <w:i/>
              </w:rPr>
            </w:pPr>
            <w:r>
              <w:rPr>
                <w:i/>
              </w:rPr>
              <w:t>K</w:t>
            </w:r>
          </w:p>
        </w:tc>
        <w:tc>
          <w:tcPr>
            <w:tcW w:w="850" w:type="dxa"/>
          </w:tcPr>
          <w:p w14:paraId="6E3721F7" w14:textId="77777777" w:rsidR="002242A4" w:rsidRDefault="002242A4" w:rsidP="00CD363C">
            <w:pPr>
              <w:pStyle w:val="TableParagraph"/>
              <w:ind w:left="176" w:right="-66"/>
              <w:jc w:val="both"/>
              <w:rPr>
                <w:i/>
              </w:rPr>
            </w:pPr>
            <w:r>
              <w:rPr>
                <w:i/>
              </w:rPr>
              <w:t>4000</w:t>
            </w:r>
          </w:p>
        </w:tc>
        <w:tc>
          <w:tcPr>
            <w:tcW w:w="2050" w:type="dxa"/>
          </w:tcPr>
          <w:p w14:paraId="541EF5D8" w14:textId="77777777" w:rsidR="002242A4" w:rsidRDefault="002242A4" w:rsidP="00CD363C">
            <w:pPr>
              <w:pStyle w:val="TableParagraph"/>
              <w:ind w:left="205" w:right="-66"/>
              <w:jc w:val="both"/>
              <w:rPr>
                <w:i/>
              </w:rPr>
            </w:pPr>
            <w:r>
              <w:rPr>
                <w:i/>
              </w:rPr>
              <w:t>Uzkrājumi</w:t>
            </w:r>
          </w:p>
        </w:tc>
      </w:tr>
    </w:tbl>
    <w:p w14:paraId="627B6394" w14:textId="77777777" w:rsidR="002242A4" w:rsidRDefault="002242A4" w:rsidP="00CD363C">
      <w:pPr>
        <w:spacing w:after="0" w:line="240" w:lineRule="auto"/>
        <w:ind w:right="-66"/>
        <w:jc w:val="both"/>
        <w:rPr>
          <w:rFonts w:ascii="Times New Roman" w:hAnsi="Times New Roman" w:cs="Times New Roman"/>
          <w:b/>
          <w:sz w:val="28"/>
          <w:szCs w:val="28"/>
        </w:rPr>
      </w:pPr>
    </w:p>
    <w:p w14:paraId="32A80427" w14:textId="77777777" w:rsidR="00AD5660" w:rsidRDefault="002242A4" w:rsidP="00CD363C">
      <w:pPr>
        <w:spacing w:after="0" w:line="240" w:lineRule="auto"/>
        <w:ind w:right="-66"/>
        <w:jc w:val="center"/>
        <w:rPr>
          <w:rFonts w:ascii="Times New Roman" w:hAnsi="Times New Roman" w:cs="Times New Roman"/>
          <w:b/>
          <w:sz w:val="28"/>
          <w:szCs w:val="28"/>
        </w:rPr>
      </w:pPr>
      <w:r w:rsidRPr="002242A4">
        <w:rPr>
          <w:rFonts w:ascii="Times New Roman" w:hAnsi="Times New Roman" w:cs="Times New Roman"/>
          <w:b/>
          <w:sz w:val="28"/>
          <w:szCs w:val="28"/>
        </w:rPr>
        <w:t>19. Publiskās un privātās partnerības darījumu uzskaite</w:t>
      </w:r>
    </w:p>
    <w:p w14:paraId="72B40868" w14:textId="77777777" w:rsidR="003F13B2" w:rsidRPr="00A87501" w:rsidRDefault="00A87501" w:rsidP="00CD363C">
      <w:pPr>
        <w:pStyle w:val="Pamatteksts"/>
        <w:tabs>
          <w:tab w:val="left" w:pos="794"/>
          <w:tab w:val="left" w:pos="9919"/>
        </w:tabs>
        <w:ind w:left="101" w:right="-66"/>
        <w:jc w:val="both"/>
        <w:rPr>
          <w:b/>
          <w:bCs/>
          <w:sz w:val="24"/>
          <w:szCs w:val="24"/>
        </w:rPr>
      </w:pPr>
      <w:r w:rsidRPr="00A87501">
        <w:rPr>
          <w:b/>
          <w:bCs/>
          <w:sz w:val="28"/>
          <w:szCs w:val="28"/>
        </w:rPr>
        <w:t>19.1</w:t>
      </w:r>
      <w:r w:rsidR="003F13B2" w:rsidRPr="00A87501">
        <w:rPr>
          <w:b/>
          <w:bCs/>
          <w:sz w:val="28"/>
          <w:szCs w:val="28"/>
        </w:rPr>
        <w:t xml:space="preserve">. </w:t>
      </w:r>
      <w:r w:rsidR="003F13B2" w:rsidRPr="00A87501">
        <w:rPr>
          <w:b/>
          <w:bCs/>
          <w:sz w:val="24"/>
          <w:szCs w:val="24"/>
        </w:rPr>
        <w:t>Publiskās un privātās partnerības līguma definējums</w:t>
      </w:r>
    </w:p>
    <w:p w14:paraId="7FB37F7B" w14:textId="77777777" w:rsidR="00AD5660" w:rsidRPr="002242A4" w:rsidRDefault="00AD5660" w:rsidP="00CD363C">
      <w:pPr>
        <w:pStyle w:val="Pamatteksts"/>
        <w:ind w:right="-66"/>
        <w:jc w:val="both"/>
        <w:rPr>
          <w:b/>
          <w:i/>
          <w:sz w:val="28"/>
          <w:szCs w:val="28"/>
        </w:rPr>
      </w:pPr>
    </w:p>
    <w:p w14:paraId="242E7BB6" w14:textId="77777777" w:rsidR="003F13B2" w:rsidRDefault="003F13B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w:t>
      </w:r>
      <w:r w:rsidRPr="003F13B2">
        <w:rPr>
          <w:rFonts w:ascii="Times New Roman" w:hAnsi="Times New Roman" w:cs="Times New Roman"/>
          <w:sz w:val="24"/>
          <w:szCs w:val="24"/>
        </w:rPr>
        <w:t>5</w:t>
      </w:r>
      <w:r>
        <w:rPr>
          <w:rFonts w:ascii="Times New Roman" w:hAnsi="Times New Roman" w:cs="Times New Roman"/>
          <w:sz w:val="24"/>
          <w:szCs w:val="24"/>
        </w:rPr>
        <w:t>1</w:t>
      </w:r>
      <w:r w:rsidRPr="003F13B2">
        <w:rPr>
          <w:rFonts w:ascii="Times New Roman" w:hAnsi="Times New Roman" w:cs="Times New Roman"/>
          <w:sz w:val="24"/>
          <w:szCs w:val="24"/>
        </w:rPr>
        <w:t>.</w:t>
      </w:r>
      <w:r w:rsidR="00A87501">
        <w:rPr>
          <w:rFonts w:ascii="Times New Roman" w:hAnsi="Times New Roman" w:cs="Times New Roman"/>
          <w:sz w:val="24"/>
          <w:szCs w:val="24"/>
        </w:rPr>
        <w:t xml:space="preserve">     </w:t>
      </w:r>
      <w:r w:rsidRPr="003F13B2">
        <w:rPr>
          <w:rFonts w:ascii="Times New Roman" w:hAnsi="Times New Roman" w:cs="Times New Roman"/>
          <w:sz w:val="24"/>
          <w:szCs w:val="24"/>
        </w:rPr>
        <w:t>Privātās un publiskās partnerības līgumam ir sekojošas kopīgas iezīmes:</w:t>
      </w:r>
    </w:p>
    <w:p w14:paraId="264CA97E" w14:textId="77777777" w:rsidR="003F13B2" w:rsidRPr="003F13B2" w:rsidRDefault="003F13B2" w:rsidP="00CD363C">
      <w:pPr>
        <w:spacing w:after="0" w:line="240" w:lineRule="auto"/>
        <w:ind w:right="-66"/>
        <w:jc w:val="both"/>
        <w:rPr>
          <w:rFonts w:ascii="Times New Roman" w:hAnsi="Times New Roman" w:cs="Times New Roman"/>
          <w:sz w:val="24"/>
          <w:szCs w:val="24"/>
        </w:rPr>
      </w:pPr>
      <w:r w:rsidRPr="003F13B2">
        <w:rPr>
          <w:rFonts w:ascii="Times New Roman" w:hAnsi="Times New Roman" w:cs="Times New Roman"/>
          <w:sz w:val="24"/>
          <w:szCs w:val="24"/>
        </w:rPr>
        <w:t xml:space="preserve"> </w:t>
      </w:r>
      <w:r>
        <w:rPr>
          <w:rFonts w:ascii="Times New Roman" w:hAnsi="Times New Roman" w:cs="Times New Roman"/>
          <w:sz w:val="24"/>
          <w:szCs w:val="24"/>
        </w:rPr>
        <w:t xml:space="preserve"> 751.1. </w:t>
      </w:r>
      <w:r w:rsidR="00A87501">
        <w:rPr>
          <w:rFonts w:ascii="Times New Roman" w:hAnsi="Times New Roman" w:cs="Times New Roman"/>
          <w:sz w:val="24"/>
          <w:szCs w:val="24"/>
        </w:rPr>
        <w:t xml:space="preserve"> </w:t>
      </w:r>
      <w:r w:rsidRPr="003F13B2">
        <w:rPr>
          <w:rFonts w:ascii="Times New Roman" w:hAnsi="Times New Roman" w:cs="Times New Roman"/>
          <w:sz w:val="24"/>
          <w:szCs w:val="24"/>
        </w:rPr>
        <w:t>budžeta iestāde ir pakalpojuma pasūtītājs;</w:t>
      </w:r>
    </w:p>
    <w:p w14:paraId="660F1F56" w14:textId="77777777" w:rsidR="003F13B2" w:rsidRPr="003F13B2" w:rsidRDefault="00F31D1E" w:rsidP="00CD363C">
      <w:pPr>
        <w:spacing w:after="0" w:line="240" w:lineRule="auto"/>
        <w:ind w:left="142" w:right="-66" w:hanging="142"/>
        <w:jc w:val="both"/>
        <w:rPr>
          <w:rFonts w:ascii="Times New Roman" w:hAnsi="Times New Roman" w:cs="Times New Roman"/>
          <w:sz w:val="24"/>
          <w:szCs w:val="24"/>
        </w:rPr>
      </w:pPr>
      <w:r>
        <w:rPr>
          <w:rFonts w:ascii="Times New Roman" w:hAnsi="Times New Roman" w:cs="Times New Roman"/>
          <w:sz w:val="24"/>
          <w:szCs w:val="24"/>
        </w:rPr>
        <w:t xml:space="preserve">  751.2. </w:t>
      </w:r>
      <w:r w:rsidR="00A87501">
        <w:rPr>
          <w:rFonts w:ascii="Times New Roman" w:hAnsi="Times New Roman" w:cs="Times New Roman"/>
          <w:sz w:val="24"/>
          <w:szCs w:val="24"/>
        </w:rPr>
        <w:t xml:space="preserve"> </w:t>
      </w:r>
      <w:r w:rsidR="003F13B2" w:rsidRPr="003F13B2">
        <w:rPr>
          <w:rFonts w:ascii="Times New Roman" w:hAnsi="Times New Roman" w:cs="Times New Roman"/>
          <w:sz w:val="24"/>
          <w:szCs w:val="24"/>
        </w:rPr>
        <w:t xml:space="preserve">privātais partneris atbild par partnerības aktīva un saistīto pakalpojumu vismaz </w:t>
      </w:r>
      <w:r>
        <w:rPr>
          <w:rFonts w:ascii="Times New Roman" w:hAnsi="Times New Roman" w:cs="Times New Roman"/>
          <w:sz w:val="24"/>
          <w:szCs w:val="24"/>
        </w:rPr>
        <w:t xml:space="preserve">      </w:t>
      </w:r>
      <w:r w:rsidR="003F13B2" w:rsidRPr="003F13B2">
        <w:rPr>
          <w:rFonts w:ascii="Times New Roman" w:hAnsi="Times New Roman" w:cs="Times New Roman"/>
          <w:sz w:val="24"/>
          <w:szCs w:val="24"/>
        </w:rPr>
        <w:t>daļēju pārvaldību, nevis darbojas tikai kā pārstāvis budžeta iestādes vārdā;</w:t>
      </w:r>
    </w:p>
    <w:p w14:paraId="6D321AE7" w14:textId="77777777" w:rsidR="003F13B2" w:rsidRPr="003F13B2" w:rsidRDefault="00F31D1E"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751.3. </w:t>
      </w:r>
      <w:r w:rsidR="00A87501">
        <w:rPr>
          <w:rFonts w:ascii="Times New Roman" w:hAnsi="Times New Roman" w:cs="Times New Roman"/>
          <w:sz w:val="24"/>
          <w:szCs w:val="24"/>
        </w:rPr>
        <w:t xml:space="preserve"> </w:t>
      </w:r>
      <w:r w:rsidR="003F13B2" w:rsidRPr="003F13B2">
        <w:rPr>
          <w:rFonts w:ascii="Times New Roman" w:hAnsi="Times New Roman" w:cs="Times New Roman"/>
          <w:sz w:val="24"/>
          <w:szCs w:val="24"/>
        </w:rPr>
        <w:t>līgums paredz sākotnējo cenu, ko privātais partneris prasīs par pakalpojuma sniegšanu, kā arī regulē cenu pārskatīšanu līguma darbības termiņā;</w:t>
      </w:r>
    </w:p>
    <w:p w14:paraId="363F0901" w14:textId="77777777" w:rsidR="003F13B2" w:rsidRPr="003F13B2" w:rsidRDefault="00F31D1E"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751.4. </w:t>
      </w:r>
      <w:r w:rsidR="003F13B2" w:rsidRPr="003F13B2">
        <w:rPr>
          <w:rFonts w:ascii="Times New Roman" w:hAnsi="Times New Roman" w:cs="Times New Roman"/>
          <w:sz w:val="24"/>
          <w:szCs w:val="24"/>
        </w:rPr>
        <w:t>privātajam partnerim ir pienākums līguma termiņa beigās partnerības aktīvu nodot budžeta iestādei norādītajā stāvoklī par simbolisku atlīdzību vai bez atlīdzības neatkarīgi no tā, kura puse to sākotnēji finansējusi, izņemot gadījumus, kad partnerības aktīva lietderīgās lietošanas laiks beidzas līguma termiņa beigās;</w:t>
      </w:r>
    </w:p>
    <w:p w14:paraId="2B493339" w14:textId="77777777" w:rsidR="00AD5660" w:rsidRDefault="00F31D1E"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751.5. </w:t>
      </w:r>
      <w:r w:rsidR="00A87501">
        <w:rPr>
          <w:rFonts w:ascii="Times New Roman" w:hAnsi="Times New Roman" w:cs="Times New Roman"/>
          <w:sz w:val="24"/>
          <w:szCs w:val="24"/>
        </w:rPr>
        <w:t xml:space="preserve"> </w:t>
      </w:r>
      <w:r w:rsidR="003F13B2" w:rsidRPr="003F13B2">
        <w:rPr>
          <w:rFonts w:ascii="Times New Roman" w:hAnsi="Times New Roman" w:cs="Times New Roman"/>
          <w:sz w:val="24"/>
          <w:szCs w:val="24"/>
        </w:rPr>
        <w:t>līgumā ir izklāstīti izpildes noteikumi, cenu koriģēšanas mehānismi un strīdu izšķiršanas kārtība.</w:t>
      </w:r>
    </w:p>
    <w:p w14:paraId="323ECC9A" w14:textId="77777777" w:rsidR="00A87501" w:rsidRDefault="00A87501" w:rsidP="00CD363C">
      <w:pPr>
        <w:spacing w:after="0" w:line="240" w:lineRule="auto"/>
        <w:ind w:right="-66"/>
        <w:jc w:val="both"/>
        <w:rPr>
          <w:rFonts w:ascii="Times New Roman" w:hAnsi="Times New Roman" w:cs="Times New Roman"/>
          <w:b/>
          <w:bCs/>
          <w:sz w:val="24"/>
          <w:szCs w:val="24"/>
        </w:rPr>
      </w:pPr>
      <w:r w:rsidRPr="00A87501">
        <w:rPr>
          <w:rFonts w:ascii="Times New Roman" w:hAnsi="Times New Roman" w:cs="Times New Roman"/>
          <w:b/>
          <w:bCs/>
          <w:sz w:val="24"/>
          <w:szCs w:val="24"/>
        </w:rPr>
        <w:t>19.2. Partnerības aktīva sākotnējā atzīšana</w:t>
      </w:r>
    </w:p>
    <w:p w14:paraId="2E3C00F2" w14:textId="77777777" w:rsidR="00A87501" w:rsidRPr="00A87501" w:rsidRDefault="00A87501"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87501">
        <w:rPr>
          <w:rFonts w:ascii="Times New Roman" w:hAnsi="Times New Roman" w:cs="Times New Roman"/>
          <w:sz w:val="24"/>
          <w:szCs w:val="24"/>
        </w:rPr>
        <w:t>752.</w:t>
      </w:r>
      <w:r w:rsidRPr="00A87501">
        <w:t xml:space="preserve"> </w:t>
      </w:r>
      <w:r w:rsidRPr="00A87501">
        <w:rPr>
          <w:rFonts w:ascii="Times New Roman" w:hAnsi="Times New Roman" w:cs="Times New Roman"/>
          <w:sz w:val="24"/>
          <w:szCs w:val="24"/>
        </w:rPr>
        <w:t>Partnerības aktīvs ir tāds aktīvs, kas tiek izmantots sabiedrisko pakalpojumu nodrošināšanai saskaņā ar privātās un publiskās partnerības līgumu un atbilst partnerības aktīva</w:t>
      </w:r>
      <w:r w:rsidRPr="00A87501">
        <w:rPr>
          <w:rFonts w:ascii="Times New Roman" w:hAnsi="Times New Roman" w:cs="Times New Roman"/>
          <w:spacing w:val="-9"/>
          <w:sz w:val="24"/>
          <w:szCs w:val="24"/>
        </w:rPr>
        <w:t xml:space="preserve"> </w:t>
      </w:r>
      <w:r w:rsidRPr="00A87501">
        <w:rPr>
          <w:rFonts w:ascii="Times New Roman" w:hAnsi="Times New Roman" w:cs="Times New Roman"/>
          <w:sz w:val="24"/>
          <w:szCs w:val="24"/>
        </w:rPr>
        <w:t>definējumam.</w:t>
      </w:r>
    </w:p>
    <w:p w14:paraId="4EFD04F4" w14:textId="77777777" w:rsidR="00A87501" w:rsidRPr="00A87501" w:rsidRDefault="00A87501"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753.  </w:t>
      </w:r>
      <w:r w:rsidRPr="00A87501">
        <w:rPr>
          <w:rFonts w:ascii="Times New Roman" w:hAnsi="Times New Roman" w:cs="Times New Roman"/>
          <w:sz w:val="24"/>
          <w:szCs w:val="24"/>
        </w:rPr>
        <w:t>Partnerības aktīvi var būt tādi ilgtermiņa aktīvi kā ceļi, tilti, tuneļi, cietumi, slimnīcas, lidostas, ūdensapgādes iekārtas, energoapgādes un telekomunikāciju tīkli, kā arī citi ilgtermiņa materiālie aktīvi, ko izmanto sabiedrisko pakalpojumu</w:t>
      </w:r>
      <w:r w:rsidRPr="00A87501">
        <w:rPr>
          <w:rFonts w:ascii="Times New Roman" w:hAnsi="Times New Roman" w:cs="Times New Roman"/>
          <w:spacing w:val="-2"/>
          <w:sz w:val="24"/>
          <w:szCs w:val="24"/>
        </w:rPr>
        <w:t xml:space="preserve"> </w:t>
      </w:r>
      <w:r w:rsidRPr="00A87501">
        <w:rPr>
          <w:rFonts w:ascii="Times New Roman" w:hAnsi="Times New Roman" w:cs="Times New Roman"/>
          <w:sz w:val="24"/>
          <w:szCs w:val="24"/>
        </w:rPr>
        <w:t>nodrošināšanā.</w:t>
      </w:r>
    </w:p>
    <w:p w14:paraId="5BB3D197" w14:textId="77777777" w:rsidR="00A87501" w:rsidRPr="00A87501" w:rsidRDefault="00A8750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754.  </w:t>
      </w:r>
      <w:r w:rsidRPr="00A87501">
        <w:rPr>
          <w:rFonts w:ascii="Times New Roman" w:hAnsi="Times New Roman" w:cs="Times New Roman"/>
          <w:sz w:val="24"/>
          <w:szCs w:val="24"/>
        </w:rPr>
        <w:t>Budžeta iestāde partnerības aktīvu atzīst uzskaitē, ja tiek izpildīti abi sekojošie</w:t>
      </w:r>
      <w:r w:rsidRPr="00A87501">
        <w:rPr>
          <w:rFonts w:ascii="Times New Roman" w:hAnsi="Times New Roman" w:cs="Times New Roman"/>
          <w:spacing w:val="-16"/>
          <w:sz w:val="24"/>
          <w:szCs w:val="24"/>
        </w:rPr>
        <w:t xml:space="preserve"> </w:t>
      </w:r>
      <w:r w:rsidRPr="00A87501">
        <w:rPr>
          <w:rFonts w:ascii="Times New Roman" w:hAnsi="Times New Roman" w:cs="Times New Roman"/>
          <w:sz w:val="24"/>
          <w:szCs w:val="24"/>
        </w:rPr>
        <w:t>kritēriji:</w:t>
      </w:r>
    </w:p>
    <w:p w14:paraId="1C7C7C9A" w14:textId="77777777" w:rsidR="00A87501" w:rsidRPr="00A87501" w:rsidRDefault="003B09D1" w:rsidP="00CD363C">
      <w:pPr>
        <w:spacing w:after="0" w:line="240" w:lineRule="auto"/>
        <w:ind w:right="-66"/>
        <w:jc w:val="both"/>
        <w:rPr>
          <w:rFonts w:ascii="Times New Roman" w:hAnsi="Times New Roman" w:cs="Times New Roman"/>
          <w:i/>
          <w:sz w:val="24"/>
          <w:szCs w:val="24"/>
        </w:rPr>
      </w:pPr>
      <w:r>
        <w:rPr>
          <w:rFonts w:ascii="Times New Roman" w:hAnsi="Times New Roman" w:cs="Times New Roman"/>
          <w:sz w:val="24"/>
          <w:szCs w:val="24"/>
        </w:rPr>
        <w:t xml:space="preserve">754.1. </w:t>
      </w:r>
      <w:r w:rsidR="00A87501" w:rsidRPr="00A87501">
        <w:rPr>
          <w:rFonts w:ascii="Times New Roman" w:hAnsi="Times New Roman" w:cs="Times New Roman"/>
          <w:sz w:val="24"/>
          <w:szCs w:val="24"/>
        </w:rPr>
        <w:t xml:space="preserve">budžeta iestāde kontrolē vai regulē, kādus pakalpojumus, kam un par kādu cenu privātajam partnerim, izmantojot šo aktīvu, ir jānodrošina līguma darbības laikā. </w:t>
      </w:r>
      <w:r w:rsidR="00A87501" w:rsidRPr="00A87501">
        <w:rPr>
          <w:rFonts w:ascii="Times New Roman" w:hAnsi="Times New Roman" w:cs="Times New Roman"/>
          <w:i/>
          <w:sz w:val="24"/>
          <w:szCs w:val="24"/>
        </w:rPr>
        <w:t>Piemēram, kontrole vai regulējums pastāv, ja ir noslēgts līgums, vai, piemēram, ja cita budžeta iestāde vai valdība regulē darbību nozarē vai sektorā, kurā darbojas budžeta iestāde. Būtisks kontroles elements ir spēja citiem</w:t>
      </w:r>
      <w:r w:rsidR="00A87501" w:rsidRPr="00A87501">
        <w:rPr>
          <w:rFonts w:ascii="Times New Roman" w:hAnsi="Times New Roman" w:cs="Times New Roman"/>
          <w:i/>
          <w:spacing w:val="-12"/>
          <w:sz w:val="24"/>
          <w:szCs w:val="24"/>
        </w:rPr>
        <w:t xml:space="preserve"> </w:t>
      </w:r>
      <w:r w:rsidR="00A87501" w:rsidRPr="00A87501">
        <w:rPr>
          <w:rFonts w:ascii="Times New Roman" w:hAnsi="Times New Roman" w:cs="Times New Roman"/>
          <w:i/>
          <w:sz w:val="24"/>
          <w:szCs w:val="24"/>
        </w:rPr>
        <w:t>liegt</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piekļuvi</w:t>
      </w:r>
      <w:r w:rsidR="00A87501" w:rsidRPr="00A87501">
        <w:rPr>
          <w:rFonts w:ascii="Times New Roman" w:hAnsi="Times New Roman" w:cs="Times New Roman"/>
          <w:i/>
          <w:spacing w:val="-9"/>
          <w:sz w:val="24"/>
          <w:szCs w:val="24"/>
        </w:rPr>
        <w:t xml:space="preserve"> </w:t>
      </w:r>
      <w:r w:rsidR="00A87501" w:rsidRPr="00A87501">
        <w:rPr>
          <w:rFonts w:ascii="Times New Roman" w:hAnsi="Times New Roman" w:cs="Times New Roman"/>
          <w:i/>
          <w:sz w:val="24"/>
          <w:szCs w:val="24"/>
        </w:rPr>
        <w:t>aktīva</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dotajam</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labumam</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vai</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to</w:t>
      </w:r>
      <w:r w:rsidR="00A87501" w:rsidRPr="00A87501">
        <w:rPr>
          <w:rFonts w:ascii="Times New Roman" w:hAnsi="Times New Roman" w:cs="Times New Roman"/>
          <w:i/>
          <w:spacing w:val="-12"/>
          <w:sz w:val="24"/>
          <w:szCs w:val="24"/>
        </w:rPr>
        <w:t xml:space="preserve"> </w:t>
      </w:r>
      <w:r w:rsidR="00A87501" w:rsidRPr="00A87501">
        <w:rPr>
          <w:rFonts w:ascii="Times New Roman" w:hAnsi="Times New Roman" w:cs="Times New Roman"/>
          <w:i/>
          <w:sz w:val="24"/>
          <w:szCs w:val="24"/>
        </w:rPr>
        <w:t>regulēt.</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Piemēram,</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līgums</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var</w:t>
      </w:r>
      <w:r w:rsidR="00A87501" w:rsidRPr="00A87501">
        <w:rPr>
          <w:rFonts w:ascii="Times New Roman" w:hAnsi="Times New Roman" w:cs="Times New Roman"/>
          <w:i/>
          <w:spacing w:val="-9"/>
          <w:sz w:val="24"/>
          <w:szCs w:val="24"/>
        </w:rPr>
        <w:t xml:space="preserve"> </w:t>
      </w:r>
      <w:r w:rsidR="00A87501" w:rsidRPr="00A87501">
        <w:rPr>
          <w:rFonts w:ascii="Times New Roman" w:hAnsi="Times New Roman" w:cs="Times New Roman"/>
          <w:i/>
          <w:sz w:val="24"/>
          <w:szCs w:val="24"/>
        </w:rPr>
        <w:t>piešķirt</w:t>
      </w:r>
      <w:r w:rsidR="00A87501" w:rsidRPr="00A87501">
        <w:rPr>
          <w:rFonts w:ascii="Times New Roman" w:hAnsi="Times New Roman" w:cs="Times New Roman"/>
          <w:i/>
          <w:spacing w:val="-9"/>
          <w:sz w:val="24"/>
          <w:szCs w:val="24"/>
        </w:rPr>
        <w:t xml:space="preserve"> </w:t>
      </w:r>
      <w:r w:rsidR="00A87501" w:rsidRPr="00A87501">
        <w:rPr>
          <w:rFonts w:ascii="Times New Roman" w:hAnsi="Times New Roman" w:cs="Times New Roman"/>
          <w:i/>
          <w:sz w:val="24"/>
          <w:szCs w:val="24"/>
        </w:rPr>
        <w:t>budžeta iestādei</w:t>
      </w:r>
      <w:r w:rsidR="00A87501" w:rsidRPr="00A87501">
        <w:rPr>
          <w:rFonts w:ascii="Times New Roman" w:hAnsi="Times New Roman" w:cs="Times New Roman"/>
          <w:i/>
          <w:spacing w:val="-15"/>
          <w:sz w:val="24"/>
          <w:szCs w:val="24"/>
        </w:rPr>
        <w:t xml:space="preserve"> </w:t>
      </w:r>
      <w:r w:rsidR="00A87501" w:rsidRPr="00A87501">
        <w:rPr>
          <w:rFonts w:ascii="Times New Roman" w:hAnsi="Times New Roman" w:cs="Times New Roman"/>
          <w:i/>
          <w:sz w:val="24"/>
          <w:szCs w:val="24"/>
        </w:rPr>
        <w:t>tiesības</w:t>
      </w:r>
      <w:r w:rsidR="00A87501" w:rsidRPr="00A87501">
        <w:rPr>
          <w:rFonts w:ascii="Times New Roman" w:hAnsi="Times New Roman" w:cs="Times New Roman"/>
          <w:i/>
          <w:spacing w:val="-15"/>
          <w:sz w:val="24"/>
          <w:szCs w:val="24"/>
        </w:rPr>
        <w:t xml:space="preserve"> </w:t>
      </w:r>
      <w:r w:rsidR="00A87501" w:rsidRPr="00A87501">
        <w:rPr>
          <w:rFonts w:ascii="Times New Roman" w:hAnsi="Times New Roman" w:cs="Times New Roman"/>
          <w:i/>
          <w:sz w:val="24"/>
          <w:szCs w:val="24"/>
        </w:rPr>
        <w:t>kontrolēt</w:t>
      </w:r>
      <w:r w:rsidR="00A87501" w:rsidRPr="00A87501">
        <w:rPr>
          <w:rFonts w:ascii="Times New Roman" w:hAnsi="Times New Roman" w:cs="Times New Roman"/>
          <w:i/>
          <w:spacing w:val="-14"/>
          <w:sz w:val="24"/>
          <w:szCs w:val="24"/>
        </w:rPr>
        <w:t xml:space="preserve"> </w:t>
      </w:r>
      <w:r w:rsidR="00A87501" w:rsidRPr="00A87501">
        <w:rPr>
          <w:rFonts w:ascii="Times New Roman" w:hAnsi="Times New Roman" w:cs="Times New Roman"/>
          <w:i/>
          <w:sz w:val="24"/>
          <w:szCs w:val="24"/>
        </w:rPr>
        <w:t>partnerības</w:t>
      </w:r>
      <w:r w:rsidR="00A87501" w:rsidRPr="00A87501">
        <w:rPr>
          <w:rFonts w:ascii="Times New Roman" w:hAnsi="Times New Roman" w:cs="Times New Roman"/>
          <w:i/>
          <w:spacing w:val="-15"/>
          <w:sz w:val="24"/>
          <w:szCs w:val="24"/>
        </w:rPr>
        <w:t xml:space="preserve"> </w:t>
      </w:r>
      <w:r w:rsidR="00A87501" w:rsidRPr="00A87501">
        <w:rPr>
          <w:rFonts w:ascii="Times New Roman" w:hAnsi="Times New Roman" w:cs="Times New Roman"/>
          <w:i/>
          <w:sz w:val="24"/>
          <w:szCs w:val="24"/>
        </w:rPr>
        <w:t>aktīvu,</w:t>
      </w:r>
      <w:r w:rsidR="00A87501" w:rsidRPr="00A87501">
        <w:rPr>
          <w:rFonts w:ascii="Times New Roman" w:hAnsi="Times New Roman" w:cs="Times New Roman"/>
          <w:i/>
          <w:spacing w:val="-14"/>
          <w:sz w:val="24"/>
          <w:szCs w:val="24"/>
        </w:rPr>
        <w:t xml:space="preserve"> </w:t>
      </w:r>
      <w:r w:rsidR="00A87501" w:rsidRPr="00A87501">
        <w:rPr>
          <w:rFonts w:ascii="Times New Roman" w:hAnsi="Times New Roman" w:cs="Times New Roman"/>
          <w:i/>
          <w:sz w:val="24"/>
          <w:szCs w:val="24"/>
        </w:rPr>
        <w:t>nosakot,</w:t>
      </w:r>
      <w:r w:rsidR="00A87501" w:rsidRPr="00A87501">
        <w:rPr>
          <w:rFonts w:ascii="Times New Roman" w:hAnsi="Times New Roman" w:cs="Times New Roman"/>
          <w:i/>
          <w:spacing w:val="-18"/>
          <w:sz w:val="24"/>
          <w:szCs w:val="24"/>
        </w:rPr>
        <w:t xml:space="preserve"> </w:t>
      </w:r>
      <w:r w:rsidR="00A87501" w:rsidRPr="00A87501">
        <w:rPr>
          <w:rFonts w:ascii="Times New Roman" w:hAnsi="Times New Roman" w:cs="Times New Roman"/>
          <w:i/>
          <w:sz w:val="24"/>
          <w:szCs w:val="24"/>
        </w:rPr>
        <w:t>kādām</w:t>
      </w:r>
      <w:r w:rsidR="00A87501" w:rsidRPr="00A87501">
        <w:rPr>
          <w:rFonts w:ascii="Times New Roman" w:hAnsi="Times New Roman" w:cs="Times New Roman"/>
          <w:i/>
          <w:spacing w:val="-16"/>
          <w:sz w:val="24"/>
          <w:szCs w:val="24"/>
        </w:rPr>
        <w:t xml:space="preserve"> </w:t>
      </w:r>
      <w:r w:rsidR="00A87501" w:rsidRPr="00A87501">
        <w:rPr>
          <w:rFonts w:ascii="Times New Roman" w:hAnsi="Times New Roman" w:cs="Times New Roman"/>
          <w:i/>
          <w:sz w:val="24"/>
          <w:szCs w:val="24"/>
        </w:rPr>
        <w:t>personām</w:t>
      </w:r>
      <w:r w:rsidR="00A87501" w:rsidRPr="00A87501">
        <w:rPr>
          <w:rFonts w:ascii="Times New Roman" w:hAnsi="Times New Roman" w:cs="Times New Roman"/>
          <w:i/>
          <w:spacing w:val="-16"/>
          <w:sz w:val="24"/>
          <w:szCs w:val="24"/>
        </w:rPr>
        <w:t xml:space="preserve"> </w:t>
      </w:r>
      <w:r w:rsidR="00A87501" w:rsidRPr="00A87501">
        <w:rPr>
          <w:rFonts w:ascii="Times New Roman" w:hAnsi="Times New Roman" w:cs="Times New Roman"/>
          <w:i/>
          <w:sz w:val="24"/>
          <w:szCs w:val="24"/>
        </w:rPr>
        <w:t>privātajam</w:t>
      </w:r>
      <w:r w:rsidR="00A87501" w:rsidRPr="00A87501">
        <w:rPr>
          <w:rFonts w:ascii="Times New Roman" w:hAnsi="Times New Roman" w:cs="Times New Roman"/>
          <w:i/>
          <w:spacing w:val="-17"/>
          <w:sz w:val="24"/>
          <w:szCs w:val="24"/>
        </w:rPr>
        <w:t xml:space="preserve"> </w:t>
      </w:r>
      <w:r w:rsidR="00A87501" w:rsidRPr="00A87501">
        <w:rPr>
          <w:rFonts w:ascii="Times New Roman" w:hAnsi="Times New Roman" w:cs="Times New Roman"/>
          <w:i/>
          <w:sz w:val="24"/>
          <w:szCs w:val="24"/>
        </w:rPr>
        <w:t>partnerim</w:t>
      </w:r>
      <w:r w:rsidR="00A87501" w:rsidRPr="00A87501">
        <w:rPr>
          <w:rFonts w:ascii="Times New Roman" w:hAnsi="Times New Roman" w:cs="Times New Roman"/>
          <w:i/>
          <w:spacing w:val="-16"/>
          <w:sz w:val="24"/>
          <w:szCs w:val="24"/>
        </w:rPr>
        <w:t xml:space="preserve"> </w:t>
      </w:r>
      <w:r w:rsidR="00A87501" w:rsidRPr="00A87501">
        <w:rPr>
          <w:rFonts w:ascii="Times New Roman" w:hAnsi="Times New Roman" w:cs="Times New Roman"/>
          <w:i/>
          <w:sz w:val="24"/>
          <w:szCs w:val="24"/>
        </w:rPr>
        <w:t>būtu jānodrošina pakalpojumi, izmantojot partnerības aktīvu. Budžeta iestādei nav nepieciešams pilnībā kontrolēt pakalpojumu cenu - pietiekami, ja cenu regulē, pamatojoties uz valdības regulējumu konkrētajā nozarē vai sektorā, kurā darbojas attiecīgā budžeta iestāde, piemēram, slimnīcas, skolas vai augstskolas;</w:t>
      </w:r>
    </w:p>
    <w:p w14:paraId="6EC4E540" w14:textId="77777777" w:rsidR="00A87501" w:rsidRDefault="003B09D1" w:rsidP="00CD363C">
      <w:pPr>
        <w:spacing w:after="0" w:line="240" w:lineRule="auto"/>
        <w:ind w:right="-66"/>
        <w:jc w:val="both"/>
        <w:rPr>
          <w:i/>
          <w:sz w:val="24"/>
          <w:szCs w:val="24"/>
        </w:rPr>
      </w:pPr>
      <w:r>
        <w:rPr>
          <w:rFonts w:ascii="Times New Roman" w:hAnsi="Times New Roman" w:cs="Times New Roman"/>
          <w:noProof/>
          <w:sz w:val="24"/>
          <w:szCs w:val="24"/>
        </w:rPr>
        <w:t>754.2</w:t>
      </w:r>
      <w:r w:rsidRPr="003B09D1">
        <w:rPr>
          <w:rFonts w:ascii="Times New Roman" w:hAnsi="Times New Roman" w:cs="Times New Roman"/>
          <w:noProof/>
          <w:sz w:val="24"/>
          <w:szCs w:val="24"/>
        </w:rPr>
        <w:t xml:space="preserve">.  </w:t>
      </w:r>
      <w:r w:rsidR="00A87501" w:rsidRPr="003B09D1">
        <w:rPr>
          <w:rFonts w:ascii="Times New Roman" w:hAnsi="Times New Roman" w:cs="Times New Roman"/>
          <w:sz w:val="24"/>
          <w:szCs w:val="24"/>
        </w:rPr>
        <w:t xml:space="preserve">līguma termiņa beigās partnerības aktīva īpašuma tiesības nodod budžeta iestādei vai partnerības aktīva lietderīgās lietošanas laiks beidzas līguma termiņa beigās. </w:t>
      </w:r>
      <w:r w:rsidR="00A87501" w:rsidRPr="003B09D1">
        <w:rPr>
          <w:rFonts w:ascii="Times New Roman" w:hAnsi="Times New Roman" w:cs="Times New Roman"/>
          <w:i/>
          <w:sz w:val="24"/>
          <w:szCs w:val="24"/>
        </w:rPr>
        <w:t>Piemēram, budžeta iestādes kontroles</w:t>
      </w:r>
      <w:r w:rsidR="00A87501" w:rsidRPr="003B09D1">
        <w:rPr>
          <w:rFonts w:ascii="Times New Roman" w:hAnsi="Times New Roman" w:cs="Times New Roman"/>
          <w:i/>
          <w:spacing w:val="-8"/>
          <w:sz w:val="24"/>
          <w:szCs w:val="24"/>
        </w:rPr>
        <w:t xml:space="preserve"> </w:t>
      </w:r>
      <w:r w:rsidR="00A87501" w:rsidRPr="003B09D1">
        <w:rPr>
          <w:rFonts w:ascii="Times New Roman" w:hAnsi="Times New Roman" w:cs="Times New Roman"/>
          <w:i/>
          <w:sz w:val="24"/>
          <w:szCs w:val="24"/>
        </w:rPr>
        <w:t>esamība</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pār</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aktīvu</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ierobežo</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privātā</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partnera</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iespēju</w:t>
      </w:r>
      <w:r w:rsidR="00A87501" w:rsidRPr="003B09D1">
        <w:rPr>
          <w:rFonts w:ascii="Times New Roman" w:hAnsi="Times New Roman" w:cs="Times New Roman"/>
          <w:i/>
          <w:spacing w:val="-6"/>
          <w:sz w:val="24"/>
          <w:szCs w:val="24"/>
        </w:rPr>
        <w:t xml:space="preserve"> </w:t>
      </w:r>
      <w:r w:rsidR="00A87501" w:rsidRPr="003B09D1">
        <w:rPr>
          <w:rFonts w:ascii="Times New Roman" w:hAnsi="Times New Roman" w:cs="Times New Roman"/>
          <w:i/>
          <w:sz w:val="24"/>
          <w:szCs w:val="24"/>
        </w:rPr>
        <w:t>aktīvu</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pārdot</w:t>
      </w:r>
      <w:r w:rsidR="00A87501" w:rsidRPr="003B09D1">
        <w:rPr>
          <w:rFonts w:ascii="Times New Roman" w:hAnsi="Times New Roman" w:cs="Times New Roman"/>
          <w:i/>
          <w:spacing w:val="-6"/>
          <w:sz w:val="24"/>
          <w:szCs w:val="24"/>
        </w:rPr>
        <w:t xml:space="preserve"> </w:t>
      </w:r>
      <w:r w:rsidR="00A87501" w:rsidRPr="003B09D1">
        <w:rPr>
          <w:rFonts w:ascii="Times New Roman" w:hAnsi="Times New Roman" w:cs="Times New Roman"/>
          <w:i/>
          <w:sz w:val="24"/>
          <w:szCs w:val="24"/>
        </w:rPr>
        <w:t>vai</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ieķīlāt</w:t>
      </w:r>
      <w:r w:rsidR="00A87501" w:rsidRPr="003B09D1">
        <w:rPr>
          <w:rFonts w:ascii="Times New Roman" w:hAnsi="Times New Roman" w:cs="Times New Roman"/>
          <w:i/>
          <w:spacing w:val="-6"/>
          <w:sz w:val="24"/>
          <w:szCs w:val="24"/>
        </w:rPr>
        <w:t xml:space="preserve"> </w:t>
      </w:r>
      <w:r w:rsidR="00A87501" w:rsidRPr="003B09D1">
        <w:rPr>
          <w:rFonts w:ascii="Times New Roman" w:hAnsi="Times New Roman" w:cs="Times New Roman"/>
          <w:i/>
          <w:sz w:val="24"/>
          <w:szCs w:val="24"/>
        </w:rPr>
        <w:t>un</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piešķir budžeta</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iestādei</w:t>
      </w:r>
      <w:r w:rsidR="00A87501" w:rsidRPr="003B09D1">
        <w:rPr>
          <w:rFonts w:ascii="Times New Roman" w:hAnsi="Times New Roman" w:cs="Times New Roman"/>
          <w:i/>
          <w:spacing w:val="13"/>
          <w:sz w:val="24"/>
          <w:szCs w:val="24"/>
        </w:rPr>
        <w:t xml:space="preserve"> </w:t>
      </w:r>
      <w:r w:rsidR="00A87501" w:rsidRPr="003B09D1">
        <w:rPr>
          <w:rFonts w:ascii="Times New Roman" w:hAnsi="Times New Roman" w:cs="Times New Roman"/>
          <w:i/>
          <w:sz w:val="24"/>
          <w:szCs w:val="24"/>
        </w:rPr>
        <w:t>pastāvīgas</w:t>
      </w:r>
      <w:r w:rsidR="00A87501" w:rsidRPr="003B09D1">
        <w:rPr>
          <w:rFonts w:ascii="Times New Roman" w:hAnsi="Times New Roman" w:cs="Times New Roman"/>
          <w:i/>
          <w:spacing w:val="9"/>
          <w:sz w:val="24"/>
          <w:szCs w:val="24"/>
        </w:rPr>
        <w:t xml:space="preserve"> </w:t>
      </w:r>
      <w:r w:rsidR="00A87501" w:rsidRPr="003B09D1">
        <w:rPr>
          <w:rFonts w:ascii="Times New Roman" w:hAnsi="Times New Roman" w:cs="Times New Roman"/>
          <w:i/>
          <w:sz w:val="24"/>
          <w:szCs w:val="24"/>
        </w:rPr>
        <w:t>lietošanas</w:t>
      </w:r>
      <w:r w:rsidR="00A87501" w:rsidRPr="003B09D1">
        <w:rPr>
          <w:rFonts w:ascii="Times New Roman" w:hAnsi="Times New Roman" w:cs="Times New Roman"/>
          <w:i/>
          <w:spacing w:val="13"/>
          <w:sz w:val="24"/>
          <w:szCs w:val="24"/>
        </w:rPr>
        <w:t xml:space="preserve"> </w:t>
      </w:r>
      <w:r w:rsidR="00A87501" w:rsidRPr="003B09D1">
        <w:rPr>
          <w:rFonts w:ascii="Times New Roman" w:hAnsi="Times New Roman" w:cs="Times New Roman"/>
          <w:i/>
          <w:sz w:val="24"/>
          <w:szCs w:val="24"/>
        </w:rPr>
        <w:t>tiesības</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visā</w:t>
      </w:r>
      <w:r w:rsidR="00A87501" w:rsidRPr="003B09D1">
        <w:rPr>
          <w:rFonts w:ascii="Times New Roman" w:hAnsi="Times New Roman" w:cs="Times New Roman"/>
          <w:i/>
          <w:spacing w:val="12"/>
          <w:sz w:val="24"/>
          <w:szCs w:val="24"/>
        </w:rPr>
        <w:t xml:space="preserve"> </w:t>
      </w:r>
      <w:r w:rsidR="00A87501" w:rsidRPr="003B09D1">
        <w:rPr>
          <w:rFonts w:ascii="Times New Roman" w:hAnsi="Times New Roman" w:cs="Times New Roman"/>
          <w:i/>
          <w:sz w:val="24"/>
          <w:szCs w:val="24"/>
        </w:rPr>
        <w:t>līguma</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darbības</w:t>
      </w:r>
      <w:r w:rsidR="00A87501" w:rsidRPr="003B09D1">
        <w:rPr>
          <w:rFonts w:ascii="Times New Roman" w:hAnsi="Times New Roman" w:cs="Times New Roman"/>
          <w:i/>
          <w:spacing w:val="13"/>
          <w:sz w:val="24"/>
          <w:szCs w:val="24"/>
        </w:rPr>
        <w:t xml:space="preserve"> </w:t>
      </w:r>
      <w:r w:rsidR="00A87501" w:rsidRPr="003B09D1">
        <w:rPr>
          <w:rFonts w:ascii="Times New Roman" w:hAnsi="Times New Roman" w:cs="Times New Roman"/>
          <w:i/>
          <w:sz w:val="24"/>
          <w:szCs w:val="24"/>
        </w:rPr>
        <w:t>termiņā.</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Atlikusī</w:t>
      </w:r>
      <w:r w:rsidR="00A87501" w:rsidRPr="003B09D1">
        <w:rPr>
          <w:rFonts w:ascii="Times New Roman" w:hAnsi="Times New Roman" w:cs="Times New Roman"/>
          <w:i/>
          <w:spacing w:val="10"/>
          <w:sz w:val="24"/>
          <w:szCs w:val="24"/>
        </w:rPr>
        <w:t xml:space="preserve"> </w:t>
      </w:r>
      <w:r w:rsidR="00A87501" w:rsidRPr="003B09D1">
        <w:rPr>
          <w:rFonts w:ascii="Times New Roman" w:hAnsi="Times New Roman" w:cs="Times New Roman"/>
          <w:i/>
          <w:sz w:val="24"/>
          <w:szCs w:val="24"/>
        </w:rPr>
        <w:t>līdzdalība</w:t>
      </w:r>
      <w:r w:rsidRPr="003B09D1">
        <w:rPr>
          <w:rFonts w:ascii="Times New Roman" w:hAnsi="Times New Roman" w:cs="Times New Roman"/>
          <w:i/>
          <w:sz w:val="24"/>
          <w:szCs w:val="24"/>
        </w:rPr>
        <w:t xml:space="preserve"> </w:t>
      </w:r>
      <w:r w:rsidRPr="003B09D1">
        <w:rPr>
          <w:i/>
          <w:sz w:val="24"/>
          <w:szCs w:val="24"/>
        </w:rPr>
        <w:t>(iesaiste)</w:t>
      </w:r>
      <w:r w:rsidRPr="003B09D1">
        <w:rPr>
          <w:i/>
          <w:spacing w:val="-12"/>
          <w:sz w:val="24"/>
          <w:szCs w:val="24"/>
        </w:rPr>
        <w:t xml:space="preserve"> </w:t>
      </w:r>
      <w:r w:rsidRPr="003B09D1">
        <w:rPr>
          <w:i/>
          <w:sz w:val="24"/>
          <w:szCs w:val="24"/>
        </w:rPr>
        <w:t>aktīvā</w:t>
      </w:r>
      <w:r w:rsidRPr="003B09D1">
        <w:rPr>
          <w:i/>
          <w:spacing w:val="-11"/>
          <w:sz w:val="24"/>
          <w:szCs w:val="24"/>
        </w:rPr>
        <w:t xml:space="preserve"> </w:t>
      </w:r>
      <w:r w:rsidRPr="003B09D1">
        <w:rPr>
          <w:i/>
          <w:sz w:val="24"/>
          <w:szCs w:val="24"/>
        </w:rPr>
        <w:t>ir</w:t>
      </w:r>
      <w:r w:rsidRPr="003B09D1">
        <w:rPr>
          <w:i/>
          <w:spacing w:val="-10"/>
          <w:sz w:val="24"/>
          <w:szCs w:val="24"/>
        </w:rPr>
        <w:t xml:space="preserve"> </w:t>
      </w:r>
      <w:r w:rsidRPr="003B09D1">
        <w:rPr>
          <w:i/>
          <w:sz w:val="24"/>
          <w:szCs w:val="24"/>
        </w:rPr>
        <w:t>tā</w:t>
      </w:r>
      <w:r w:rsidRPr="003B09D1">
        <w:rPr>
          <w:i/>
          <w:spacing w:val="-11"/>
          <w:sz w:val="24"/>
          <w:szCs w:val="24"/>
        </w:rPr>
        <w:t xml:space="preserve"> </w:t>
      </w:r>
      <w:r w:rsidRPr="003B09D1">
        <w:rPr>
          <w:i/>
          <w:sz w:val="24"/>
          <w:szCs w:val="24"/>
        </w:rPr>
        <w:t>aplēstā</w:t>
      </w:r>
      <w:r w:rsidRPr="003B09D1">
        <w:rPr>
          <w:i/>
          <w:spacing w:val="-11"/>
          <w:sz w:val="24"/>
          <w:szCs w:val="24"/>
        </w:rPr>
        <w:t xml:space="preserve"> </w:t>
      </w:r>
      <w:r w:rsidRPr="003B09D1">
        <w:rPr>
          <w:i/>
          <w:sz w:val="24"/>
          <w:szCs w:val="24"/>
        </w:rPr>
        <w:t>pašreizējā</w:t>
      </w:r>
      <w:r w:rsidRPr="003B09D1">
        <w:rPr>
          <w:i/>
          <w:spacing w:val="-11"/>
          <w:sz w:val="24"/>
          <w:szCs w:val="24"/>
        </w:rPr>
        <w:t xml:space="preserve"> </w:t>
      </w:r>
      <w:r w:rsidRPr="003B09D1">
        <w:rPr>
          <w:i/>
          <w:sz w:val="24"/>
          <w:szCs w:val="24"/>
        </w:rPr>
        <w:t>vērtība,</w:t>
      </w:r>
      <w:r w:rsidRPr="003B09D1">
        <w:rPr>
          <w:i/>
          <w:spacing w:val="-13"/>
          <w:sz w:val="24"/>
          <w:szCs w:val="24"/>
        </w:rPr>
        <w:t xml:space="preserve"> </w:t>
      </w:r>
      <w:r w:rsidRPr="003B09D1">
        <w:rPr>
          <w:i/>
          <w:sz w:val="24"/>
          <w:szCs w:val="24"/>
        </w:rPr>
        <w:t>it</w:t>
      </w:r>
      <w:r w:rsidRPr="003B09D1">
        <w:rPr>
          <w:i/>
          <w:spacing w:val="-12"/>
          <w:sz w:val="24"/>
          <w:szCs w:val="24"/>
        </w:rPr>
        <w:t xml:space="preserve"> </w:t>
      </w:r>
      <w:r w:rsidRPr="003B09D1">
        <w:rPr>
          <w:i/>
          <w:sz w:val="24"/>
          <w:szCs w:val="24"/>
        </w:rPr>
        <w:t>kā</w:t>
      </w:r>
      <w:r w:rsidRPr="003B09D1">
        <w:rPr>
          <w:i/>
          <w:spacing w:val="-10"/>
          <w:sz w:val="24"/>
          <w:szCs w:val="24"/>
        </w:rPr>
        <w:t xml:space="preserve"> </w:t>
      </w:r>
      <w:r w:rsidRPr="003B09D1">
        <w:rPr>
          <w:i/>
          <w:sz w:val="24"/>
          <w:szCs w:val="24"/>
        </w:rPr>
        <w:t>aktīva</w:t>
      </w:r>
      <w:r w:rsidRPr="003B09D1">
        <w:rPr>
          <w:i/>
          <w:spacing w:val="-10"/>
          <w:sz w:val="24"/>
          <w:szCs w:val="24"/>
        </w:rPr>
        <w:t xml:space="preserve"> </w:t>
      </w:r>
      <w:r w:rsidRPr="003B09D1">
        <w:rPr>
          <w:i/>
          <w:sz w:val="24"/>
          <w:szCs w:val="24"/>
        </w:rPr>
        <w:t>vecums</w:t>
      </w:r>
      <w:r w:rsidRPr="003B09D1">
        <w:rPr>
          <w:i/>
          <w:spacing w:val="-11"/>
          <w:sz w:val="24"/>
          <w:szCs w:val="24"/>
        </w:rPr>
        <w:t xml:space="preserve"> </w:t>
      </w:r>
      <w:r w:rsidRPr="003B09D1">
        <w:rPr>
          <w:i/>
          <w:sz w:val="24"/>
          <w:szCs w:val="24"/>
        </w:rPr>
        <w:t>un</w:t>
      </w:r>
      <w:r w:rsidRPr="003B09D1">
        <w:rPr>
          <w:i/>
          <w:spacing w:val="-11"/>
          <w:sz w:val="24"/>
          <w:szCs w:val="24"/>
        </w:rPr>
        <w:t xml:space="preserve"> </w:t>
      </w:r>
      <w:r w:rsidRPr="003B09D1">
        <w:rPr>
          <w:i/>
          <w:sz w:val="24"/>
          <w:szCs w:val="24"/>
        </w:rPr>
        <w:t>stāvoklis</w:t>
      </w:r>
      <w:r w:rsidRPr="003B09D1">
        <w:rPr>
          <w:i/>
          <w:spacing w:val="-13"/>
          <w:sz w:val="24"/>
          <w:szCs w:val="24"/>
        </w:rPr>
        <w:t xml:space="preserve"> </w:t>
      </w:r>
      <w:r w:rsidRPr="003B09D1">
        <w:rPr>
          <w:i/>
          <w:sz w:val="24"/>
          <w:szCs w:val="24"/>
        </w:rPr>
        <w:t>jau</w:t>
      </w:r>
      <w:r w:rsidRPr="003B09D1">
        <w:rPr>
          <w:i/>
          <w:spacing w:val="-11"/>
          <w:sz w:val="24"/>
          <w:szCs w:val="24"/>
        </w:rPr>
        <w:t xml:space="preserve"> </w:t>
      </w:r>
      <w:r w:rsidRPr="003B09D1">
        <w:rPr>
          <w:i/>
          <w:sz w:val="24"/>
          <w:szCs w:val="24"/>
        </w:rPr>
        <w:t>būtu</w:t>
      </w:r>
      <w:r w:rsidRPr="003B09D1">
        <w:rPr>
          <w:i/>
          <w:spacing w:val="-11"/>
          <w:sz w:val="24"/>
          <w:szCs w:val="24"/>
        </w:rPr>
        <w:t xml:space="preserve"> </w:t>
      </w:r>
      <w:r w:rsidRPr="003B09D1">
        <w:rPr>
          <w:i/>
          <w:sz w:val="24"/>
          <w:szCs w:val="24"/>
        </w:rPr>
        <w:t>tāds,</w:t>
      </w:r>
      <w:r w:rsidRPr="003B09D1">
        <w:rPr>
          <w:i/>
          <w:spacing w:val="-10"/>
          <w:sz w:val="24"/>
          <w:szCs w:val="24"/>
        </w:rPr>
        <w:t xml:space="preserve"> </w:t>
      </w:r>
      <w:r w:rsidRPr="003B09D1">
        <w:rPr>
          <w:i/>
          <w:sz w:val="24"/>
          <w:szCs w:val="24"/>
        </w:rPr>
        <w:t>kāds sagaidāms līguma termiņa</w:t>
      </w:r>
      <w:r w:rsidRPr="003B09D1">
        <w:rPr>
          <w:i/>
          <w:spacing w:val="-7"/>
          <w:sz w:val="24"/>
          <w:szCs w:val="24"/>
        </w:rPr>
        <w:t xml:space="preserve"> </w:t>
      </w:r>
      <w:r w:rsidRPr="003B09D1">
        <w:rPr>
          <w:i/>
          <w:sz w:val="24"/>
          <w:szCs w:val="24"/>
        </w:rPr>
        <w:t>beigās</w:t>
      </w:r>
      <w:r>
        <w:rPr>
          <w:i/>
          <w:sz w:val="24"/>
          <w:szCs w:val="24"/>
        </w:rPr>
        <w:t>.</w:t>
      </w:r>
    </w:p>
    <w:p w14:paraId="129BC921" w14:textId="77777777" w:rsidR="003B09D1" w:rsidRPr="003B09D1" w:rsidRDefault="003B09D1" w:rsidP="00CD363C">
      <w:pPr>
        <w:pStyle w:val="Sarakstarindkopa"/>
        <w:widowControl w:val="0"/>
        <w:numPr>
          <w:ilvl w:val="1"/>
          <w:numId w:val="11"/>
        </w:numPr>
        <w:tabs>
          <w:tab w:val="left" w:pos="709"/>
        </w:tabs>
        <w:autoSpaceDE w:val="0"/>
        <w:autoSpaceDN w:val="0"/>
        <w:spacing w:after="0" w:line="240" w:lineRule="auto"/>
        <w:ind w:left="0" w:right="-66" w:firstLine="27"/>
        <w:jc w:val="both"/>
        <w:rPr>
          <w:rFonts w:ascii="Times New Roman" w:hAnsi="Times New Roman" w:cs="Times New Roman"/>
          <w:i/>
          <w:sz w:val="24"/>
          <w:szCs w:val="24"/>
        </w:rPr>
      </w:pPr>
      <w:r w:rsidRPr="003B09D1">
        <w:rPr>
          <w:rFonts w:ascii="Times New Roman" w:hAnsi="Times New Roman" w:cs="Times New Roman"/>
          <w:sz w:val="24"/>
          <w:szCs w:val="24"/>
        </w:rPr>
        <w:t xml:space="preserve">Valdībai, vai nu tieši, vai ar īpaši izveidotu iestāžu starpniecību, ir tiesības regulēt noteiktos ekonomikas sektoros darbojošos privāto partneru rīcību. Šādas vispārīgās darbības jomu regulējošās iestādes tiesības nav kontrole. Šajā Rokasgrāmatas sadaļā terminu “regulēt” lieto tikai saistībā ar līguma noteikumiem un nosacījumiem. </w:t>
      </w:r>
      <w:r w:rsidRPr="003B09D1">
        <w:rPr>
          <w:rFonts w:ascii="Times New Roman" w:hAnsi="Times New Roman" w:cs="Times New Roman"/>
          <w:i/>
          <w:sz w:val="24"/>
          <w:szCs w:val="24"/>
        </w:rPr>
        <w:t>Piemēram, dzelzceļa pakalpojumu darbības jomu regulējošā iestāde var noteikt likmes, kuras attiecas uz dzelzceļa nozari kopumā. Šādas likmes var būt netieši ietvertas līgumā attiecībā uz dzelzceļa pārvadājumu pakalpojumu nodrošināšanu, vai arī tās var būt īpaši pieminētas. Tomēr gan vienā, gan otrā gadījumā kontrole pār partnerības aktīvu pamatojas vai nu uz līgumu vai arī uz īpašu regulējumu dzelzceļa pakalpojumiem, nevis tādēļ, ka līgumslēdzējpuse ir budžeta iestāde, kas ir saistīta ar dzelzceļa pakalpojumu darbības jomu regulējošo</w:t>
      </w:r>
      <w:r w:rsidRPr="003B09D1">
        <w:rPr>
          <w:rFonts w:ascii="Times New Roman" w:hAnsi="Times New Roman" w:cs="Times New Roman"/>
          <w:i/>
          <w:spacing w:val="-15"/>
          <w:sz w:val="24"/>
          <w:szCs w:val="24"/>
        </w:rPr>
        <w:t xml:space="preserve"> </w:t>
      </w:r>
      <w:r w:rsidRPr="003B09D1">
        <w:rPr>
          <w:rFonts w:ascii="Times New Roman" w:hAnsi="Times New Roman" w:cs="Times New Roman"/>
          <w:i/>
          <w:sz w:val="24"/>
          <w:szCs w:val="24"/>
        </w:rPr>
        <w:t>iestādi.</w:t>
      </w:r>
    </w:p>
    <w:p w14:paraId="7D7FBAA5" w14:textId="77777777" w:rsidR="003B09D1" w:rsidRPr="003B09D1" w:rsidRDefault="003B09D1" w:rsidP="00CD363C">
      <w:pPr>
        <w:spacing w:after="0" w:line="240" w:lineRule="auto"/>
        <w:ind w:right="-66"/>
        <w:jc w:val="both"/>
        <w:rPr>
          <w:rFonts w:ascii="Times New Roman" w:hAnsi="Times New Roman" w:cs="Times New Roman"/>
          <w:iCs/>
          <w:sz w:val="24"/>
          <w:szCs w:val="24"/>
        </w:rPr>
      </w:pPr>
      <w:r>
        <w:rPr>
          <w:rFonts w:ascii="Times New Roman" w:hAnsi="Times New Roman" w:cs="Times New Roman"/>
          <w:iCs/>
          <w:sz w:val="24"/>
          <w:szCs w:val="24"/>
        </w:rPr>
        <w:t>754.4.</w:t>
      </w:r>
      <w:r w:rsidRPr="003B09D1">
        <w:rPr>
          <w:rFonts w:ascii="Times New Roman" w:hAnsi="Times New Roman" w:cs="Times New Roman"/>
          <w:iCs/>
          <w:sz w:val="24"/>
          <w:szCs w:val="24"/>
        </w:rPr>
        <w:t>.</w:t>
      </w:r>
      <w:r w:rsidRPr="003B09D1">
        <w:rPr>
          <w:rFonts w:ascii="Times New Roman" w:hAnsi="Times New Roman" w:cs="Times New Roman"/>
          <w:iCs/>
          <w:sz w:val="24"/>
          <w:szCs w:val="24"/>
        </w:rPr>
        <w:tab/>
        <w:t>Partnerības aktīva atzīšanas nosacījumi nosaka, ka budžeta iestāde kontrolē aktīvu visu tā darbības izmantošanas laiku. Piemēram, privātajam partnerim līguma darbības laikā jānomaina kāda no aktīva daļām (ceļa seguma virskārta vai ēkas jumts). Atsevišķas daļas nomaiņa neietekmē pieņēmumu, ka aktīvs tiek uzskatīts par vienu veselumu. Tādējādi, ja budžeta iestāde kontrolē jebkādu nozīmīgu atlikušo aktīva daļu pēc pēdējās atsevišķu aktīva daļu nomaiņas, nosacījums par kontroli pār jebkādu būtisku atlikušo līdzdalību aktīvā izpildās attiecībā uz visu aktīvu kopumā, ieskaitot nomainīto aktīva daļu.</w:t>
      </w:r>
    </w:p>
    <w:p w14:paraId="28284CF8" w14:textId="77777777" w:rsidR="003B09D1" w:rsidRPr="003B09D1" w:rsidRDefault="003B09D1" w:rsidP="00CD363C">
      <w:pPr>
        <w:spacing w:after="0" w:line="240" w:lineRule="auto"/>
        <w:ind w:right="-66"/>
        <w:jc w:val="both"/>
        <w:rPr>
          <w:rFonts w:ascii="Times New Roman" w:hAnsi="Times New Roman" w:cs="Times New Roman"/>
          <w:iCs/>
          <w:sz w:val="24"/>
          <w:szCs w:val="24"/>
        </w:rPr>
      </w:pPr>
      <w:r>
        <w:rPr>
          <w:rFonts w:ascii="Times New Roman" w:hAnsi="Times New Roman" w:cs="Times New Roman"/>
          <w:iCs/>
          <w:sz w:val="24"/>
          <w:szCs w:val="24"/>
        </w:rPr>
        <w:t>754.5.</w:t>
      </w:r>
      <w:r w:rsidRPr="003B09D1">
        <w:rPr>
          <w:rFonts w:ascii="Times New Roman" w:hAnsi="Times New Roman" w:cs="Times New Roman"/>
          <w:iCs/>
          <w:sz w:val="24"/>
          <w:szCs w:val="24"/>
        </w:rPr>
        <w:tab/>
        <w:t>Budžeta iestāde izvērtē darījuma būtību un, ja darījums atbilst nomas darījuma nosacījumiem, kurā budžeta iestāde (iznomātājs) iznomā aktīvu privātajam partnerim (nomniekam), iestāde uzskaita to saskaņā ar Rokasgrāmatas sadaļā “Nomas uzskaite” noteiktajiem principiem.</w:t>
      </w:r>
    </w:p>
    <w:p w14:paraId="2D1D97D8" w14:textId="77777777" w:rsidR="001B5D0F" w:rsidRDefault="003B09D1" w:rsidP="006D28D2">
      <w:pPr>
        <w:spacing w:after="0" w:line="240" w:lineRule="auto"/>
        <w:ind w:right="-66"/>
        <w:jc w:val="both"/>
      </w:pPr>
      <w:r>
        <w:rPr>
          <w:rFonts w:ascii="Times New Roman" w:hAnsi="Times New Roman" w:cs="Times New Roman"/>
          <w:iCs/>
          <w:sz w:val="24"/>
          <w:szCs w:val="24"/>
        </w:rPr>
        <w:t xml:space="preserve">754.6.  </w:t>
      </w:r>
      <w:r w:rsidRPr="003B09D1">
        <w:rPr>
          <w:rFonts w:ascii="Times New Roman" w:hAnsi="Times New Roman" w:cs="Times New Roman"/>
          <w:iCs/>
          <w:sz w:val="24"/>
          <w:szCs w:val="24"/>
        </w:rPr>
        <w:t>Partnerības aktīva sākotnējās atzīšanas lēmumu pieņemšanas process ilustratīvi uzrādīts 1.attēlā.</w:t>
      </w:r>
      <w:r w:rsidR="005E167F">
        <w:t xml:space="preserve">                                                                                                                </w:t>
      </w:r>
    </w:p>
    <w:p w14:paraId="6356F376" w14:textId="77777777" w:rsidR="00DA2D0D" w:rsidRDefault="00DA2D0D" w:rsidP="00CD363C">
      <w:pPr>
        <w:pStyle w:val="Virsraksts6"/>
        <w:ind w:left="4606" w:right="-66"/>
        <w:jc w:val="both"/>
      </w:pPr>
      <w:r>
        <w:t xml:space="preserve">  </w:t>
      </w:r>
    </w:p>
    <w:p w14:paraId="19C6E656" w14:textId="77777777" w:rsidR="00DA2D0D" w:rsidRDefault="00DA2D0D" w:rsidP="00CD363C">
      <w:pPr>
        <w:pStyle w:val="Virsraksts6"/>
        <w:ind w:left="4606" w:right="-66"/>
        <w:jc w:val="both"/>
      </w:pPr>
    </w:p>
    <w:p w14:paraId="7E7F3D5E" w14:textId="77777777" w:rsidR="00675AC5" w:rsidRDefault="00675AC5" w:rsidP="00CD363C">
      <w:pPr>
        <w:pStyle w:val="Virsraksts6"/>
        <w:ind w:left="4606" w:right="-66"/>
        <w:jc w:val="both"/>
      </w:pPr>
      <w:r>
        <w:t>Partnerības aktīva uzskaite</w:t>
      </w:r>
    </w:p>
    <w:p w14:paraId="72622DF7" w14:textId="77777777" w:rsidR="00675AC5" w:rsidRDefault="00675AC5" w:rsidP="00CD363C">
      <w:pPr>
        <w:pStyle w:val="Pamatteksts"/>
        <w:ind w:right="-66"/>
        <w:jc w:val="both"/>
        <w:rPr>
          <w:b/>
          <w:sz w:val="20"/>
        </w:rPr>
      </w:pPr>
    </w:p>
    <w:p w14:paraId="3B8A4F72" w14:textId="77777777" w:rsidR="00675AC5" w:rsidRDefault="00675AC5" w:rsidP="00CD363C">
      <w:pPr>
        <w:pStyle w:val="Pamatteksts"/>
        <w:ind w:right="-66"/>
        <w:jc w:val="both"/>
        <w:rPr>
          <w:b/>
          <w:sz w:val="20"/>
        </w:rPr>
      </w:pPr>
    </w:p>
    <w:p w14:paraId="4416A5DA" w14:textId="77777777" w:rsidR="00675AC5" w:rsidRDefault="00675AC5" w:rsidP="00CD363C">
      <w:pPr>
        <w:pStyle w:val="Pamatteksts"/>
        <w:ind w:right="-66"/>
        <w:jc w:val="both"/>
        <w:rPr>
          <w:b/>
          <w:sz w:val="20"/>
        </w:rPr>
      </w:pPr>
    </w:p>
    <w:p w14:paraId="33E56314" w14:textId="77777777" w:rsidR="00675AC5" w:rsidRDefault="00675AC5" w:rsidP="00CD363C">
      <w:pPr>
        <w:pStyle w:val="Pamatteksts"/>
        <w:ind w:right="-66"/>
        <w:jc w:val="both"/>
        <w:rPr>
          <w:b/>
          <w:sz w:val="20"/>
        </w:rPr>
      </w:pPr>
    </w:p>
    <w:p w14:paraId="0216C9AA" w14:textId="77777777" w:rsidR="00675AC5" w:rsidRDefault="00675AC5" w:rsidP="00CD363C">
      <w:pPr>
        <w:pStyle w:val="Pamatteksts"/>
        <w:ind w:right="-66"/>
        <w:jc w:val="both"/>
        <w:rPr>
          <w:b/>
          <w:sz w:val="20"/>
        </w:rPr>
      </w:pPr>
    </w:p>
    <w:p w14:paraId="3F43389A" w14:textId="77777777" w:rsidR="00675AC5" w:rsidRDefault="00675AC5" w:rsidP="00CD363C">
      <w:pPr>
        <w:pStyle w:val="Pamatteksts"/>
        <w:ind w:right="-66"/>
        <w:jc w:val="both"/>
        <w:rPr>
          <w:b/>
          <w:sz w:val="16"/>
        </w:rPr>
      </w:pPr>
    </w:p>
    <w:p w14:paraId="10DF4E7B" w14:textId="77777777" w:rsidR="00675AC5" w:rsidRDefault="00870ECE" w:rsidP="00CD363C">
      <w:pPr>
        <w:tabs>
          <w:tab w:val="left" w:pos="627"/>
        </w:tabs>
        <w:spacing w:after="0" w:line="240" w:lineRule="auto"/>
        <w:ind w:left="55" w:right="-66"/>
        <w:jc w:val="both"/>
        <w:rPr>
          <w:sz w:val="18"/>
        </w:rPr>
      </w:pPr>
      <w:r>
        <w:rPr>
          <w:noProof/>
        </w:rPr>
        <mc:AlternateContent>
          <mc:Choice Requires="wpg">
            <w:drawing>
              <wp:anchor distT="0" distB="0" distL="114300" distR="114300" simplePos="0" relativeHeight="251674624" behindDoc="0" locked="0" layoutInCell="1" allowOverlap="1" wp14:anchorId="5EDE7D26" wp14:editId="1873F579">
                <wp:simplePos x="0" y="0"/>
                <wp:positionH relativeFrom="page">
                  <wp:posOffset>4287520</wp:posOffset>
                </wp:positionH>
                <wp:positionV relativeFrom="paragraph">
                  <wp:posOffset>112395</wp:posOffset>
                </wp:positionV>
                <wp:extent cx="358775" cy="78105"/>
                <wp:effectExtent l="10795" t="0" r="1905" b="635"/>
                <wp:wrapNone/>
                <wp:docPr id="79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78105"/>
                          <a:chOff x="6752" y="177"/>
                          <a:chExt cx="565" cy="123"/>
                        </a:xfrm>
                      </wpg:grpSpPr>
                      <wps:wsp>
                        <wps:cNvPr id="796" name="Line 29"/>
                        <wps:cNvCnPr>
                          <a:cxnSpLocks noChangeShapeType="1"/>
                        </wps:cNvCnPr>
                        <wps:spPr bwMode="auto">
                          <a:xfrm>
                            <a:off x="6752" y="238"/>
                            <a:ext cx="472"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7"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94" y="176"/>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E7AAF3" id="Group 28" o:spid="_x0000_s1026" style="position:absolute;margin-left:337.6pt;margin-top:8.85pt;width:28.25pt;height:6.15pt;z-index:251674624;mso-position-horizontal-relative:page" coordorigin="6752,177" coordsize="56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">
                <v:line id="Line 29" o:spid="_x0000_s1027" style="position:absolute;visibility:visible;mso-wrap-style:square" from="6752,238" to="72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" strokeweight=".2468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7194;top:176;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">
                  <v:imagedata r:id="rId45" o:title=""/>
                </v:shape>
                <w10:wrap anchorx="page"/>
              </v:group>
            </w:pict>
          </mc:Fallback>
        </mc:AlternateContent>
      </w:r>
      <w:r>
        <w:rPr>
          <w:noProof/>
        </w:rPr>
        <mc:AlternateContent>
          <mc:Choice Requires="wps">
            <w:drawing>
              <wp:anchor distT="0" distB="0" distL="114300" distR="114300" simplePos="0" relativeHeight="251685888" behindDoc="0" locked="0" layoutInCell="1" allowOverlap="1" wp14:anchorId="339CE532" wp14:editId="25117885">
                <wp:simplePos x="0" y="0"/>
                <wp:positionH relativeFrom="page">
                  <wp:posOffset>4645660</wp:posOffset>
                </wp:positionH>
                <wp:positionV relativeFrom="paragraph">
                  <wp:posOffset>46355</wp:posOffset>
                </wp:positionV>
                <wp:extent cx="1417320" cy="1041400"/>
                <wp:effectExtent l="6985" t="7620" r="13970" b="8255"/>
                <wp:wrapNone/>
                <wp:docPr id="7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041400"/>
                        </a:xfrm>
                        <a:prstGeom prst="rect">
                          <a:avLst/>
                        </a:prstGeom>
                        <a:solidFill>
                          <a:srgbClr val="E2F0FF"/>
                        </a:solidFill>
                        <a:ln w="2837">
                          <a:solidFill>
                            <a:srgbClr val="000000"/>
                          </a:solidFill>
                          <a:miter lim="800000"/>
                          <a:headEnd/>
                          <a:tailEnd/>
                        </a:ln>
                      </wps:spPr>
                      <wps:txbx>
                        <w:txbxContent>
                          <w:p w14:paraId="6A4A00CE" w14:textId="77777777" w:rsidR="00335490" w:rsidRDefault="00335490" w:rsidP="00675AC5">
                            <w:pPr>
                              <w:pStyle w:val="Pamatteksts"/>
                              <w:rPr>
                                <w:sz w:val="20"/>
                              </w:rPr>
                            </w:pPr>
                          </w:p>
                          <w:p w14:paraId="340DC364" w14:textId="77777777" w:rsidR="00335490" w:rsidRDefault="00335490" w:rsidP="00675AC5">
                            <w:pPr>
                              <w:pStyle w:val="Pamatteksts"/>
                              <w:rPr>
                                <w:sz w:val="20"/>
                              </w:rPr>
                            </w:pPr>
                          </w:p>
                          <w:p w14:paraId="0F0DA407" w14:textId="77777777" w:rsidR="00335490" w:rsidRDefault="00335490" w:rsidP="00675AC5">
                            <w:pPr>
                              <w:spacing w:before="142" w:line="204" w:lineRule="exact"/>
                              <w:ind w:left="222" w:right="198"/>
                              <w:jc w:val="center"/>
                              <w:rPr>
                                <w:b/>
                                <w:sz w:val="18"/>
                              </w:rPr>
                            </w:pPr>
                            <w:r>
                              <w:rPr>
                                <w:b/>
                                <w:sz w:val="18"/>
                              </w:rPr>
                              <w:t>Aktīvs nav partnerības</w:t>
                            </w:r>
                          </w:p>
                          <w:p w14:paraId="195A6C13" w14:textId="77777777" w:rsidR="00335490" w:rsidRDefault="00335490" w:rsidP="00675AC5">
                            <w:pPr>
                              <w:spacing w:line="204" w:lineRule="exact"/>
                              <w:ind w:left="218" w:right="198"/>
                              <w:jc w:val="center"/>
                              <w:rPr>
                                <w:b/>
                                <w:sz w:val="18"/>
                              </w:rPr>
                            </w:pPr>
                            <w:r>
                              <w:rPr>
                                <w:b/>
                                <w:sz w:val="18"/>
                              </w:rPr>
                              <w:t>aktīvs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CE532" id="Text Box 47" o:spid="_x0000_s1028" type="#_x0000_t202" style="position:absolute;left:0;text-align:left;margin-left:365.8pt;margin-top:3.65pt;width:111.6pt;height:8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" fillcolor="#e2f0ff" strokeweight=".07881mm">
                <v:textbox inset="0,0,0,0">
                  <w:txbxContent>
                    <w:p w14:paraId="6A4A00CE" w14:textId="77777777" w:rsidR="00335490" w:rsidRDefault="00335490" w:rsidP="00675AC5">
                      <w:pPr>
                        <w:pStyle w:val="Pamatteksts"/>
                        <w:rPr>
                          <w:sz w:val="20"/>
                        </w:rPr>
                      </w:pPr>
                    </w:p>
                    <w:p w14:paraId="340DC364" w14:textId="77777777" w:rsidR="00335490" w:rsidRDefault="00335490" w:rsidP="00675AC5">
                      <w:pPr>
                        <w:pStyle w:val="Pamatteksts"/>
                        <w:rPr>
                          <w:sz w:val="20"/>
                        </w:rPr>
                      </w:pPr>
                    </w:p>
                    <w:p w14:paraId="0F0DA407" w14:textId="77777777" w:rsidR="00335490" w:rsidRDefault="00335490" w:rsidP="00675AC5">
                      <w:pPr>
                        <w:spacing w:before="142" w:line="204" w:lineRule="exact"/>
                        <w:ind w:left="222" w:right="198"/>
                        <w:jc w:val="center"/>
                        <w:rPr>
                          <w:b/>
                          <w:sz w:val="18"/>
                        </w:rPr>
                      </w:pPr>
                      <w:r>
                        <w:rPr>
                          <w:b/>
                          <w:sz w:val="18"/>
                        </w:rPr>
                        <w:t>Aktīvs nav partnerības</w:t>
                      </w:r>
                    </w:p>
                    <w:p w14:paraId="195A6C13" w14:textId="77777777" w:rsidR="00335490" w:rsidRDefault="00335490" w:rsidP="00675AC5">
                      <w:pPr>
                        <w:spacing w:line="204" w:lineRule="exact"/>
                        <w:ind w:left="218" w:right="198"/>
                        <w:jc w:val="center"/>
                        <w:rPr>
                          <w:b/>
                          <w:sz w:val="18"/>
                        </w:rPr>
                      </w:pPr>
                      <w:r>
                        <w:rPr>
                          <w:b/>
                          <w:sz w:val="18"/>
                        </w:rPr>
                        <w:t>aktīvs</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2A49597D" wp14:editId="5AFADBB6">
                <wp:simplePos x="0" y="0"/>
                <wp:positionH relativeFrom="page">
                  <wp:posOffset>1716405</wp:posOffset>
                </wp:positionH>
                <wp:positionV relativeFrom="paragraph">
                  <wp:posOffset>-463550</wp:posOffset>
                </wp:positionV>
                <wp:extent cx="2068195" cy="960755"/>
                <wp:effectExtent l="1905" t="2540" r="0" b="0"/>
                <wp:wrapNone/>
                <wp:docPr id="7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5"/>
                              <w:gridCol w:w="1625"/>
                            </w:tblGrid>
                            <w:tr w:rsidR="00335490" w14:paraId="056458CA" w14:textId="77777777">
                              <w:trPr>
                                <w:trHeight w:val="1185"/>
                              </w:trPr>
                              <w:tc>
                                <w:tcPr>
                                  <w:tcW w:w="3250" w:type="dxa"/>
                                  <w:gridSpan w:val="2"/>
                                </w:tcPr>
                                <w:p w14:paraId="7CCDFCB3" w14:textId="77777777" w:rsidR="00335490" w:rsidRDefault="00335490">
                                  <w:pPr>
                                    <w:pStyle w:val="TableParagraph"/>
                                    <w:spacing w:before="146" w:line="259" w:lineRule="auto"/>
                                    <w:ind w:left="179" w:right="167"/>
                                    <w:jc w:val="center"/>
                                    <w:rPr>
                                      <w:sz w:val="18"/>
                                    </w:rPr>
                                  </w:pPr>
                                  <w:r>
                                    <w:rPr>
                                      <w:sz w:val="18"/>
                                    </w:rPr>
                                    <w:t>Vai budžeta iestāde kontrolē vai regulē, kādus pakalpojumus, kam un par kādu cenu privātajam partnerim jānodrošina, izmantojot partnerības aktīvu?</w:t>
                                  </w:r>
                                </w:p>
                              </w:tc>
                            </w:tr>
                            <w:tr w:rsidR="00335490" w14:paraId="6FCDA834" w14:textId="77777777">
                              <w:trPr>
                                <w:trHeight w:val="315"/>
                              </w:trPr>
                              <w:tc>
                                <w:tcPr>
                                  <w:tcW w:w="1625" w:type="dxa"/>
                                  <w:tcBorders>
                                    <w:left w:val="nil"/>
                                    <w:bottom w:val="nil"/>
                                    <w:right w:val="single" w:sz="6" w:space="0" w:color="000000"/>
                                  </w:tcBorders>
                                </w:tcPr>
                                <w:p w14:paraId="75AEF74D" w14:textId="77777777" w:rsidR="00335490" w:rsidRDefault="00335490">
                                  <w:pPr>
                                    <w:pStyle w:val="TableParagraph"/>
                                    <w:rPr>
                                      <w:sz w:val="18"/>
                                    </w:rPr>
                                  </w:pPr>
                                </w:p>
                              </w:tc>
                              <w:tc>
                                <w:tcPr>
                                  <w:tcW w:w="1625" w:type="dxa"/>
                                  <w:tcBorders>
                                    <w:left w:val="single" w:sz="6" w:space="0" w:color="000000"/>
                                    <w:bottom w:val="nil"/>
                                    <w:right w:val="nil"/>
                                  </w:tcBorders>
                                </w:tcPr>
                                <w:p w14:paraId="54522E79" w14:textId="77777777" w:rsidR="00335490" w:rsidRDefault="00335490">
                                  <w:pPr>
                                    <w:pStyle w:val="TableParagraph"/>
                                    <w:rPr>
                                      <w:sz w:val="18"/>
                                    </w:rPr>
                                  </w:pPr>
                                </w:p>
                              </w:tc>
                            </w:tr>
                          </w:tbl>
                          <w:p w14:paraId="3FBAC156" w14:textId="77777777" w:rsidR="00335490" w:rsidRDefault="00335490" w:rsidP="00675AC5">
                            <w:pPr>
                              <w:pStyle w:val="Pamatteks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597D" id="Text Box 48" o:spid="_x0000_s1029" type="#_x0000_t202" style="position:absolute;left:0;text-align:left;margin-left:135.15pt;margin-top:-36.5pt;width:162.85pt;height:75.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5"/>
                        <w:gridCol w:w="1625"/>
                      </w:tblGrid>
                      <w:tr w:rsidR="00335490" w14:paraId="056458CA" w14:textId="77777777">
                        <w:trPr>
                          <w:trHeight w:val="1185"/>
                        </w:trPr>
                        <w:tc>
                          <w:tcPr>
                            <w:tcW w:w="3250" w:type="dxa"/>
                            <w:gridSpan w:val="2"/>
                          </w:tcPr>
                          <w:p w14:paraId="7CCDFCB3" w14:textId="77777777" w:rsidR="00335490" w:rsidRDefault="00335490">
                            <w:pPr>
                              <w:pStyle w:val="TableParagraph"/>
                              <w:spacing w:before="146" w:line="259" w:lineRule="auto"/>
                              <w:ind w:left="179" w:right="167"/>
                              <w:jc w:val="center"/>
                              <w:rPr>
                                <w:sz w:val="18"/>
                              </w:rPr>
                            </w:pPr>
                            <w:r>
                              <w:rPr>
                                <w:sz w:val="18"/>
                              </w:rPr>
                              <w:t>Vai budžeta iestāde kontrolē vai regulē, kādus pakalpojumus, kam un par kādu cenu privātajam partnerim jānodrošina, izmantojot partnerības aktīvu?</w:t>
                            </w:r>
                          </w:p>
                        </w:tc>
                      </w:tr>
                      <w:tr w:rsidR="00335490" w14:paraId="6FCDA834" w14:textId="77777777">
                        <w:trPr>
                          <w:trHeight w:val="315"/>
                        </w:trPr>
                        <w:tc>
                          <w:tcPr>
                            <w:tcW w:w="1625" w:type="dxa"/>
                            <w:tcBorders>
                              <w:left w:val="nil"/>
                              <w:bottom w:val="nil"/>
                              <w:right w:val="single" w:sz="6" w:space="0" w:color="000000"/>
                            </w:tcBorders>
                          </w:tcPr>
                          <w:p w14:paraId="75AEF74D" w14:textId="77777777" w:rsidR="00335490" w:rsidRDefault="00335490">
                            <w:pPr>
                              <w:pStyle w:val="TableParagraph"/>
                              <w:rPr>
                                <w:sz w:val="18"/>
                              </w:rPr>
                            </w:pPr>
                          </w:p>
                        </w:tc>
                        <w:tc>
                          <w:tcPr>
                            <w:tcW w:w="1625" w:type="dxa"/>
                            <w:tcBorders>
                              <w:left w:val="single" w:sz="6" w:space="0" w:color="000000"/>
                              <w:bottom w:val="nil"/>
                              <w:right w:val="nil"/>
                            </w:tcBorders>
                          </w:tcPr>
                          <w:p w14:paraId="54522E79" w14:textId="77777777" w:rsidR="00335490" w:rsidRDefault="00335490">
                            <w:pPr>
                              <w:pStyle w:val="TableParagraph"/>
                              <w:rPr>
                                <w:sz w:val="18"/>
                              </w:rPr>
                            </w:pPr>
                          </w:p>
                        </w:tc>
                      </w:tr>
                    </w:tbl>
                    <w:p w14:paraId="3FBAC156" w14:textId="77777777" w:rsidR="00335490" w:rsidRDefault="00335490" w:rsidP="00675AC5">
                      <w:pPr>
                        <w:pStyle w:val="Pamatteksts"/>
                      </w:pPr>
                    </w:p>
                  </w:txbxContent>
                </v:textbox>
                <w10:wrap anchorx="page"/>
              </v:shape>
            </w:pict>
          </mc:Fallback>
        </mc:AlternateContent>
      </w:r>
      <w:r w:rsidR="00675AC5">
        <w:rPr>
          <w:position w:val="3"/>
          <w:sz w:val="18"/>
          <w:u w:val="single"/>
        </w:rPr>
        <w:t xml:space="preserve"> </w:t>
      </w:r>
      <w:r w:rsidR="00675AC5">
        <w:rPr>
          <w:position w:val="3"/>
          <w:sz w:val="18"/>
          <w:u w:val="single"/>
        </w:rPr>
        <w:tab/>
      </w:r>
      <w:r w:rsidR="00675AC5">
        <w:rPr>
          <w:color w:val="585858"/>
          <w:spacing w:val="8"/>
          <w:sz w:val="18"/>
        </w:rPr>
        <w:t>Nē</w:t>
      </w:r>
    </w:p>
    <w:p w14:paraId="61D289B1" w14:textId="77777777" w:rsidR="00675AC5" w:rsidRDefault="00675AC5" w:rsidP="00CD363C">
      <w:pPr>
        <w:pStyle w:val="Pamatteksts"/>
        <w:ind w:right="-66"/>
        <w:jc w:val="both"/>
        <w:rPr>
          <w:sz w:val="24"/>
        </w:rPr>
      </w:pPr>
    </w:p>
    <w:p w14:paraId="64F9304D" w14:textId="77777777" w:rsidR="00675AC5" w:rsidRDefault="00675AC5" w:rsidP="00CD363C">
      <w:pPr>
        <w:spacing w:after="0" w:line="240" w:lineRule="auto"/>
        <w:ind w:left="3055" w:right="-66"/>
        <w:jc w:val="both"/>
        <w:rPr>
          <w:sz w:val="18"/>
        </w:rPr>
      </w:pPr>
      <w:r>
        <w:rPr>
          <w:color w:val="585858"/>
          <w:sz w:val="18"/>
        </w:rPr>
        <w:t>Jā</w:t>
      </w:r>
    </w:p>
    <w:p w14:paraId="46BEF47B" w14:textId="77777777" w:rsidR="00675AC5" w:rsidRDefault="00870ECE" w:rsidP="00CD363C">
      <w:pPr>
        <w:pStyle w:val="Pamatteksts"/>
        <w:ind w:left="3061" w:right="-66"/>
        <w:jc w:val="both"/>
        <w:rPr>
          <w:sz w:val="20"/>
        </w:rPr>
      </w:pPr>
      <w:r>
        <w:rPr>
          <w:noProof/>
          <w:sz w:val="20"/>
        </w:rPr>
        <mc:AlternateContent>
          <mc:Choice Requires="wpg">
            <w:drawing>
              <wp:inline distT="0" distB="0" distL="0" distR="0" wp14:anchorId="64CBC402" wp14:editId="782B7A55">
                <wp:extent cx="77470" cy="201930"/>
                <wp:effectExtent l="3175" t="12065" r="0" b="0"/>
                <wp:docPr id="7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01930"/>
                          <a:chOff x="0" y="0"/>
                          <a:chExt cx="122" cy="318"/>
                        </a:xfrm>
                      </wpg:grpSpPr>
                      <wps:wsp>
                        <wps:cNvPr id="791" name="Line 21"/>
                        <wps:cNvCnPr>
                          <a:cxnSpLocks noChangeShapeType="1"/>
                        </wps:cNvCnPr>
                        <wps:spPr bwMode="auto">
                          <a:xfrm>
                            <a:off x="61" y="0"/>
                            <a:ext cx="0" cy="225"/>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2"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95"/>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3139FB" id="Group 20" o:spid="_x0000_s1026" style="width:6.1pt;height:15.9pt;mso-position-horizontal-relative:char;mso-position-vertical-relative:line" coordsize="1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">
                <v:line id="Line 21" o:spid="_x0000_s1027" style="position:absolute;visibility:visible;mso-wrap-style:square" from="61,0" to="6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" strokeweight=".24508mm"/>
                <v:shape id="Picture 22" o:spid="_x0000_s1028" type="#_x0000_t75" style="position:absolute;top:195;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">
                  <v:imagedata r:id="rId47" o:title=""/>
                </v:shape>
                <w10:anchorlock/>
              </v:group>
            </w:pict>
          </mc:Fallback>
        </mc:AlternateContent>
      </w:r>
    </w:p>
    <w:p w14:paraId="26B5EBDA" w14:textId="77777777" w:rsidR="00675AC5" w:rsidRDefault="00870ECE" w:rsidP="00CD363C">
      <w:pPr>
        <w:spacing w:after="0" w:line="240" w:lineRule="auto"/>
        <w:ind w:left="627" w:right="-66"/>
        <w:jc w:val="both"/>
        <w:rPr>
          <w:sz w:val="18"/>
        </w:rPr>
      </w:pPr>
      <w:r>
        <w:rPr>
          <w:noProof/>
        </w:rPr>
        <mc:AlternateContent>
          <mc:Choice Requires="wpg">
            <w:drawing>
              <wp:anchor distT="0" distB="0" distL="0" distR="0" simplePos="0" relativeHeight="251671552" behindDoc="0" locked="0" layoutInCell="1" allowOverlap="1" wp14:anchorId="37010784" wp14:editId="3D8A1783">
                <wp:simplePos x="0" y="0"/>
                <wp:positionH relativeFrom="page">
                  <wp:posOffset>5315585</wp:posOffset>
                </wp:positionH>
                <wp:positionV relativeFrom="paragraph">
                  <wp:posOffset>220980</wp:posOffset>
                </wp:positionV>
                <wp:extent cx="77470" cy="680720"/>
                <wp:effectExtent l="635" t="0" r="0" b="5080"/>
                <wp:wrapTopAndBottom/>
                <wp:docPr id="7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680720"/>
                          <a:chOff x="8371" y="348"/>
                          <a:chExt cx="122" cy="1072"/>
                        </a:xfrm>
                      </wpg:grpSpPr>
                      <wps:wsp>
                        <wps:cNvPr id="788" name="Line 24"/>
                        <wps:cNvCnPr>
                          <a:cxnSpLocks noChangeShapeType="1"/>
                        </wps:cNvCnPr>
                        <wps:spPr bwMode="auto">
                          <a:xfrm>
                            <a:off x="8432" y="440"/>
                            <a:ext cx="0" cy="979"/>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9"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71" y="348"/>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8FE7BF" id="Group 23" o:spid="_x0000_s1026" style="position:absolute;margin-left:418.55pt;margin-top:17.4pt;width:6.1pt;height:53.6pt;z-index:251671552;mso-wrap-distance-left:0;mso-wrap-distance-right:0;mso-position-horizontal-relative:page" coordorigin="8371,348" coordsize="122,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">
                <v:line id="Line 24" o:spid="_x0000_s1027" style="position:absolute;visibility:visible;mso-wrap-style:square" from="8432,440" to="8432,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" strokeweight=".24836mm"/>
                <v:shape id="Picture 25" o:spid="_x0000_s1028" type="#_x0000_t75" style="position:absolute;left:8371;top:348;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">
                  <v:imagedata r:id="rId49" o:title=""/>
                </v:shape>
                <w10:wrap type="topAndBottom" anchorx="page"/>
              </v:group>
            </w:pict>
          </mc:Fallback>
        </mc:AlternateContent>
      </w:r>
      <w:r>
        <w:rPr>
          <w:noProof/>
        </w:rPr>
        <mc:AlternateContent>
          <mc:Choice Requires="wpg">
            <w:drawing>
              <wp:anchor distT="0" distB="0" distL="114300" distR="114300" simplePos="0" relativeHeight="251675648" behindDoc="0" locked="0" layoutInCell="1" allowOverlap="1" wp14:anchorId="75B4DE25" wp14:editId="36BB1E50">
                <wp:simplePos x="0" y="0"/>
                <wp:positionH relativeFrom="page">
                  <wp:posOffset>4287520</wp:posOffset>
                </wp:positionH>
                <wp:positionV relativeFrom="paragraph">
                  <wp:posOffset>52070</wp:posOffset>
                </wp:positionV>
                <wp:extent cx="358775" cy="78105"/>
                <wp:effectExtent l="10795" t="2540" r="1905" b="0"/>
                <wp:wrapNone/>
                <wp:docPr id="78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78105"/>
                          <a:chOff x="6752" y="82"/>
                          <a:chExt cx="565" cy="123"/>
                        </a:xfrm>
                      </wpg:grpSpPr>
                      <wps:wsp>
                        <wps:cNvPr id="785" name="Line 32"/>
                        <wps:cNvCnPr>
                          <a:cxnSpLocks noChangeShapeType="1"/>
                        </wps:cNvCnPr>
                        <wps:spPr bwMode="auto">
                          <a:xfrm>
                            <a:off x="6752" y="143"/>
                            <a:ext cx="472"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6"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94" y="81"/>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CD691" id="Group 31" o:spid="_x0000_s1026" style="position:absolute;margin-left:337.6pt;margin-top:4.1pt;width:28.25pt;height:6.15pt;z-index:251675648;mso-position-horizontal-relative:page" coordorigin="6752,82" coordsize="56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">
                <v:line id="Line 32" o:spid="_x0000_s1027" style="position:absolute;visibility:visible;mso-wrap-style:square" from="6752,143" to="722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" strokeweight=".24683mm"/>
                <v:shape id="Picture 33" o:spid="_x0000_s1028" type="#_x0000_t75" style="position:absolute;left:7194;top:81;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">
                  <v:imagedata r:id="rId45" o:title=""/>
                </v:shape>
                <w10:wrap anchorx="page"/>
              </v:group>
            </w:pict>
          </mc:Fallback>
        </mc:AlternateContent>
      </w:r>
      <w:r>
        <w:rPr>
          <w:noProof/>
        </w:rPr>
        <mc:AlternateContent>
          <mc:Choice Requires="wps">
            <w:drawing>
              <wp:anchor distT="0" distB="0" distL="114300" distR="114300" simplePos="0" relativeHeight="251676672" behindDoc="0" locked="0" layoutInCell="1" allowOverlap="1" wp14:anchorId="4386BA0E" wp14:editId="229C8082">
                <wp:simplePos x="0" y="0"/>
                <wp:positionH relativeFrom="page">
                  <wp:posOffset>3791585</wp:posOffset>
                </wp:positionH>
                <wp:positionV relativeFrom="paragraph">
                  <wp:posOffset>90805</wp:posOffset>
                </wp:positionV>
                <wp:extent cx="358775" cy="0"/>
                <wp:effectExtent l="10160" t="12700" r="12065" b="6350"/>
                <wp:wrapNone/>
                <wp:docPr id="7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C1EA" id="Line 34"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55pt,7.15pt" to="326.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utFAIAACoEAAAOAAAAZHJzL2Uyb0RvYy54bWysU8GO2jAQvVfqP1i+QwgEyEa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" strokeweight=".24683mm">
                <w10:wrap anchorx="page"/>
              </v:line>
            </w:pict>
          </mc:Fallback>
        </mc:AlternateContent>
      </w:r>
      <w:r>
        <w:rPr>
          <w:noProof/>
        </w:rPr>
        <mc:AlternateContent>
          <mc:Choice Requires="wps">
            <w:drawing>
              <wp:anchor distT="0" distB="0" distL="114300" distR="114300" simplePos="0" relativeHeight="251684864" behindDoc="0" locked="0" layoutInCell="1" allowOverlap="1" wp14:anchorId="68FAB166" wp14:editId="74747C67">
                <wp:simplePos x="0" y="0"/>
                <wp:positionH relativeFrom="page">
                  <wp:posOffset>1717675</wp:posOffset>
                </wp:positionH>
                <wp:positionV relativeFrom="paragraph">
                  <wp:posOffset>-26670</wp:posOffset>
                </wp:positionV>
                <wp:extent cx="2064385" cy="1041400"/>
                <wp:effectExtent l="12700" t="9525" r="8890" b="6350"/>
                <wp:wrapNone/>
                <wp:docPr id="7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041400"/>
                        </a:xfrm>
                        <a:prstGeom prst="rect">
                          <a:avLst/>
                        </a:prstGeom>
                        <a:noFill/>
                        <a:ln w="283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ABA60" w14:textId="77777777" w:rsidR="00335490" w:rsidRDefault="00335490" w:rsidP="00675AC5">
                            <w:pPr>
                              <w:pStyle w:val="Pamatteksts"/>
                              <w:rPr>
                                <w:sz w:val="20"/>
                              </w:rPr>
                            </w:pPr>
                          </w:p>
                          <w:p w14:paraId="756CAEF1" w14:textId="77777777" w:rsidR="00335490" w:rsidRDefault="00335490" w:rsidP="00675AC5">
                            <w:pPr>
                              <w:spacing w:before="143"/>
                              <w:ind w:left="61" w:right="50" w:hanging="14"/>
                              <w:jc w:val="center"/>
                              <w:rPr>
                                <w:sz w:val="18"/>
                              </w:rPr>
                            </w:pPr>
                            <w:r>
                              <w:rPr>
                                <w:sz w:val="18"/>
                              </w:rPr>
                              <w:t>Vai līguma termiņa beigās aktīva īpašuma tiesības nodod budžeta iestādei vai aktīva lietderīgās lietošanas laiks beidzas līguma termiņa beigās?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B166" id="Text Box 46" o:spid="_x0000_s1030" type="#_x0000_t202" style="position:absolute;left:0;text-align:left;margin-left:135.25pt;margin-top:-2.1pt;width:162.55pt;height:8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" filled="f" strokeweight=".07886mm">
                <v:textbox inset="0,0,0,0">
                  <w:txbxContent>
                    <w:p w14:paraId="2D1ABA60" w14:textId="77777777" w:rsidR="00335490" w:rsidRDefault="00335490" w:rsidP="00675AC5">
                      <w:pPr>
                        <w:pStyle w:val="Pamatteksts"/>
                        <w:rPr>
                          <w:sz w:val="20"/>
                        </w:rPr>
                      </w:pPr>
                    </w:p>
                    <w:p w14:paraId="756CAEF1" w14:textId="77777777" w:rsidR="00335490" w:rsidRDefault="00335490" w:rsidP="00675AC5">
                      <w:pPr>
                        <w:spacing w:before="143"/>
                        <w:ind w:left="61" w:right="50" w:hanging="14"/>
                        <w:jc w:val="center"/>
                        <w:rPr>
                          <w:sz w:val="18"/>
                        </w:rPr>
                      </w:pPr>
                      <w:r>
                        <w:rPr>
                          <w:sz w:val="18"/>
                        </w:rPr>
                        <w:t>Vai līguma termiņa beigās aktīva īpašuma tiesības nodod budžeta iestādei vai aktīva lietderīgās lietošanas laiks beidzas līguma termiņa beigās?</w:t>
                      </w:r>
                    </w:p>
                  </w:txbxContent>
                </v:textbox>
                <w10:wrap anchorx="page"/>
              </v:shape>
            </w:pict>
          </mc:Fallback>
        </mc:AlternateContent>
      </w:r>
      <w:r w:rsidR="00675AC5">
        <w:rPr>
          <w:color w:val="585858"/>
          <w:sz w:val="18"/>
        </w:rPr>
        <w:t>Nē</w:t>
      </w:r>
    </w:p>
    <w:p w14:paraId="2C25C384" w14:textId="77777777" w:rsidR="00675AC5" w:rsidRDefault="00675AC5" w:rsidP="00CD363C">
      <w:pPr>
        <w:spacing w:after="0" w:line="240" w:lineRule="auto"/>
        <w:ind w:right="-66"/>
        <w:jc w:val="both"/>
        <w:rPr>
          <w:sz w:val="18"/>
        </w:rPr>
      </w:pPr>
      <w:r>
        <w:rPr>
          <w:color w:val="585858"/>
          <w:sz w:val="18"/>
        </w:rPr>
        <w:t>Nē</w:t>
      </w:r>
    </w:p>
    <w:p w14:paraId="3FCA7712" w14:textId="77777777" w:rsidR="00675AC5" w:rsidRDefault="00675AC5" w:rsidP="00CD363C">
      <w:pPr>
        <w:pStyle w:val="Pamatteksts"/>
        <w:ind w:right="-66"/>
        <w:jc w:val="both"/>
        <w:rPr>
          <w:sz w:val="10"/>
        </w:rPr>
      </w:pPr>
    </w:p>
    <w:p w14:paraId="5546B864" w14:textId="77777777" w:rsidR="00675AC5" w:rsidRDefault="00870ECE" w:rsidP="00CD363C">
      <w:pPr>
        <w:spacing w:after="0" w:line="240" w:lineRule="auto"/>
        <w:ind w:left="3055" w:right="-66"/>
        <w:jc w:val="both"/>
        <w:rPr>
          <w:sz w:val="18"/>
        </w:rPr>
      </w:pPr>
      <w:r>
        <w:rPr>
          <w:noProof/>
        </w:rPr>
        <mc:AlternateContent>
          <mc:Choice Requires="wps">
            <w:drawing>
              <wp:anchor distT="0" distB="0" distL="114300" distR="114300" simplePos="0" relativeHeight="251673600" behindDoc="0" locked="0" layoutInCell="1" allowOverlap="1" wp14:anchorId="33D58044" wp14:editId="20A68C7E">
                <wp:simplePos x="0" y="0"/>
                <wp:positionH relativeFrom="page">
                  <wp:posOffset>2749550</wp:posOffset>
                </wp:positionH>
                <wp:positionV relativeFrom="paragraph">
                  <wp:posOffset>-94615</wp:posOffset>
                </wp:positionV>
                <wp:extent cx="0" cy="151130"/>
                <wp:effectExtent l="6350" t="13335" r="12700" b="6985"/>
                <wp:wrapNone/>
                <wp:docPr id="78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CA124" id="Line 2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5pt,-7.45pt" to="2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" strokeweight=".24508mm">
                <w10:wrap anchorx="page"/>
              </v:line>
            </w:pict>
          </mc:Fallback>
        </mc:AlternateContent>
      </w:r>
      <w:r>
        <w:rPr>
          <w:noProof/>
        </w:rPr>
        <mc:AlternateContent>
          <mc:Choice Requires="wps">
            <w:drawing>
              <wp:anchor distT="0" distB="0" distL="114300" distR="114300" simplePos="0" relativeHeight="251677696" behindDoc="0" locked="0" layoutInCell="1" allowOverlap="1" wp14:anchorId="306884CF" wp14:editId="34BBB42B">
                <wp:simplePos x="0" y="0"/>
                <wp:positionH relativeFrom="page">
                  <wp:posOffset>5354320</wp:posOffset>
                </wp:positionH>
                <wp:positionV relativeFrom="paragraph">
                  <wp:posOffset>-66040</wp:posOffset>
                </wp:positionV>
                <wp:extent cx="0" cy="680720"/>
                <wp:effectExtent l="10795" t="13335" r="8255" b="10795"/>
                <wp:wrapNone/>
                <wp:docPr id="78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720"/>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D3A5D" id="Line 3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6pt,-5.2pt" to="421.6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n4FAIAACo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" strokeweight=".24836mm">
                <w10:wrap anchorx="page"/>
              </v:line>
            </w:pict>
          </mc:Fallback>
        </mc:AlternateContent>
      </w:r>
      <w:r w:rsidR="00675AC5">
        <w:rPr>
          <w:color w:val="585858"/>
          <w:sz w:val="18"/>
        </w:rPr>
        <w:t>Jā</w:t>
      </w:r>
    </w:p>
    <w:p w14:paraId="151CBFC7" w14:textId="77777777" w:rsidR="00675AC5" w:rsidRDefault="00870ECE" w:rsidP="00CD363C">
      <w:pPr>
        <w:pStyle w:val="Pamatteksts"/>
        <w:ind w:left="3061" w:right="-66"/>
        <w:jc w:val="both"/>
        <w:rPr>
          <w:sz w:val="20"/>
        </w:rPr>
      </w:pPr>
      <w:r>
        <w:rPr>
          <w:noProof/>
          <w:sz w:val="20"/>
        </w:rPr>
        <mc:AlternateContent>
          <mc:Choice Requires="wpg">
            <w:drawing>
              <wp:inline distT="0" distB="0" distL="0" distR="0" wp14:anchorId="1FFBAD97" wp14:editId="153F36C6">
                <wp:extent cx="77470" cy="151765"/>
                <wp:effectExtent l="3175" t="13970" r="0" b="0"/>
                <wp:docPr id="77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151765"/>
                          <a:chOff x="0" y="0"/>
                          <a:chExt cx="122" cy="239"/>
                        </a:xfrm>
                      </wpg:grpSpPr>
                      <wps:wsp>
                        <wps:cNvPr id="778" name="Line 18"/>
                        <wps:cNvCnPr>
                          <a:cxnSpLocks noChangeShapeType="1"/>
                        </wps:cNvCnPr>
                        <wps:spPr bwMode="auto">
                          <a:xfrm>
                            <a:off x="61" y="0"/>
                            <a:ext cx="0" cy="146"/>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9"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16"/>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78241D" id="Group 17" o:spid="_x0000_s1026" style="width:6.1pt;height:11.95pt;mso-position-horizontal-relative:char;mso-position-vertical-relative:line" coordsize="12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">
                <v:line id="Line 18" o:spid="_x0000_s1027" style="position:absolute;visibility:visible;mso-wrap-style:square" from="61,0" to="6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" strokeweight=".24508mm"/>
                <v:shape id="Picture 19" o:spid="_x0000_s1028" type="#_x0000_t75" style="position:absolute;top:116;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">
                  <v:imagedata r:id="rId51" o:title=""/>
                </v:shape>
                <w10:anchorlock/>
              </v:group>
            </w:pict>
          </mc:Fallback>
        </mc:AlternateContent>
      </w:r>
    </w:p>
    <w:p w14:paraId="0AF5FAE8" w14:textId="77777777" w:rsidR="00675AC5" w:rsidRDefault="00675AC5" w:rsidP="00CD363C">
      <w:pPr>
        <w:pStyle w:val="Pamatteksts"/>
        <w:ind w:right="-66"/>
        <w:jc w:val="both"/>
        <w:rPr>
          <w:sz w:val="20"/>
        </w:rPr>
      </w:pPr>
    </w:p>
    <w:p w14:paraId="19A73FF2" w14:textId="77777777" w:rsidR="00675AC5" w:rsidRDefault="00675AC5" w:rsidP="00CD363C">
      <w:pPr>
        <w:pStyle w:val="Pamatteksts"/>
        <w:ind w:right="-66"/>
        <w:jc w:val="both"/>
        <w:rPr>
          <w:sz w:val="20"/>
        </w:rPr>
      </w:pPr>
    </w:p>
    <w:p w14:paraId="404CDA17" w14:textId="77777777" w:rsidR="00675AC5" w:rsidRDefault="00675AC5" w:rsidP="00CD363C">
      <w:pPr>
        <w:pStyle w:val="Pamatteksts"/>
        <w:ind w:right="-66"/>
        <w:jc w:val="both"/>
        <w:rPr>
          <w:sz w:val="28"/>
        </w:rPr>
      </w:pPr>
    </w:p>
    <w:p w14:paraId="5F578084" w14:textId="77777777" w:rsidR="00675AC5" w:rsidRDefault="00870ECE" w:rsidP="00CD363C">
      <w:pPr>
        <w:spacing w:after="0" w:line="240" w:lineRule="auto"/>
        <w:ind w:left="102" w:right="-66"/>
        <w:jc w:val="both"/>
        <w:rPr>
          <w:sz w:val="18"/>
        </w:rPr>
      </w:pPr>
      <w:r>
        <w:rPr>
          <w:noProof/>
        </w:rPr>
        <mc:AlternateContent>
          <mc:Choice Requires="wpg">
            <w:drawing>
              <wp:anchor distT="0" distB="0" distL="114300" distR="114300" simplePos="0" relativeHeight="251680768" behindDoc="0" locked="0" layoutInCell="1" allowOverlap="1" wp14:anchorId="35251742" wp14:editId="6AFA03D5">
                <wp:simplePos x="0" y="0"/>
                <wp:positionH relativeFrom="page">
                  <wp:posOffset>4120515</wp:posOffset>
                </wp:positionH>
                <wp:positionV relativeFrom="paragraph">
                  <wp:posOffset>86995</wp:posOffset>
                </wp:positionV>
                <wp:extent cx="201930" cy="78105"/>
                <wp:effectExtent l="5715" t="1905" r="1905" b="0"/>
                <wp:wrapNone/>
                <wp:docPr id="7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78105"/>
                          <a:chOff x="6489" y="137"/>
                          <a:chExt cx="318" cy="123"/>
                        </a:xfrm>
                      </wpg:grpSpPr>
                      <wps:wsp>
                        <wps:cNvPr id="775" name="Line 41"/>
                        <wps:cNvCnPr>
                          <a:cxnSpLocks noChangeShapeType="1"/>
                        </wps:cNvCnPr>
                        <wps:spPr bwMode="auto">
                          <a:xfrm>
                            <a:off x="6489" y="198"/>
                            <a:ext cx="226"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6"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85" y="137"/>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3E7F9E" id="Group 40" o:spid="_x0000_s1026" style="position:absolute;margin-left:324.45pt;margin-top:6.85pt;width:15.9pt;height:6.15pt;z-index:251680768;mso-position-horizontal-relative:page" coordorigin="6489,137" coordsize="318,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">
                <v:line id="Line 41" o:spid="_x0000_s1027" style="position:absolute;visibility:visible;mso-wrap-style:square" from="6489,198" to="67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" strokeweight=".24683mm"/>
                <v:shape id="Picture 42" o:spid="_x0000_s1028" type="#_x0000_t75" style="position:absolute;left:6685;top:137;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">
                  <v:imagedata r:id="rId53" o:title=""/>
                </v:shape>
                <w10:wrap anchorx="page"/>
              </v:group>
            </w:pict>
          </mc:Fallback>
        </mc:AlternateContent>
      </w:r>
      <w:r>
        <w:rPr>
          <w:noProof/>
        </w:rPr>
        <mc:AlternateContent>
          <mc:Choice Requires="wps">
            <w:drawing>
              <wp:anchor distT="0" distB="0" distL="114300" distR="114300" simplePos="0" relativeHeight="251681792" behindDoc="0" locked="0" layoutInCell="1" allowOverlap="1" wp14:anchorId="1471FFD0" wp14:editId="746F84BC">
                <wp:simplePos x="0" y="0"/>
                <wp:positionH relativeFrom="page">
                  <wp:posOffset>3782060</wp:posOffset>
                </wp:positionH>
                <wp:positionV relativeFrom="paragraph">
                  <wp:posOffset>125730</wp:posOffset>
                </wp:positionV>
                <wp:extent cx="201295" cy="0"/>
                <wp:effectExtent l="10160" t="12065" r="7620" b="6985"/>
                <wp:wrapNone/>
                <wp:docPr id="77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B4981" id="Line 4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8pt,9.9pt" to="313.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E9FAIAACo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" strokeweight=".24683mm">
                <w10:wrap anchorx="page"/>
              </v:line>
            </w:pict>
          </mc:Fallback>
        </mc:AlternateContent>
      </w:r>
      <w:r>
        <w:rPr>
          <w:noProof/>
        </w:rPr>
        <mc:AlternateContent>
          <mc:Choice Requires="wps">
            <w:drawing>
              <wp:anchor distT="0" distB="0" distL="114300" distR="114300" simplePos="0" relativeHeight="251682816" behindDoc="0" locked="0" layoutInCell="1" allowOverlap="1" wp14:anchorId="754406A5" wp14:editId="4DBFECF0">
                <wp:simplePos x="0" y="0"/>
                <wp:positionH relativeFrom="page">
                  <wp:posOffset>4322445</wp:posOffset>
                </wp:positionH>
                <wp:positionV relativeFrom="paragraph">
                  <wp:posOffset>-252095</wp:posOffset>
                </wp:positionV>
                <wp:extent cx="2064385" cy="756285"/>
                <wp:effectExtent l="7620" t="5715" r="13970" b="9525"/>
                <wp:wrapNone/>
                <wp:docPr id="7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56285"/>
                        </a:xfrm>
                        <a:prstGeom prst="rect">
                          <a:avLst/>
                        </a:prstGeom>
                        <a:noFill/>
                        <a:ln w="284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C99412" w14:textId="77777777" w:rsidR="00335490" w:rsidRDefault="00335490" w:rsidP="00675AC5">
                            <w:pPr>
                              <w:pStyle w:val="Pamatteksts"/>
                              <w:spacing w:before="11"/>
                            </w:pPr>
                          </w:p>
                          <w:p w14:paraId="214226F2" w14:textId="77777777" w:rsidR="00335490" w:rsidRDefault="00335490" w:rsidP="00675AC5">
                            <w:pPr>
                              <w:ind w:left="54" w:right="32" w:hanging="8"/>
                              <w:jc w:val="center"/>
                              <w:rPr>
                                <w:sz w:val="18"/>
                              </w:rPr>
                            </w:pPr>
                            <w:r>
                              <w:rPr>
                                <w:spacing w:val="3"/>
                                <w:sz w:val="18"/>
                              </w:rPr>
                              <w:t xml:space="preserve">Vai  </w:t>
                            </w:r>
                            <w:r>
                              <w:rPr>
                                <w:sz w:val="18"/>
                              </w:rPr>
                              <w:t xml:space="preserve">aktīvs </w:t>
                            </w:r>
                            <w:r>
                              <w:rPr>
                                <w:spacing w:val="2"/>
                                <w:sz w:val="18"/>
                              </w:rPr>
                              <w:t xml:space="preserve">ir </w:t>
                            </w:r>
                            <w:r>
                              <w:rPr>
                                <w:sz w:val="18"/>
                              </w:rPr>
                              <w:t xml:space="preserve">budžeta iestādei </w:t>
                            </w:r>
                            <w:r>
                              <w:rPr>
                                <w:spacing w:val="2"/>
                                <w:sz w:val="18"/>
                              </w:rPr>
                              <w:t xml:space="preserve">jau  </w:t>
                            </w:r>
                            <w:r>
                              <w:rPr>
                                <w:sz w:val="18"/>
                              </w:rPr>
                              <w:t xml:space="preserve">piederošs aktīvs, </w:t>
                            </w:r>
                            <w:r>
                              <w:rPr>
                                <w:spacing w:val="3"/>
                                <w:sz w:val="18"/>
                              </w:rPr>
                              <w:t xml:space="preserve">kas </w:t>
                            </w:r>
                            <w:r>
                              <w:rPr>
                                <w:sz w:val="18"/>
                              </w:rPr>
                              <w:t xml:space="preserve">tiek </w:t>
                            </w:r>
                            <w:r>
                              <w:rPr>
                                <w:spacing w:val="2"/>
                                <w:sz w:val="18"/>
                              </w:rPr>
                              <w:t xml:space="preserve">nodots </w:t>
                            </w:r>
                            <w:r>
                              <w:rPr>
                                <w:sz w:val="18"/>
                              </w:rPr>
                              <w:t xml:space="preserve">privātā partnera rīcībā līguma </w:t>
                            </w:r>
                            <w:r>
                              <w:rPr>
                                <w:spacing w:val="2"/>
                                <w:sz w:val="18"/>
                              </w:rPr>
                              <w:t xml:space="preserve">mērķu </w:t>
                            </w:r>
                            <w:r>
                              <w:rPr>
                                <w:sz w:val="18"/>
                              </w:rPr>
                              <w:t>īstenošanai</w:t>
                            </w:r>
                            <w:r>
                              <w:rPr>
                                <w:spacing w:val="-28"/>
                                <w:sz w:val="18"/>
                              </w:rPr>
                              <w:t xml:space="preserve"> </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406A5" id="Text Box 44" o:spid="_x0000_s1031" type="#_x0000_t202" style="position:absolute;left:0;text-align:left;margin-left:340.35pt;margin-top:-19.85pt;width:162.55pt;height:59.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" filled="f" strokeweight=".07892mm">
                <v:textbox inset="0,0,0,0">
                  <w:txbxContent>
                    <w:p w14:paraId="05C99412" w14:textId="77777777" w:rsidR="00335490" w:rsidRDefault="00335490" w:rsidP="00675AC5">
                      <w:pPr>
                        <w:pStyle w:val="Pamatteksts"/>
                        <w:spacing w:before="11"/>
                      </w:pPr>
                    </w:p>
                    <w:p w14:paraId="214226F2" w14:textId="77777777" w:rsidR="00335490" w:rsidRDefault="00335490" w:rsidP="00675AC5">
                      <w:pPr>
                        <w:ind w:left="54" w:right="32" w:hanging="8"/>
                        <w:jc w:val="center"/>
                        <w:rPr>
                          <w:sz w:val="18"/>
                        </w:rPr>
                      </w:pPr>
                      <w:r>
                        <w:rPr>
                          <w:spacing w:val="3"/>
                          <w:sz w:val="18"/>
                        </w:rPr>
                        <w:t xml:space="preserve">Vai  </w:t>
                      </w:r>
                      <w:r>
                        <w:rPr>
                          <w:sz w:val="18"/>
                        </w:rPr>
                        <w:t xml:space="preserve">aktīvs </w:t>
                      </w:r>
                      <w:r>
                        <w:rPr>
                          <w:spacing w:val="2"/>
                          <w:sz w:val="18"/>
                        </w:rPr>
                        <w:t xml:space="preserve">ir </w:t>
                      </w:r>
                      <w:r>
                        <w:rPr>
                          <w:sz w:val="18"/>
                        </w:rPr>
                        <w:t xml:space="preserve">budžeta iestādei </w:t>
                      </w:r>
                      <w:r>
                        <w:rPr>
                          <w:spacing w:val="2"/>
                          <w:sz w:val="18"/>
                        </w:rPr>
                        <w:t xml:space="preserve">jau  </w:t>
                      </w:r>
                      <w:r>
                        <w:rPr>
                          <w:sz w:val="18"/>
                        </w:rPr>
                        <w:t xml:space="preserve">piederošs aktīvs, </w:t>
                      </w:r>
                      <w:r>
                        <w:rPr>
                          <w:spacing w:val="3"/>
                          <w:sz w:val="18"/>
                        </w:rPr>
                        <w:t xml:space="preserve">kas </w:t>
                      </w:r>
                      <w:r>
                        <w:rPr>
                          <w:sz w:val="18"/>
                        </w:rPr>
                        <w:t xml:space="preserve">tiek </w:t>
                      </w:r>
                      <w:r>
                        <w:rPr>
                          <w:spacing w:val="2"/>
                          <w:sz w:val="18"/>
                        </w:rPr>
                        <w:t xml:space="preserve">nodots </w:t>
                      </w:r>
                      <w:r>
                        <w:rPr>
                          <w:sz w:val="18"/>
                        </w:rPr>
                        <w:t xml:space="preserve">privātā partnera rīcībā līguma </w:t>
                      </w:r>
                      <w:r>
                        <w:rPr>
                          <w:spacing w:val="2"/>
                          <w:sz w:val="18"/>
                        </w:rPr>
                        <w:t xml:space="preserve">mērķu </w:t>
                      </w:r>
                      <w:r>
                        <w:rPr>
                          <w:sz w:val="18"/>
                        </w:rPr>
                        <w:t>īstenošanai</w:t>
                      </w:r>
                      <w:r>
                        <w:rPr>
                          <w:spacing w:val="-28"/>
                          <w:sz w:val="18"/>
                        </w:rPr>
                        <w:t xml:space="preserve"> </w:t>
                      </w:r>
                      <w:r>
                        <w:rPr>
                          <w:sz w:val="18"/>
                        </w:rPr>
                        <w:t>?</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56F19CE9" wp14:editId="0E1D7BCD">
                <wp:simplePos x="0" y="0"/>
                <wp:positionH relativeFrom="page">
                  <wp:posOffset>1717675</wp:posOffset>
                </wp:positionH>
                <wp:positionV relativeFrom="paragraph">
                  <wp:posOffset>-516255</wp:posOffset>
                </wp:positionV>
                <wp:extent cx="2064385" cy="1285240"/>
                <wp:effectExtent l="12700" t="8255" r="8890" b="11430"/>
                <wp:wrapNone/>
                <wp:docPr id="7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285240"/>
                        </a:xfrm>
                        <a:prstGeom prst="rect">
                          <a:avLst/>
                        </a:prstGeom>
                        <a:noFill/>
                        <a:ln w="283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18880" w14:textId="77777777" w:rsidR="00335490" w:rsidRDefault="00335490" w:rsidP="00675AC5">
                            <w:pPr>
                              <w:pStyle w:val="Pamatteksts"/>
                              <w:rPr>
                                <w:sz w:val="20"/>
                              </w:rPr>
                            </w:pPr>
                          </w:p>
                          <w:p w14:paraId="775E555D" w14:textId="77777777" w:rsidR="00335490" w:rsidRDefault="00335490" w:rsidP="00675AC5">
                            <w:pPr>
                              <w:pStyle w:val="Pamatteksts"/>
                              <w:spacing w:before="7"/>
                              <w:rPr>
                                <w:sz w:val="19"/>
                              </w:rPr>
                            </w:pPr>
                          </w:p>
                          <w:p w14:paraId="78FDD0D6" w14:textId="77777777" w:rsidR="00335490" w:rsidRDefault="00335490" w:rsidP="00675AC5">
                            <w:pPr>
                              <w:spacing w:before="1"/>
                              <w:ind w:left="75" w:right="68"/>
                              <w:jc w:val="center"/>
                              <w:rPr>
                                <w:sz w:val="18"/>
                              </w:rPr>
                            </w:pPr>
                            <w:r>
                              <w:rPr>
                                <w:spacing w:val="3"/>
                                <w:sz w:val="18"/>
                              </w:rPr>
                              <w:t xml:space="preserve">Vai </w:t>
                            </w:r>
                            <w:r>
                              <w:rPr>
                                <w:sz w:val="18"/>
                              </w:rPr>
                              <w:t xml:space="preserve">aktīvu privātais partneris </w:t>
                            </w:r>
                            <w:r>
                              <w:rPr>
                                <w:spacing w:val="2"/>
                                <w:sz w:val="18"/>
                              </w:rPr>
                              <w:t xml:space="preserve">ir uzbūvējis, </w:t>
                            </w:r>
                            <w:r>
                              <w:rPr>
                                <w:sz w:val="18"/>
                              </w:rPr>
                              <w:t xml:space="preserve">izstrādājis </w:t>
                            </w:r>
                            <w:r>
                              <w:rPr>
                                <w:spacing w:val="3"/>
                                <w:sz w:val="18"/>
                              </w:rPr>
                              <w:t xml:space="preserve">vai </w:t>
                            </w:r>
                            <w:r>
                              <w:rPr>
                                <w:sz w:val="18"/>
                              </w:rPr>
                              <w:t xml:space="preserve">iegādājies līguma mērķu īstenošanai, </w:t>
                            </w:r>
                            <w:r>
                              <w:rPr>
                                <w:spacing w:val="3"/>
                                <w:sz w:val="18"/>
                              </w:rPr>
                              <w:t xml:space="preserve">vai </w:t>
                            </w:r>
                            <w:r>
                              <w:rPr>
                                <w:sz w:val="18"/>
                              </w:rPr>
                              <w:t xml:space="preserve">arī </w:t>
                            </w:r>
                            <w:r>
                              <w:rPr>
                                <w:spacing w:val="2"/>
                                <w:sz w:val="18"/>
                              </w:rPr>
                              <w:t xml:space="preserve">tas ir </w:t>
                            </w:r>
                            <w:r>
                              <w:rPr>
                                <w:sz w:val="18"/>
                              </w:rPr>
                              <w:t xml:space="preserve">privātajam partnerim </w:t>
                            </w:r>
                            <w:r>
                              <w:rPr>
                                <w:spacing w:val="2"/>
                                <w:sz w:val="18"/>
                              </w:rPr>
                              <w:t xml:space="preserve">jau </w:t>
                            </w:r>
                            <w:r>
                              <w:rPr>
                                <w:sz w:val="18"/>
                              </w:rPr>
                              <w:t xml:space="preserve">piederošs </w:t>
                            </w:r>
                            <w:r>
                              <w:rPr>
                                <w:spacing w:val="3"/>
                                <w:sz w:val="18"/>
                              </w:rPr>
                              <w:t xml:space="preserve">aktīvs, </w:t>
                            </w:r>
                            <w:r>
                              <w:rPr>
                                <w:spacing w:val="2"/>
                                <w:sz w:val="18"/>
                              </w:rPr>
                              <w:t xml:space="preserve">kas </w:t>
                            </w:r>
                            <w:r>
                              <w:rPr>
                                <w:sz w:val="18"/>
                              </w:rPr>
                              <w:t xml:space="preserve">kļūst </w:t>
                            </w:r>
                            <w:r>
                              <w:rPr>
                                <w:spacing w:val="3"/>
                                <w:sz w:val="18"/>
                              </w:rPr>
                              <w:t xml:space="preserve">par </w:t>
                            </w:r>
                            <w:r>
                              <w:rPr>
                                <w:sz w:val="18"/>
                              </w:rPr>
                              <w:t>partnerības līguma</w:t>
                            </w:r>
                            <w:r>
                              <w:rPr>
                                <w:spacing w:val="21"/>
                                <w:sz w:val="18"/>
                              </w:rPr>
                              <w:t xml:space="preserve"> </w:t>
                            </w:r>
                            <w:r>
                              <w:rPr>
                                <w:sz w:val="18"/>
                              </w:rPr>
                              <w:t>ietvaros?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19CE9" id="Text Box 45" o:spid="_x0000_s1032" type="#_x0000_t202" style="position:absolute;left:0;text-align:left;margin-left:135.25pt;margin-top:-40.65pt;width:162.55pt;height:10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" filled="f" strokeweight=".07883mm">
                <v:textbox inset="0,0,0,0">
                  <w:txbxContent>
                    <w:p w14:paraId="0F818880" w14:textId="77777777" w:rsidR="00335490" w:rsidRDefault="00335490" w:rsidP="00675AC5">
                      <w:pPr>
                        <w:pStyle w:val="Pamatteksts"/>
                        <w:rPr>
                          <w:sz w:val="20"/>
                        </w:rPr>
                      </w:pPr>
                    </w:p>
                    <w:p w14:paraId="775E555D" w14:textId="77777777" w:rsidR="00335490" w:rsidRDefault="00335490" w:rsidP="00675AC5">
                      <w:pPr>
                        <w:pStyle w:val="Pamatteksts"/>
                        <w:spacing w:before="7"/>
                        <w:rPr>
                          <w:sz w:val="19"/>
                        </w:rPr>
                      </w:pPr>
                    </w:p>
                    <w:p w14:paraId="78FDD0D6" w14:textId="77777777" w:rsidR="00335490" w:rsidRDefault="00335490" w:rsidP="00675AC5">
                      <w:pPr>
                        <w:spacing w:before="1"/>
                        <w:ind w:left="75" w:right="68"/>
                        <w:jc w:val="center"/>
                        <w:rPr>
                          <w:sz w:val="18"/>
                        </w:rPr>
                      </w:pPr>
                      <w:r>
                        <w:rPr>
                          <w:spacing w:val="3"/>
                          <w:sz w:val="18"/>
                        </w:rPr>
                        <w:t xml:space="preserve">Vai </w:t>
                      </w:r>
                      <w:r>
                        <w:rPr>
                          <w:sz w:val="18"/>
                        </w:rPr>
                        <w:t xml:space="preserve">aktīvu privātais partneris </w:t>
                      </w:r>
                      <w:r>
                        <w:rPr>
                          <w:spacing w:val="2"/>
                          <w:sz w:val="18"/>
                        </w:rPr>
                        <w:t xml:space="preserve">ir uzbūvējis, </w:t>
                      </w:r>
                      <w:r>
                        <w:rPr>
                          <w:sz w:val="18"/>
                        </w:rPr>
                        <w:t xml:space="preserve">izstrādājis </w:t>
                      </w:r>
                      <w:r>
                        <w:rPr>
                          <w:spacing w:val="3"/>
                          <w:sz w:val="18"/>
                        </w:rPr>
                        <w:t xml:space="preserve">vai </w:t>
                      </w:r>
                      <w:r>
                        <w:rPr>
                          <w:sz w:val="18"/>
                        </w:rPr>
                        <w:t xml:space="preserve">iegādājies līguma mērķu īstenošanai, </w:t>
                      </w:r>
                      <w:r>
                        <w:rPr>
                          <w:spacing w:val="3"/>
                          <w:sz w:val="18"/>
                        </w:rPr>
                        <w:t xml:space="preserve">vai </w:t>
                      </w:r>
                      <w:r>
                        <w:rPr>
                          <w:sz w:val="18"/>
                        </w:rPr>
                        <w:t xml:space="preserve">arī </w:t>
                      </w:r>
                      <w:r>
                        <w:rPr>
                          <w:spacing w:val="2"/>
                          <w:sz w:val="18"/>
                        </w:rPr>
                        <w:t xml:space="preserve">tas ir </w:t>
                      </w:r>
                      <w:r>
                        <w:rPr>
                          <w:sz w:val="18"/>
                        </w:rPr>
                        <w:t xml:space="preserve">privātajam partnerim </w:t>
                      </w:r>
                      <w:r>
                        <w:rPr>
                          <w:spacing w:val="2"/>
                          <w:sz w:val="18"/>
                        </w:rPr>
                        <w:t xml:space="preserve">jau </w:t>
                      </w:r>
                      <w:r>
                        <w:rPr>
                          <w:sz w:val="18"/>
                        </w:rPr>
                        <w:t xml:space="preserve">piederošs </w:t>
                      </w:r>
                      <w:r>
                        <w:rPr>
                          <w:spacing w:val="3"/>
                          <w:sz w:val="18"/>
                        </w:rPr>
                        <w:t xml:space="preserve">aktīvs, </w:t>
                      </w:r>
                      <w:r>
                        <w:rPr>
                          <w:spacing w:val="2"/>
                          <w:sz w:val="18"/>
                        </w:rPr>
                        <w:t xml:space="preserve">kas </w:t>
                      </w:r>
                      <w:r>
                        <w:rPr>
                          <w:sz w:val="18"/>
                        </w:rPr>
                        <w:t xml:space="preserve">kļūst </w:t>
                      </w:r>
                      <w:r>
                        <w:rPr>
                          <w:spacing w:val="3"/>
                          <w:sz w:val="18"/>
                        </w:rPr>
                        <w:t xml:space="preserve">par </w:t>
                      </w:r>
                      <w:r>
                        <w:rPr>
                          <w:sz w:val="18"/>
                        </w:rPr>
                        <w:t>partnerības līguma</w:t>
                      </w:r>
                      <w:r>
                        <w:rPr>
                          <w:spacing w:val="21"/>
                          <w:sz w:val="18"/>
                        </w:rPr>
                        <w:t xml:space="preserve"> </w:t>
                      </w:r>
                      <w:r>
                        <w:rPr>
                          <w:sz w:val="18"/>
                        </w:rPr>
                        <w:t>ietvaros?</w:t>
                      </w:r>
                    </w:p>
                  </w:txbxContent>
                </v:textbox>
                <w10:wrap anchorx="page"/>
              </v:shape>
            </w:pict>
          </mc:Fallback>
        </mc:AlternateContent>
      </w:r>
      <w:r w:rsidR="00675AC5">
        <w:rPr>
          <w:color w:val="585858"/>
          <w:sz w:val="18"/>
        </w:rPr>
        <w:t>Nē</w:t>
      </w:r>
    </w:p>
    <w:p w14:paraId="3AEA31D4" w14:textId="77777777" w:rsidR="00675AC5" w:rsidRDefault="00675AC5" w:rsidP="00CD363C">
      <w:pPr>
        <w:pStyle w:val="Pamatteksts"/>
        <w:ind w:right="-66"/>
        <w:jc w:val="both"/>
        <w:rPr>
          <w:sz w:val="20"/>
        </w:rPr>
      </w:pPr>
    </w:p>
    <w:p w14:paraId="45865EBE" w14:textId="77777777" w:rsidR="00675AC5" w:rsidRDefault="00675AC5" w:rsidP="00CD363C">
      <w:pPr>
        <w:pStyle w:val="Pamatteksts"/>
        <w:ind w:right="-66"/>
        <w:jc w:val="both"/>
        <w:rPr>
          <w:sz w:val="20"/>
        </w:rPr>
      </w:pPr>
    </w:p>
    <w:p w14:paraId="4EED78DD" w14:textId="77777777" w:rsidR="00675AC5" w:rsidRDefault="00675AC5" w:rsidP="00CD363C">
      <w:pPr>
        <w:pStyle w:val="Pamatteksts"/>
        <w:ind w:right="-66"/>
        <w:jc w:val="both"/>
        <w:rPr>
          <w:sz w:val="20"/>
        </w:rPr>
      </w:pPr>
    </w:p>
    <w:p w14:paraId="074287F6" w14:textId="77777777" w:rsidR="00675AC5" w:rsidRDefault="00675AC5" w:rsidP="00CD363C">
      <w:pPr>
        <w:pStyle w:val="Pamatteksts"/>
        <w:ind w:right="-66"/>
        <w:jc w:val="both"/>
        <w:rPr>
          <w:sz w:val="15"/>
        </w:rPr>
      </w:pPr>
    </w:p>
    <w:p w14:paraId="1E669B65" w14:textId="77777777" w:rsidR="00675AC5" w:rsidRDefault="00870ECE" w:rsidP="00CD363C">
      <w:pPr>
        <w:spacing w:after="0" w:line="240" w:lineRule="auto"/>
        <w:ind w:right="-66"/>
        <w:jc w:val="both"/>
        <w:rPr>
          <w:sz w:val="18"/>
        </w:rPr>
      </w:pPr>
      <w:r>
        <w:rPr>
          <w:noProof/>
        </w:rPr>
        <mc:AlternateContent>
          <mc:Choice Requires="wps">
            <w:drawing>
              <wp:anchor distT="0" distB="0" distL="114300" distR="114300" simplePos="0" relativeHeight="251678720" behindDoc="0" locked="0" layoutInCell="1" allowOverlap="1" wp14:anchorId="1C232331" wp14:editId="0B09DFBA">
                <wp:simplePos x="0" y="0"/>
                <wp:positionH relativeFrom="page">
                  <wp:posOffset>5353685</wp:posOffset>
                </wp:positionH>
                <wp:positionV relativeFrom="paragraph">
                  <wp:posOffset>-246380</wp:posOffset>
                </wp:positionV>
                <wp:extent cx="0" cy="300355"/>
                <wp:effectExtent l="10160" t="13335" r="8890" b="10160"/>
                <wp:wrapNone/>
                <wp:docPr id="77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104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E5CCA" id="Line 36"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55pt,-19.4pt" to="421.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" strokeweight=".29083mm">
                <w10:wrap anchorx="page"/>
              </v:line>
            </w:pict>
          </mc:Fallback>
        </mc:AlternateContent>
      </w:r>
      <w:r>
        <w:rPr>
          <w:noProof/>
        </w:rPr>
        <mc:AlternateContent>
          <mc:Choice Requires="wpg">
            <w:drawing>
              <wp:anchor distT="0" distB="0" distL="114300" distR="114300" simplePos="0" relativeHeight="251687936" behindDoc="1" locked="0" layoutInCell="1" allowOverlap="1" wp14:anchorId="14D89CA5" wp14:editId="54FE10A6">
                <wp:simplePos x="0" y="0"/>
                <wp:positionH relativeFrom="page">
                  <wp:posOffset>2693670</wp:posOffset>
                </wp:positionH>
                <wp:positionV relativeFrom="paragraph">
                  <wp:posOffset>17780</wp:posOffset>
                </wp:positionV>
                <wp:extent cx="98425" cy="474980"/>
                <wp:effectExtent l="0" t="1270" r="0" b="0"/>
                <wp:wrapNone/>
                <wp:docPr id="7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474980"/>
                          <a:chOff x="4242" y="28"/>
                          <a:chExt cx="155" cy="748"/>
                        </a:xfrm>
                      </wpg:grpSpPr>
                      <wps:wsp>
                        <wps:cNvPr id="767" name="Line 50"/>
                        <wps:cNvCnPr>
                          <a:cxnSpLocks noChangeShapeType="1"/>
                        </wps:cNvCnPr>
                        <wps:spPr bwMode="auto">
                          <a:xfrm>
                            <a:off x="4330" y="35"/>
                            <a:ext cx="0" cy="649"/>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8"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50" y="651"/>
                            <a:ext cx="122" cy="125"/>
                          </a:xfrm>
                          <a:prstGeom prst="rect">
                            <a:avLst/>
                          </a:prstGeom>
                          <a:noFill/>
                          <a:extLst>
                            <a:ext uri="{909E8E84-426E-40DD-AFC4-6F175D3DCCD1}">
                              <a14:hiddenFill xmlns:a14="http://schemas.microsoft.com/office/drawing/2010/main">
                                <a:solidFill>
                                  <a:srgbClr val="FFFFFF"/>
                                </a:solidFill>
                              </a14:hiddenFill>
                            </a:ext>
                          </a:extLst>
                        </pic:spPr>
                      </pic:pic>
                      <wps:wsp>
                        <wps:cNvPr id="769" name="Rectangle 52"/>
                        <wps:cNvSpPr>
                          <a:spLocks noChangeArrowheads="1"/>
                        </wps:cNvSpPr>
                        <wps:spPr bwMode="auto">
                          <a:xfrm>
                            <a:off x="4241" y="293"/>
                            <a:ext cx="15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EE95D" id="Group 49" o:spid="_x0000_s1026" style="position:absolute;margin-left:212.1pt;margin-top:1.4pt;width:7.75pt;height:37.4pt;z-index:-251628544;mso-position-horizontal-relative:page" coordorigin="4242,28" coordsize="15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">
                <v:line id="Line 50" o:spid="_x0000_s1027" style="position:absolute;visibility:visible;mso-wrap-style:square" from="4330,35" to="433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" strokeweight=".24508mm"/>
                <v:shape id="Picture 51" o:spid="_x0000_s1028" type="#_x0000_t75" style="position:absolute;left:4250;top:651;width:12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">
                  <v:imagedata r:id="rId55" o:title=""/>
                </v:shape>
                <v:rect id="Rectangle 52" o:spid="_x0000_s1029" style="position:absolute;left:4241;top:293;width:15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" stroked="f"/>
                <w10:wrap anchorx="page"/>
              </v:group>
            </w:pict>
          </mc:Fallback>
        </mc:AlternateContent>
      </w:r>
      <w:r w:rsidR="00675AC5">
        <w:rPr>
          <w:color w:val="585858"/>
          <w:sz w:val="18"/>
        </w:rPr>
        <w:t>Jā</w:t>
      </w:r>
    </w:p>
    <w:p w14:paraId="61643FEA" w14:textId="77777777" w:rsidR="00675AC5" w:rsidRDefault="00870ECE" w:rsidP="00CD363C">
      <w:pPr>
        <w:spacing w:after="0" w:line="240" w:lineRule="auto"/>
        <w:ind w:left="3044" w:right="-66"/>
        <w:jc w:val="both"/>
        <w:rPr>
          <w:sz w:val="18"/>
        </w:rPr>
      </w:pPr>
      <w:r>
        <w:rPr>
          <w:noProof/>
        </w:rPr>
        <mc:AlternateContent>
          <mc:Choice Requires="wpg">
            <w:drawing>
              <wp:anchor distT="0" distB="0" distL="114300" distR="114300" simplePos="0" relativeHeight="251679744" behindDoc="0" locked="0" layoutInCell="1" allowOverlap="1" wp14:anchorId="31D19EAD" wp14:editId="51C11BAD">
                <wp:simplePos x="0" y="0"/>
                <wp:positionH relativeFrom="page">
                  <wp:posOffset>5314315</wp:posOffset>
                </wp:positionH>
                <wp:positionV relativeFrom="paragraph">
                  <wp:posOffset>5715</wp:posOffset>
                </wp:positionV>
                <wp:extent cx="77470" cy="296545"/>
                <wp:effectExtent l="0" t="13970" r="0" b="3810"/>
                <wp:wrapNone/>
                <wp:docPr id="76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96545"/>
                          <a:chOff x="8369" y="9"/>
                          <a:chExt cx="122" cy="467"/>
                        </a:xfrm>
                      </wpg:grpSpPr>
                      <wps:wsp>
                        <wps:cNvPr id="764" name="Line 38"/>
                        <wps:cNvCnPr>
                          <a:cxnSpLocks noChangeShapeType="1"/>
                        </wps:cNvCnPr>
                        <wps:spPr bwMode="auto">
                          <a:xfrm>
                            <a:off x="8431" y="9"/>
                            <a:ext cx="0" cy="381"/>
                          </a:xfrm>
                          <a:prstGeom prst="line">
                            <a:avLst/>
                          </a:prstGeom>
                          <a:noFill/>
                          <a:ln w="104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69" y="353"/>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8B68CA" id="Group 37" o:spid="_x0000_s1026" style="position:absolute;margin-left:418.45pt;margin-top:.45pt;width:6.1pt;height:23.35pt;z-index:251679744;mso-position-horizontal-relative:page" coordorigin="8369,9" coordsize="12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">
                <v:line id="Line 38" o:spid="_x0000_s1027" style="position:absolute;visibility:visible;mso-wrap-style:square" from="8431,9" to="843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" strokeweight=".29083mm"/>
                <v:shape id="Picture 39" o:spid="_x0000_s1028" type="#_x0000_t75" style="position:absolute;left:8369;top:353;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">
                  <v:imagedata r:id="rId57" o:title=""/>
                </v:shape>
                <w10:wrap anchorx="page"/>
              </v:group>
            </w:pict>
          </mc:Fallback>
        </mc:AlternateContent>
      </w:r>
      <w:r w:rsidR="00675AC5">
        <w:rPr>
          <w:color w:val="585858"/>
          <w:sz w:val="18"/>
        </w:rPr>
        <w:t>Jā</w:t>
      </w:r>
    </w:p>
    <w:p w14:paraId="5DF4E61F" w14:textId="77777777" w:rsidR="00675AC5" w:rsidRDefault="00870ECE" w:rsidP="00CD363C">
      <w:pPr>
        <w:pStyle w:val="Pamatteksts"/>
        <w:ind w:right="-66"/>
        <w:jc w:val="both"/>
        <w:rPr>
          <w:sz w:val="19"/>
        </w:rPr>
      </w:pPr>
      <w:r>
        <w:rPr>
          <w:noProof/>
        </w:rPr>
        <mc:AlternateContent>
          <mc:Choice Requires="wps">
            <w:drawing>
              <wp:anchor distT="0" distB="0" distL="0" distR="0" simplePos="0" relativeHeight="251672576" behindDoc="0" locked="0" layoutInCell="1" allowOverlap="1" wp14:anchorId="784FAAF7" wp14:editId="235EADE2">
                <wp:simplePos x="0" y="0"/>
                <wp:positionH relativeFrom="page">
                  <wp:posOffset>1717675</wp:posOffset>
                </wp:positionH>
                <wp:positionV relativeFrom="paragraph">
                  <wp:posOffset>169545</wp:posOffset>
                </wp:positionV>
                <wp:extent cx="4669155" cy="2485390"/>
                <wp:effectExtent l="12700" t="12700" r="13970" b="6985"/>
                <wp:wrapTopAndBottom/>
                <wp:docPr id="7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485390"/>
                        </a:xfrm>
                        <a:prstGeom prst="rect">
                          <a:avLst/>
                        </a:prstGeom>
                        <a:noFill/>
                        <a:ln w="283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178AF" w14:textId="77777777" w:rsidR="00335490" w:rsidRDefault="00335490" w:rsidP="00675AC5">
                            <w:pPr>
                              <w:pStyle w:val="Pamatteksts"/>
                              <w:rPr>
                                <w:sz w:val="20"/>
                              </w:rPr>
                            </w:pPr>
                          </w:p>
                          <w:p w14:paraId="029FA1E7" w14:textId="77777777" w:rsidR="00335490" w:rsidRDefault="00335490" w:rsidP="00675AC5">
                            <w:pPr>
                              <w:pStyle w:val="Pamatteksts"/>
                              <w:rPr>
                                <w:sz w:val="20"/>
                              </w:rPr>
                            </w:pPr>
                          </w:p>
                          <w:p w14:paraId="4112C39B" w14:textId="77777777" w:rsidR="00335490" w:rsidRDefault="00335490" w:rsidP="00675AC5">
                            <w:pPr>
                              <w:pStyle w:val="Pamatteksts"/>
                              <w:rPr>
                                <w:sz w:val="20"/>
                              </w:rPr>
                            </w:pPr>
                          </w:p>
                          <w:p w14:paraId="07E6DCFE" w14:textId="77777777" w:rsidR="00335490" w:rsidRDefault="00335490" w:rsidP="00675AC5">
                            <w:pPr>
                              <w:pStyle w:val="Pamatteksts"/>
                              <w:spacing w:before="8"/>
                              <w:rPr>
                                <w:sz w:val="24"/>
                              </w:rPr>
                            </w:pPr>
                          </w:p>
                          <w:p w14:paraId="3EB8B1EC" w14:textId="77777777" w:rsidR="00335490" w:rsidRDefault="00335490" w:rsidP="00675AC5">
                            <w:pPr>
                              <w:ind w:left="467" w:right="458"/>
                              <w:jc w:val="center"/>
                              <w:rPr>
                                <w:b/>
                                <w:sz w:val="18"/>
                              </w:rPr>
                            </w:pPr>
                            <w:r>
                              <w:rPr>
                                <w:b/>
                                <w:sz w:val="18"/>
                              </w:rPr>
                              <w:t>Aktīvs ir partnerības aktīvs</w:t>
                            </w:r>
                          </w:p>
                          <w:p w14:paraId="4E8E86AC" w14:textId="77777777" w:rsidR="00335490" w:rsidRDefault="00335490" w:rsidP="00A814F9">
                            <w:pPr>
                              <w:widowControl w:val="0"/>
                              <w:numPr>
                                <w:ilvl w:val="0"/>
                                <w:numId w:val="12"/>
                              </w:numPr>
                              <w:tabs>
                                <w:tab w:val="left" w:pos="430"/>
                                <w:tab w:val="left" w:pos="431"/>
                              </w:tabs>
                              <w:autoSpaceDE w:val="0"/>
                              <w:autoSpaceDN w:val="0"/>
                              <w:spacing w:before="92" w:after="0" w:line="240" w:lineRule="auto"/>
                              <w:ind w:hanging="334"/>
                              <w:rPr>
                                <w:sz w:val="18"/>
                              </w:rPr>
                            </w:pPr>
                            <w:r>
                              <w:rPr>
                                <w:sz w:val="18"/>
                              </w:rPr>
                              <w:t xml:space="preserve">Budžeta iestāde </w:t>
                            </w:r>
                            <w:r>
                              <w:rPr>
                                <w:spacing w:val="2"/>
                                <w:sz w:val="18"/>
                              </w:rPr>
                              <w:t xml:space="preserve">atzīst </w:t>
                            </w:r>
                            <w:r>
                              <w:rPr>
                                <w:sz w:val="18"/>
                              </w:rPr>
                              <w:t xml:space="preserve">partnerības aktīvu </w:t>
                            </w:r>
                            <w:r>
                              <w:rPr>
                                <w:spacing w:val="3"/>
                                <w:sz w:val="18"/>
                              </w:rPr>
                              <w:t xml:space="preserve">vai </w:t>
                            </w:r>
                            <w:r>
                              <w:rPr>
                                <w:sz w:val="18"/>
                              </w:rPr>
                              <w:t xml:space="preserve">pārklasificē sev </w:t>
                            </w:r>
                            <w:r>
                              <w:rPr>
                                <w:spacing w:val="2"/>
                                <w:sz w:val="18"/>
                              </w:rPr>
                              <w:t xml:space="preserve">jau </w:t>
                            </w:r>
                            <w:r>
                              <w:rPr>
                                <w:sz w:val="18"/>
                              </w:rPr>
                              <w:t>piederošu pamatlīdzekli</w:t>
                            </w:r>
                            <w:r>
                              <w:rPr>
                                <w:spacing w:val="2"/>
                                <w:sz w:val="18"/>
                              </w:rPr>
                              <w:t xml:space="preserve"> </w:t>
                            </w:r>
                            <w:r>
                              <w:rPr>
                                <w:spacing w:val="3"/>
                                <w:sz w:val="18"/>
                              </w:rPr>
                              <w:t>kā</w:t>
                            </w:r>
                          </w:p>
                          <w:p w14:paraId="4CD14974" w14:textId="77777777" w:rsidR="00335490" w:rsidRDefault="00335490" w:rsidP="00675AC5">
                            <w:pPr>
                              <w:spacing w:before="18"/>
                              <w:ind w:left="804" w:right="458"/>
                              <w:jc w:val="center"/>
                              <w:rPr>
                                <w:sz w:val="18"/>
                              </w:rPr>
                            </w:pPr>
                            <w:r>
                              <w:rPr>
                                <w:sz w:val="18"/>
                              </w:rPr>
                              <w:t>partnerības  aktīvu.</w:t>
                            </w:r>
                          </w:p>
                          <w:p w14:paraId="13FBC03C" w14:textId="77777777" w:rsidR="00335490" w:rsidRDefault="00335490" w:rsidP="00A814F9">
                            <w:pPr>
                              <w:widowControl w:val="0"/>
                              <w:numPr>
                                <w:ilvl w:val="1"/>
                                <w:numId w:val="12"/>
                              </w:numPr>
                              <w:tabs>
                                <w:tab w:val="left" w:pos="334"/>
                                <w:tab w:val="left" w:pos="609"/>
                              </w:tabs>
                              <w:autoSpaceDE w:val="0"/>
                              <w:autoSpaceDN w:val="0"/>
                              <w:spacing w:before="91" w:after="0" w:line="240" w:lineRule="auto"/>
                              <w:ind w:right="12" w:hanging="334"/>
                              <w:rPr>
                                <w:sz w:val="18"/>
                              </w:rPr>
                            </w:pPr>
                            <w:r>
                              <w:rPr>
                                <w:sz w:val="18"/>
                              </w:rPr>
                              <w:t xml:space="preserve">Budžeta iestāde uzskaita partnerības aktīvu </w:t>
                            </w:r>
                            <w:r>
                              <w:rPr>
                                <w:spacing w:val="-4"/>
                                <w:sz w:val="18"/>
                              </w:rPr>
                              <w:t xml:space="preserve">kā </w:t>
                            </w:r>
                            <w:r>
                              <w:rPr>
                                <w:sz w:val="18"/>
                              </w:rPr>
                              <w:t>pamatlīdzekli saskaņā ar</w:t>
                            </w:r>
                            <w:r>
                              <w:rPr>
                                <w:spacing w:val="10"/>
                                <w:sz w:val="18"/>
                              </w:rPr>
                              <w:t xml:space="preserve"> </w:t>
                            </w:r>
                            <w:r>
                              <w:rPr>
                                <w:sz w:val="18"/>
                              </w:rPr>
                              <w:t>Rokasgrāmatas</w:t>
                            </w:r>
                          </w:p>
                          <w:p w14:paraId="3C0A7026" w14:textId="77777777" w:rsidR="00335490" w:rsidRDefault="00335490" w:rsidP="00675AC5">
                            <w:pPr>
                              <w:spacing w:before="20"/>
                              <w:ind w:left="804" w:right="458"/>
                              <w:jc w:val="center"/>
                              <w:rPr>
                                <w:sz w:val="18"/>
                              </w:rPr>
                            </w:pPr>
                            <w:r>
                              <w:rPr>
                                <w:sz w:val="18"/>
                              </w:rPr>
                              <w:t>sadaļā «Pamatlīdzekļu uzskaite» noteiktajiem uzskaites principiem .</w:t>
                            </w:r>
                          </w:p>
                          <w:p w14:paraId="777D3E0A" w14:textId="77777777" w:rsidR="00335490" w:rsidRDefault="00335490" w:rsidP="00A814F9">
                            <w:pPr>
                              <w:widowControl w:val="0"/>
                              <w:numPr>
                                <w:ilvl w:val="2"/>
                                <w:numId w:val="12"/>
                              </w:numPr>
                              <w:tabs>
                                <w:tab w:val="left" w:pos="334"/>
                                <w:tab w:val="left" w:pos="736"/>
                              </w:tabs>
                              <w:autoSpaceDE w:val="0"/>
                              <w:autoSpaceDN w:val="0"/>
                              <w:spacing w:before="91" w:after="0" w:line="240" w:lineRule="auto"/>
                              <w:rPr>
                                <w:sz w:val="18"/>
                              </w:rPr>
                            </w:pPr>
                            <w:r>
                              <w:rPr>
                                <w:sz w:val="18"/>
                              </w:rPr>
                              <w:t xml:space="preserve">Budžeta iestāde </w:t>
                            </w:r>
                            <w:r>
                              <w:rPr>
                                <w:spacing w:val="3"/>
                                <w:sz w:val="18"/>
                              </w:rPr>
                              <w:t xml:space="preserve">veic </w:t>
                            </w:r>
                            <w:r>
                              <w:rPr>
                                <w:sz w:val="18"/>
                              </w:rPr>
                              <w:t xml:space="preserve">partnerības aktīva vērtības </w:t>
                            </w:r>
                            <w:r>
                              <w:rPr>
                                <w:spacing w:val="2"/>
                                <w:sz w:val="18"/>
                              </w:rPr>
                              <w:t xml:space="preserve">samazināšanās </w:t>
                            </w:r>
                            <w:r>
                              <w:rPr>
                                <w:sz w:val="18"/>
                              </w:rPr>
                              <w:t xml:space="preserve">pārbaudi </w:t>
                            </w:r>
                            <w:r>
                              <w:rPr>
                                <w:spacing w:val="2"/>
                                <w:sz w:val="18"/>
                              </w:rPr>
                              <w:t>saskaņā</w:t>
                            </w:r>
                            <w:r>
                              <w:rPr>
                                <w:spacing w:val="1"/>
                                <w:sz w:val="18"/>
                              </w:rPr>
                              <w:t xml:space="preserve"> </w:t>
                            </w:r>
                            <w:r>
                              <w:rPr>
                                <w:sz w:val="18"/>
                              </w:rPr>
                              <w:t>ar</w:t>
                            </w:r>
                          </w:p>
                          <w:p w14:paraId="1AC1F67A" w14:textId="77777777" w:rsidR="00335490" w:rsidRDefault="00335490" w:rsidP="00675AC5">
                            <w:pPr>
                              <w:spacing w:before="18"/>
                              <w:ind w:left="805" w:right="458"/>
                              <w:jc w:val="center"/>
                              <w:rPr>
                                <w:sz w:val="18"/>
                              </w:rPr>
                            </w:pPr>
                            <w:r>
                              <w:rPr>
                                <w:sz w:val="18"/>
                              </w:rPr>
                              <w:t>Rokasgrāmatas sadaļā «Pamatlīdzekļu uzskaite» noteiktajiem uzskaites principiem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AAF7" id="Text Box 26" o:spid="_x0000_s1033" type="#_x0000_t202" style="position:absolute;left:0;text-align:left;margin-left:135.25pt;margin-top:13.35pt;width:367.65pt;height:195.7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" filled="f" strokeweight=".07886mm">
                <v:textbox inset="0,0,0,0">
                  <w:txbxContent>
                    <w:p w14:paraId="39A178AF" w14:textId="77777777" w:rsidR="00335490" w:rsidRDefault="00335490" w:rsidP="00675AC5">
                      <w:pPr>
                        <w:pStyle w:val="Pamatteksts"/>
                        <w:rPr>
                          <w:sz w:val="20"/>
                        </w:rPr>
                      </w:pPr>
                    </w:p>
                    <w:p w14:paraId="029FA1E7" w14:textId="77777777" w:rsidR="00335490" w:rsidRDefault="00335490" w:rsidP="00675AC5">
                      <w:pPr>
                        <w:pStyle w:val="Pamatteksts"/>
                        <w:rPr>
                          <w:sz w:val="20"/>
                        </w:rPr>
                      </w:pPr>
                    </w:p>
                    <w:p w14:paraId="4112C39B" w14:textId="77777777" w:rsidR="00335490" w:rsidRDefault="00335490" w:rsidP="00675AC5">
                      <w:pPr>
                        <w:pStyle w:val="Pamatteksts"/>
                        <w:rPr>
                          <w:sz w:val="20"/>
                        </w:rPr>
                      </w:pPr>
                    </w:p>
                    <w:p w14:paraId="07E6DCFE" w14:textId="77777777" w:rsidR="00335490" w:rsidRDefault="00335490" w:rsidP="00675AC5">
                      <w:pPr>
                        <w:pStyle w:val="Pamatteksts"/>
                        <w:spacing w:before="8"/>
                        <w:rPr>
                          <w:sz w:val="24"/>
                        </w:rPr>
                      </w:pPr>
                    </w:p>
                    <w:p w14:paraId="3EB8B1EC" w14:textId="77777777" w:rsidR="00335490" w:rsidRDefault="00335490" w:rsidP="00675AC5">
                      <w:pPr>
                        <w:ind w:left="467" w:right="458"/>
                        <w:jc w:val="center"/>
                        <w:rPr>
                          <w:b/>
                          <w:sz w:val="18"/>
                        </w:rPr>
                      </w:pPr>
                      <w:r>
                        <w:rPr>
                          <w:b/>
                          <w:sz w:val="18"/>
                        </w:rPr>
                        <w:t>Aktīvs ir partnerības aktīvs</w:t>
                      </w:r>
                    </w:p>
                    <w:p w14:paraId="4E8E86AC" w14:textId="77777777" w:rsidR="00335490" w:rsidRDefault="00335490" w:rsidP="00A814F9">
                      <w:pPr>
                        <w:widowControl w:val="0"/>
                        <w:numPr>
                          <w:ilvl w:val="0"/>
                          <w:numId w:val="12"/>
                        </w:numPr>
                        <w:tabs>
                          <w:tab w:val="left" w:pos="430"/>
                          <w:tab w:val="left" w:pos="431"/>
                        </w:tabs>
                        <w:autoSpaceDE w:val="0"/>
                        <w:autoSpaceDN w:val="0"/>
                        <w:spacing w:before="92" w:after="0" w:line="240" w:lineRule="auto"/>
                        <w:ind w:hanging="334"/>
                        <w:rPr>
                          <w:sz w:val="18"/>
                        </w:rPr>
                      </w:pPr>
                      <w:r>
                        <w:rPr>
                          <w:sz w:val="18"/>
                        </w:rPr>
                        <w:t xml:space="preserve">Budžeta iestāde </w:t>
                      </w:r>
                      <w:r>
                        <w:rPr>
                          <w:spacing w:val="2"/>
                          <w:sz w:val="18"/>
                        </w:rPr>
                        <w:t xml:space="preserve">atzīst </w:t>
                      </w:r>
                      <w:r>
                        <w:rPr>
                          <w:sz w:val="18"/>
                        </w:rPr>
                        <w:t xml:space="preserve">partnerības aktīvu </w:t>
                      </w:r>
                      <w:r>
                        <w:rPr>
                          <w:spacing w:val="3"/>
                          <w:sz w:val="18"/>
                        </w:rPr>
                        <w:t xml:space="preserve">vai </w:t>
                      </w:r>
                      <w:r>
                        <w:rPr>
                          <w:sz w:val="18"/>
                        </w:rPr>
                        <w:t xml:space="preserve">pārklasificē sev </w:t>
                      </w:r>
                      <w:r>
                        <w:rPr>
                          <w:spacing w:val="2"/>
                          <w:sz w:val="18"/>
                        </w:rPr>
                        <w:t xml:space="preserve">jau </w:t>
                      </w:r>
                      <w:r>
                        <w:rPr>
                          <w:sz w:val="18"/>
                        </w:rPr>
                        <w:t>piederošu pamatlīdzekli</w:t>
                      </w:r>
                      <w:r>
                        <w:rPr>
                          <w:spacing w:val="2"/>
                          <w:sz w:val="18"/>
                        </w:rPr>
                        <w:t xml:space="preserve"> </w:t>
                      </w:r>
                      <w:r>
                        <w:rPr>
                          <w:spacing w:val="3"/>
                          <w:sz w:val="18"/>
                        </w:rPr>
                        <w:t>kā</w:t>
                      </w:r>
                    </w:p>
                    <w:p w14:paraId="4CD14974" w14:textId="77777777" w:rsidR="00335490" w:rsidRDefault="00335490" w:rsidP="00675AC5">
                      <w:pPr>
                        <w:spacing w:before="18"/>
                        <w:ind w:left="804" w:right="458"/>
                        <w:jc w:val="center"/>
                        <w:rPr>
                          <w:sz w:val="18"/>
                        </w:rPr>
                      </w:pPr>
                      <w:r>
                        <w:rPr>
                          <w:sz w:val="18"/>
                        </w:rPr>
                        <w:t>partnerības  aktīvu.</w:t>
                      </w:r>
                    </w:p>
                    <w:p w14:paraId="13FBC03C" w14:textId="77777777" w:rsidR="00335490" w:rsidRDefault="00335490" w:rsidP="00A814F9">
                      <w:pPr>
                        <w:widowControl w:val="0"/>
                        <w:numPr>
                          <w:ilvl w:val="1"/>
                          <w:numId w:val="12"/>
                        </w:numPr>
                        <w:tabs>
                          <w:tab w:val="left" w:pos="334"/>
                          <w:tab w:val="left" w:pos="609"/>
                        </w:tabs>
                        <w:autoSpaceDE w:val="0"/>
                        <w:autoSpaceDN w:val="0"/>
                        <w:spacing w:before="91" w:after="0" w:line="240" w:lineRule="auto"/>
                        <w:ind w:right="12" w:hanging="334"/>
                        <w:rPr>
                          <w:sz w:val="18"/>
                        </w:rPr>
                      </w:pPr>
                      <w:r>
                        <w:rPr>
                          <w:sz w:val="18"/>
                        </w:rPr>
                        <w:t xml:space="preserve">Budžeta iestāde uzskaita partnerības aktīvu </w:t>
                      </w:r>
                      <w:r>
                        <w:rPr>
                          <w:spacing w:val="-4"/>
                          <w:sz w:val="18"/>
                        </w:rPr>
                        <w:t xml:space="preserve">kā </w:t>
                      </w:r>
                      <w:r>
                        <w:rPr>
                          <w:sz w:val="18"/>
                        </w:rPr>
                        <w:t>pamatlīdzekli saskaņā ar</w:t>
                      </w:r>
                      <w:r>
                        <w:rPr>
                          <w:spacing w:val="10"/>
                          <w:sz w:val="18"/>
                        </w:rPr>
                        <w:t xml:space="preserve"> </w:t>
                      </w:r>
                      <w:r>
                        <w:rPr>
                          <w:sz w:val="18"/>
                        </w:rPr>
                        <w:t>Rokasgrāmatas</w:t>
                      </w:r>
                    </w:p>
                    <w:p w14:paraId="3C0A7026" w14:textId="77777777" w:rsidR="00335490" w:rsidRDefault="00335490" w:rsidP="00675AC5">
                      <w:pPr>
                        <w:spacing w:before="20"/>
                        <w:ind w:left="804" w:right="458"/>
                        <w:jc w:val="center"/>
                        <w:rPr>
                          <w:sz w:val="18"/>
                        </w:rPr>
                      </w:pPr>
                      <w:r>
                        <w:rPr>
                          <w:sz w:val="18"/>
                        </w:rPr>
                        <w:t>sadaļā «Pamatlīdzekļu uzskaite» noteiktajiem uzskaites principiem .</w:t>
                      </w:r>
                    </w:p>
                    <w:p w14:paraId="777D3E0A" w14:textId="77777777" w:rsidR="00335490" w:rsidRDefault="00335490" w:rsidP="00A814F9">
                      <w:pPr>
                        <w:widowControl w:val="0"/>
                        <w:numPr>
                          <w:ilvl w:val="2"/>
                          <w:numId w:val="12"/>
                        </w:numPr>
                        <w:tabs>
                          <w:tab w:val="left" w:pos="334"/>
                          <w:tab w:val="left" w:pos="736"/>
                        </w:tabs>
                        <w:autoSpaceDE w:val="0"/>
                        <w:autoSpaceDN w:val="0"/>
                        <w:spacing w:before="91" w:after="0" w:line="240" w:lineRule="auto"/>
                        <w:rPr>
                          <w:sz w:val="18"/>
                        </w:rPr>
                      </w:pPr>
                      <w:r>
                        <w:rPr>
                          <w:sz w:val="18"/>
                        </w:rPr>
                        <w:t xml:space="preserve">Budžeta iestāde </w:t>
                      </w:r>
                      <w:r>
                        <w:rPr>
                          <w:spacing w:val="3"/>
                          <w:sz w:val="18"/>
                        </w:rPr>
                        <w:t xml:space="preserve">veic </w:t>
                      </w:r>
                      <w:r>
                        <w:rPr>
                          <w:sz w:val="18"/>
                        </w:rPr>
                        <w:t xml:space="preserve">partnerības aktīva vērtības </w:t>
                      </w:r>
                      <w:r>
                        <w:rPr>
                          <w:spacing w:val="2"/>
                          <w:sz w:val="18"/>
                        </w:rPr>
                        <w:t xml:space="preserve">samazināšanās </w:t>
                      </w:r>
                      <w:r>
                        <w:rPr>
                          <w:sz w:val="18"/>
                        </w:rPr>
                        <w:t xml:space="preserve">pārbaudi </w:t>
                      </w:r>
                      <w:r>
                        <w:rPr>
                          <w:spacing w:val="2"/>
                          <w:sz w:val="18"/>
                        </w:rPr>
                        <w:t>saskaņā</w:t>
                      </w:r>
                      <w:r>
                        <w:rPr>
                          <w:spacing w:val="1"/>
                          <w:sz w:val="18"/>
                        </w:rPr>
                        <w:t xml:space="preserve"> </w:t>
                      </w:r>
                      <w:r>
                        <w:rPr>
                          <w:sz w:val="18"/>
                        </w:rPr>
                        <w:t>ar</w:t>
                      </w:r>
                    </w:p>
                    <w:p w14:paraId="1AC1F67A" w14:textId="77777777" w:rsidR="00335490" w:rsidRDefault="00335490" w:rsidP="00675AC5">
                      <w:pPr>
                        <w:spacing w:before="18"/>
                        <w:ind w:left="805" w:right="458"/>
                        <w:jc w:val="center"/>
                        <w:rPr>
                          <w:sz w:val="18"/>
                        </w:rPr>
                      </w:pPr>
                      <w:r>
                        <w:rPr>
                          <w:sz w:val="18"/>
                        </w:rPr>
                        <w:t>Rokasgrāmatas sadaļā «Pamatlīdzekļu uzskaite» noteiktajiem uzskaites principiem .</w:t>
                      </w:r>
                    </w:p>
                  </w:txbxContent>
                </v:textbox>
                <w10:wrap type="topAndBottom" anchorx="page"/>
              </v:shape>
            </w:pict>
          </mc:Fallback>
        </mc:AlternateContent>
      </w:r>
    </w:p>
    <w:p w14:paraId="172D259B" w14:textId="77777777" w:rsidR="00675AC5" w:rsidRDefault="00675AC5" w:rsidP="00CD363C">
      <w:pPr>
        <w:pStyle w:val="Sarakstarindkopa"/>
        <w:widowControl w:val="0"/>
        <w:numPr>
          <w:ilvl w:val="2"/>
          <w:numId w:val="10"/>
        </w:numPr>
        <w:tabs>
          <w:tab w:val="left" w:pos="3143"/>
        </w:tabs>
        <w:autoSpaceDE w:val="0"/>
        <w:autoSpaceDN w:val="0"/>
        <w:spacing w:after="0" w:line="240" w:lineRule="auto"/>
        <w:ind w:right="-66" w:hanging="151"/>
        <w:contextualSpacing w:val="0"/>
        <w:jc w:val="both"/>
        <w:rPr>
          <w:i/>
          <w:sz w:val="20"/>
        </w:rPr>
      </w:pPr>
      <w:r>
        <w:rPr>
          <w:i/>
          <w:sz w:val="20"/>
        </w:rPr>
        <w:t>attēls. Partnerības aktīva uzskaites lēmumu</w:t>
      </w:r>
      <w:r>
        <w:rPr>
          <w:i/>
          <w:spacing w:val="-1"/>
          <w:sz w:val="20"/>
        </w:rPr>
        <w:t xml:space="preserve"> </w:t>
      </w:r>
      <w:r>
        <w:rPr>
          <w:i/>
          <w:sz w:val="20"/>
        </w:rPr>
        <w:t>koks</w:t>
      </w:r>
    </w:p>
    <w:p w14:paraId="3A0865D4" w14:textId="77777777" w:rsid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p>
    <w:p w14:paraId="6F374A88" w14:textId="77777777" w:rsidR="00675AC5" w:rsidRDefault="00675AC5"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675AC5">
        <w:rPr>
          <w:rFonts w:ascii="Times New Roman" w:hAnsi="Times New Roman" w:cs="Times New Roman"/>
          <w:sz w:val="24"/>
          <w:szCs w:val="24"/>
        </w:rPr>
        <w:t>755.  Budžeta iestāde sākotnēji atzīst partnerības aktīvu (budžeta iestādei jau piederoša aktīva uzlabojumu vai jaunradītu aktīvu), veicot sekojošu grāmatojumu darījuma dienā, pamatojoties uz attaisnojuma</w:t>
      </w:r>
      <w:r>
        <w:rPr>
          <w:rFonts w:ascii="Times New Roman" w:hAnsi="Times New Roman" w:cs="Times New Roman"/>
          <w:sz w:val="24"/>
          <w:szCs w:val="24"/>
        </w:rPr>
        <w:t xml:space="preserve"> </w:t>
      </w:r>
      <w:r w:rsidRPr="00675AC5">
        <w:rPr>
          <w:rFonts w:ascii="Times New Roman" w:hAnsi="Times New Roman" w:cs="Times New Roman"/>
          <w:sz w:val="24"/>
          <w:szCs w:val="24"/>
        </w:rPr>
        <w:t>dokumentu:</w:t>
      </w:r>
    </w:p>
    <w:p w14:paraId="37333F6A" w14:textId="77777777" w:rsid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p>
    <w:p w14:paraId="441490A9" w14:textId="77777777" w:rsidR="005E167F" w:rsidRP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5E167F">
        <w:rPr>
          <w:rFonts w:ascii="Times New Roman" w:hAnsi="Times New Roman" w:cs="Times New Roman"/>
          <w:b/>
          <w:bCs/>
          <w:sz w:val="24"/>
          <w:szCs w:val="24"/>
        </w:rPr>
        <w:t xml:space="preserve">    D   </w:t>
      </w:r>
      <w:r w:rsidR="00D54B51">
        <w:rPr>
          <w:rFonts w:ascii="Times New Roman" w:hAnsi="Times New Roman" w:cs="Times New Roman"/>
          <w:b/>
          <w:bCs/>
          <w:sz w:val="24"/>
          <w:szCs w:val="24"/>
        </w:rPr>
        <w:t xml:space="preserve"> </w:t>
      </w:r>
      <w:r w:rsidRPr="005E167F">
        <w:rPr>
          <w:rFonts w:ascii="Times New Roman" w:hAnsi="Times New Roman" w:cs="Times New Roman"/>
          <w:b/>
          <w:bCs/>
          <w:sz w:val="24"/>
          <w:szCs w:val="24"/>
        </w:rPr>
        <w:t>1200   Pamatlīdzekļi*</w:t>
      </w:r>
    </w:p>
    <w:p w14:paraId="63FE845A" w14:textId="77777777" w:rsidR="005E167F" w:rsidRP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5E167F">
        <w:rPr>
          <w:rFonts w:ascii="Times New Roman" w:hAnsi="Times New Roman" w:cs="Times New Roman"/>
          <w:b/>
          <w:bCs/>
          <w:sz w:val="24"/>
          <w:szCs w:val="24"/>
        </w:rPr>
        <w:t xml:space="preserve">    K    5311   Īstermiņa saistības pret piegādātājiem un darbuzņēmējiem </w:t>
      </w:r>
    </w:p>
    <w:p w14:paraId="36284C2F" w14:textId="77777777" w:rsid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5E167F">
        <w:rPr>
          <w:rFonts w:ascii="Times New Roman" w:hAnsi="Times New Roman" w:cs="Times New Roman"/>
          <w:b/>
          <w:bCs/>
          <w:sz w:val="24"/>
          <w:szCs w:val="24"/>
        </w:rPr>
        <w:t xml:space="preserve">    K    5100 Ilgtermiņa saistības</w:t>
      </w:r>
    </w:p>
    <w:p w14:paraId="42FF7899" w14:textId="77777777" w:rsidR="00675AC5" w:rsidRDefault="001B5D0F" w:rsidP="00CD363C">
      <w:pPr>
        <w:pStyle w:val="Pamatteksts"/>
        <w:ind w:right="-66"/>
        <w:jc w:val="both"/>
        <w:rPr>
          <w:i/>
        </w:rPr>
      </w:pPr>
      <w:r>
        <w:rPr>
          <w:i/>
        </w:rPr>
        <w:t>*partnerības aktīvs</w:t>
      </w:r>
    </w:p>
    <w:p w14:paraId="5DC25109" w14:textId="77777777" w:rsidR="001B5D0F" w:rsidRPr="001B5D0F" w:rsidRDefault="001B5D0F" w:rsidP="00CD363C">
      <w:pPr>
        <w:pStyle w:val="Pamatteksts"/>
        <w:ind w:right="-66"/>
        <w:jc w:val="both"/>
        <w:rPr>
          <w:i/>
          <w:sz w:val="24"/>
          <w:szCs w:val="24"/>
        </w:rPr>
      </w:pPr>
    </w:p>
    <w:p w14:paraId="02AB9CBE" w14:textId="77777777" w:rsidR="001B5D0F" w:rsidRPr="001B5D0F"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B5D0F">
        <w:rPr>
          <w:rFonts w:ascii="Times New Roman" w:hAnsi="Times New Roman" w:cs="Times New Roman"/>
          <w:sz w:val="24"/>
          <w:szCs w:val="24"/>
        </w:rPr>
        <w:t>756.  Ja tiek veikta budžeta iestādes esošā aktīva uzlabošana, kas palielina tā nākotnes saimnieciskos labumus, budžeta iestāde izvērtē, vai uzlabojums atbilst pamatlīdzekļa kapitalizācijas kritērijiem saskaņā ar Rokasgrāmatas sadaļā</w:t>
      </w:r>
      <w:r w:rsidRPr="001B5D0F">
        <w:rPr>
          <w:rFonts w:ascii="Times New Roman" w:hAnsi="Times New Roman" w:cs="Times New Roman"/>
          <w:color w:val="0462C1"/>
          <w:sz w:val="24"/>
          <w:szCs w:val="24"/>
        </w:rPr>
        <w:t xml:space="preserve"> </w:t>
      </w:r>
      <w:r w:rsidRPr="001B5D0F">
        <w:rPr>
          <w:rFonts w:ascii="Times New Roman" w:hAnsi="Times New Roman" w:cs="Times New Roman"/>
          <w:color w:val="0462C1"/>
          <w:sz w:val="24"/>
          <w:szCs w:val="24"/>
          <w:u w:val="single" w:color="0462C1"/>
        </w:rPr>
        <w:t>“</w:t>
      </w:r>
      <w:hyperlink w:anchor="_bookmark33" w:history="1">
        <w:r w:rsidRPr="001B5D0F">
          <w:rPr>
            <w:rFonts w:ascii="Times New Roman" w:hAnsi="Times New Roman" w:cs="Times New Roman"/>
            <w:color w:val="0462C1"/>
            <w:sz w:val="24"/>
            <w:szCs w:val="24"/>
            <w:u w:val="single" w:color="0462C1"/>
          </w:rPr>
          <w:t>Pamatlīdzekļu uzskaite</w:t>
        </w:r>
      </w:hyperlink>
      <w:r w:rsidRPr="001B5D0F">
        <w:rPr>
          <w:rFonts w:ascii="Times New Roman" w:hAnsi="Times New Roman" w:cs="Times New Roman"/>
          <w:color w:val="0462C1"/>
          <w:sz w:val="24"/>
          <w:szCs w:val="24"/>
          <w:u w:val="single" w:color="0462C1"/>
        </w:rPr>
        <w:t>”</w:t>
      </w:r>
      <w:r w:rsidRPr="001B5D0F">
        <w:rPr>
          <w:rFonts w:ascii="Times New Roman" w:hAnsi="Times New Roman" w:cs="Times New Roman"/>
          <w:color w:val="0462C1"/>
          <w:sz w:val="24"/>
          <w:szCs w:val="24"/>
        </w:rPr>
        <w:t xml:space="preserve"> </w:t>
      </w:r>
      <w:r w:rsidRPr="001B5D0F">
        <w:rPr>
          <w:rFonts w:ascii="Times New Roman" w:hAnsi="Times New Roman" w:cs="Times New Roman"/>
          <w:sz w:val="24"/>
          <w:szCs w:val="24"/>
        </w:rPr>
        <w:t>noteiktajiem principiem. Ja uzlabojums atbilst kapitalizācijas kritērijiem, tad budžeta iestāde atzīst uzlabojumu kā partnerības aktīvu un novērtē saskaņā ar šajā Rokasgrāmatas sadaļā noteiktajiem uzskaites</w:t>
      </w:r>
      <w:r w:rsidRPr="001B5D0F">
        <w:rPr>
          <w:rFonts w:ascii="Times New Roman" w:hAnsi="Times New Roman" w:cs="Times New Roman"/>
          <w:spacing w:val="-12"/>
          <w:sz w:val="24"/>
          <w:szCs w:val="24"/>
        </w:rPr>
        <w:t xml:space="preserve"> </w:t>
      </w:r>
      <w:r w:rsidRPr="001B5D0F">
        <w:rPr>
          <w:rFonts w:ascii="Times New Roman" w:hAnsi="Times New Roman" w:cs="Times New Roman"/>
          <w:sz w:val="24"/>
          <w:szCs w:val="24"/>
        </w:rPr>
        <w:t>principiem.</w:t>
      </w:r>
    </w:p>
    <w:p w14:paraId="0CA8C9AB" w14:textId="77777777" w:rsidR="001B5D0F" w:rsidRPr="001B5D0F"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B5D0F">
        <w:rPr>
          <w:rFonts w:ascii="Times New Roman" w:hAnsi="Times New Roman" w:cs="Times New Roman"/>
          <w:sz w:val="24"/>
          <w:szCs w:val="24"/>
        </w:rPr>
        <w:t>757.  Gadījumā, ja līguma izpildes nolūkā tiek izmantoti budžeta iestādei jau piederoši aktīvi, budžeta iestāde tos nevis atzīst, bet analītiski nodala, pievienojot dimensiju ar norādi par partnerības</w:t>
      </w:r>
      <w:r w:rsidRPr="001B5D0F">
        <w:rPr>
          <w:rFonts w:ascii="Times New Roman" w:hAnsi="Times New Roman" w:cs="Times New Roman"/>
          <w:spacing w:val="-32"/>
          <w:sz w:val="24"/>
          <w:szCs w:val="24"/>
        </w:rPr>
        <w:t xml:space="preserve"> </w:t>
      </w:r>
      <w:r w:rsidRPr="001B5D0F">
        <w:rPr>
          <w:rFonts w:ascii="Times New Roman" w:hAnsi="Times New Roman" w:cs="Times New Roman"/>
          <w:sz w:val="24"/>
          <w:szCs w:val="24"/>
        </w:rPr>
        <w:t>aktīvu.</w:t>
      </w:r>
    </w:p>
    <w:p w14:paraId="424D51C8"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B5D0F">
        <w:rPr>
          <w:rFonts w:ascii="Times New Roman" w:hAnsi="Times New Roman" w:cs="Times New Roman"/>
          <w:sz w:val="24"/>
          <w:szCs w:val="24"/>
        </w:rPr>
        <w:t>758. Budžeta</w:t>
      </w:r>
      <w:r w:rsidRPr="001B5D0F">
        <w:rPr>
          <w:rFonts w:ascii="Times New Roman" w:hAnsi="Times New Roman" w:cs="Times New Roman"/>
          <w:spacing w:val="-17"/>
          <w:sz w:val="24"/>
          <w:szCs w:val="24"/>
        </w:rPr>
        <w:t xml:space="preserve"> </w:t>
      </w:r>
      <w:r w:rsidRPr="001B5D0F">
        <w:rPr>
          <w:rFonts w:ascii="Times New Roman" w:hAnsi="Times New Roman" w:cs="Times New Roman"/>
          <w:sz w:val="24"/>
          <w:szCs w:val="24"/>
        </w:rPr>
        <w:t>iestāde</w:t>
      </w:r>
      <w:r w:rsidRPr="001B5D0F">
        <w:rPr>
          <w:rFonts w:ascii="Times New Roman" w:hAnsi="Times New Roman" w:cs="Times New Roman"/>
          <w:spacing w:val="-14"/>
          <w:sz w:val="24"/>
          <w:szCs w:val="24"/>
        </w:rPr>
        <w:t xml:space="preserve"> </w:t>
      </w:r>
      <w:r w:rsidRPr="001B5D0F">
        <w:rPr>
          <w:rFonts w:ascii="Times New Roman" w:hAnsi="Times New Roman" w:cs="Times New Roman"/>
          <w:sz w:val="24"/>
          <w:szCs w:val="24"/>
        </w:rPr>
        <w:t>partnerības</w:t>
      </w:r>
      <w:r w:rsidRPr="001B5D0F">
        <w:rPr>
          <w:rFonts w:ascii="Times New Roman" w:hAnsi="Times New Roman" w:cs="Times New Roman"/>
          <w:spacing w:val="-16"/>
          <w:sz w:val="24"/>
          <w:szCs w:val="24"/>
        </w:rPr>
        <w:t xml:space="preserve"> </w:t>
      </w:r>
      <w:r w:rsidRPr="001B5D0F">
        <w:rPr>
          <w:rFonts w:ascii="Times New Roman" w:hAnsi="Times New Roman" w:cs="Times New Roman"/>
          <w:sz w:val="24"/>
          <w:szCs w:val="24"/>
        </w:rPr>
        <w:t>aktīvu</w:t>
      </w:r>
      <w:r w:rsidRPr="001B5D0F">
        <w:rPr>
          <w:rFonts w:ascii="Times New Roman" w:hAnsi="Times New Roman" w:cs="Times New Roman"/>
          <w:spacing w:val="-14"/>
          <w:sz w:val="24"/>
          <w:szCs w:val="24"/>
        </w:rPr>
        <w:t xml:space="preserve"> </w:t>
      </w:r>
      <w:r w:rsidRPr="001B5D0F">
        <w:rPr>
          <w:rFonts w:ascii="Times New Roman" w:hAnsi="Times New Roman" w:cs="Times New Roman"/>
          <w:sz w:val="24"/>
          <w:szCs w:val="24"/>
        </w:rPr>
        <w:t>atzīst,</w:t>
      </w:r>
      <w:r w:rsidRPr="001B5D0F">
        <w:rPr>
          <w:rFonts w:ascii="Times New Roman" w:hAnsi="Times New Roman" w:cs="Times New Roman"/>
          <w:spacing w:val="-17"/>
          <w:sz w:val="24"/>
          <w:szCs w:val="24"/>
        </w:rPr>
        <w:t xml:space="preserve"> </w:t>
      </w:r>
      <w:r w:rsidRPr="001B5D0F">
        <w:rPr>
          <w:rFonts w:ascii="Times New Roman" w:hAnsi="Times New Roman" w:cs="Times New Roman"/>
          <w:sz w:val="24"/>
          <w:szCs w:val="24"/>
        </w:rPr>
        <w:t>pamatojoties</w:t>
      </w:r>
      <w:r w:rsidRPr="001B5D0F">
        <w:rPr>
          <w:rFonts w:ascii="Times New Roman" w:hAnsi="Times New Roman" w:cs="Times New Roman"/>
          <w:spacing w:val="-17"/>
          <w:sz w:val="24"/>
          <w:szCs w:val="24"/>
        </w:rPr>
        <w:t xml:space="preserve"> </w:t>
      </w:r>
      <w:r w:rsidRPr="001B5D0F">
        <w:rPr>
          <w:rFonts w:ascii="Times New Roman" w:hAnsi="Times New Roman" w:cs="Times New Roman"/>
          <w:sz w:val="24"/>
          <w:szCs w:val="24"/>
        </w:rPr>
        <w:t>uz</w:t>
      </w:r>
      <w:r w:rsidRPr="001B5D0F">
        <w:rPr>
          <w:rFonts w:ascii="Times New Roman" w:hAnsi="Times New Roman" w:cs="Times New Roman"/>
          <w:spacing w:val="-16"/>
          <w:sz w:val="24"/>
          <w:szCs w:val="24"/>
        </w:rPr>
        <w:t xml:space="preserve"> </w:t>
      </w:r>
      <w:r w:rsidRPr="001B5D0F">
        <w:rPr>
          <w:rFonts w:ascii="Times New Roman" w:hAnsi="Times New Roman" w:cs="Times New Roman"/>
          <w:sz w:val="24"/>
          <w:szCs w:val="24"/>
        </w:rPr>
        <w:t>aktīva</w:t>
      </w:r>
      <w:r w:rsidRPr="001B5D0F">
        <w:rPr>
          <w:rFonts w:ascii="Times New Roman" w:hAnsi="Times New Roman" w:cs="Times New Roman"/>
          <w:spacing w:val="-14"/>
          <w:sz w:val="24"/>
          <w:szCs w:val="24"/>
        </w:rPr>
        <w:t xml:space="preserve"> </w:t>
      </w:r>
      <w:r w:rsidRPr="001B5D0F">
        <w:rPr>
          <w:rFonts w:ascii="Times New Roman" w:hAnsi="Times New Roman" w:cs="Times New Roman"/>
          <w:sz w:val="24"/>
          <w:szCs w:val="24"/>
        </w:rPr>
        <w:t>atzīšanas</w:t>
      </w:r>
      <w:r w:rsidRPr="001B5D0F">
        <w:rPr>
          <w:rFonts w:ascii="Times New Roman" w:hAnsi="Times New Roman" w:cs="Times New Roman"/>
          <w:spacing w:val="-16"/>
          <w:sz w:val="24"/>
          <w:szCs w:val="24"/>
        </w:rPr>
        <w:t xml:space="preserve"> </w:t>
      </w:r>
      <w:r w:rsidRPr="001B5D0F">
        <w:rPr>
          <w:rFonts w:ascii="Times New Roman" w:hAnsi="Times New Roman" w:cs="Times New Roman"/>
          <w:sz w:val="24"/>
          <w:szCs w:val="24"/>
        </w:rPr>
        <w:t>kritērijiem</w:t>
      </w:r>
      <w:r w:rsidRPr="001B5D0F">
        <w:rPr>
          <w:rFonts w:ascii="Times New Roman" w:hAnsi="Times New Roman" w:cs="Times New Roman"/>
          <w:spacing w:val="-18"/>
          <w:sz w:val="24"/>
          <w:szCs w:val="24"/>
        </w:rPr>
        <w:t xml:space="preserve"> </w:t>
      </w:r>
      <w:r w:rsidRPr="001B5D0F">
        <w:rPr>
          <w:rFonts w:ascii="Times New Roman" w:hAnsi="Times New Roman" w:cs="Times New Roman"/>
          <w:sz w:val="24"/>
          <w:szCs w:val="24"/>
        </w:rPr>
        <w:t>un</w:t>
      </w:r>
      <w:r w:rsidRPr="001B5D0F">
        <w:rPr>
          <w:rFonts w:ascii="Times New Roman" w:hAnsi="Times New Roman" w:cs="Times New Roman"/>
          <w:spacing w:val="-15"/>
          <w:sz w:val="24"/>
          <w:szCs w:val="24"/>
        </w:rPr>
        <w:t xml:space="preserve"> </w:t>
      </w:r>
      <w:r w:rsidRPr="00AE546D">
        <w:rPr>
          <w:rFonts w:ascii="Times New Roman" w:hAnsi="Times New Roman" w:cs="Times New Roman"/>
          <w:sz w:val="24"/>
          <w:szCs w:val="24"/>
        </w:rPr>
        <w:t>pamatlīdzekļu atzīšanas principiem, kas aprakstīti uzskaites kārtības sadaļā</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 un atzīst partnerības aktīvu tikai, ja izpildās abi sekojošie</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kritēriji:</w:t>
      </w:r>
    </w:p>
    <w:p w14:paraId="2B473A05" w14:textId="77777777" w:rsidR="001B5D0F" w:rsidRPr="00AE546D" w:rsidRDefault="001B5D0F" w:rsidP="00CD363C">
      <w:pPr>
        <w:pStyle w:val="Sarakstarindkopa"/>
        <w:widowControl w:val="0"/>
        <w:numPr>
          <w:ilvl w:val="0"/>
          <w:numId w:val="13"/>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ir ticams, ka budžeta iestāde saņems nākotnes saimnieciskos labumus;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un</w:t>
      </w:r>
    </w:p>
    <w:p w14:paraId="66898A3C" w14:textId="77777777" w:rsidR="001B5D0F" w:rsidRPr="00AE546D" w:rsidRDefault="001B5D0F" w:rsidP="00CD363C">
      <w:pPr>
        <w:pStyle w:val="Sarakstarindkopa"/>
        <w:widowControl w:val="0"/>
        <w:numPr>
          <w:ilvl w:val="0"/>
          <w:numId w:val="13"/>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aktīva patieso vērtību iespējams ticami</w:t>
      </w:r>
      <w:r w:rsidRPr="00AE546D">
        <w:rPr>
          <w:rFonts w:ascii="Times New Roman" w:hAnsi="Times New Roman" w:cs="Times New Roman"/>
          <w:spacing w:val="-3"/>
          <w:sz w:val="24"/>
          <w:szCs w:val="24"/>
        </w:rPr>
        <w:t xml:space="preserve"> </w:t>
      </w:r>
      <w:r w:rsidRPr="00AE546D">
        <w:rPr>
          <w:rFonts w:ascii="Times New Roman" w:hAnsi="Times New Roman" w:cs="Times New Roman"/>
          <w:sz w:val="24"/>
          <w:szCs w:val="24"/>
        </w:rPr>
        <w:t>novērtēt.</w:t>
      </w:r>
    </w:p>
    <w:p w14:paraId="45891762"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758.  Pirmais atzīšanas kritērijs nosaka, ka budžeta iestāde nākotnē saņems saimniecisko labumus. Tādā gadījumā</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budžeta</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iestāde</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būvniecības</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vai</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izveides</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laikā</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atzīst</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kā</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nepabeigto</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būvniecību</w:t>
      </w:r>
    </w:p>
    <w:p w14:paraId="3752E08C" w14:textId="77777777" w:rsidR="001B5D0F" w:rsidRPr="00AE546D" w:rsidRDefault="001B5D0F" w:rsidP="00CD363C">
      <w:pPr>
        <w:pStyle w:val="Pamatteksts"/>
        <w:ind w:left="898" w:right="-66"/>
        <w:jc w:val="both"/>
        <w:rPr>
          <w:sz w:val="24"/>
          <w:szCs w:val="24"/>
        </w:rPr>
      </w:pPr>
      <w:r w:rsidRPr="00AE546D">
        <w:rPr>
          <w:sz w:val="24"/>
          <w:szCs w:val="24"/>
        </w:rPr>
        <w:t>– līdzīgi kā aktīvam, ko budžeta iestāde izveidotu pati, neiesaistot privāto partneri.</w:t>
      </w:r>
    </w:p>
    <w:p w14:paraId="017D1B74"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i/>
          <w:sz w:val="24"/>
          <w:szCs w:val="24"/>
        </w:rPr>
      </w:pPr>
      <w:r w:rsidRPr="00AE546D">
        <w:rPr>
          <w:rFonts w:ascii="Times New Roman" w:hAnsi="Times New Roman" w:cs="Times New Roman"/>
          <w:sz w:val="24"/>
          <w:szCs w:val="24"/>
        </w:rPr>
        <w:t>759. Otrais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atzīšanas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kritērijs</w:t>
      </w:r>
      <w:r w:rsidRPr="00AE546D">
        <w:rPr>
          <w:rFonts w:ascii="Times New Roman" w:hAnsi="Times New Roman" w:cs="Times New Roman"/>
          <w:spacing w:val="-8"/>
          <w:sz w:val="24"/>
          <w:szCs w:val="24"/>
        </w:rPr>
        <w:t xml:space="preserve"> </w:t>
      </w:r>
      <w:r w:rsidRPr="00AE546D">
        <w:rPr>
          <w:rFonts w:ascii="Times New Roman" w:hAnsi="Times New Roman" w:cs="Times New Roman"/>
          <w:sz w:val="24"/>
          <w:szCs w:val="24"/>
        </w:rPr>
        <w:t>ir</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patiesās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vērtības</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iespējami</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ticama</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novērtēšana,</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to</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sākotnēji</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 xml:space="preserve">atzīstot. Budžeta iestādei jābūt ticamai informācijai par aktīva izmaksām vai patieso vērtību tā izveides vai izstrādes laikā. </w:t>
      </w:r>
      <w:r w:rsidRPr="00AE546D">
        <w:rPr>
          <w:rFonts w:ascii="Times New Roman" w:hAnsi="Times New Roman" w:cs="Times New Roman"/>
          <w:i/>
          <w:sz w:val="24"/>
          <w:szCs w:val="24"/>
        </w:rPr>
        <w:t>Piemēram, ja līgums paredz, ka privātais partneris budžeta iestādei aktīva izveides vai izstrādes periodā iesniedz atskaites par partnerības aktīva izveidošanas darbu virzību vai ja līgums paredz obligātu aktīva pieņemšanu no budžeta iestādes puses, pārliecinoties, ka aktīvs būvēts vai izveidots atbilstoši līgumā noteiktajai specifikācijai, radušās izmaksas iespējams novērtēt un aktīvu atzīt saskaņā ar Rokasgrāmatas sadaļā “</w:t>
      </w:r>
      <w:hyperlink w:anchor="_bookmark33" w:history="1">
        <w:r w:rsidRPr="00AE546D">
          <w:rPr>
            <w:rFonts w:ascii="Times New Roman" w:hAnsi="Times New Roman" w:cs="Times New Roman"/>
            <w:i/>
            <w:sz w:val="24"/>
            <w:szCs w:val="24"/>
          </w:rPr>
          <w:t>Pamatlīdzekļu uzskaite</w:t>
        </w:r>
      </w:hyperlink>
      <w:r w:rsidRPr="00AE546D">
        <w:rPr>
          <w:rFonts w:ascii="Times New Roman" w:hAnsi="Times New Roman" w:cs="Times New Roman"/>
          <w:i/>
          <w:sz w:val="24"/>
          <w:szCs w:val="24"/>
        </w:rPr>
        <w:t>” noteiktajiem</w:t>
      </w:r>
      <w:r w:rsidRPr="00AE546D">
        <w:rPr>
          <w:rFonts w:ascii="Times New Roman" w:hAnsi="Times New Roman" w:cs="Times New Roman"/>
          <w:i/>
          <w:spacing w:val="-22"/>
          <w:sz w:val="24"/>
          <w:szCs w:val="24"/>
        </w:rPr>
        <w:t xml:space="preserve"> </w:t>
      </w:r>
      <w:r w:rsidRPr="00AE546D">
        <w:rPr>
          <w:rFonts w:ascii="Times New Roman" w:hAnsi="Times New Roman" w:cs="Times New Roman"/>
          <w:i/>
          <w:sz w:val="24"/>
          <w:szCs w:val="24"/>
        </w:rPr>
        <w:t>principiem.</w:t>
      </w:r>
    </w:p>
    <w:p w14:paraId="3792D448"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 xml:space="preserve">760. Ja aktīvs vairs neatbilst partnerības aktīva atzīšanas kritērijiem, budžeta iestāde piemēro Rokasgrāmatas sadaļā “Pamatlīdzekļu uzskaite” noteiktos pamatlīdzekļu izslēgšanas no uzskaites principus. </w:t>
      </w:r>
      <w:r w:rsidRPr="00AE546D">
        <w:rPr>
          <w:rFonts w:ascii="Times New Roman" w:hAnsi="Times New Roman" w:cs="Times New Roman"/>
          <w:i/>
          <w:sz w:val="24"/>
          <w:szCs w:val="24"/>
        </w:rPr>
        <w:t xml:space="preserve">Piemēram, budžeta iestāde izslēdz partnerības aktīvu no uzskaites, ja partnerības aktīvu atsavina par labu privātajam partnerim. </w:t>
      </w:r>
      <w:r w:rsidRPr="00AE546D">
        <w:rPr>
          <w:rFonts w:ascii="Times New Roman" w:hAnsi="Times New Roman" w:cs="Times New Roman"/>
          <w:sz w:val="24"/>
          <w:szCs w:val="24"/>
        </w:rPr>
        <w:t>Gadījumā, ja partnerības aktīvs ir</w:t>
      </w:r>
      <w:r w:rsidRPr="001B5D0F">
        <w:rPr>
          <w:rFonts w:ascii="Times New Roman" w:hAnsi="Times New Roman" w:cs="Times New Roman"/>
          <w:sz w:val="24"/>
          <w:szCs w:val="24"/>
        </w:rPr>
        <w:t xml:space="preserve"> </w:t>
      </w:r>
      <w:r w:rsidRPr="00AE546D">
        <w:rPr>
          <w:rFonts w:ascii="Times New Roman" w:hAnsi="Times New Roman" w:cs="Times New Roman"/>
          <w:sz w:val="24"/>
          <w:szCs w:val="24"/>
        </w:rPr>
        <w:t>bijis budžeta iestādei jau piederošs aktīvs, budžeta iestāde savā grāmatvedības uzskaitē šādam aktīvam likvidē iepriekš pievienoto dimensiju ar norādi par partnerības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aktīvu.</w:t>
      </w:r>
    </w:p>
    <w:p w14:paraId="16E6AF44" w14:textId="77777777" w:rsidR="005056D3" w:rsidRDefault="005056D3"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p>
    <w:p w14:paraId="2ADE923B"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AE546D">
        <w:rPr>
          <w:rFonts w:ascii="Times New Roman" w:hAnsi="Times New Roman" w:cs="Times New Roman"/>
          <w:b/>
          <w:bCs/>
          <w:sz w:val="24"/>
          <w:szCs w:val="24"/>
        </w:rPr>
        <w:t>19.3. Partnerības aktīva sākotnējā novērtēšana</w:t>
      </w:r>
    </w:p>
    <w:p w14:paraId="379CA2B2" w14:textId="77777777" w:rsidR="008A6A29" w:rsidRPr="00AE546D" w:rsidRDefault="008A6A2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761.  Budžeta iestāde sākotnēji partnerības aktīvu novērtē tā patiesajā vērtībā, izņemot gadījumu, kad budžeta</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iestāde</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pārklasificē</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sev</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piederošo</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par</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ja</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tas</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atbilst</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aktīva atzīšanas kritērijiem. Pārklasificēto partnerības aktīvu uzskaita uzskaites vērtībā saskaņā ar uzskaites kārtības sadaļā</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color w:val="0462C1"/>
          <w:sz w:val="24"/>
          <w:szCs w:val="24"/>
        </w:rPr>
        <w:t xml:space="preserve"> </w:t>
      </w:r>
      <w:r w:rsidRPr="00AE546D">
        <w:rPr>
          <w:rFonts w:ascii="Times New Roman" w:hAnsi="Times New Roman" w:cs="Times New Roman"/>
          <w:sz w:val="24"/>
          <w:szCs w:val="24"/>
        </w:rPr>
        <w:t>noteiktajiem uzskaites</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principiem.</w:t>
      </w:r>
    </w:p>
    <w:p w14:paraId="0F1A6886" w14:textId="77777777" w:rsidR="008A6A29" w:rsidRPr="00AE546D" w:rsidRDefault="008A6A2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762. Patieso vērtību izmanto, lai sākotnēji atzīstot, noteiktu izveidota partnerības aktīva uzskaites vērtību vai jau īpašumā esoša aktīva uzlabojumu uzskaites</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vērtību.</w:t>
      </w:r>
    </w:p>
    <w:p w14:paraId="032898B4"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763.  Partnerības aktīva sākotnēji noteiktā patiesā vērtība ir atkarīga no veida, kādā privātais partneris gūst atlīdzību</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darījumā</w:t>
      </w:r>
      <w:r w:rsidRPr="00AE546D">
        <w:rPr>
          <w:rFonts w:ascii="Times New Roman" w:hAnsi="Times New Roman" w:cs="Times New Roman"/>
          <w:spacing w:val="19"/>
          <w:sz w:val="24"/>
          <w:szCs w:val="24"/>
        </w:rPr>
        <w:t xml:space="preserve"> </w:t>
      </w:r>
      <w:r w:rsidRPr="00AE546D">
        <w:rPr>
          <w:rFonts w:ascii="Times New Roman" w:hAnsi="Times New Roman" w:cs="Times New Roman"/>
          <w:sz w:val="24"/>
          <w:szCs w:val="24"/>
        </w:rPr>
        <w:t>starp</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budžeta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iestādi</w:t>
      </w:r>
      <w:r w:rsidRPr="00AE546D">
        <w:rPr>
          <w:rFonts w:ascii="Times New Roman" w:hAnsi="Times New Roman" w:cs="Times New Roman"/>
          <w:spacing w:val="37"/>
          <w:sz w:val="24"/>
          <w:szCs w:val="24"/>
        </w:rPr>
        <w:t xml:space="preserve"> </w:t>
      </w:r>
      <w:r w:rsidRPr="00AE546D">
        <w:rPr>
          <w:rFonts w:ascii="Times New Roman" w:hAnsi="Times New Roman" w:cs="Times New Roman"/>
          <w:sz w:val="24"/>
          <w:szCs w:val="24"/>
        </w:rPr>
        <w:t>un</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privāto</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partneri</w:t>
      </w:r>
      <w:r w:rsidRPr="00AE546D">
        <w:rPr>
          <w:rFonts w:ascii="Times New Roman" w:hAnsi="Times New Roman" w:cs="Times New Roman"/>
          <w:spacing w:val="19"/>
          <w:sz w:val="24"/>
          <w:szCs w:val="24"/>
        </w:rPr>
        <w:t xml:space="preserve"> </w:t>
      </w:r>
      <w:r w:rsidRPr="00AE546D">
        <w:rPr>
          <w:rFonts w:ascii="Times New Roman" w:hAnsi="Times New Roman" w:cs="Times New Roman"/>
          <w:sz w:val="24"/>
          <w:szCs w:val="24"/>
        </w:rPr>
        <w:t>par</w:t>
      </w:r>
      <w:r w:rsidRPr="00AE546D">
        <w:rPr>
          <w:rFonts w:ascii="Times New Roman" w:hAnsi="Times New Roman" w:cs="Times New Roman"/>
          <w:spacing w:val="18"/>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būvniecību</w:t>
      </w:r>
      <w:r w:rsidRPr="00AE546D">
        <w:rPr>
          <w:rFonts w:ascii="Times New Roman" w:hAnsi="Times New Roman" w:cs="Times New Roman"/>
          <w:spacing w:val="19"/>
          <w:sz w:val="24"/>
          <w:szCs w:val="24"/>
        </w:rPr>
        <w:t xml:space="preserve"> </w:t>
      </w:r>
      <w:r w:rsidRPr="00AE546D">
        <w:rPr>
          <w:rFonts w:ascii="Times New Roman" w:hAnsi="Times New Roman" w:cs="Times New Roman"/>
          <w:sz w:val="24"/>
          <w:szCs w:val="24"/>
        </w:rPr>
        <w:t>vai</w:t>
      </w:r>
      <w:r w:rsidRPr="00AE546D">
        <w:rPr>
          <w:rFonts w:ascii="Times New Roman" w:hAnsi="Times New Roman" w:cs="Times New Roman"/>
          <w:spacing w:val="18"/>
          <w:sz w:val="24"/>
          <w:szCs w:val="24"/>
        </w:rPr>
        <w:t xml:space="preserve"> </w:t>
      </w:r>
      <w:r w:rsidRPr="00AE546D">
        <w:rPr>
          <w:rFonts w:ascii="Times New Roman" w:hAnsi="Times New Roman" w:cs="Times New Roman"/>
          <w:sz w:val="24"/>
          <w:szCs w:val="24"/>
        </w:rPr>
        <w:t>esoša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aktīva uzlabojumu. Lai noteiktu aktīva patieso vērtību, to sākotnēji atzīstot, budžeta iestāde veic sekojošas darbības:</w:t>
      </w:r>
    </w:p>
    <w:p w14:paraId="4776D176"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b/>
          <w:sz w:val="24"/>
          <w:szCs w:val="24"/>
        </w:rPr>
        <w:t>gadījumos, ja līgums nosaka budžeta iestādei veikt nākotnes maksājumus privātajam partnerim</w:t>
      </w:r>
      <w:r w:rsidRPr="00AE546D">
        <w:rPr>
          <w:rFonts w:ascii="Times New Roman" w:hAnsi="Times New Roman" w:cs="Times New Roman"/>
          <w:b/>
          <w:spacing w:val="-12"/>
          <w:sz w:val="24"/>
          <w:szCs w:val="24"/>
        </w:rPr>
        <w:t xml:space="preserve"> </w:t>
      </w:r>
      <w:r w:rsidRPr="00AE546D">
        <w:rPr>
          <w:rFonts w:ascii="Times New Roman" w:hAnsi="Times New Roman" w:cs="Times New Roman"/>
          <w:b/>
          <w:sz w:val="24"/>
          <w:szCs w:val="24"/>
        </w:rPr>
        <w:t>par</w:t>
      </w:r>
      <w:r w:rsidRPr="00AE546D">
        <w:rPr>
          <w:rFonts w:ascii="Times New Roman" w:hAnsi="Times New Roman" w:cs="Times New Roman"/>
          <w:b/>
          <w:spacing w:val="-14"/>
          <w:sz w:val="24"/>
          <w:szCs w:val="24"/>
        </w:rPr>
        <w:t xml:space="preserve"> </w:t>
      </w:r>
      <w:r w:rsidRPr="00AE546D">
        <w:rPr>
          <w:rFonts w:ascii="Times New Roman" w:hAnsi="Times New Roman" w:cs="Times New Roman"/>
          <w:b/>
          <w:sz w:val="24"/>
          <w:szCs w:val="24"/>
        </w:rPr>
        <w:t>attiecīgo</w:t>
      </w:r>
      <w:r w:rsidRPr="00AE546D">
        <w:rPr>
          <w:rFonts w:ascii="Times New Roman" w:hAnsi="Times New Roman" w:cs="Times New Roman"/>
          <w:b/>
          <w:spacing w:val="-12"/>
          <w:sz w:val="24"/>
          <w:szCs w:val="24"/>
        </w:rPr>
        <w:t xml:space="preserve"> </w:t>
      </w:r>
      <w:r w:rsidRPr="00AE546D">
        <w:rPr>
          <w:rFonts w:ascii="Times New Roman" w:hAnsi="Times New Roman" w:cs="Times New Roman"/>
          <w:b/>
          <w:sz w:val="24"/>
          <w:szCs w:val="24"/>
        </w:rPr>
        <w:t>partnerības</w:t>
      </w:r>
      <w:r w:rsidRPr="00AE546D">
        <w:rPr>
          <w:rFonts w:ascii="Times New Roman" w:hAnsi="Times New Roman" w:cs="Times New Roman"/>
          <w:b/>
          <w:spacing w:val="-11"/>
          <w:sz w:val="24"/>
          <w:szCs w:val="24"/>
        </w:rPr>
        <w:t xml:space="preserve"> </w:t>
      </w:r>
      <w:r w:rsidRPr="00AE546D">
        <w:rPr>
          <w:rFonts w:ascii="Times New Roman" w:hAnsi="Times New Roman" w:cs="Times New Roman"/>
          <w:b/>
          <w:sz w:val="24"/>
          <w:szCs w:val="24"/>
        </w:rPr>
        <w:t>aktīvu</w:t>
      </w:r>
      <w:r w:rsidRPr="00AE546D">
        <w:rPr>
          <w:rFonts w:ascii="Times New Roman" w:hAnsi="Times New Roman" w:cs="Times New Roman"/>
          <w:b/>
          <w:spacing w:val="-9"/>
          <w:sz w:val="24"/>
          <w:szCs w:val="24"/>
        </w:rPr>
        <w:t xml:space="preserve"> </w:t>
      </w:r>
      <w:r w:rsidRPr="00AE546D">
        <w:rPr>
          <w:rFonts w:ascii="Times New Roman" w:hAnsi="Times New Roman" w:cs="Times New Roman"/>
          <w:sz w:val="24"/>
          <w:szCs w:val="24"/>
        </w:rPr>
        <w:t>–</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tad</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patiesā</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vērtība</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ir</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vienāda</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ar</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privātajam partnerim veicamo maksājumu pašreizējo vērtību, piemērojot līgumā ietverto procentu</w:t>
      </w:r>
      <w:r w:rsidRPr="00AE546D">
        <w:rPr>
          <w:rFonts w:ascii="Times New Roman" w:hAnsi="Times New Roman" w:cs="Times New Roman"/>
          <w:spacing w:val="-20"/>
          <w:sz w:val="24"/>
          <w:szCs w:val="24"/>
        </w:rPr>
        <w:t xml:space="preserve"> </w:t>
      </w:r>
      <w:r w:rsidRPr="00AE546D">
        <w:rPr>
          <w:rFonts w:ascii="Times New Roman" w:hAnsi="Times New Roman" w:cs="Times New Roman"/>
          <w:sz w:val="24"/>
          <w:szCs w:val="24"/>
        </w:rPr>
        <w:t>likmi;</w:t>
      </w:r>
    </w:p>
    <w:p w14:paraId="344E6BD2"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 xml:space="preserve">gadījumos, ja līgums nosaka, ka budžeta iestāde privātajam partnerim par partnerības aktīvu nemaksā – tad budžeta iestāde aktīvu uzskaita saskaņā </w:t>
      </w:r>
      <w:r w:rsidR="005056D3">
        <w:rPr>
          <w:rFonts w:ascii="Times New Roman" w:hAnsi="Times New Roman" w:cs="Times New Roman"/>
          <w:sz w:val="24"/>
          <w:szCs w:val="24"/>
        </w:rPr>
        <w:t xml:space="preserve">Grāmatvedības uzskaites kārtības </w:t>
      </w:r>
      <w:r w:rsidRPr="00AE546D">
        <w:rPr>
          <w:rFonts w:ascii="Times New Roman" w:hAnsi="Times New Roman" w:cs="Times New Roman"/>
          <w:sz w:val="24"/>
          <w:szCs w:val="24"/>
        </w:rPr>
        <w:t xml:space="preserve"> sadaļu</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w:t>
        </w:r>
      </w:hyperlink>
      <w:hyperlink w:anchor="_bookmark33" w:history="1">
        <w:r w:rsidRPr="00AE546D">
          <w:rPr>
            <w:rFonts w:ascii="Times New Roman" w:hAnsi="Times New Roman" w:cs="Times New Roman"/>
            <w:color w:val="0462C1"/>
            <w:sz w:val="24"/>
            <w:szCs w:val="24"/>
            <w:u w:val="single" w:color="0462C1"/>
          </w:rPr>
          <w:t xml:space="preserve">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w:t>
      </w:r>
    </w:p>
    <w:p w14:paraId="3F8B1A80"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764.  Budžeta iestāde atkarībā no līguma nosacījumiem privātajam partnerim par partnerības aktīvu un pakalpojumu nodrošināšanu var atlīdzināt jebkurā no sekojošo veidu</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kombinācijām:</w:t>
      </w:r>
    </w:p>
    <w:p w14:paraId="568477B7"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veicot maksājumus privātajam</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partnerim;</w:t>
      </w:r>
    </w:p>
    <w:p w14:paraId="32F191CE"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piešķirot citāda veida atlīdzību privātajam partnerim. Piemēram, budžeta iestāde var piešķirt privātajam partnerim tiesības gūt ieņēmumus no partnerības aktīva vai no kāda cita ieņēmumus ienesoša aktīva lietotājiem, vai arī saņemot kādu citu nemonetāru kompensāciju no budžeta iestādes .</w:t>
      </w:r>
    </w:p>
    <w:p w14:paraId="78735C02"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765.  Ja budžeta iestāde par partnerības aktīvu atlīdzina privātajam partnerim, veicot maksājumus, maksājuma daļas par aktīvu un pakalpojumu var</w:t>
      </w:r>
      <w:r w:rsidRPr="00AE546D">
        <w:rPr>
          <w:rFonts w:ascii="Times New Roman" w:hAnsi="Times New Roman" w:cs="Times New Roman"/>
          <w:spacing w:val="-2"/>
          <w:sz w:val="24"/>
          <w:szCs w:val="24"/>
        </w:rPr>
        <w:t xml:space="preserve"> </w:t>
      </w:r>
      <w:r w:rsidRPr="00AE546D">
        <w:rPr>
          <w:rFonts w:ascii="Times New Roman" w:hAnsi="Times New Roman" w:cs="Times New Roman"/>
          <w:sz w:val="24"/>
          <w:szCs w:val="24"/>
        </w:rPr>
        <w:t>būt:</w:t>
      </w:r>
    </w:p>
    <w:p w14:paraId="7C9DA033"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nodalāmas – piemēram, līgums paredz iepriekš noteiktus maksājumus, kas attiecināmi tieši uz partnerības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aktīvu;</w:t>
      </w:r>
    </w:p>
    <w:p w14:paraId="4617BEE3"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nenodalāmas.</w:t>
      </w:r>
    </w:p>
    <w:p w14:paraId="1802D5C5"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 xml:space="preserve">766.  Gadījumos, ja maksājumu daļas par aktīvu un pakalpojumu </w:t>
      </w:r>
      <w:r w:rsidRPr="00AE546D">
        <w:rPr>
          <w:rFonts w:ascii="Times New Roman" w:hAnsi="Times New Roman" w:cs="Times New Roman"/>
          <w:i/>
          <w:sz w:val="24"/>
          <w:szCs w:val="24"/>
        </w:rPr>
        <w:t xml:space="preserve">(piemēram, apkopes un ekspluatācijas pakalpojumiem) </w:t>
      </w:r>
      <w:r w:rsidRPr="00AE546D">
        <w:rPr>
          <w:rFonts w:ascii="Times New Roman" w:hAnsi="Times New Roman" w:cs="Times New Roman"/>
          <w:sz w:val="24"/>
          <w:szCs w:val="24"/>
        </w:rPr>
        <w:t>ir nodalāmas, partnerības aktīvu atzīst to maksājumu pašreizējā vērtībā, kas ir attiecināmi tieši uz partnerības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aktīvu.</w:t>
      </w:r>
    </w:p>
    <w:p w14:paraId="3FCFAF19"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767.  Piemēri, kad līgumā noteiktas nodalāmas maksājumu daļas par aktīvu un pakalpojumu, var būt sekojoši:</w:t>
      </w:r>
    </w:p>
    <w:p w14:paraId="1D7D2554"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i/>
          <w:sz w:val="24"/>
          <w:szCs w:val="24"/>
        </w:rPr>
      </w:pPr>
      <w:r w:rsidRPr="00AE546D">
        <w:rPr>
          <w:rFonts w:ascii="Times New Roman" w:hAnsi="Times New Roman" w:cs="Times New Roman"/>
          <w:i/>
          <w:sz w:val="24"/>
          <w:szCs w:val="24"/>
        </w:rPr>
        <w:t>līgumā</w:t>
      </w:r>
      <w:r w:rsidRPr="00AE546D">
        <w:rPr>
          <w:rFonts w:ascii="Times New Roman" w:hAnsi="Times New Roman" w:cs="Times New Roman"/>
          <w:i/>
          <w:spacing w:val="-10"/>
          <w:sz w:val="24"/>
          <w:szCs w:val="24"/>
        </w:rPr>
        <w:t xml:space="preserve"> </w:t>
      </w:r>
      <w:r w:rsidRPr="00AE546D">
        <w:rPr>
          <w:rFonts w:ascii="Times New Roman" w:hAnsi="Times New Roman" w:cs="Times New Roman"/>
          <w:i/>
          <w:sz w:val="24"/>
          <w:szCs w:val="24"/>
        </w:rPr>
        <w:t>nodalīti</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tādi</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maksājumi,</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kas</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mainās</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atkarībā</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no</w:t>
      </w:r>
      <w:r w:rsidRPr="00AE546D">
        <w:rPr>
          <w:rFonts w:ascii="Times New Roman" w:hAnsi="Times New Roman" w:cs="Times New Roman"/>
          <w:i/>
          <w:spacing w:val="-10"/>
          <w:sz w:val="24"/>
          <w:szCs w:val="24"/>
        </w:rPr>
        <w:t xml:space="preserve"> </w:t>
      </w:r>
      <w:r w:rsidRPr="00AE546D">
        <w:rPr>
          <w:rFonts w:ascii="Times New Roman" w:hAnsi="Times New Roman" w:cs="Times New Roman"/>
          <w:i/>
          <w:sz w:val="24"/>
          <w:szCs w:val="24"/>
        </w:rPr>
        <w:t>paša</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partnerības</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aktīva</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pieejamības,</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un tādi maksājumi, kas mainās atkarībā no noteiktu pakalpojumu lietošanas vai</w:t>
      </w:r>
      <w:r w:rsidRPr="00AE546D">
        <w:rPr>
          <w:rFonts w:ascii="Times New Roman" w:hAnsi="Times New Roman" w:cs="Times New Roman"/>
          <w:i/>
          <w:spacing w:val="-23"/>
          <w:sz w:val="24"/>
          <w:szCs w:val="24"/>
        </w:rPr>
        <w:t xml:space="preserve"> </w:t>
      </w:r>
      <w:r w:rsidRPr="00AE546D">
        <w:rPr>
          <w:rFonts w:ascii="Times New Roman" w:hAnsi="Times New Roman" w:cs="Times New Roman"/>
          <w:i/>
          <w:sz w:val="24"/>
          <w:szCs w:val="24"/>
        </w:rPr>
        <w:t>sniegšanas;</w:t>
      </w:r>
    </w:p>
    <w:p w14:paraId="650DD9C9"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i/>
          <w:sz w:val="24"/>
          <w:szCs w:val="24"/>
        </w:rPr>
      </w:pPr>
      <w:r w:rsidRPr="00AE546D">
        <w:rPr>
          <w:rFonts w:ascii="Times New Roman" w:hAnsi="Times New Roman" w:cs="Times New Roman"/>
          <w:i/>
          <w:sz w:val="24"/>
          <w:szCs w:val="24"/>
        </w:rPr>
        <w:t>līgums nosaka atšķirīgus darbības laikus līguma aktīva un pakalpojuma daļām, vai paredz iespēju tās izbeigt dažādos periodos, neietekmējot līguma</w:t>
      </w:r>
      <w:r w:rsidRPr="00AE546D">
        <w:rPr>
          <w:rFonts w:ascii="Times New Roman" w:hAnsi="Times New Roman" w:cs="Times New Roman"/>
          <w:i/>
          <w:spacing w:val="-13"/>
          <w:sz w:val="24"/>
          <w:szCs w:val="24"/>
        </w:rPr>
        <w:t xml:space="preserve"> </w:t>
      </w:r>
      <w:r w:rsidRPr="00AE546D">
        <w:rPr>
          <w:rFonts w:ascii="Times New Roman" w:hAnsi="Times New Roman" w:cs="Times New Roman"/>
          <w:i/>
          <w:sz w:val="24"/>
          <w:szCs w:val="24"/>
        </w:rPr>
        <w:t>izpildi;</w:t>
      </w:r>
    </w:p>
    <w:p w14:paraId="5F68DECA" w14:textId="77777777" w:rsidR="00697496" w:rsidRPr="00AE546D" w:rsidRDefault="00697496" w:rsidP="00CD363C">
      <w:pPr>
        <w:pStyle w:val="Sarakstarindkopa"/>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i/>
          <w:sz w:val="24"/>
          <w:szCs w:val="24"/>
        </w:rPr>
      </w:pPr>
      <w:r w:rsidRPr="00AE546D">
        <w:rPr>
          <w:rFonts w:ascii="Times New Roman" w:hAnsi="Times New Roman" w:cs="Times New Roman"/>
          <w:i/>
          <w:sz w:val="24"/>
          <w:szCs w:val="24"/>
        </w:rPr>
        <w:t>pastāv iespēja atsevišķi pārskatīt līguma aktīva un pakalpojumu daļas (piemēram, ir iespējams noteikt aktīva un pakalpojumu daļu izpildi neatkarīgi vienu no</w:t>
      </w:r>
      <w:r w:rsidRPr="00AE546D">
        <w:rPr>
          <w:rFonts w:ascii="Times New Roman" w:hAnsi="Times New Roman" w:cs="Times New Roman"/>
          <w:i/>
          <w:spacing w:val="-7"/>
          <w:sz w:val="24"/>
          <w:szCs w:val="24"/>
        </w:rPr>
        <w:t xml:space="preserve"> </w:t>
      </w:r>
      <w:r w:rsidRPr="00AE546D">
        <w:rPr>
          <w:rFonts w:ascii="Times New Roman" w:hAnsi="Times New Roman" w:cs="Times New Roman"/>
          <w:i/>
          <w:sz w:val="24"/>
          <w:szCs w:val="24"/>
        </w:rPr>
        <w:t>otras).</w:t>
      </w:r>
    </w:p>
    <w:p w14:paraId="5537E55D"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i/>
          <w:sz w:val="24"/>
          <w:szCs w:val="24"/>
        </w:rPr>
      </w:pPr>
      <w:r w:rsidRPr="00AE546D">
        <w:rPr>
          <w:rFonts w:ascii="Times New Roman" w:hAnsi="Times New Roman" w:cs="Times New Roman"/>
          <w:sz w:val="24"/>
          <w:szCs w:val="24"/>
        </w:rPr>
        <w:t>768.  Ja</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maksājumu</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daļas</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par</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un</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pakalpojumu</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ir</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nenodalāmas,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tad</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patieso</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vērtību nosaka aplēšot. Maksājumus un citu atlīdzību proporcionāli attiecina uz partnerības aktīva un pakalpojumu nosacītajām patiesajām vērtībām līguma noslēgšanas dienā vai līguma nosacījumu pārskatīšanas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dienā.</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patiesā</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vērtība</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ietver</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tikai</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tādas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summas,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kas</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attiecas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uz</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 xml:space="preserve">aktīvu, neietverot citu pakalpojumu vērtību. Atsevišķos gadījumos, lai nodalītu maksājumus par aktīviem no pakalpojumiem, budžeta iestādei ir jāsagatavo aplēses par attiecīgo daļu apmēru. </w:t>
      </w:r>
      <w:r w:rsidRPr="00AE546D">
        <w:rPr>
          <w:rFonts w:ascii="Times New Roman" w:hAnsi="Times New Roman" w:cs="Times New Roman"/>
          <w:i/>
          <w:sz w:val="24"/>
          <w:szCs w:val="24"/>
        </w:rPr>
        <w:t>Piemēram, budžeta iestāde maksājumus, kas attiecas uz aktīvu, var aplēst, atsaucoties uz salīdzināma aktīva patieso vērtību,</w:t>
      </w:r>
      <w:r w:rsidRPr="00AE546D">
        <w:rPr>
          <w:rFonts w:ascii="Times New Roman" w:hAnsi="Times New Roman" w:cs="Times New Roman"/>
          <w:i/>
          <w:spacing w:val="-5"/>
          <w:sz w:val="24"/>
          <w:szCs w:val="24"/>
        </w:rPr>
        <w:t xml:space="preserve"> </w:t>
      </w:r>
      <w:r w:rsidRPr="00AE546D">
        <w:rPr>
          <w:rFonts w:ascii="Times New Roman" w:hAnsi="Times New Roman" w:cs="Times New Roman"/>
          <w:i/>
          <w:sz w:val="24"/>
          <w:szCs w:val="24"/>
        </w:rPr>
        <w:t>kāda</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ir</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tādā</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līgumā,</w:t>
      </w:r>
      <w:r w:rsidRPr="00AE546D">
        <w:rPr>
          <w:rFonts w:ascii="Times New Roman" w:hAnsi="Times New Roman" w:cs="Times New Roman"/>
          <w:i/>
          <w:spacing w:val="-1"/>
          <w:sz w:val="24"/>
          <w:szCs w:val="24"/>
        </w:rPr>
        <w:t xml:space="preserve"> </w:t>
      </w:r>
      <w:r w:rsidRPr="00AE546D">
        <w:rPr>
          <w:rFonts w:ascii="Times New Roman" w:hAnsi="Times New Roman" w:cs="Times New Roman"/>
          <w:i/>
          <w:sz w:val="24"/>
          <w:szCs w:val="24"/>
        </w:rPr>
        <w:t>kurā</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nav</w:t>
      </w:r>
      <w:r w:rsidRPr="00AE546D">
        <w:rPr>
          <w:rFonts w:ascii="Times New Roman" w:hAnsi="Times New Roman" w:cs="Times New Roman"/>
          <w:i/>
          <w:spacing w:val="-3"/>
          <w:sz w:val="24"/>
          <w:szCs w:val="24"/>
        </w:rPr>
        <w:t xml:space="preserve"> </w:t>
      </w:r>
      <w:r w:rsidRPr="00AE546D">
        <w:rPr>
          <w:rFonts w:ascii="Times New Roman" w:hAnsi="Times New Roman" w:cs="Times New Roman"/>
          <w:i/>
          <w:sz w:val="24"/>
          <w:szCs w:val="24"/>
        </w:rPr>
        <w:t>pakalpojumu,</w:t>
      </w:r>
      <w:r w:rsidRPr="00AE546D">
        <w:rPr>
          <w:rFonts w:ascii="Times New Roman" w:hAnsi="Times New Roman" w:cs="Times New Roman"/>
          <w:i/>
          <w:spacing w:val="-5"/>
          <w:sz w:val="24"/>
          <w:szCs w:val="24"/>
        </w:rPr>
        <w:t xml:space="preserve"> </w:t>
      </w:r>
      <w:r w:rsidRPr="00AE546D">
        <w:rPr>
          <w:rFonts w:ascii="Times New Roman" w:hAnsi="Times New Roman" w:cs="Times New Roman"/>
          <w:i/>
          <w:sz w:val="24"/>
          <w:szCs w:val="24"/>
        </w:rPr>
        <w:t>vai arī</w:t>
      </w:r>
      <w:r w:rsidRPr="00AE546D">
        <w:rPr>
          <w:rFonts w:ascii="Times New Roman" w:hAnsi="Times New Roman" w:cs="Times New Roman"/>
          <w:i/>
          <w:spacing w:val="-3"/>
          <w:sz w:val="24"/>
          <w:szCs w:val="24"/>
        </w:rPr>
        <w:t xml:space="preserve"> </w:t>
      </w:r>
      <w:r w:rsidRPr="00AE546D">
        <w:rPr>
          <w:rFonts w:ascii="Times New Roman" w:hAnsi="Times New Roman" w:cs="Times New Roman"/>
          <w:i/>
          <w:sz w:val="24"/>
          <w:szCs w:val="24"/>
        </w:rPr>
        <w:t>aplēšot</w:t>
      </w:r>
      <w:r w:rsidRPr="00AE546D">
        <w:rPr>
          <w:rFonts w:ascii="Times New Roman" w:hAnsi="Times New Roman" w:cs="Times New Roman"/>
          <w:i/>
          <w:spacing w:val="-3"/>
          <w:sz w:val="24"/>
          <w:szCs w:val="24"/>
        </w:rPr>
        <w:t xml:space="preserve"> </w:t>
      </w:r>
      <w:r w:rsidRPr="00AE546D">
        <w:rPr>
          <w:rFonts w:ascii="Times New Roman" w:hAnsi="Times New Roman" w:cs="Times New Roman"/>
          <w:i/>
          <w:sz w:val="24"/>
          <w:szCs w:val="24"/>
        </w:rPr>
        <w:t>maksājumus</w:t>
      </w:r>
      <w:r w:rsidRPr="00AE546D">
        <w:rPr>
          <w:rFonts w:ascii="Times New Roman" w:hAnsi="Times New Roman" w:cs="Times New Roman"/>
          <w:i/>
          <w:spacing w:val="-6"/>
          <w:sz w:val="24"/>
          <w:szCs w:val="24"/>
        </w:rPr>
        <w:t xml:space="preserve"> </w:t>
      </w:r>
      <w:r w:rsidRPr="00AE546D">
        <w:rPr>
          <w:rFonts w:ascii="Times New Roman" w:hAnsi="Times New Roman" w:cs="Times New Roman"/>
          <w:i/>
          <w:sz w:val="24"/>
          <w:szCs w:val="24"/>
        </w:rPr>
        <w:t>par</w:t>
      </w:r>
      <w:r w:rsidRPr="00AE546D">
        <w:rPr>
          <w:rFonts w:ascii="Times New Roman" w:hAnsi="Times New Roman" w:cs="Times New Roman"/>
          <w:i/>
          <w:spacing w:val="-2"/>
          <w:sz w:val="24"/>
          <w:szCs w:val="24"/>
        </w:rPr>
        <w:t xml:space="preserve"> </w:t>
      </w:r>
      <w:r w:rsidRPr="00AE546D">
        <w:rPr>
          <w:rFonts w:ascii="Times New Roman" w:hAnsi="Times New Roman" w:cs="Times New Roman"/>
          <w:i/>
          <w:sz w:val="24"/>
          <w:szCs w:val="24"/>
        </w:rPr>
        <w:t>pakalpojumiem, atsaucoties uz salīdzināmiem darījumiem, un tad šos maksājumus atskaitot no maksājumu kopsummas.</w:t>
      </w:r>
    </w:p>
    <w:p w14:paraId="5C6715E6" w14:textId="77777777" w:rsidR="00697496" w:rsidRPr="00AE546D" w:rsidRDefault="0069749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769.  Budžeta iestāde par partnerības aktīvu var atlīdzināt privātajam partnerim ar citāda veida atlīdzību, nevis veicot maksājumus. Šādos gadījumos budžeta iestādei nerodas ar partnerības aktīva iegādi saistītas izmaksas. Šāda veida atlīdzība privātajam partnerim var būt paredzēta, lai kompensētu gan partnerības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izmaksas,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gan</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lietošanas</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izdevumus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līguma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darbības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laikā.</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Tādēļ</w:t>
      </w:r>
      <w:r w:rsidRPr="00AE546D">
        <w:rPr>
          <w:rFonts w:ascii="Times New Roman" w:hAnsi="Times New Roman" w:cs="Times New Roman"/>
          <w:spacing w:val="18"/>
          <w:sz w:val="24"/>
          <w:szCs w:val="24"/>
        </w:rPr>
        <w:t xml:space="preserve"> </w:t>
      </w:r>
      <w:r w:rsidRPr="00AE546D">
        <w:rPr>
          <w:rFonts w:ascii="Times New Roman" w:hAnsi="Times New Roman" w:cs="Times New Roman"/>
          <w:sz w:val="24"/>
          <w:szCs w:val="24"/>
        </w:rPr>
        <w:t xml:space="preserve">budžeta iestāde sākotnēji novērtē aktīvu tā patiesajā vērtībā. Papildus norādes par aktīvu novērtēšanu un uzskaiti darījumu bez maksājumiem ietvaros sniegtas </w:t>
      </w:r>
      <w:r w:rsidR="00F82339" w:rsidRPr="00AE546D">
        <w:rPr>
          <w:rFonts w:ascii="Times New Roman" w:hAnsi="Times New Roman" w:cs="Times New Roman"/>
          <w:sz w:val="24"/>
          <w:szCs w:val="24"/>
        </w:rPr>
        <w:t>grāmatvedības uzskaites kārtības</w:t>
      </w:r>
      <w:r w:rsidRPr="00AE546D">
        <w:rPr>
          <w:rFonts w:ascii="Times New Roman" w:hAnsi="Times New Roman" w:cs="Times New Roman"/>
          <w:sz w:val="24"/>
          <w:szCs w:val="24"/>
        </w:rPr>
        <w:t xml:space="preserve"> sadaļā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w:t>
        </w:r>
      </w:hyperlink>
      <w:r w:rsidRPr="00AE546D">
        <w:rPr>
          <w:rFonts w:ascii="Times New Roman" w:hAnsi="Times New Roman" w:cs="Times New Roman"/>
          <w:color w:val="0462C1"/>
          <w:sz w:val="24"/>
          <w:szCs w:val="24"/>
        </w:rPr>
        <w:t xml:space="preserve"> </w:t>
      </w:r>
      <w:hyperlink w:anchor="_bookmark33" w:history="1">
        <w:r w:rsidRPr="00AE546D">
          <w:rPr>
            <w:rFonts w:ascii="Times New Roman" w:hAnsi="Times New Roman" w:cs="Times New Roman"/>
            <w:color w:val="0462C1"/>
            <w:sz w:val="24"/>
            <w:szCs w:val="24"/>
            <w:u w:val="single" w:color="0462C1"/>
          </w:rPr>
          <w:t>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w:t>
      </w:r>
    </w:p>
    <w:p w14:paraId="79BFEEB8" w14:textId="77777777" w:rsidR="005056D3" w:rsidRDefault="005056D3"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p>
    <w:p w14:paraId="533604B3" w14:textId="77777777" w:rsidR="00697496" w:rsidRPr="00AE546D" w:rsidRDefault="00A46490"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AE546D">
        <w:rPr>
          <w:rFonts w:ascii="Times New Roman" w:hAnsi="Times New Roman" w:cs="Times New Roman"/>
          <w:b/>
          <w:bCs/>
          <w:sz w:val="24"/>
          <w:szCs w:val="24"/>
        </w:rPr>
        <w:t>19.4. Partnerības aktīva turpmākā novērtēšana</w:t>
      </w:r>
    </w:p>
    <w:p w14:paraId="5A5F2A9B" w14:textId="77777777" w:rsidR="00A46490" w:rsidRPr="00AE546D" w:rsidRDefault="00A46490"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770.  Pēc partnerības aktīva sākotnējās atzīšanas tā turpmākajai novērtēšanai un partnerības aktīva izslēgšanai no uzskaites budžeta iestāde piemēro grāmatvedības uzskaites kārtības sadaļā</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 xml:space="preserve"> noteiktos uzskaites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principus.</w:t>
      </w:r>
    </w:p>
    <w:p w14:paraId="0FF26583" w14:textId="77777777" w:rsidR="00A46490" w:rsidRPr="00AE546D" w:rsidRDefault="00A46490"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771. Budžeta iestāde partnerības aktīvus nodala analītiski un uzskaita pēc ekonomiskās būtības atbilstošā aktīvu</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grupā.</w:t>
      </w:r>
    </w:p>
    <w:p w14:paraId="612D06F7" w14:textId="77777777" w:rsidR="00A46490" w:rsidRPr="00AE546D"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 xml:space="preserve">772.  </w:t>
      </w:r>
      <w:r w:rsidR="00A46490" w:rsidRPr="00AE546D">
        <w:rPr>
          <w:rFonts w:ascii="Times New Roman" w:hAnsi="Times New Roman" w:cs="Times New Roman"/>
          <w:sz w:val="24"/>
          <w:szCs w:val="24"/>
        </w:rPr>
        <w:t>Budžeta</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iestāde</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katra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pārskata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gada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beigās</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izvērtē,</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vai</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ir</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kāda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pazīme,</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kas</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liecina,</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ka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partnerība</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 xml:space="preserve">aktīva vērtība varētu būt samazinājusies, izmantojot </w:t>
      </w:r>
      <w:r w:rsidRPr="00AE546D">
        <w:rPr>
          <w:rFonts w:ascii="Times New Roman" w:hAnsi="Times New Roman" w:cs="Times New Roman"/>
          <w:sz w:val="24"/>
          <w:szCs w:val="24"/>
        </w:rPr>
        <w:t>grāmatvedības uzskaites kārtības</w:t>
      </w:r>
      <w:r w:rsidR="00A46490" w:rsidRPr="00AE546D">
        <w:rPr>
          <w:rFonts w:ascii="Times New Roman" w:hAnsi="Times New Roman" w:cs="Times New Roman"/>
          <w:sz w:val="24"/>
          <w:szCs w:val="24"/>
        </w:rPr>
        <w:t xml:space="preserve"> sadaļā</w:t>
      </w:r>
      <w:r w:rsidR="00A46490" w:rsidRPr="00AE546D">
        <w:rPr>
          <w:rFonts w:ascii="Times New Roman" w:hAnsi="Times New Roman" w:cs="Times New Roman"/>
          <w:color w:val="0462C1"/>
          <w:sz w:val="24"/>
          <w:szCs w:val="24"/>
        </w:rPr>
        <w:t xml:space="preserve"> </w:t>
      </w:r>
      <w:r w:rsidR="00A46490" w:rsidRPr="00AE546D">
        <w:rPr>
          <w:rFonts w:ascii="Times New Roman" w:hAnsi="Times New Roman" w:cs="Times New Roman"/>
          <w:color w:val="0462C1"/>
          <w:sz w:val="24"/>
          <w:szCs w:val="24"/>
          <w:u w:val="single" w:color="0462C1"/>
        </w:rPr>
        <w:t>“</w:t>
      </w:r>
      <w:hyperlink w:anchor="_bookmark33" w:history="1">
        <w:r w:rsidR="00A46490" w:rsidRPr="00AE546D">
          <w:rPr>
            <w:rFonts w:ascii="Times New Roman" w:hAnsi="Times New Roman" w:cs="Times New Roman"/>
            <w:color w:val="0462C1"/>
            <w:sz w:val="24"/>
            <w:szCs w:val="24"/>
            <w:u w:val="single" w:color="0462C1"/>
          </w:rPr>
          <w:t>Pamatlīdzekļu uzskaite</w:t>
        </w:r>
      </w:hyperlink>
      <w:r w:rsidR="00A46490" w:rsidRPr="00AE546D">
        <w:rPr>
          <w:rFonts w:ascii="Times New Roman" w:hAnsi="Times New Roman" w:cs="Times New Roman"/>
          <w:color w:val="0462C1"/>
          <w:sz w:val="24"/>
          <w:szCs w:val="24"/>
          <w:u w:val="single" w:color="0462C1"/>
        </w:rPr>
        <w:t>”</w:t>
      </w:r>
      <w:r w:rsidR="00A46490" w:rsidRPr="00AE546D">
        <w:rPr>
          <w:rFonts w:ascii="Times New Roman" w:hAnsi="Times New Roman" w:cs="Times New Roman"/>
          <w:sz w:val="24"/>
          <w:szCs w:val="24"/>
        </w:rPr>
        <w:t xml:space="preserve"> noteiktos</w:t>
      </w:r>
      <w:r w:rsidR="00A46490" w:rsidRPr="00AE546D">
        <w:rPr>
          <w:rFonts w:ascii="Times New Roman" w:hAnsi="Times New Roman" w:cs="Times New Roman"/>
          <w:spacing w:val="-1"/>
          <w:sz w:val="24"/>
          <w:szCs w:val="24"/>
        </w:rPr>
        <w:t xml:space="preserve"> </w:t>
      </w:r>
      <w:r w:rsidR="00A46490" w:rsidRPr="00AE546D">
        <w:rPr>
          <w:rFonts w:ascii="Times New Roman" w:hAnsi="Times New Roman" w:cs="Times New Roman"/>
          <w:sz w:val="24"/>
          <w:szCs w:val="24"/>
        </w:rPr>
        <w:t>principus.</w:t>
      </w:r>
    </w:p>
    <w:p w14:paraId="17710A4C" w14:textId="77777777" w:rsidR="005056D3" w:rsidRDefault="005056D3"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p>
    <w:p w14:paraId="66A4D3E8" w14:textId="77777777" w:rsidR="00AE546D" w:rsidRPr="00AE546D"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AE546D">
        <w:rPr>
          <w:rFonts w:ascii="Times New Roman" w:hAnsi="Times New Roman" w:cs="Times New Roman"/>
          <w:b/>
          <w:bCs/>
          <w:sz w:val="24"/>
          <w:szCs w:val="24"/>
        </w:rPr>
        <w:t>19.5. Saistību sākotnējā atzīšana, novērtēšana un turpmākā uzskaite</w:t>
      </w:r>
    </w:p>
    <w:p w14:paraId="5C62645D" w14:textId="77777777" w:rsidR="00A46490" w:rsidRPr="00AE546D" w:rsidRDefault="00A46490" w:rsidP="00CD363C">
      <w:pPr>
        <w:pStyle w:val="Pamatteksts"/>
        <w:ind w:right="107"/>
        <w:jc w:val="both"/>
        <w:rPr>
          <w:sz w:val="24"/>
          <w:szCs w:val="24"/>
        </w:rPr>
      </w:pPr>
    </w:p>
    <w:p w14:paraId="45B13201"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773.  Budžeta iestāde, kas sākotnēji kā partnerības aktīvu ir atzinusi līguma rezultātā jaunradītu aktīvu vai esoša aktīva uzlabojumu, sākotnēji atzīst arī atbilstošas</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saistības.</w:t>
      </w:r>
    </w:p>
    <w:p w14:paraId="39D8319F"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774.  Gadījumā, ja budžeta iestāde līguma izpildei privātam partnerim nodod tās uzskaitē esošu aktīvu, saistības nav jāatzīst, izņemot gadījumos, kad līgums nosaka, ka privātais partneris maksā budžeta iestādei kādu papildu atlīdzību kā daļu no vienošanās. Šajā gadījumā, saņemot maksājumu no privātā partnera, budžeta iestāde atzīst saistības līdz brīdim, kad tā var atzīst ieņēmumus (</w:t>
      </w:r>
      <w:r w:rsidRPr="00312F3A">
        <w:rPr>
          <w:rFonts w:ascii="Times New Roman" w:hAnsi="Times New Roman" w:cs="Times New Roman"/>
          <w:i/>
          <w:sz w:val="24"/>
          <w:szCs w:val="24"/>
        </w:rPr>
        <w:t>piemēram, līdz brīdim, kad privātais partneris sāk izmantot partnerības</w:t>
      </w:r>
      <w:r w:rsidRPr="00312F3A">
        <w:rPr>
          <w:rFonts w:ascii="Times New Roman" w:hAnsi="Times New Roman" w:cs="Times New Roman"/>
          <w:i/>
          <w:spacing w:val="-9"/>
          <w:sz w:val="24"/>
          <w:szCs w:val="24"/>
        </w:rPr>
        <w:t xml:space="preserve"> </w:t>
      </w:r>
      <w:r w:rsidRPr="00312F3A">
        <w:rPr>
          <w:rFonts w:ascii="Times New Roman" w:hAnsi="Times New Roman" w:cs="Times New Roman"/>
          <w:i/>
          <w:sz w:val="24"/>
          <w:szCs w:val="24"/>
        </w:rPr>
        <w:t>aktīvu</w:t>
      </w:r>
      <w:r w:rsidRPr="00312F3A">
        <w:rPr>
          <w:rFonts w:ascii="Times New Roman" w:hAnsi="Times New Roman" w:cs="Times New Roman"/>
          <w:sz w:val="24"/>
          <w:szCs w:val="24"/>
        </w:rPr>
        <w:t>).</w:t>
      </w:r>
    </w:p>
    <w:p w14:paraId="35F471C3"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775.  Saistības</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klasificē,</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ņemot</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vērā</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atlīdzības</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veidu</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par</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aktīvu</w:t>
      </w:r>
      <w:r w:rsidRPr="00312F3A">
        <w:rPr>
          <w:rFonts w:ascii="Times New Roman" w:hAnsi="Times New Roman" w:cs="Times New Roman"/>
          <w:spacing w:val="-13"/>
          <w:sz w:val="24"/>
          <w:szCs w:val="24"/>
        </w:rPr>
        <w:t xml:space="preserve"> </w:t>
      </w:r>
      <w:r w:rsidRPr="00312F3A">
        <w:rPr>
          <w:rFonts w:ascii="Times New Roman" w:hAnsi="Times New Roman" w:cs="Times New Roman"/>
          <w:sz w:val="24"/>
          <w:szCs w:val="24"/>
        </w:rPr>
        <w:t>saskaņā</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ar</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līgumu</w:t>
      </w:r>
      <w:r w:rsidRPr="00312F3A">
        <w:rPr>
          <w:rFonts w:ascii="Times New Roman" w:hAnsi="Times New Roman" w:cs="Times New Roman"/>
          <w:spacing w:val="34"/>
          <w:sz w:val="24"/>
          <w:szCs w:val="24"/>
        </w:rPr>
        <w:t xml:space="preserve"> </w:t>
      </w:r>
      <w:r w:rsidRPr="00312F3A">
        <w:rPr>
          <w:rFonts w:ascii="Times New Roman" w:hAnsi="Times New Roman" w:cs="Times New Roman"/>
          <w:sz w:val="24"/>
          <w:szCs w:val="24"/>
        </w:rPr>
        <w:t>vai</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citiem</w:t>
      </w:r>
      <w:r w:rsidRPr="00312F3A">
        <w:rPr>
          <w:rFonts w:ascii="Times New Roman" w:hAnsi="Times New Roman" w:cs="Times New Roman"/>
          <w:spacing w:val="-15"/>
          <w:sz w:val="24"/>
          <w:szCs w:val="24"/>
        </w:rPr>
        <w:t xml:space="preserve"> </w:t>
      </w:r>
      <w:r w:rsidRPr="00312F3A">
        <w:rPr>
          <w:rFonts w:ascii="Times New Roman" w:hAnsi="Times New Roman" w:cs="Times New Roman"/>
          <w:sz w:val="24"/>
          <w:szCs w:val="24"/>
        </w:rPr>
        <w:t>tiesību</w:t>
      </w:r>
      <w:r w:rsidRPr="00312F3A">
        <w:rPr>
          <w:rFonts w:ascii="Times New Roman" w:hAnsi="Times New Roman" w:cs="Times New Roman"/>
          <w:spacing w:val="-14"/>
          <w:sz w:val="24"/>
          <w:szCs w:val="24"/>
        </w:rPr>
        <w:t xml:space="preserve"> </w:t>
      </w:r>
      <w:r w:rsidRPr="00312F3A">
        <w:rPr>
          <w:rFonts w:ascii="Times New Roman" w:hAnsi="Times New Roman" w:cs="Times New Roman"/>
          <w:sz w:val="24"/>
          <w:szCs w:val="24"/>
        </w:rPr>
        <w:t>aktiem. Budžeta iestāde atlīdzības veidus var jebkādi kombinēt. Izšķir divus modeļus, kādā veidā tiek uzskaitītas saistības attiecībā uz partnerības</w:t>
      </w:r>
      <w:r w:rsidRPr="00312F3A">
        <w:rPr>
          <w:rFonts w:ascii="Times New Roman" w:hAnsi="Times New Roman" w:cs="Times New Roman"/>
          <w:spacing w:val="-6"/>
          <w:sz w:val="24"/>
          <w:szCs w:val="24"/>
        </w:rPr>
        <w:t xml:space="preserve"> </w:t>
      </w:r>
      <w:r w:rsidRPr="00312F3A">
        <w:rPr>
          <w:rFonts w:ascii="Times New Roman" w:hAnsi="Times New Roman" w:cs="Times New Roman"/>
          <w:sz w:val="24"/>
          <w:szCs w:val="24"/>
        </w:rPr>
        <w:t>aktīvu:</w:t>
      </w:r>
    </w:p>
    <w:p w14:paraId="7DBD06E0" w14:textId="77777777" w:rsidR="00AE546D" w:rsidRPr="00312F3A" w:rsidRDefault="00AE546D" w:rsidP="00CD363C">
      <w:pPr>
        <w:pStyle w:val="Sarakstarindkopa"/>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312F3A">
        <w:rPr>
          <w:rFonts w:ascii="Times New Roman" w:hAnsi="Times New Roman" w:cs="Times New Roman"/>
          <w:b/>
          <w:sz w:val="24"/>
          <w:szCs w:val="24"/>
        </w:rPr>
        <w:t xml:space="preserve">finanšu saistību modelis </w:t>
      </w:r>
      <w:r w:rsidRPr="00312F3A">
        <w:rPr>
          <w:rFonts w:ascii="Times New Roman" w:hAnsi="Times New Roman" w:cs="Times New Roman"/>
          <w:sz w:val="24"/>
          <w:szCs w:val="24"/>
        </w:rPr>
        <w:t>– gadījumos, ja līgums paredz budžeta iestādei veikt vairākus maksājumus par aktīva būvniecību vai esoša aktīva uzlabojumu privātajam</w:t>
      </w:r>
      <w:r w:rsidRPr="00312F3A">
        <w:rPr>
          <w:rFonts w:ascii="Times New Roman" w:hAnsi="Times New Roman" w:cs="Times New Roman"/>
          <w:spacing w:val="-15"/>
          <w:sz w:val="24"/>
          <w:szCs w:val="24"/>
        </w:rPr>
        <w:t xml:space="preserve"> </w:t>
      </w:r>
      <w:r w:rsidRPr="00312F3A">
        <w:rPr>
          <w:rFonts w:ascii="Times New Roman" w:hAnsi="Times New Roman" w:cs="Times New Roman"/>
          <w:sz w:val="24"/>
          <w:szCs w:val="24"/>
        </w:rPr>
        <w:t>partnerim;</w:t>
      </w:r>
    </w:p>
    <w:p w14:paraId="57BDB2B0" w14:textId="77777777" w:rsidR="00AE546D" w:rsidRPr="00312F3A" w:rsidRDefault="00AE546D" w:rsidP="00CD363C">
      <w:pPr>
        <w:pStyle w:val="Sarakstarindkopa"/>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i/>
          <w:sz w:val="24"/>
          <w:szCs w:val="24"/>
        </w:rPr>
      </w:pPr>
      <w:r w:rsidRPr="00312F3A">
        <w:rPr>
          <w:rFonts w:ascii="Times New Roman" w:hAnsi="Times New Roman" w:cs="Times New Roman"/>
          <w:b/>
          <w:sz w:val="24"/>
          <w:szCs w:val="24"/>
        </w:rPr>
        <w:t xml:space="preserve">privātajam partnerim piešķirto tiesību modelis </w:t>
      </w:r>
      <w:r w:rsidRPr="00312F3A">
        <w:rPr>
          <w:rFonts w:ascii="Times New Roman" w:hAnsi="Times New Roman" w:cs="Times New Roman"/>
          <w:sz w:val="24"/>
          <w:szCs w:val="24"/>
        </w:rPr>
        <w:t>– gadījumos, ja līgums paredz, ka budžeta iestāde</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piešķir</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privātajam</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partnerim</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citāda</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veida</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atlīdzību</w:t>
      </w:r>
      <w:r w:rsidRPr="00312F3A">
        <w:rPr>
          <w:rFonts w:ascii="Times New Roman" w:hAnsi="Times New Roman" w:cs="Times New Roman"/>
          <w:spacing w:val="-7"/>
          <w:sz w:val="24"/>
          <w:szCs w:val="24"/>
        </w:rPr>
        <w:t xml:space="preserve"> </w:t>
      </w:r>
      <w:r w:rsidRPr="00312F3A">
        <w:rPr>
          <w:rFonts w:ascii="Times New Roman" w:hAnsi="Times New Roman" w:cs="Times New Roman"/>
          <w:sz w:val="24"/>
          <w:szCs w:val="24"/>
        </w:rPr>
        <w:t>par</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aktīva</w:t>
      </w:r>
      <w:r w:rsidRPr="00312F3A">
        <w:rPr>
          <w:rFonts w:ascii="Times New Roman" w:hAnsi="Times New Roman" w:cs="Times New Roman"/>
          <w:spacing w:val="-7"/>
          <w:sz w:val="24"/>
          <w:szCs w:val="24"/>
        </w:rPr>
        <w:t xml:space="preserve"> </w:t>
      </w:r>
      <w:r w:rsidRPr="00312F3A">
        <w:rPr>
          <w:rFonts w:ascii="Times New Roman" w:hAnsi="Times New Roman" w:cs="Times New Roman"/>
          <w:sz w:val="24"/>
          <w:szCs w:val="24"/>
        </w:rPr>
        <w:t>būvniecību</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vai</w:t>
      </w:r>
      <w:r w:rsidRPr="00312F3A">
        <w:rPr>
          <w:rFonts w:ascii="Times New Roman" w:hAnsi="Times New Roman" w:cs="Times New Roman"/>
          <w:spacing w:val="-7"/>
          <w:sz w:val="24"/>
          <w:szCs w:val="24"/>
        </w:rPr>
        <w:t xml:space="preserve"> </w:t>
      </w:r>
      <w:r w:rsidRPr="00312F3A">
        <w:rPr>
          <w:rFonts w:ascii="Times New Roman" w:hAnsi="Times New Roman" w:cs="Times New Roman"/>
          <w:sz w:val="24"/>
          <w:szCs w:val="24"/>
        </w:rPr>
        <w:t>esoša</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aktīva uzlabojumu.</w:t>
      </w:r>
      <w:r w:rsidRPr="00312F3A">
        <w:rPr>
          <w:rFonts w:ascii="Times New Roman" w:hAnsi="Times New Roman" w:cs="Times New Roman"/>
          <w:spacing w:val="-3"/>
          <w:sz w:val="24"/>
          <w:szCs w:val="24"/>
        </w:rPr>
        <w:t xml:space="preserve"> </w:t>
      </w:r>
      <w:r w:rsidRPr="00312F3A">
        <w:rPr>
          <w:rFonts w:ascii="Times New Roman" w:hAnsi="Times New Roman" w:cs="Times New Roman"/>
          <w:i/>
          <w:sz w:val="24"/>
          <w:szCs w:val="24"/>
        </w:rPr>
        <w:t>Piemēram,</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budžeta</w:t>
      </w:r>
      <w:r w:rsidRPr="00312F3A">
        <w:rPr>
          <w:rFonts w:ascii="Times New Roman" w:hAnsi="Times New Roman" w:cs="Times New Roman"/>
          <w:i/>
          <w:spacing w:val="-9"/>
          <w:sz w:val="24"/>
          <w:szCs w:val="24"/>
        </w:rPr>
        <w:t xml:space="preserve"> </w:t>
      </w:r>
      <w:r w:rsidRPr="00312F3A">
        <w:rPr>
          <w:rFonts w:ascii="Times New Roman" w:hAnsi="Times New Roman" w:cs="Times New Roman"/>
          <w:i/>
          <w:sz w:val="24"/>
          <w:szCs w:val="24"/>
        </w:rPr>
        <w:t>iestāde</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var</w:t>
      </w:r>
      <w:r w:rsidRPr="00312F3A">
        <w:rPr>
          <w:rFonts w:ascii="Times New Roman" w:hAnsi="Times New Roman" w:cs="Times New Roman"/>
          <w:i/>
          <w:spacing w:val="-3"/>
          <w:sz w:val="24"/>
          <w:szCs w:val="24"/>
        </w:rPr>
        <w:t xml:space="preserve"> </w:t>
      </w:r>
      <w:r w:rsidRPr="00312F3A">
        <w:rPr>
          <w:rFonts w:ascii="Times New Roman" w:hAnsi="Times New Roman" w:cs="Times New Roman"/>
          <w:i/>
          <w:sz w:val="24"/>
          <w:szCs w:val="24"/>
        </w:rPr>
        <w:t>piešķirt</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privātajam</w:t>
      </w:r>
      <w:r w:rsidRPr="00312F3A">
        <w:rPr>
          <w:rFonts w:ascii="Times New Roman" w:hAnsi="Times New Roman" w:cs="Times New Roman"/>
          <w:i/>
          <w:spacing w:val="-7"/>
          <w:sz w:val="24"/>
          <w:szCs w:val="24"/>
        </w:rPr>
        <w:t xml:space="preserve"> </w:t>
      </w:r>
      <w:r w:rsidRPr="00312F3A">
        <w:rPr>
          <w:rFonts w:ascii="Times New Roman" w:hAnsi="Times New Roman" w:cs="Times New Roman"/>
          <w:i/>
          <w:sz w:val="24"/>
          <w:szCs w:val="24"/>
        </w:rPr>
        <w:t>partnerim</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piekļuvi</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kādam</w:t>
      </w:r>
      <w:r w:rsidRPr="00312F3A">
        <w:rPr>
          <w:rFonts w:ascii="Times New Roman" w:hAnsi="Times New Roman" w:cs="Times New Roman"/>
          <w:i/>
          <w:spacing w:val="-7"/>
          <w:sz w:val="24"/>
          <w:szCs w:val="24"/>
        </w:rPr>
        <w:t xml:space="preserve"> </w:t>
      </w:r>
      <w:r w:rsidRPr="00312F3A">
        <w:rPr>
          <w:rFonts w:ascii="Times New Roman" w:hAnsi="Times New Roman" w:cs="Times New Roman"/>
          <w:i/>
          <w:sz w:val="24"/>
          <w:szCs w:val="24"/>
        </w:rPr>
        <w:t>citam ieņēmumus nesošam aktīvam, kā piemēram, maksas autostāvvieta blakus sabiedriskai ēkai vai atsevišķs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maksas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korpuss</w:t>
      </w:r>
      <w:r w:rsidRPr="00312F3A">
        <w:rPr>
          <w:rFonts w:ascii="Times New Roman" w:hAnsi="Times New Roman" w:cs="Times New Roman"/>
          <w:i/>
          <w:spacing w:val="-4"/>
          <w:sz w:val="24"/>
          <w:szCs w:val="24"/>
        </w:rPr>
        <w:t xml:space="preserve"> </w:t>
      </w:r>
      <w:r w:rsidRPr="00312F3A">
        <w:rPr>
          <w:rFonts w:ascii="Times New Roman" w:hAnsi="Times New Roman" w:cs="Times New Roman"/>
          <w:i/>
          <w:sz w:val="24"/>
          <w:szCs w:val="24"/>
        </w:rPr>
        <w:t>slimnīcas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ēkā,</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kamēr</w:t>
      </w:r>
      <w:r w:rsidRPr="00312F3A">
        <w:rPr>
          <w:rFonts w:ascii="Times New Roman" w:hAnsi="Times New Roman" w:cs="Times New Roman"/>
          <w:i/>
          <w:spacing w:val="-4"/>
          <w:sz w:val="24"/>
          <w:szCs w:val="24"/>
        </w:rPr>
        <w:t xml:space="preserve"> </w:t>
      </w:r>
      <w:r w:rsidRPr="00312F3A">
        <w:rPr>
          <w:rFonts w:ascii="Times New Roman" w:hAnsi="Times New Roman" w:cs="Times New Roman"/>
          <w:i/>
          <w:sz w:val="24"/>
          <w:szCs w:val="24"/>
        </w:rPr>
        <w:t>pārējo</w:t>
      </w:r>
      <w:r w:rsidRPr="00312F3A">
        <w:rPr>
          <w:rFonts w:ascii="Times New Roman" w:hAnsi="Times New Roman" w:cs="Times New Roman"/>
          <w:i/>
          <w:spacing w:val="-8"/>
          <w:sz w:val="24"/>
          <w:szCs w:val="24"/>
        </w:rPr>
        <w:t xml:space="preserve"> </w:t>
      </w:r>
      <w:r w:rsidRPr="00312F3A">
        <w:rPr>
          <w:rFonts w:ascii="Times New Roman" w:hAnsi="Times New Roman" w:cs="Times New Roman"/>
          <w:i/>
          <w:sz w:val="24"/>
          <w:szCs w:val="24"/>
        </w:rPr>
        <w:t>slimnīcas</w:t>
      </w:r>
      <w:r w:rsidRPr="00312F3A">
        <w:rPr>
          <w:rFonts w:ascii="Times New Roman" w:hAnsi="Times New Roman" w:cs="Times New Roman"/>
          <w:i/>
          <w:spacing w:val="-4"/>
          <w:sz w:val="24"/>
          <w:szCs w:val="24"/>
        </w:rPr>
        <w:t xml:space="preserve"> </w:t>
      </w:r>
      <w:r w:rsidRPr="00312F3A">
        <w:rPr>
          <w:rFonts w:ascii="Times New Roman" w:hAnsi="Times New Roman" w:cs="Times New Roman"/>
          <w:i/>
          <w:sz w:val="24"/>
          <w:szCs w:val="24"/>
        </w:rPr>
        <w:t>daļu</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izmanto</w:t>
      </w:r>
      <w:r w:rsidRPr="00312F3A">
        <w:rPr>
          <w:rFonts w:ascii="Times New Roman" w:hAnsi="Times New Roman" w:cs="Times New Roman"/>
          <w:i/>
          <w:spacing w:val="-7"/>
          <w:sz w:val="24"/>
          <w:szCs w:val="24"/>
        </w:rPr>
        <w:t xml:space="preserve"> </w:t>
      </w:r>
      <w:r w:rsidRPr="00312F3A">
        <w:rPr>
          <w:rFonts w:ascii="Times New Roman" w:hAnsi="Times New Roman" w:cs="Times New Roman"/>
          <w:i/>
          <w:sz w:val="24"/>
          <w:szCs w:val="24"/>
        </w:rPr>
        <w:t>valsts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apmaksātai pacientu</w:t>
      </w:r>
      <w:r w:rsidRPr="00312F3A">
        <w:rPr>
          <w:rFonts w:ascii="Times New Roman" w:hAnsi="Times New Roman" w:cs="Times New Roman"/>
          <w:i/>
          <w:spacing w:val="-3"/>
          <w:sz w:val="24"/>
          <w:szCs w:val="24"/>
        </w:rPr>
        <w:t xml:space="preserve"> </w:t>
      </w:r>
      <w:r w:rsidRPr="00312F3A">
        <w:rPr>
          <w:rFonts w:ascii="Times New Roman" w:hAnsi="Times New Roman" w:cs="Times New Roman"/>
          <w:i/>
          <w:sz w:val="24"/>
          <w:szCs w:val="24"/>
        </w:rPr>
        <w:t>ārstēšanai.</w:t>
      </w:r>
    </w:p>
    <w:p w14:paraId="237CF8C2"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776.  Budžeta</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iestāde</w:t>
      </w:r>
      <w:r w:rsidRPr="00312F3A">
        <w:rPr>
          <w:rFonts w:ascii="Times New Roman" w:hAnsi="Times New Roman" w:cs="Times New Roman"/>
          <w:spacing w:val="34"/>
          <w:sz w:val="24"/>
          <w:szCs w:val="24"/>
        </w:rPr>
        <w:t xml:space="preserve"> </w:t>
      </w:r>
      <w:r w:rsidRPr="00312F3A">
        <w:rPr>
          <w:rFonts w:ascii="Times New Roman" w:hAnsi="Times New Roman" w:cs="Times New Roman"/>
          <w:sz w:val="24"/>
          <w:szCs w:val="24"/>
        </w:rPr>
        <w:t>sākotnēji</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saistības</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novērtē</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tādā</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pašā</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summā</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kā</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partnerības</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aktīvu</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un</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atzīst</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vienlaikus ar partnerības aktīvu, veicot sekojošu</w:t>
      </w:r>
      <w:r w:rsidRPr="00312F3A">
        <w:rPr>
          <w:rFonts w:ascii="Times New Roman" w:hAnsi="Times New Roman" w:cs="Times New Roman"/>
          <w:spacing w:val="-3"/>
          <w:sz w:val="24"/>
          <w:szCs w:val="24"/>
        </w:rPr>
        <w:t xml:space="preserve"> </w:t>
      </w:r>
      <w:r w:rsidRPr="00312F3A">
        <w:rPr>
          <w:rFonts w:ascii="Times New Roman" w:hAnsi="Times New Roman" w:cs="Times New Roman"/>
          <w:sz w:val="24"/>
          <w:szCs w:val="24"/>
        </w:rPr>
        <w:t>grāmatojumu:</w:t>
      </w:r>
    </w:p>
    <w:p w14:paraId="0C5FF6C2" w14:textId="77777777" w:rsidR="00AE546D" w:rsidRPr="00312F3A" w:rsidRDefault="00AE546D" w:rsidP="00CD363C">
      <w:pPr>
        <w:spacing w:after="0" w:line="240" w:lineRule="auto"/>
        <w:ind w:right="107"/>
        <w:jc w:val="both"/>
        <w:rPr>
          <w:rFonts w:ascii="Times New Roman" w:hAnsi="Times New Roman" w:cs="Times New Roman"/>
          <w:i/>
          <w:sz w:val="24"/>
          <w:szCs w:val="24"/>
        </w:rPr>
      </w:pPr>
      <w:r w:rsidRPr="00312F3A">
        <w:rPr>
          <w:rFonts w:ascii="Times New Roman" w:hAnsi="Times New Roman" w:cs="Times New Roman"/>
          <w:i/>
          <w:sz w:val="24"/>
          <w:szCs w:val="24"/>
        </w:rPr>
        <w:t>Grāmatojums, atzīstot finanšu saistības – finanšu saistību modeļa gadījumā:</w:t>
      </w:r>
    </w:p>
    <w:p w14:paraId="588A2081" w14:textId="77777777" w:rsidR="00AE546D"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w:t>
      </w:r>
      <w:r w:rsidR="00AE546D" w:rsidRPr="00312F3A">
        <w:rPr>
          <w:rFonts w:ascii="Times New Roman" w:hAnsi="Times New Roman" w:cs="Times New Roman"/>
          <w:b/>
          <w:bCs/>
          <w:iCs/>
          <w:sz w:val="24"/>
          <w:szCs w:val="24"/>
        </w:rPr>
        <w:t>D</w:t>
      </w:r>
      <w:r w:rsidRPr="00312F3A">
        <w:rPr>
          <w:rFonts w:ascii="Times New Roman" w:hAnsi="Times New Roman" w:cs="Times New Roman"/>
          <w:b/>
          <w:bCs/>
          <w:iCs/>
          <w:sz w:val="24"/>
          <w:szCs w:val="24"/>
        </w:rPr>
        <w:t xml:space="preserve">   1200   Pamatlīdzekļi*</w:t>
      </w:r>
    </w:p>
    <w:p w14:paraId="460DDF43"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5100   Ilgtermiņa saistības</w:t>
      </w:r>
    </w:p>
    <w:p w14:paraId="1D3AE47C"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5300   Ilgtermiņa saistības pret piegādātājiem un darbuzņēmējiem</w:t>
      </w:r>
    </w:p>
    <w:p w14:paraId="775C2609" w14:textId="77777777" w:rsidR="00312F3A" w:rsidRPr="00312F3A" w:rsidRDefault="00312F3A" w:rsidP="00CD363C">
      <w:pPr>
        <w:spacing w:after="0" w:line="240" w:lineRule="auto"/>
        <w:ind w:right="107"/>
        <w:jc w:val="both"/>
        <w:rPr>
          <w:rFonts w:ascii="Times New Roman" w:hAnsi="Times New Roman" w:cs="Times New Roman"/>
          <w:iCs/>
          <w:sz w:val="24"/>
          <w:szCs w:val="24"/>
        </w:rPr>
      </w:pPr>
      <w:r w:rsidRPr="00312F3A">
        <w:rPr>
          <w:rFonts w:ascii="Times New Roman" w:hAnsi="Times New Roman" w:cs="Times New Roman"/>
          <w:iCs/>
          <w:sz w:val="24"/>
          <w:szCs w:val="24"/>
        </w:rPr>
        <w:t>*partnerības aktīvs</w:t>
      </w:r>
    </w:p>
    <w:p w14:paraId="252C21EE" w14:textId="77777777" w:rsidR="00AE546D" w:rsidRPr="00312F3A" w:rsidRDefault="00AE546D" w:rsidP="00CD363C">
      <w:pPr>
        <w:spacing w:after="0" w:line="240" w:lineRule="auto"/>
        <w:ind w:right="107"/>
        <w:jc w:val="both"/>
        <w:rPr>
          <w:rFonts w:ascii="Times New Roman" w:hAnsi="Times New Roman" w:cs="Times New Roman"/>
          <w:i/>
          <w:sz w:val="24"/>
          <w:szCs w:val="24"/>
        </w:rPr>
      </w:pPr>
      <w:r w:rsidRPr="00312F3A">
        <w:rPr>
          <w:rFonts w:ascii="Times New Roman" w:hAnsi="Times New Roman" w:cs="Times New Roman"/>
          <w:i/>
          <w:sz w:val="24"/>
          <w:szCs w:val="24"/>
        </w:rPr>
        <w:t>Grāmatojums, atzīstot saistības – privātajam partnerim piešķirto tiesību modeļa gadījumā:</w:t>
      </w:r>
    </w:p>
    <w:p w14:paraId="291E6847"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D   1200   Pamatlīdzekļi</w:t>
      </w:r>
    </w:p>
    <w:p w14:paraId="0E9323D8"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5150   Ilgtermiņa nākamo periodu ieņēmumi un saņemtie avansa maksājumi</w:t>
      </w:r>
    </w:p>
    <w:p w14:paraId="3DD2C3DA"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5910   Nākamo periodu ieņēmumi un saņemtie avansa maksājumi</w:t>
      </w:r>
    </w:p>
    <w:p w14:paraId="59B04661" w14:textId="77777777" w:rsidR="00312F3A" w:rsidRDefault="00312F3A" w:rsidP="00CD363C">
      <w:pPr>
        <w:spacing w:after="0" w:line="240" w:lineRule="auto"/>
        <w:ind w:right="107"/>
        <w:jc w:val="both"/>
        <w:rPr>
          <w:rFonts w:ascii="Times New Roman" w:hAnsi="Times New Roman" w:cs="Times New Roman"/>
          <w:iCs/>
          <w:sz w:val="24"/>
          <w:szCs w:val="24"/>
        </w:rPr>
      </w:pPr>
      <w:r w:rsidRPr="00312F3A">
        <w:rPr>
          <w:rFonts w:ascii="Times New Roman" w:hAnsi="Times New Roman" w:cs="Times New Roman"/>
          <w:iCs/>
          <w:sz w:val="24"/>
          <w:szCs w:val="24"/>
        </w:rPr>
        <w:t xml:space="preserve">   *partnerības aktīvs </w:t>
      </w:r>
    </w:p>
    <w:p w14:paraId="5A88DC51" w14:textId="77777777" w:rsidR="008B5DDA" w:rsidRPr="00015E9E"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15E9E">
        <w:rPr>
          <w:rFonts w:ascii="Times New Roman" w:hAnsi="Times New Roman" w:cs="Times New Roman"/>
          <w:sz w:val="24"/>
          <w:szCs w:val="24"/>
        </w:rPr>
        <w:t xml:space="preserve">777. </w:t>
      </w:r>
      <w:r w:rsidR="008B5DDA" w:rsidRPr="00015E9E">
        <w:rPr>
          <w:rFonts w:ascii="Times New Roman" w:hAnsi="Times New Roman" w:cs="Times New Roman"/>
          <w:sz w:val="24"/>
          <w:szCs w:val="24"/>
        </w:rPr>
        <w:t>Ja budžeta iestāde veic avansa maksājumu privātajam partnerim pirms partnerības aktīva atzīšanas, budžeta iestāde šos maksājumus atzīst kā priekšapmaksu (avansa maksājumus), veicot sekojošu grāmatojumu:</w:t>
      </w:r>
    </w:p>
    <w:p w14:paraId="4F78EA8A" w14:textId="77777777" w:rsidR="00015E9E" w:rsidRPr="00015E9E"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015E9E">
        <w:rPr>
          <w:rFonts w:ascii="Times New Roman" w:hAnsi="Times New Roman" w:cs="Times New Roman"/>
          <w:sz w:val="24"/>
          <w:szCs w:val="24"/>
        </w:rPr>
        <w:t xml:space="preserve">    </w:t>
      </w:r>
      <w:r w:rsidRPr="00015E9E">
        <w:rPr>
          <w:rFonts w:ascii="Times New Roman" w:hAnsi="Times New Roman" w:cs="Times New Roman"/>
          <w:b/>
          <w:bCs/>
          <w:sz w:val="24"/>
          <w:szCs w:val="24"/>
        </w:rPr>
        <w:t>D    1280   Avansa maksājumi par pamatlīdzekļiem</w:t>
      </w:r>
    </w:p>
    <w:p w14:paraId="6CCA852D" w14:textId="77777777" w:rsidR="00015E9E"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015E9E">
        <w:rPr>
          <w:rFonts w:ascii="Times New Roman" w:hAnsi="Times New Roman" w:cs="Times New Roman"/>
          <w:b/>
          <w:bCs/>
          <w:sz w:val="24"/>
          <w:szCs w:val="24"/>
        </w:rPr>
        <w:t xml:space="preserve">    K    2600   Naudas līdzekļi</w:t>
      </w:r>
    </w:p>
    <w:p w14:paraId="3063EF68"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778. Sekojoši</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atzīstot</w:t>
      </w:r>
      <w:r w:rsidRPr="00D54B51">
        <w:rPr>
          <w:rFonts w:ascii="Times New Roman" w:hAnsi="Times New Roman" w:cs="Times New Roman"/>
          <w:spacing w:val="-2"/>
          <w:sz w:val="24"/>
          <w:szCs w:val="24"/>
        </w:rPr>
        <w:t xml:space="preserve"> </w:t>
      </w:r>
      <w:r w:rsidRPr="00D54B51">
        <w:rPr>
          <w:rFonts w:ascii="Times New Roman" w:hAnsi="Times New Roman" w:cs="Times New Roman"/>
          <w:sz w:val="24"/>
          <w:szCs w:val="24"/>
        </w:rPr>
        <w:t>partnerības</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aktīvu,</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budžeta</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iestāde</w:t>
      </w:r>
      <w:r w:rsidRPr="00D54B51">
        <w:rPr>
          <w:rFonts w:ascii="Times New Roman" w:hAnsi="Times New Roman" w:cs="Times New Roman"/>
          <w:spacing w:val="-2"/>
          <w:sz w:val="24"/>
          <w:szCs w:val="24"/>
        </w:rPr>
        <w:t xml:space="preserve"> </w:t>
      </w:r>
      <w:r w:rsidRPr="00D54B51">
        <w:rPr>
          <w:rFonts w:ascii="Times New Roman" w:hAnsi="Times New Roman" w:cs="Times New Roman"/>
          <w:sz w:val="24"/>
          <w:szCs w:val="24"/>
        </w:rPr>
        <w:t>koriģē</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finanšu</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saistības</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par</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jebkādām</w:t>
      </w:r>
      <w:r w:rsidRPr="00D54B51">
        <w:rPr>
          <w:rFonts w:ascii="Times New Roman" w:hAnsi="Times New Roman" w:cs="Times New Roman"/>
          <w:spacing w:val="-6"/>
          <w:sz w:val="24"/>
          <w:szCs w:val="24"/>
        </w:rPr>
        <w:t xml:space="preserve"> </w:t>
      </w:r>
      <w:r w:rsidRPr="00D54B51">
        <w:rPr>
          <w:rFonts w:ascii="Times New Roman" w:hAnsi="Times New Roman" w:cs="Times New Roman"/>
          <w:sz w:val="24"/>
          <w:szCs w:val="24"/>
        </w:rPr>
        <w:t>privātajam partnerim</w:t>
      </w:r>
      <w:r w:rsidRPr="00D54B51">
        <w:rPr>
          <w:rFonts w:ascii="Times New Roman" w:hAnsi="Times New Roman" w:cs="Times New Roman"/>
          <w:spacing w:val="-8"/>
          <w:sz w:val="24"/>
          <w:szCs w:val="24"/>
        </w:rPr>
        <w:t xml:space="preserve"> </w:t>
      </w:r>
      <w:r w:rsidRPr="00D54B51">
        <w:rPr>
          <w:rFonts w:ascii="Times New Roman" w:hAnsi="Times New Roman" w:cs="Times New Roman"/>
          <w:sz w:val="24"/>
          <w:szCs w:val="24"/>
        </w:rPr>
        <w:t>veiktajām</w:t>
      </w:r>
      <w:r w:rsidRPr="00D54B51">
        <w:rPr>
          <w:rFonts w:ascii="Times New Roman" w:hAnsi="Times New Roman" w:cs="Times New Roman"/>
          <w:spacing w:val="-6"/>
          <w:sz w:val="24"/>
          <w:szCs w:val="24"/>
        </w:rPr>
        <w:t xml:space="preserve"> </w:t>
      </w:r>
      <w:r w:rsidRPr="00D54B51">
        <w:rPr>
          <w:rFonts w:ascii="Times New Roman" w:hAnsi="Times New Roman" w:cs="Times New Roman"/>
          <w:sz w:val="24"/>
          <w:szCs w:val="24"/>
        </w:rPr>
        <w:t>vai</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no</w:t>
      </w:r>
      <w:r w:rsidRPr="00D54B51">
        <w:rPr>
          <w:rFonts w:ascii="Times New Roman" w:hAnsi="Times New Roman" w:cs="Times New Roman"/>
          <w:spacing w:val="-7"/>
          <w:sz w:val="24"/>
          <w:szCs w:val="24"/>
        </w:rPr>
        <w:t xml:space="preserve"> </w:t>
      </w:r>
      <w:r w:rsidRPr="00D54B51">
        <w:rPr>
          <w:rFonts w:ascii="Times New Roman" w:hAnsi="Times New Roman" w:cs="Times New Roman"/>
          <w:sz w:val="24"/>
          <w:szCs w:val="24"/>
        </w:rPr>
        <w:t>tā</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saņemtajām</w:t>
      </w:r>
      <w:r w:rsidRPr="00D54B51">
        <w:rPr>
          <w:rFonts w:ascii="Times New Roman" w:hAnsi="Times New Roman" w:cs="Times New Roman"/>
          <w:spacing w:val="-7"/>
          <w:sz w:val="24"/>
          <w:szCs w:val="24"/>
        </w:rPr>
        <w:t xml:space="preserve"> </w:t>
      </w:r>
      <w:r w:rsidRPr="00D54B51">
        <w:rPr>
          <w:rFonts w:ascii="Times New Roman" w:hAnsi="Times New Roman" w:cs="Times New Roman"/>
          <w:sz w:val="24"/>
          <w:szCs w:val="24"/>
        </w:rPr>
        <w:t>atlīdzībām</w:t>
      </w:r>
      <w:r w:rsidRPr="00D54B51">
        <w:rPr>
          <w:rFonts w:ascii="Times New Roman" w:hAnsi="Times New Roman" w:cs="Times New Roman"/>
          <w:spacing w:val="-8"/>
          <w:sz w:val="24"/>
          <w:szCs w:val="24"/>
        </w:rPr>
        <w:t xml:space="preserve"> </w:t>
      </w:r>
      <w:r w:rsidRPr="00D54B51">
        <w:rPr>
          <w:rFonts w:ascii="Times New Roman" w:hAnsi="Times New Roman" w:cs="Times New Roman"/>
          <w:sz w:val="24"/>
          <w:szCs w:val="24"/>
        </w:rPr>
        <w:t>(piemēram,</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iepriekš</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veiktā</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avansa</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maksājuma), veicot sekojošus grāmatojumus:</w:t>
      </w:r>
    </w:p>
    <w:p w14:paraId="04E43D87"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D    1200   Pamatlīdzekļi*</w:t>
      </w:r>
    </w:p>
    <w:p w14:paraId="4319283A"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K    5100   Ilgtermiņa saistības</w:t>
      </w:r>
    </w:p>
    <w:p w14:paraId="37291E26"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D    5100   Ilgtermiņa saistības</w:t>
      </w:r>
    </w:p>
    <w:p w14:paraId="3F7672EB"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K    1280   Avansa maksājumi par pamatlīdzekļiem</w:t>
      </w:r>
    </w:p>
    <w:p w14:paraId="3E23766A" w14:textId="77777777" w:rsid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*partnerības aktīvs</w:t>
      </w:r>
    </w:p>
    <w:p w14:paraId="7182A090"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779.  Zemāk sniegts detalizēts skaidrojums finanšu saistību modeļa un privātajam partnerim piešķirto tiesību modeļa ietvaros atzīto saistību</w:t>
      </w:r>
      <w:r w:rsidRPr="00D54B51">
        <w:rPr>
          <w:rFonts w:ascii="Times New Roman" w:hAnsi="Times New Roman" w:cs="Times New Roman"/>
          <w:spacing w:val="-2"/>
          <w:sz w:val="24"/>
          <w:szCs w:val="24"/>
        </w:rPr>
        <w:t xml:space="preserve"> </w:t>
      </w:r>
      <w:r w:rsidRPr="00D54B51">
        <w:rPr>
          <w:rFonts w:ascii="Times New Roman" w:hAnsi="Times New Roman" w:cs="Times New Roman"/>
          <w:sz w:val="24"/>
          <w:szCs w:val="24"/>
        </w:rPr>
        <w:t>uzskaitei.</w:t>
      </w:r>
    </w:p>
    <w:p w14:paraId="3B56AF45"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19.6. Finanšu saistību modelis</w:t>
      </w:r>
    </w:p>
    <w:p w14:paraId="078EC6C2"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D54B51">
        <w:rPr>
          <w:rFonts w:ascii="Times New Roman" w:hAnsi="Times New Roman" w:cs="Times New Roman"/>
          <w:sz w:val="24"/>
          <w:szCs w:val="24"/>
        </w:rPr>
        <w:t xml:space="preserve">780.  Ja budžeta iestādei ir beznosacījuma pienākums par partnerības aktīva izveidi, izstrādi, iegādi vai esoša aktīva uzlabojumu privātajam partnerim samaksāt ar naudas līdzekļiem vai ar citu finanšu aktīvu, budžeta iestāde saistības uzskaita kā </w:t>
      </w:r>
      <w:r w:rsidRPr="00D54B51">
        <w:rPr>
          <w:rFonts w:ascii="Times New Roman" w:hAnsi="Times New Roman" w:cs="Times New Roman"/>
          <w:b/>
          <w:sz w:val="24"/>
          <w:szCs w:val="24"/>
        </w:rPr>
        <w:t>finanšu saistības</w:t>
      </w:r>
      <w:r w:rsidRPr="00D54B51">
        <w:rPr>
          <w:rFonts w:ascii="Times New Roman" w:hAnsi="Times New Roman" w:cs="Times New Roman"/>
          <w:sz w:val="24"/>
          <w:szCs w:val="24"/>
        </w:rPr>
        <w:t xml:space="preserve">. </w:t>
      </w:r>
      <w:r w:rsidRPr="00D54B51">
        <w:rPr>
          <w:rFonts w:ascii="Times New Roman" w:hAnsi="Times New Roman" w:cs="Times New Roman"/>
          <w:i/>
          <w:sz w:val="24"/>
          <w:szCs w:val="24"/>
        </w:rPr>
        <w:t>Beznosacījumu pienākums nozīmē, ka budžeta</w:t>
      </w:r>
      <w:r w:rsidRPr="00D54B51">
        <w:rPr>
          <w:rFonts w:ascii="Times New Roman" w:hAnsi="Times New Roman" w:cs="Times New Roman"/>
          <w:i/>
          <w:spacing w:val="-8"/>
          <w:sz w:val="24"/>
          <w:szCs w:val="24"/>
        </w:rPr>
        <w:t xml:space="preserve"> </w:t>
      </w:r>
      <w:r w:rsidRPr="00D54B51">
        <w:rPr>
          <w:rFonts w:ascii="Times New Roman" w:hAnsi="Times New Roman" w:cs="Times New Roman"/>
          <w:i/>
          <w:sz w:val="24"/>
          <w:szCs w:val="24"/>
        </w:rPr>
        <w:t>iestādei</w:t>
      </w:r>
      <w:r w:rsidRPr="00D54B51">
        <w:rPr>
          <w:rFonts w:ascii="Times New Roman" w:hAnsi="Times New Roman" w:cs="Times New Roman"/>
          <w:i/>
          <w:spacing w:val="-6"/>
          <w:sz w:val="24"/>
          <w:szCs w:val="24"/>
        </w:rPr>
        <w:t xml:space="preserve"> </w:t>
      </w:r>
      <w:r w:rsidRPr="00D54B51">
        <w:rPr>
          <w:rFonts w:ascii="Times New Roman" w:hAnsi="Times New Roman" w:cs="Times New Roman"/>
          <w:i/>
          <w:sz w:val="24"/>
          <w:szCs w:val="24"/>
        </w:rPr>
        <w:t>nav</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iespējas</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izvairīties</w:t>
      </w:r>
      <w:r w:rsidRPr="00D54B51">
        <w:rPr>
          <w:rFonts w:ascii="Times New Roman" w:hAnsi="Times New Roman" w:cs="Times New Roman"/>
          <w:i/>
          <w:spacing w:val="-6"/>
          <w:sz w:val="24"/>
          <w:szCs w:val="24"/>
        </w:rPr>
        <w:t xml:space="preserve"> </w:t>
      </w:r>
      <w:r w:rsidRPr="00D54B51">
        <w:rPr>
          <w:rFonts w:ascii="Times New Roman" w:hAnsi="Times New Roman" w:cs="Times New Roman"/>
          <w:i/>
          <w:sz w:val="24"/>
          <w:szCs w:val="24"/>
        </w:rPr>
        <w:t>no</w:t>
      </w:r>
      <w:r w:rsidRPr="00D54B51">
        <w:rPr>
          <w:rFonts w:ascii="Times New Roman" w:hAnsi="Times New Roman" w:cs="Times New Roman"/>
          <w:i/>
          <w:spacing w:val="-10"/>
          <w:sz w:val="24"/>
          <w:szCs w:val="24"/>
        </w:rPr>
        <w:t xml:space="preserve"> </w:t>
      </w:r>
      <w:r w:rsidRPr="00D54B51">
        <w:rPr>
          <w:rFonts w:ascii="Times New Roman" w:hAnsi="Times New Roman" w:cs="Times New Roman"/>
          <w:i/>
          <w:sz w:val="24"/>
          <w:szCs w:val="24"/>
        </w:rPr>
        <w:t>konkrētā</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pienākuma,</w:t>
      </w:r>
      <w:r w:rsidRPr="00D54B51">
        <w:rPr>
          <w:rFonts w:ascii="Times New Roman" w:hAnsi="Times New Roman" w:cs="Times New Roman"/>
          <w:i/>
          <w:spacing w:val="-10"/>
          <w:sz w:val="24"/>
          <w:szCs w:val="24"/>
        </w:rPr>
        <w:t xml:space="preserve"> </w:t>
      </w:r>
      <w:r w:rsidRPr="00D54B51">
        <w:rPr>
          <w:rFonts w:ascii="Times New Roman" w:hAnsi="Times New Roman" w:cs="Times New Roman"/>
          <w:i/>
          <w:sz w:val="24"/>
          <w:szCs w:val="24"/>
        </w:rPr>
        <w:t>jo</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saistību</w:t>
      </w:r>
      <w:r w:rsidRPr="00D54B51">
        <w:rPr>
          <w:rFonts w:ascii="Times New Roman" w:hAnsi="Times New Roman" w:cs="Times New Roman"/>
          <w:i/>
          <w:spacing w:val="-11"/>
          <w:sz w:val="24"/>
          <w:szCs w:val="24"/>
        </w:rPr>
        <w:t xml:space="preserve"> </w:t>
      </w:r>
      <w:r w:rsidRPr="00D54B51">
        <w:rPr>
          <w:rFonts w:ascii="Times New Roman" w:hAnsi="Times New Roman" w:cs="Times New Roman"/>
          <w:i/>
          <w:sz w:val="24"/>
          <w:szCs w:val="24"/>
        </w:rPr>
        <w:t>izpildi</w:t>
      </w:r>
      <w:r w:rsidRPr="00D54B51">
        <w:rPr>
          <w:rFonts w:ascii="Times New Roman" w:hAnsi="Times New Roman" w:cs="Times New Roman"/>
          <w:i/>
          <w:spacing w:val="-9"/>
          <w:sz w:val="24"/>
          <w:szCs w:val="24"/>
        </w:rPr>
        <w:t xml:space="preserve"> </w:t>
      </w:r>
      <w:r w:rsidRPr="00D54B51">
        <w:rPr>
          <w:rFonts w:ascii="Times New Roman" w:hAnsi="Times New Roman" w:cs="Times New Roman"/>
          <w:i/>
          <w:sz w:val="24"/>
          <w:szCs w:val="24"/>
        </w:rPr>
        <w:t>paredz</w:t>
      </w:r>
      <w:r w:rsidRPr="00D54B51">
        <w:rPr>
          <w:rFonts w:ascii="Times New Roman" w:hAnsi="Times New Roman" w:cs="Times New Roman"/>
          <w:i/>
          <w:spacing w:val="-9"/>
          <w:sz w:val="24"/>
          <w:szCs w:val="24"/>
        </w:rPr>
        <w:t xml:space="preserve"> </w:t>
      </w:r>
      <w:r w:rsidRPr="00D54B51">
        <w:rPr>
          <w:rFonts w:ascii="Times New Roman" w:hAnsi="Times New Roman" w:cs="Times New Roman"/>
          <w:i/>
          <w:sz w:val="24"/>
          <w:szCs w:val="24"/>
        </w:rPr>
        <w:t>tiesību</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akti.</w:t>
      </w:r>
    </w:p>
    <w:p w14:paraId="0B6BA80B" w14:textId="77777777" w:rsidR="00D54B51" w:rsidRPr="00D54B51" w:rsidRDefault="00D54B51"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781.  Finanšu saistību modeļa vispārējie principi ilustratīvi uzrādīti</w:t>
      </w:r>
      <w:r w:rsidRPr="00D54B51">
        <w:rPr>
          <w:rFonts w:ascii="Times New Roman" w:hAnsi="Times New Roman" w:cs="Times New Roman"/>
          <w:spacing w:val="-1"/>
          <w:sz w:val="24"/>
          <w:szCs w:val="24"/>
        </w:rPr>
        <w:t xml:space="preserve"> </w:t>
      </w:r>
      <w:r w:rsidRPr="00D54B51">
        <w:rPr>
          <w:rFonts w:ascii="Times New Roman" w:hAnsi="Times New Roman" w:cs="Times New Roman"/>
          <w:sz w:val="24"/>
          <w:szCs w:val="24"/>
        </w:rPr>
        <w:t>2.attēlā.</w:t>
      </w:r>
    </w:p>
    <w:p w14:paraId="3C1A5DE0" w14:textId="77777777" w:rsidR="00D54B51" w:rsidRPr="00D54B51" w:rsidRDefault="00D54B51" w:rsidP="00CD363C">
      <w:pPr>
        <w:pStyle w:val="Pamatteksts"/>
        <w:ind w:right="107"/>
        <w:jc w:val="both"/>
        <w:rPr>
          <w:sz w:val="24"/>
          <w:szCs w:val="24"/>
        </w:rPr>
      </w:pPr>
    </w:p>
    <w:p w14:paraId="5A9036D6" w14:textId="77777777" w:rsidR="00D54B51" w:rsidRDefault="00D54B51" w:rsidP="00CD363C">
      <w:pPr>
        <w:pStyle w:val="Pamatteksts"/>
        <w:ind w:right="107"/>
        <w:jc w:val="both"/>
        <w:rPr>
          <w:sz w:val="20"/>
        </w:rPr>
      </w:pPr>
    </w:p>
    <w:p w14:paraId="69948F20" w14:textId="77777777" w:rsidR="00D54B51" w:rsidRDefault="00870ECE" w:rsidP="00CD363C">
      <w:pPr>
        <w:pStyle w:val="Pamatteksts"/>
        <w:ind w:right="107"/>
        <w:jc w:val="both"/>
        <w:rPr>
          <w:sz w:val="11"/>
        </w:rPr>
      </w:pPr>
      <w:r>
        <w:rPr>
          <w:noProof/>
        </w:rPr>
        <mc:AlternateContent>
          <mc:Choice Requires="wpg">
            <w:drawing>
              <wp:anchor distT="0" distB="0" distL="0" distR="0" simplePos="0" relativeHeight="251689984" behindDoc="0" locked="0" layoutInCell="1" allowOverlap="1" wp14:anchorId="02417D2A" wp14:editId="256B615E">
                <wp:simplePos x="0" y="0"/>
                <wp:positionH relativeFrom="page">
                  <wp:posOffset>1551305</wp:posOffset>
                </wp:positionH>
                <wp:positionV relativeFrom="paragraph">
                  <wp:posOffset>200660</wp:posOffset>
                </wp:positionV>
                <wp:extent cx="5487035" cy="1478915"/>
                <wp:effectExtent l="0" t="9525" r="635" b="6985"/>
                <wp:wrapTopAndBottom/>
                <wp:docPr id="73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1478915"/>
                          <a:chOff x="2443" y="316"/>
                          <a:chExt cx="8641" cy="2329"/>
                        </a:xfrm>
                      </wpg:grpSpPr>
                      <wps:wsp>
                        <wps:cNvPr id="736" name="Rectangle 55"/>
                        <wps:cNvSpPr>
                          <a:spLocks noChangeArrowheads="1"/>
                        </wps:cNvSpPr>
                        <wps:spPr bwMode="auto">
                          <a:xfrm>
                            <a:off x="2443" y="325"/>
                            <a:ext cx="1496" cy="23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56"/>
                        <wps:cNvSpPr>
                          <a:spLocks noChangeArrowheads="1"/>
                        </wps:cNvSpPr>
                        <wps:spPr bwMode="auto">
                          <a:xfrm>
                            <a:off x="3938" y="325"/>
                            <a:ext cx="2074" cy="2309"/>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57"/>
                        <wps:cNvSpPr>
                          <a:spLocks noChangeArrowheads="1"/>
                        </wps:cNvSpPr>
                        <wps:spPr bwMode="auto">
                          <a:xfrm>
                            <a:off x="3938" y="325"/>
                            <a:ext cx="2074"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58"/>
                        <wps:cNvSpPr>
                          <a:spLocks noChangeArrowheads="1"/>
                        </wps:cNvSpPr>
                        <wps:spPr bwMode="auto">
                          <a:xfrm>
                            <a:off x="6011" y="325"/>
                            <a:ext cx="1468" cy="23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59"/>
                        <wps:cNvSpPr>
                          <a:spLocks noChangeArrowheads="1"/>
                        </wps:cNvSpPr>
                        <wps:spPr bwMode="auto">
                          <a:xfrm>
                            <a:off x="6011" y="325"/>
                            <a:ext cx="1468"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60"/>
                        <wps:cNvSpPr>
                          <a:spLocks noChangeArrowheads="1"/>
                        </wps:cNvSpPr>
                        <wps:spPr bwMode="auto">
                          <a:xfrm>
                            <a:off x="7478" y="325"/>
                            <a:ext cx="2100" cy="2309"/>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61"/>
                        <wps:cNvSpPr>
                          <a:spLocks noChangeArrowheads="1"/>
                        </wps:cNvSpPr>
                        <wps:spPr bwMode="auto">
                          <a:xfrm>
                            <a:off x="7478" y="325"/>
                            <a:ext cx="2100"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62"/>
                        <wps:cNvSpPr>
                          <a:spLocks noChangeArrowheads="1"/>
                        </wps:cNvSpPr>
                        <wps:spPr bwMode="auto">
                          <a:xfrm>
                            <a:off x="9578" y="325"/>
                            <a:ext cx="1496" cy="23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63"/>
                        <wps:cNvSpPr>
                          <a:spLocks noChangeArrowheads="1"/>
                        </wps:cNvSpPr>
                        <wps:spPr bwMode="auto">
                          <a:xfrm>
                            <a:off x="9578" y="325"/>
                            <a:ext cx="1496"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utoShape 64"/>
                        <wps:cNvSpPr>
                          <a:spLocks/>
                        </wps:cNvSpPr>
                        <wps:spPr bwMode="auto">
                          <a:xfrm>
                            <a:off x="3029" y="919"/>
                            <a:ext cx="656" cy="642"/>
                          </a:xfrm>
                          <a:custGeom>
                            <a:avLst/>
                            <a:gdLst>
                              <a:gd name="T0" fmla="+- 0 3521 3029"/>
                              <a:gd name="T1" fmla="*/ T0 w 656"/>
                              <a:gd name="T2" fmla="+- 0 919 919"/>
                              <a:gd name="T3" fmla="*/ 919 h 642"/>
                              <a:gd name="T4" fmla="+- 0 3521 3029"/>
                              <a:gd name="T5" fmla="*/ T4 w 656"/>
                              <a:gd name="T6" fmla="+- 0 1001 919"/>
                              <a:gd name="T7" fmla="*/ 1001 h 642"/>
                              <a:gd name="T8" fmla="+- 0 3434 3029"/>
                              <a:gd name="T9" fmla="*/ T8 w 656"/>
                              <a:gd name="T10" fmla="+- 0 1023 919"/>
                              <a:gd name="T11" fmla="*/ 1023 h 642"/>
                              <a:gd name="T12" fmla="+- 0 3354 3029"/>
                              <a:gd name="T13" fmla="*/ T12 w 656"/>
                              <a:gd name="T14" fmla="+- 0 1053 919"/>
                              <a:gd name="T15" fmla="*/ 1053 h 642"/>
                              <a:gd name="T16" fmla="+- 0 3281 3029"/>
                              <a:gd name="T17" fmla="*/ T16 w 656"/>
                              <a:gd name="T18" fmla="+- 0 1090 919"/>
                              <a:gd name="T19" fmla="*/ 1090 h 642"/>
                              <a:gd name="T20" fmla="+- 0 3216 3029"/>
                              <a:gd name="T21" fmla="*/ T20 w 656"/>
                              <a:gd name="T22" fmla="+- 0 1134 919"/>
                              <a:gd name="T23" fmla="*/ 1134 h 642"/>
                              <a:gd name="T24" fmla="+- 0 3159 3029"/>
                              <a:gd name="T25" fmla="*/ T24 w 656"/>
                              <a:gd name="T26" fmla="+- 0 1183 919"/>
                              <a:gd name="T27" fmla="*/ 1183 h 642"/>
                              <a:gd name="T28" fmla="+- 0 3112 3029"/>
                              <a:gd name="T29" fmla="*/ T28 w 656"/>
                              <a:gd name="T30" fmla="+- 0 1238 919"/>
                              <a:gd name="T31" fmla="*/ 1238 h 642"/>
                              <a:gd name="T32" fmla="+- 0 3075 3029"/>
                              <a:gd name="T33" fmla="*/ T32 w 656"/>
                              <a:gd name="T34" fmla="+- 0 1297 919"/>
                              <a:gd name="T35" fmla="*/ 1297 h 642"/>
                              <a:gd name="T36" fmla="+- 0 3048 3029"/>
                              <a:gd name="T37" fmla="*/ T36 w 656"/>
                              <a:gd name="T38" fmla="+- 0 1360 919"/>
                              <a:gd name="T39" fmla="*/ 1360 h 642"/>
                              <a:gd name="T40" fmla="+- 0 3033 3029"/>
                              <a:gd name="T41" fmla="*/ T40 w 656"/>
                              <a:gd name="T42" fmla="+- 0 1425 919"/>
                              <a:gd name="T43" fmla="*/ 1425 h 642"/>
                              <a:gd name="T44" fmla="+- 0 3029 3029"/>
                              <a:gd name="T45" fmla="*/ T44 w 656"/>
                              <a:gd name="T46" fmla="+- 0 1492 919"/>
                              <a:gd name="T47" fmla="*/ 1492 h 642"/>
                              <a:gd name="T48" fmla="+- 0 3038 3029"/>
                              <a:gd name="T49" fmla="*/ T48 w 656"/>
                              <a:gd name="T50" fmla="+- 0 1561 919"/>
                              <a:gd name="T51" fmla="*/ 1561 h 642"/>
                              <a:gd name="T52" fmla="+- 0 3058 3029"/>
                              <a:gd name="T53" fmla="*/ T52 w 656"/>
                              <a:gd name="T54" fmla="+- 0 1498 919"/>
                              <a:gd name="T55" fmla="*/ 1498 h 642"/>
                              <a:gd name="T56" fmla="+- 0 3088 3029"/>
                              <a:gd name="T57" fmla="*/ T56 w 656"/>
                              <a:gd name="T58" fmla="+- 0 1439 919"/>
                              <a:gd name="T59" fmla="*/ 1439 h 642"/>
                              <a:gd name="T60" fmla="+- 0 3127 3029"/>
                              <a:gd name="T61" fmla="*/ T60 w 656"/>
                              <a:gd name="T62" fmla="+- 0 1384 919"/>
                              <a:gd name="T63" fmla="*/ 1384 h 642"/>
                              <a:gd name="T64" fmla="+- 0 3175 3029"/>
                              <a:gd name="T65" fmla="*/ T64 w 656"/>
                              <a:gd name="T66" fmla="+- 0 1333 919"/>
                              <a:gd name="T67" fmla="*/ 1333 h 642"/>
                              <a:gd name="T68" fmla="+- 0 3231 3029"/>
                              <a:gd name="T69" fmla="*/ T68 w 656"/>
                              <a:gd name="T70" fmla="+- 0 1287 919"/>
                              <a:gd name="T71" fmla="*/ 1287 h 642"/>
                              <a:gd name="T72" fmla="+- 0 3294 3029"/>
                              <a:gd name="T73" fmla="*/ T72 w 656"/>
                              <a:gd name="T74" fmla="+- 0 1247 919"/>
                              <a:gd name="T75" fmla="*/ 1247 h 642"/>
                              <a:gd name="T76" fmla="+- 0 3364 3029"/>
                              <a:gd name="T77" fmla="*/ T76 w 656"/>
                              <a:gd name="T78" fmla="+- 0 1213 919"/>
                              <a:gd name="T79" fmla="*/ 1213 h 642"/>
                              <a:gd name="T80" fmla="+- 0 3440 3029"/>
                              <a:gd name="T81" fmla="*/ T80 w 656"/>
                              <a:gd name="T82" fmla="+- 0 1185 919"/>
                              <a:gd name="T83" fmla="*/ 1185 h 642"/>
                              <a:gd name="T84" fmla="+- 0 3521 3029"/>
                              <a:gd name="T85" fmla="*/ T84 w 656"/>
                              <a:gd name="T86" fmla="+- 0 1165 919"/>
                              <a:gd name="T87" fmla="*/ 1165 h 642"/>
                              <a:gd name="T88" fmla="+- 0 3596 3029"/>
                              <a:gd name="T89" fmla="*/ T88 w 656"/>
                              <a:gd name="T90" fmla="+- 0 1165 919"/>
                              <a:gd name="T91" fmla="*/ 1165 h 642"/>
                              <a:gd name="T92" fmla="+- 0 3685 3029"/>
                              <a:gd name="T93" fmla="*/ T92 w 656"/>
                              <a:gd name="T94" fmla="+- 0 1068 919"/>
                              <a:gd name="T95" fmla="*/ 1068 h 642"/>
                              <a:gd name="T96" fmla="+- 0 3521 3029"/>
                              <a:gd name="T97" fmla="*/ T96 w 656"/>
                              <a:gd name="T98" fmla="+- 0 919 919"/>
                              <a:gd name="T99" fmla="*/ 919 h 642"/>
                              <a:gd name="T100" fmla="+- 0 3596 3029"/>
                              <a:gd name="T101" fmla="*/ T100 w 656"/>
                              <a:gd name="T102" fmla="+- 0 1165 919"/>
                              <a:gd name="T103" fmla="*/ 1165 h 642"/>
                              <a:gd name="T104" fmla="+- 0 3521 3029"/>
                              <a:gd name="T105" fmla="*/ T104 w 656"/>
                              <a:gd name="T106" fmla="+- 0 1165 919"/>
                              <a:gd name="T107" fmla="*/ 1165 h 642"/>
                              <a:gd name="T108" fmla="+- 0 3521 3029"/>
                              <a:gd name="T109" fmla="*/ T108 w 656"/>
                              <a:gd name="T110" fmla="+- 0 1247 919"/>
                              <a:gd name="T111" fmla="*/ 1247 h 642"/>
                              <a:gd name="T112" fmla="+- 0 3596 3029"/>
                              <a:gd name="T113" fmla="*/ T112 w 656"/>
                              <a:gd name="T114" fmla="+- 0 1165 919"/>
                              <a:gd name="T115" fmla="*/ 116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42">
                                <a:moveTo>
                                  <a:pt x="492" y="0"/>
                                </a:moveTo>
                                <a:lnTo>
                                  <a:pt x="492" y="82"/>
                                </a:lnTo>
                                <a:lnTo>
                                  <a:pt x="405" y="104"/>
                                </a:lnTo>
                                <a:lnTo>
                                  <a:pt x="325" y="134"/>
                                </a:lnTo>
                                <a:lnTo>
                                  <a:pt x="252" y="171"/>
                                </a:lnTo>
                                <a:lnTo>
                                  <a:pt x="187" y="215"/>
                                </a:lnTo>
                                <a:lnTo>
                                  <a:pt x="130" y="264"/>
                                </a:lnTo>
                                <a:lnTo>
                                  <a:pt x="83" y="319"/>
                                </a:lnTo>
                                <a:lnTo>
                                  <a:pt x="46" y="378"/>
                                </a:lnTo>
                                <a:lnTo>
                                  <a:pt x="19" y="441"/>
                                </a:lnTo>
                                <a:lnTo>
                                  <a:pt x="4" y="506"/>
                                </a:lnTo>
                                <a:lnTo>
                                  <a:pt x="0" y="573"/>
                                </a:lnTo>
                                <a:lnTo>
                                  <a:pt x="9" y="642"/>
                                </a:lnTo>
                                <a:lnTo>
                                  <a:pt x="29" y="579"/>
                                </a:lnTo>
                                <a:lnTo>
                                  <a:pt x="59" y="520"/>
                                </a:lnTo>
                                <a:lnTo>
                                  <a:pt x="98" y="465"/>
                                </a:lnTo>
                                <a:lnTo>
                                  <a:pt x="146" y="414"/>
                                </a:lnTo>
                                <a:lnTo>
                                  <a:pt x="202" y="368"/>
                                </a:lnTo>
                                <a:lnTo>
                                  <a:pt x="265" y="328"/>
                                </a:lnTo>
                                <a:lnTo>
                                  <a:pt x="335" y="294"/>
                                </a:lnTo>
                                <a:lnTo>
                                  <a:pt x="411" y="266"/>
                                </a:lnTo>
                                <a:lnTo>
                                  <a:pt x="492" y="246"/>
                                </a:lnTo>
                                <a:lnTo>
                                  <a:pt x="567" y="246"/>
                                </a:lnTo>
                                <a:lnTo>
                                  <a:pt x="656" y="149"/>
                                </a:lnTo>
                                <a:lnTo>
                                  <a:pt x="492" y="0"/>
                                </a:lnTo>
                                <a:close/>
                                <a:moveTo>
                                  <a:pt x="567" y="246"/>
                                </a:moveTo>
                                <a:lnTo>
                                  <a:pt x="492" y="246"/>
                                </a:lnTo>
                                <a:lnTo>
                                  <a:pt x="492" y="328"/>
                                </a:lnTo>
                                <a:lnTo>
                                  <a:pt x="567" y="24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5"/>
                        <wps:cNvSpPr>
                          <a:spLocks/>
                        </wps:cNvSpPr>
                        <wps:spPr bwMode="auto">
                          <a:xfrm>
                            <a:off x="3029" y="1478"/>
                            <a:ext cx="656" cy="657"/>
                          </a:xfrm>
                          <a:custGeom>
                            <a:avLst/>
                            <a:gdLst>
                              <a:gd name="T0" fmla="+- 0 3029 3029"/>
                              <a:gd name="T1" fmla="*/ T0 w 656"/>
                              <a:gd name="T2" fmla="+- 0 1479 1479"/>
                              <a:gd name="T3" fmla="*/ 1479 h 657"/>
                              <a:gd name="T4" fmla="+- 0 3029 3029"/>
                              <a:gd name="T5" fmla="*/ T4 w 656"/>
                              <a:gd name="T6" fmla="+- 0 1643 1479"/>
                              <a:gd name="T7" fmla="*/ 1643 h 657"/>
                              <a:gd name="T8" fmla="+- 0 3034 3029"/>
                              <a:gd name="T9" fmla="*/ T8 w 656"/>
                              <a:gd name="T10" fmla="+- 0 1704 1479"/>
                              <a:gd name="T11" fmla="*/ 1704 h 657"/>
                              <a:gd name="T12" fmla="+- 0 3049 3029"/>
                              <a:gd name="T13" fmla="*/ T12 w 656"/>
                              <a:gd name="T14" fmla="+- 0 1764 1479"/>
                              <a:gd name="T15" fmla="*/ 1764 h 657"/>
                              <a:gd name="T16" fmla="+- 0 3073 3029"/>
                              <a:gd name="T17" fmla="*/ T16 w 656"/>
                              <a:gd name="T18" fmla="+- 0 1821 1479"/>
                              <a:gd name="T19" fmla="*/ 1821 h 657"/>
                              <a:gd name="T20" fmla="+- 0 3106 3029"/>
                              <a:gd name="T21" fmla="*/ T20 w 656"/>
                              <a:gd name="T22" fmla="+- 0 1874 1479"/>
                              <a:gd name="T23" fmla="*/ 1874 h 657"/>
                              <a:gd name="T24" fmla="+- 0 3147 3029"/>
                              <a:gd name="T25" fmla="*/ T24 w 656"/>
                              <a:gd name="T26" fmla="+- 0 1924 1479"/>
                              <a:gd name="T27" fmla="*/ 1924 h 657"/>
                              <a:gd name="T28" fmla="+- 0 3195 3029"/>
                              <a:gd name="T29" fmla="*/ T28 w 656"/>
                              <a:gd name="T30" fmla="+- 0 1970 1479"/>
                              <a:gd name="T31" fmla="*/ 1970 h 657"/>
                              <a:gd name="T32" fmla="+- 0 3249 3029"/>
                              <a:gd name="T33" fmla="*/ T32 w 656"/>
                              <a:gd name="T34" fmla="+- 0 2011 1479"/>
                              <a:gd name="T35" fmla="*/ 2011 h 657"/>
                              <a:gd name="T36" fmla="+- 0 3310 3029"/>
                              <a:gd name="T37" fmla="*/ T36 w 656"/>
                              <a:gd name="T38" fmla="+- 0 2047 1479"/>
                              <a:gd name="T39" fmla="*/ 2047 h 657"/>
                              <a:gd name="T40" fmla="+- 0 3377 3029"/>
                              <a:gd name="T41" fmla="*/ T40 w 656"/>
                              <a:gd name="T42" fmla="+- 0 2078 1479"/>
                              <a:gd name="T43" fmla="*/ 2078 h 657"/>
                              <a:gd name="T44" fmla="+- 0 3448 3029"/>
                              <a:gd name="T45" fmla="*/ T44 w 656"/>
                              <a:gd name="T46" fmla="+- 0 2102 1479"/>
                              <a:gd name="T47" fmla="*/ 2102 h 657"/>
                              <a:gd name="T48" fmla="+- 0 3523 3029"/>
                              <a:gd name="T49" fmla="*/ T48 w 656"/>
                              <a:gd name="T50" fmla="+- 0 2120 1479"/>
                              <a:gd name="T51" fmla="*/ 2120 h 657"/>
                              <a:gd name="T52" fmla="+- 0 3603 3029"/>
                              <a:gd name="T53" fmla="*/ T52 w 656"/>
                              <a:gd name="T54" fmla="+- 0 2132 1479"/>
                              <a:gd name="T55" fmla="*/ 2132 h 657"/>
                              <a:gd name="T56" fmla="+- 0 3685 3029"/>
                              <a:gd name="T57" fmla="*/ T56 w 656"/>
                              <a:gd name="T58" fmla="+- 0 2136 1479"/>
                              <a:gd name="T59" fmla="*/ 2136 h 657"/>
                              <a:gd name="T60" fmla="+- 0 3685 3029"/>
                              <a:gd name="T61" fmla="*/ T60 w 656"/>
                              <a:gd name="T62" fmla="+- 0 1972 1479"/>
                              <a:gd name="T63" fmla="*/ 1972 h 657"/>
                              <a:gd name="T64" fmla="+- 0 3603 3029"/>
                              <a:gd name="T65" fmla="*/ T64 w 656"/>
                              <a:gd name="T66" fmla="+- 0 1968 1479"/>
                              <a:gd name="T67" fmla="*/ 1968 h 657"/>
                              <a:gd name="T68" fmla="+- 0 3523 3029"/>
                              <a:gd name="T69" fmla="*/ T68 w 656"/>
                              <a:gd name="T70" fmla="+- 0 1956 1479"/>
                              <a:gd name="T71" fmla="*/ 1956 h 657"/>
                              <a:gd name="T72" fmla="+- 0 3448 3029"/>
                              <a:gd name="T73" fmla="*/ T72 w 656"/>
                              <a:gd name="T74" fmla="+- 0 1938 1479"/>
                              <a:gd name="T75" fmla="*/ 1938 h 657"/>
                              <a:gd name="T76" fmla="+- 0 3377 3029"/>
                              <a:gd name="T77" fmla="*/ T76 w 656"/>
                              <a:gd name="T78" fmla="+- 0 1914 1479"/>
                              <a:gd name="T79" fmla="*/ 1914 h 657"/>
                              <a:gd name="T80" fmla="+- 0 3310 3029"/>
                              <a:gd name="T81" fmla="*/ T80 w 656"/>
                              <a:gd name="T82" fmla="+- 0 1883 1479"/>
                              <a:gd name="T83" fmla="*/ 1883 h 657"/>
                              <a:gd name="T84" fmla="+- 0 3249 3029"/>
                              <a:gd name="T85" fmla="*/ T84 w 656"/>
                              <a:gd name="T86" fmla="+- 0 1847 1479"/>
                              <a:gd name="T87" fmla="*/ 1847 h 657"/>
                              <a:gd name="T88" fmla="+- 0 3195 3029"/>
                              <a:gd name="T89" fmla="*/ T88 w 656"/>
                              <a:gd name="T90" fmla="+- 0 1806 1479"/>
                              <a:gd name="T91" fmla="*/ 1806 h 657"/>
                              <a:gd name="T92" fmla="+- 0 3147 3029"/>
                              <a:gd name="T93" fmla="*/ T92 w 656"/>
                              <a:gd name="T94" fmla="+- 0 1760 1479"/>
                              <a:gd name="T95" fmla="*/ 1760 h 657"/>
                              <a:gd name="T96" fmla="+- 0 3106 3029"/>
                              <a:gd name="T97" fmla="*/ T96 w 656"/>
                              <a:gd name="T98" fmla="+- 0 1710 1479"/>
                              <a:gd name="T99" fmla="*/ 1710 h 657"/>
                              <a:gd name="T100" fmla="+- 0 3073 3029"/>
                              <a:gd name="T101" fmla="*/ T100 w 656"/>
                              <a:gd name="T102" fmla="+- 0 1657 1479"/>
                              <a:gd name="T103" fmla="*/ 1657 h 657"/>
                              <a:gd name="T104" fmla="+- 0 3049 3029"/>
                              <a:gd name="T105" fmla="*/ T104 w 656"/>
                              <a:gd name="T106" fmla="+- 0 1600 1479"/>
                              <a:gd name="T107" fmla="*/ 1600 h 657"/>
                              <a:gd name="T108" fmla="+- 0 3034 3029"/>
                              <a:gd name="T109" fmla="*/ T108 w 656"/>
                              <a:gd name="T110" fmla="+- 0 1540 1479"/>
                              <a:gd name="T111" fmla="*/ 1540 h 657"/>
                              <a:gd name="T112" fmla="+- 0 3029 3029"/>
                              <a:gd name="T113" fmla="*/ T112 w 656"/>
                              <a:gd name="T114" fmla="+- 0 1479 1479"/>
                              <a:gd name="T115" fmla="*/ 1479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57">
                                <a:moveTo>
                                  <a:pt x="0" y="0"/>
                                </a:moveTo>
                                <a:lnTo>
                                  <a:pt x="0" y="164"/>
                                </a:lnTo>
                                <a:lnTo>
                                  <a:pt x="5" y="225"/>
                                </a:lnTo>
                                <a:lnTo>
                                  <a:pt x="20" y="285"/>
                                </a:lnTo>
                                <a:lnTo>
                                  <a:pt x="44" y="342"/>
                                </a:lnTo>
                                <a:lnTo>
                                  <a:pt x="77" y="395"/>
                                </a:lnTo>
                                <a:lnTo>
                                  <a:pt x="118" y="445"/>
                                </a:lnTo>
                                <a:lnTo>
                                  <a:pt x="166" y="491"/>
                                </a:lnTo>
                                <a:lnTo>
                                  <a:pt x="220" y="532"/>
                                </a:lnTo>
                                <a:lnTo>
                                  <a:pt x="281" y="568"/>
                                </a:lnTo>
                                <a:lnTo>
                                  <a:pt x="348" y="599"/>
                                </a:lnTo>
                                <a:lnTo>
                                  <a:pt x="419" y="623"/>
                                </a:lnTo>
                                <a:lnTo>
                                  <a:pt x="494" y="641"/>
                                </a:lnTo>
                                <a:lnTo>
                                  <a:pt x="574" y="653"/>
                                </a:lnTo>
                                <a:lnTo>
                                  <a:pt x="656" y="657"/>
                                </a:lnTo>
                                <a:lnTo>
                                  <a:pt x="656" y="493"/>
                                </a:lnTo>
                                <a:lnTo>
                                  <a:pt x="574" y="489"/>
                                </a:lnTo>
                                <a:lnTo>
                                  <a:pt x="494" y="477"/>
                                </a:lnTo>
                                <a:lnTo>
                                  <a:pt x="419" y="459"/>
                                </a:lnTo>
                                <a:lnTo>
                                  <a:pt x="348" y="435"/>
                                </a:lnTo>
                                <a:lnTo>
                                  <a:pt x="281" y="404"/>
                                </a:lnTo>
                                <a:lnTo>
                                  <a:pt x="220" y="368"/>
                                </a:lnTo>
                                <a:lnTo>
                                  <a:pt x="166" y="327"/>
                                </a:lnTo>
                                <a:lnTo>
                                  <a:pt x="118" y="281"/>
                                </a:lnTo>
                                <a:lnTo>
                                  <a:pt x="77" y="231"/>
                                </a:lnTo>
                                <a:lnTo>
                                  <a:pt x="44" y="178"/>
                                </a:lnTo>
                                <a:lnTo>
                                  <a:pt x="20" y="121"/>
                                </a:lnTo>
                                <a:lnTo>
                                  <a:pt x="5" y="61"/>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6"/>
                        <wps:cNvSpPr>
                          <a:spLocks/>
                        </wps:cNvSpPr>
                        <wps:spPr bwMode="auto">
                          <a:xfrm>
                            <a:off x="3029" y="919"/>
                            <a:ext cx="656" cy="1217"/>
                          </a:xfrm>
                          <a:custGeom>
                            <a:avLst/>
                            <a:gdLst>
                              <a:gd name="T0" fmla="+- 0 3029 3029"/>
                              <a:gd name="T1" fmla="*/ T0 w 656"/>
                              <a:gd name="T2" fmla="+- 0 1479 919"/>
                              <a:gd name="T3" fmla="*/ 1479 h 1217"/>
                              <a:gd name="T4" fmla="+- 0 3034 3029"/>
                              <a:gd name="T5" fmla="*/ T4 w 656"/>
                              <a:gd name="T6" fmla="+- 0 1540 919"/>
                              <a:gd name="T7" fmla="*/ 1540 h 1217"/>
                              <a:gd name="T8" fmla="+- 0 3049 3029"/>
                              <a:gd name="T9" fmla="*/ T8 w 656"/>
                              <a:gd name="T10" fmla="+- 0 1600 919"/>
                              <a:gd name="T11" fmla="*/ 1600 h 1217"/>
                              <a:gd name="T12" fmla="+- 0 3073 3029"/>
                              <a:gd name="T13" fmla="*/ T12 w 656"/>
                              <a:gd name="T14" fmla="+- 0 1657 919"/>
                              <a:gd name="T15" fmla="*/ 1657 h 1217"/>
                              <a:gd name="T16" fmla="+- 0 3106 3029"/>
                              <a:gd name="T17" fmla="*/ T16 w 656"/>
                              <a:gd name="T18" fmla="+- 0 1710 919"/>
                              <a:gd name="T19" fmla="*/ 1710 h 1217"/>
                              <a:gd name="T20" fmla="+- 0 3147 3029"/>
                              <a:gd name="T21" fmla="*/ T20 w 656"/>
                              <a:gd name="T22" fmla="+- 0 1760 919"/>
                              <a:gd name="T23" fmla="*/ 1760 h 1217"/>
                              <a:gd name="T24" fmla="+- 0 3195 3029"/>
                              <a:gd name="T25" fmla="*/ T24 w 656"/>
                              <a:gd name="T26" fmla="+- 0 1806 919"/>
                              <a:gd name="T27" fmla="*/ 1806 h 1217"/>
                              <a:gd name="T28" fmla="+- 0 3249 3029"/>
                              <a:gd name="T29" fmla="*/ T28 w 656"/>
                              <a:gd name="T30" fmla="+- 0 1847 919"/>
                              <a:gd name="T31" fmla="*/ 1847 h 1217"/>
                              <a:gd name="T32" fmla="+- 0 3310 3029"/>
                              <a:gd name="T33" fmla="*/ T32 w 656"/>
                              <a:gd name="T34" fmla="+- 0 1883 919"/>
                              <a:gd name="T35" fmla="*/ 1883 h 1217"/>
                              <a:gd name="T36" fmla="+- 0 3377 3029"/>
                              <a:gd name="T37" fmla="*/ T36 w 656"/>
                              <a:gd name="T38" fmla="+- 0 1914 919"/>
                              <a:gd name="T39" fmla="*/ 1914 h 1217"/>
                              <a:gd name="T40" fmla="+- 0 3448 3029"/>
                              <a:gd name="T41" fmla="*/ T40 w 656"/>
                              <a:gd name="T42" fmla="+- 0 1938 919"/>
                              <a:gd name="T43" fmla="*/ 1938 h 1217"/>
                              <a:gd name="T44" fmla="+- 0 3523 3029"/>
                              <a:gd name="T45" fmla="*/ T44 w 656"/>
                              <a:gd name="T46" fmla="+- 0 1956 919"/>
                              <a:gd name="T47" fmla="*/ 1956 h 1217"/>
                              <a:gd name="T48" fmla="+- 0 3603 3029"/>
                              <a:gd name="T49" fmla="*/ T48 w 656"/>
                              <a:gd name="T50" fmla="+- 0 1968 919"/>
                              <a:gd name="T51" fmla="*/ 1968 h 1217"/>
                              <a:gd name="T52" fmla="+- 0 3685 3029"/>
                              <a:gd name="T53" fmla="*/ T52 w 656"/>
                              <a:gd name="T54" fmla="+- 0 1972 919"/>
                              <a:gd name="T55" fmla="*/ 1972 h 1217"/>
                              <a:gd name="T56" fmla="+- 0 3685 3029"/>
                              <a:gd name="T57" fmla="*/ T56 w 656"/>
                              <a:gd name="T58" fmla="+- 0 2136 919"/>
                              <a:gd name="T59" fmla="*/ 2136 h 1217"/>
                              <a:gd name="T60" fmla="+- 0 3603 3029"/>
                              <a:gd name="T61" fmla="*/ T60 w 656"/>
                              <a:gd name="T62" fmla="+- 0 2132 919"/>
                              <a:gd name="T63" fmla="*/ 2132 h 1217"/>
                              <a:gd name="T64" fmla="+- 0 3523 3029"/>
                              <a:gd name="T65" fmla="*/ T64 w 656"/>
                              <a:gd name="T66" fmla="+- 0 2120 919"/>
                              <a:gd name="T67" fmla="*/ 2120 h 1217"/>
                              <a:gd name="T68" fmla="+- 0 3448 3029"/>
                              <a:gd name="T69" fmla="*/ T68 w 656"/>
                              <a:gd name="T70" fmla="+- 0 2102 919"/>
                              <a:gd name="T71" fmla="*/ 2102 h 1217"/>
                              <a:gd name="T72" fmla="+- 0 3377 3029"/>
                              <a:gd name="T73" fmla="*/ T72 w 656"/>
                              <a:gd name="T74" fmla="+- 0 2078 919"/>
                              <a:gd name="T75" fmla="*/ 2078 h 1217"/>
                              <a:gd name="T76" fmla="+- 0 3310 3029"/>
                              <a:gd name="T77" fmla="*/ T76 w 656"/>
                              <a:gd name="T78" fmla="+- 0 2047 919"/>
                              <a:gd name="T79" fmla="*/ 2047 h 1217"/>
                              <a:gd name="T80" fmla="+- 0 3249 3029"/>
                              <a:gd name="T81" fmla="*/ T80 w 656"/>
                              <a:gd name="T82" fmla="+- 0 2011 919"/>
                              <a:gd name="T83" fmla="*/ 2011 h 1217"/>
                              <a:gd name="T84" fmla="+- 0 3195 3029"/>
                              <a:gd name="T85" fmla="*/ T84 w 656"/>
                              <a:gd name="T86" fmla="+- 0 1970 919"/>
                              <a:gd name="T87" fmla="*/ 1970 h 1217"/>
                              <a:gd name="T88" fmla="+- 0 3147 3029"/>
                              <a:gd name="T89" fmla="*/ T88 w 656"/>
                              <a:gd name="T90" fmla="+- 0 1924 919"/>
                              <a:gd name="T91" fmla="*/ 1924 h 1217"/>
                              <a:gd name="T92" fmla="+- 0 3106 3029"/>
                              <a:gd name="T93" fmla="*/ T92 w 656"/>
                              <a:gd name="T94" fmla="+- 0 1874 919"/>
                              <a:gd name="T95" fmla="*/ 1874 h 1217"/>
                              <a:gd name="T96" fmla="+- 0 3073 3029"/>
                              <a:gd name="T97" fmla="*/ T96 w 656"/>
                              <a:gd name="T98" fmla="+- 0 1821 919"/>
                              <a:gd name="T99" fmla="*/ 1821 h 1217"/>
                              <a:gd name="T100" fmla="+- 0 3049 3029"/>
                              <a:gd name="T101" fmla="*/ T100 w 656"/>
                              <a:gd name="T102" fmla="+- 0 1764 919"/>
                              <a:gd name="T103" fmla="*/ 1764 h 1217"/>
                              <a:gd name="T104" fmla="+- 0 3034 3029"/>
                              <a:gd name="T105" fmla="*/ T104 w 656"/>
                              <a:gd name="T106" fmla="+- 0 1704 919"/>
                              <a:gd name="T107" fmla="*/ 1704 h 1217"/>
                              <a:gd name="T108" fmla="+- 0 3029 3029"/>
                              <a:gd name="T109" fmla="*/ T108 w 656"/>
                              <a:gd name="T110" fmla="+- 0 1643 919"/>
                              <a:gd name="T111" fmla="*/ 1643 h 1217"/>
                              <a:gd name="T112" fmla="+- 0 3029 3029"/>
                              <a:gd name="T113" fmla="*/ T112 w 656"/>
                              <a:gd name="T114" fmla="+- 0 1479 919"/>
                              <a:gd name="T115" fmla="*/ 1479 h 1217"/>
                              <a:gd name="T116" fmla="+- 0 3035 3029"/>
                              <a:gd name="T117" fmla="*/ T116 w 656"/>
                              <a:gd name="T118" fmla="+- 0 1412 919"/>
                              <a:gd name="T119" fmla="*/ 1412 h 1217"/>
                              <a:gd name="T120" fmla="+- 0 3052 3029"/>
                              <a:gd name="T121" fmla="*/ T120 w 656"/>
                              <a:gd name="T122" fmla="+- 0 1348 919"/>
                              <a:gd name="T123" fmla="*/ 1348 h 1217"/>
                              <a:gd name="T124" fmla="+- 0 3081 3029"/>
                              <a:gd name="T125" fmla="*/ T124 w 656"/>
                              <a:gd name="T126" fmla="+- 0 1287 919"/>
                              <a:gd name="T127" fmla="*/ 1287 h 1217"/>
                              <a:gd name="T128" fmla="+- 0 3119 3029"/>
                              <a:gd name="T129" fmla="*/ T128 w 656"/>
                              <a:gd name="T130" fmla="+- 0 1230 919"/>
                              <a:gd name="T131" fmla="*/ 1230 h 1217"/>
                              <a:gd name="T132" fmla="+- 0 3166 3029"/>
                              <a:gd name="T133" fmla="*/ T132 w 656"/>
                              <a:gd name="T134" fmla="+- 0 1177 919"/>
                              <a:gd name="T135" fmla="*/ 1177 h 1217"/>
                              <a:gd name="T136" fmla="+- 0 3223 3029"/>
                              <a:gd name="T137" fmla="*/ T136 w 656"/>
                              <a:gd name="T138" fmla="+- 0 1129 919"/>
                              <a:gd name="T139" fmla="*/ 1129 h 1217"/>
                              <a:gd name="T140" fmla="+- 0 3287 3029"/>
                              <a:gd name="T141" fmla="*/ T140 w 656"/>
                              <a:gd name="T142" fmla="+- 0 1087 919"/>
                              <a:gd name="T143" fmla="*/ 1087 h 1217"/>
                              <a:gd name="T144" fmla="+- 0 3359 3029"/>
                              <a:gd name="T145" fmla="*/ T144 w 656"/>
                              <a:gd name="T146" fmla="+- 0 1051 919"/>
                              <a:gd name="T147" fmla="*/ 1051 h 1217"/>
                              <a:gd name="T148" fmla="+- 0 3437 3029"/>
                              <a:gd name="T149" fmla="*/ T148 w 656"/>
                              <a:gd name="T150" fmla="+- 0 1022 919"/>
                              <a:gd name="T151" fmla="*/ 1022 h 1217"/>
                              <a:gd name="T152" fmla="+- 0 3521 3029"/>
                              <a:gd name="T153" fmla="*/ T152 w 656"/>
                              <a:gd name="T154" fmla="+- 0 1001 919"/>
                              <a:gd name="T155" fmla="*/ 1001 h 1217"/>
                              <a:gd name="T156" fmla="+- 0 3521 3029"/>
                              <a:gd name="T157" fmla="*/ T156 w 656"/>
                              <a:gd name="T158" fmla="+- 0 919 919"/>
                              <a:gd name="T159" fmla="*/ 919 h 1217"/>
                              <a:gd name="T160" fmla="+- 0 3685 3029"/>
                              <a:gd name="T161" fmla="*/ T160 w 656"/>
                              <a:gd name="T162" fmla="+- 0 1068 919"/>
                              <a:gd name="T163" fmla="*/ 1068 h 1217"/>
                              <a:gd name="T164" fmla="+- 0 3521 3029"/>
                              <a:gd name="T165" fmla="*/ T164 w 656"/>
                              <a:gd name="T166" fmla="+- 0 1247 919"/>
                              <a:gd name="T167" fmla="*/ 1247 h 1217"/>
                              <a:gd name="T168" fmla="+- 0 3521 3029"/>
                              <a:gd name="T169" fmla="*/ T168 w 656"/>
                              <a:gd name="T170" fmla="+- 0 1165 919"/>
                              <a:gd name="T171" fmla="*/ 1165 h 1217"/>
                              <a:gd name="T172" fmla="+- 0 3440 3029"/>
                              <a:gd name="T173" fmla="*/ T172 w 656"/>
                              <a:gd name="T174" fmla="+- 0 1185 919"/>
                              <a:gd name="T175" fmla="*/ 1185 h 1217"/>
                              <a:gd name="T176" fmla="+- 0 3364 3029"/>
                              <a:gd name="T177" fmla="*/ T176 w 656"/>
                              <a:gd name="T178" fmla="+- 0 1213 919"/>
                              <a:gd name="T179" fmla="*/ 1213 h 1217"/>
                              <a:gd name="T180" fmla="+- 0 3294 3029"/>
                              <a:gd name="T181" fmla="*/ T180 w 656"/>
                              <a:gd name="T182" fmla="+- 0 1247 919"/>
                              <a:gd name="T183" fmla="*/ 1247 h 1217"/>
                              <a:gd name="T184" fmla="+- 0 3231 3029"/>
                              <a:gd name="T185" fmla="*/ T184 w 656"/>
                              <a:gd name="T186" fmla="+- 0 1287 919"/>
                              <a:gd name="T187" fmla="*/ 1287 h 1217"/>
                              <a:gd name="T188" fmla="+- 0 3175 3029"/>
                              <a:gd name="T189" fmla="*/ T188 w 656"/>
                              <a:gd name="T190" fmla="+- 0 1333 919"/>
                              <a:gd name="T191" fmla="*/ 1333 h 1217"/>
                              <a:gd name="T192" fmla="+- 0 3127 3029"/>
                              <a:gd name="T193" fmla="*/ T192 w 656"/>
                              <a:gd name="T194" fmla="+- 0 1384 919"/>
                              <a:gd name="T195" fmla="*/ 1384 h 1217"/>
                              <a:gd name="T196" fmla="+- 0 3088 3029"/>
                              <a:gd name="T197" fmla="*/ T196 w 656"/>
                              <a:gd name="T198" fmla="+- 0 1439 919"/>
                              <a:gd name="T199" fmla="*/ 1439 h 1217"/>
                              <a:gd name="T200" fmla="+- 0 3058 3029"/>
                              <a:gd name="T201" fmla="*/ T200 w 656"/>
                              <a:gd name="T202" fmla="+- 0 1498 919"/>
                              <a:gd name="T203" fmla="*/ 1498 h 1217"/>
                              <a:gd name="T204" fmla="+- 0 3038 3029"/>
                              <a:gd name="T205" fmla="*/ T204 w 656"/>
                              <a:gd name="T206" fmla="+- 0 1561 919"/>
                              <a:gd name="T207" fmla="*/ 1561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56" h="1217">
                                <a:moveTo>
                                  <a:pt x="0" y="560"/>
                                </a:moveTo>
                                <a:lnTo>
                                  <a:pt x="5" y="621"/>
                                </a:lnTo>
                                <a:lnTo>
                                  <a:pt x="20" y="681"/>
                                </a:lnTo>
                                <a:lnTo>
                                  <a:pt x="44" y="738"/>
                                </a:lnTo>
                                <a:lnTo>
                                  <a:pt x="77" y="791"/>
                                </a:lnTo>
                                <a:lnTo>
                                  <a:pt x="118" y="841"/>
                                </a:lnTo>
                                <a:lnTo>
                                  <a:pt x="166" y="887"/>
                                </a:lnTo>
                                <a:lnTo>
                                  <a:pt x="220" y="928"/>
                                </a:lnTo>
                                <a:lnTo>
                                  <a:pt x="281" y="964"/>
                                </a:lnTo>
                                <a:lnTo>
                                  <a:pt x="348" y="995"/>
                                </a:lnTo>
                                <a:lnTo>
                                  <a:pt x="419" y="1019"/>
                                </a:lnTo>
                                <a:lnTo>
                                  <a:pt x="494" y="1037"/>
                                </a:lnTo>
                                <a:lnTo>
                                  <a:pt x="574" y="1049"/>
                                </a:lnTo>
                                <a:lnTo>
                                  <a:pt x="656" y="1053"/>
                                </a:lnTo>
                                <a:lnTo>
                                  <a:pt x="656" y="1217"/>
                                </a:lnTo>
                                <a:lnTo>
                                  <a:pt x="574" y="1213"/>
                                </a:lnTo>
                                <a:lnTo>
                                  <a:pt x="494" y="1201"/>
                                </a:lnTo>
                                <a:lnTo>
                                  <a:pt x="419" y="1183"/>
                                </a:lnTo>
                                <a:lnTo>
                                  <a:pt x="348" y="1159"/>
                                </a:lnTo>
                                <a:lnTo>
                                  <a:pt x="281" y="1128"/>
                                </a:lnTo>
                                <a:lnTo>
                                  <a:pt x="220" y="1092"/>
                                </a:lnTo>
                                <a:lnTo>
                                  <a:pt x="166" y="1051"/>
                                </a:lnTo>
                                <a:lnTo>
                                  <a:pt x="118" y="1005"/>
                                </a:lnTo>
                                <a:lnTo>
                                  <a:pt x="77" y="955"/>
                                </a:lnTo>
                                <a:lnTo>
                                  <a:pt x="44" y="902"/>
                                </a:lnTo>
                                <a:lnTo>
                                  <a:pt x="20" y="845"/>
                                </a:lnTo>
                                <a:lnTo>
                                  <a:pt x="5" y="785"/>
                                </a:lnTo>
                                <a:lnTo>
                                  <a:pt x="0" y="724"/>
                                </a:lnTo>
                                <a:lnTo>
                                  <a:pt x="0" y="560"/>
                                </a:lnTo>
                                <a:lnTo>
                                  <a:pt x="6" y="493"/>
                                </a:lnTo>
                                <a:lnTo>
                                  <a:pt x="23" y="429"/>
                                </a:lnTo>
                                <a:lnTo>
                                  <a:pt x="52" y="368"/>
                                </a:lnTo>
                                <a:lnTo>
                                  <a:pt x="90" y="311"/>
                                </a:lnTo>
                                <a:lnTo>
                                  <a:pt x="137" y="258"/>
                                </a:lnTo>
                                <a:lnTo>
                                  <a:pt x="194" y="210"/>
                                </a:lnTo>
                                <a:lnTo>
                                  <a:pt x="258" y="168"/>
                                </a:lnTo>
                                <a:lnTo>
                                  <a:pt x="330" y="132"/>
                                </a:lnTo>
                                <a:lnTo>
                                  <a:pt x="408" y="103"/>
                                </a:lnTo>
                                <a:lnTo>
                                  <a:pt x="492" y="82"/>
                                </a:lnTo>
                                <a:lnTo>
                                  <a:pt x="492" y="0"/>
                                </a:lnTo>
                                <a:lnTo>
                                  <a:pt x="656" y="149"/>
                                </a:lnTo>
                                <a:lnTo>
                                  <a:pt x="492" y="328"/>
                                </a:lnTo>
                                <a:lnTo>
                                  <a:pt x="492" y="246"/>
                                </a:lnTo>
                                <a:lnTo>
                                  <a:pt x="411" y="266"/>
                                </a:lnTo>
                                <a:lnTo>
                                  <a:pt x="335" y="294"/>
                                </a:lnTo>
                                <a:lnTo>
                                  <a:pt x="265" y="328"/>
                                </a:lnTo>
                                <a:lnTo>
                                  <a:pt x="202" y="368"/>
                                </a:lnTo>
                                <a:lnTo>
                                  <a:pt x="146" y="414"/>
                                </a:lnTo>
                                <a:lnTo>
                                  <a:pt x="98" y="465"/>
                                </a:lnTo>
                                <a:lnTo>
                                  <a:pt x="59" y="520"/>
                                </a:lnTo>
                                <a:lnTo>
                                  <a:pt x="29" y="579"/>
                                </a:lnTo>
                                <a:lnTo>
                                  <a:pt x="9" y="642"/>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AutoShape 67"/>
                        <wps:cNvSpPr>
                          <a:spLocks/>
                        </wps:cNvSpPr>
                        <wps:spPr bwMode="auto">
                          <a:xfrm>
                            <a:off x="9757" y="1577"/>
                            <a:ext cx="645" cy="680"/>
                          </a:xfrm>
                          <a:custGeom>
                            <a:avLst/>
                            <a:gdLst>
                              <a:gd name="T0" fmla="+- 0 9918 9757"/>
                              <a:gd name="T1" fmla="*/ T0 w 645"/>
                              <a:gd name="T2" fmla="+- 0 1934 1577"/>
                              <a:gd name="T3" fmla="*/ 1934 h 680"/>
                              <a:gd name="T4" fmla="+- 0 9757 9757"/>
                              <a:gd name="T5" fmla="*/ T4 w 645"/>
                              <a:gd name="T6" fmla="+- 0 2112 1577"/>
                              <a:gd name="T7" fmla="*/ 2112 h 680"/>
                              <a:gd name="T8" fmla="+- 0 9918 9757"/>
                              <a:gd name="T9" fmla="*/ T8 w 645"/>
                              <a:gd name="T10" fmla="+- 0 2257 1577"/>
                              <a:gd name="T11" fmla="*/ 2257 h 680"/>
                              <a:gd name="T12" fmla="+- 0 9918 9757"/>
                              <a:gd name="T13" fmla="*/ T12 w 645"/>
                              <a:gd name="T14" fmla="+- 0 2176 1577"/>
                              <a:gd name="T15" fmla="*/ 2176 h 680"/>
                              <a:gd name="T16" fmla="+- 0 9996 9757"/>
                              <a:gd name="T17" fmla="*/ T16 w 645"/>
                              <a:gd name="T18" fmla="+- 0 2155 1577"/>
                              <a:gd name="T19" fmla="*/ 2155 h 680"/>
                              <a:gd name="T20" fmla="+- 0 10068 9757"/>
                              <a:gd name="T21" fmla="*/ T20 w 645"/>
                              <a:gd name="T22" fmla="+- 0 2127 1577"/>
                              <a:gd name="T23" fmla="*/ 2127 h 680"/>
                              <a:gd name="T24" fmla="+- 0 10135 9757"/>
                              <a:gd name="T25" fmla="*/ T24 w 645"/>
                              <a:gd name="T26" fmla="+- 0 2092 1577"/>
                              <a:gd name="T27" fmla="*/ 2092 h 680"/>
                              <a:gd name="T28" fmla="+- 0 10195 9757"/>
                              <a:gd name="T29" fmla="*/ T28 w 645"/>
                              <a:gd name="T30" fmla="+- 0 2050 1577"/>
                              <a:gd name="T31" fmla="*/ 2050 h 680"/>
                              <a:gd name="T32" fmla="+- 0 10237 9757"/>
                              <a:gd name="T33" fmla="*/ T32 w 645"/>
                              <a:gd name="T34" fmla="+- 0 2015 1577"/>
                              <a:gd name="T35" fmla="*/ 2015 h 680"/>
                              <a:gd name="T36" fmla="+- 0 9918 9757"/>
                              <a:gd name="T37" fmla="*/ T36 w 645"/>
                              <a:gd name="T38" fmla="+- 0 2015 1577"/>
                              <a:gd name="T39" fmla="*/ 2015 h 680"/>
                              <a:gd name="T40" fmla="+- 0 9918 9757"/>
                              <a:gd name="T41" fmla="*/ T40 w 645"/>
                              <a:gd name="T42" fmla="+- 0 1934 1577"/>
                              <a:gd name="T43" fmla="*/ 1934 h 680"/>
                              <a:gd name="T44" fmla="+- 0 10395 9757"/>
                              <a:gd name="T45" fmla="*/ T44 w 645"/>
                              <a:gd name="T46" fmla="+- 0 1577 1577"/>
                              <a:gd name="T47" fmla="*/ 1577 h 680"/>
                              <a:gd name="T48" fmla="+- 0 10376 9757"/>
                              <a:gd name="T49" fmla="*/ T48 w 645"/>
                              <a:gd name="T50" fmla="+- 0 1646 1577"/>
                              <a:gd name="T51" fmla="*/ 1646 h 680"/>
                              <a:gd name="T52" fmla="+- 0 10348 9757"/>
                              <a:gd name="T53" fmla="*/ T52 w 645"/>
                              <a:gd name="T54" fmla="+- 0 1712 1577"/>
                              <a:gd name="T55" fmla="*/ 1712 h 680"/>
                              <a:gd name="T56" fmla="+- 0 10309 9757"/>
                              <a:gd name="T57" fmla="*/ T56 w 645"/>
                              <a:gd name="T58" fmla="+- 0 1773 1577"/>
                              <a:gd name="T59" fmla="*/ 1773 h 680"/>
                              <a:gd name="T60" fmla="+- 0 10262 9757"/>
                              <a:gd name="T61" fmla="*/ T60 w 645"/>
                              <a:gd name="T62" fmla="+- 0 1829 1577"/>
                              <a:gd name="T63" fmla="*/ 1829 h 680"/>
                              <a:gd name="T64" fmla="+- 0 10207 9757"/>
                              <a:gd name="T65" fmla="*/ T64 w 645"/>
                              <a:gd name="T66" fmla="+- 0 1880 1577"/>
                              <a:gd name="T67" fmla="*/ 1880 h 680"/>
                              <a:gd name="T68" fmla="+- 0 10144 9757"/>
                              <a:gd name="T69" fmla="*/ T68 w 645"/>
                              <a:gd name="T70" fmla="+- 0 1924 1577"/>
                              <a:gd name="T71" fmla="*/ 1924 h 680"/>
                              <a:gd name="T72" fmla="+- 0 10075 9757"/>
                              <a:gd name="T73" fmla="*/ T72 w 645"/>
                              <a:gd name="T74" fmla="+- 0 1962 1577"/>
                              <a:gd name="T75" fmla="*/ 1962 h 680"/>
                              <a:gd name="T76" fmla="+- 0 9999 9757"/>
                              <a:gd name="T77" fmla="*/ T76 w 645"/>
                              <a:gd name="T78" fmla="+- 0 1992 1577"/>
                              <a:gd name="T79" fmla="*/ 1992 h 680"/>
                              <a:gd name="T80" fmla="+- 0 9918 9757"/>
                              <a:gd name="T81" fmla="*/ T80 w 645"/>
                              <a:gd name="T82" fmla="+- 0 2015 1577"/>
                              <a:gd name="T83" fmla="*/ 2015 h 680"/>
                              <a:gd name="T84" fmla="+- 0 10237 9757"/>
                              <a:gd name="T85" fmla="*/ T84 w 645"/>
                              <a:gd name="T86" fmla="+- 0 2015 1577"/>
                              <a:gd name="T87" fmla="*/ 2015 h 680"/>
                              <a:gd name="T88" fmla="+- 0 10249 9757"/>
                              <a:gd name="T89" fmla="*/ T88 w 645"/>
                              <a:gd name="T90" fmla="+- 0 2004 1577"/>
                              <a:gd name="T91" fmla="*/ 2004 h 680"/>
                              <a:gd name="T92" fmla="+- 0 10295 9757"/>
                              <a:gd name="T93" fmla="*/ T92 w 645"/>
                              <a:gd name="T94" fmla="+- 0 1953 1577"/>
                              <a:gd name="T95" fmla="*/ 1953 h 680"/>
                              <a:gd name="T96" fmla="+- 0 10334 9757"/>
                              <a:gd name="T97" fmla="*/ T96 w 645"/>
                              <a:gd name="T98" fmla="+- 0 1897 1577"/>
                              <a:gd name="T99" fmla="*/ 1897 h 680"/>
                              <a:gd name="T100" fmla="+- 0 10364 9757"/>
                              <a:gd name="T101" fmla="*/ T100 w 645"/>
                              <a:gd name="T102" fmla="+- 0 1838 1577"/>
                              <a:gd name="T103" fmla="*/ 1838 h 680"/>
                              <a:gd name="T104" fmla="+- 0 10386 9757"/>
                              <a:gd name="T105" fmla="*/ T104 w 645"/>
                              <a:gd name="T106" fmla="+- 0 1776 1577"/>
                              <a:gd name="T107" fmla="*/ 1776 h 680"/>
                              <a:gd name="T108" fmla="+- 0 10399 9757"/>
                              <a:gd name="T109" fmla="*/ T108 w 645"/>
                              <a:gd name="T110" fmla="+- 0 1711 1577"/>
                              <a:gd name="T111" fmla="*/ 1711 h 680"/>
                              <a:gd name="T112" fmla="+- 0 10402 9757"/>
                              <a:gd name="T113" fmla="*/ T112 w 645"/>
                              <a:gd name="T114" fmla="+- 0 1645 1577"/>
                              <a:gd name="T115" fmla="*/ 1645 h 680"/>
                              <a:gd name="T116" fmla="+- 0 10395 9757"/>
                              <a:gd name="T117" fmla="*/ T116 w 645"/>
                              <a:gd name="T118" fmla="+- 0 1577 1577"/>
                              <a:gd name="T119" fmla="*/ 157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45" h="680">
                                <a:moveTo>
                                  <a:pt x="161" y="357"/>
                                </a:moveTo>
                                <a:lnTo>
                                  <a:pt x="0" y="535"/>
                                </a:lnTo>
                                <a:lnTo>
                                  <a:pt x="161" y="680"/>
                                </a:lnTo>
                                <a:lnTo>
                                  <a:pt x="161" y="599"/>
                                </a:lnTo>
                                <a:lnTo>
                                  <a:pt x="239" y="578"/>
                                </a:lnTo>
                                <a:lnTo>
                                  <a:pt x="311" y="550"/>
                                </a:lnTo>
                                <a:lnTo>
                                  <a:pt x="378" y="515"/>
                                </a:lnTo>
                                <a:lnTo>
                                  <a:pt x="438" y="473"/>
                                </a:lnTo>
                                <a:lnTo>
                                  <a:pt x="480" y="438"/>
                                </a:lnTo>
                                <a:lnTo>
                                  <a:pt x="161" y="438"/>
                                </a:lnTo>
                                <a:lnTo>
                                  <a:pt x="161" y="357"/>
                                </a:lnTo>
                                <a:close/>
                                <a:moveTo>
                                  <a:pt x="638" y="0"/>
                                </a:moveTo>
                                <a:lnTo>
                                  <a:pt x="619" y="69"/>
                                </a:lnTo>
                                <a:lnTo>
                                  <a:pt x="591" y="135"/>
                                </a:lnTo>
                                <a:lnTo>
                                  <a:pt x="552" y="196"/>
                                </a:lnTo>
                                <a:lnTo>
                                  <a:pt x="505" y="252"/>
                                </a:lnTo>
                                <a:lnTo>
                                  <a:pt x="450" y="303"/>
                                </a:lnTo>
                                <a:lnTo>
                                  <a:pt x="387" y="347"/>
                                </a:lnTo>
                                <a:lnTo>
                                  <a:pt x="318" y="385"/>
                                </a:lnTo>
                                <a:lnTo>
                                  <a:pt x="242" y="415"/>
                                </a:lnTo>
                                <a:lnTo>
                                  <a:pt x="161" y="438"/>
                                </a:lnTo>
                                <a:lnTo>
                                  <a:pt x="480" y="438"/>
                                </a:lnTo>
                                <a:lnTo>
                                  <a:pt x="492" y="427"/>
                                </a:lnTo>
                                <a:lnTo>
                                  <a:pt x="538" y="376"/>
                                </a:lnTo>
                                <a:lnTo>
                                  <a:pt x="577" y="320"/>
                                </a:lnTo>
                                <a:lnTo>
                                  <a:pt x="607" y="261"/>
                                </a:lnTo>
                                <a:lnTo>
                                  <a:pt x="629" y="199"/>
                                </a:lnTo>
                                <a:lnTo>
                                  <a:pt x="642" y="134"/>
                                </a:lnTo>
                                <a:lnTo>
                                  <a:pt x="645" y="68"/>
                                </a:lnTo>
                                <a:lnTo>
                                  <a:pt x="63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8"/>
                        <wps:cNvSpPr>
                          <a:spLocks/>
                        </wps:cNvSpPr>
                        <wps:spPr bwMode="auto">
                          <a:xfrm>
                            <a:off x="9757" y="961"/>
                            <a:ext cx="645" cy="697"/>
                          </a:xfrm>
                          <a:custGeom>
                            <a:avLst/>
                            <a:gdLst>
                              <a:gd name="T0" fmla="+- 0 9757 9757"/>
                              <a:gd name="T1" fmla="*/ T0 w 645"/>
                              <a:gd name="T2" fmla="+- 0 962 962"/>
                              <a:gd name="T3" fmla="*/ 962 h 697"/>
                              <a:gd name="T4" fmla="+- 0 9757 9757"/>
                              <a:gd name="T5" fmla="*/ T4 w 645"/>
                              <a:gd name="T6" fmla="+- 0 1123 962"/>
                              <a:gd name="T7" fmla="*/ 1123 h 697"/>
                              <a:gd name="T8" fmla="+- 0 9838 9757"/>
                              <a:gd name="T9" fmla="*/ T8 w 645"/>
                              <a:gd name="T10" fmla="+- 0 1127 962"/>
                              <a:gd name="T11" fmla="*/ 1127 h 697"/>
                              <a:gd name="T12" fmla="+- 0 9916 9757"/>
                              <a:gd name="T13" fmla="*/ T12 w 645"/>
                              <a:gd name="T14" fmla="+- 0 1139 962"/>
                              <a:gd name="T15" fmla="*/ 1139 h 697"/>
                              <a:gd name="T16" fmla="+- 0 9990 9757"/>
                              <a:gd name="T17" fmla="*/ T16 w 645"/>
                              <a:gd name="T18" fmla="+- 0 1159 962"/>
                              <a:gd name="T19" fmla="*/ 1159 h 697"/>
                              <a:gd name="T20" fmla="+- 0 10060 9757"/>
                              <a:gd name="T21" fmla="*/ T20 w 645"/>
                              <a:gd name="T22" fmla="+- 0 1185 962"/>
                              <a:gd name="T23" fmla="*/ 1185 h 697"/>
                              <a:gd name="T24" fmla="+- 0 10125 9757"/>
                              <a:gd name="T25" fmla="*/ T24 w 645"/>
                              <a:gd name="T26" fmla="+- 0 1219 962"/>
                              <a:gd name="T27" fmla="*/ 1219 h 697"/>
                              <a:gd name="T28" fmla="+- 0 10185 9757"/>
                              <a:gd name="T29" fmla="*/ T28 w 645"/>
                              <a:gd name="T30" fmla="+- 0 1258 962"/>
                              <a:gd name="T31" fmla="*/ 1258 h 697"/>
                              <a:gd name="T32" fmla="+- 0 10239 9757"/>
                              <a:gd name="T33" fmla="*/ T32 w 645"/>
                              <a:gd name="T34" fmla="+- 0 1302 962"/>
                              <a:gd name="T35" fmla="*/ 1302 h 697"/>
                              <a:gd name="T36" fmla="+- 0 10286 9757"/>
                              <a:gd name="T37" fmla="*/ T36 w 645"/>
                              <a:gd name="T38" fmla="+- 0 1352 962"/>
                              <a:gd name="T39" fmla="*/ 1352 h 697"/>
                              <a:gd name="T40" fmla="+- 0 10326 9757"/>
                              <a:gd name="T41" fmla="*/ T40 w 645"/>
                              <a:gd name="T42" fmla="+- 0 1406 962"/>
                              <a:gd name="T43" fmla="*/ 1406 h 697"/>
                              <a:gd name="T44" fmla="+- 0 10359 9757"/>
                              <a:gd name="T45" fmla="*/ T44 w 645"/>
                              <a:gd name="T46" fmla="+- 0 1464 962"/>
                              <a:gd name="T47" fmla="*/ 1464 h 697"/>
                              <a:gd name="T48" fmla="+- 0 10382 9757"/>
                              <a:gd name="T49" fmla="*/ T48 w 645"/>
                              <a:gd name="T50" fmla="+- 0 1526 962"/>
                              <a:gd name="T51" fmla="*/ 1526 h 697"/>
                              <a:gd name="T52" fmla="+- 0 10397 9757"/>
                              <a:gd name="T53" fmla="*/ T52 w 645"/>
                              <a:gd name="T54" fmla="+- 0 1591 962"/>
                              <a:gd name="T55" fmla="*/ 1591 h 697"/>
                              <a:gd name="T56" fmla="+- 0 10402 9757"/>
                              <a:gd name="T57" fmla="*/ T56 w 645"/>
                              <a:gd name="T58" fmla="+- 0 1658 962"/>
                              <a:gd name="T59" fmla="*/ 1658 h 697"/>
                              <a:gd name="T60" fmla="+- 0 10402 9757"/>
                              <a:gd name="T61" fmla="*/ T60 w 645"/>
                              <a:gd name="T62" fmla="+- 0 1497 962"/>
                              <a:gd name="T63" fmla="*/ 1497 h 697"/>
                              <a:gd name="T64" fmla="+- 0 10397 9757"/>
                              <a:gd name="T65" fmla="*/ T64 w 645"/>
                              <a:gd name="T66" fmla="+- 0 1429 962"/>
                              <a:gd name="T67" fmla="*/ 1429 h 697"/>
                              <a:gd name="T68" fmla="+- 0 10382 9757"/>
                              <a:gd name="T69" fmla="*/ T68 w 645"/>
                              <a:gd name="T70" fmla="+- 0 1365 962"/>
                              <a:gd name="T71" fmla="*/ 1365 h 697"/>
                              <a:gd name="T72" fmla="+- 0 10359 9757"/>
                              <a:gd name="T73" fmla="*/ T72 w 645"/>
                              <a:gd name="T74" fmla="+- 0 1303 962"/>
                              <a:gd name="T75" fmla="*/ 1303 h 697"/>
                              <a:gd name="T76" fmla="+- 0 10326 9757"/>
                              <a:gd name="T77" fmla="*/ T76 w 645"/>
                              <a:gd name="T78" fmla="+- 0 1245 962"/>
                              <a:gd name="T79" fmla="*/ 1245 h 697"/>
                              <a:gd name="T80" fmla="+- 0 10286 9757"/>
                              <a:gd name="T81" fmla="*/ T80 w 645"/>
                              <a:gd name="T82" fmla="+- 0 1191 962"/>
                              <a:gd name="T83" fmla="*/ 1191 h 697"/>
                              <a:gd name="T84" fmla="+- 0 10239 9757"/>
                              <a:gd name="T85" fmla="*/ T84 w 645"/>
                              <a:gd name="T86" fmla="+- 0 1141 962"/>
                              <a:gd name="T87" fmla="*/ 1141 h 697"/>
                              <a:gd name="T88" fmla="+- 0 10185 9757"/>
                              <a:gd name="T89" fmla="*/ T88 w 645"/>
                              <a:gd name="T90" fmla="+- 0 1097 962"/>
                              <a:gd name="T91" fmla="*/ 1097 h 697"/>
                              <a:gd name="T92" fmla="+- 0 10125 9757"/>
                              <a:gd name="T93" fmla="*/ T92 w 645"/>
                              <a:gd name="T94" fmla="+- 0 1057 962"/>
                              <a:gd name="T95" fmla="*/ 1057 h 697"/>
                              <a:gd name="T96" fmla="+- 0 10060 9757"/>
                              <a:gd name="T97" fmla="*/ T96 w 645"/>
                              <a:gd name="T98" fmla="+- 0 1024 962"/>
                              <a:gd name="T99" fmla="*/ 1024 h 697"/>
                              <a:gd name="T100" fmla="+- 0 9990 9757"/>
                              <a:gd name="T101" fmla="*/ T100 w 645"/>
                              <a:gd name="T102" fmla="+- 0 998 962"/>
                              <a:gd name="T103" fmla="*/ 998 h 697"/>
                              <a:gd name="T104" fmla="+- 0 9916 9757"/>
                              <a:gd name="T105" fmla="*/ T104 w 645"/>
                              <a:gd name="T106" fmla="+- 0 978 962"/>
                              <a:gd name="T107" fmla="*/ 978 h 697"/>
                              <a:gd name="T108" fmla="+- 0 9838 9757"/>
                              <a:gd name="T109" fmla="*/ T108 w 645"/>
                              <a:gd name="T110" fmla="+- 0 966 962"/>
                              <a:gd name="T111" fmla="*/ 966 h 697"/>
                              <a:gd name="T112" fmla="+- 0 9757 9757"/>
                              <a:gd name="T113" fmla="*/ T112 w 645"/>
                              <a:gd name="T114" fmla="+- 0 962 962"/>
                              <a:gd name="T115" fmla="*/ 962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5" h="697">
                                <a:moveTo>
                                  <a:pt x="0" y="0"/>
                                </a:moveTo>
                                <a:lnTo>
                                  <a:pt x="0" y="161"/>
                                </a:lnTo>
                                <a:lnTo>
                                  <a:pt x="81" y="165"/>
                                </a:lnTo>
                                <a:lnTo>
                                  <a:pt x="159" y="177"/>
                                </a:lnTo>
                                <a:lnTo>
                                  <a:pt x="233" y="197"/>
                                </a:lnTo>
                                <a:lnTo>
                                  <a:pt x="303" y="223"/>
                                </a:lnTo>
                                <a:lnTo>
                                  <a:pt x="368" y="257"/>
                                </a:lnTo>
                                <a:lnTo>
                                  <a:pt x="428" y="296"/>
                                </a:lnTo>
                                <a:lnTo>
                                  <a:pt x="482" y="340"/>
                                </a:lnTo>
                                <a:lnTo>
                                  <a:pt x="529" y="390"/>
                                </a:lnTo>
                                <a:lnTo>
                                  <a:pt x="569" y="444"/>
                                </a:lnTo>
                                <a:lnTo>
                                  <a:pt x="602" y="502"/>
                                </a:lnTo>
                                <a:lnTo>
                                  <a:pt x="625" y="564"/>
                                </a:lnTo>
                                <a:lnTo>
                                  <a:pt x="640" y="629"/>
                                </a:lnTo>
                                <a:lnTo>
                                  <a:pt x="645" y="696"/>
                                </a:lnTo>
                                <a:lnTo>
                                  <a:pt x="645" y="535"/>
                                </a:lnTo>
                                <a:lnTo>
                                  <a:pt x="640" y="467"/>
                                </a:lnTo>
                                <a:lnTo>
                                  <a:pt x="625" y="403"/>
                                </a:lnTo>
                                <a:lnTo>
                                  <a:pt x="602" y="341"/>
                                </a:lnTo>
                                <a:lnTo>
                                  <a:pt x="569" y="283"/>
                                </a:lnTo>
                                <a:lnTo>
                                  <a:pt x="529" y="229"/>
                                </a:lnTo>
                                <a:lnTo>
                                  <a:pt x="482" y="179"/>
                                </a:lnTo>
                                <a:lnTo>
                                  <a:pt x="428" y="135"/>
                                </a:lnTo>
                                <a:lnTo>
                                  <a:pt x="368" y="95"/>
                                </a:lnTo>
                                <a:lnTo>
                                  <a:pt x="303" y="62"/>
                                </a:lnTo>
                                <a:lnTo>
                                  <a:pt x="233" y="36"/>
                                </a:lnTo>
                                <a:lnTo>
                                  <a:pt x="159" y="16"/>
                                </a:lnTo>
                                <a:lnTo>
                                  <a:pt x="81" y="4"/>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9"/>
                        <wps:cNvSpPr>
                          <a:spLocks/>
                        </wps:cNvSpPr>
                        <wps:spPr bwMode="auto">
                          <a:xfrm>
                            <a:off x="9757" y="961"/>
                            <a:ext cx="645" cy="1295"/>
                          </a:xfrm>
                          <a:custGeom>
                            <a:avLst/>
                            <a:gdLst>
                              <a:gd name="T0" fmla="+- 0 10402 9757"/>
                              <a:gd name="T1" fmla="*/ T0 w 645"/>
                              <a:gd name="T2" fmla="+- 0 1658 962"/>
                              <a:gd name="T3" fmla="*/ 1658 h 1295"/>
                              <a:gd name="T4" fmla="+- 0 10397 9757"/>
                              <a:gd name="T5" fmla="*/ T4 w 645"/>
                              <a:gd name="T6" fmla="+- 0 1591 962"/>
                              <a:gd name="T7" fmla="*/ 1591 h 1295"/>
                              <a:gd name="T8" fmla="+- 0 10382 9757"/>
                              <a:gd name="T9" fmla="*/ T8 w 645"/>
                              <a:gd name="T10" fmla="+- 0 1526 962"/>
                              <a:gd name="T11" fmla="*/ 1526 h 1295"/>
                              <a:gd name="T12" fmla="+- 0 10359 9757"/>
                              <a:gd name="T13" fmla="*/ T12 w 645"/>
                              <a:gd name="T14" fmla="+- 0 1464 962"/>
                              <a:gd name="T15" fmla="*/ 1464 h 1295"/>
                              <a:gd name="T16" fmla="+- 0 10326 9757"/>
                              <a:gd name="T17" fmla="*/ T16 w 645"/>
                              <a:gd name="T18" fmla="+- 0 1406 962"/>
                              <a:gd name="T19" fmla="*/ 1406 h 1295"/>
                              <a:gd name="T20" fmla="+- 0 10286 9757"/>
                              <a:gd name="T21" fmla="*/ T20 w 645"/>
                              <a:gd name="T22" fmla="+- 0 1352 962"/>
                              <a:gd name="T23" fmla="*/ 1352 h 1295"/>
                              <a:gd name="T24" fmla="+- 0 10239 9757"/>
                              <a:gd name="T25" fmla="*/ T24 w 645"/>
                              <a:gd name="T26" fmla="+- 0 1302 962"/>
                              <a:gd name="T27" fmla="*/ 1302 h 1295"/>
                              <a:gd name="T28" fmla="+- 0 10185 9757"/>
                              <a:gd name="T29" fmla="*/ T28 w 645"/>
                              <a:gd name="T30" fmla="+- 0 1258 962"/>
                              <a:gd name="T31" fmla="*/ 1258 h 1295"/>
                              <a:gd name="T32" fmla="+- 0 10125 9757"/>
                              <a:gd name="T33" fmla="*/ T32 w 645"/>
                              <a:gd name="T34" fmla="+- 0 1219 962"/>
                              <a:gd name="T35" fmla="*/ 1219 h 1295"/>
                              <a:gd name="T36" fmla="+- 0 10060 9757"/>
                              <a:gd name="T37" fmla="*/ T36 w 645"/>
                              <a:gd name="T38" fmla="+- 0 1185 962"/>
                              <a:gd name="T39" fmla="*/ 1185 h 1295"/>
                              <a:gd name="T40" fmla="+- 0 9990 9757"/>
                              <a:gd name="T41" fmla="*/ T40 w 645"/>
                              <a:gd name="T42" fmla="+- 0 1159 962"/>
                              <a:gd name="T43" fmla="*/ 1159 h 1295"/>
                              <a:gd name="T44" fmla="+- 0 9916 9757"/>
                              <a:gd name="T45" fmla="*/ T44 w 645"/>
                              <a:gd name="T46" fmla="+- 0 1139 962"/>
                              <a:gd name="T47" fmla="*/ 1139 h 1295"/>
                              <a:gd name="T48" fmla="+- 0 9838 9757"/>
                              <a:gd name="T49" fmla="*/ T48 w 645"/>
                              <a:gd name="T50" fmla="+- 0 1127 962"/>
                              <a:gd name="T51" fmla="*/ 1127 h 1295"/>
                              <a:gd name="T52" fmla="+- 0 9757 9757"/>
                              <a:gd name="T53" fmla="*/ T52 w 645"/>
                              <a:gd name="T54" fmla="+- 0 1123 962"/>
                              <a:gd name="T55" fmla="*/ 1123 h 1295"/>
                              <a:gd name="T56" fmla="+- 0 9757 9757"/>
                              <a:gd name="T57" fmla="*/ T56 w 645"/>
                              <a:gd name="T58" fmla="+- 0 962 962"/>
                              <a:gd name="T59" fmla="*/ 962 h 1295"/>
                              <a:gd name="T60" fmla="+- 0 9838 9757"/>
                              <a:gd name="T61" fmla="*/ T60 w 645"/>
                              <a:gd name="T62" fmla="+- 0 966 962"/>
                              <a:gd name="T63" fmla="*/ 966 h 1295"/>
                              <a:gd name="T64" fmla="+- 0 9916 9757"/>
                              <a:gd name="T65" fmla="*/ T64 w 645"/>
                              <a:gd name="T66" fmla="+- 0 978 962"/>
                              <a:gd name="T67" fmla="*/ 978 h 1295"/>
                              <a:gd name="T68" fmla="+- 0 9990 9757"/>
                              <a:gd name="T69" fmla="*/ T68 w 645"/>
                              <a:gd name="T70" fmla="+- 0 998 962"/>
                              <a:gd name="T71" fmla="*/ 998 h 1295"/>
                              <a:gd name="T72" fmla="+- 0 10060 9757"/>
                              <a:gd name="T73" fmla="*/ T72 w 645"/>
                              <a:gd name="T74" fmla="+- 0 1024 962"/>
                              <a:gd name="T75" fmla="*/ 1024 h 1295"/>
                              <a:gd name="T76" fmla="+- 0 10125 9757"/>
                              <a:gd name="T77" fmla="*/ T76 w 645"/>
                              <a:gd name="T78" fmla="+- 0 1057 962"/>
                              <a:gd name="T79" fmla="*/ 1057 h 1295"/>
                              <a:gd name="T80" fmla="+- 0 10185 9757"/>
                              <a:gd name="T81" fmla="*/ T80 w 645"/>
                              <a:gd name="T82" fmla="+- 0 1097 962"/>
                              <a:gd name="T83" fmla="*/ 1097 h 1295"/>
                              <a:gd name="T84" fmla="+- 0 10239 9757"/>
                              <a:gd name="T85" fmla="*/ T84 w 645"/>
                              <a:gd name="T86" fmla="+- 0 1141 962"/>
                              <a:gd name="T87" fmla="*/ 1141 h 1295"/>
                              <a:gd name="T88" fmla="+- 0 10286 9757"/>
                              <a:gd name="T89" fmla="*/ T88 w 645"/>
                              <a:gd name="T90" fmla="+- 0 1191 962"/>
                              <a:gd name="T91" fmla="*/ 1191 h 1295"/>
                              <a:gd name="T92" fmla="+- 0 10326 9757"/>
                              <a:gd name="T93" fmla="*/ T92 w 645"/>
                              <a:gd name="T94" fmla="+- 0 1245 962"/>
                              <a:gd name="T95" fmla="*/ 1245 h 1295"/>
                              <a:gd name="T96" fmla="+- 0 10359 9757"/>
                              <a:gd name="T97" fmla="*/ T96 w 645"/>
                              <a:gd name="T98" fmla="+- 0 1303 962"/>
                              <a:gd name="T99" fmla="*/ 1303 h 1295"/>
                              <a:gd name="T100" fmla="+- 0 10382 9757"/>
                              <a:gd name="T101" fmla="*/ T100 w 645"/>
                              <a:gd name="T102" fmla="+- 0 1365 962"/>
                              <a:gd name="T103" fmla="*/ 1365 h 1295"/>
                              <a:gd name="T104" fmla="+- 0 10397 9757"/>
                              <a:gd name="T105" fmla="*/ T104 w 645"/>
                              <a:gd name="T106" fmla="+- 0 1429 962"/>
                              <a:gd name="T107" fmla="*/ 1429 h 1295"/>
                              <a:gd name="T108" fmla="+- 0 10402 9757"/>
                              <a:gd name="T109" fmla="*/ T108 w 645"/>
                              <a:gd name="T110" fmla="+- 0 1497 962"/>
                              <a:gd name="T111" fmla="*/ 1497 h 1295"/>
                              <a:gd name="T112" fmla="+- 0 10402 9757"/>
                              <a:gd name="T113" fmla="*/ T112 w 645"/>
                              <a:gd name="T114" fmla="+- 0 1658 962"/>
                              <a:gd name="T115" fmla="*/ 1658 h 1295"/>
                              <a:gd name="T116" fmla="+- 0 10396 9757"/>
                              <a:gd name="T117" fmla="*/ T116 w 645"/>
                              <a:gd name="T118" fmla="+- 0 1730 962"/>
                              <a:gd name="T119" fmla="*/ 1730 h 1295"/>
                              <a:gd name="T120" fmla="+- 0 10379 9757"/>
                              <a:gd name="T121" fmla="*/ T120 w 645"/>
                              <a:gd name="T122" fmla="+- 0 1799 962"/>
                              <a:gd name="T123" fmla="*/ 1799 h 1295"/>
                              <a:gd name="T124" fmla="+- 0 10351 9757"/>
                              <a:gd name="T125" fmla="*/ T124 w 645"/>
                              <a:gd name="T126" fmla="+- 0 1866 962"/>
                              <a:gd name="T127" fmla="*/ 1866 h 1295"/>
                              <a:gd name="T128" fmla="+- 0 10314 9757"/>
                              <a:gd name="T129" fmla="*/ T128 w 645"/>
                              <a:gd name="T130" fmla="+- 0 1928 962"/>
                              <a:gd name="T131" fmla="*/ 1928 h 1295"/>
                              <a:gd name="T132" fmla="+- 0 10267 9757"/>
                              <a:gd name="T133" fmla="*/ T132 w 645"/>
                              <a:gd name="T134" fmla="+- 0 1985 962"/>
                              <a:gd name="T135" fmla="*/ 1985 h 1295"/>
                              <a:gd name="T136" fmla="+- 0 10212 9757"/>
                              <a:gd name="T137" fmla="*/ T136 w 645"/>
                              <a:gd name="T138" fmla="+- 0 2037 962"/>
                              <a:gd name="T139" fmla="*/ 2037 h 1295"/>
                              <a:gd name="T140" fmla="+- 0 10148 9757"/>
                              <a:gd name="T141" fmla="*/ T140 w 645"/>
                              <a:gd name="T142" fmla="+- 0 2083 962"/>
                              <a:gd name="T143" fmla="*/ 2083 h 1295"/>
                              <a:gd name="T144" fmla="+- 0 10078 9757"/>
                              <a:gd name="T145" fmla="*/ T144 w 645"/>
                              <a:gd name="T146" fmla="+- 0 2122 962"/>
                              <a:gd name="T147" fmla="*/ 2122 h 1295"/>
                              <a:gd name="T148" fmla="+- 0 10001 9757"/>
                              <a:gd name="T149" fmla="*/ T148 w 645"/>
                              <a:gd name="T150" fmla="+- 0 2153 962"/>
                              <a:gd name="T151" fmla="*/ 2153 h 1295"/>
                              <a:gd name="T152" fmla="+- 0 9918 9757"/>
                              <a:gd name="T153" fmla="*/ T152 w 645"/>
                              <a:gd name="T154" fmla="+- 0 2176 962"/>
                              <a:gd name="T155" fmla="*/ 2176 h 1295"/>
                              <a:gd name="T156" fmla="+- 0 9918 9757"/>
                              <a:gd name="T157" fmla="*/ T156 w 645"/>
                              <a:gd name="T158" fmla="+- 0 2257 962"/>
                              <a:gd name="T159" fmla="*/ 2257 h 1295"/>
                              <a:gd name="T160" fmla="+- 0 9757 9757"/>
                              <a:gd name="T161" fmla="*/ T160 w 645"/>
                              <a:gd name="T162" fmla="+- 0 2112 962"/>
                              <a:gd name="T163" fmla="*/ 2112 h 1295"/>
                              <a:gd name="T164" fmla="+- 0 9918 9757"/>
                              <a:gd name="T165" fmla="*/ T164 w 645"/>
                              <a:gd name="T166" fmla="+- 0 1934 962"/>
                              <a:gd name="T167" fmla="*/ 1934 h 1295"/>
                              <a:gd name="T168" fmla="+- 0 9918 9757"/>
                              <a:gd name="T169" fmla="*/ T168 w 645"/>
                              <a:gd name="T170" fmla="+- 0 2015 962"/>
                              <a:gd name="T171" fmla="*/ 2015 h 1295"/>
                              <a:gd name="T172" fmla="+- 0 9999 9757"/>
                              <a:gd name="T173" fmla="*/ T172 w 645"/>
                              <a:gd name="T174" fmla="+- 0 1992 962"/>
                              <a:gd name="T175" fmla="*/ 1992 h 1295"/>
                              <a:gd name="T176" fmla="+- 0 10075 9757"/>
                              <a:gd name="T177" fmla="*/ T176 w 645"/>
                              <a:gd name="T178" fmla="+- 0 1962 962"/>
                              <a:gd name="T179" fmla="*/ 1962 h 1295"/>
                              <a:gd name="T180" fmla="+- 0 10144 9757"/>
                              <a:gd name="T181" fmla="*/ T180 w 645"/>
                              <a:gd name="T182" fmla="+- 0 1924 962"/>
                              <a:gd name="T183" fmla="*/ 1924 h 1295"/>
                              <a:gd name="T184" fmla="+- 0 10207 9757"/>
                              <a:gd name="T185" fmla="*/ T184 w 645"/>
                              <a:gd name="T186" fmla="+- 0 1880 962"/>
                              <a:gd name="T187" fmla="*/ 1880 h 1295"/>
                              <a:gd name="T188" fmla="+- 0 10262 9757"/>
                              <a:gd name="T189" fmla="*/ T188 w 645"/>
                              <a:gd name="T190" fmla="+- 0 1829 962"/>
                              <a:gd name="T191" fmla="*/ 1829 h 1295"/>
                              <a:gd name="T192" fmla="+- 0 10309 9757"/>
                              <a:gd name="T193" fmla="*/ T192 w 645"/>
                              <a:gd name="T194" fmla="+- 0 1773 962"/>
                              <a:gd name="T195" fmla="*/ 1773 h 1295"/>
                              <a:gd name="T196" fmla="+- 0 10348 9757"/>
                              <a:gd name="T197" fmla="*/ T196 w 645"/>
                              <a:gd name="T198" fmla="+- 0 1712 962"/>
                              <a:gd name="T199" fmla="*/ 1712 h 1295"/>
                              <a:gd name="T200" fmla="+- 0 10376 9757"/>
                              <a:gd name="T201" fmla="*/ T200 w 645"/>
                              <a:gd name="T202" fmla="+- 0 1646 962"/>
                              <a:gd name="T203" fmla="*/ 1646 h 1295"/>
                              <a:gd name="T204" fmla="+- 0 10395 9757"/>
                              <a:gd name="T205" fmla="*/ T204 w 645"/>
                              <a:gd name="T206" fmla="+- 0 1577 962"/>
                              <a:gd name="T207" fmla="*/ 1577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45" h="1295">
                                <a:moveTo>
                                  <a:pt x="645" y="696"/>
                                </a:moveTo>
                                <a:lnTo>
                                  <a:pt x="640" y="629"/>
                                </a:lnTo>
                                <a:lnTo>
                                  <a:pt x="625" y="564"/>
                                </a:lnTo>
                                <a:lnTo>
                                  <a:pt x="602" y="502"/>
                                </a:lnTo>
                                <a:lnTo>
                                  <a:pt x="569" y="444"/>
                                </a:lnTo>
                                <a:lnTo>
                                  <a:pt x="529" y="390"/>
                                </a:lnTo>
                                <a:lnTo>
                                  <a:pt x="482" y="340"/>
                                </a:lnTo>
                                <a:lnTo>
                                  <a:pt x="428" y="296"/>
                                </a:lnTo>
                                <a:lnTo>
                                  <a:pt x="368" y="257"/>
                                </a:lnTo>
                                <a:lnTo>
                                  <a:pt x="303" y="223"/>
                                </a:lnTo>
                                <a:lnTo>
                                  <a:pt x="233" y="197"/>
                                </a:lnTo>
                                <a:lnTo>
                                  <a:pt x="159" y="177"/>
                                </a:lnTo>
                                <a:lnTo>
                                  <a:pt x="81" y="165"/>
                                </a:lnTo>
                                <a:lnTo>
                                  <a:pt x="0" y="161"/>
                                </a:lnTo>
                                <a:lnTo>
                                  <a:pt x="0" y="0"/>
                                </a:lnTo>
                                <a:lnTo>
                                  <a:pt x="81" y="4"/>
                                </a:lnTo>
                                <a:lnTo>
                                  <a:pt x="159" y="16"/>
                                </a:lnTo>
                                <a:lnTo>
                                  <a:pt x="233" y="36"/>
                                </a:lnTo>
                                <a:lnTo>
                                  <a:pt x="303" y="62"/>
                                </a:lnTo>
                                <a:lnTo>
                                  <a:pt x="368" y="95"/>
                                </a:lnTo>
                                <a:lnTo>
                                  <a:pt x="428" y="135"/>
                                </a:lnTo>
                                <a:lnTo>
                                  <a:pt x="482" y="179"/>
                                </a:lnTo>
                                <a:lnTo>
                                  <a:pt x="529" y="229"/>
                                </a:lnTo>
                                <a:lnTo>
                                  <a:pt x="569" y="283"/>
                                </a:lnTo>
                                <a:lnTo>
                                  <a:pt x="602" y="341"/>
                                </a:lnTo>
                                <a:lnTo>
                                  <a:pt x="625" y="403"/>
                                </a:lnTo>
                                <a:lnTo>
                                  <a:pt x="640" y="467"/>
                                </a:lnTo>
                                <a:lnTo>
                                  <a:pt x="645" y="535"/>
                                </a:lnTo>
                                <a:lnTo>
                                  <a:pt x="645" y="696"/>
                                </a:lnTo>
                                <a:lnTo>
                                  <a:pt x="639" y="768"/>
                                </a:lnTo>
                                <a:lnTo>
                                  <a:pt x="622" y="837"/>
                                </a:lnTo>
                                <a:lnTo>
                                  <a:pt x="594" y="904"/>
                                </a:lnTo>
                                <a:lnTo>
                                  <a:pt x="557" y="966"/>
                                </a:lnTo>
                                <a:lnTo>
                                  <a:pt x="510" y="1023"/>
                                </a:lnTo>
                                <a:lnTo>
                                  <a:pt x="455" y="1075"/>
                                </a:lnTo>
                                <a:lnTo>
                                  <a:pt x="391" y="1121"/>
                                </a:lnTo>
                                <a:lnTo>
                                  <a:pt x="321" y="1160"/>
                                </a:lnTo>
                                <a:lnTo>
                                  <a:pt x="244" y="1191"/>
                                </a:lnTo>
                                <a:lnTo>
                                  <a:pt x="161" y="1214"/>
                                </a:lnTo>
                                <a:lnTo>
                                  <a:pt x="161" y="1295"/>
                                </a:lnTo>
                                <a:lnTo>
                                  <a:pt x="0" y="1150"/>
                                </a:lnTo>
                                <a:lnTo>
                                  <a:pt x="161" y="972"/>
                                </a:lnTo>
                                <a:lnTo>
                                  <a:pt x="161" y="1053"/>
                                </a:lnTo>
                                <a:lnTo>
                                  <a:pt x="242" y="1030"/>
                                </a:lnTo>
                                <a:lnTo>
                                  <a:pt x="318" y="1000"/>
                                </a:lnTo>
                                <a:lnTo>
                                  <a:pt x="387" y="962"/>
                                </a:lnTo>
                                <a:lnTo>
                                  <a:pt x="450" y="918"/>
                                </a:lnTo>
                                <a:lnTo>
                                  <a:pt x="505" y="867"/>
                                </a:lnTo>
                                <a:lnTo>
                                  <a:pt x="552" y="811"/>
                                </a:lnTo>
                                <a:lnTo>
                                  <a:pt x="591" y="750"/>
                                </a:lnTo>
                                <a:lnTo>
                                  <a:pt x="619" y="684"/>
                                </a:lnTo>
                                <a:lnTo>
                                  <a:pt x="638" y="615"/>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0"/>
                        <wps:cNvSpPr>
                          <a:spLocks/>
                        </wps:cNvSpPr>
                        <wps:spPr bwMode="auto">
                          <a:xfrm>
                            <a:off x="6135" y="1172"/>
                            <a:ext cx="1245" cy="225"/>
                          </a:xfrm>
                          <a:custGeom>
                            <a:avLst/>
                            <a:gdLst>
                              <a:gd name="T0" fmla="+- 0 7268 6135"/>
                              <a:gd name="T1" fmla="*/ T0 w 1245"/>
                              <a:gd name="T2" fmla="+- 0 1173 1173"/>
                              <a:gd name="T3" fmla="*/ 1173 h 225"/>
                              <a:gd name="T4" fmla="+- 0 7268 6135"/>
                              <a:gd name="T5" fmla="*/ T4 w 1245"/>
                              <a:gd name="T6" fmla="+- 0 1229 1173"/>
                              <a:gd name="T7" fmla="*/ 1229 h 225"/>
                              <a:gd name="T8" fmla="+- 0 6135 6135"/>
                              <a:gd name="T9" fmla="*/ T8 w 1245"/>
                              <a:gd name="T10" fmla="+- 0 1229 1173"/>
                              <a:gd name="T11" fmla="*/ 1229 h 225"/>
                              <a:gd name="T12" fmla="+- 0 6135 6135"/>
                              <a:gd name="T13" fmla="*/ T12 w 1245"/>
                              <a:gd name="T14" fmla="+- 0 1341 1173"/>
                              <a:gd name="T15" fmla="*/ 1341 h 225"/>
                              <a:gd name="T16" fmla="+- 0 7268 6135"/>
                              <a:gd name="T17" fmla="*/ T16 w 1245"/>
                              <a:gd name="T18" fmla="+- 0 1341 1173"/>
                              <a:gd name="T19" fmla="*/ 1341 h 225"/>
                              <a:gd name="T20" fmla="+- 0 7268 6135"/>
                              <a:gd name="T21" fmla="*/ T20 w 1245"/>
                              <a:gd name="T22" fmla="+- 0 1398 1173"/>
                              <a:gd name="T23" fmla="*/ 1398 h 225"/>
                              <a:gd name="T24" fmla="+- 0 7380 6135"/>
                              <a:gd name="T25" fmla="*/ T24 w 1245"/>
                              <a:gd name="T26" fmla="+- 0 1285 1173"/>
                              <a:gd name="T27" fmla="*/ 1285 h 225"/>
                              <a:gd name="T28" fmla="+- 0 7268 6135"/>
                              <a:gd name="T29" fmla="*/ T28 w 1245"/>
                              <a:gd name="T30" fmla="+- 0 1173 1173"/>
                              <a:gd name="T31" fmla="*/ 117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225">
                                <a:moveTo>
                                  <a:pt x="1133" y="0"/>
                                </a:moveTo>
                                <a:lnTo>
                                  <a:pt x="1133" y="56"/>
                                </a:lnTo>
                                <a:lnTo>
                                  <a:pt x="0" y="56"/>
                                </a:lnTo>
                                <a:lnTo>
                                  <a:pt x="0" y="168"/>
                                </a:lnTo>
                                <a:lnTo>
                                  <a:pt x="1133" y="168"/>
                                </a:lnTo>
                                <a:lnTo>
                                  <a:pt x="1133" y="225"/>
                                </a:lnTo>
                                <a:lnTo>
                                  <a:pt x="1245" y="112"/>
                                </a:lnTo>
                                <a:lnTo>
                                  <a:pt x="113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1"/>
                        <wps:cNvSpPr>
                          <a:spLocks/>
                        </wps:cNvSpPr>
                        <wps:spPr bwMode="auto">
                          <a:xfrm>
                            <a:off x="6135" y="1172"/>
                            <a:ext cx="1245" cy="225"/>
                          </a:xfrm>
                          <a:custGeom>
                            <a:avLst/>
                            <a:gdLst>
                              <a:gd name="T0" fmla="+- 0 6135 6135"/>
                              <a:gd name="T1" fmla="*/ T0 w 1245"/>
                              <a:gd name="T2" fmla="+- 0 1229 1173"/>
                              <a:gd name="T3" fmla="*/ 1229 h 225"/>
                              <a:gd name="T4" fmla="+- 0 7268 6135"/>
                              <a:gd name="T5" fmla="*/ T4 w 1245"/>
                              <a:gd name="T6" fmla="+- 0 1229 1173"/>
                              <a:gd name="T7" fmla="*/ 1229 h 225"/>
                              <a:gd name="T8" fmla="+- 0 7268 6135"/>
                              <a:gd name="T9" fmla="*/ T8 w 1245"/>
                              <a:gd name="T10" fmla="+- 0 1173 1173"/>
                              <a:gd name="T11" fmla="*/ 1173 h 225"/>
                              <a:gd name="T12" fmla="+- 0 7380 6135"/>
                              <a:gd name="T13" fmla="*/ T12 w 1245"/>
                              <a:gd name="T14" fmla="+- 0 1285 1173"/>
                              <a:gd name="T15" fmla="*/ 1285 h 225"/>
                              <a:gd name="T16" fmla="+- 0 7268 6135"/>
                              <a:gd name="T17" fmla="*/ T16 w 1245"/>
                              <a:gd name="T18" fmla="+- 0 1398 1173"/>
                              <a:gd name="T19" fmla="*/ 1398 h 225"/>
                              <a:gd name="T20" fmla="+- 0 7268 6135"/>
                              <a:gd name="T21" fmla="*/ T20 w 1245"/>
                              <a:gd name="T22" fmla="+- 0 1341 1173"/>
                              <a:gd name="T23" fmla="*/ 1341 h 225"/>
                              <a:gd name="T24" fmla="+- 0 6135 6135"/>
                              <a:gd name="T25" fmla="*/ T24 w 1245"/>
                              <a:gd name="T26" fmla="+- 0 1341 1173"/>
                              <a:gd name="T27" fmla="*/ 1341 h 225"/>
                              <a:gd name="T28" fmla="+- 0 6135 6135"/>
                              <a:gd name="T29" fmla="*/ T28 w 1245"/>
                              <a:gd name="T30" fmla="+- 0 1229 1173"/>
                              <a:gd name="T31" fmla="*/ 1229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225">
                                <a:moveTo>
                                  <a:pt x="0" y="56"/>
                                </a:moveTo>
                                <a:lnTo>
                                  <a:pt x="1133" y="56"/>
                                </a:lnTo>
                                <a:lnTo>
                                  <a:pt x="1133" y="0"/>
                                </a:lnTo>
                                <a:lnTo>
                                  <a:pt x="1245" y="112"/>
                                </a:lnTo>
                                <a:lnTo>
                                  <a:pt x="1133" y="225"/>
                                </a:lnTo>
                                <a:lnTo>
                                  <a:pt x="1133" y="168"/>
                                </a:lnTo>
                                <a:lnTo>
                                  <a:pt x="0" y="168"/>
                                </a:lnTo>
                                <a:lnTo>
                                  <a:pt x="0" y="56"/>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2"/>
                        <wps:cNvSpPr>
                          <a:spLocks/>
                        </wps:cNvSpPr>
                        <wps:spPr bwMode="auto">
                          <a:xfrm>
                            <a:off x="6135" y="2072"/>
                            <a:ext cx="1245" cy="195"/>
                          </a:xfrm>
                          <a:custGeom>
                            <a:avLst/>
                            <a:gdLst>
                              <a:gd name="T0" fmla="+- 0 6233 6135"/>
                              <a:gd name="T1" fmla="*/ T0 w 1245"/>
                              <a:gd name="T2" fmla="+- 0 2073 2073"/>
                              <a:gd name="T3" fmla="*/ 2073 h 195"/>
                              <a:gd name="T4" fmla="+- 0 6135 6135"/>
                              <a:gd name="T5" fmla="*/ T4 w 1245"/>
                              <a:gd name="T6" fmla="+- 0 2170 2073"/>
                              <a:gd name="T7" fmla="*/ 2170 h 195"/>
                              <a:gd name="T8" fmla="+- 0 6233 6135"/>
                              <a:gd name="T9" fmla="*/ T8 w 1245"/>
                              <a:gd name="T10" fmla="+- 0 2268 2073"/>
                              <a:gd name="T11" fmla="*/ 2268 h 195"/>
                              <a:gd name="T12" fmla="+- 0 6233 6135"/>
                              <a:gd name="T13" fmla="*/ T12 w 1245"/>
                              <a:gd name="T14" fmla="+- 0 2219 2073"/>
                              <a:gd name="T15" fmla="*/ 2219 h 195"/>
                              <a:gd name="T16" fmla="+- 0 7380 6135"/>
                              <a:gd name="T17" fmla="*/ T16 w 1245"/>
                              <a:gd name="T18" fmla="+- 0 2219 2073"/>
                              <a:gd name="T19" fmla="*/ 2219 h 195"/>
                              <a:gd name="T20" fmla="+- 0 7380 6135"/>
                              <a:gd name="T21" fmla="*/ T20 w 1245"/>
                              <a:gd name="T22" fmla="+- 0 2121 2073"/>
                              <a:gd name="T23" fmla="*/ 2121 h 195"/>
                              <a:gd name="T24" fmla="+- 0 6233 6135"/>
                              <a:gd name="T25" fmla="*/ T24 w 1245"/>
                              <a:gd name="T26" fmla="+- 0 2121 2073"/>
                              <a:gd name="T27" fmla="*/ 2121 h 195"/>
                              <a:gd name="T28" fmla="+- 0 6233 6135"/>
                              <a:gd name="T29" fmla="*/ T28 w 1245"/>
                              <a:gd name="T30" fmla="+- 0 2073 2073"/>
                              <a:gd name="T31" fmla="*/ 2073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195">
                                <a:moveTo>
                                  <a:pt x="98" y="0"/>
                                </a:moveTo>
                                <a:lnTo>
                                  <a:pt x="0" y="97"/>
                                </a:lnTo>
                                <a:lnTo>
                                  <a:pt x="98" y="195"/>
                                </a:lnTo>
                                <a:lnTo>
                                  <a:pt x="98" y="146"/>
                                </a:lnTo>
                                <a:lnTo>
                                  <a:pt x="1245" y="146"/>
                                </a:lnTo>
                                <a:lnTo>
                                  <a:pt x="1245" y="48"/>
                                </a:lnTo>
                                <a:lnTo>
                                  <a:pt x="98" y="48"/>
                                </a:lnTo>
                                <a:lnTo>
                                  <a:pt x="9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3"/>
                        <wps:cNvSpPr>
                          <a:spLocks/>
                        </wps:cNvSpPr>
                        <wps:spPr bwMode="auto">
                          <a:xfrm>
                            <a:off x="6135" y="2072"/>
                            <a:ext cx="1245" cy="195"/>
                          </a:xfrm>
                          <a:custGeom>
                            <a:avLst/>
                            <a:gdLst>
                              <a:gd name="T0" fmla="+- 0 6135 6135"/>
                              <a:gd name="T1" fmla="*/ T0 w 1245"/>
                              <a:gd name="T2" fmla="+- 0 2170 2073"/>
                              <a:gd name="T3" fmla="*/ 2170 h 195"/>
                              <a:gd name="T4" fmla="+- 0 6233 6135"/>
                              <a:gd name="T5" fmla="*/ T4 w 1245"/>
                              <a:gd name="T6" fmla="+- 0 2073 2073"/>
                              <a:gd name="T7" fmla="*/ 2073 h 195"/>
                              <a:gd name="T8" fmla="+- 0 6233 6135"/>
                              <a:gd name="T9" fmla="*/ T8 w 1245"/>
                              <a:gd name="T10" fmla="+- 0 2121 2073"/>
                              <a:gd name="T11" fmla="*/ 2121 h 195"/>
                              <a:gd name="T12" fmla="+- 0 7380 6135"/>
                              <a:gd name="T13" fmla="*/ T12 w 1245"/>
                              <a:gd name="T14" fmla="+- 0 2121 2073"/>
                              <a:gd name="T15" fmla="*/ 2121 h 195"/>
                              <a:gd name="T16" fmla="+- 0 7380 6135"/>
                              <a:gd name="T17" fmla="*/ T16 w 1245"/>
                              <a:gd name="T18" fmla="+- 0 2219 2073"/>
                              <a:gd name="T19" fmla="*/ 2219 h 195"/>
                              <a:gd name="T20" fmla="+- 0 6233 6135"/>
                              <a:gd name="T21" fmla="*/ T20 w 1245"/>
                              <a:gd name="T22" fmla="+- 0 2219 2073"/>
                              <a:gd name="T23" fmla="*/ 2219 h 195"/>
                              <a:gd name="T24" fmla="+- 0 6233 6135"/>
                              <a:gd name="T25" fmla="*/ T24 w 1245"/>
                              <a:gd name="T26" fmla="+- 0 2268 2073"/>
                              <a:gd name="T27" fmla="*/ 2268 h 195"/>
                              <a:gd name="T28" fmla="+- 0 6135 6135"/>
                              <a:gd name="T29" fmla="*/ T28 w 1245"/>
                              <a:gd name="T30" fmla="+- 0 2170 2073"/>
                              <a:gd name="T31" fmla="*/ 2170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195">
                                <a:moveTo>
                                  <a:pt x="0" y="97"/>
                                </a:moveTo>
                                <a:lnTo>
                                  <a:pt x="98" y="0"/>
                                </a:lnTo>
                                <a:lnTo>
                                  <a:pt x="98" y="48"/>
                                </a:lnTo>
                                <a:lnTo>
                                  <a:pt x="1245" y="48"/>
                                </a:lnTo>
                                <a:lnTo>
                                  <a:pt x="1245" y="146"/>
                                </a:lnTo>
                                <a:lnTo>
                                  <a:pt x="98" y="146"/>
                                </a:lnTo>
                                <a:lnTo>
                                  <a:pt x="98" y="195"/>
                                </a:lnTo>
                                <a:lnTo>
                                  <a:pt x="0" y="97"/>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Text Box 74"/>
                        <wps:cNvSpPr txBox="1">
                          <a:spLocks noChangeArrowheads="1"/>
                        </wps:cNvSpPr>
                        <wps:spPr bwMode="auto">
                          <a:xfrm>
                            <a:off x="7478" y="325"/>
                            <a:ext cx="2100"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140D" w14:textId="77777777" w:rsidR="00335490" w:rsidRDefault="00335490" w:rsidP="00D54B51">
                              <w:pPr>
                                <w:spacing w:before="83" w:line="213" w:lineRule="auto"/>
                                <w:ind w:left="496" w:right="479" w:firstLine="14"/>
                                <w:rPr>
                                  <w:b/>
                                  <w:sz w:val="28"/>
                                </w:rPr>
                              </w:pPr>
                              <w:r>
                                <w:rPr>
                                  <w:b/>
                                  <w:color w:val="002069"/>
                                  <w:sz w:val="28"/>
                                </w:rPr>
                                <w:t>Privātais partneris</w:t>
                              </w:r>
                            </w:p>
                            <w:p w14:paraId="00592300" w14:textId="77777777" w:rsidR="00335490" w:rsidRDefault="00335490" w:rsidP="005E50CA">
                              <w:pPr>
                                <w:widowControl w:val="0"/>
                                <w:numPr>
                                  <w:ilvl w:val="0"/>
                                  <w:numId w:val="17"/>
                                </w:numPr>
                                <w:tabs>
                                  <w:tab w:val="left" w:pos="266"/>
                                </w:tabs>
                                <w:autoSpaceDE w:val="0"/>
                                <w:autoSpaceDN w:val="0"/>
                                <w:spacing w:before="93" w:after="0" w:line="240" w:lineRule="auto"/>
                                <w:rPr>
                                  <w:sz w:val="24"/>
                                </w:rPr>
                              </w:pPr>
                              <w:r>
                                <w:rPr>
                                  <w:color w:val="002069"/>
                                  <w:sz w:val="24"/>
                                </w:rPr>
                                <w:t>būvē</w:t>
                              </w:r>
                              <w:r>
                                <w:rPr>
                                  <w:color w:val="002069"/>
                                  <w:spacing w:val="-2"/>
                                  <w:sz w:val="24"/>
                                </w:rPr>
                                <w:t xml:space="preserve"> </w:t>
                              </w:r>
                              <w:r>
                                <w:rPr>
                                  <w:color w:val="002069"/>
                                  <w:sz w:val="24"/>
                                </w:rPr>
                                <w:t>aktīvu</w:t>
                              </w:r>
                            </w:p>
                            <w:p w14:paraId="76A0562B" w14:textId="77777777" w:rsidR="00335490" w:rsidRDefault="00335490" w:rsidP="005E50CA">
                              <w:pPr>
                                <w:widowControl w:val="0"/>
                                <w:numPr>
                                  <w:ilvl w:val="0"/>
                                  <w:numId w:val="17"/>
                                </w:numPr>
                                <w:tabs>
                                  <w:tab w:val="left" w:pos="266"/>
                                </w:tabs>
                                <w:autoSpaceDE w:val="0"/>
                                <w:autoSpaceDN w:val="0"/>
                                <w:spacing w:before="37" w:after="0" w:line="216" w:lineRule="auto"/>
                                <w:ind w:right="265"/>
                                <w:rPr>
                                  <w:sz w:val="24"/>
                                </w:rPr>
                              </w:pPr>
                              <w:r>
                                <w:rPr>
                                  <w:color w:val="002069"/>
                                  <w:sz w:val="24"/>
                                </w:rPr>
                                <w:t>nodrošina pakalpojumu un gūst</w:t>
                              </w:r>
                              <w:r>
                                <w:rPr>
                                  <w:color w:val="002069"/>
                                  <w:spacing w:val="-3"/>
                                  <w:sz w:val="24"/>
                                </w:rPr>
                                <w:t xml:space="preserve"> </w:t>
                              </w:r>
                              <w:r>
                                <w:rPr>
                                  <w:color w:val="002069"/>
                                  <w:sz w:val="24"/>
                                </w:rPr>
                                <w:t>ieņēmumus</w:t>
                              </w:r>
                            </w:p>
                          </w:txbxContent>
                        </wps:txbx>
                        <wps:bodyPr rot="0" vert="horz" wrap="square" lIns="0" tIns="0" rIns="0" bIns="0" anchor="t" anchorCtr="0" upright="1">
                          <a:noAutofit/>
                        </wps:bodyPr>
                      </wps:wsp>
                      <wps:wsp>
                        <wps:cNvPr id="759" name="Text Box 75"/>
                        <wps:cNvSpPr txBox="1">
                          <a:spLocks noChangeArrowheads="1"/>
                        </wps:cNvSpPr>
                        <wps:spPr bwMode="auto">
                          <a:xfrm>
                            <a:off x="6397" y="1718"/>
                            <a:ext cx="7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2EC0" w14:textId="77777777" w:rsidR="00335490" w:rsidRDefault="00335490" w:rsidP="00D54B51">
                              <w:pPr>
                                <w:spacing w:line="311" w:lineRule="exact"/>
                                <w:rPr>
                                  <w:sz w:val="28"/>
                                </w:rPr>
                              </w:pPr>
                              <w:r>
                                <w:rPr>
                                  <w:color w:val="002069"/>
                                  <w:sz w:val="28"/>
                                </w:rPr>
                                <w:t>Aktīvs</w:t>
                              </w:r>
                            </w:p>
                          </w:txbxContent>
                        </wps:txbx>
                        <wps:bodyPr rot="0" vert="horz" wrap="square" lIns="0" tIns="0" rIns="0" bIns="0" anchor="t" anchorCtr="0" upright="1">
                          <a:noAutofit/>
                        </wps:bodyPr>
                      </wps:wsp>
                      <wps:wsp>
                        <wps:cNvPr id="760" name="Text Box 76"/>
                        <wps:cNvSpPr txBox="1">
                          <a:spLocks noChangeArrowheads="1"/>
                        </wps:cNvSpPr>
                        <wps:spPr bwMode="auto">
                          <a:xfrm>
                            <a:off x="6377" y="914"/>
                            <a:ext cx="75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37FD" w14:textId="77777777" w:rsidR="00335490" w:rsidRDefault="00335490" w:rsidP="00D54B51">
                              <w:pPr>
                                <w:spacing w:line="311" w:lineRule="exact"/>
                                <w:rPr>
                                  <w:sz w:val="28"/>
                                </w:rPr>
                              </w:pPr>
                              <w:r>
                                <w:rPr>
                                  <w:color w:val="002069"/>
                                  <w:sz w:val="28"/>
                                </w:rPr>
                                <w:t>Nauda</w:t>
                              </w:r>
                            </w:p>
                          </w:txbxContent>
                        </wps:txbx>
                        <wps:bodyPr rot="0" vert="horz" wrap="square" lIns="0" tIns="0" rIns="0" bIns="0" anchor="t" anchorCtr="0" upright="1">
                          <a:noAutofit/>
                        </wps:bodyPr>
                      </wps:wsp>
                      <wps:wsp>
                        <wps:cNvPr id="761" name="Text Box 77"/>
                        <wps:cNvSpPr txBox="1">
                          <a:spLocks noChangeArrowheads="1"/>
                        </wps:cNvSpPr>
                        <wps:spPr bwMode="auto">
                          <a:xfrm>
                            <a:off x="3938" y="325"/>
                            <a:ext cx="2074"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7E46" w14:textId="77777777" w:rsidR="00335490" w:rsidRDefault="00335490" w:rsidP="00D54B51">
                              <w:pPr>
                                <w:spacing w:before="54"/>
                                <w:ind w:left="97"/>
                                <w:rPr>
                                  <w:b/>
                                  <w:sz w:val="28"/>
                                </w:rPr>
                              </w:pPr>
                              <w:r>
                                <w:rPr>
                                  <w:b/>
                                  <w:color w:val="002069"/>
                                  <w:sz w:val="28"/>
                                </w:rPr>
                                <w:t>Budžeta iestāde</w:t>
                              </w:r>
                            </w:p>
                            <w:p w14:paraId="49950165" w14:textId="77777777" w:rsidR="00335490" w:rsidRDefault="00335490" w:rsidP="005E50CA">
                              <w:pPr>
                                <w:widowControl w:val="0"/>
                                <w:numPr>
                                  <w:ilvl w:val="0"/>
                                  <w:numId w:val="16"/>
                                </w:numPr>
                                <w:tabs>
                                  <w:tab w:val="left" w:pos="266"/>
                                </w:tabs>
                                <w:autoSpaceDE w:val="0"/>
                                <w:autoSpaceDN w:val="0"/>
                                <w:spacing w:before="108" w:after="0" w:line="216" w:lineRule="auto"/>
                                <w:ind w:right="641"/>
                                <w:rPr>
                                  <w:sz w:val="24"/>
                                </w:rPr>
                              </w:pPr>
                              <w:r>
                                <w:rPr>
                                  <w:color w:val="002069"/>
                                  <w:sz w:val="24"/>
                                </w:rPr>
                                <w:t>kontrole</w:t>
                              </w:r>
                              <w:r>
                                <w:rPr>
                                  <w:color w:val="002069"/>
                                  <w:spacing w:val="-2"/>
                                  <w:sz w:val="24"/>
                                </w:rPr>
                                <w:t xml:space="preserve"> </w:t>
                              </w:r>
                              <w:r>
                                <w:rPr>
                                  <w:color w:val="002069"/>
                                  <w:sz w:val="24"/>
                                </w:rPr>
                                <w:t>pār aktīvu</w:t>
                              </w:r>
                            </w:p>
                            <w:p w14:paraId="746361D8" w14:textId="77777777" w:rsidR="00335490" w:rsidRDefault="00335490" w:rsidP="005E50CA">
                              <w:pPr>
                                <w:widowControl w:val="0"/>
                                <w:numPr>
                                  <w:ilvl w:val="0"/>
                                  <w:numId w:val="16"/>
                                </w:numPr>
                                <w:tabs>
                                  <w:tab w:val="left" w:pos="266"/>
                                </w:tabs>
                                <w:autoSpaceDE w:val="0"/>
                                <w:autoSpaceDN w:val="0"/>
                                <w:spacing w:before="41" w:after="0" w:line="216" w:lineRule="auto"/>
                                <w:ind w:right="93"/>
                                <w:rPr>
                                  <w:sz w:val="24"/>
                                </w:rPr>
                              </w:pPr>
                              <w:r>
                                <w:rPr>
                                  <w:color w:val="002069"/>
                                  <w:sz w:val="24"/>
                                </w:rPr>
                                <w:t>piešķir privātajam partnerim tiesības gūt</w:t>
                              </w:r>
                              <w:r>
                                <w:rPr>
                                  <w:color w:val="002069"/>
                                  <w:spacing w:val="1"/>
                                  <w:sz w:val="24"/>
                                </w:rPr>
                                <w:t xml:space="preserve"> </w:t>
                              </w:r>
                              <w:r>
                                <w:rPr>
                                  <w:color w:val="002069"/>
                                  <w:sz w:val="24"/>
                                </w:rPr>
                                <w:t>ieņēmumus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17D2A" id="Group 54" o:spid="_x0000_s1034" style="position:absolute;left:0;text-align:left;margin-left:122.15pt;margin-top:15.8pt;width:432.05pt;height:116.45pt;z-index:251689984;mso-wrap-distance-left:0;mso-wrap-distance-right:0;mso-position-horizontal-relative:page" coordorigin="2443,316" coordsize="864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">
                <v:rect id="Rectangle 55" o:spid="_x0000_s1035" style="position:absolute;left:2443;top:325;width:1496;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" fillcolor="#f1f1f1" stroked="f"/>
                <v:rect id="Rectangle 56" o:spid="_x0000_s1036" style="position:absolute;left:3938;top:325;width:207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" fillcolor="#b8cde4" stroked="f"/>
                <v:rect id="Rectangle 57" o:spid="_x0000_s1037" style="position:absolute;left:3938;top:325;width:207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" filled="f" strokecolor="white" strokeweight="1pt"/>
                <v:rect id="Rectangle 58" o:spid="_x0000_s1038" style="position:absolute;left:6011;top:325;width:146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" fillcolor="#f1f1f1" stroked="f"/>
                <v:rect id="Rectangle 59" o:spid="_x0000_s1039" style="position:absolute;left:6011;top:325;width:146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" filled="f" strokecolor="white" strokeweight="1pt"/>
                <v:rect id="Rectangle 60" o:spid="_x0000_s1040" style="position:absolute;left:7478;top:325;width:210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" fillcolor="#b8cde4" stroked="f"/>
                <v:rect id="Rectangle 61" o:spid="_x0000_s1041" style="position:absolute;left:7478;top:325;width:210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" filled="f" strokecolor="white" strokeweight="1pt"/>
                <v:rect id="Rectangle 62" o:spid="_x0000_s1042" style="position:absolute;left:9578;top:325;width:1496;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" fillcolor="#f1f1f1" stroked="f"/>
                <v:rect id="Rectangle 63" o:spid="_x0000_s1043" style="position:absolute;left:9578;top:325;width:1496;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" filled="f" strokecolor="white" strokeweight="1pt"/>
                <v:shape id="AutoShape 64" o:spid="_x0000_s1044" style="position:absolute;left:3029;top:919;width:656;height:642;visibility:visible;mso-wrap-style:square;v-text-anchor:top" coordsize="6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" path="m492,r,82l405,104r-80,30l252,171r-65,44l130,264,83,319,46,378,19,441,4,506,,573r9,69l29,579,59,520,98,465r48,-51l202,368r63,-40l335,294r76,-28l492,246r75,l656,149,492,xm567,246r-75,l492,328r75,-82xe" fillcolor="#5b9bd4" stroked="f">
                  <v:path arrowok="t" o:connecttype="custom" o:connectlocs="492,919;492,1001;405,1023;325,1053;252,1090;187,1134;130,1183;83,1238;46,1297;19,1360;4,1425;0,1492;9,1561;29,1498;59,1439;98,1384;146,1333;202,1287;265,1247;335,1213;411,1185;492,1165;567,1165;656,1068;492,919;567,1165;492,1165;492,1247;567,1165" o:connectangles="0,0,0,0,0,0,0,0,0,0,0,0,0,0,0,0,0,0,0,0,0,0,0,0,0,0,0,0,0"/>
                </v:shape>
                <v:shape id="Freeform 65" o:spid="_x0000_s1045" style="position:absolute;left:3029;top:1478;width:656;height:657;visibility:visible;mso-wrap-style:square;v-text-anchor:top" coordsize="65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" path="m,l,164r5,61l20,285r24,57l77,395r41,50l166,491r54,41l281,568r67,31l419,623r75,18l574,653r82,4l656,493r-82,-4l494,477,419,459,348,435,281,404,220,368,166,327,118,281,77,231,44,178,20,121,5,61,,xe" fillcolor="#487cab" stroked="f">
                  <v:path arrowok="t" o:connecttype="custom" o:connectlocs="0,1479;0,1643;5,1704;20,1764;44,1821;77,1874;118,1924;166,1970;220,2011;281,2047;348,2078;419,2102;494,2120;574,2132;656,2136;656,1972;574,1968;494,1956;419,1938;348,1914;281,1883;220,1847;166,1806;118,1760;77,1710;44,1657;20,1600;5,1540;0,1479" o:connectangles="0,0,0,0,0,0,0,0,0,0,0,0,0,0,0,0,0,0,0,0,0,0,0,0,0,0,0,0,0"/>
                </v:shape>
                <v:shape id="Freeform 66" o:spid="_x0000_s1046" style="position:absolute;left:3029;top:919;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" path="m,560r5,61l20,681r24,57l77,791r41,50l166,887r54,41l281,964r67,31l419,1019r75,18l574,1049r82,4l656,1217r-82,-4l494,1201r-75,-18l348,1159r-67,-31l220,1092r-54,-41l118,1005,77,955,44,902,20,845,5,785,,724,,560,6,493,23,429,52,368,90,311r47,-53l194,210r64,-42l330,132r78,-29l492,82,492,,656,149,492,328r,-82l411,266r-76,28l265,328r-63,40l146,414,98,465,59,520,29,579,9,642e" filled="f" strokecolor="#41709c" strokeweight="1pt">
                  <v:path arrowok="t" o:connecttype="custom" o:connectlocs="0,1479;5,1540;20,1600;44,1657;77,1710;118,1760;166,1806;220,1847;281,1883;348,1914;419,1938;494,1956;574,1968;656,1972;656,2136;574,2132;494,2120;419,2102;348,2078;281,2047;220,2011;166,1970;118,1924;77,1874;44,1821;20,1764;5,1704;0,1643;0,1479;6,1412;23,1348;52,1287;90,1230;137,1177;194,1129;258,1087;330,1051;408,1022;492,1001;492,919;656,1068;492,1247;492,1165;411,1185;335,1213;265,1247;202,1287;146,1333;98,1384;59,1439;29,1498;9,1561" o:connectangles="0,0,0,0,0,0,0,0,0,0,0,0,0,0,0,0,0,0,0,0,0,0,0,0,0,0,0,0,0,0,0,0,0,0,0,0,0,0,0,0,0,0,0,0,0,0,0,0,0,0,0,0"/>
                </v:shape>
                <v:shape id="AutoShape 67" o:spid="_x0000_s1047" style="position:absolute;left:9757;top:1577;width:645;height:680;visibility:visible;mso-wrap-style:square;v-text-anchor:top" coordsize="64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" path="m161,357l,535,161,680r,-81l239,578r72,-28l378,515r60,-42l480,438r-319,l161,357xm638,l619,69r-28,66l552,196r-47,56l450,303r-63,44l318,385r-76,30l161,438r319,l492,427r46,-51l577,320r30,-59l629,199r13,-65l645,68,638,xe" fillcolor="#5b9bd4" stroked="f">
                  <v:path arrowok="t" o:connecttype="custom" o:connectlocs="161,1934;0,2112;161,2257;161,2176;239,2155;311,2127;378,2092;438,2050;480,2015;161,2015;161,1934;638,1577;619,1646;591,1712;552,1773;505,1829;450,1880;387,1924;318,1962;242,1992;161,2015;480,2015;492,2004;538,1953;577,1897;607,1838;629,1776;642,1711;645,1645;638,1577" o:connectangles="0,0,0,0,0,0,0,0,0,0,0,0,0,0,0,0,0,0,0,0,0,0,0,0,0,0,0,0,0,0"/>
                </v:shape>
                <v:shape id="Freeform 68" o:spid="_x0000_s1048" style="position:absolute;left:9757;top:961;width:645;height:697;visibility:visible;mso-wrap-style:square;v-text-anchor:top" coordsize="64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" path="m,l,161r81,4l159,177r74,20l303,223r65,34l428,296r54,44l529,390r40,54l602,502r23,62l640,629r5,67l645,535r-5,-68l625,403,602,341,569,283,529,229,482,179,428,135,368,95,303,62,233,36,159,16,81,4,,xe" fillcolor="#487cab" stroked="f">
                  <v:path arrowok="t" o:connecttype="custom" o:connectlocs="0,962;0,1123;81,1127;159,1139;233,1159;303,1185;368,1219;428,1258;482,1302;529,1352;569,1406;602,1464;625,1526;640,1591;645,1658;645,1497;640,1429;625,1365;602,1303;569,1245;529,1191;482,1141;428,1097;368,1057;303,1024;233,998;159,978;81,966;0,962" o:connectangles="0,0,0,0,0,0,0,0,0,0,0,0,0,0,0,0,0,0,0,0,0,0,0,0,0,0,0,0,0"/>
                </v:shape>
                <v:shape id="Freeform 69" o:spid="_x0000_s1049" style="position:absolute;left:9757;top:961;width:645;height:1295;visibility:visible;mso-wrap-style:square;v-text-anchor:top" coordsize="645,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" path="m645,696r-5,-67l625,564,602,502,569,444,529,390,482,340,428,296,368,257,303,223,233,197,159,177,81,165,,161,,,81,4r78,12l233,36r70,26l368,95r60,40l482,179r47,50l569,283r33,58l625,403r15,64l645,535r,161l639,768r-17,69l594,904r-37,62l510,1023r-55,52l391,1121r-70,39l244,1191r-83,23l161,1295,,1150,161,972r,81l242,1030r76,-30l387,962r63,-44l505,867r47,-56l591,750r28,-66l638,615e" filled="f" strokecolor="#41709c" strokeweight="1pt">
                  <v:path arrowok="t" o:connecttype="custom" o:connectlocs="645,1658;640,1591;625,1526;602,1464;569,1406;529,1352;482,1302;428,1258;368,1219;303,1185;233,1159;159,1139;81,1127;0,1123;0,962;81,966;159,978;233,998;303,1024;368,1057;428,1097;482,1141;529,1191;569,1245;602,1303;625,1365;640,1429;645,1497;645,1658;639,1730;622,1799;594,1866;557,1928;510,1985;455,2037;391,2083;321,2122;244,2153;161,2176;161,2257;0,2112;161,1934;161,2015;242,1992;318,1962;387,1924;450,1880;505,1829;552,1773;591,1712;619,1646;638,1577" o:connectangles="0,0,0,0,0,0,0,0,0,0,0,0,0,0,0,0,0,0,0,0,0,0,0,0,0,0,0,0,0,0,0,0,0,0,0,0,0,0,0,0,0,0,0,0,0,0,0,0,0,0,0,0"/>
                </v:shape>
                <v:shape id="Freeform 70" o:spid="_x0000_s1050" style="position:absolute;left:6135;top:1172;width:1245;height:225;visibility:visible;mso-wrap-style:square;v-text-anchor:top" coordsize="12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" path="m1133,r,56l,56,,168r1133,l1133,225,1245,112,1133,xe" fillcolor="#5b9bd4" stroked="f">
                  <v:path arrowok="t" o:connecttype="custom" o:connectlocs="1133,1173;1133,1229;0,1229;0,1341;1133,1341;1133,1398;1245,1285;1133,1173" o:connectangles="0,0,0,0,0,0,0,0"/>
                </v:shape>
                <v:shape id="Freeform 71" o:spid="_x0000_s1051" style="position:absolute;left:6135;top:1172;width:1245;height:225;visibility:visible;mso-wrap-style:square;v-text-anchor:top" coordsize="12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" path="m,56r1133,l1133,r112,112l1133,225r,-57l,168,,56xe" filled="f" strokecolor="#41709c" strokeweight="1pt">
                  <v:path arrowok="t" o:connecttype="custom" o:connectlocs="0,1229;1133,1229;1133,1173;1245,1285;1133,1398;1133,1341;0,1341;0,1229" o:connectangles="0,0,0,0,0,0,0,0"/>
                </v:shape>
                <v:shape id="Freeform 72" o:spid="_x0000_s1052" style="position:absolute;left:6135;top:2072;width:1245;height:195;visibility:visible;mso-wrap-style:square;v-text-anchor:top" coordsize="12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" path="m98,l,97r98,98l98,146r1147,l1245,48,98,48,98,xe" fillcolor="#5b9bd4" stroked="f">
                  <v:path arrowok="t" o:connecttype="custom" o:connectlocs="98,2073;0,2170;98,2268;98,2219;1245,2219;1245,2121;98,2121;98,2073" o:connectangles="0,0,0,0,0,0,0,0"/>
                </v:shape>
                <v:shape id="Freeform 73" o:spid="_x0000_s1053" style="position:absolute;left:6135;top:2072;width:1245;height:195;visibility:visible;mso-wrap-style:square;v-text-anchor:top" coordsize="12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" path="m,97l98,r,48l1245,48r,98l98,146r,49l,97xe" filled="f" strokecolor="#41709c" strokeweight="1pt">
                  <v:path arrowok="t" o:connecttype="custom" o:connectlocs="0,2170;98,2073;98,2121;1245,2121;1245,2219;98,2219;98,2268;0,2170" o:connectangles="0,0,0,0,0,0,0,0"/>
                </v:shape>
                <v:shape id="Text Box 74" o:spid="_x0000_s1054" type="#_x0000_t202" style="position:absolute;left:7478;top:325;width:210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0C7140D" w14:textId="77777777" w:rsidR="00335490" w:rsidRDefault="00335490" w:rsidP="00D54B51">
                        <w:pPr>
                          <w:spacing w:before="83" w:line="213" w:lineRule="auto"/>
                          <w:ind w:left="496" w:right="479" w:firstLine="14"/>
                          <w:rPr>
                            <w:b/>
                            <w:sz w:val="28"/>
                          </w:rPr>
                        </w:pPr>
                        <w:r>
                          <w:rPr>
                            <w:b/>
                            <w:color w:val="002069"/>
                            <w:sz w:val="28"/>
                          </w:rPr>
                          <w:t>Privātais partneris</w:t>
                        </w:r>
                      </w:p>
                      <w:p w14:paraId="00592300" w14:textId="77777777" w:rsidR="00335490" w:rsidRDefault="00335490" w:rsidP="005E50CA">
                        <w:pPr>
                          <w:widowControl w:val="0"/>
                          <w:numPr>
                            <w:ilvl w:val="0"/>
                            <w:numId w:val="17"/>
                          </w:numPr>
                          <w:tabs>
                            <w:tab w:val="left" w:pos="266"/>
                          </w:tabs>
                          <w:autoSpaceDE w:val="0"/>
                          <w:autoSpaceDN w:val="0"/>
                          <w:spacing w:before="93" w:after="0" w:line="240" w:lineRule="auto"/>
                          <w:rPr>
                            <w:sz w:val="24"/>
                          </w:rPr>
                        </w:pPr>
                        <w:r>
                          <w:rPr>
                            <w:color w:val="002069"/>
                            <w:sz w:val="24"/>
                          </w:rPr>
                          <w:t>būvē</w:t>
                        </w:r>
                        <w:r>
                          <w:rPr>
                            <w:color w:val="002069"/>
                            <w:spacing w:val="-2"/>
                            <w:sz w:val="24"/>
                          </w:rPr>
                          <w:t xml:space="preserve"> </w:t>
                        </w:r>
                        <w:r>
                          <w:rPr>
                            <w:color w:val="002069"/>
                            <w:sz w:val="24"/>
                          </w:rPr>
                          <w:t>aktīvu</w:t>
                        </w:r>
                      </w:p>
                      <w:p w14:paraId="76A0562B" w14:textId="77777777" w:rsidR="00335490" w:rsidRDefault="00335490" w:rsidP="005E50CA">
                        <w:pPr>
                          <w:widowControl w:val="0"/>
                          <w:numPr>
                            <w:ilvl w:val="0"/>
                            <w:numId w:val="17"/>
                          </w:numPr>
                          <w:tabs>
                            <w:tab w:val="left" w:pos="266"/>
                          </w:tabs>
                          <w:autoSpaceDE w:val="0"/>
                          <w:autoSpaceDN w:val="0"/>
                          <w:spacing w:before="37" w:after="0" w:line="216" w:lineRule="auto"/>
                          <w:ind w:right="265"/>
                          <w:rPr>
                            <w:sz w:val="24"/>
                          </w:rPr>
                        </w:pPr>
                        <w:r>
                          <w:rPr>
                            <w:color w:val="002069"/>
                            <w:sz w:val="24"/>
                          </w:rPr>
                          <w:t>nodrošina pakalpojumu un gūst</w:t>
                        </w:r>
                        <w:r>
                          <w:rPr>
                            <w:color w:val="002069"/>
                            <w:spacing w:val="-3"/>
                            <w:sz w:val="24"/>
                          </w:rPr>
                          <w:t xml:space="preserve"> </w:t>
                        </w:r>
                        <w:r>
                          <w:rPr>
                            <w:color w:val="002069"/>
                            <w:sz w:val="24"/>
                          </w:rPr>
                          <w:t>ieņēmumus</w:t>
                        </w:r>
                      </w:p>
                    </w:txbxContent>
                  </v:textbox>
                </v:shape>
                <v:shape id="Text Box 75" o:spid="_x0000_s1055" type="#_x0000_t202" style="position:absolute;left:6397;top:1718;width:77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EE02EC0" w14:textId="77777777" w:rsidR="00335490" w:rsidRDefault="00335490" w:rsidP="00D54B51">
                        <w:pPr>
                          <w:spacing w:line="311" w:lineRule="exact"/>
                          <w:rPr>
                            <w:sz w:val="28"/>
                          </w:rPr>
                        </w:pPr>
                        <w:r>
                          <w:rPr>
                            <w:color w:val="002069"/>
                            <w:sz w:val="28"/>
                          </w:rPr>
                          <w:t>Aktīvs</w:t>
                        </w:r>
                      </w:p>
                    </w:txbxContent>
                  </v:textbox>
                </v:shape>
                <v:shape id="Text Box 76" o:spid="_x0000_s1056" type="#_x0000_t202" style="position:absolute;left:6377;top:914;width:75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F3437FD" w14:textId="77777777" w:rsidR="00335490" w:rsidRDefault="00335490" w:rsidP="00D54B51">
                        <w:pPr>
                          <w:spacing w:line="311" w:lineRule="exact"/>
                          <w:rPr>
                            <w:sz w:val="28"/>
                          </w:rPr>
                        </w:pPr>
                        <w:r>
                          <w:rPr>
                            <w:color w:val="002069"/>
                            <w:sz w:val="28"/>
                          </w:rPr>
                          <w:t>Nauda</w:t>
                        </w:r>
                      </w:p>
                    </w:txbxContent>
                  </v:textbox>
                </v:shape>
                <v:shape id="Text Box 77" o:spid="_x0000_s1057" type="#_x0000_t202" style="position:absolute;left:3938;top:325;width:207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184C7E46" w14:textId="77777777" w:rsidR="00335490" w:rsidRDefault="00335490" w:rsidP="00D54B51">
                        <w:pPr>
                          <w:spacing w:before="54"/>
                          <w:ind w:left="97"/>
                          <w:rPr>
                            <w:b/>
                            <w:sz w:val="28"/>
                          </w:rPr>
                        </w:pPr>
                        <w:r>
                          <w:rPr>
                            <w:b/>
                            <w:color w:val="002069"/>
                            <w:sz w:val="28"/>
                          </w:rPr>
                          <w:t>Budžeta iestāde</w:t>
                        </w:r>
                      </w:p>
                      <w:p w14:paraId="49950165" w14:textId="77777777" w:rsidR="00335490" w:rsidRDefault="00335490" w:rsidP="005E50CA">
                        <w:pPr>
                          <w:widowControl w:val="0"/>
                          <w:numPr>
                            <w:ilvl w:val="0"/>
                            <w:numId w:val="16"/>
                          </w:numPr>
                          <w:tabs>
                            <w:tab w:val="left" w:pos="266"/>
                          </w:tabs>
                          <w:autoSpaceDE w:val="0"/>
                          <w:autoSpaceDN w:val="0"/>
                          <w:spacing w:before="108" w:after="0" w:line="216" w:lineRule="auto"/>
                          <w:ind w:right="641"/>
                          <w:rPr>
                            <w:sz w:val="24"/>
                          </w:rPr>
                        </w:pPr>
                        <w:r>
                          <w:rPr>
                            <w:color w:val="002069"/>
                            <w:sz w:val="24"/>
                          </w:rPr>
                          <w:t>kontrole</w:t>
                        </w:r>
                        <w:r>
                          <w:rPr>
                            <w:color w:val="002069"/>
                            <w:spacing w:val="-2"/>
                            <w:sz w:val="24"/>
                          </w:rPr>
                          <w:t xml:space="preserve"> </w:t>
                        </w:r>
                        <w:r>
                          <w:rPr>
                            <w:color w:val="002069"/>
                            <w:sz w:val="24"/>
                          </w:rPr>
                          <w:t>pār aktīvu</w:t>
                        </w:r>
                      </w:p>
                      <w:p w14:paraId="746361D8" w14:textId="77777777" w:rsidR="00335490" w:rsidRDefault="00335490" w:rsidP="005E50CA">
                        <w:pPr>
                          <w:widowControl w:val="0"/>
                          <w:numPr>
                            <w:ilvl w:val="0"/>
                            <w:numId w:val="16"/>
                          </w:numPr>
                          <w:tabs>
                            <w:tab w:val="left" w:pos="266"/>
                          </w:tabs>
                          <w:autoSpaceDE w:val="0"/>
                          <w:autoSpaceDN w:val="0"/>
                          <w:spacing w:before="41" w:after="0" w:line="216" w:lineRule="auto"/>
                          <w:ind w:right="93"/>
                          <w:rPr>
                            <w:sz w:val="24"/>
                          </w:rPr>
                        </w:pPr>
                        <w:r>
                          <w:rPr>
                            <w:color w:val="002069"/>
                            <w:sz w:val="24"/>
                          </w:rPr>
                          <w:t>piešķir privātajam partnerim tiesības gūt</w:t>
                        </w:r>
                        <w:r>
                          <w:rPr>
                            <w:color w:val="002069"/>
                            <w:spacing w:val="1"/>
                            <w:sz w:val="24"/>
                          </w:rPr>
                          <w:t xml:space="preserve"> </w:t>
                        </w:r>
                        <w:r>
                          <w:rPr>
                            <w:color w:val="002069"/>
                            <w:sz w:val="24"/>
                          </w:rPr>
                          <w:t>ieņēmumus</w:t>
                        </w:r>
                      </w:p>
                    </w:txbxContent>
                  </v:textbox>
                </v:shape>
                <w10:wrap type="topAndBottom" anchorx="page"/>
              </v:group>
            </w:pict>
          </mc:Fallback>
        </mc:AlternateContent>
      </w:r>
      <w:r>
        <w:rPr>
          <w:noProof/>
        </w:rPr>
        <mc:AlternateContent>
          <mc:Choice Requires="wps">
            <w:drawing>
              <wp:anchor distT="0" distB="0" distL="0" distR="0" simplePos="0" relativeHeight="251691008" behindDoc="0" locked="0" layoutInCell="1" allowOverlap="1" wp14:anchorId="238313F7" wp14:editId="76A1B9C7">
                <wp:simplePos x="0" y="0"/>
                <wp:positionH relativeFrom="page">
                  <wp:posOffset>1548765</wp:posOffset>
                </wp:positionH>
                <wp:positionV relativeFrom="paragraph">
                  <wp:posOffset>1827530</wp:posOffset>
                </wp:positionV>
                <wp:extent cx="5485765" cy="0"/>
                <wp:effectExtent l="24765" t="26670" r="23495" b="30480"/>
                <wp:wrapTopAndBottom/>
                <wp:docPr id="73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5765" cy="0"/>
                        </a:xfrm>
                        <a:prstGeom prst="line">
                          <a:avLst/>
                        </a:prstGeom>
                        <a:noFill/>
                        <a:ln w="45720">
                          <a:solidFill>
                            <a:srgbClr val="B8CD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EA236" id="Line 78"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5pt,143.9pt" to="553.9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" strokecolor="#b8cde4" strokeweight="3.6pt">
                <w10:wrap type="topAndBottom" anchorx="page"/>
              </v:line>
            </w:pict>
          </mc:Fallback>
        </mc:AlternateContent>
      </w:r>
    </w:p>
    <w:p w14:paraId="0343A13C" w14:textId="77777777" w:rsidR="00D54B51" w:rsidRDefault="00D54B51" w:rsidP="00CD363C">
      <w:pPr>
        <w:pStyle w:val="Sarakstarindkopa"/>
        <w:widowControl w:val="0"/>
        <w:numPr>
          <w:ilvl w:val="0"/>
          <w:numId w:val="18"/>
        </w:numPr>
        <w:tabs>
          <w:tab w:val="left" w:pos="4329"/>
        </w:tabs>
        <w:autoSpaceDE w:val="0"/>
        <w:autoSpaceDN w:val="0"/>
        <w:spacing w:after="0" w:line="240" w:lineRule="auto"/>
        <w:ind w:right="107" w:hanging="151"/>
        <w:contextualSpacing w:val="0"/>
        <w:jc w:val="both"/>
        <w:rPr>
          <w:i/>
          <w:sz w:val="20"/>
        </w:rPr>
      </w:pPr>
      <w:r>
        <w:rPr>
          <w:i/>
          <w:sz w:val="20"/>
        </w:rPr>
        <w:t>attēls. Finanšu saistību</w:t>
      </w:r>
      <w:r>
        <w:rPr>
          <w:i/>
          <w:spacing w:val="2"/>
          <w:sz w:val="20"/>
        </w:rPr>
        <w:t xml:space="preserve"> </w:t>
      </w:r>
      <w:r>
        <w:rPr>
          <w:i/>
          <w:sz w:val="20"/>
        </w:rPr>
        <w:t>modelis</w:t>
      </w:r>
    </w:p>
    <w:p w14:paraId="548D2FC5" w14:textId="77777777" w:rsidR="00D54B51" w:rsidRDefault="00D54B51" w:rsidP="00CD363C">
      <w:pPr>
        <w:pStyle w:val="Sarakstarindkopa"/>
        <w:widowControl w:val="0"/>
        <w:tabs>
          <w:tab w:val="left" w:pos="4329"/>
        </w:tabs>
        <w:autoSpaceDE w:val="0"/>
        <w:autoSpaceDN w:val="0"/>
        <w:spacing w:after="0" w:line="240" w:lineRule="auto"/>
        <w:ind w:left="4328" w:right="107"/>
        <w:contextualSpacing w:val="0"/>
        <w:jc w:val="both"/>
        <w:rPr>
          <w:i/>
          <w:sz w:val="20"/>
        </w:rPr>
      </w:pPr>
    </w:p>
    <w:p w14:paraId="476E8284" w14:textId="77777777" w:rsidR="00DC7A97" w:rsidRPr="00DC7A97" w:rsidRDefault="00DC7A97"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C7A97">
        <w:rPr>
          <w:rFonts w:ascii="Times New Roman" w:hAnsi="Times New Roman" w:cs="Times New Roman"/>
          <w:sz w:val="24"/>
          <w:szCs w:val="24"/>
        </w:rPr>
        <w:t>782.   Budžeta iestādes pienākums veikt privātajam partnerim maksājumus naudā izpildās kādā no sekojošiem</w:t>
      </w:r>
      <w:r w:rsidRPr="00DC7A97">
        <w:rPr>
          <w:rFonts w:ascii="Times New Roman" w:hAnsi="Times New Roman" w:cs="Times New Roman"/>
          <w:spacing w:val="-5"/>
          <w:sz w:val="24"/>
          <w:szCs w:val="24"/>
        </w:rPr>
        <w:t xml:space="preserve"> </w:t>
      </w:r>
      <w:r w:rsidRPr="00DC7A97">
        <w:rPr>
          <w:rFonts w:ascii="Times New Roman" w:hAnsi="Times New Roman" w:cs="Times New Roman"/>
          <w:sz w:val="24"/>
          <w:szCs w:val="24"/>
        </w:rPr>
        <w:t>gadījumiem:</w:t>
      </w:r>
    </w:p>
    <w:p w14:paraId="7591ECA6" w14:textId="77777777" w:rsidR="00D54B51" w:rsidRDefault="00D54B51" w:rsidP="00CD363C">
      <w:pPr>
        <w:pStyle w:val="Pamatteksts"/>
        <w:ind w:right="107"/>
        <w:jc w:val="both"/>
        <w:rPr>
          <w:i/>
        </w:rPr>
      </w:pPr>
    </w:p>
    <w:p w14:paraId="7A308F51" w14:textId="77777777" w:rsidR="00DC7A97" w:rsidRPr="00DC7A97" w:rsidRDefault="00DC7A97" w:rsidP="00CD363C">
      <w:pPr>
        <w:pStyle w:val="Sarakstarindkopa"/>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DC7A97">
        <w:rPr>
          <w:rFonts w:ascii="Times New Roman" w:hAnsi="Times New Roman" w:cs="Times New Roman"/>
          <w:sz w:val="24"/>
          <w:szCs w:val="24"/>
        </w:rPr>
        <w:t>ja līgums paredz noteiktus vai nosakāmus (saskaņā ar noteiktu aprēķinu) maksājumus;</w:t>
      </w:r>
      <w:r w:rsidRPr="00DC7A97">
        <w:rPr>
          <w:rFonts w:ascii="Times New Roman" w:hAnsi="Times New Roman" w:cs="Times New Roman"/>
          <w:spacing w:val="-12"/>
          <w:sz w:val="24"/>
          <w:szCs w:val="24"/>
        </w:rPr>
        <w:t xml:space="preserve"> </w:t>
      </w:r>
      <w:r w:rsidRPr="00DC7A97">
        <w:rPr>
          <w:rFonts w:ascii="Times New Roman" w:hAnsi="Times New Roman" w:cs="Times New Roman"/>
          <w:sz w:val="24"/>
          <w:szCs w:val="24"/>
        </w:rPr>
        <w:t>vai</w:t>
      </w:r>
    </w:p>
    <w:p w14:paraId="33F70FBC" w14:textId="77777777" w:rsidR="00DC7A97" w:rsidRPr="00DC7A97" w:rsidRDefault="00DC7A97" w:rsidP="00CD363C">
      <w:pPr>
        <w:pStyle w:val="Sarakstarindkopa"/>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DC7A97">
        <w:rPr>
          <w:rFonts w:ascii="Times New Roman" w:hAnsi="Times New Roman" w:cs="Times New Roman"/>
          <w:sz w:val="24"/>
          <w:szCs w:val="24"/>
        </w:rPr>
        <w:t>ja līgums paredz atlīdzināt privātajam partnerim starpību starp summām, ko privātais partneris saņēmis no sabiedriskā pakalpojuma lietotājiem, un budžeta iestādes iepriekš noteiktajiem/nosakāmiem</w:t>
      </w:r>
      <w:r w:rsidRPr="00DC7A97">
        <w:rPr>
          <w:rFonts w:ascii="Times New Roman" w:hAnsi="Times New Roman" w:cs="Times New Roman"/>
          <w:spacing w:val="-2"/>
          <w:sz w:val="24"/>
          <w:szCs w:val="24"/>
        </w:rPr>
        <w:t xml:space="preserve"> </w:t>
      </w:r>
      <w:r w:rsidRPr="00DC7A97">
        <w:rPr>
          <w:rFonts w:ascii="Times New Roman" w:hAnsi="Times New Roman" w:cs="Times New Roman"/>
          <w:sz w:val="24"/>
          <w:szCs w:val="24"/>
        </w:rPr>
        <w:t>maksājumiem.</w:t>
      </w:r>
    </w:p>
    <w:p w14:paraId="28237C23" w14:textId="77777777" w:rsidR="00D54B51" w:rsidRPr="00DC7A97"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p>
    <w:p w14:paraId="745E0036" w14:textId="77777777" w:rsidR="00DC7A97" w:rsidRPr="00DC7A97" w:rsidRDefault="00DC7A97"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C7A97">
        <w:rPr>
          <w:rFonts w:ascii="Times New Roman" w:hAnsi="Times New Roman" w:cs="Times New Roman"/>
          <w:sz w:val="24"/>
          <w:szCs w:val="24"/>
        </w:rPr>
        <w:t>782.  Budžeta iestādes maksājumu uzskaite (attiecināšana) pēc ekonomiskās būtības ilustratīvi attēlota 3.attēlā.</w:t>
      </w:r>
    </w:p>
    <w:p w14:paraId="553B0BFB" w14:textId="77777777" w:rsidR="00DC7A97" w:rsidRDefault="00DC7A97" w:rsidP="00CD363C">
      <w:pPr>
        <w:spacing w:after="0" w:line="240" w:lineRule="auto"/>
        <w:ind w:left="2499" w:right="107"/>
        <w:jc w:val="both"/>
        <w:rPr>
          <w:b/>
          <w:sz w:val="28"/>
        </w:rPr>
      </w:pPr>
      <w:r w:rsidRPr="00DC7A97">
        <w:rPr>
          <w:b/>
          <w:color w:val="002069"/>
          <w:sz w:val="28"/>
          <w:highlight w:val="cyan"/>
        </w:rPr>
        <w:t>Kopējais maksājuma apjoms</w:t>
      </w:r>
    </w:p>
    <w:p w14:paraId="55477978" w14:textId="77777777" w:rsidR="00DC7A97" w:rsidRDefault="00DC7A97" w:rsidP="00CD363C">
      <w:pPr>
        <w:widowControl w:val="0"/>
        <w:tabs>
          <w:tab w:val="left" w:pos="898"/>
        </w:tabs>
        <w:autoSpaceDE w:val="0"/>
        <w:autoSpaceDN w:val="0"/>
        <w:spacing w:after="0" w:line="240" w:lineRule="auto"/>
        <w:ind w:right="107"/>
        <w:jc w:val="both"/>
      </w:pPr>
      <w:r w:rsidRPr="00DC7A97">
        <w:rPr>
          <w:noProof/>
          <w:sz w:val="24"/>
          <w:szCs w:val="24"/>
        </w:rPr>
        <w:drawing>
          <wp:inline distT="0" distB="0" distL="0" distR="0" wp14:anchorId="3560F956" wp14:editId="644A1D66">
            <wp:extent cx="10726692" cy="166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57378" cy="1668459"/>
                    </a:xfrm>
                    <a:prstGeom prst="rect">
                      <a:avLst/>
                    </a:prstGeom>
                    <a:noFill/>
                    <a:ln>
                      <a:noFill/>
                    </a:ln>
                  </pic:spPr>
                </pic:pic>
              </a:graphicData>
            </a:graphic>
          </wp:inline>
        </w:drawing>
      </w:r>
    </w:p>
    <w:p w14:paraId="320BCFE7" w14:textId="77777777" w:rsidR="00DC7A97" w:rsidRPr="00DC7A97" w:rsidRDefault="00DC7A97" w:rsidP="00CD363C">
      <w:pPr>
        <w:widowControl w:val="0"/>
        <w:tabs>
          <w:tab w:val="left" w:pos="3026"/>
        </w:tabs>
        <w:autoSpaceDE w:val="0"/>
        <w:autoSpaceDN w:val="0"/>
        <w:spacing w:after="0" w:line="240" w:lineRule="auto"/>
        <w:ind w:left="4112" w:right="107"/>
        <w:jc w:val="both"/>
        <w:rPr>
          <w:i/>
          <w:sz w:val="20"/>
        </w:rPr>
      </w:pPr>
      <w:r>
        <w:rPr>
          <w:i/>
          <w:sz w:val="20"/>
        </w:rPr>
        <w:t>3.</w:t>
      </w:r>
      <w:r w:rsidRPr="00DC7A97">
        <w:rPr>
          <w:i/>
          <w:sz w:val="20"/>
        </w:rPr>
        <w:t>attēls. Maksājumu uzskaite pēc to ekonomiskās</w:t>
      </w:r>
      <w:r w:rsidRPr="00DC7A97">
        <w:rPr>
          <w:i/>
          <w:spacing w:val="-1"/>
          <w:sz w:val="20"/>
        </w:rPr>
        <w:t xml:space="preserve"> </w:t>
      </w:r>
      <w:r w:rsidRPr="00DC7A97">
        <w:rPr>
          <w:i/>
          <w:sz w:val="20"/>
        </w:rPr>
        <w:t>būtības</w:t>
      </w:r>
    </w:p>
    <w:p w14:paraId="0A33AC8F" w14:textId="77777777" w:rsidR="00EC22C4" w:rsidRPr="00EC22C4"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C22C4">
        <w:rPr>
          <w:rFonts w:ascii="Times New Roman" w:hAnsi="Times New Roman" w:cs="Times New Roman"/>
          <w:sz w:val="24"/>
          <w:szCs w:val="24"/>
        </w:rPr>
        <w:t>783.  Budžeta iestāde, veicot maksājumus privātajam partnerim, uzskaita tos pēc ekonomiskās būtības un atzīst</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saistību</w:t>
      </w:r>
      <w:r w:rsidRPr="00EC22C4">
        <w:rPr>
          <w:rFonts w:ascii="Times New Roman" w:hAnsi="Times New Roman" w:cs="Times New Roman"/>
          <w:spacing w:val="-12"/>
          <w:sz w:val="24"/>
          <w:szCs w:val="24"/>
        </w:rPr>
        <w:t xml:space="preserve"> </w:t>
      </w:r>
      <w:r w:rsidRPr="00EC22C4">
        <w:rPr>
          <w:rFonts w:ascii="Times New Roman" w:hAnsi="Times New Roman" w:cs="Times New Roman"/>
          <w:sz w:val="24"/>
          <w:szCs w:val="24"/>
        </w:rPr>
        <w:t>samazinājumu,</w:t>
      </w:r>
      <w:r w:rsidRPr="00EC22C4">
        <w:rPr>
          <w:rFonts w:ascii="Times New Roman" w:hAnsi="Times New Roman" w:cs="Times New Roman"/>
          <w:spacing w:val="-12"/>
          <w:sz w:val="24"/>
          <w:szCs w:val="24"/>
        </w:rPr>
        <w:t xml:space="preserve"> </w:t>
      </w:r>
      <w:r w:rsidRPr="00EC22C4">
        <w:rPr>
          <w:rFonts w:ascii="Times New Roman" w:hAnsi="Times New Roman" w:cs="Times New Roman"/>
          <w:sz w:val="24"/>
          <w:szCs w:val="24"/>
        </w:rPr>
        <w:t>procentu</w:t>
      </w:r>
      <w:r w:rsidRPr="00EC22C4">
        <w:rPr>
          <w:rFonts w:ascii="Times New Roman" w:hAnsi="Times New Roman" w:cs="Times New Roman"/>
          <w:spacing w:val="-12"/>
          <w:sz w:val="24"/>
          <w:szCs w:val="24"/>
        </w:rPr>
        <w:t xml:space="preserve"> </w:t>
      </w:r>
      <w:r w:rsidRPr="00EC22C4">
        <w:rPr>
          <w:rFonts w:ascii="Times New Roman" w:hAnsi="Times New Roman" w:cs="Times New Roman"/>
          <w:sz w:val="24"/>
          <w:szCs w:val="24"/>
        </w:rPr>
        <w:t>izdevumus</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vai</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izdevumus</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par</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privātā</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partnera</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nodrošinātajiem pakalpojumiem, veicot sekojošus grāmatojumus:</w:t>
      </w:r>
    </w:p>
    <w:p w14:paraId="7B6FA30B" w14:textId="77777777" w:rsidR="00EC22C4" w:rsidRDefault="00EC22C4" w:rsidP="00CD363C">
      <w:pPr>
        <w:spacing w:after="0" w:line="240" w:lineRule="auto"/>
        <w:ind w:right="107"/>
        <w:jc w:val="both"/>
        <w:rPr>
          <w:i/>
        </w:rPr>
      </w:pPr>
      <w:r>
        <w:rPr>
          <w:i/>
        </w:rPr>
        <w:t>Grāmatojums, atzīstot procentu izdevumus:</w:t>
      </w:r>
    </w:p>
    <w:p w14:paraId="04CEC693"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D    8220   Procentu izdevumi</w:t>
      </w:r>
    </w:p>
    <w:p w14:paraId="0BA4A656"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K    5300   </w:t>
      </w:r>
      <w:bookmarkStart w:id="69" w:name="_Hlk12625937"/>
      <w:r w:rsidRPr="00EC22C4">
        <w:rPr>
          <w:rFonts w:ascii="Times New Roman" w:hAnsi="Times New Roman" w:cs="Times New Roman"/>
          <w:b/>
          <w:bCs/>
          <w:iCs/>
          <w:sz w:val="24"/>
          <w:szCs w:val="24"/>
        </w:rPr>
        <w:t>Īstermiņa saistības pret piegādātāju un darbuzņēmējiem</w:t>
      </w:r>
      <w:bookmarkEnd w:id="69"/>
    </w:p>
    <w:p w14:paraId="468DD5CF" w14:textId="77777777" w:rsidR="00EC22C4" w:rsidRDefault="00EC22C4" w:rsidP="00CD363C">
      <w:pPr>
        <w:spacing w:after="0" w:line="240" w:lineRule="auto"/>
        <w:ind w:right="107"/>
        <w:jc w:val="both"/>
        <w:rPr>
          <w:i/>
        </w:rPr>
      </w:pPr>
      <w:r>
        <w:rPr>
          <w:i/>
        </w:rPr>
        <w:t>Grāmatojums, atzīstot izdevumus par privātā partnera nodrošinātiem pakalpojumiem:</w:t>
      </w:r>
    </w:p>
    <w:p w14:paraId="4A503240"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b/>
          <w:bCs/>
          <w:iCs/>
        </w:rPr>
        <w:t xml:space="preserve">    </w:t>
      </w:r>
      <w:r w:rsidRPr="00EC22C4">
        <w:rPr>
          <w:rFonts w:ascii="Times New Roman" w:hAnsi="Times New Roman" w:cs="Times New Roman"/>
          <w:b/>
          <w:bCs/>
          <w:iCs/>
          <w:sz w:val="24"/>
          <w:szCs w:val="24"/>
        </w:rPr>
        <w:t>D    7000   Pamatdarbības izdevumi</w:t>
      </w:r>
    </w:p>
    <w:p w14:paraId="01A4A91B"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K    5300   Īstermiņa saistības pret piegādātāju un darbuzņēmējiem</w:t>
      </w:r>
    </w:p>
    <w:p w14:paraId="24F81AD8" w14:textId="77777777" w:rsidR="00EC22C4" w:rsidRPr="00EC22C4" w:rsidRDefault="00EC22C4" w:rsidP="00CD363C">
      <w:pPr>
        <w:spacing w:after="0" w:line="240" w:lineRule="auto"/>
        <w:ind w:right="107"/>
        <w:jc w:val="both"/>
        <w:rPr>
          <w:rFonts w:ascii="Times New Roman" w:hAnsi="Times New Roman" w:cs="Times New Roman"/>
          <w:i/>
          <w:sz w:val="24"/>
          <w:szCs w:val="24"/>
        </w:rPr>
      </w:pPr>
      <w:r w:rsidRPr="00EC22C4">
        <w:rPr>
          <w:rFonts w:ascii="Times New Roman" w:hAnsi="Times New Roman" w:cs="Times New Roman"/>
          <w:i/>
          <w:sz w:val="24"/>
          <w:szCs w:val="24"/>
        </w:rPr>
        <w:t>Grāmatojums, veicot maksājumus privātajam partnerim:</w:t>
      </w:r>
    </w:p>
    <w:p w14:paraId="5D2AA67C"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D    5300   Īstermiņa saistības pret piegādātājiem un darbuzņēmējiem*</w:t>
      </w:r>
    </w:p>
    <w:p w14:paraId="4841DC78"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K    2600   Naudas līdzekļi</w:t>
      </w:r>
    </w:p>
    <w:p w14:paraId="21B3BBAA" w14:textId="77777777" w:rsidR="00EC22C4" w:rsidRPr="00EC22C4" w:rsidRDefault="00EC22C4" w:rsidP="00CD363C">
      <w:pPr>
        <w:spacing w:after="0" w:line="240" w:lineRule="auto"/>
        <w:ind w:left="861" w:right="107"/>
        <w:jc w:val="both"/>
        <w:rPr>
          <w:rFonts w:ascii="Times New Roman" w:hAnsi="Times New Roman" w:cs="Times New Roman"/>
          <w:i/>
          <w:sz w:val="24"/>
          <w:szCs w:val="24"/>
        </w:rPr>
      </w:pPr>
      <w:r w:rsidRPr="00EC22C4">
        <w:rPr>
          <w:rFonts w:ascii="Times New Roman" w:hAnsi="Times New Roman" w:cs="Times New Roman"/>
          <w:iCs/>
          <w:sz w:val="24"/>
          <w:szCs w:val="24"/>
        </w:rPr>
        <w:t>*</w:t>
      </w:r>
      <w:r w:rsidRPr="00EC22C4">
        <w:rPr>
          <w:rFonts w:ascii="Times New Roman" w:hAnsi="Times New Roman" w:cs="Times New Roman"/>
          <w:i/>
          <w:sz w:val="24"/>
          <w:szCs w:val="24"/>
        </w:rPr>
        <w:t xml:space="preserve"> īstermiņa saistības ietver atzītās saistības par procentu izdevumiem, privātā partnera nodrošinātiem pakalpojumiem un sākotnēji atzītās finanšu saistības īstermiņa daļu</w:t>
      </w:r>
    </w:p>
    <w:p w14:paraId="07333AF5" w14:textId="77777777" w:rsidR="00EC22C4" w:rsidRPr="00EC22C4"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C22C4">
        <w:rPr>
          <w:rFonts w:ascii="Times New Roman" w:hAnsi="Times New Roman" w:cs="Times New Roman"/>
          <w:sz w:val="24"/>
          <w:szCs w:val="24"/>
        </w:rPr>
        <w:t>784.  Kā minēts iepriekš nodaļā</w:t>
      </w:r>
      <w:r w:rsidRPr="00EC22C4">
        <w:rPr>
          <w:rFonts w:ascii="Times New Roman" w:hAnsi="Times New Roman" w:cs="Times New Roman"/>
          <w:color w:val="0462C1"/>
          <w:sz w:val="24"/>
          <w:szCs w:val="24"/>
        </w:rPr>
        <w:t xml:space="preserve"> </w:t>
      </w:r>
      <w:r w:rsidRPr="00EC22C4">
        <w:rPr>
          <w:rFonts w:ascii="Times New Roman" w:hAnsi="Times New Roman" w:cs="Times New Roman"/>
          <w:color w:val="0462C1"/>
          <w:sz w:val="24"/>
          <w:szCs w:val="24"/>
          <w:u w:val="single" w:color="0462C1"/>
        </w:rPr>
        <w:t>“</w:t>
      </w:r>
      <w:hyperlink w:anchor="_bookmark287" w:history="1">
        <w:r w:rsidRPr="00EC22C4">
          <w:rPr>
            <w:rFonts w:ascii="Times New Roman" w:hAnsi="Times New Roman" w:cs="Times New Roman"/>
            <w:color w:val="0462C1"/>
            <w:sz w:val="24"/>
            <w:szCs w:val="24"/>
            <w:u w:val="single" w:color="0462C1"/>
          </w:rPr>
          <w:t>Partnerības aktīva sākotnējā novērtēšana</w:t>
        </w:r>
      </w:hyperlink>
      <w:r w:rsidRPr="00EC22C4">
        <w:rPr>
          <w:rFonts w:ascii="Times New Roman" w:hAnsi="Times New Roman" w:cs="Times New Roman"/>
          <w:color w:val="0462C1"/>
          <w:sz w:val="24"/>
          <w:szCs w:val="24"/>
          <w:u w:val="single" w:color="0462C1"/>
        </w:rPr>
        <w:t>”</w:t>
      </w:r>
      <w:r w:rsidRPr="00EC22C4">
        <w:rPr>
          <w:rFonts w:ascii="Times New Roman" w:hAnsi="Times New Roman" w:cs="Times New Roman"/>
          <w:sz w:val="24"/>
          <w:szCs w:val="24"/>
        </w:rPr>
        <w:t>, ja maksājumu daļas par partnerības aktīvu un pakalpojumu ir atsevišķi nodalāmas, budžeta iestāde sadala maksājumus proporcionāli partnerības aktīva un pakalpojuma atbilstošajām patiesajām vērtībām. Ja aktīva un pakalpojuma daļas nav atsevišķi nodalāmas, budžeta iestāde maksājumā iekļauto pakalpojumu daļu nosaka</w:t>
      </w:r>
      <w:r w:rsidRPr="00EC22C4">
        <w:rPr>
          <w:rFonts w:ascii="Times New Roman" w:hAnsi="Times New Roman" w:cs="Times New Roman"/>
          <w:spacing w:val="-1"/>
          <w:sz w:val="24"/>
          <w:szCs w:val="24"/>
        </w:rPr>
        <w:t xml:space="preserve"> </w:t>
      </w:r>
      <w:r w:rsidRPr="00EC22C4">
        <w:rPr>
          <w:rFonts w:ascii="Times New Roman" w:hAnsi="Times New Roman" w:cs="Times New Roman"/>
          <w:sz w:val="24"/>
          <w:szCs w:val="24"/>
        </w:rPr>
        <w:t>aplēšot.</w:t>
      </w:r>
    </w:p>
    <w:p w14:paraId="53698672" w14:textId="77777777" w:rsidR="00EC22C4"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C22C4">
        <w:rPr>
          <w:rFonts w:ascii="Times New Roman" w:hAnsi="Times New Roman" w:cs="Times New Roman"/>
          <w:sz w:val="24"/>
          <w:szCs w:val="24"/>
        </w:rPr>
        <w:t>785.  Budžeta iestāde sākotnēji atzītās finanšu saistības katra pārskata perioda beigās novērtē amortizētajā vērtībā - sākotnēji atzītās finanšu saistības pārskata gadā palielina par procentu izdevumiem, kurus aprēķina,</w:t>
      </w:r>
      <w:r w:rsidRPr="00EC22C4">
        <w:rPr>
          <w:rFonts w:ascii="Times New Roman" w:hAnsi="Times New Roman" w:cs="Times New Roman"/>
          <w:spacing w:val="-15"/>
          <w:sz w:val="24"/>
          <w:szCs w:val="24"/>
        </w:rPr>
        <w:t xml:space="preserve"> </w:t>
      </w:r>
      <w:r w:rsidRPr="00EC22C4">
        <w:rPr>
          <w:rFonts w:ascii="Times New Roman" w:hAnsi="Times New Roman" w:cs="Times New Roman"/>
          <w:sz w:val="24"/>
          <w:szCs w:val="24"/>
        </w:rPr>
        <w:t>piemērojot</w:t>
      </w:r>
      <w:r w:rsidRPr="00EC22C4">
        <w:rPr>
          <w:rFonts w:ascii="Times New Roman" w:hAnsi="Times New Roman" w:cs="Times New Roman"/>
          <w:spacing w:val="-13"/>
          <w:sz w:val="24"/>
          <w:szCs w:val="24"/>
        </w:rPr>
        <w:t xml:space="preserve"> </w:t>
      </w:r>
      <w:r w:rsidRPr="00EC22C4">
        <w:rPr>
          <w:rFonts w:ascii="Times New Roman" w:hAnsi="Times New Roman" w:cs="Times New Roman"/>
          <w:sz w:val="24"/>
          <w:szCs w:val="24"/>
        </w:rPr>
        <w:t>partnerības</w:t>
      </w:r>
      <w:r w:rsidRPr="00EC22C4">
        <w:rPr>
          <w:rFonts w:ascii="Times New Roman" w:hAnsi="Times New Roman" w:cs="Times New Roman"/>
          <w:spacing w:val="-16"/>
          <w:sz w:val="24"/>
          <w:szCs w:val="24"/>
        </w:rPr>
        <w:t xml:space="preserve"> </w:t>
      </w:r>
      <w:r w:rsidRPr="00EC22C4">
        <w:rPr>
          <w:rFonts w:ascii="Times New Roman" w:hAnsi="Times New Roman" w:cs="Times New Roman"/>
          <w:sz w:val="24"/>
          <w:szCs w:val="24"/>
        </w:rPr>
        <w:t>līgumā</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ietverto</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procentu</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likmi,</w:t>
      </w:r>
      <w:r w:rsidRPr="00EC22C4">
        <w:rPr>
          <w:rFonts w:ascii="Times New Roman" w:hAnsi="Times New Roman" w:cs="Times New Roman"/>
          <w:spacing w:val="-15"/>
          <w:sz w:val="24"/>
          <w:szCs w:val="24"/>
        </w:rPr>
        <w:t xml:space="preserve"> </w:t>
      </w:r>
      <w:r w:rsidRPr="00EC22C4">
        <w:rPr>
          <w:rFonts w:ascii="Times New Roman" w:hAnsi="Times New Roman" w:cs="Times New Roman"/>
          <w:sz w:val="24"/>
          <w:szCs w:val="24"/>
        </w:rPr>
        <w:t>un</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samazina</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par</w:t>
      </w:r>
      <w:r w:rsidRPr="00EC22C4">
        <w:rPr>
          <w:rFonts w:ascii="Times New Roman" w:hAnsi="Times New Roman" w:cs="Times New Roman"/>
          <w:spacing w:val="-16"/>
          <w:sz w:val="24"/>
          <w:szCs w:val="24"/>
        </w:rPr>
        <w:t xml:space="preserve"> </w:t>
      </w:r>
      <w:r w:rsidRPr="00EC22C4">
        <w:rPr>
          <w:rFonts w:ascii="Times New Roman" w:hAnsi="Times New Roman" w:cs="Times New Roman"/>
          <w:sz w:val="24"/>
          <w:szCs w:val="24"/>
        </w:rPr>
        <w:t>privātajam</w:t>
      </w:r>
      <w:r w:rsidRPr="00EC22C4">
        <w:rPr>
          <w:rFonts w:ascii="Times New Roman" w:hAnsi="Times New Roman" w:cs="Times New Roman"/>
          <w:spacing w:val="-17"/>
          <w:sz w:val="24"/>
          <w:szCs w:val="24"/>
        </w:rPr>
        <w:t xml:space="preserve"> </w:t>
      </w:r>
      <w:r w:rsidRPr="00EC22C4">
        <w:rPr>
          <w:rFonts w:ascii="Times New Roman" w:hAnsi="Times New Roman" w:cs="Times New Roman"/>
          <w:sz w:val="24"/>
          <w:szCs w:val="24"/>
        </w:rPr>
        <w:t>partnerim veiktajiem</w:t>
      </w:r>
      <w:r w:rsidRPr="00EC22C4">
        <w:rPr>
          <w:rFonts w:ascii="Times New Roman" w:hAnsi="Times New Roman" w:cs="Times New Roman"/>
          <w:spacing w:val="-5"/>
          <w:sz w:val="24"/>
          <w:szCs w:val="24"/>
        </w:rPr>
        <w:t xml:space="preserve"> </w:t>
      </w:r>
      <w:r w:rsidRPr="00EC22C4">
        <w:rPr>
          <w:rFonts w:ascii="Times New Roman" w:hAnsi="Times New Roman" w:cs="Times New Roman"/>
          <w:sz w:val="24"/>
          <w:szCs w:val="24"/>
        </w:rPr>
        <w:t>maksājumiem.</w:t>
      </w:r>
    </w:p>
    <w:p w14:paraId="12579B29" w14:textId="77777777" w:rsidR="00EC22C4" w:rsidRPr="00295573"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786.  Budžeta iestāde katra pārskata perioda beigās aprēķina procentu izdevumus atbilstoši līgumā ietvertajai</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procentu</w:t>
      </w:r>
      <w:r w:rsidRPr="00295573">
        <w:rPr>
          <w:rFonts w:ascii="Times New Roman" w:hAnsi="Times New Roman" w:cs="Times New Roman"/>
          <w:spacing w:val="-6"/>
          <w:sz w:val="24"/>
          <w:szCs w:val="24"/>
        </w:rPr>
        <w:t xml:space="preserve"> </w:t>
      </w:r>
      <w:r w:rsidRPr="00295573">
        <w:rPr>
          <w:rFonts w:ascii="Times New Roman" w:hAnsi="Times New Roman" w:cs="Times New Roman"/>
          <w:sz w:val="24"/>
          <w:szCs w:val="24"/>
        </w:rPr>
        <w:t>likmei</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un</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atzīst</w:t>
      </w:r>
      <w:r w:rsidRPr="00295573">
        <w:rPr>
          <w:rFonts w:ascii="Times New Roman" w:hAnsi="Times New Roman" w:cs="Times New Roman"/>
          <w:spacing w:val="-5"/>
          <w:sz w:val="24"/>
          <w:szCs w:val="24"/>
        </w:rPr>
        <w:t xml:space="preserve"> </w:t>
      </w:r>
      <w:r w:rsidRPr="00295573">
        <w:rPr>
          <w:rFonts w:ascii="Times New Roman" w:hAnsi="Times New Roman" w:cs="Times New Roman"/>
          <w:sz w:val="24"/>
          <w:szCs w:val="24"/>
        </w:rPr>
        <w:t>saistību</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samazinājumu</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atbilstoši</w:t>
      </w:r>
      <w:r w:rsidRPr="00295573">
        <w:rPr>
          <w:rFonts w:ascii="Times New Roman" w:hAnsi="Times New Roman" w:cs="Times New Roman"/>
          <w:spacing w:val="-5"/>
          <w:sz w:val="24"/>
          <w:szCs w:val="24"/>
        </w:rPr>
        <w:t xml:space="preserve"> </w:t>
      </w:r>
      <w:r w:rsidRPr="00295573">
        <w:rPr>
          <w:rFonts w:ascii="Times New Roman" w:hAnsi="Times New Roman" w:cs="Times New Roman"/>
          <w:sz w:val="24"/>
          <w:szCs w:val="24"/>
        </w:rPr>
        <w:t>privātajam</w:t>
      </w:r>
      <w:r w:rsidRPr="00295573">
        <w:rPr>
          <w:rFonts w:ascii="Times New Roman" w:hAnsi="Times New Roman" w:cs="Times New Roman"/>
          <w:spacing w:val="-7"/>
          <w:sz w:val="24"/>
          <w:szCs w:val="24"/>
        </w:rPr>
        <w:t xml:space="preserve"> </w:t>
      </w:r>
      <w:r w:rsidRPr="00295573">
        <w:rPr>
          <w:rFonts w:ascii="Times New Roman" w:hAnsi="Times New Roman" w:cs="Times New Roman"/>
          <w:sz w:val="24"/>
          <w:szCs w:val="24"/>
        </w:rPr>
        <w:t>partnerim</w:t>
      </w:r>
      <w:r w:rsidRPr="00295573">
        <w:rPr>
          <w:rFonts w:ascii="Times New Roman" w:hAnsi="Times New Roman" w:cs="Times New Roman"/>
          <w:spacing w:val="-7"/>
          <w:sz w:val="24"/>
          <w:szCs w:val="24"/>
        </w:rPr>
        <w:t xml:space="preserve"> </w:t>
      </w:r>
      <w:r w:rsidRPr="00295573">
        <w:rPr>
          <w:rFonts w:ascii="Times New Roman" w:hAnsi="Times New Roman" w:cs="Times New Roman"/>
          <w:sz w:val="24"/>
          <w:szCs w:val="24"/>
        </w:rPr>
        <w:t>veiktajiem maksājumiem.</w:t>
      </w:r>
    </w:p>
    <w:p w14:paraId="45E81BE8"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787.  Procentu izdevumu noteikšanai izmantoto procentu likmi vēlāk mainīt nevar, izņemot gadījumus, ja tiek pārskatīta partnerības aktīva vērtība vai noslēgtais līgums</w:t>
      </w:r>
      <w:r w:rsidRPr="00295573">
        <w:rPr>
          <w:rFonts w:ascii="Times New Roman" w:hAnsi="Times New Roman" w:cs="Times New Roman"/>
          <w:spacing w:val="-11"/>
          <w:sz w:val="24"/>
          <w:szCs w:val="24"/>
        </w:rPr>
        <w:t xml:space="preserve"> </w:t>
      </w:r>
      <w:r w:rsidRPr="00295573">
        <w:rPr>
          <w:rFonts w:ascii="Times New Roman" w:hAnsi="Times New Roman" w:cs="Times New Roman"/>
          <w:sz w:val="24"/>
          <w:szCs w:val="24"/>
        </w:rPr>
        <w:t>kopumā.</w:t>
      </w:r>
    </w:p>
    <w:p w14:paraId="74836CF8" w14:textId="77777777" w:rsid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295573">
        <w:rPr>
          <w:rFonts w:ascii="Times New Roman" w:hAnsi="Times New Roman" w:cs="Times New Roman"/>
          <w:sz w:val="24"/>
          <w:szCs w:val="24"/>
        </w:rPr>
        <w:t>788.  Ja</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līgums</w:t>
      </w:r>
      <w:r w:rsidRPr="00295573">
        <w:rPr>
          <w:rFonts w:ascii="Times New Roman" w:hAnsi="Times New Roman" w:cs="Times New Roman"/>
          <w:spacing w:val="-14"/>
          <w:sz w:val="24"/>
          <w:szCs w:val="24"/>
        </w:rPr>
        <w:t xml:space="preserve"> </w:t>
      </w:r>
      <w:r w:rsidRPr="00295573">
        <w:rPr>
          <w:rFonts w:ascii="Times New Roman" w:hAnsi="Times New Roman" w:cs="Times New Roman"/>
          <w:sz w:val="24"/>
          <w:szCs w:val="24"/>
        </w:rPr>
        <w:t>jau</w:t>
      </w:r>
      <w:r w:rsidRPr="00295573">
        <w:rPr>
          <w:rFonts w:ascii="Times New Roman" w:hAnsi="Times New Roman" w:cs="Times New Roman"/>
          <w:spacing w:val="-16"/>
          <w:sz w:val="24"/>
          <w:szCs w:val="24"/>
        </w:rPr>
        <w:t xml:space="preserve"> </w:t>
      </w:r>
      <w:r w:rsidRPr="00295573">
        <w:rPr>
          <w:rFonts w:ascii="Times New Roman" w:hAnsi="Times New Roman" w:cs="Times New Roman"/>
          <w:sz w:val="24"/>
          <w:szCs w:val="24"/>
        </w:rPr>
        <w:t>sākotnēji</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paredz</w:t>
      </w:r>
      <w:r w:rsidRPr="00295573">
        <w:rPr>
          <w:rFonts w:ascii="Times New Roman" w:hAnsi="Times New Roman" w:cs="Times New Roman"/>
          <w:spacing w:val="-16"/>
          <w:sz w:val="24"/>
          <w:szCs w:val="24"/>
        </w:rPr>
        <w:t xml:space="preserve"> </w:t>
      </w:r>
      <w:r w:rsidRPr="00295573">
        <w:rPr>
          <w:rFonts w:ascii="Times New Roman" w:hAnsi="Times New Roman" w:cs="Times New Roman"/>
          <w:sz w:val="24"/>
          <w:szCs w:val="24"/>
        </w:rPr>
        <w:t>procentu</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maksājumu</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veikšanu,</w:t>
      </w:r>
      <w:r w:rsidRPr="00295573">
        <w:rPr>
          <w:rFonts w:ascii="Times New Roman" w:hAnsi="Times New Roman" w:cs="Times New Roman"/>
          <w:spacing w:val="-14"/>
          <w:sz w:val="24"/>
          <w:szCs w:val="24"/>
        </w:rPr>
        <w:t xml:space="preserve"> </w:t>
      </w:r>
      <w:r w:rsidRPr="00295573">
        <w:rPr>
          <w:rFonts w:ascii="Times New Roman" w:hAnsi="Times New Roman" w:cs="Times New Roman"/>
          <w:sz w:val="24"/>
          <w:szCs w:val="24"/>
        </w:rPr>
        <w:t>pamatojoties</w:t>
      </w:r>
      <w:r w:rsidRPr="00295573">
        <w:rPr>
          <w:rFonts w:ascii="Times New Roman" w:hAnsi="Times New Roman" w:cs="Times New Roman"/>
          <w:spacing w:val="-16"/>
          <w:sz w:val="24"/>
          <w:szCs w:val="24"/>
        </w:rPr>
        <w:t xml:space="preserve"> </w:t>
      </w:r>
      <w:r w:rsidRPr="00295573">
        <w:rPr>
          <w:rFonts w:ascii="Times New Roman" w:hAnsi="Times New Roman" w:cs="Times New Roman"/>
          <w:sz w:val="24"/>
          <w:szCs w:val="24"/>
        </w:rPr>
        <w:t>uz</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mainīgo</w:t>
      </w:r>
      <w:r w:rsidRPr="00295573">
        <w:rPr>
          <w:rFonts w:ascii="Times New Roman" w:hAnsi="Times New Roman" w:cs="Times New Roman"/>
          <w:spacing w:val="-14"/>
          <w:sz w:val="24"/>
          <w:szCs w:val="24"/>
        </w:rPr>
        <w:t xml:space="preserve"> </w:t>
      </w:r>
      <w:r w:rsidRPr="00295573">
        <w:rPr>
          <w:rFonts w:ascii="Times New Roman" w:hAnsi="Times New Roman" w:cs="Times New Roman"/>
          <w:sz w:val="24"/>
          <w:szCs w:val="24"/>
        </w:rPr>
        <w:t>procentu</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 xml:space="preserve">likmi, tas nav uzskatāms par procentu likmes izmaiņu. Par procentu likmes izmaiņu uzskata gadījumu, kad tiek veikti grozījumi līgumā noteiktajai procentu likmes aprēķināšanas kārtībai. </w:t>
      </w:r>
      <w:r w:rsidRPr="00295573">
        <w:rPr>
          <w:rFonts w:ascii="Times New Roman" w:hAnsi="Times New Roman" w:cs="Times New Roman"/>
          <w:i/>
          <w:sz w:val="24"/>
          <w:szCs w:val="24"/>
        </w:rPr>
        <w:t>Piemēram, ja līgumā noteiktā gada procentu likme sastāv no fiksētās daļas 4% apmērā un mainīgās daļas 12 mēnešu EURIBOR apmērā, tad 12 mēnešu EURIBOR likmes izmaiņas netiek uzskatītas par procentu likmes maiņu.</w:t>
      </w:r>
    </w:p>
    <w:p w14:paraId="70F85031" w14:textId="77777777" w:rsid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sidRPr="00295573">
        <w:rPr>
          <w:rFonts w:ascii="Times New Roman" w:hAnsi="Times New Roman" w:cs="Times New Roman"/>
          <w:b/>
          <w:bCs/>
          <w:iCs/>
          <w:sz w:val="24"/>
          <w:szCs w:val="24"/>
        </w:rPr>
        <w:t>19.7. Privātajam partnerim piešķirto tiesību modelis</w:t>
      </w:r>
    </w:p>
    <w:p w14:paraId="01294970"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789.  Ja budžeta iestādei nav pienākuma par partnerības aktīva būvniecību vai esoša aktīva uzlabojumu privātajam</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partnerim</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samaksāt</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ar</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naudas</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līdzekļiem</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vai</w:t>
      </w:r>
      <w:r w:rsidRPr="00295573">
        <w:rPr>
          <w:rFonts w:ascii="Times New Roman" w:hAnsi="Times New Roman" w:cs="Times New Roman"/>
          <w:spacing w:val="-7"/>
          <w:sz w:val="24"/>
          <w:szCs w:val="24"/>
        </w:rPr>
        <w:t xml:space="preserve"> </w:t>
      </w:r>
      <w:r w:rsidRPr="00295573">
        <w:rPr>
          <w:rFonts w:ascii="Times New Roman" w:hAnsi="Times New Roman" w:cs="Times New Roman"/>
          <w:sz w:val="24"/>
          <w:szCs w:val="24"/>
        </w:rPr>
        <w:t>ar</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citu</w:t>
      </w:r>
      <w:r w:rsidRPr="00295573">
        <w:rPr>
          <w:rFonts w:ascii="Times New Roman" w:hAnsi="Times New Roman" w:cs="Times New Roman"/>
          <w:spacing w:val="-11"/>
          <w:sz w:val="24"/>
          <w:szCs w:val="24"/>
        </w:rPr>
        <w:t xml:space="preserve"> </w:t>
      </w:r>
      <w:r w:rsidRPr="00295573">
        <w:rPr>
          <w:rFonts w:ascii="Times New Roman" w:hAnsi="Times New Roman" w:cs="Times New Roman"/>
          <w:sz w:val="24"/>
          <w:szCs w:val="24"/>
        </w:rPr>
        <w:t>finanšu</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aktīvu,</w:t>
      </w:r>
      <w:r w:rsidRPr="00295573">
        <w:rPr>
          <w:rFonts w:ascii="Times New Roman" w:hAnsi="Times New Roman" w:cs="Times New Roman"/>
          <w:spacing w:val="-12"/>
          <w:sz w:val="24"/>
          <w:szCs w:val="24"/>
        </w:rPr>
        <w:t xml:space="preserve"> </w:t>
      </w:r>
      <w:r w:rsidRPr="00295573">
        <w:rPr>
          <w:rFonts w:ascii="Times New Roman" w:hAnsi="Times New Roman" w:cs="Times New Roman"/>
          <w:sz w:val="24"/>
          <w:szCs w:val="24"/>
        </w:rPr>
        <w:t>un</w:t>
      </w:r>
      <w:r w:rsidRPr="00295573">
        <w:rPr>
          <w:rFonts w:ascii="Times New Roman" w:hAnsi="Times New Roman" w:cs="Times New Roman"/>
          <w:spacing w:val="-11"/>
          <w:sz w:val="24"/>
          <w:szCs w:val="24"/>
        </w:rPr>
        <w:t xml:space="preserve"> </w:t>
      </w:r>
      <w:r w:rsidRPr="00295573">
        <w:rPr>
          <w:rFonts w:ascii="Times New Roman" w:hAnsi="Times New Roman" w:cs="Times New Roman"/>
          <w:sz w:val="24"/>
          <w:szCs w:val="24"/>
        </w:rPr>
        <w:t>tā</w:t>
      </w:r>
      <w:r w:rsidRPr="00295573">
        <w:rPr>
          <w:rFonts w:ascii="Times New Roman" w:hAnsi="Times New Roman" w:cs="Times New Roman"/>
          <w:spacing w:val="-13"/>
          <w:sz w:val="24"/>
          <w:szCs w:val="24"/>
        </w:rPr>
        <w:t xml:space="preserve"> </w:t>
      </w:r>
      <w:r w:rsidRPr="00295573">
        <w:rPr>
          <w:rFonts w:ascii="Times New Roman" w:hAnsi="Times New Roman" w:cs="Times New Roman"/>
          <w:sz w:val="24"/>
          <w:szCs w:val="24"/>
        </w:rPr>
        <w:t>piešķir</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privātajam partnerim tiesības gūt ieņēmumus no partnerības aktīva lietotājiem – trešajām pusēm – vai no kāda cita ieņēmumus nesoša aktīva, budžeta iestāde saistības uzskaita kā nākamo periodu ieņēmumus partnerības aktīva patiesās vērtības apmērā tā atzīšanas dienā. Iestāde veic sekojošu</w:t>
      </w:r>
      <w:r w:rsidRPr="00295573">
        <w:rPr>
          <w:rFonts w:ascii="Times New Roman" w:hAnsi="Times New Roman" w:cs="Times New Roman"/>
          <w:spacing w:val="-25"/>
          <w:sz w:val="24"/>
          <w:szCs w:val="24"/>
        </w:rPr>
        <w:t xml:space="preserve"> </w:t>
      </w:r>
      <w:r w:rsidRPr="00295573">
        <w:rPr>
          <w:rFonts w:ascii="Times New Roman" w:hAnsi="Times New Roman" w:cs="Times New Roman"/>
          <w:sz w:val="24"/>
          <w:szCs w:val="24"/>
        </w:rPr>
        <w:t>grāmatojumu:</w:t>
      </w:r>
    </w:p>
    <w:p w14:paraId="27F2F4E0"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 xml:space="preserve">    D    1200*   Pamatlīdzekļi</w:t>
      </w:r>
    </w:p>
    <w:p w14:paraId="2EA90F24"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 xml:space="preserve">    K    5150   Ilgtermiņa nākamo periodu ieņēmumi un saņemtie avansa maksājumi</w:t>
      </w:r>
    </w:p>
    <w:p w14:paraId="26B6AE49"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*partnerības aktīvs</w:t>
      </w:r>
    </w:p>
    <w:p w14:paraId="4948EC51" w14:textId="77777777" w:rsidR="00295573" w:rsidRPr="00295573" w:rsidRDefault="00295573" w:rsidP="00CD363C">
      <w:pPr>
        <w:pStyle w:val="Pamatteksts"/>
        <w:ind w:right="107"/>
        <w:jc w:val="both"/>
        <w:rPr>
          <w:sz w:val="24"/>
          <w:szCs w:val="24"/>
        </w:rPr>
      </w:pPr>
      <w:r w:rsidRPr="00295573">
        <w:rPr>
          <w:sz w:val="24"/>
          <w:szCs w:val="24"/>
        </w:rPr>
        <w:t>Tā kā privātajam partnerim piešķirtās tiesības ir spēkā visā līguma periodā, budžeta iestāde ieņēmumus neatzīst uzreiz, bet atzīst saistības vēl negūto ieņēmumu daļas apmērā.</w:t>
      </w:r>
    </w:p>
    <w:p w14:paraId="0D9EADB1" w14:textId="77777777" w:rsidR="00295573" w:rsidRPr="00805016" w:rsidRDefault="00805016"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805016">
        <w:rPr>
          <w:rFonts w:ascii="Times New Roman" w:hAnsi="Times New Roman" w:cs="Times New Roman"/>
          <w:sz w:val="24"/>
          <w:szCs w:val="24"/>
        </w:rPr>
        <w:t>790.</w:t>
      </w:r>
      <w:r w:rsidR="00295573" w:rsidRPr="00805016">
        <w:rPr>
          <w:rFonts w:ascii="Times New Roman" w:hAnsi="Times New Roman" w:cs="Times New Roman"/>
          <w:sz w:val="24"/>
          <w:szCs w:val="24"/>
        </w:rPr>
        <w:t xml:space="preserve">  Privātajam partnerim piešķirto tiesību modeļa vispārējie principi ilustratīvi uzrādīti</w:t>
      </w:r>
      <w:r w:rsidR="00295573" w:rsidRPr="00805016">
        <w:rPr>
          <w:rFonts w:ascii="Times New Roman" w:hAnsi="Times New Roman" w:cs="Times New Roman"/>
          <w:spacing w:val="-16"/>
          <w:sz w:val="24"/>
          <w:szCs w:val="24"/>
        </w:rPr>
        <w:t xml:space="preserve"> </w:t>
      </w:r>
      <w:r w:rsidR="00295573" w:rsidRPr="00805016">
        <w:rPr>
          <w:rFonts w:ascii="Times New Roman" w:hAnsi="Times New Roman" w:cs="Times New Roman"/>
          <w:sz w:val="24"/>
          <w:szCs w:val="24"/>
        </w:rPr>
        <w:t>4.attēlā.</w:t>
      </w:r>
    </w:p>
    <w:p w14:paraId="1B7A1B65" w14:textId="77777777" w:rsidR="00805016" w:rsidRDefault="00805016" w:rsidP="00CD363C">
      <w:pPr>
        <w:pStyle w:val="Pamatteksts"/>
        <w:ind w:right="107"/>
        <w:jc w:val="both"/>
        <w:rPr>
          <w:sz w:val="20"/>
        </w:rPr>
      </w:pPr>
    </w:p>
    <w:p w14:paraId="3679BF18" w14:textId="77777777" w:rsidR="00805016" w:rsidRDefault="00870ECE" w:rsidP="00CD363C">
      <w:pPr>
        <w:pStyle w:val="Pamatteksts"/>
        <w:ind w:right="107"/>
        <w:jc w:val="both"/>
        <w:rPr>
          <w:sz w:val="12"/>
        </w:rPr>
      </w:pPr>
      <w:r>
        <w:rPr>
          <w:noProof/>
        </w:rPr>
        <mc:AlternateContent>
          <mc:Choice Requires="wpg">
            <w:drawing>
              <wp:anchor distT="0" distB="0" distL="0" distR="0" simplePos="0" relativeHeight="251693056" behindDoc="0" locked="0" layoutInCell="1" allowOverlap="1" wp14:anchorId="0A56C500" wp14:editId="3DD0368A">
                <wp:simplePos x="0" y="0"/>
                <wp:positionH relativeFrom="page">
                  <wp:posOffset>1174750</wp:posOffset>
                </wp:positionH>
                <wp:positionV relativeFrom="paragraph">
                  <wp:posOffset>53975</wp:posOffset>
                </wp:positionV>
                <wp:extent cx="5739130" cy="1704340"/>
                <wp:effectExtent l="3175" t="5080" r="1270" b="0"/>
                <wp:wrapTopAndBottom/>
                <wp:docPr id="70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1704340"/>
                          <a:chOff x="1820" y="184"/>
                          <a:chExt cx="9038" cy="2684"/>
                        </a:xfrm>
                      </wpg:grpSpPr>
                      <wps:wsp>
                        <wps:cNvPr id="710" name="Rectangle 89"/>
                        <wps:cNvSpPr>
                          <a:spLocks noChangeArrowheads="1"/>
                        </wps:cNvSpPr>
                        <wps:spPr bwMode="auto">
                          <a:xfrm>
                            <a:off x="1821" y="193"/>
                            <a:ext cx="1689" cy="242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90"/>
                        <wps:cNvSpPr>
                          <a:spLocks noChangeArrowheads="1"/>
                        </wps:cNvSpPr>
                        <wps:spPr bwMode="auto">
                          <a:xfrm>
                            <a:off x="3509" y="193"/>
                            <a:ext cx="1972" cy="2426"/>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91"/>
                        <wps:cNvSpPr>
                          <a:spLocks noChangeArrowheads="1"/>
                        </wps:cNvSpPr>
                        <wps:spPr bwMode="auto">
                          <a:xfrm>
                            <a:off x="3509" y="193"/>
                            <a:ext cx="1972"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92"/>
                        <wps:cNvSpPr>
                          <a:spLocks noChangeArrowheads="1"/>
                        </wps:cNvSpPr>
                        <wps:spPr bwMode="auto">
                          <a:xfrm>
                            <a:off x="5480" y="193"/>
                            <a:ext cx="1689" cy="242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93"/>
                        <wps:cNvSpPr>
                          <a:spLocks noChangeArrowheads="1"/>
                        </wps:cNvSpPr>
                        <wps:spPr bwMode="auto">
                          <a:xfrm>
                            <a:off x="5480" y="193"/>
                            <a:ext cx="1689"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94"/>
                        <wps:cNvSpPr>
                          <a:spLocks noChangeArrowheads="1"/>
                        </wps:cNvSpPr>
                        <wps:spPr bwMode="auto">
                          <a:xfrm>
                            <a:off x="7169" y="193"/>
                            <a:ext cx="1990" cy="2426"/>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95"/>
                        <wps:cNvSpPr>
                          <a:spLocks noChangeArrowheads="1"/>
                        </wps:cNvSpPr>
                        <wps:spPr bwMode="auto">
                          <a:xfrm>
                            <a:off x="7169" y="193"/>
                            <a:ext cx="1990"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96"/>
                        <wps:cNvSpPr>
                          <a:spLocks noChangeArrowheads="1"/>
                        </wps:cNvSpPr>
                        <wps:spPr bwMode="auto">
                          <a:xfrm>
                            <a:off x="9159" y="193"/>
                            <a:ext cx="1689" cy="242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97"/>
                        <wps:cNvSpPr>
                          <a:spLocks noChangeArrowheads="1"/>
                        </wps:cNvSpPr>
                        <wps:spPr bwMode="auto">
                          <a:xfrm>
                            <a:off x="9159" y="193"/>
                            <a:ext cx="1689"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98"/>
                        <wps:cNvSpPr>
                          <a:spLocks noChangeArrowheads="1"/>
                        </wps:cNvSpPr>
                        <wps:spPr bwMode="auto">
                          <a:xfrm>
                            <a:off x="1820" y="2640"/>
                            <a:ext cx="9029" cy="227"/>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AutoShape 99"/>
                        <wps:cNvSpPr>
                          <a:spLocks/>
                        </wps:cNvSpPr>
                        <wps:spPr bwMode="auto">
                          <a:xfrm>
                            <a:off x="9397" y="1394"/>
                            <a:ext cx="623" cy="717"/>
                          </a:xfrm>
                          <a:custGeom>
                            <a:avLst/>
                            <a:gdLst>
                              <a:gd name="T0" fmla="+- 0 9552 9397"/>
                              <a:gd name="T1" fmla="*/ T0 w 623"/>
                              <a:gd name="T2" fmla="+- 0 1801 1395"/>
                              <a:gd name="T3" fmla="*/ 1801 h 717"/>
                              <a:gd name="T4" fmla="+- 0 9397 9397"/>
                              <a:gd name="T5" fmla="*/ T4 w 623"/>
                              <a:gd name="T6" fmla="+- 0 1975 1395"/>
                              <a:gd name="T7" fmla="*/ 1975 h 717"/>
                              <a:gd name="T8" fmla="+- 0 9552 9397"/>
                              <a:gd name="T9" fmla="*/ T8 w 623"/>
                              <a:gd name="T10" fmla="+- 0 2112 1395"/>
                              <a:gd name="T11" fmla="*/ 2112 h 717"/>
                              <a:gd name="T12" fmla="+- 0 9552 9397"/>
                              <a:gd name="T13" fmla="*/ T12 w 623"/>
                              <a:gd name="T14" fmla="+- 0 2034 1395"/>
                              <a:gd name="T15" fmla="*/ 2034 h 717"/>
                              <a:gd name="T16" fmla="+- 0 9626 9397"/>
                              <a:gd name="T17" fmla="*/ T16 w 623"/>
                              <a:gd name="T18" fmla="+- 0 2012 1395"/>
                              <a:gd name="T19" fmla="*/ 2012 h 717"/>
                              <a:gd name="T20" fmla="+- 0 9695 9397"/>
                              <a:gd name="T21" fmla="*/ T20 w 623"/>
                              <a:gd name="T22" fmla="+- 0 1981 1395"/>
                              <a:gd name="T23" fmla="*/ 1981 h 717"/>
                              <a:gd name="T24" fmla="+- 0 9759 9397"/>
                              <a:gd name="T25" fmla="*/ T24 w 623"/>
                              <a:gd name="T26" fmla="+- 0 1944 1395"/>
                              <a:gd name="T27" fmla="*/ 1944 h 717"/>
                              <a:gd name="T28" fmla="+- 0 9817 9397"/>
                              <a:gd name="T29" fmla="*/ T28 w 623"/>
                              <a:gd name="T30" fmla="+- 0 1900 1395"/>
                              <a:gd name="T31" fmla="*/ 1900 h 717"/>
                              <a:gd name="T32" fmla="+- 0 9840 9397"/>
                              <a:gd name="T33" fmla="*/ T32 w 623"/>
                              <a:gd name="T34" fmla="+- 0 1878 1395"/>
                              <a:gd name="T35" fmla="*/ 1878 h 717"/>
                              <a:gd name="T36" fmla="+- 0 9552 9397"/>
                              <a:gd name="T37" fmla="*/ T36 w 623"/>
                              <a:gd name="T38" fmla="+- 0 1878 1395"/>
                              <a:gd name="T39" fmla="*/ 1878 h 717"/>
                              <a:gd name="T40" fmla="+- 0 9552 9397"/>
                              <a:gd name="T41" fmla="*/ T40 w 623"/>
                              <a:gd name="T42" fmla="+- 0 1801 1395"/>
                              <a:gd name="T43" fmla="*/ 1801 h 717"/>
                              <a:gd name="T44" fmla="+- 0 10013 9397"/>
                              <a:gd name="T45" fmla="*/ T44 w 623"/>
                              <a:gd name="T46" fmla="+- 0 1395 1395"/>
                              <a:gd name="T47" fmla="*/ 1395 h 717"/>
                              <a:gd name="T48" fmla="+- 0 9997 9397"/>
                              <a:gd name="T49" fmla="*/ T48 w 623"/>
                              <a:gd name="T50" fmla="+- 0 1471 1395"/>
                              <a:gd name="T51" fmla="*/ 1471 h 717"/>
                              <a:gd name="T52" fmla="+- 0 9970 9397"/>
                              <a:gd name="T53" fmla="*/ T52 w 623"/>
                              <a:gd name="T54" fmla="+- 0 1543 1395"/>
                              <a:gd name="T55" fmla="*/ 1543 h 717"/>
                              <a:gd name="T56" fmla="+- 0 9933 9397"/>
                              <a:gd name="T57" fmla="*/ T56 w 623"/>
                              <a:gd name="T58" fmla="+- 0 1611 1395"/>
                              <a:gd name="T59" fmla="*/ 1611 h 717"/>
                              <a:gd name="T60" fmla="+- 0 9888 9397"/>
                              <a:gd name="T61" fmla="*/ T60 w 623"/>
                              <a:gd name="T62" fmla="+- 0 1673 1395"/>
                              <a:gd name="T63" fmla="*/ 1673 h 717"/>
                              <a:gd name="T64" fmla="+- 0 9834 9397"/>
                              <a:gd name="T65" fmla="*/ T64 w 623"/>
                              <a:gd name="T66" fmla="+- 0 1729 1395"/>
                              <a:gd name="T67" fmla="*/ 1729 h 717"/>
                              <a:gd name="T68" fmla="+- 0 9773 9397"/>
                              <a:gd name="T69" fmla="*/ T68 w 623"/>
                              <a:gd name="T70" fmla="+- 0 1779 1395"/>
                              <a:gd name="T71" fmla="*/ 1779 h 717"/>
                              <a:gd name="T72" fmla="+- 0 9705 9397"/>
                              <a:gd name="T73" fmla="*/ T72 w 623"/>
                              <a:gd name="T74" fmla="+- 0 1821 1395"/>
                              <a:gd name="T75" fmla="*/ 1821 h 717"/>
                              <a:gd name="T76" fmla="+- 0 9632 9397"/>
                              <a:gd name="T77" fmla="*/ T76 w 623"/>
                              <a:gd name="T78" fmla="+- 0 1854 1395"/>
                              <a:gd name="T79" fmla="*/ 1854 h 717"/>
                              <a:gd name="T80" fmla="+- 0 9552 9397"/>
                              <a:gd name="T81" fmla="*/ T80 w 623"/>
                              <a:gd name="T82" fmla="+- 0 1878 1395"/>
                              <a:gd name="T83" fmla="*/ 1878 h 717"/>
                              <a:gd name="T84" fmla="+- 0 9840 9397"/>
                              <a:gd name="T85" fmla="*/ T84 w 623"/>
                              <a:gd name="T86" fmla="+- 0 1878 1395"/>
                              <a:gd name="T87" fmla="*/ 1878 h 717"/>
                              <a:gd name="T88" fmla="+- 0 9868 9397"/>
                              <a:gd name="T89" fmla="*/ T88 w 623"/>
                              <a:gd name="T90" fmla="+- 0 1851 1395"/>
                              <a:gd name="T91" fmla="*/ 1851 h 717"/>
                              <a:gd name="T92" fmla="+- 0 9913 9397"/>
                              <a:gd name="T93" fmla="*/ T92 w 623"/>
                              <a:gd name="T94" fmla="+- 0 1796 1395"/>
                              <a:gd name="T95" fmla="*/ 1796 h 717"/>
                              <a:gd name="T96" fmla="+- 0 9951 9397"/>
                              <a:gd name="T97" fmla="*/ T96 w 623"/>
                              <a:gd name="T98" fmla="+- 0 1737 1395"/>
                              <a:gd name="T99" fmla="*/ 1737 h 717"/>
                              <a:gd name="T100" fmla="+- 0 9980 9397"/>
                              <a:gd name="T101" fmla="*/ T100 w 623"/>
                              <a:gd name="T102" fmla="+- 0 1674 1395"/>
                              <a:gd name="T103" fmla="*/ 1674 h 717"/>
                              <a:gd name="T104" fmla="+- 0 10002 9397"/>
                              <a:gd name="T105" fmla="*/ T104 w 623"/>
                              <a:gd name="T106" fmla="+- 0 1607 1395"/>
                              <a:gd name="T107" fmla="*/ 1607 h 717"/>
                              <a:gd name="T108" fmla="+- 0 10015 9397"/>
                              <a:gd name="T109" fmla="*/ T108 w 623"/>
                              <a:gd name="T110" fmla="+- 0 1538 1395"/>
                              <a:gd name="T111" fmla="*/ 1538 h 717"/>
                              <a:gd name="T112" fmla="+- 0 10019 9397"/>
                              <a:gd name="T113" fmla="*/ T112 w 623"/>
                              <a:gd name="T114" fmla="+- 0 1467 1395"/>
                              <a:gd name="T115" fmla="*/ 1467 h 717"/>
                              <a:gd name="T116" fmla="+- 0 10013 9397"/>
                              <a:gd name="T117" fmla="*/ T116 w 623"/>
                              <a:gd name="T118" fmla="+- 0 1395 1395"/>
                              <a:gd name="T119" fmla="*/ 139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3" h="717">
                                <a:moveTo>
                                  <a:pt x="155" y="406"/>
                                </a:moveTo>
                                <a:lnTo>
                                  <a:pt x="0" y="580"/>
                                </a:lnTo>
                                <a:lnTo>
                                  <a:pt x="155" y="717"/>
                                </a:lnTo>
                                <a:lnTo>
                                  <a:pt x="155" y="639"/>
                                </a:lnTo>
                                <a:lnTo>
                                  <a:pt x="229" y="617"/>
                                </a:lnTo>
                                <a:lnTo>
                                  <a:pt x="298" y="586"/>
                                </a:lnTo>
                                <a:lnTo>
                                  <a:pt x="362" y="549"/>
                                </a:lnTo>
                                <a:lnTo>
                                  <a:pt x="420" y="505"/>
                                </a:lnTo>
                                <a:lnTo>
                                  <a:pt x="443" y="483"/>
                                </a:lnTo>
                                <a:lnTo>
                                  <a:pt x="155" y="483"/>
                                </a:lnTo>
                                <a:lnTo>
                                  <a:pt x="155" y="406"/>
                                </a:lnTo>
                                <a:close/>
                                <a:moveTo>
                                  <a:pt x="616" y="0"/>
                                </a:moveTo>
                                <a:lnTo>
                                  <a:pt x="600" y="76"/>
                                </a:lnTo>
                                <a:lnTo>
                                  <a:pt x="573" y="148"/>
                                </a:lnTo>
                                <a:lnTo>
                                  <a:pt x="536" y="216"/>
                                </a:lnTo>
                                <a:lnTo>
                                  <a:pt x="491" y="278"/>
                                </a:lnTo>
                                <a:lnTo>
                                  <a:pt x="437" y="334"/>
                                </a:lnTo>
                                <a:lnTo>
                                  <a:pt x="376" y="384"/>
                                </a:lnTo>
                                <a:lnTo>
                                  <a:pt x="308" y="426"/>
                                </a:lnTo>
                                <a:lnTo>
                                  <a:pt x="235" y="459"/>
                                </a:lnTo>
                                <a:lnTo>
                                  <a:pt x="155" y="483"/>
                                </a:lnTo>
                                <a:lnTo>
                                  <a:pt x="443" y="483"/>
                                </a:lnTo>
                                <a:lnTo>
                                  <a:pt x="471" y="456"/>
                                </a:lnTo>
                                <a:lnTo>
                                  <a:pt x="516" y="401"/>
                                </a:lnTo>
                                <a:lnTo>
                                  <a:pt x="554" y="342"/>
                                </a:lnTo>
                                <a:lnTo>
                                  <a:pt x="583" y="279"/>
                                </a:lnTo>
                                <a:lnTo>
                                  <a:pt x="605" y="212"/>
                                </a:lnTo>
                                <a:lnTo>
                                  <a:pt x="618" y="143"/>
                                </a:lnTo>
                                <a:lnTo>
                                  <a:pt x="622" y="72"/>
                                </a:lnTo>
                                <a:lnTo>
                                  <a:pt x="61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00"/>
                        <wps:cNvSpPr>
                          <a:spLocks/>
                        </wps:cNvSpPr>
                        <wps:spPr bwMode="auto">
                          <a:xfrm>
                            <a:off x="9397" y="737"/>
                            <a:ext cx="622" cy="736"/>
                          </a:xfrm>
                          <a:custGeom>
                            <a:avLst/>
                            <a:gdLst>
                              <a:gd name="T0" fmla="+- 0 9397 9397"/>
                              <a:gd name="T1" fmla="*/ T0 w 622"/>
                              <a:gd name="T2" fmla="+- 0 737 737"/>
                              <a:gd name="T3" fmla="*/ 737 h 736"/>
                              <a:gd name="T4" fmla="+- 0 9397 9397"/>
                              <a:gd name="T5" fmla="*/ T4 w 622"/>
                              <a:gd name="T6" fmla="+- 0 893 737"/>
                              <a:gd name="T7" fmla="*/ 893 h 736"/>
                              <a:gd name="T8" fmla="+- 0 9475 9397"/>
                              <a:gd name="T9" fmla="*/ T8 w 622"/>
                              <a:gd name="T10" fmla="+- 0 897 737"/>
                              <a:gd name="T11" fmla="*/ 897 h 736"/>
                              <a:gd name="T12" fmla="+- 0 9550 9397"/>
                              <a:gd name="T13" fmla="*/ T12 w 622"/>
                              <a:gd name="T14" fmla="+- 0 910 737"/>
                              <a:gd name="T15" fmla="*/ 910 h 736"/>
                              <a:gd name="T16" fmla="+- 0 9622 9397"/>
                              <a:gd name="T17" fmla="*/ T16 w 622"/>
                              <a:gd name="T18" fmla="+- 0 932 737"/>
                              <a:gd name="T19" fmla="*/ 932 h 736"/>
                              <a:gd name="T20" fmla="+- 0 9689 9397"/>
                              <a:gd name="T21" fmla="*/ T20 w 622"/>
                              <a:gd name="T22" fmla="+- 0 961 737"/>
                              <a:gd name="T23" fmla="*/ 961 h 736"/>
                              <a:gd name="T24" fmla="+- 0 9752 9397"/>
                              <a:gd name="T25" fmla="*/ T24 w 622"/>
                              <a:gd name="T26" fmla="+- 0 996 737"/>
                              <a:gd name="T27" fmla="*/ 996 h 736"/>
                              <a:gd name="T28" fmla="+- 0 9810 9397"/>
                              <a:gd name="T29" fmla="*/ T28 w 622"/>
                              <a:gd name="T30" fmla="+- 0 1039 737"/>
                              <a:gd name="T31" fmla="*/ 1039 h 736"/>
                              <a:gd name="T32" fmla="+- 0 9862 9397"/>
                              <a:gd name="T33" fmla="*/ T32 w 622"/>
                              <a:gd name="T34" fmla="+- 0 1087 737"/>
                              <a:gd name="T35" fmla="*/ 1087 h 736"/>
                              <a:gd name="T36" fmla="+- 0 9908 9397"/>
                              <a:gd name="T37" fmla="*/ T36 w 622"/>
                              <a:gd name="T38" fmla="+- 0 1141 737"/>
                              <a:gd name="T39" fmla="*/ 1141 h 736"/>
                              <a:gd name="T40" fmla="+- 0 9946 9397"/>
                              <a:gd name="T41" fmla="*/ T40 w 622"/>
                              <a:gd name="T42" fmla="+- 0 1200 737"/>
                              <a:gd name="T43" fmla="*/ 1200 h 736"/>
                              <a:gd name="T44" fmla="+- 0 9977 9397"/>
                              <a:gd name="T45" fmla="*/ T44 w 622"/>
                              <a:gd name="T46" fmla="+- 0 1263 737"/>
                              <a:gd name="T47" fmla="*/ 1263 h 736"/>
                              <a:gd name="T48" fmla="+- 0 10000 9397"/>
                              <a:gd name="T49" fmla="*/ T48 w 622"/>
                              <a:gd name="T50" fmla="+- 0 1330 737"/>
                              <a:gd name="T51" fmla="*/ 1330 h 736"/>
                              <a:gd name="T52" fmla="+- 0 10014 9397"/>
                              <a:gd name="T53" fmla="*/ T52 w 622"/>
                              <a:gd name="T54" fmla="+- 0 1400 737"/>
                              <a:gd name="T55" fmla="*/ 1400 h 736"/>
                              <a:gd name="T56" fmla="+- 0 10019 9397"/>
                              <a:gd name="T57" fmla="*/ T56 w 622"/>
                              <a:gd name="T58" fmla="+- 0 1473 737"/>
                              <a:gd name="T59" fmla="*/ 1473 h 736"/>
                              <a:gd name="T60" fmla="+- 0 10019 9397"/>
                              <a:gd name="T61" fmla="*/ T60 w 622"/>
                              <a:gd name="T62" fmla="+- 0 1317 737"/>
                              <a:gd name="T63" fmla="*/ 1317 h 736"/>
                              <a:gd name="T64" fmla="+- 0 10014 9397"/>
                              <a:gd name="T65" fmla="*/ T64 w 622"/>
                              <a:gd name="T66" fmla="+- 0 1244 737"/>
                              <a:gd name="T67" fmla="*/ 1244 h 736"/>
                              <a:gd name="T68" fmla="+- 0 10000 9397"/>
                              <a:gd name="T69" fmla="*/ T68 w 622"/>
                              <a:gd name="T70" fmla="+- 0 1174 737"/>
                              <a:gd name="T71" fmla="*/ 1174 h 736"/>
                              <a:gd name="T72" fmla="+- 0 9977 9397"/>
                              <a:gd name="T73" fmla="*/ T72 w 622"/>
                              <a:gd name="T74" fmla="+- 0 1107 737"/>
                              <a:gd name="T75" fmla="*/ 1107 h 736"/>
                              <a:gd name="T76" fmla="+- 0 9946 9397"/>
                              <a:gd name="T77" fmla="*/ T76 w 622"/>
                              <a:gd name="T78" fmla="+- 0 1044 737"/>
                              <a:gd name="T79" fmla="*/ 1044 h 736"/>
                              <a:gd name="T80" fmla="+- 0 9908 9397"/>
                              <a:gd name="T81" fmla="*/ T80 w 622"/>
                              <a:gd name="T82" fmla="+- 0 986 737"/>
                              <a:gd name="T83" fmla="*/ 986 h 736"/>
                              <a:gd name="T84" fmla="+- 0 9862 9397"/>
                              <a:gd name="T85" fmla="*/ T84 w 622"/>
                              <a:gd name="T86" fmla="+- 0 932 737"/>
                              <a:gd name="T87" fmla="*/ 932 h 736"/>
                              <a:gd name="T88" fmla="+- 0 9810 9397"/>
                              <a:gd name="T89" fmla="*/ T88 w 622"/>
                              <a:gd name="T90" fmla="+- 0 884 737"/>
                              <a:gd name="T91" fmla="*/ 884 h 736"/>
                              <a:gd name="T92" fmla="+- 0 9752 9397"/>
                              <a:gd name="T93" fmla="*/ T92 w 622"/>
                              <a:gd name="T94" fmla="+- 0 841 737"/>
                              <a:gd name="T95" fmla="*/ 841 h 736"/>
                              <a:gd name="T96" fmla="+- 0 9689 9397"/>
                              <a:gd name="T97" fmla="*/ T96 w 622"/>
                              <a:gd name="T98" fmla="+- 0 805 737"/>
                              <a:gd name="T99" fmla="*/ 805 h 736"/>
                              <a:gd name="T100" fmla="+- 0 9622 9397"/>
                              <a:gd name="T101" fmla="*/ T100 w 622"/>
                              <a:gd name="T102" fmla="+- 0 776 737"/>
                              <a:gd name="T103" fmla="*/ 776 h 736"/>
                              <a:gd name="T104" fmla="+- 0 9550 9397"/>
                              <a:gd name="T105" fmla="*/ T104 w 622"/>
                              <a:gd name="T106" fmla="+- 0 755 737"/>
                              <a:gd name="T107" fmla="*/ 755 h 736"/>
                              <a:gd name="T108" fmla="+- 0 9475 9397"/>
                              <a:gd name="T109" fmla="*/ T108 w 622"/>
                              <a:gd name="T110" fmla="+- 0 742 737"/>
                              <a:gd name="T111" fmla="*/ 742 h 736"/>
                              <a:gd name="T112" fmla="+- 0 9397 9397"/>
                              <a:gd name="T113" fmla="*/ T112 w 622"/>
                              <a:gd name="T114" fmla="+- 0 737 737"/>
                              <a:gd name="T115" fmla="*/ 737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736">
                                <a:moveTo>
                                  <a:pt x="0" y="0"/>
                                </a:moveTo>
                                <a:lnTo>
                                  <a:pt x="0" y="156"/>
                                </a:lnTo>
                                <a:lnTo>
                                  <a:pt x="78" y="160"/>
                                </a:lnTo>
                                <a:lnTo>
                                  <a:pt x="153" y="173"/>
                                </a:lnTo>
                                <a:lnTo>
                                  <a:pt x="225" y="195"/>
                                </a:lnTo>
                                <a:lnTo>
                                  <a:pt x="292" y="224"/>
                                </a:lnTo>
                                <a:lnTo>
                                  <a:pt x="355" y="259"/>
                                </a:lnTo>
                                <a:lnTo>
                                  <a:pt x="413" y="302"/>
                                </a:lnTo>
                                <a:lnTo>
                                  <a:pt x="465" y="350"/>
                                </a:lnTo>
                                <a:lnTo>
                                  <a:pt x="511" y="404"/>
                                </a:lnTo>
                                <a:lnTo>
                                  <a:pt x="549" y="463"/>
                                </a:lnTo>
                                <a:lnTo>
                                  <a:pt x="580" y="526"/>
                                </a:lnTo>
                                <a:lnTo>
                                  <a:pt x="603" y="593"/>
                                </a:lnTo>
                                <a:lnTo>
                                  <a:pt x="617" y="663"/>
                                </a:lnTo>
                                <a:lnTo>
                                  <a:pt x="622" y="736"/>
                                </a:lnTo>
                                <a:lnTo>
                                  <a:pt x="622" y="580"/>
                                </a:lnTo>
                                <a:lnTo>
                                  <a:pt x="617" y="507"/>
                                </a:lnTo>
                                <a:lnTo>
                                  <a:pt x="603" y="437"/>
                                </a:lnTo>
                                <a:lnTo>
                                  <a:pt x="580" y="370"/>
                                </a:lnTo>
                                <a:lnTo>
                                  <a:pt x="549" y="307"/>
                                </a:lnTo>
                                <a:lnTo>
                                  <a:pt x="511" y="249"/>
                                </a:lnTo>
                                <a:lnTo>
                                  <a:pt x="465" y="195"/>
                                </a:lnTo>
                                <a:lnTo>
                                  <a:pt x="413" y="147"/>
                                </a:lnTo>
                                <a:lnTo>
                                  <a:pt x="355" y="104"/>
                                </a:lnTo>
                                <a:lnTo>
                                  <a:pt x="292" y="68"/>
                                </a:lnTo>
                                <a:lnTo>
                                  <a:pt x="225" y="39"/>
                                </a:lnTo>
                                <a:lnTo>
                                  <a:pt x="153" y="18"/>
                                </a:lnTo>
                                <a:lnTo>
                                  <a:pt x="78" y="5"/>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01"/>
                        <wps:cNvSpPr>
                          <a:spLocks/>
                        </wps:cNvSpPr>
                        <wps:spPr bwMode="auto">
                          <a:xfrm>
                            <a:off x="9397" y="737"/>
                            <a:ext cx="622" cy="1375"/>
                          </a:xfrm>
                          <a:custGeom>
                            <a:avLst/>
                            <a:gdLst>
                              <a:gd name="T0" fmla="+- 0 10019 9397"/>
                              <a:gd name="T1" fmla="*/ T0 w 622"/>
                              <a:gd name="T2" fmla="+- 0 1473 737"/>
                              <a:gd name="T3" fmla="*/ 1473 h 1375"/>
                              <a:gd name="T4" fmla="+- 0 10014 9397"/>
                              <a:gd name="T5" fmla="*/ T4 w 622"/>
                              <a:gd name="T6" fmla="+- 0 1400 737"/>
                              <a:gd name="T7" fmla="*/ 1400 h 1375"/>
                              <a:gd name="T8" fmla="+- 0 10000 9397"/>
                              <a:gd name="T9" fmla="*/ T8 w 622"/>
                              <a:gd name="T10" fmla="+- 0 1330 737"/>
                              <a:gd name="T11" fmla="*/ 1330 h 1375"/>
                              <a:gd name="T12" fmla="+- 0 9977 9397"/>
                              <a:gd name="T13" fmla="*/ T12 w 622"/>
                              <a:gd name="T14" fmla="+- 0 1263 737"/>
                              <a:gd name="T15" fmla="*/ 1263 h 1375"/>
                              <a:gd name="T16" fmla="+- 0 9946 9397"/>
                              <a:gd name="T17" fmla="*/ T16 w 622"/>
                              <a:gd name="T18" fmla="+- 0 1200 737"/>
                              <a:gd name="T19" fmla="*/ 1200 h 1375"/>
                              <a:gd name="T20" fmla="+- 0 9908 9397"/>
                              <a:gd name="T21" fmla="*/ T20 w 622"/>
                              <a:gd name="T22" fmla="+- 0 1141 737"/>
                              <a:gd name="T23" fmla="*/ 1141 h 1375"/>
                              <a:gd name="T24" fmla="+- 0 9862 9397"/>
                              <a:gd name="T25" fmla="*/ T24 w 622"/>
                              <a:gd name="T26" fmla="+- 0 1087 737"/>
                              <a:gd name="T27" fmla="*/ 1087 h 1375"/>
                              <a:gd name="T28" fmla="+- 0 9810 9397"/>
                              <a:gd name="T29" fmla="*/ T28 w 622"/>
                              <a:gd name="T30" fmla="+- 0 1039 737"/>
                              <a:gd name="T31" fmla="*/ 1039 h 1375"/>
                              <a:gd name="T32" fmla="+- 0 9752 9397"/>
                              <a:gd name="T33" fmla="*/ T32 w 622"/>
                              <a:gd name="T34" fmla="+- 0 996 737"/>
                              <a:gd name="T35" fmla="*/ 996 h 1375"/>
                              <a:gd name="T36" fmla="+- 0 9689 9397"/>
                              <a:gd name="T37" fmla="*/ T36 w 622"/>
                              <a:gd name="T38" fmla="+- 0 961 737"/>
                              <a:gd name="T39" fmla="*/ 961 h 1375"/>
                              <a:gd name="T40" fmla="+- 0 9622 9397"/>
                              <a:gd name="T41" fmla="*/ T40 w 622"/>
                              <a:gd name="T42" fmla="+- 0 932 737"/>
                              <a:gd name="T43" fmla="*/ 932 h 1375"/>
                              <a:gd name="T44" fmla="+- 0 9550 9397"/>
                              <a:gd name="T45" fmla="*/ T44 w 622"/>
                              <a:gd name="T46" fmla="+- 0 910 737"/>
                              <a:gd name="T47" fmla="*/ 910 h 1375"/>
                              <a:gd name="T48" fmla="+- 0 9475 9397"/>
                              <a:gd name="T49" fmla="*/ T48 w 622"/>
                              <a:gd name="T50" fmla="+- 0 897 737"/>
                              <a:gd name="T51" fmla="*/ 897 h 1375"/>
                              <a:gd name="T52" fmla="+- 0 9397 9397"/>
                              <a:gd name="T53" fmla="*/ T52 w 622"/>
                              <a:gd name="T54" fmla="+- 0 893 737"/>
                              <a:gd name="T55" fmla="*/ 893 h 1375"/>
                              <a:gd name="T56" fmla="+- 0 9397 9397"/>
                              <a:gd name="T57" fmla="*/ T56 w 622"/>
                              <a:gd name="T58" fmla="+- 0 737 737"/>
                              <a:gd name="T59" fmla="*/ 737 h 1375"/>
                              <a:gd name="T60" fmla="+- 0 9475 9397"/>
                              <a:gd name="T61" fmla="*/ T60 w 622"/>
                              <a:gd name="T62" fmla="+- 0 742 737"/>
                              <a:gd name="T63" fmla="*/ 742 h 1375"/>
                              <a:gd name="T64" fmla="+- 0 9550 9397"/>
                              <a:gd name="T65" fmla="*/ T64 w 622"/>
                              <a:gd name="T66" fmla="+- 0 755 737"/>
                              <a:gd name="T67" fmla="*/ 755 h 1375"/>
                              <a:gd name="T68" fmla="+- 0 9622 9397"/>
                              <a:gd name="T69" fmla="*/ T68 w 622"/>
                              <a:gd name="T70" fmla="+- 0 776 737"/>
                              <a:gd name="T71" fmla="*/ 776 h 1375"/>
                              <a:gd name="T72" fmla="+- 0 9689 9397"/>
                              <a:gd name="T73" fmla="*/ T72 w 622"/>
                              <a:gd name="T74" fmla="+- 0 805 737"/>
                              <a:gd name="T75" fmla="*/ 805 h 1375"/>
                              <a:gd name="T76" fmla="+- 0 9752 9397"/>
                              <a:gd name="T77" fmla="*/ T76 w 622"/>
                              <a:gd name="T78" fmla="+- 0 841 737"/>
                              <a:gd name="T79" fmla="*/ 841 h 1375"/>
                              <a:gd name="T80" fmla="+- 0 9810 9397"/>
                              <a:gd name="T81" fmla="*/ T80 w 622"/>
                              <a:gd name="T82" fmla="+- 0 884 737"/>
                              <a:gd name="T83" fmla="*/ 884 h 1375"/>
                              <a:gd name="T84" fmla="+- 0 9862 9397"/>
                              <a:gd name="T85" fmla="*/ T84 w 622"/>
                              <a:gd name="T86" fmla="+- 0 932 737"/>
                              <a:gd name="T87" fmla="*/ 932 h 1375"/>
                              <a:gd name="T88" fmla="+- 0 9908 9397"/>
                              <a:gd name="T89" fmla="*/ T88 w 622"/>
                              <a:gd name="T90" fmla="+- 0 986 737"/>
                              <a:gd name="T91" fmla="*/ 986 h 1375"/>
                              <a:gd name="T92" fmla="+- 0 9946 9397"/>
                              <a:gd name="T93" fmla="*/ T92 w 622"/>
                              <a:gd name="T94" fmla="+- 0 1044 737"/>
                              <a:gd name="T95" fmla="*/ 1044 h 1375"/>
                              <a:gd name="T96" fmla="+- 0 9977 9397"/>
                              <a:gd name="T97" fmla="*/ T96 w 622"/>
                              <a:gd name="T98" fmla="+- 0 1107 737"/>
                              <a:gd name="T99" fmla="*/ 1107 h 1375"/>
                              <a:gd name="T100" fmla="+- 0 10000 9397"/>
                              <a:gd name="T101" fmla="*/ T100 w 622"/>
                              <a:gd name="T102" fmla="+- 0 1174 737"/>
                              <a:gd name="T103" fmla="*/ 1174 h 1375"/>
                              <a:gd name="T104" fmla="+- 0 10014 9397"/>
                              <a:gd name="T105" fmla="*/ T104 w 622"/>
                              <a:gd name="T106" fmla="+- 0 1244 737"/>
                              <a:gd name="T107" fmla="*/ 1244 h 1375"/>
                              <a:gd name="T108" fmla="+- 0 10019 9397"/>
                              <a:gd name="T109" fmla="*/ T108 w 622"/>
                              <a:gd name="T110" fmla="+- 0 1317 737"/>
                              <a:gd name="T111" fmla="*/ 1317 h 1375"/>
                              <a:gd name="T112" fmla="+- 0 10019 9397"/>
                              <a:gd name="T113" fmla="*/ T112 w 622"/>
                              <a:gd name="T114" fmla="+- 0 1473 737"/>
                              <a:gd name="T115" fmla="*/ 1473 h 1375"/>
                              <a:gd name="T116" fmla="+- 0 10014 9397"/>
                              <a:gd name="T117" fmla="*/ T116 w 622"/>
                              <a:gd name="T118" fmla="+- 0 1544 737"/>
                              <a:gd name="T119" fmla="*/ 1544 h 1375"/>
                              <a:gd name="T120" fmla="+- 0 10001 9397"/>
                              <a:gd name="T121" fmla="*/ T120 w 622"/>
                              <a:gd name="T122" fmla="+- 0 1613 737"/>
                              <a:gd name="T123" fmla="*/ 1613 h 1375"/>
                              <a:gd name="T124" fmla="+- 0 9978 9397"/>
                              <a:gd name="T125" fmla="*/ T124 w 622"/>
                              <a:gd name="T126" fmla="+- 0 1679 737"/>
                              <a:gd name="T127" fmla="*/ 1679 h 1375"/>
                              <a:gd name="T128" fmla="+- 0 9948 9397"/>
                              <a:gd name="T129" fmla="*/ T128 w 622"/>
                              <a:gd name="T130" fmla="+- 0 1741 737"/>
                              <a:gd name="T131" fmla="*/ 1741 h 1375"/>
                              <a:gd name="T132" fmla="+- 0 9910 9397"/>
                              <a:gd name="T133" fmla="*/ T132 w 622"/>
                              <a:gd name="T134" fmla="+- 0 1800 737"/>
                              <a:gd name="T135" fmla="*/ 1800 h 1375"/>
                              <a:gd name="T136" fmla="+- 0 9865 9397"/>
                              <a:gd name="T137" fmla="*/ T136 w 622"/>
                              <a:gd name="T138" fmla="+- 0 1854 737"/>
                              <a:gd name="T139" fmla="*/ 1854 h 1375"/>
                              <a:gd name="T140" fmla="+- 0 9814 9397"/>
                              <a:gd name="T141" fmla="*/ T140 w 622"/>
                              <a:gd name="T142" fmla="+- 0 1903 737"/>
                              <a:gd name="T143" fmla="*/ 1903 h 1375"/>
                              <a:gd name="T144" fmla="+- 0 9757 9397"/>
                              <a:gd name="T145" fmla="*/ T144 w 622"/>
                              <a:gd name="T146" fmla="+- 0 1946 737"/>
                              <a:gd name="T147" fmla="*/ 1946 h 1375"/>
                              <a:gd name="T148" fmla="+- 0 9693 9397"/>
                              <a:gd name="T149" fmla="*/ T148 w 622"/>
                              <a:gd name="T150" fmla="+- 0 1982 737"/>
                              <a:gd name="T151" fmla="*/ 1982 h 1375"/>
                              <a:gd name="T152" fmla="+- 0 9625 9397"/>
                              <a:gd name="T153" fmla="*/ T152 w 622"/>
                              <a:gd name="T154" fmla="+- 0 2012 737"/>
                              <a:gd name="T155" fmla="*/ 2012 h 1375"/>
                              <a:gd name="T156" fmla="+- 0 9552 9397"/>
                              <a:gd name="T157" fmla="*/ T156 w 622"/>
                              <a:gd name="T158" fmla="+- 0 2034 737"/>
                              <a:gd name="T159" fmla="*/ 2034 h 1375"/>
                              <a:gd name="T160" fmla="+- 0 9552 9397"/>
                              <a:gd name="T161" fmla="*/ T160 w 622"/>
                              <a:gd name="T162" fmla="+- 0 2112 737"/>
                              <a:gd name="T163" fmla="*/ 2112 h 1375"/>
                              <a:gd name="T164" fmla="+- 0 9397 9397"/>
                              <a:gd name="T165" fmla="*/ T164 w 622"/>
                              <a:gd name="T166" fmla="+- 0 1975 737"/>
                              <a:gd name="T167" fmla="*/ 1975 h 1375"/>
                              <a:gd name="T168" fmla="+- 0 9552 9397"/>
                              <a:gd name="T169" fmla="*/ T168 w 622"/>
                              <a:gd name="T170" fmla="+- 0 1801 737"/>
                              <a:gd name="T171" fmla="*/ 1801 h 1375"/>
                              <a:gd name="T172" fmla="+- 0 9552 9397"/>
                              <a:gd name="T173" fmla="*/ T172 w 622"/>
                              <a:gd name="T174" fmla="+- 0 1878 737"/>
                              <a:gd name="T175" fmla="*/ 1878 h 1375"/>
                              <a:gd name="T176" fmla="+- 0 9632 9397"/>
                              <a:gd name="T177" fmla="*/ T176 w 622"/>
                              <a:gd name="T178" fmla="+- 0 1854 737"/>
                              <a:gd name="T179" fmla="*/ 1854 h 1375"/>
                              <a:gd name="T180" fmla="+- 0 9705 9397"/>
                              <a:gd name="T181" fmla="*/ T180 w 622"/>
                              <a:gd name="T182" fmla="+- 0 1821 737"/>
                              <a:gd name="T183" fmla="*/ 1821 h 1375"/>
                              <a:gd name="T184" fmla="+- 0 9773 9397"/>
                              <a:gd name="T185" fmla="*/ T184 w 622"/>
                              <a:gd name="T186" fmla="+- 0 1779 737"/>
                              <a:gd name="T187" fmla="*/ 1779 h 1375"/>
                              <a:gd name="T188" fmla="+- 0 9834 9397"/>
                              <a:gd name="T189" fmla="*/ T188 w 622"/>
                              <a:gd name="T190" fmla="+- 0 1729 737"/>
                              <a:gd name="T191" fmla="*/ 1729 h 1375"/>
                              <a:gd name="T192" fmla="+- 0 9888 9397"/>
                              <a:gd name="T193" fmla="*/ T192 w 622"/>
                              <a:gd name="T194" fmla="+- 0 1673 737"/>
                              <a:gd name="T195" fmla="*/ 1673 h 1375"/>
                              <a:gd name="T196" fmla="+- 0 9933 9397"/>
                              <a:gd name="T197" fmla="*/ T196 w 622"/>
                              <a:gd name="T198" fmla="+- 0 1611 737"/>
                              <a:gd name="T199" fmla="*/ 1611 h 1375"/>
                              <a:gd name="T200" fmla="+- 0 9970 9397"/>
                              <a:gd name="T201" fmla="*/ T200 w 622"/>
                              <a:gd name="T202" fmla="+- 0 1543 737"/>
                              <a:gd name="T203" fmla="*/ 1543 h 1375"/>
                              <a:gd name="T204" fmla="+- 0 9997 9397"/>
                              <a:gd name="T205" fmla="*/ T204 w 622"/>
                              <a:gd name="T206" fmla="+- 0 1471 737"/>
                              <a:gd name="T207" fmla="*/ 1471 h 1375"/>
                              <a:gd name="T208" fmla="+- 0 10013 9397"/>
                              <a:gd name="T209" fmla="*/ T208 w 622"/>
                              <a:gd name="T210" fmla="+- 0 1395 737"/>
                              <a:gd name="T211" fmla="*/ 1395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2" h="1375">
                                <a:moveTo>
                                  <a:pt x="622" y="736"/>
                                </a:moveTo>
                                <a:lnTo>
                                  <a:pt x="617" y="663"/>
                                </a:lnTo>
                                <a:lnTo>
                                  <a:pt x="603" y="593"/>
                                </a:lnTo>
                                <a:lnTo>
                                  <a:pt x="580" y="526"/>
                                </a:lnTo>
                                <a:lnTo>
                                  <a:pt x="549" y="463"/>
                                </a:lnTo>
                                <a:lnTo>
                                  <a:pt x="511" y="404"/>
                                </a:lnTo>
                                <a:lnTo>
                                  <a:pt x="465" y="350"/>
                                </a:lnTo>
                                <a:lnTo>
                                  <a:pt x="413" y="302"/>
                                </a:lnTo>
                                <a:lnTo>
                                  <a:pt x="355" y="259"/>
                                </a:lnTo>
                                <a:lnTo>
                                  <a:pt x="292" y="224"/>
                                </a:lnTo>
                                <a:lnTo>
                                  <a:pt x="225" y="195"/>
                                </a:lnTo>
                                <a:lnTo>
                                  <a:pt x="153" y="173"/>
                                </a:lnTo>
                                <a:lnTo>
                                  <a:pt x="78" y="160"/>
                                </a:lnTo>
                                <a:lnTo>
                                  <a:pt x="0" y="156"/>
                                </a:lnTo>
                                <a:lnTo>
                                  <a:pt x="0" y="0"/>
                                </a:lnTo>
                                <a:lnTo>
                                  <a:pt x="78" y="5"/>
                                </a:lnTo>
                                <a:lnTo>
                                  <a:pt x="153" y="18"/>
                                </a:lnTo>
                                <a:lnTo>
                                  <a:pt x="225" y="39"/>
                                </a:lnTo>
                                <a:lnTo>
                                  <a:pt x="292" y="68"/>
                                </a:lnTo>
                                <a:lnTo>
                                  <a:pt x="355" y="104"/>
                                </a:lnTo>
                                <a:lnTo>
                                  <a:pt x="413" y="147"/>
                                </a:lnTo>
                                <a:lnTo>
                                  <a:pt x="465" y="195"/>
                                </a:lnTo>
                                <a:lnTo>
                                  <a:pt x="511" y="249"/>
                                </a:lnTo>
                                <a:lnTo>
                                  <a:pt x="549" y="307"/>
                                </a:lnTo>
                                <a:lnTo>
                                  <a:pt x="580" y="370"/>
                                </a:lnTo>
                                <a:lnTo>
                                  <a:pt x="603" y="437"/>
                                </a:lnTo>
                                <a:lnTo>
                                  <a:pt x="617" y="507"/>
                                </a:lnTo>
                                <a:lnTo>
                                  <a:pt x="622" y="580"/>
                                </a:lnTo>
                                <a:lnTo>
                                  <a:pt x="622" y="736"/>
                                </a:lnTo>
                                <a:lnTo>
                                  <a:pt x="617" y="807"/>
                                </a:lnTo>
                                <a:lnTo>
                                  <a:pt x="604" y="876"/>
                                </a:lnTo>
                                <a:lnTo>
                                  <a:pt x="581" y="942"/>
                                </a:lnTo>
                                <a:lnTo>
                                  <a:pt x="551" y="1004"/>
                                </a:lnTo>
                                <a:lnTo>
                                  <a:pt x="513" y="1063"/>
                                </a:lnTo>
                                <a:lnTo>
                                  <a:pt x="468" y="1117"/>
                                </a:lnTo>
                                <a:lnTo>
                                  <a:pt x="417" y="1166"/>
                                </a:lnTo>
                                <a:lnTo>
                                  <a:pt x="360" y="1209"/>
                                </a:lnTo>
                                <a:lnTo>
                                  <a:pt x="296" y="1245"/>
                                </a:lnTo>
                                <a:lnTo>
                                  <a:pt x="228" y="1275"/>
                                </a:lnTo>
                                <a:lnTo>
                                  <a:pt x="155" y="1297"/>
                                </a:lnTo>
                                <a:lnTo>
                                  <a:pt x="155" y="1375"/>
                                </a:lnTo>
                                <a:lnTo>
                                  <a:pt x="0" y="1238"/>
                                </a:lnTo>
                                <a:lnTo>
                                  <a:pt x="155" y="1064"/>
                                </a:lnTo>
                                <a:lnTo>
                                  <a:pt x="155" y="1141"/>
                                </a:lnTo>
                                <a:lnTo>
                                  <a:pt x="235" y="1117"/>
                                </a:lnTo>
                                <a:lnTo>
                                  <a:pt x="308" y="1084"/>
                                </a:lnTo>
                                <a:lnTo>
                                  <a:pt x="376" y="1042"/>
                                </a:lnTo>
                                <a:lnTo>
                                  <a:pt x="437" y="992"/>
                                </a:lnTo>
                                <a:lnTo>
                                  <a:pt x="491" y="936"/>
                                </a:lnTo>
                                <a:lnTo>
                                  <a:pt x="536" y="874"/>
                                </a:lnTo>
                                <a:lnTo>
                                  <a:pt x="573" y="806"/>
                                </a:lnTo>
                                <a:lnTo>
                                  <a:pt x="600" y="734"/>
                                </a:lnTo>
                                <a:lnTo>
                                  <a:pt x="616" y="658"/>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AutoShape 102"/>
                        <wps:cNvSpPr>
                          <a:spLocks/>
                        </wps:cNvSpPr>
                        <wps:spPr bwMode="auto">
                          <a:xfrm>
                            <a:off x="2677" y="757"/>
                            <a:ext cx="645" cy="680"/>
                          </a:xfrm>
                          <a:custGeom>
                            <a:avLst/>
                            <a:gdLst>
                              <a:gd name="T0" fmla="+- 0 3161 2677"/>
                              <a:gd name="T1" fmla="*/ T0 w 645"/>
                              <a:gd name="T2" fmla="+- 0 757 757"/>
                              <a:gd name="T3" fmla="*/ 757 h 680"/>
                              <a:gd name="T4" fmla="+- 0 3161 2677"/>
                              <a:gd name="T5" fmla="*/ T4 w 645"/>
                              <a:gd name="T6" fmla="+- 0 838 757"/>
                              <a:gd name="T7" fmla="*/ 838 h 680"/>
                              <a:gd name="T8" fmla="+- 0 3083 2677"/>
                              <a:gd name="T9" fmla="*/ T8 w 645"/>
                              <a:gd name="T10" fmla="+- 0 859 757"/>
                              <a:gd name="T11" fmla="*/ 859 h 680"/>
                              <a:gd name="T12" fmla="+- 0 3011 2677"/>
                              <a:gd name="T13" fmla="*/ T12 w 645"/>
                              <a:gd name="T14" fmla="+- 0 887 757"/>
                              <a:gd name="T15" fmla="*/ 887 h 680"/>
                              <a:gd name="T16" fmla="+- 0 2944 2677"/>
                              <a:gd name="T17" fmla="*/ T16 w 645"/>
                              <a:gd name="T18" fmla="+- 0 922 757"/>
                              <a:gd name="T19" fmla="*/ 922 h 680"/>
                              <a:gd name="T20" fmla="+- 0 2884 2677"/>
                              <a:gd name="T21" fmla="*/ T20 w 645"/>
                              <a:gd name="T22" fmla="+- 0 963 757"/>
                              <a:gd name="T23" fmla="*/ 963 h 680"/>
                              <a:gd name="T24" fmla="+- 0 2830 2677"/>
                              <a:gd name="T25" fmla="*/ T24 w 645"/>
                              <a:gd name="T26" fmla="+- 0 1010 757"/>
                              <a:gd name="T27" fmla="*/ 1010 h 680"/>
                              <a:gd name="T28" fmla="+- 0 2784 2677"/>
                              <a:gd name="T29" fmla="*/ T28 w 645"/>
                              <a:gd name="T30" fmla="+- 0 1061 757"/>
                              <a:gd name="T31" fmla="*/ 1061 h 680"/>
                              <a:gd name="T32" fmla="+- 0 2745 2677"/>
                              <a:gd name="T33" fmla="*/ T32 w 645"/>
                              <a:gd name="T34" fmla="+- 0 1117 757"/>
                              <a:gd name="T35" fmla="*/ 1117 h 680"/>
                              <a:gd name="T36" fmla="+- 0 2714 2677"/>
                              <a:gd name="T37" fmla="*/ T36 w 645"/>
                              <a:gd name="T38" fmla="+- 0 1176 757"/>
                              <a:gd name="T39" fmla="*/ 1176 h 680"/>
                              <a:gd name="T40" fmla="+- 0 2693 2677"/>
                              <a:gd name="T41" fmla="*/ T40 w 645"/>
                              <a:gd name="T42" fmla="+- 0 1238 757"/>
                              <a:gd name="T43" fmla="*/ 1238 h 680"/>
                              <a:gd name="T44" fmla="+- 0 2680 2677"/>
                              <a:gd name="T45" fmla="*/ T44 w 645"/>
                              <a:gd name="T46" fmla="+- 0 1303 757"/>
                              <a:gd name="T47" fmla="*/ 1303 h 680"/>
                              <a:gd name="T48" fmla="+- 0 2677 2677"/>
                              <a:gd name="T49" fmla="*/ T48 w 645"/>
                              <a:gd name="T50" fmla="+- 0 1369 757"/>
                              <a:gd name="T51" fmla="*/ 1369 h 680"/>
                              <a:gd name="T52" fmla="+- 0 2684 2677"/>
                              <a:gd name="T53" fmla="*/ T52 w 645"/>
                              <a:gd name="T54" fmla="+- 0 1436 757"/>
                              <a:gd name="T55" fmla="*/ 1436 h 680"/>
                              <a:gd name="T56" fmla="+- 0 2703 2677"/>
                              <a:gd name="T57" fmla="*/ T56 w 645"/>
                              <a:gd name="T58" fmla="+- 0 1367 757"/>
                              <a:gd name="T59" fmla="*/ 1367 h 680"/>
                              <a:gd name="T60" fmla="+- 0 2731 2677"/>
                              <a:gd name="T61" fmla="*/ T60 w 645"/>
                              <a:gd name="T62" fmla="+- 0 1302 757"/>
                              <a:gd name="T63" fmla="*/ 1302 h 680"/>
                              <a:gd name="T64" fmla="+- 0 2770 2677"/>
                              <a:gd name="T65" fmla="*/ T64 w 645"/>
                              <a:gd name="T66" fmla="+- 0 1241 757"/>
                              <a:gd name="T67" fmla="*/ 1241 h 680"/>
                              <a:gd name="T68" fmla="+- 0 2817 2677"/>
                              <a:gd name="T69" fmla="*/ T68 w 645"/>
                              <a:gd name="T70" fmla="+- 0 1184 757"/>
                              <a:gd name="T71" fmla="*/ 1184 h 680"/>
                              <a:gd name="T72" fmla="+- 0 2872 2677"/>
                              <a:gd name="T73" fmla="*/ T72 w 645"/>
                              <a:gd name="T74" fmla="+- 0 1134 757"/>
                              <a:gd name="T75" fmla="*/ 1134 h 680"/>
                              <a:gd name="T76" fmla="+- 0 2935 2677"/>
                              <a:gd name="T77" fmla="*/ T76 w 645"/>
                              <a:gd name="T78" fmla="+- 0 1089 757"/>
                              <a:gd name="T79" fmla="*/ 1089 h 680"/>
                              <a:gd name="T80" fmla="+- 0 3004 2677"/>
                              <a:gd name="T81" fmla="*/ T80 w 645"/>
                              <a:gd name="T82" fmla="+- 0 1051 757"/>
                              <a:gd name="T83" fmla="*/ 1051 h 680"/>
                              <a:gd name="T84" fmla="+- 0 3080 2677"/>
                              <a:gd name="T85" fmla="*/ T84 w 645"/>
                              <a:gd name="T86" fmla="+- 0 1021 757"/>
                              <a:gd name="T87" fmla="*/ 1021 h 680"/>
                              <a:gd name="T88" fmla="+- 0 3161 2677"/>
                              <a:gd name="T89" fmla="*/ T88 w 645"/>
                              <a:gd name="T90" fmla="+- 0 999 757"/>
                              <a:gd name="T91" fmla="*/ 999 h 680"/>
                              <a:gd name="T92" fmla="+- 0 3234 2677"/>
                              <a:gd name="T93" fmla="*/ T92 w 645"/>
                              <a:gd name="T94" fmla="+- 0 999 757"/>
                              <a:gd name="T95" fmla="*/ 999 h 680"/>
                              <a:gd name="T96" fmla="+- 0 3322 2677"/>
                              <a:gd name="T97" fmla="*/ T96 w 645"/>
                              <a:gd name="T98" fmla="+- 0 901 757"/>
                              <a:gd name="T99" fmla="*/ 901 h 680"/>
                              <a:gd name="T100" fmla="+- 0 3161 2677"/>
                              <a:gd name="T101" fmla="*/ T100 w 645"/>
                              <a:gd name="T102" fmla="+- 0 757 757"/>
                              <a:gd name="T103" fmla="*/ 757 h 680"/>
                              <a:gd name="T104" fmla="+- 0 3234 2677"/>
                              <a:gd name="T105" fmla="*/ T104 w 645"/>
                              <a:gd name="T106" fmla="+- 0 999 757"/>
                              <a:gd name="T107" fmla="*/ 999 h 680"/>
                              <a:gd name="T108" fmla="+- 0 3161 2677"/>
                              <a:gd name="T109" fmla="*/ T108 w 645"/>
                              <a:gd name="T110" fmla="+- 0 999 757"/>
                              <a:gd name="T111" fmla="*/ 999 h 680"/>
                              <a:gd name="T112" fmla="+- 0 3161 2677"/>
                              <a:gd name="T113" fmla="*/ T112 w 645"/>
                              <a:gd name="T114" fmla="+- 0 1080 757"/>
                              <a:gd name="T115" fmla="*/ 1080 h 680"/>
                              <a:gd name="T116" fmla="+- 0 3234 2677"/>
                              <a:gd name="T117" fmla="*/ T116 w 645"/>
                              <a:gd name="T118" fmla="+- 0 999 757"/>
                              <a:gd name="T119" fmla="*/ 99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45" h="680">
                                <a:moveTo>
                                  <a:pt x="484" y="0"/>
                                </a:moveTo>
                                <a:lnTo>
                                  <a:pt x="484" y="81"/>
                                </a:lnTo>
                                <a:lnTo>
                                  <a:pt x="406" y="102"/>
                                </a:lnTo>
                                <a:lnTo>
                                  <a:pt x="334" y="130"/>
                                </a:lnTo>
                                <a:lnTo>
                                  <a:pt x="267" y="165"/>
                                </a:lnTo>
                                <a:lnTo>
                                  <a:pt x="207" y="206"/>
                                </a:lnTo>
                                <a:lnTo>
                                  <a:pt x="153" y="253"/>
                                </a:lnTo>
                                <a:lnTo>
                                  <a:pt x="107" y="304"/>
                                </a:lnTo>
                                <a:lnTo>
                                  <a:pt x="68" y="360"/>
                                </a:lnTo>
                                <a:lnTo>
                                  <a:pt x="37" y="419"/>
                                </a:lnTo>
                                <a:lnTo>
                                  <a:pt x="16" y="481"/>
                                </a:lnTo>
                                <a:lnTo>
                                  <a:pt x="3" y="546"/>
                                </a:lnTo>
                                <a:lnTo>
                                  <a:pt x="0" y="612"/>
                                </a:lnTo>
                                <a:lnTo>
                                  <a:pt x="7" y="679"/>
                                </a:lnTo>
                                <a:lnTo>
                                  <a:pt x="26" y="610"/>
                                </a:lnTo>
                                <a:lnTo>
                                  <a:pt x="54" y="545"/>
                                </a:lnTo>
                                <a:lnTo>
                                  <a:pt x="93" y="484"/>
                                </a:lnTo>
                                <a:lnTo>
                                  <a:pt x="140" y="427"/>
                                </a:lnTo>
                                <a:lnTo>
                                  <a:pt x="195" y="377"/>
                                </a:lnTo>
                                <a:lnTo>
                                  <a:pt x="258" y="332"/>
                                </a:lnTo>
                                <a:lnTo>
                                  <a:pt x="327" y="294"/>
                                </a:lnTo>
                                <a:lnTo>
                                  <a:pt x="403" y="264"/>
                                </a:lnTo>
                                <a:lnTo>
                                  <a:pt x="484" y="242"/>
                                </a:lnTo>
                                <a:lnTo>
                                  <a:pt x="557" y="242"/>
                                </a:lnTo>
                                <a:lnTo>
                                  <a:pt x="645" y="144"/>
                                </a:lnTo>
                                <a:lnTo>
                                  <a:pt x="484" y="0"/>
                                </a:lnTo>
                                <a:close/>
                                <a:moveTo>
                                  <a:pt x="557" y="242"/>
                                </a:moveTo>
                                <a:lnTo>
                                  <a:pt x="484" y="242"/>
                                </a:lnTo>
                                <a:lnTo>
                                  <a:pt x="484" y="323"/>
                                </a:lnTo>
                                <a:lnTo>
                                  <a:pt x="557" y="2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03"/>
                        <wps:cNvSpPr>
                          <a:spLocks/>
                        </wps:cNvSpPr>
                        <wps:spPr bwMode="auto">
                          <a:xfrm>
                            <a:off x="2677" y="1355"/>
                            <a:ext cx="645" cy="697"/>
                          </a:xfrm>
                          <a:custGeom>
                            <a:avLst/>
                            <a:gdLst>
                              <a:gd name="T0" fmla="+- 0 2677 2677"/>
                              <a:gd name="T1" fmla="*/ T0 w 645"/>
                              <a:gd name="T2" fmla="+- 0 1356 1356"/>
                              <a:gd name="T3" fmla="*/ 1356 h 697"/>
                              <a:gd name="T4" fmla="+- 0 2677 2677"/>
                              <a:gd name="T5" fmla="*/ T4 w 645"/>
                              <a:gd name="T6" fmla="+- 0 1517 1356"/>
                              <a:gd name="T7" fmla="*/ 1517 h 697"/>
                              <a:gd name="T8" fmla="+- 0 2682 2677"/>
                              <a:gd name="T9" fmla="*/ T8 w 645"/>
                              <a:gd name="T10" fmla="+- 0 1584 1356"/>
                              <a:gd name="T11" fmla="*/ 1584 h 697"/>
                              <a:gd name="T12" fmla="+- 0 2697 2677"/>
                              <a:gd name="T13" fmla="*/ T12 w 645"/>
                              <a:gd name="T14" fmla="+- 0 1649 1356"/>
                              <a:gd name="T15" fmla="*/ 1649 h 697"/>
                              <a:gd name="T16" fmla="+- 0 2720 2677"/>
                              <a:gd name="T17" fmla="*/ T16 w 645"/>
                              <a:gd name="T18" fmla="+- 0 1710 1356"/>
                              <a:gd name="T19" fmla="*/ 1710 h 697"/>
                              <a:gd name="T20" fmla="+- 0 2753 2677"/>
                              <a:gd name="T21" fmla="*/ T20 w 645"/>
                              <a:gd name="T22" fmla="+- 0 1769 1356"/>
                              <a:gd name="T23" fmla="*/ 1769 h 697"/>
                              <a:gd name="T24" fmla="+- 0 2793 2677"/>
                              <a:gd name="T25" fmla="*/ T24 w 645"/>
                              <a:gd name="T26" fmla="+- 0 1823 1356"/>
                              <a:gd name="T27" fmla="*/ 1823 h 697"/>
                              <a:gd name="T28" fmla="+- 0 2840 2677"/>
                              <a:gd name="T29" fmla="*/ T28 w 645"/>
                              <a:gd name="T30" fmla="+- 0 1872 1356"/>
                              <a:gd name="T31" fmla="*/ 1872 h 697"/>
                              <a:gd name="T32" fmla="+- 0 2894 2677"/>
                              <a:gd name="T33" fmla="*/ T32 w 645"/>
                              <a:gd name="T34" fmla="+- 0 1917 1356"/>
                              <a:gd name="T35" fmla="*/ 1917 h 697"/>
                              <a:gd name="T36" fmla="+- 0 2954 2677"/>
                              <a:gd name="T37" fmla="*/ T36 w 645"/>
                              <a:gd name="T38" fmla="+- 0 1956 1356"/>
                              <a:gd name="T39" fmla="*/ 1956 h 697"/>
                              <a:gd name="T40" fmla="+- 0 3019 2677"/>
                              <a:gd name="T41" fmla="*/ T40 w 645"/>
                              <a:gd name="T42" fmla="+- 0 1989 1356"/>
                              <a:gd name="T43" fmla="*/ 1989 h 697"/>
                              <a:gd name="T44" fmla="+- 0 3089 2677"/>
                              <a:gd name="T45" fmla="*/ T44 w 645"/>
                              <a:gd name="T46" fmla="+- 0 2016 1356"/>
                              <a:gd name="T47" fmla="*/ 2016 h 697"/>
                              <a:gd name="T48" fmla="+- 0 3163 2677"/>
                              <a:gd name="T49" fmla="*/ T48 w 645"/>
                              <a:gd name="T50" fmla="+- 0 2036 1356"/>
                              <a:gd name="T51" fmla="*/ 2036 h 697"/>
                              <a:gd name="T52" fmla="+- 0 3241 2677"/>
                              <a:gd name="T53" fmla="*/ T52 w 645"/>
                              <a:gd name="T54" fmla="+- 0 2048 1356"/>
                              <a:gd name="T55" fmla="*/ 2048 h 697"/>
                              <a:gd name="T56" fmla="+- 0 3322 2677"/>
                              <a:gd name="T57" fmla="*/ T56 w 645"/>
                              <a:gd name="T58" fmla="+- 0 2052 1356"/>
                              <a:gd name="T59" fmla="*/ 2052 h 697"/>
                              <a:gd name="T60" fmla="+- 0 3322 2677"/>
                              <a:gd name="T61" fmla="*/ T60 w 645"/>
                              <a:gd name="T62" fmla="+- 0 1891 1356"/>
                              <a:gd name="T63" fmla="*/ 1891 h 697"/>
                              <a:gd name="T64" fmla="+- 0 3241 2677"/>
                              <a:gd name="T65" fmla="*/ T64 w 645"/>
                              <a:gd name="T66" fmla="+- 0 1887 1356"/>
                              <a:gd name="T67" fmla="*/ 1887 h 697"/>
                              <a:gd name="T68" fmla="+- 0 3163 2677"/>
                              <a:gd name="T69" fmla="*/ T68 w 645"/>
                              <a:gd name="T70" fmla="+- 0 1875 1356"/>
                              <a:gd name="T71" fmla="*/ 1875 h 697"/>
                              <a:gd name="T72" fmla="+- 0 3089 2677"/>
                              <a:gd name="T73" fmla="*/ T72 w 645"/>
                              <a:gd name="T74" fmla="+- 0 1855 1356"/>
                              <a:gd name="T75" fmla="*/ 1855 h 697"/>
                              <a:gd name="T76" fmla="+- 0 3019 2677"/>
                              <a:gd name="T77" fmla="*/ T76 w 645"/>
                              <a:gd name="T78" fmla="+- 0 1828 1356"/>
                              <a:gd name="T79" fmla="*/ 1828 h 697"/>
                              <a:gd name="T80" fmla="+- 0 2954 2677"/>
                              <a:gd name="T81" fmla="*/ T80 w 645"/>
                              <a:gd name="T82" fmla="+- 0 1795 1356"/>
                              <a:gd name="T83" fmla="*/ 1795 h 697"/>
                              <a:gd name="T84" fmla="+- 0 2894 2677"/>
                              <a:gd name="T85" fmla="*/ T84 w 645"/>
                              <a:gd name="T86" fmla="+- 0 1756 1356"/>
                              <a:gd name="T87" fmla="*/ 1756 h 697"/>
                              <a:gd name="T88" fmla="+- 0 2840 2677"/>
                              <a:gd name="T89" fmla="*/ T88 w 645"/>
                              <a:gd name="T90" fmla="+- 0 1711 1356"/>
                              <a:gd name="T91" fmla="*/ 1711 h 697"/>
                              <a:gd name="T92" fmla="+- 0 2793 2677"/>
                              <a:gd name="T93" fmla="*/ T92 w 645"/>
                              <a:gd name="T94" fmla="+- 0 1662 1356"/>
                              <a:gd name="T95" fmla="*/ 1662 h 697"/>
                              <a:gd name="T96" fmla="+- 0 2753 2677"/>
                              <a:gd name="T97" fmla="*/ T96 w 645"/>
                              <a:gd name="T98" fmla="+- 0 1607 1356"/>
                              <a:gd name="T99" fmla="*/ 1607 h 697"/>
                              <a:gd name="T100" fmla="+- 0 2720 2677"/>
                              <a:gd name="T101" fmla="*/ T100 w 645"/>
                              <a:gd name="T102" fmla="+- 0 1549 1356"/>
                              <a:gd name="T103" fmla="*/ 1549 h 697"/>
                              <a:gd name="T104" fmla="+- 0 2697 2677"/>
                              <a:gd name="T105" fmla="*/ T104 w 645"/>
                              <a:gd name="T106" fmla="+- 0 1488 1356"/>
                              <a:gd name="T107" fmla="*/ 1488 h 697"/>
                              <a:gd name="T108" fmla="+- 0 2682 2677"/>
                              <a:gd name="T109" fmla="*/ T108 w 645"/>
                              <a:gd name="T110" fmla="+- 0 1423 1356"/>
                              <a:gd name="T111" fmla="*/ 1423 h 697"/>
                              <a:gd name="T112" fmla="+- 0 2677 2677"/>
                              <a:gd name="T113" fmla="*/ T112 w 645"/>
                              <a:gd name="T114" fmla="+- 0 1356 1356"/>
                              <a:gd name="T115" fmla="*/ 1356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5" h="697">
                                <a:moveTo>
                                  <a:pt x="0" y="0"/>
                                </a:moveTo>
                                <a:lnTo>
                                  <a:pt x="0" y="161"/>
                                </a:lnTo>
                                <a:lnTo>
                                  <a:pt x="5" y="228"/>
                                </a:lnTo>
                                <a:lnTo>
                                  <a:pt x="20" y="293"/>
                                </a:lnTo>
                                <a:lnTo>
                                  <a:pt x="43" y="354"/>
                                </a:lnTo>
                                <a:lnTo>
                                  <a:pt x="76" y="413"/>
                                </a:lnTo>
                                <a:lnTo>
                                  <a:pt x="116" y="467"/>
                                </a:lnTo>
                                <a:lnTo>
                                  <a:pt x="163" y="516"/>
                                </a:lnTo>
                                <a:lnTo>
                                  <a:pt x="217" y="561"/>
                                </a:lnTo>
                                <a:lnTo>
                                  <a:pt x="277" y="600"/>
                                </a:lnTo>
                                <a:lnTo>
                                  <a:pt x="342" y="633"/>
                                </a:lnTo>
                                <a:lnTo>
                                  <a:pt x="412" y="660"/>
                                </a:lnTo>
                                <a:lnTo>
                                  <a:pt x="486" y="680"/>
                                </a:lnTo>
                                <a:lnTo>
                                  <a:pt x="564" y="692"/>
                                </a:lnTo>
                                <a:lnTo>
                                  <a:pt x="645" y="696"/>
                                </a:lnTo>
                                <a:lnTo>
                                  <a:pt x="645" y="535"/>
                                </a:lnTo>
                                <a:lnTo>
                                  <a:pt x="564" y="531"/>
                                </a:lnTo>
                                <a:lnTo>
                                  <a:pt x="486" y="519"/>
                                </a:lnTo>
                                <a:lnTo>
                                  <a:pt x="412" y="499"/>
                                </a:lnTo>
                                <a:lnTo>
                                  <a:pt x="342" y="472"/>
                                </a:lnTo>
                                <a:lnTo>
                                  <a:pt x="277" y="439"/>
                                </a:lnTo>
                                <a:lnTo>
                                  <a:pt x="217" y="400"/>
                                </a:lnTo>
                                <a:lnTo>
                                  <a:pt x="163" y="355"/>
                                </a:lnTo>
                                <a:lnTo>
                                  <a:pt x="116" y="306"/>
                                </a:lnTo>
                                <a:lnTo>
                                  <a:pt x="76" y="251"/>
                                </a:lnTo>
                                <a:lnTo>
                                  <a:pt x="43" y="193"/>
                                </a:lnTo>
                                <a:lnTo>
                                  <a:pt x="20" y="132"/>
                                </a:lnTo>
                                <a:lnTo>
                                  <a:pt x="5" y="67"/>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04"/>
                        <wps:cNvSpPr>
                          <a:spLocks/>
                        </wps:cNvSpPr>
                        <wps:spPr bwMode="auto">
                          <a:xfrm>
                            <a:off x="2677" y="757"/>
                            <a:ext cx="645" cy="1295"/>
                          </a:xfrm>
                          <a:custGeom>
                            <a:avLst/>
                            <a:gdLst>
                              <a:gd name="T0" fmla="+- 0 2677 2677"/>
                              <a:gd name="T1" fmla="*/ T0 w 645"/>
                              <a:gd name="T2" fmla="+- 0 1356 757"/>
                              <a:gd name="T3" fmla="*/ 1356 h 1295"/>
                              <a:gd name="T4" fmla="+- 0 2682 2677"/>
                              <a:gd name="T5" fmla="*/ T4 w 645"/>
                              <a:gd name="T6" fmla="+- 0 1423 757"/>
                              <a:gd name="T7" fmla="*/ 1423 h 1295"/>
                              <a:gd name="T8" fmla="+- 0 2697 2677"/>
                              <a:gd name="T9" fmla="*/ T8 w 645"/>
                              <a:gd name="T10" fmla="+- 0 1488 757"/>
                              <a:gd name="T11" fmla="*/ 1488 h 1295"/>
                              <a:gd name="T12" fmla="+- 0 2720 2677"/>
                              <a:gd name="T13" fmla="*/ T12 w 645"/>
                              <a:gd name="T14" fmla="+- 0 1549 757"/>
                              <a:gd name="T15" fmla="*/ 1549 h 1295"/>
                              <a:gd name="T16" fmla="+- 0 2753 2677"/>
                              <a:gd name="T17" fmla="*/ T16 w 645"/>
                              <a:gd name="T18" fmla="+- 0 1607 757"/>
                              <a:gd name="T19" fmla="*/ 1607 h 1295"/>
                              <a:gd name="T20" fmla="+- 0 2793 2677"/>
                              <a:gd name="T21" fmla="*/ T20 w 645"/>
                              <a:gd name="T22" fmla="+- 0 1662 757"/>
                              <a:gd name="T23" fmla="*/ 1662 h 1295"/>
                              <a:gd name="T24" fmla="+- 0 2840 2677"/>
                              <a:gd name="T25" fmla="*/ T24 w 645"/>
                              <a:gd name="T26" fmla="+- 0 1711 757"/>
                              <a:gd name="T27" fmla="*/ 1711 h 1295"/>
                              <a:gd name="T28" fmla="+- 0 2894 2677"/>
                              <a:gd name="T29" fmla="*/ T28 w 645"/>
                              <a:gd name="T30" fmla="+- 0 1756 757"/>
                              <a:gd name="T31" fmla="*/ 1756 h 1295"/>
                              <a:gd name="T32" fmla="+- 0 2954 2677"/>
                              <a:gd name="T33" fmla="*/ T32 w 645"/>
                              <a:gd name="T34" fmla="+- 0 1795 757"/>
                              <a:gd name="T35" fmla="*/ 1795 h 1295"/>
                              <a:gd name="T36" fmla="+- 0 3019 2677"/>
                              <a:gd name="T37" fmla="*/ T36 w 645"/>
                              <a:gd name="T38" fmla="+- 0 1828 757"/>
                              <a:gd name="T39" fmla="*/ 1828 h 1295"/>
                              <a:gd name="T40" fmla="+- 0 3089 2677"/>
                              <a:gd name="T41" fmla="*/ T40 w 645"/>
                              <a:gd name="T42" fmla="+- 0 1855 757"/>
                              <a:gd name="T43" fmla="*/ 1855 h 1295"/>
                              <a:gd name="T44" fmla="+- 0 3163 2677"/>
                              <a:gd name="T45" fmla="*/ T44 w 645"/>
                              <a:gd name="T46" fmla="+- 0 1875 757"/>
                              <a:gd name="T47" fmla="*/ 1875 h 1295"/>
                              <a:gd name="T48" fmla="+- 0 3241 2677"/>
                              <a:gd name="T49" fmla="*/ T48 w 645"/>
                              <a:gd name="T50" fmla="+- 0 1887 757"/>
                              <a:gd name="T51" fmla="*/ 1887 h 1295"/>
                              <a:gd name="T52" fmla="+- 0 3322 2677"/>
                              <a:gd name="T53" fmla="*/ T52 w 645"/>
                              <a:gd name="T54" fmla="+- 0 1891 757"/>
                              <a:gd name="T55" fmla="*/ 1891 h 1295"/>
                              <a:gd name="T56" fmla="+- 0 3322 2677"/>
                              <a:gd name="T57" fmla="*/ T56 w 645"/>
                              <a:gd name="T58" fmla="+- 0 2052 757"/>
                              <a:gd name="T59" fmla="*/ 2052 h 1295"/>
                              <a:gd name="T60" fmla="+- 0 3241 2677"/>
                              <a:gd name="T61" fmla="*/ T60 w 645"/>
                              <a:gd name="T62" fmla="+- 0 2048 757"/>
                              <a:gd name="T63" fmla="*/ 2048 h 1295"/>
                              <a:gd name="T64" fmla="+- 0 3163 2677"/>
                              <a:gd name="T65" fmla="*/ T64 w 645"/>
                              <a:gd name="T66" fmla="+- 0 2036 757"/>
                              <a:gd name="T67" fmla="*/ 2036 h 1295"/>
                              <a:gd name="T68" fmla="+- 0 3089 2677"/>
                              <a:gd name="T69" fmla="*/ T68 w 645"/>
                              <a:gd name="T70" fmla="+- 0 2016 757"/>
                              <a:gd name="T71" fmla="*/ 2016 h 1295"/>
                              <a:gd name="T72" fmla="+- 0 3019 2677"/>
                              <a:gd name="T73" fmla="*/ T72 w 645"/>
                              <a:gd name="T74" fmla="+- 0 1989 757"/>
                              <a:gd name="T75" fmla="*/ 1989 h 1295"/>
                              <a:gd name="T76" fmla="+- 0 2954 2677"/>
                              <a:gd name="T77" fmla="*/ T76 w 645"/>
                              <a:gd name="T78" fmla="+- 0 1956 757"/>
                              <a:gd name="T79" fmla="*/ 1956 h 1295"/>
                              <a:gd name="T80" fmla="+- 0 2894 2677"/>
                              <a:gd name="T81" fmla="*/ T80 w 645"/>
                              <a:gd name="T82" fmla="+- 0 1917 757"/>
                              <a:gd name="T83" fmla="*/ 1917 h 1295"/>
                              <a:gd name="T84" fmla="+- 0 2840 2677"/>
                              <a:gd name="T85" fmla="*/ T84 w 645"/>
                              <a:gd name="T86" fmla="+- 0 1872 757"/>
                              <a:gd name="T87" fmla="*/ 1872 h 1295"/>
                              <a:gd name="T88" fmla="+- 0 2793 2677"/>
                              <a:gd name="T89" fmla="*/ T88 w 645"/>
                              <a:gd name="T90" fmla="+- 0 1823 757"/>
                              <a:gd name="T91" fmla="*/ 1823 h 1295"/>
                              <a:gd name="T92" fmla="+- 0 2753 2677"/>
                              <a:gd name="T93" fmla="*/ T92 w 645"/>
                              <a:gd name="T94" fmla="+- 0 1769 757"/>
                              <a:gd name="T95" fmla="*/ 1769 h 1295"/>
                              <a:gd name="T96" fmla="+- 0 2720 2677"/>
                              <a:gd name="T97" fmla="*/ T96 w 645"/>
                              <a:gd name="T98" fmla="+- 0 1710 757"/>
                              <a:gd name="T99" fmla="*/ 1710 h 1295"/>
                              <a:gd name="T100" fmla="+- 0 2697 2677"/>
                              <a:gd name="T101" fmla="*/ T100 w 645"/>
                              <a:gd name="T102" fmla="+- 0 1649 757"/>
                              <a:gd name="T103" fmla="*/ 1649 h 1295"/>
                              <a:gd name="T104" fmla="+- 0 2682 2677"/>
                              <a:gd name="T105" fmla="*/ T104 w 645"/>
                              <a:gd name="T106" fmla="+- 0 1584 757"/>
                              <a:gd name="T107" fmla="*/ 1584 h 1295"/>
                              <a:gd name="T108" fmla="+- 0 2677 2677"/>
                              <a:gd name="T109" fmla="*/ T108 w 645"/>
                              <a:gd name="T110" fmla="+- 0 1517 757"/>
                              <a:gd name="T111" fmla="*/ 1517 h 1295"/>
                              <a:gd name="T112" fmla="+- 0 2677 2677"/>
                              <a:gd name="T113" fmla="*/ T112 w 645"/>
                              <a:gd name="T114" fmla="+- 0 1356 757"/>
                              <a:gd name="T115" fmla="*/ 1356 h 1295"/>
                              <a:gd name="T116" fmla="+- 0 2683 2677"/>
                              <a:gd name="T117" fmla="*/ T116 w 645"/>
                              <a:gd name="T118" fmla="+- 0 1284 757"/>
                              <a:gd name="T119" fmla="*/ 1284 h 1295"/>
                              <a:gd name="T120" fmla="+- 0 2700 2677"/>
                              <a:gd name="T121" fmla="*/ T120 w 645"/>
                              <a:gd name="T122" fmla="+- 0 1214 757"/>
                              <a:gd name="T123" fmla="*/ 1214 h 1295"/>
                              <a:gd name="T124" fmla="+- 0 2728 2677"/>
                              <a:gd name="T125" fmla="*/ T124 w 645"/>
                              <a:gd name="T126" fmla="+- 0 1148 757"/>
                              <a:gd name="T127" fmla="*/ 1148 h 1295"/>
                              <a:gd name="T128" fmla="+- 0 2765 2677"/>
                              <a:gd name="T129" fmla="*/ T128 w 645"/>
                              <a:gd name="T130" fmla="+- 0 1086 757"/>
                              <a:gd name="T131" fmla="*/ 1086 h 1295"/>
                              <a:gd name="T132" fmla="+- 0 2812 2677"/>
                              <a:gd name="T133" fmla="*/ T132 w 645"/>
                              <a:gd name="T134" fmla="+- 0 1028 757"/>
                              <a:gd name="T135" fmla="*/ 1028 h 1295"/>
                              <a:gd name="T136" fmla="+- 0 2867 2677"/>
                              <a:gd name="T137" fmla="*/ T136 w 645"/>
                              <a:gd name="T138" fmla="+- 0 976 757"/>
                              <a:gd name="T139" fmla="*/ 976 h 1295"/>
                              <a:gd name="T140" fmla="+- 0 2931 2677"/>
                              <a:gd name="T141" fmla="*/ T140 w 645"/>
                              <a:gd name="T142" fmla="+- 0 930 757"/>
                              <a:gd name="T143" fmla="*/ 930 h 1295"/>
                              <a:gd name="T144" fmla="+- 0 3001 2677"/>
                              <a:gd name="T145" fmla="*/ T144 w 645"/>
                              <a:gd name="T146" fmla="+- 0 892 757"/>
                              <a:gd name="T147" fmla="*/ 892 h 1295"/>
                              <a:gd name="T148" fmla="+- 0 3078 2677"/>
                              <a:gd name="T149" fmla="*/ T148 w 645"/>
                              <a:gd name="T150" fmla="+- 0 861 757"/>
                              <a:gd name="T151" fmla="*/ 861 h 1295"/>
                              <a:gd name="T152" fmla="+- 0 3161 2677"/>
                              <a:gd name="T153" fmla="*/ T152 w 645"/>
                              <a:gd name="T154" fmla="+- 0 838 757"/>
                              <a:gd name="T155" fmla="*/ 838 h 1295"/>
                              <a:gd name="T156" fmla="+- 0 3161 2677"/>
                              <a:gd name="T157" fmla="*/ T156 w 645"/>
                              <a:gd name="T158" fmla="+- 0 757 757"/>
                              <a:gd name="T159" fmla="*/ 757 h 1295"/>
                              <a:gd name="T160" fmla="+- 0 3322 2677"/>
                              <a:gd name="T161" fmla="*/ T160 w 645"/>
                              <a:gd name="T162" fmla="+- 0 901 757"/>
                              <a:gd name="T163" fmla="*/ 901 h 1295"/>
                              <a:gd name="T164" fmla="+- 0 3161 2677"/>
                              <a:gd name="T165" fmla="*/ T164 w 645"/>
                              <a:gd name="T166" fmla="+- 0 1080 757"/>
                              <a:gd name="T167" fmla="*/ 1080 h 1295"/>
                              <a:gd name="T168" fmla="+- 0 3161 2677"/>
                              <a:gd name="T169" fmla="*/ T168 w 645"/>
                              <a:gd name="T170" fmla="+- 0 999 757"/>
                              <a:gd name="T171" fmla="*/ 999 h 1295"/>
                              <a:gd name="T172" fmla="+- 0 3080 2677"/>
                              <a:gd name="T173" fmla="*/ T172 w 645"/>
                              <a:gd name="T174" fmla="+- 0 1021 757"/>
                              <a:gd name="T175" fmla="*/ 1021 h 1295"/>
                              <a:gd name="T176" fmla="+- 0 3004 2677"/>
                              <a:gd name="T177" fmla="*/ T176 w 645"/>
                              <a:gd name="T178" fmla="+- 0 1051 757"/>
                              <a:gd name="T179" fmla="*/ 1051 h 1295"/>
                              <a:gd name="T180" fmla="+- 0 2935 2677"/>
                              <a:gd name="T181" fmla="*/ T180 w 645"/>
                              <a:gd name="T182" fmla="+- 0 1089 757"/>
                              <a:gd name="T183" fmla="*/ 1089 h 1295"/>
                              <a:gd name="T184" fmla="+- 0 2872 2677"/>
                              <a:gd name="T185" fmla="*/ T184 w 645"/>
                              <a:gd name="T186" fmla="+- 0 1134 757"/>
                              <a:gd name="T187" fmla="*/ 1134 h 1295"/>
                              <a:gd name="T188" fmla="+- 0 2817 2677"/>
                              <a:gd name="T189" fmla="*/ T188 w 645"/>
                              <a:gd name="T190" fmla="+- 0 1184 757"/>
                              <a:gd name="T191" fmla="*/ 1184 h 1295"/>
                              <a:gd name="T192" fmla="+- 0 2770 2677"/>
                              <a:gd name="T193" fmla="*/ T192 w 645"/>
                              <a:gd name="T194" fmla="+- 0 1241 757"/>
                              <a:gd name="T195" fmla="*/ 1241 h 1295"/>
                              <a:gd name="T196" fmla="+- 0 2731 2677"/>
                              <a:gd name="T197" fmla="*/ T196 w 645"/>
                              <a:gd name="T198" fmla="+- 0 1302 757"/>
                              <a:gd name="T199" fmla="*/ 1302 h 1295"/>
                              <a:gd name="T200" fmla="+- 0 2703 2677"/>
                              <a:gd name="T201" fmla="*/ T200 w 645"/>
                              <a:gd name="T202" fmla="+- 0 1367 757"/>
                              <a:gd name="T203" fmla="*/ 1367 h 1295"/>
                              <a:gd name="T204" fmla="+- 0 2684 2677"/>
                              <a:gd name="T205" fmla="*/ T204 w 645"/>
                              <a:gd name="T206" fmla="+- 0 1436 757"/>
                              <a:gd name="T207" fmla="*/ 1436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45" h="1295">
                                <a:moveTo>
                                  <a:pt x="0" y="599"/>
                                </a:moveTo>
                                <a:lnTo>
                                  <a:pt x="5" y="666"/>
                                </a:lnTo>
                                <a:lnTo>
                                  <a:pt x="20" y="731"/>
                                </a:lnTo>
                                <a:lnTo>
                                  <a:pt x="43" y="792"/>
                                </a:lnTo>
                                <a:lnTo>
                                  <a:pt x="76" y="850"/>
                                </a:lnTo>
                                <a:lnTo>
                                  <a:pt x="116" y="905"/>
                                </a:lnTo>
                                <a:lnTo>
                                  <a:pt x="163" y="954"/>
                                </a:lnTo>
                                <a:lnTo>
                                  <a:pt x="217" y="999"/>
                                </a:lnTo>
                                <a:lnTo>
                                  <a:pt x="277" y="1038"/>
                                </a:lnTo>
                                <a:lnTo>
                                  <a:pt x="342" y="1071"/>
                                </a:lnTo>
                                <a:lnTo>
                                  <a:pt x="412" y="1098"/>
                                </a:lnTo>
                                <a:lnTo>
                                  <a:pt x="486" y="1118"/>
                                </a:lnTo>
                                <a:lnTo>
                                  <a:pt x="564" y="1130"/>
                                </a:lnTo>
                                <a:lnTo>
                                  <a:pt x="645" y="1134"/>
                                </a:lnTo>
                                <a:lnTo>
                                  <a:pt x="645" y="1295"/>
                                </a:lnTo>
                                <a:lnTo>
                                  <a:pt x="564" y="1291"/>
                                </a:lnTo>
                                <a:lnTo>
                                  <a:pt x="486" y="1279"/>
                                </a:lnTo>
                                <a:lnTo>
                                  <a:pt x="412" y="1259"/>
                                </a:lnTo>
                                <a:lnTo>
                                  <a:pt x="342" y="1232"/>
                                </a:lnTo>
                                <a:lnTo>
                                  <a:pt x="277" y="1199"/>
                                </a:lnTo>
                                <a:lnTo>
                                  <a:pt x="217" y="1160"/>
                                </a:lnTo>
                                <a:lnTo>
                                  <a:pt x="163" y="1115"/>
                                </a:lnTo>
                                <a:lnTo>
                                  <a:pt x="116" y="1066"/>
                                </a:lnTo>
                                <a:lnTo>
                                  <a:pt x="76" y="1012"/>
                                </a:lnTo>
                                <a:lnTo>
                                  <a:pt x="43" y="953"/>
                                </a:lnTo>
                                <a:lnTo>
                                  <a:pt x="20" y="892"/>
                                </a:lnTo>
                                <a:lnTo>
                                  <a:pt x="5" y="827"/>
                                </a:lnTo>
                                <a:lnTo>
                                  <a:pt x="0" y="760"/>
                                </a:lnTo>
                                <a:lnTo>
                                  <a:pt x="0" y="599"/>
                                </a:lnTo>
                                <a:lnTo>
                                  <a:pt x="6" y="527"/>
                                </a:lnTo>
                                <a:lnTo>
                                  <a:pt x="23" y="457"/>
                                </a:lnTo>
                                <a:lnTo>
                                  <a:pt x="51" y="391"/>
                                </a:lnTo>
                                <a:lnTo>
                                  <a:pt x="88" y="329"/>
                                </a:lnTo>
                                <a:lnTo>
                                  <a:pt x="135" y="271"/>
                                </a:lnTo>
                                <a:lnTo>
                                  <a:pt x="190" y="219"/>
                                </a:lnTo>
                                <a:lnTo>
                                  <a:pt x="254" y="173"/>
                                </a:lnTo>
                                <a:lnTo>
                                  <a:pt x="324" y="135"/>
                                </a:lnTo>
                                <a:lnTo>
                                  <a:pt x="401" y="104"/>
                                </a:lnTo>
                                <a:lnTo>
                                  <a:pt x="484" y="81"/>
                                </a:lnTo>
                                <a:lnTo>
                                  <a:pt x="484" y="0"/>
                                </a:lnTo>
                                <a:lnTo>
                                  <a:pt x="645" y="144"/>
                                </a:lnTo>
                                <a:lnTo>
                                  <a:pt x="484" y="323"/>
                                </a:lnTo>
                                <a:lnTo>
                                  <a:pt x="484" y="242"/>
                                </a:lnTo>
                                <a:lnTo>
                                  <a:pt x="403" y="264"/>
                                </a:lnTo>
                                <a:lnTo>
                                  <a:pt x="327" y="294"/>
                                </a:lnTo>
                                <a:lnTo>
                                  <a:pt x="258" y="332"/>
                                </a:lnTo>
                                <a:lnTo>
                                  <a:pt x="195" y="377"/>
                                </a:lnTo>
                                <a:lnTo>
                                  <a:pt x="140" y="427"/>
                                </a:lnTo>
                                <a:lnTo>
                                  <a:pt x="93" y="484"/>
                                </a:lnTo>
                                <a:lnTo>
                                  <a:pt x="54" y="545"/>
                                </a:lnTo>
                                <a:lnTo>
                                  <a:pt x="26" y="610"/>
                                </a:lnTo>
                                <a:lnTo>
                                  <a:pt x="7" y="679"/>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05"/>
                        <wps:cNvSpPr>
                          <a:spLocks/>
                        </wps:cNvSpPr>
                        <wps:spPr bwMode="auto">
                          <a:xfrm>
                            <a:off x="5616" y="1290"/>
                            <a:ext cx="1365" cy="225"/>
                          </a:xfrm>
                          <a:custGeom>
                            <a:avLst/>
                            <a:gdLst>
                              <a:gd name="T0" fmla="+- 0 6868 5616"/>
                              <a:gd name="T1" fmla="*/ T0 w 1365"/>
                              <a:gd name="T2" fmla="+- 0 1290 1290"/>
                              <a:gd name="T3" fmla="*/ 1290 h 225"/>
                              <a:gd name="T4" fmla="+- 0 6868 5616"/>
                              <a:gd name="T5" fmla="*/ T4 w 1365"/>
                              <a:gd name="T6" fmla="+- 0 1346 1290"/>
                              <a:gd name="T7" fmla="*/ 1346 h 225"/>
                              <a:gd name="T8" fmla="+- 0 5616 5616"/>
                              <a:gd name="T9" fmla="*/ T8 w 1365"/>
                              <a:gd name="T10" fmla="+- 0 1346 1290"/>
                              <a:gd name="T11" fmla="*/ 1346 h 225"/>
                              <a:gd name="T12" fmla="+- 0 5616 5616"/>
                              <a:gd name="T13" fmla="*/ T12 w 1365"/>
                              <a:gd name="T14" fmla="+- 0 1459 1290"/>
                              <a:gd name="T15" fmla="*/ 1459 h 225"/>
                              <a:gd name="T16" fmla="+- 0 6868 5616"/>
                              <a:gd name="T17" fmla="*/ T16 w 1365"/>
                              <a:gd name="T18" fmla="+- 0 1459 1290"/>
                              <a:gd name="T19" fmla="*/ 1459 h 225"/>
                              <a:gd name="T20" fmla="+- 0 6868 5616"/>
                              <a:gd name="T21" fmla="*/ T20 w 1365"/>
                              <a:gd name="T22" fmla="+- 0 1515 1290"/>
                              <a:gd name="T23" fmla="*/ 1515 h 225"/>
                              <a:gd name="T24" fmla="+- 0 6981 5616"/>
                              <a:gd name="T25" fmla="*/ T24 w 1365"/>
                              <a:gd name="T26" fmla="+- 0 1403 1290"/>
                              <a:gd name="T27" fmla="*/ 1403 h 225"/>
                              <a:gd name="T28" fmla="+- 0 6868 5616"/>
                              <a:gd name="T29" fmla="*/ T28 w 1365"/>
                              <a:gd name="T30" fmla="+- 0 1290 1290"/>
                              <a:gd name="T31" fmla="*/ 129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5">
                                <a:moveTo>
                                  <a:pt x="1252" y="0"/>
                                </a:moveTo>
                                <a:lnTo>
                                  <a:pt x="1252" y="56"/>
                                </a:lnTo>
                                <a:lnTo>
                                  <a:pt x="0" y="56"/>
                                </a:lnTo>
                                <a:lnTo>
                                  <a:pt x="0" y="169"/>
                                </a:lnTo>
                                <a:lnTo>
                                  <a:pt x="1252" y="169"/>
                                </a:lnTo>
                                <a:lnTo>
                                  <a:pt x="1252" y="225"/>
                                </a:lnTo>
                                <a:lnTo>
                                  <a:pt x="1365" y="113"/>
                                </a:lnTo>
                                <a:lnTo>
                                  <a:pt x="125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06"/>
                        <wps:cNvSpPr>
                          <a:spLocks/>
                        </wps:cNvSpPr>
                        <wps:spPr bwMode="auto">
                          <a:xfrm>
                            <a:off x="5616" y="1290"/>
                            <a:ext cx="1365" cy="225"/>
                          </a:xfrm>
                          <a:custGeom>
                            <a:avLst/>
                            <a:gdLst>
                              <a:gd name="T0" fmla="+- 0 5616 5616"/>
                              <a:gd name="T1" fmla="*/ T0 w 1365"/>
                              <a:gd name="T2" fmla="+- 0 1346 1290"/>
                              <a:gd name="T3" fmla="*/ 1346 h 225"/>
                              <a:gd name="T4" fmla="+- 0 6868 5616"/>
                              <a:gd name="T5" fmla="*/ T4 w 1365"/>
                              <a:gd name="T6" fmla="+- 0 1346 1290"/>
                              <a:gd name="T7" fmla="*/ 1346 h 225"/>
                              <a:gd name="T8" fmla="+- 0 6868 5616"/>
                              <a:gd name="T9" fmla="*/ T8 w 1365"/>
                              <a:gd name="T10" fmla="+- 0 1290 1290"/>
                              <a:gd name="T11" fmla="*/ 1290 h 225"/>
                              <a:gd name="T12" fmla="+- 0 6981 5616"/>
                              <a:gd name="T13" fmla="*/ T12 w 1365"/>
                              <a:gd name="T14" fmla="+- 0 1403 1290"/>
                              <a:gd name="T15" fmla="*/ 1403 h 225"/>
                              <a:gd name="T16" fmla="+- 0 6868 5616"/>
                              <a:gd name="T17" fmla="*/ T16 w 1365"/>
                              <a:gd name="T18" fmla="+- 0 1515 1290"/>
                              <a:gd name="T19" fmla="*/ 1515 h 225"/>
                              <a:gd name="T20" fmla="+- 0 6868 5616"/>
                              <a:gd name="T21" fmla="*/ T20 w 1365"/>
                              <a:gd name="T22" fmla="+- 0 1459 1290"/>
                              <a:gd name="T23" fmla="*/ 1459 h 225"/>
                              <a:gd name="T24" fmla="+- 0 5616 5616"/>
                              <a:gd name="T25" fmla="*/ T24 w 1365"/>
                              <a:gd name="T26" fmla="+- 0 1459 1290"/>
                              <a:gd name="T27" fmla="*/ 1459 h 225"/>
                              <a:gd name="T28" fmla="+- 0 5616 5616"/>
                              <a:gd name="T29" fmla="*/ T28 w 1365"/>
                              <a:gd name="T30" fmla="+- 0 1346 1290"/>
                              <a:gd name="T31" fmla="*/ 134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5">
                                <a:moveTo>
                                  <a:pt x="0" y="56"/>
                                </a:moveTo>
                                <a:lnTo>
                                  <a:pt x="1252" y="56"/>
                                </a:lnTo>
                                <a:lnTo>
                                  <a:pt x="1252" y="0"/>
                                </a:lnTo>
                                <a:lnTo>
                                  <a:pt x="1365" y="113"/>
                                </a:lnTo>
                                <a:lnTo>
                                  <a:pt x="1252" y="225"/>
                                </a:lnTo>
                                <a:lnTo>
                                  <a:pt x="1252" y="169"/>
                                </a:lnTo>
                                <a:lnTo>
                                  <a:pt x="0" y="169"/>
                                </a:lnTo>
                                <a:lnTo>
                                  <a:pt x="0" y="56"/>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07"/>
                        <wps:cNvSpPr>
                          <a:spLocks/>
                        </wps:cNvSpPr>
                        <wps:spPr bwMode="auto">
                          <a:xfrm>
                            <a:off x="5617" y="2060"/>
                            <a:ext cx="1365" cy="223"/>
                          </a:xfrm>
                          <a:custGeom>
                            <a:avLst/>
                            <a:gdLst>
                              <a:gd name="T0" fmla="+- 0 5728 5617"/>
                              <a:gd name="T1" fmla="*/ T0 w 1365"/>
                              <a:gd name="T2" fmla="+- 0 2060 2060"/>
                              <a:gd name="T3" fmla="*/ 2060 h 223"/>
                              <a:gd name="T4" fmla="+- 0 5617 5617"/>
                              <a:gd name="T5" fmla="*/ T4 w 1365"/>
                              <a:gd name="T6" fmla="+- 0 2172 2060"/>
                              <a:gd name="T7" fmla="*/ 2172 h 223"/>
                              <a:gd name="T8" fmla="+- 0 5728 5617"/>
                              <a:gd name="T9" fmla="*/ T8 w 1365"/>
                              <a:gd name="T10" fmla="+- 0 2283 2060"/>
                              <a:gd name="T11" fmla="*/ 2283 h 223"/>
                              <a:gd name="T12" fmla="+- 0 5728 5617"/>
                              <a:gd name="T13" fmla="*/ T12 w 1365"/>
                              <a:gd name="T14" fmla="+- 0 2227 2060"/>
                              <a:gd name="T15" fmla="*/ 2227 h 223"/>
                              <a:gd name="T16" fmla="+- 0 6982 5617"/>
                              <a:gd name="T17" fmla="*/ T16 w 1365"/>
                              <a:gd name="T18" fmla="+- 0 2227 2060"/>
                              <a:gd name="T19" fmla="*/ 2227 h 223"/>
                              <a:gd name="T20" fmla="+- 0 6982 5617"/>
                              <a:gd name="T21" fmla="*/ T20 w 1365"/>
                              <a:gd name="T22" fmla="+- 0 2116 2060"/>
                              <a:gd name="T23" fmla="*/ 2116 h 223"/>
                              <a:gd name="T24" fmla="+- 0 5728 5617"/>
                              <a:gd name="T25" fmla="*/ T24 w 1365"/>
                              <a:gd name="T26" fmla="+- 0 2116 2060"/>
                              <a:gd name="T27" fmla="*/ 2116 h 223"/>
                              <a:gd name="T28" fmla="+- 0 5728 5617"/>
                              <a:gd name="T29" fmla="*/ T28 w 1365"/>
                              <a:gd name="T30" fmla="+- 0 2060 2060"/>
                              <a:gd name="T31" fmla="*/ 2060 h 2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3">
                                <a:moveTo>
                                  <a:pt x="111" y="0"/>
                                </a:moveTo>
                                <a:lnTo>
                                  <a:pt x="0" y="112"/>
                                </a:lnTo>
                                <a:lnTo>
                                  <a:pt x="111" y="223"/>
                                </a:lnTo>
                                <a:lnTo>
                                  <a:pt x="111" y="167"/>
                                </a:lnTo>
                                <a:lnTo>
                                  <a:pt x="1365" y="167"/>
                                </a:lnTo>
                                <a:lnTo>
                                  <a:pt x="1365" y="56"/>
                                </a:lnTo>
                                <a:lnTo>
                                  <a:pt x="111" y="56"/>
                                </a:lnTo>
                                <a:lnTo>
                                  <a:pt x="1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108"/>
                        <wps:cNvSpPr>
                          <a:spLocks/>
                        </wps:cNvSpPr>
                        <wps:spPr bwMode="auto">
                          <a:xfrm>
                            <a:off x="5617" y="2060"/>
                            <a:ext cx="1365" cy="223"/>
                          </a:xfrm>
                          <a:custGeom>
                            <a:avLst/>
                            <a:gdLst>
                              <a:gd name="T0" fmla="+- 0 5617 5617"/>
                              <a:gd name="T1" fmla="*/ T0 w 1365"/>
                              <a:gd name="T2" fmla="+- 0 2172 2060"/>
                              <a:gd name="T3" fmla="*/ 2172 h 223"/>
                              <a:gd name="T4" fmla="+- 0 5728 5617"/>
                              <a:gd name="T5" fmla="*/ T4 w 1365"/>
                              <a:gd name="T6" fmla="+- 0 2060 2060"/>
                              <a:gd name="T7" fmla="*/ 2060 h 223"/>
                              <a:gd name="T8" fmla="+- 0 5728 5617"/>
                              <a:gd name="T9" fmla="*/ T8 w 1365"/>
                              <a:gd name="T10" fmla="+- 0 2116 2060"/>
                              <a:gd name="T11" fmla="*/ 2116 h 223"/>
                              <a:gd name="T12" fmla="+- 0 6982 5617"/>
                              <a:gd name="T13" fmla="*/ T12 w 1365"/>
                              <a:gd name="T14" fmla="+- 0 2116 2060"/>
                              <a:gd name="T15" fmla="*/ 2116 h 223"/>
                              <a:gd name="T16" fmla="+- 0 6982 5617"/>
                              <a:gd name="T17" fmla="*/ T16 w 1365"/>
                              <a:gd name="T18" fmla="+- 0 2227 2060"/>
                              <a:gd name="T19" fmla="*/ 2227 h 223"/>
                              <a:gd name="T20" fmla="+- 0 5728 5617"/>
                              <a:gd name="T21" fmla="*/ T20 w 1365"/>
                              <a:gd name="T22" fmla="+- 0 2227 2060"/>
                              <a:gd name="T23" fmla="*/ 2227 h 223"/>
                              <a:gd name="T24" fmla="+- 0 5728 5617"/>
                              <a:gd name="T25" fmla="*/ T24 w 1365"/>
                              <a:gd name="T26" fmla="+- 0 2283 2060"/>
                              <a:gd name="T27" fmla="*/ 2283 h 223"/>
                              <a:gd name="T28" fmla="+- 0 5617 5617"/>
                              <a:gd name="T29" fmla="*/ T28 w 1365"/>
                              <a:gd name="T30" fmla="+- 0 2172 2060"/>
                              <a:gd name="T31" fmla="*/ 2172 h 2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3">
                                <a:moveTo>
                                  <a:pt x="0" y="112"/>
                                </a:moveTo>
                                <a:lnTo>
                                  <a:pt x="111" y="0"/>
                                </a:lnTo>
                                <a:lnTo>
                                  <a:pt x="111" y="56"/>
                                </a:lnTo>
                                <a:lnTo>
                                  <a:pt x="1365" y="56"/>
                                </a:lnTo>
                                <a:lnTo>
                                  <a:pt x="1365" y="167"/>
                                </a:lnTo>
                                <a:lnTo>
                                  <a:pt x="111" y="167"/>
                                </a:lnTo>
                                <a:lnTo>
                                  <a:pt x="111" y="223"/>
                                </a:lnTo>
                                <a:lnTo>
                                  <a:pt x="0" y="11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Text Box 109"/>
                        <wps:cNvSpPr txBox="1">
                          <a:spLocks noChangeArrowheads="1"/>
                        </wps:cNvSpPr>
                        <wps:spPr bwMode="auto">
                          <a:xfrm>
                            <a:off x="7169" y="193"/>
                            <a:ext cx="19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2A98" w14:textId="77777777" w:rsidR="00335490" w:rsidRDefault="00335490" w:rsidP="00805016">
                              <w:pPr>
                                <w:spacing w:before="68" w:line="216" w:lineRule="auto"/>
                                <w:ind w:left="522" w:right="514" w:firstLine="14"/>
                                <w:rPr>
                                  <w:b/>
                                  <w:sz w:val="24"/>
                                </w:rPr>
                              </w:pPr>
                              <w:r>
                                <w:rPr>
                                  <w:b/>
                                  <w:color w:val="002069"/>
                                  <w:sz w:val="24"/>
                                </w:rPr>
                                <w:t xml:space="preserve">Privātais </w:t>
                              </w:r>
                              <w:r>
                                <w:rPr>
                                  <w:b/>
                                  <w:color w:val="002069"/>
                                  <w:w w:val="95"/>
                                  <w:sz w:val="24"/>
                                </w:rPr>
                                <w:t>partneris</w:t>
                              </w:r>
                            </w:p>
                            <w:p w14:paraId="5341E1A2" w14:textId="77777777" w:rsidR="00335490" w:rsidRDefault="00335490" w:rsidP="005E50CA">
                              <w:pPr>
                                <w:widowControl w:val="0"/>
                                <w:numPr>
                                  <w:ilvl w:val="0"/>
                                  <w:numId w:val="20"/>
                                </w:numPr>
                                <w:tabs>
                                  <w:tab w:val="left" w:pos="254"/>
                                </w:tabs>
                                <w:autoSpaceDE w:val="0"/>
                                <w:autoSpaceDN w:val="0"/>
                                <w:spacing w:before="74" w:after="0" w:line="240" w:lineRule="auto"/>
                                <w:rPr>
                                  <w:sz w:val="24"/>
                                </w:rPr>
                              </w:pPr>
                              <w:r>
                                <w:rPr>
                                  <w:color w:val="002069"/>
                                  <w:sz w:val="24"/>
                                </w:rPr>
                                <w:t>būvē</w:t>
                              </w:r>
                              <w:r>
                                <w:rPr>
                                  <w:color w:val="002069"/>
                                  <w:spacing w:val="-2"/>
                                  <w:sz w:val="24"/>
                                </w:rPr>
                                <w:t xml:space="preserve"> </w:t>
                              </w:r>
                              <w:r>
                                <w:rPr>
                                  <w:color w:val="002069"/>
                                  <w:sz w:val="24"/>
                                </w:rPr>
                                <w:t>aktīvu</w:t>
                              </w:r>
                            </w:p>
                            <w:p w14:paraId="2179EA95" w14:textId="77777777" w:rsidR="00335490" w:rsidRDefault="00335490" w:rsidP="005E50CA">
                              <w:pPr>
                                <w:widowControl w:val="0"/>
                                <w:numPr>
                                  <w:ilvl w:val="0"/>
                                  <w:numId w:val="20"/>
                                </w:numPr>
                                <w:tabs>
                                  <w:tab w:val="left" w:pos="254"/>
                                </w:tabs>
                                <w:autoSpaceDE w:val="0"/>
                                <w:autoSpaceDN w:val="0"/>
                                <w:spacing w:before="37" w:after="0" w:line="216" w:lineRule="auto"/>
                                <w:ind w:right="167"/>
                                <w:rPr>
                                  <w:sz w:val="24"/>
                                </w:rPr>
                              </w:pPr>
                              <w:r>
                                <w:rPr>
                                  <w:color w:val="002069"/>
                                  <w:sz w:val="24"/>
                                </w:rPr>
                                <w:t>nodrošina pakalpojumu un gūst</w:t>
                              </w:r>
                              <w:r>
                                <w:rPr>
                                  <w:color w:val="002069"/>
                                  <w:spacing w:val="-3"/>
                                  <w:sz w:val="24"/>
                                </w:rPr>
                                <w:t xml:space="preserve"> </w:t>
                              </w:r>
                              <w:r>
                                <w:rPr>
                                  <w:color w:val="002069"/>
                                  <w:sz w:val="24"/>
                                </w:rPr>
                                <w:t>ieņēmumus</w:t>
                              </w:r>
                            </w:p>
                          </w:txbxContent>
                        </wps:txbx>
                        <wps:bodyPr rot="0" vert="horz" wrap="square" lIns="0" tIns="0" rIns="0" bIns="0" anchor="t" anchorCtr="0" upright="1">
                          <a:noAutofit/>
                        </wps:bodyPr>
                      </wps:wsp>
                      <wps:wsp>
                        <wps:cNvPr id="731" name="Text Box 110"/>
                        <wps:cNvSpPr txBox="1">
                          <a:spLocks noChangeArrowheads="1"/>
                        </wps:cNvSpPr>
                        <wps:spPr bwMode="auto">
                          <a:xfrm>
                            <a:off x="5976" y="1645"/>
                            <a:ext cx="7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6F0B" w14:textId="77777777" w:rsidR="00335490" w:rsidRDefault="00335490" w:rsidP="00805016">
                              <w:pPr>
                                <w:spacing w:line="311" w:lineRule="exact"/>
                                <w:rPr>
                                  <w:sz w:val="28"/>
                                </w:rPr>
                              </w:pPr>
                              <w:r>
                                <w:rPr>
                                  <w:color w:val="002069"/>
                                  <w:sz w:val="28"/>
                                </w:rPr>
                                <w:t>Aktīvs</w:t>
                              </w:r>
                            </w:p>
                          </w:txbxContent>
                        </wps:txbx>
                        <wps:bodyPr rot="0" vert="horz" wrap="square" lIns="0" tIns="0" rIns="0" bIns="0" anchor="t" anchorCtr="0" upright="1">
                          <a:noAutofit/>
                        </wps:bodyPr>
                      </wps:wsp>
                      <wps:wsp>
                        <wps:cNvPr id="732" name="Text Box 111"/>
                        <wps:cNvSpPr txBox="1">
                          <a:spLocks noChangeArrowheads="1"/>
                        </wps:cNvSpPr>
                        <wps:spPr bwMode="auto">
                          <a:xfrm>
                            <a:off x="5861" y="841"/>
                            <a:ext cx="95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36AC" w14:textId="77777777" w:rsidR="00335490" w:rsidRDefault="00335490" w:rsidP="00805016">
                              <w:pPr>
                                <w:spacing w:line="311" w:lineRule="exact"/>
                                <w:rPr>
                                  <w:sz w:val="28"/>
                                </w:rPr>
                              </w:pPr>
                              <w:r>
                                <w:rPr>
                                  <w:color w:val="002069"/>
                                  <w:sz w:val="28"/>
                                </w:rPr>
                                <w:t>Tiesības</w:t>
                              </w:r>
                            </w:p>
                          </w:txbxContent>
                        </wps:txbx>
                        <wps:bodyPr rot="0" vert="horz" wrap="square" lIns="0" tIns="0" rIns="0" bIns="0" anchor="t" anchorCtr="0" upright="1">
                          <a:noAutofit/>
                        </wps:bodyPr>
                      </wps:wsp>
                      <wps:wsp>
                        <wps:cNvPr id="733" name="Text Box 112"/>
                        <wps:cNvSpPr txBox="1">
                          <a:spLocks noChangeArrowheads="1"/>
                        </wps:cNvSpPr>
                        <wps:spPr bwMode="auto">
                          <a:xfrm>
                            <a:off x="3509" y="193"/>
                            <a:ext cx="1972"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78F7" w14:textId="77777777" w:rsidR="00335490" w:rsidRDefault="00335490" w:rsidP="00805016">
                              <w:pPr>
                                <w:spacing w:before="46"/>
                                <w:ind w:left="183"/>
                                <w:rPr>
                                  <w:b/>
                                  <w:sz w:val="24"/>
                                </w:rPr>
                              </w:pPr>
                              <w:r>
                                <w:rPr>
                                  <w:b/>
                                  <w:color w:val="002069"/>
                                  <w:sz w:val="24"/>
                                </w:rPr>
                                <w:t>Budžeta iestāde</w:t>
                              </w:r>
                            </w:p>
                            <w:p w14:paraId="42A79497" w14:textId="77777777" w:rsidR="00335490" w:rsidRDefault="00335490" w:rsidP="005E50CA">
                              <w:pPr>
                                <w:widowControl w:val="0"/>
                                <w:numPr>
                                  <w:ilvl w:val="0"/>
                                  <w:numId w:val="19"/>
                                </w:numPr>
                                <w:tabs>
                                  <w:tab w:val="left" w:pos="253"/>
                                </w:tabs>
                                <w:autoSpaceDE w:val="0"/>
                                <w:autoSpaceDN w:val="0"/>
                                <w:spacing w:before="92" w:after="0" w:line="216" w:lineRule="auto"/>
                                <w:ind w:right="552"/>
                                <w:rPr>
                                  <w:sz w:val="24"/>
                                </w:rPr>
                              </w:pPr>
                              <w:r>
                                <w:rPr>
                                  <w:color w:val="002069"/>
                                  <w:sz w:val="24"/>
                                </w:rPr>
                                <w:t>kontrole</w:t>
                              </w:r>
                              <w:r>
                                <w:rPr>
                                  <w:color w:val="002069"/>
                                  <w:spacing w:val="-2"/>
                                  <w:sz w:val="24"/>
                                </w:rPr>
                                <w:t xml:space="preserve"> </w:t>
                              </w:r>
                              <w:r>
                                <w:rPr>
                                  <w:color w:val="002069"/>
                                  <w:sz w:val="24"/>
                                </w:rPr>
                                <w:t>pār aktīvu</w:t>
                              </w:r>
                            </w:p>
                            <w:p w14:paraId="31FC3E2C" w14:textId="77777777" w:rsidR="00335490" w:rsidRDefault="00335490" w:rsidP="005E50CA">
                              <w:pPr>
                                <w:widowControl w:val="0"/>
                                <w:numPr>
                                  <w:ilvl w:val="0"/>
                                  <w:numId w:val="19"/>
                                </w:numPr>
                                <w:tabs>
                                  <w:tab w:val="left" w:pos="253"/>
                                </w:tabs>
                                <w:autoSpaceDE w:val="0"/>
                                <w:autoSpaceDN w:val="0"/>
                                <w:spacing w:before="41" w:after="0" w:line="216" w:lineRule="auto"/>
                                <w:ind w:right="610"/>
                                <w:rPr>
                                  <w:sz w:val="24"/>
                                </w:rPr>
                              </w:pPr>
                              <w:r>
                                <w:rPr>
                                  <w:color w:val="002069"/>
                                  <w:sz w:val="24"/>
                                </w:rPr>
                                <w:t>piešķir privātajam partnerim tiesības gūt ieņēmumus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6C500" id="Group 88" o:spid="_x0000_s1058" style="position:absolute;left:0;text-align:left;margin-left:92.5pt;margin-top:4.25pt;width:451.9pt;height:134.2pt;z-index:251693056;mso-wrap-distance-left:0;mso-wrap-distance-right:0;mso-position-horizontal-relative:page" coordorigin="1820,184" coordsize="9038,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">
                <v:rect id="Rectangle 89" o:spid="_x0000_s1059" style="position:absolute;left:1821;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" fillcolor="#f1f1f1" stroked="f"/>
                <v:rect id="Rectangle 90" o:spid="_x0000_s1060" style="position:absolute;left:3509;top:193;width:19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" fillcolor="#b8cde4" stroked="f"/>
                <v:rect id="Rectangle 91" o:spid="_x0000_s1061" style="position:absolute;left:3509;top:193;width:19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" filled="f" strokecolor="white" strokeweight="1pt"/>
                <v:rect id="Rectangle 92" o:spid="_x0000_s1062" style="position:absolute;left:5480;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" fillcolor="#f1f1f1" stroked="f"/>
                <v:rect id="Rectangle 93" o:spid="_x0000_s1063" style="position:absolute;left:5480;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" filled="f" strokecolor="white" strokeweight="1pt"/>
                <v:rect id="Rectangle 94" o:spid="_x0000_s1064" style="position:absolute;left:7169;top:193;width:19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" fillcolor="#b8cde4" stroked="f"/>
                <v:rect id="Rectangle 95" o:spid="_x0000_s1065" style="position:absolute;left:7169;top:193;width:19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" filled="f" strokecolor="white" strokeweight="1pt"/>
                <v:rect id="Rectangle 96" o:spid="_x0000_s1066" style="position:absolute;left:9159;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" fillcolor="#f1f1f1" stroked="f"/>
                <v:rect id="Rectangle 97" o:spid="_x0000_s1067" style="position:absolute;left:9159;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" filled="f" strokecolor="white" strokeweight="1pt"/>
                <v:rect id="Rectangle 98" o:spid="_x0000_s1068" style="position:absolute;left:1820;top:2640;width:90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" fillcolor="#b8cde4" stroked="f"/>
                <v:shape id="AutoShape 99" o:spid="_x0000_s1069" style="position:absolute;left:9397;top:1394;width:623;height:717;visibility:visible;mso-wrap-style:square;v-text-anchor:top" coordsize="6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" path="m155,406l,580,155,717r,-78l229,617r69,-31l362,549r58,-44l443,483r-288,l155,406xm616,l600,76r-27,72l536,216r-45,62l437,334r-61,50l308,426r-73,33l155,483r288,l471,456r45,-55l554,342r29,-63l605,212r13,-69l622,72,616,xe" fillcolor="#5b9bd4" stroked="f">
                  <v:path arrowok="t" o:connecttype="custom" o:connectlocs="155,1801;0,1975;155,2112;155,2034;229,2012;298,1981;362,1944;420,1900;443,1878;155,1878;155,1801;616,1395;600,1471;573,1543;536,1611;491,1673;437,1729;376,1779;308,1821;235,1854;155,1878;443,1878;471,1851;516,1796;554,1737;583,1674;605,1607;618,1538;622,1467;616,1395" o:connectangles="0,0,0,0,0,0,0,0,0,0,0,0,0,0,0,0,0,0,0,0,0,0,0,0,0,0,0,0,0,0"/>
                </v:shape>
                <v:shape id="Freeform 100" o:spid="_x0000_s1070" style="position:absolute;left:9397;top:737;width:622;height:736;visibility:visible;mso-wrap-style:square;v-text-anchor:top" coordsize="6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" path="m,l,156r78,4l153,173r72,22l292,224r63,35l413,302r52,48l511,404r38,59l580,526r23,67l617,663r5,73l622,580r-5,-73l603,437,580,370,549,307,511,249,465,195,413,147,355,104,292,68,225,39,153,18,78,5,,xe" fillcolor="#487cab" stroked="f">
                  <v:path arrowok="t" o:connecttype="custom" o:connectlocs="0,737;0,893;78,897;153,910;225,932;292,961;355,996;413,1039;465,1087;511,1141;549,1200;580,1263;603,1330;617,1400;622,1473;622,1317;617,1244;603,1174;580,1107;549,1044;511,986;465,932;413,884;355,841;292,805;225,776;153,755;78,742;0,737" o:connectangles="0,0,0,0,0,0,0,0,0,0,0,0,0,0,0,0,0,0,0,0,0,0,0,0,0,0,0,0,0"/>
                </v:shape>
                <v:shape id="Freeform 101" o:spid="_x0000_s1071" style="position:absolute;left:9397;top:737;width:622;height:1375;visibility:visible;mso-wrap-style:square;v-text-anchor:top" coordsize="62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" path="m622,736r-5,-73l603,593,580,526,549,463,511,404,465,350,413,302,355,259,292,224,225,195,153,173,78,160,,156,,,78,5r75,13l225,39r67,29l355,104r58,43l465,195r46,54l549,307r31,63l603,437r14,70l622,580r,156l617,807r-13,69l581,942r-30,62l513,1063r-45,54l417,1166r-57,43l296,1245r-68,30l155,1297r,78l,1238,155,1064r,77l235,1117r73,-33l376,1042r61,-50l491,936r45,-62l573,806r27,-72l616,658e" filled="f" strokecolor="#41709c" strokeweight="1pt">
                  <v:path arrowok="t" o:connecttype="custom" o:connectlocs="622,1473;617,1400;603,1330;580,1263;549,1200;511,1141;465,1087;413,1039;355,996;292,961;225,932;153,910;78,897;0,893;0,737;78,742;153,755;225,776;292,805;355,841;413,884;465,932;511,986;549,1044;580,1107;603,1174;617,1244;622,1317;622,1473;617,1544;604,1613;581,1679;551,1741;513,1800;468,1854;417,1903;360,1946;296,1982;228,2012;155,2034;155,2112;0,1975;155,1801;155,1878;235,1854;308,1821;376,1779;437,1729;491,1673;536,1611;573,1543;600,1471;616,1395" o:connectangles="0,0,0,0,0,0,0,0,0,0,0,0,0,0,0,0,0,0,0,0,0,0,0,0,0,0,0,0,0,0,0,0,0,0,0,0,0,0,0,0,0,0,0,0,0,0,0,0,0,0,0,0,0"/>
                </v:shape>
                <v:shape id="AutoShape 102" o:spid="_x0000_s1072" style="position:absolute;left:2677;top:757;width:645;height:680;visibility:visible;mso-wrap-style:square;v-text-anchor:top" coordsize="64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" path="m484,r,81l406,102r-72,28l267,165r-60,41l153,253r-46,51l68,360,37,419,16,481,3,546,,612r7,67l26,610,54,545,93,484r47,-57l195,377r63,-45l327,294r76,-30l484,242r73,l645,144,484,xm557,242r-73,l484,323r73,-81xe" fillcolor="#5b9bd4" stroked="f">
                  <v:path arrowok="t" o:connecttype="custom" o:connectlocs="484,757;484,838;406,859;334,887;267,922;207,963;153,1010;107,1061;68,1117;37,1176;16,1238;3,1303;0,1369;7,1436;26,1367;54,1302;93,1241;140,1184;195,1134;258,1089;327,1051;403,1021;484,999;557,999;645,901;484,757;557,999;484,999;484,1080;557,999" o:connectangles="0,0,0,0,0,0,0,0,0,0,0,0,0,0,0,0,0,0,0,0,0,0,0,0,0,0,0,0,0,0"/>
                </v:shape>
                <v:shape id="Freeform 103" o:spid="_x0000_s1073" style="position:absolute;left:2677;top:1355;width:645;height:697;visibility:visible;mso-wrap-style:square;v-text-anchor:top" coordsize="64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" path="m,l,161r5,67l20,293r23,61l76,413r40,54l163,516r54,45l277,600r65,33l412,660r74,20l564,692r81,4l645,535r-81,-4l486,519,412,499,342,472,277,439,217,400,163,355,116,306,76,251,43,193,20,132,5,67,,xe" fillcolor="#487cab" stroked="f">
                  <v:path arrowok="t" o:connecttype="custom" o:connectlocs="0,1356;0,1517;5,1584;20,1649;43,1710;76,1769;116,1823;163,1872;217,1917;277,1956;342,1989;412,2016;486,2036;564,2048;645,2052;645,1891;564,1887;486,1875;412,1855;342,1828;277,1795;217,1756;163,1711;116,1662;76,1607;43,1549;20,1488;5,1423;0,1356" o:connectangles="0,0,0,0,0,0,0,0,0,0,0,0,0,0,0,0,0,0,0,0,0,0,0,0,0,0,0,0,0"/>
                </v:shape>
                <v:shape id="Freeform 104" o:spid="_x0000_s1074" style="position:absolute;left:2677;top:757;width:645;height:1295;visibility:visible;mso-wrap-style:square;v-text-anchor:top" coordsize="645,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" path="m,599r5,67l20,731r23,61l76,850r40,55l163,954r54,45l277,1038r65,33l412,1098r74,20l564,1130r81,4l645,1295r-81,-4l486,1279r-74,-20l342,1232r-65,-33l217,1160r-54,-45l116,1066,76,1012,43,953,20,892,5,827,,760,,599,6,527,23,457,51,391,88,329r47,-58l190,219r64,-46l324,135r77,-31l484,81,484,,645,144,484,323r,-81l403,264r-76,30l258,332r-63,45l140,427,93,484,54,545,26,610,7,679e" filled="f" strokecolor="#41709c" strokeweight="1pt">
                  <v:path arrowok="t" o:connecttype="custom" o:connectlocs="0,1356;5,1423;20,1488;43,1549;76,1607;116,1662;163,1711;217,1756;277,1795;342,1828;412,1855;486,1875;564,1887;645,1891;645,2052;564,2048;486,2036;412,2016;342,1989;277,1956;217,1917;163,1872;116,1823;76,1769;43,1710;20,1649;5,1584;0,1517;0,1356;6,1284;23,1214;51,1148;88,1086;135,1028;190,976;254,930;324,892;401,861;484,838;484,757;645,901;484,1080;484,999;403,1021;327,1051;258,1089;195,1134;140,1184;93,1241;54,1302;26,1367;7,1436" o:connectangles="0,0,0,0,0,0,0,0,0,0,0,0,0,0,0,0,0,0,0,0,0,0,0,0,0,0,0,0,0,0,0,0,0,0,0,0,0,0,0,0,0,0,0,0,0,0,0,0,0,0,0,0"/>
                </v:shape>
                <v:shape id="Freeform 105" o:spid="_x0000_s1075" style="position:absolute;left:5616;top:1290;width:1365;height:225;visibility:visible;mso-wrap-style:square;v-text-anchor:top" coordsize="13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" path="m1252,r,56l,56,,169r1252,l1252,225,1365,113,1252,xe" fillcolor="#5b9bd4" stroked="f">
                  <v:path arrowok="t" o:connecttype="custom" o:connectlocs="1252,1290;1252,1346;0,1346;0,1459;1252,1459;1252,1515;1365,1403;1252,1290" o:connectangles="0,0,0,0,0,0,0,0"/>
                </v:shape>
                <v:shape id="Freeform 106" o:spid="_x0000_s1076" style="position:absolute;left:5616;top:1290;width:1365;height:225;visibility:visible;mso-wrap-style:square;v-text-anchor:top" coordsize="13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" path="m,56r1252,l1252,r113,113l1252,225r,-56l,169,,56xe" filled="f" strokecolor="#41709c" strokeweight="1pt">
                  <v:path arrowok="t" o:connecttype="custom" o:connectlocs="0,1346;1252,1346;1252,1290;1365,1403;1252,1515;1252,1459;0,1459;0,1346" o:connectangles="0,0,0,0,0,0,0,0"/>
                </v:shape>
                <v:shape id="Freeform 107" o:spid="_x0000_s1077" style="position:absolute;left:5617;top:2060;width:1365;height:223;visibility:visible;mso-wrap-style:square;v-text-anchor:top" coordsize="13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" path="m111,l,112,111,223r,-56l1365,167r,-111l111,56,111,xe" fillcolor="#5b9bd4" stroked="f">
                  <v:path arrowok="t" o:connecttype="custom" o:connectlocs="111,2060;0,2172;111,2283;111,2227;1365,2227;1365,2116;111,2116;111,2060" o:connectangles="0,0,0,0,0,0,0,0"/>
                </v:shape>
                <v:shape id="Freeform 108" o:spid="_x0000_s1078" style="position:absolute;left:5617;top:2060;width:1365;height:223;visibility:visible;mso-wrap-style:square;v-text-anchor:top" coordsize="13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" path="m,112l111,r,56l1365,56r,111l111,167r,56l,112xe" filled="f" strokecolor="#41709c" strokeweight="1pt">
                  <v:path arrowok="t" o:connecttype="custom" o:connectlocs="0,2172;111,2060;111,2116;1365,2116;1365,2227;111,2227;111,2283;0,2172" o:connectangles="0,0,0,0,0,0,0,0"/>
                </v:shape>
                <v:shape id="Text Box 109" o:spid="_x0000_s1079" type="#_x0000_t202" style="position:absolute;left:7169;top:193;width:19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5EF2A98" w14:textId="77777777" w:rsidR="00335490" w:rsidRDefault="00335490" w:rsidP="00805016">
                        <w:pPr>
                          <w:spacing w:before="68" w:line="216" w:lineRule="auto"/>
                          <w:ind w:left="522" w:right="514" w:firstLine="14"/>
                          <w:rPr>
                            <w:b/>
                            <w:sz w:val="24"/>
                          </w:rPr>
                        </w:pPr>
                        <w:r>
                          <w:rPr>
                            <w:b/>
                            <w:color w:val="002069"/>
                            <w:sz w:val="24"/>
                          </w:rPr>
                          <w:t xml:space="preserve">Privātais </w:t>
                        </w:r>
                        <w:r>
                          <w:rPr>
                            <w:b/>
                            <w:color w:val="002069"/>
                            <w:w w:val="95"/>
                            <w:sz w:val="24"/>
                          </w:rPr>
                          <w:t>partneris</w:t>
                        </w:r>
                      </w:p>
                      <w:p w14:paraId="5341E1A2" w14:textId="77777777" w:rsidR="00335490" w:rsidRDefault="00335490" w:rsidP="005E50CA">
                        <w:pPr>
                          <w:widowControl w:val="0"/>
                          <w:numPr>
                            <w:ilvl w:val="0"/>
                            <w:numId w:val="20"/>
                          </w:numPr>
                          <w:tabs>
                            <w:tab w:val="left" w:pos="254"/>
                          </w:tabs>
                          <w:autoSpaceDE w:val="0"/>
                          <w:autoSpaceDN w:val="0"/>
                          <w:spacing w:before="74" w:after="0" w:line="240" w:lineRule="auto"/>
                          <w:rPr>
                            <w:sz w:val="24"/>
                          </w:rPr>
                        </w:pPr>
                        <w:r>
                          <w:rPr>
                            <w:color w:val="002069"/>
                            <w:sz w:val="24"/>
                          </w:rPr>
                          <w:t>būvē</w:t>
                        </w:r>
                        <w:r>
                          <w:rPr>
                            <w:color w:val="002069"/>
                            <w:spacing w:val="-2"/>
                            <w:sz w:val="24"/>
                          </w:rPr>
                          <w:t xml:space="preserve"> </w:t>
                        </w:r>
                        <w:r>
                          <w:rPr>
                            <w:color w:val="002069"/>
                            <w:sz w:val="24"/>
                          </w:rPr>
                          <w:t>aktīvu</w:t>
                        </w:r>
                      </w:p>
                      <w:p w14:paraId="2179EA95" w14:textId="77777777" w:rsidR="00335490" w:rsidRDefault="00335490" w:rsidP="005E50CA">
                        <w:pPr>
                          <w:widowControl w:val="0"/>
                          <w:numPr>
                            <w:ilvl w:val="0"/>
                            <w:numId w:val="20"/>
                          </w:numPr>
                          <w:tabs>
                            <w:tab w:val="left" w:pos="254"/>
                          </w:tabs>
                          <w:autoSpaceDE w:val="0"/>
                          <w:autoSpaceDN w:val="0"/>
                          <w:spacing w:before="37" w:after="0" w:line="216" w:lineRule="auto"/>
                          <w:ind w:right="167"/>
                          <w:rPr>
                            <w:sz w:val="24"/>
                          </w:rPr>
                        </w:pPr>
                        <w:r>
                          <w:rPr>
                            <w:color w:val="002069"/>
                            <w:sz w:val="24"/>
                          </w:rPr>
                          <w:t>nodrošina pakalpojumu un gūst</w:t>
                        </w:r>
                        <w:r>
                          <w:rPr>
                            <w:color w:val="002069"/>
                            <w:spacing w:val="-3"/>
                            <w:sz w:val="24"/>
                          </w:rPr>
                          <w:t xml:space="preserve"> </w:t>
                        </w:r>
                        <w:r>
                          <w:rPr>
                            <w:color w:val="002069"/>
                            <w:sz w:val="24"/>
                          </w:rPr>
                          <w:t>ieņēmumus</w:t>
                        </w:r>
                      </w:p>
                    </w:txbxContent>
                  </v:textbox>
                </v:shape>
                <v:shape id="Text Box 110" o:spid="_x0000_s1080" type="#_x0000_t202" style="position:absolute;left:5976;top:1645;width:77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0A8D6F0B" w14:textId="77777777" w:rsidR="00335490" w:rsidRDefault="00335490" w:rsidP="00805016">
                        <w:pPr>
                          <w:spacing w:line="311" w:lineRule="exact"/>
                          <w:rPr>
                            <w:sz w:val="28"/>
                          </w:rPr>
                        </w:pPr>
                        <w:r>
                          <w:rPr>
                            <w:color w:val="002069"/>
                            <w:sz w:val="28"/>
                          </w:rPr>
                          <w:t>Aktīvs</w:t>
                        </w:r>
                      </w:p>
                    </w:txbxContent>
                  </v:textbox>
                </v:shape>
                <v:shape id="Text Box 111" o:spid="_x0000_s1081" type="#_x0000_t202" style="position:absolute;left:5861;top:841;width:95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17B536AC" w14:textId="77777777" w:rsidR="00335490" w:rsidRDefault="00335490" w:rsidP="00805016">
                        <w:pPr>
                          <w:spacing w:line="311" w:lineRule="exact"/>
                          <w:rPr>
                            <w:sz w:val="28"/>
                          </w:rPr>
                        </w:pPr>
                        <w:r>
                          <w:rPr>
                            <w:color w:val="002069"/>
                            <w:sz w:val="28"/>
                          </w:rPr>
                          <w:t>Tiesības</w:t>
                        </w:r>
                      </w:p>
                    </w:txbxContent>
                  </v:textbox>
                </v:shape>
                <v:shape id="Text Box 112" o:spid="_x0000_s1082" type="#_x0000_t202" style="position:absolute;left:3509;top:193;width:19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FC278F7" w14:textId="77777777" w:rsidR="00335490" w:rsidRDefault="00335490" w:rsidP="00805016">
                        <w:pPr>
                          <w:spacing w:before="46"/>
                          <w:ind w:left="183"/>
                          <w:rPr>
                            <w:b/>
                            <w:sz w:val="24"/>
                          </w:rPr>
                        </w:pPr>
                        <w:r>
                          <w:rPr>
                            <w:b/>
                            <w:color w:val="002069"/>
                            <w:sz w:val="24"/>
                          </w:rPr>
                          <w:t>Budžeta iestāde</w:t>
                        </w:r>
                      </w:p>
                      <w:p w14:paraId="42A79497" w14:textId="77777777" w:rsidR="00335490" w:rsidRDefault="00335490" w:rsidP="005E50CA">
                        <w:pPr>
                          <w:widowControl w:val="0"/>
                          <w:numPr>
                            <w:ilvl w:val="0"/>
                            <w:numId w:val="19"/>
                          </w:numPr>
                          <w:tabs>
                            <w:tab w:val="left" w:pos="253"/>
                          </w:tabs>
                          <w:autoSpaceDE w:val="0"/>
                          <w:autoSpaceDN w:val="0"/>
                          <w:spacing w:before="92" w:after="0" w:line="216" w:lineRule="auto"/>
                          <w:ind w:right="552"/>
                          <w:rPr>
                            <w:sz w:val="24"/>
                          </w:rPr>
                        </w:pPr>
                        <w:r>
                          <w:rPr>
                            <w:color w:val="002069"/>
                            <w:sz w:val="24"/>
                          </w:rPr>
                          <w:t>kontrole</w:t>
                        </w:r>
                        <w:r>
                          <w:rPr>
                            <w:color w:val="002069"/>
                            <w:spacing w:val="-2"/>
                            <w:sz w:val="24"/>
                          </w:rPr>
                          <w:t xml:space="preserve"> </w:t>
                        </w:r>
                        <w:r>
                          <w:rPr>
                            <w:color w:val="002069"/>
                            <w:sz w:val="24"/>
                          </w:rPr>
                          <w:t>pār aktīvu</w:t>
                        </w:r>
                      </w:p>
                      <w:p w14:paraId="31FC3E2C" w14:textId="77777777" w:rsidR="00335490" w:rsidRDefault="00335490" w:rsidP="005E50CA">
                        <w:pPr>
                          <w:widowControl w:val="0"/>
                          <w:numPr>
                            <w:ilvl w:val="0"/>
                            <w:numId w:val="19"/>
                          </w:numPr>
                          <w:tabs>
                            <w:tab w:val="left" w:pos="253"/>
                          </w:tabs>
                          <w:autoSpaceDE w:val="0"/>
                          <w:autoSpaceDN w:val="0"/>
                          <w:spacing w:before="41" w:after="0" w:line="216" w:lineRule="auto"/>
                          <w:ind w:right="610"/>
                          <w:rPr>
                            <w:sz w:val="24"/>
                          </w:rPr>
                        </w:pPr>
                        <w:r>
                          <w:rPr>
                            <w:color w:val="002069"/>
                            <w:sz w:val="24"/>
                          </w:rPr>
                          <w:t>piešķir privātajam partnerim tiesības gūt ieņēmumus</w:t>
                        </w:r>
                      </w:p>
                    </w:txbxContent>
                  </v:textbox>
                </v:shape>
                <w10:wrap type="topAndBottom" anchorx="page"/>
              </v:group>
            </w:pict>
          </mc:Fallback>
        </mc:AlternateContent>
      </w:r>
    </w:p>
    <w:p w14:paraId="77A4C78B" w14:textId="77777777" w:rsidR="00805016" w:rsidRPr="00805016" w:rsidRDefault="00805016" w:rsidP="00CD363C">
      <w:pPr>
        <w:widowControl w:val="0"/>
        <w:tabs>
          <w:tab w:val="left" w:pos="3083"/>
        </w:tabs>
        <w:autoSpaceDE w:val="0"/>
        <w:autoSpaceDN w:val="0"/>
        <w:spacing w:after="0" w:line="240" w:lineRule="auto"/>
        <w:ind w:left="4112" w:right="107"/>
        <w:jc w:val="both"/>
        <w:rPr>
          <w:i/>
          <w:sz w:val="20"/>
        </w:rPr>
      </w:pPr>
      <w:r>
        <w:rPr>
          <w:i/>
          <w:sz w:val="20"/>
        </w:rPr>
        <w:t>4.</w:t>
      </w:r>
      <w:r w:rsidRPr="00805016">
        <w:rPr>
          <w:i/>
          <w:sz w:val="20"/>
        </w:rPr>
        <w:t>attēls. Privātajam partnerim piešķirto tiesību</w:t>
      </w:r>
      <w:r w:rsidRPr="00805016">
        <w:rPr>
          <w:i/>
          <w:spacing w:val="-1"/>
          <w:sz w:val="20"/>
        </w:rPr>
        <w:t xml:space="preserve"> </w:t>
      </w:r>
      <w:r w:rsidRPr="00805016">
        <w:rPr>
          <w:i/>
          <w:sz w:val="20"/>
        </w:rPr>
        <w:t>modelis</w:t>
      </w:r>
    </w:p>
    <w:p w14:paraId="078818CF" w14:textId="77777777" w:rsidR="00805016" w:rsidRPr="00805016" w:rsidRDefault="0080501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805016">
        <w:rPr>
          <w:rFonts w:ascii="Times New Roman" w:hAnsi="Times New Roman" w:cs="Times New Roman"/>
          <w:sz w:val="24"/>
          <w:szCs w:val="24"/>
        </w:rPr>
        <w:t xml:space="preserve">791.  Budžeta iestāde atzīst ieņēmumus </w:t>
      </w:r>
      <w:r w:rsidRPr="00805016">
        <w:rPr>
          <w:rFonts w:ascii="Times New Roman" w:hAnsi="Times New Roman" w:cs="Times New Roman"/>
          <w:sz w:val="24"/>
          <w:szCs w:val="24"/>
          <w:u w:val="single"/>
        </w:rPr>
        <w:t>lineāri</w:t>
      </w:r>
      <w:r w:rsidRPr="00805016">
        <w:rPr>
          <w:rFonts w:ascii="Times New Roman" w:hAnsi="Times New Roman" w:cs="Times New Roman"/>
          <w:sz w:val="24"/>
          <w:szCs w:val="24"/>
        </w:rPr>
        <w:t xml:space="preserve"> atbilstošajā periodā saskaņā ar līguma ekonomisko būtību, samazinot iepriekš atzītās saistības (nākamo periodu</w:t>
      </w:r>
      <w:r w:rsidRPr="00805016">
        <w:rPr>
          <w:rFonts w:ascii="Times New Roman" w:hAnsi="Times New Roman" w:cs="Times New Roman"/>
          <w:spacing w:val="-8"/>
          <w:sz w:val="24"/>
          <w:szCs w:val="24"/>
        </w:rPr>
        <w:t xml:space="preserve"> </w:t>
      </w:r>
      <w:r w:rsidRPr="00805016">
        <w:rPr>
          <w:rFonts w:ascii="Times New Roman" w:hAnsi="Times New Roman" w:cs="Times New Roman"/>
          <w:sz w:val="24"/>
          <w:szCs w:val="24"/>
        </w:rPr>
        <w:t>ieņēmumus).</w:t>
      </w:r>
    </w:p>
    <w:p w14:paraId="0B2C73AD" w14:textId="77777777" w:rsidR="00805016" w:rsidRPr="00805016" w:rsidRDefault="00805016"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r w:rsidRPr="00805016">
        <w:rPr>
          <w:rFonts w:ascii="Times New Roman" w:hAnsi="Times New Roman" w:cs="Times New Roman"/>
          <w:b/>
          <w:bCs/>
          <w:sz w:val="24"/>
          <w:szCs w:val="24"/>
        </w:rPr>
        <w:t xml:space="preserve">    D    5910   Nākamo periodu ieņēmumi un saņemtie avansi</w:t>
      </w:r>
    </w:p>
    <w:p w14:paraId="435E6959" w14:textId="77777777" w:rsidR="00805016" w:rsidRDefault="00805016"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r w:rsidRPr="00805016">
        <w:rPr>
          <w:rFonts w:ascii="Times New Roman" w:hAnsi="Times New Roman" w:cs="Times New Roman"/>
          <w:b/>
          <w:bCs/>
          <w:sz w:val="24"/>
          <w:szCs w:val="24"/>
        </w:rPr>
        <w:t xml:space="preserve">    K    6000   Pamatdarbības ieņēmumi</w:t>
      </w:r>
    </w:p>
    <w:p w14:paraId="17FC4956" w14:textId="77777777" w:rsidR="00F37ECE" w:rsidRDefault="00F37ECE"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p>
    <w:p w14:paraId="44961F17" w14:textId="77777777" w:rsidR="00805016" w:rsidRDefault="00F37ECE"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r>
        <w:rPr>
          <w:rFonts w:ascii="Times New Roman" w:hAnsi="Times New Roman" w:cs="Times New Roman"/>
          <w:b/>
          <w:bCs/>
          <w:sz w:val="24"/>
          <w:szCs w:val="24"/>
        </w:rPr>
        <w:t>19.8. Citi specifiski gadījumi</w:t>
      </w:r>
    </w:p>
    <w:p w14:paraId="4E338DB2" w14:textId="77777777" w:rsidR="00F37ECE" w:rsidRPr="00F37ECE" w:rsidRDefault="00F37ECE"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i/>
          <w:iCs/>
          <w:color w:val="1F3864" w:themeColor="accent1" w:themeShade="80"/>
          <w:sz w:val="24"/>
          <w:szCs w:val="24"/>
        </w:rPr>
      </w:pPr>
      <w:r w:rsidRPr="00F37ECE">
        <w:rPr>
          <w:rFonts w:ascii="Times New Roman" w:hAnsi="Times New Roman" w:cs="Times New Roman"/>
          <w:b/>
          <w:bCs/>
          <w:i/>
          <w:iCs/>
          <w:color w:val="1F3864" w:themeColor="accent1" w:themeShade="80"/>
          <w:sz w:val="24"/>
          <w:szCs w:val="24"/>
        </w:rPr>
        <w:t xml:space="preserve">             Līguma sadalīšana</w:t>
      </w:r>
    </w:p>
    <w:p w14:paraId="2ACFC56D"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792.  Ja līgumā paredzēta atlīdzība privātajam partnerim gan veicot maksājumus, gan piešķirot tiesības gūt ieņēmumus no partnerības aktīva vai cita ieņēmumus nesoša budžeta iestādes aktīva lietotājiem, budžeta iestāde uzskaita atsevišķi katru saistību</w:t>
      </w:r>
      <w:r w:rsidRPr="00F37ECE">
        <w:rPr>
          <w:rFonts w:ascii="Times New Roman" w:hAnsi="Times New Roman" w:cs="Times New Roman"/>
          <w:spacing w:val="-4"/>
          <w:sz w:val="24"/>
          <w:szCs w:val="24"/>
        </w:rPr>
        <w:t xml:space="preserve"> </w:t>
      </w:r>
      <w:r w:rsidRPr="00F37ECE">
        <w:rPr>
          <w:rFonts w:ascii="Times New Roman" w:hAnsi="Times New Roman" w:cs="Times New Roman"/>
          <w:sz w:val="24"/>
          <w:szCs w:val="24"/>
        </w:rPr>
        <w:t>daļu.</w:t>
      </w:r>
    </w:p>
    <w:p w14:paraId="7FD59F51"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793. Budžeta iestāde nodala finanšu saistību daļu, kas attiecas uz iepriekš noteiktu maksājumu veikšanu, un</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saistību</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(nākamo</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periodu</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ieņēmumu)</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daļu,</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kas</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attiecas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uz</w:t>
      </w:r>
      <w:r w:rsidRPr="00F37ECE">
        <w:rPr>
          <w:rFonts w:ascii="Times New Roman" w:hAnsi="Times New Roman" w:cs="Times New Roman"/>
          <w:spacing w:val="-17"/>
          <w:sz w:val="24"/>
          <w:szCs w:val="24"/>
        </w:rPr>
        <w:t xml:space="preserve"> </w:t>
      </w:r>
      <w:r w:rsidRPr="00F37ECE">
        <w:rPr>
          <w:rFonts w:ascii="Times New Roman" w:hAnsi="Times New Roman" w:cs="Times New Roman"/>
          <w:sz w:val="24"/>
          <w:szCs w:val="24"/>
        </w:rPr>
        <w:t>privātajam</w:t>
      </w:r>
      <w:r w:rsidRPr="00F37ECE">
        <w:rPr>
          <w:rFonts w:ascii="Times New Roman" w:hAnsi="Times New Roman" w:cs="Times New Roman"/>
          <w:spacing w:val="-18"/>
          <w:sz w:val="24"/>
          <w:szCs w:val="24"/>
        </w:rPr>
        <w:t xml:space="preserve"> </w:t>
      </w:r>
      <w:r w:rsidRPr="00F37ECE">
        <w:rPr>
          <w:rFonts w:ascii="Times New Roman" w:hAnsi="Times New Roman" w:cs="Times New Roman"/>
          <w:sz w:val="24"/>
          <w:szCs w:val="24"/>
        </w:rPr>
        <w:t>partnerim</w:t>
      </w:r>
      <w:r w:rsidRPr="00F37ECE">
        <w:rPr>
          <w:rFonts w:ascii="Times New Roman" w:hAnsi="Times New Roman" w:cs="Times New Roman"/>
          <w:spacing w:val="-19"/>
          <w:sz w:val="24"/>
          <w:szCs w:val="24"/>
        </w:rPr>
        <w:t xml:space="preserve"> </w:t>
      </w:r>
      <w:r w:rsidRPr="00F37ECE">
        <w:rPr>
          <w:rFonts w:ascii="Times New Roman" w:hAnsi="Times New Roman" w:cs="Times New Roman"/>
          <w:sz w:val="24"/>
          <w:szCs w:val="24"/>
        </w:rPr>
        <w:t>piešķirtām</w:t>
      </w:r>
      <w:r w:rsidRPr="00F37ECE">
        <w:rPr>
          <w:rFonts w:ascii="Times New Roman" w:hAnsi="Times New Roman" w:cs="Times New Roman"/>
          <w:spacing w:val="-18"/>
          <w:sz w:val="24"/>
          <w:szCs w:val="24"/>
        </w:rPr>
        <w:t xml:space="preserve"> </w:t>
      </w:r>
      <w:r w:rsidRPr="00F37ECE">
        <w:rPr>
          <w:rFonts w:ascii="Times New Roman" w:hAnsi="Times New Roman" w:cs="Times New Roman"/>
          <w:sz w:val="24"/>
          <w:szCs w:val="24"/>
        </w:rPr>
        <w:t>tiesībām gūt ieņēmumus no partnerības aktīva vai no cita ieņēmumus ienesoša budžeta iestādes aktīva lietotājiem.</w:t>
      </w:r>
    </w:p>
    <w:p w14:paraId="414DD386"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794.  Budžeta</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iestāde</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sākotnēji</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atzīst</w:t>
      </w:r>
      <w:r w:rsidRPr="00F37ECE">
        <w:rPr>
          <w:rFonts w:ascii="Times New Roman" w:hAnsi="Times New Roman" w:cs="Times New Roman"/>
          <w:spacing w:val="-2"/>
          <w:sz w:val="24"/>
          <w:szCs w:val="24"/>
        </w:rPr>
        <w:t xml:space="preserve"> </w:t>
      </w:r>
      <w:r w:rsidRPr="00F37ECE">
        <w:rPr>
          <w:rFonts w:ascii="Times New Roman" w:hAnsi="Times New Roman" w:cs="Times New Roman"/>
          <w:sz w:val="24"/>
          <w:szCs w:val="24"/>
        </w:rPr>
        <w:t>katru</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saistību</w:t>
      </w:r>
      <w:r w:rsidRPr="00F37ECE">
        <w:rPr>
          <w:rFonts w:ascii="Times New Roman" w:hAnsi="Times New Roman" w:cs="Times New Roman"/>
          <w:spacing w:val="-6"/>
          <w:sz w:val="24"/>
          <w:szCs w:val="24"/>
        </w:rPr>
        <w:t xml:space="preserve"> </w:t>
      </w:r>
      <w:r w:rsidRPr="00F37ECE">
        <w:rPr>
          <w:rFonts w:ascii="Times New Roman" w:hAnsi="Times New Roman" w:cs="Times New Roman"/>
          <w:sz w:val="24"/>
          <w:szCs w:val="24"/>
        </w:rPr>
        <w:t>daļu</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piešķirtās</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atlīdzības</w:t>
      </w:r>
      <w:r w:rsidRPr="00F37ECE">
        <w:rPr>
          <w:rFonts w:ascii="Times New Roman" w:hAnsi="Times New Roman" w:cs="Times New Roman"/>
          <w:spacing w:val="-3"/>
          <w:sz w:val="24"/>
          <w:szCs w:val="24"/>
        </w:rPr>
        <w:t xml:space="preserve"> </w:t>
      </w:r>
      <w:r w:rsidRPr="00F37ECE">
        <w:rPr>
          <w:rFonts w:ascii="Times New Roman" w:hAnsi="Times New Roman" w:cs="Times New Roman"/>
          <w:sz w:val="24"/>
          <w:szCs w:val="24"/>
        </w:rPr>
        <w:t>patiesajā</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vērtībā,</w:t>
      </w:r>
      <w:r w:rsidRPr="00F37ECE">
        <w:rPr>
          <w:rFonts w:ascii="Times New Roman" w:hAnsi="Times New Roman" w:cs="Times New Roman"/>
          <w:spacing w:val="-4"/>
          <w:sz w:val="24"/>
          <w:szCs w:val="24"/>
        </w:rPr>
        <w:t xml:space="preserve"> </w:t>
      </w:r>
      <w:r w:rsidRPr="00F37ECE">
        <w:rPr>
          <w:rFonts w:ascii="Times New Roman" w:hAnsi="Times New Roman" w:cs="Times New Roman"/>
          <w:sz w:val="24"/>
          <w:szCs w:val="24"/>
        </w:rPr>
        <w:t>kuru</w:t>
      </w:r>
      <w:r w:rsidRPr="00F37ECE">
        <w:rPr>
          <w:rFonts w:ascii="Times New Roman" w:hAnsi="Times New Roman" w:cs="Times New Roman"/>
          <w:spacing w:val="-6"/>
          <w:sz w:val="24"/>
          <w:szCs w:val="24"/>
        </w:rPr>
        <w:t xml:space="preserve"> </w:t>
      </w:r>
      <w:r w:rsidRPr="00F37ECE">
        <w:rPr>
          <w:rFonts w:ascii="Times New Roman" w:hAnsi="Times New Roman" w:cs="Times New Roman"/>
          <w:sz w:val="24"/>
          <w:szCs w:val="24"/>
        </w:rPr>
        <w:t>summa ir vienāda ar aktīva patieso</w:t>
      </w:r>
      <w:r w:rsidRPr="00F37ECE">
        <w:rPr>
          <w:rFonts w:ascii="Times New Roman" w:hAnsi="Times New Roman" w:cs="Times New Roman"/>
          <w:spacing w:val="-4"/>
          <w:sz w:val="24"/>
          <w:szCs w:val="24"/>
        </w:rPr>
        <w:t xml:space="preserve"> </w:t>
      </w:r>
      <w:r w:rsidRPr="00F37ECE">
        <w:rPr>
          <w:rFonts w:ascii="Times New Roman" w:hAnsi="Times New Roman" w:cs="Times New Roman"/>
          <w:sz w:val="24"/>
          <w:szCs w:val="24"/>
        </w:rPr>
        <w:t>vērtību.</w:t>
      </w:r>
    </w:p>
    <w:p w14:paraId="61B88123" w14:textId="77777777" w:rsidR="00F37ECE" w:rsidRPr="00F37ECE" w:rsidRDefault="00F37ECE" w:rsidP="00CD363C">
      <w:pPr>
        <w:pStyle w:val="Virsraksts4"/>
        <w:spacing w:before="0"/>
        <w:ind w:left="218" w:right="107"/>
        <w:jc w:val="both"/>
        <w:rPr>
          <w:color w:val="002069"/>
        </w:rPr>
      </w:pPr>
      <w:r w:rsidRPr="00F37ECE">
        <w:rPr>
          <w:color w:val="002069"/>
        </w:rPr>
        <w:t xml:space="preserve">       Citas saistības, garantijas, iespējamās saistības un iespējamie aktīvi</w:t>
      </w:r>
    </w:p>
    <w:p w14:paraId="7E3F0429"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F37ECE">
        <w:rPr>
          <w:rFonts w:ascii="Times New Roman" w:hAnsi="Times New Roman" w:cs="Times New Roman"/>
          <w:sz w:val="24"/>
          <w:szCs w:val="24"/>
        </w:rPr>
        <w:t>795.  Līgums var ietvert dažāda veida finanšu garantijas no budžeta iestādes puses</w:t>
      </w:r>
      <w:r w:rsidRPr="00F37ECE">
        <w:rPr>
          <w:rFonts w:ascii="Times New Roman" w:hAnsi="Times New Roman" w:cs="Times New Roman"/>
          <w:i/>
          <w:sz w:val="24"/>
          <w:szCs w:val="24"/>
        </w:rPr>
        <w:t>. Piemēram, līgums var paredzēt garantiju, nodrošinājumu vai zaudējumu atlīdzināšanu privātajam partnerim no budžeta iestādes puses attiecībā uz saistībām, kas privātajam partnerim var rasties, finansējot partnerības aktīva izveidi vai esoša aktīva uzlabojumu. Citos gadījumos līgums var paredzēt izpildes garantijas no budžeta iestādes puses, piemēram, nosakot minimālās ieņēmumu plūsmas garantiju privātajam partnerim, tai skaitā kompensāciju par ieņēmumu</w:t>
      </w:r>
      <w:r w:rsidRPr="00F37ECE">
        <w:rPr>
          <w:rFonts w:ascii="Times New Roman" w:hAnsi="Times New Roman" w:cs="Times New Roman"/>
          <w:i/>
          <w:spacing w:val="-3"/>
          <w:sz w:val="24"/>
          <w:szCs w:val="24"/>
        </w:rPr>
        <w:t xml:space="preserve"> </w:t>
      </w:r>
      <w:r w:rsidRPr="00F37ECE">
        <w:rPr>
          <w:rFonts w:ascii="Times New Roman" w:hAnsi="Times New Roman" w:cs="Times New Roman"/>
          <w:i/>
          <w:sz w:val="24"/>
          <w:szCs w:val="24"/>
        </w:rPr>
        <w:t>neizpildi.</w:t>
      </w:r>
    </w:p>
    <w:p w14:paraId="528FA10A"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796.  Ja budžeta iestādes izsniegtā garantija atbilst finanšu garantiju līguma definīcijai, budžeta iestāde garantiju uzskaitei piemēro grāmatvedības uzskaites kārtības sadaļā</w:t>
      </w:r>
      <w:r w:rsidRPr="00F37ECE">
        <w:rPr>
          <w:rFonts w:ascii="Times New Roman" w:hAnsi="Times New Roman" w:cs="Times New Roman"/>
          <w:color w:val="0462C1"/>
          <w:sz w:val="24"/>
          <w:szCs w:val="24"/>
        </w:rPr>
        <w:t xml:space="preserve"> </w:t>
      </w:r>
      <w:r w:rsidRPr="00F37ECE">
        <w:rPr>
          <w:rFonts w:ascii="Times New Roman" w:hAnsi="Times New Roman" w:cs="Times New Roman"/>
          <w:color w:val="0462C1"/>
          <w:sz w:val="24"/>
          <w:szCs w:val="24"/>
          <w:u w:val="single" w:color="0462C1"/>
        </w:rPr>
        <w:t>“</w:t>
      </w:r>
      <w:hyperlink w:anchor="_bookmark220" w:history="1">
        <w:r w:rsidRPr="00F37ECE">
          <w:rPr>
            <w:rFonts w:ascii="Times New Roman" w:hAnsi="Times New Roman" w:cs="Times New Roman"/>
            <w:color w:val="0462C1"/>
            <w:sz w:val="24"/>
            <w:szCs w:val="24"/>
            <w:u w:val="single" w:color="0462C1"/>
          </w:rPr>
          <w:t>Uzkrājumu, iespējamo saistību un iespējamo</w:t>
        </w:r>
      </w:hyperlink>
      <w:hyperlink w:anchor="_bookmark220" w:history="1">
        <w:r w:rsidRPr="00F37ECE">
          <w:rPr>
            <w:rFonts w:ascii="Times New Roman" w:hAnsi="Times New Roman" w:cs="Times New Roman"/>
            <w:color w:val="0462C1"/>
            <w:sz w:val="24"/>
            <w:szCs w:val="24"/>
            <w:u w:val="single" w:color="0462C1"/>
          </w:rPr>
          <w:t xml:space="preserve"> aktīvu uzskaite</w:t>
        </w:r>
      </w:hyperlink>
      <w:r w:rsidRPr="00F37ECE">
        <w:rPr>
          <w:rFonts w:ascii="Times New Roman" w:hAnsi="Times New Roman" w:cs="Times New Roman"/>
          <w:color w:val="0462C1"/>
          <w:sz w:val="24"/>
          <w:szCs w:val="24"/>
          <w:u w:val="single" w:color="0462C1"/>
        </w:rPr>
        <w:t>”</w:t>
      </w:r>
      <w:r w:rsidRPr="00F37ECE">
        <w:rPr>
          <w:rFonts w:ascii="Times New Roman" w:hAnsi="Times New Roman" w:cs="Times New Roman"/>
          <w:color w:val="0462C1"/>
          <w:sz w:val="24"/>
          <w:szCs w:val="24"/>
        </w:rPr>
        <w:t xml:space="preserve"> </w:t>
      </w:r>
      <w:r w:rsidRPr="00F37ECE">
        <w:rPr>
          <w:rFonts w:ascii="Times New Roman" w:hAnsi="Times New Roman" w:cs="Times New Roman"/>
          <w:sz w:val="24"/>
          <w:szCs w:val="24"/>
        </w:rPr>
        <w:t>noteiktās uzskaites</w:t>
      </w:r>
      <w:r w:rsidRPr="00F37ECE">
        <w:rPr>
          <w:rFonts w:ascii="Times New Roman" w:hAnsi="Times New Roman" w:cs="Times New Roman"/>
          <w:spacing w:val="-1"/>
          <w:sz w:val="24"/>
          <w:szCs w:val="24"/>
        </w:rPr>
        <w:t xml:space="preserve"> </w:t>
      </w:r>
      <w:r w:rsidRPr="00F37ECE">
        <w:rPr>
          <w:rFonts w:ascii="Times New Roman" w:hAnsi="Times New Roman" w:cs="Times New Roman"/>
          <w:sz w:val="24"/>
          <w:szCs w:val="24"/>
        </w:rPr>
        <w:t>prasības.</w:t>
      </w:r>
    </w:p>
    <w:p w14:paraId="6B21D81E" w14:textId="77777777" w:rsid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797.  Iespējamie aktīvi vai iespējamās saistības, kas varētu rasties sakarā ar strīdiem par līguma nosacījumiem, tiek uzskaitīti saskaņā ar grāmatvedības uzskaites kārtības sadaļā</w:t>
      </w:r>
      <w:r w:rsidRPr="00F37ECE">
        <w:rPr>
          <w:rFonts w:ascii="Times New Roman" w:hAnsi="Times New Roman" w:cs="Times New Roman"/>
          <w:color w:val="0462C1"/>
          <w:sz w:val="24"/>
          <w:szCs w:val="24"/>
        </w:rPr>
        <w:t xml:space="preserve"> </w:t>
      </w:r>
      <w:r w:rsidRPr="00F37ECE">
        <w:rPr>
          <w:rFonts w:ascii="Times New Roman" w:hAnsi="Times New Roman" w:cs="Times New Roman"/>
          <w:color w:val="0462C1"/>
          <w:sz w:val="24"/>
          <w:szCs w:val="24"/>
          <w:u w:val="single" w:color="0462C1"/>
        </w:rPr>
        <w:t>“</w:t>
      </w:r>
      <w:hyperlink w:anchor="_bookmark220" w:history="1">
        <w:r w:rsidRPr="00F37ECE">
          <w:rPr>
            <w:rFonts w:ascii="Times New Roman" w:hAnsi="Times New Roman" w:cs="Times New Roman"/>
            <w:color w:val="0462C1"/>
            <w:sz w:val="24"/>
            <w:szCs w:val="24"/>
            <w:u w:val="single" w:color="0462C1"/>
          </w:rPr>
          <w:t>Uzkrājumu, iespējamo saistību un</w:t>
        </w:r>
      </w:hyperlink>
      <w:hyperlink w:anchor="_bookmark220" w:history="1">
        <w:r w:rsidRPr="00F37ECE">
          <w:rPr>
            <w:rFonts w:ascii="Times New Roman" w:hAnsi="Times New Roman" w:cs="Times New Roman"/>
            <w:color w:val="0462C1"/>
            <w:sz w:val="24"/>
            <w:szCs w:val="24"/>
            <w:u w:val="single" w:color="0462C1"/>
          </w:rPr>
          <w:t xml:space="preserve"> iespējamo aktīvu uzskaite</w:t>
        </w:r>
      </w:hyperlink>
      <w:r w:rsidRPr="00F37ECE">
        <w:rPr>
          <w:rFonts w:ascii="Times New Roman" w:hAnsi="Times New Roman" w:cs="Times New Roman"/>
          <w:color w:val="0462C1"/>
          <w:sz w:val="24"/>
          <w:szCs w:val="24"/>
          <w:u w:val="single" w:color="0462C1"/>
        </w:rPr>
        <w:t>”</w:t>
      </w:r>
      <w:r w:rsidRPr="00F37ECE">
        <w:rPr>
          <w:rFonts w:ascii="Times New Roman" w:hAnsi="Times New Roman" w:cs="Times New Roman"/>
          <w:color w:val="0462C1"/>
          <w:sz w:val="24"/>
          <w:szCs w:val="24"/>
        </w:rPr>
        <w:t xml:space="preserve"> </w:t>
      </w:r>
      <w:r w:rsidRPr="00F37ECE">
        <w:rPr>
          <w:rFonts w:ascii="Times New Roman" w:hAnsi="Times New Roman" w:cs="Times New Roman"/>
          <w:sz w:val="24"/>
          <w:szCs w:val="24"/>
        </w:rPr>
        <w:t>noteiktajām uzskaites</w:t>
      </w:r>
      <w:r w:rsidRPr="00F37ECE">
        <w:rPr>
          <w:rFonts w:ascii="Times New Roman" w:hAnsi="Times New Roman" w:cs="Times New Roman"/>
          <w:spacing w:val="-9"/>
          <w:sz w:val="24"/>
          <w:szCs w:val="24"/>
        </w:rPr>
        <w:t xml:space="preserve"> </w:t>
      </w:r>
      <w:r w:rsidRPr="00F37ECE">
        <w:rPr>
          <w:rFonts w:ascii="Times New Roman" w:hAnsi="Times New Roman" w:cs="Times New Roman"/>
          <w:sz w:val="24"/>
          <w:szCs w:val="24"/>
        </w:rPr>
        <w:t>prasībām.</w:t>
      </w:r>
    </w:p>
    <w:p w14:paraId="0C6CEECA" w14:textId="77777777" w:rsid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b/>
          <w:bCs/>
          <w:i/>
          <w:iCs/>
          <w:color w:val="1F3864" w:themeColor="accent1" w:themeShade="80"/>
          <w:sz w:val="24"/>
          <w:szCs w:val="24"/>
        </w:rPr>
      </w:pPr>
      <w:r>
        <w:rPr>
          <w:rFonts w:ascii="Times New Roman" w:hAnsi="Times New Roman" w:cs="Times New Roman"/>
          <w:b/>
          <w:bCs/>
          <w:i/>
          <w:iCs/>
          <w:color w:val="1F3864" w:themeColor="accent1" w:themeShade="80"/>
          <w:sz w:val="24"/>
          <w:szCs w:val="24"/>
        </w:rPr>
        <w:t xml:space="preserve">          </w:t>
      </w:r>
      <w:r w:rsidRPr="00F37ECE">
        <w:rPr>
          <w:rFonts w:ascii="Times New Roman" w:hAnsi="Times New Roman" w:cs="Times New Roman"/>
          <w:b/>
          <w:bCs/>
          <w:i/>
          <w:iCs/>
          <w:color w:val="1F3864" w:themeColor="accent1" w:themeShade="80"/>
          <w:sz w:val="24"/>
          <w:szCs w:val="24"/>
        </w:rPr>
        <w:t>Citi ieņēmumi</w:t>
      </w:r>
    </w:p>
    <w:p w14:paraId="4A116079"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 xml:space="preserve"> 798.  Līgums</w:t>
      </w:r>
      <w:r w:rsidRPr="00F37ECE">
        <w:rPr>
          <w:rFonts w:ascii="Times New Roman" w:hAnsi="Times New Roman" w:cs="Times New Roman"/>
          <w:spacing w:val="-12"/>
          <w:sz w:val="24"/>
          <w:szCs w:val="24"/>
        </w:rPr>
        <w:t xml:space="preserve"> </w:t>
      </w:r>
      <w:r w:rsidRPr="00F37ECE">
        <w:rPr>
          <w:rFonts w:ascii="Times New Roman" w:hAnsi="Times New Roman" w:cs="Times New Roman"/>
          <w:sz w:val="24"/>
          <w:szCs w:val="24"/>
        </w:rPr>
        <w:t>var</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noteikt</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dažādus</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principus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un</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veidus,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kādā</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privātais</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partneris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var</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atlīdzināt</w:t>
      </w:r>
      <w:r w:rsidRPr="00F37ECE">
        <w:rPr>
          <w:rFonts w:ascii="Times New Roman" w:hAnsi="Times New Roman" w:cs="Times New Roman"/>
          <w:spacing w:val="-13"/>
          <w:sz w:val="24"/>
          <w:szCs w:val="24"/>
        </w:rPr>
        <w:t xml:space="preserve"> </w:t>
      </w:r>
      <w:r w:rsidRPr="00F37ECE">
        <w:rPr>
          <w:rFonts w:ascii="Times New Roman" w:hAnsi="Times New Roman" w:cs="Times New Roman"/>
          <w:sz w:val="24"/>
          <w:szCs w:val="24"/>
        </w:rPr>
        <w:t>budžeta</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iestādei par piekļuvi partnerības aktīvam, kā, piemēram:</w:t>
      </w:r>
    </w:p>
    <w:p w14:paraId="17AED86D" w14:textId="77777777" w:rsidR="00F37ECE" w:rsidRPr="00F37ECE" w:rsidRDefault="00F37ECE" w:rsidP="00CD363C">
      <w:pPr>
        <w:pStyle w:val="Sarakstarindkopa"/>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veicot avansa maksājumu vai vairākus</w:t>
      </w:r>
      <w:r w:rsidRPr="00F37ECE">
        <w:rPr>
          <w:rFonts w:ascii="Times New Roman" w:hAnsi="Times New Roman" w:cs="Times New Roman"/>
          <w:spacing w:val="1"/>
          <w:sz w:val="24"/>
          <w:szCs w:val="24"/>
        </w:rPr>
        <w:t xml:space="preserve"> </w:t>
      </w:r>
      <w:r w:rsidRPr="00F37ECE">
        <w:rPr>
          <w:rFonts w:ascii="Times New Roman" w:hAnsi="Times New Roman" w:cs="Times New Roman"/>
          <w:sz w:val="24"/>
          <w:szCs w:val="24"/>
        </w:rPr>
        <w:t>maksājumus;</w:t>
      </w:r>
    </w:p>
    <w:p w14:paraId="29B1989A" w14:textId="77777777" w:rsidR="00F37ECE" w:rsidRPr="00F37ECE" w:rsidRDefault="00F37ECE" w:rsidP="00CD363C">
      <w:pPr>
        <w:pStyle w:val="Sarakstarindkopa"/>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ievērojot gūto ieņēmumu sadales</w:t>
      </w:r>
      <w:r w:rsidRPr="00F37ECE">
        <w:rPr>
          <w:rFonts w:ascii="Times New Roman" w:hAnsi="Times New Roman" w:cs="Times New Roman"/>
          <w:spacing w:val="-3"/>
          <w:sz w:val="24"/>
          <w:szCs w:val="24"/>
        </w:rPr>
        <w:t xml:space="preserve"> </w:t>
      </w:r>
      <w:r w:rsidRPr="00F37ECE">
        <w:rPr>
          <w:rFonts w:ascii="Times New Roman" w:hAnsi="Times New Roman" w:cs="Times New Roman"/>
          <w:sz w:val="24"/>
          <w:szCs w:val="24"/>
        </w:rPr>
        <w:t>noteikumus;</w:t>
      </w:r>
    </w:p>
    <w:p w14:paraId="1D381EF8" w14:textId="77777777" w:rsidR="00F37ECE" w:rsidRPr="00F37ECE" w:rsidRDefault="00F37ECE" w:rsidP="00CD363C">
      <w:pPr>
        <w:pStyle w:val="Sarakstarindkopa"/>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samazinot budžeta iestādes veicamo maksājumu privātajam partnerim</w:t>
      </w:r>
      <w:r w:rsidRPr="00F37ECE">
        <w:rPr>
          <w:rFonts w:ascii="Times New Roman" w:hAnsi="Times New Roman" w:cs="Times New Roman"/>
          <w:spacing w:val="-11"/>
          <w:sz w:val="24"/>
          <w:szCs w:val="24"/>
        </w:rPr>
        <w:t xml:space="preserve"> </w:t>
      </w:r>
      <w:r w:rsidRPr="00F37ECE">
        <w:rPr>
          <w:rFonts w:ascii="Times New Roman" w:hAnsi="Times New Roman" w:cs="Times New Roman"/>
          <w:sz w:val="24"/>
          <w:szCs w:val="24"/>
        </w:rPr>
        <w:t>apmēru;</w:t>
      </w:r>
    </w:p>
    <w:p w14:paraId="0D08CD77" w14:textId="77777777" w:rsidR="00F37ECE" w:rsidRPr="00F37ECE" w:rsidRDefault="00F37ECE" w:rsidP="00CD363C">
      <w:pPr>
        <w:pStyle w:val="Sarakstarindkopa"/>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veicot nomas maksu budžeta iestādei par privātajam partnerim nodrošinātu piekļuvi ieņēmumus nesošam</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aktīvam.</w:t>
      </w:r>
    </w:p>
    <w:p w14:paraId="25BEF8A4" w14:textId="77777777" w:rsidR="00F37ECE" w:rsidRDefault="00F37ECE" w:rsidP="00CD363C">
      <w:pPr>
        <w:pStyle w:val="Virsraksts4"/>
        <w:spacing w:before="0"/>
        <w:ind w:left="0" w:right="107" w:firstLine="218"/>
        <w:jc w:val="both"/>
        <w:rPr>
          <w:b w:val="0"/>
          <w:bCs w:val="0"/>
          <w:i w:val="0"/>
          <w:iCs/>
        </w:rPr>
      </w:pPr>
      <w:r>
        <w:rPr>
          <w:b w:val="0"/>
          <w:bCs w:val="0"/>
          <w:i w:val="0"/>
          <w:iCs/>
        </w:rPr>
        <w:t xml:space="preserve">799.    </w:t>
      </w:r>
      <w:r w:rsidRPr="00F37ECE">
        <w:rPr>
          <w:b w:val="0"/>
          <w:bCs w:val="0"/>
          <w:i w:val="0"/>
          <w:iCs/>
        </w:rPr>
        <w:t xml:space="preserve">Budžeta iestāde ieņēmumus no līguma, izņemot tos ieņēmumus, kas uzskaitīti privātajam </w:t>
      </w:r>
      <w:r w:rsidR="000716E2">
        <w:rPr>
          <w:b w:val="0"/>
          <w:bCs w:val="0"/>
          <w:i w:val="0"/>
          <w:iCs/>
        </w:rPr>
        <w:t>p</w:t>
      </w:r>
      <w:r w:rsidRPr="00F37ECE">
        <w:rPr>
          <w:b w:val="0"/>
          <w:bCs w:val="0"/>
          <w:i w:val="0"/>
          <w:iCs/>
        </w:rPr>
        <w:t xml:space="preserve">artnerim piešķirto tiesību modeļa ietvaros, uzskaita saskaņā ar </w:t>
      </w:r>
      <w:r w:rsidR="000716E2">
        <w:rPr>
          <w:b w:val="0"/>
          <w:bCs w:val="0"/>
          <w:i w:val="0"/>
          <w:iCs/>
        </w:rPr>
        <w:t>Grāmatvedības uzskaites kārtības</w:t>
      </w:r>
      <w:r w:rsidRPr="00F37ECE">
        <w:rPr>
          <w:b w:val="0"/>
          <w:bCs w:val="0"/>
          <w:i w:val="0"/>
          <w:iCs/>
        </w:rPr>
        <w:t xml:space="preserve"> sadaļā</w:t>
      </w:r>
      <w:r w:rsidRPr="00F37ECE">
        <w:rPr>
          <w:b w:val="0"/>
          <w:bCs w:val="0"/>
          <w:i w:val="0"/>
          <w:iCs/>
          <w:color w:val="0462C1"/>
        </w:rPr>
        <w:t xml:space="preserve"> </w:t>
      </w:r>
      <w:r w:rsidRPr="00F37ECE">
        <w:rPr>
          <w:b w:val="0"/>
          <w:bCs w:val="0"/>
          <w:i w:val="0"/>
          <w:iCs/>
          <w:color w:val="0462C1"/>
          <w:u w:val="single" w:color="0462C1"/>
        </w:rPr>
        <w:t>“</w:t>
      </w:r>
      <w:hyperlink w:anchor="_bookmark408" w:history="1">
        <w:r w:rsidRPr="00F37ECE">
          <w:rPr>
            <w:b w:val="0"/>
            <w:bCs w:val="0"/>
            <w:i w:val="0"/>
            <w:iCs/>
            <w:color w:val="0462C1"/>
            <w:u w:val="single" w:color="0462C1"/>
          </w:rPr>
          <w:t>Ieņēmumu no</w:t>
        </w:r>
      </w:hyperlink>
      <w:hyperlink w:anchor="_bookmark408" w:history="1">
        <w:r w:rsidRPr="00F37ECE">
          <w:rPr>
            <w:b w:val="0"/>
            <w:bCs w:val="0"/>
            <w:i w:val="0"/>
            <w:iCs/>
            <w:color w:val="0462C1"/>
            <w:u w:val="single" w:color="0462C1"/>
          </w:rPr>
          <w:t xml:space="preserve"> darījumiem ar atlīdzību uzskaite</w:t>
        </w:r>
      </w:hyperlink>
      <w:r w:rsidRPr="00F37ECE">
        <w:rPr>
          <w:b w:val="0"/>
          <w:bCs w:val="0"/>
          <w:i w:val="0"/>
          <w:iCs/>
          <w:color w:val="0462C1"/>
          <w:u w:val="single" w:color="0462C1"/>
        </w:rPr>
        <w:t>”</w:t>
      </w:r>
      <w:r w:rsidRPr="00F37ECE">
        <w:rPr>
          <w:b w:val="0"/>
          <w:bCs w:val="0"/>
          <w:i w:val="0"/>
          <w:iCs/>
          <w:color w:val="0462C1"/>
        </w:rPr>
        <w:t xml:space="preserve"> </w:t>
      </w:r>
      <w:r w:rsidRPr="00F37ECE">
        <w:rPr>
          <w:b w:val="0"/>
          <w:bCs w:val="0"/>
          <w:i w:val="0"/>
          <w:iCs/>
        </w:rPr>
        <w:t>noteiktajām uzskaites prasībām. Budžeta iestāde nosaka ieņēmumu atzīšanas brīdi saskaņā ar līguma</w:t>
      </w:r>
      <w:r w:rsidRPr="00F37ECE">
        <w:rPr>
          <w:b w:val="0"/>
          <w:bCs w:val="0"/>
          <w:i w:val="0"/>
          <w:iCs/>
          <w:spacing w:val="-3"/>
        </w:rPr>
        <w:t xml:space="preserve"> </w:t>
      </w:r>
      <w:r w:rsidRPr="00F37ECE">
        <w:rPr>
          <w:b w:val="0"/>
          <w:bCs w:val="0"/>
          <w:i w:val="0"/>
          <w:iCs/>
        </w:rPr>
        <w:t>noteikumiem</w:t>
      </w:r>
      <w:r w:rsidR="000716E2">
        <w:rPr>
          <w:b w:val="0"/>
          <w:bCs w:val="0"/>
          <w:i w:val="0"/>
          <w:iCs/>
        </w:rPr>
        <w:t>.</w:t>
      </w:r>
    </w:p>
    <w:p w14:paraId="2A557E13"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716E2">
        <w:rPr>
          <w:rFonts w:ascii="Times New Roman" w:hAnsi="Times New Roman" w:cs="Times New Roman"/>
          <w:sz w:val="24"/>
          <w:szCs w:val="24"/>
        </w:rPr>
        <w:t>800.  Ja līgums nosaka, ka privātais partneris papildus maksai par partnerības aktīvu maksā atlīdzību (sākotnējā</w:t>
      </w:r>
      <w:r w:rsidRPr="000716E2">
        <w:rPr>
          <w:rFonts w:ascii="Times New Roman" w:hAnsi="Times New Roman" w:cs="Times New Roman"/>
          <w:spacing w:val="-7"/>
          <w:sz w:val="24"/>
          <w:szCs w:val="24"/>
        </w:rPr>
        <w:t xml:space="preserve"> </w:t>
      </w:r>
      <w:r w:rsidRPr="000716E2">
        <w:rPr>
          <w:rFonts w:ascii="Times New Roman" w:hAnsi="Times New Roman" w:cs="Times New Roman"/>
          <w:sz w:val="24"/>
          <w:szCs w:val="24"/>
        </w:rPr>
        <w:t>iemaksa</w:t>
      </w:r>
      <w:r w:rsidRPr="000716E2">
        <w:rPr>
          <w:rFonts w:ascii="Times New Roman" w:hAnsi="Times New Roman" w:cs="Times New Roman"/>
          <w:spacing w:val="-4"/>
          <w:sz w:val="24"/>
          <w:szCs w:val="24"/>
        </w:rPr>
        <w:t xml:space="preserve"> </w:t>
      </w:r>
      <w:r w:rsidRPr="000716E2">
        <w:rPr>
          <w:rFonts w:ascii="Times New Roman" w:hAnsi="Times New Roman" w:cs="Times New Roman"/>
          <w:sz w:val="24"/>
          <w:szCs w:val="24"/>
        </w:rPr>
        <w:t>vai</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cita</w:t>
      </w:r>
      <w:r w:rsidRPr="000716E2">
        <w:rPr>
          <w:rFonts w:ascii="Times New Roman" w:hAnsi="Times New Roman" w:cs="Times New Roman"/>
          <w:spacing w:val="-9"/>
          <w:sz w:val="24"/>
          <w:szCs w:val="24"/>
        </w:rPr>
        <w:t xml:space="preserve"> </w:t>
      </w:r>
      <w:r w:rsidRPr="000716E2">
        <w:rPr>
          <w:rFonts w:ascii="Times New Roman" w:hAnsi="Times New Roman" w:cs="Times New Roman"/>
          <w:sz w:val="24"/>
          <w:szCs w:val="24"/>
        </w:rPr>
        <w:t>veida</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atlīdzība)</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budžeta</w:t>
      </w:r>
      <w:r w:rsidRPr="000716E2">
        <w:rPr>
          <w:rFonts w:ascii="Times New Roman" w:hAnsi="Times New Roman" w:cs="Times New Roman"/>
          <w:spacing w:val="-9"/>
          <w:sz w:val="24"/>
          <w:szCs w:val="24"/>
        </w:rPr>
        <w:t xml:space="preserve"> </w:t>
      </w:r>
      <w:r w:rsidRPr="000716E2">
        <w:rPr>
          <w:rFonts w:ascii="Times New Roman" w:hAnsi="Times New Roman" w:cs="Times New Roman"/>
          <w:sz w:val="24"/>
          <w:szCs w:val="24"/>
        </w:rPr>
        <w:t>iestādei</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par</w:t>
      </w:r>
      <w:r w:rsidRPr="000716E2">
        <w:rPr>
          <w:rFonts w:ascii="Times New Roman" w:hAnsi="Times New Roman" w:cs="Times New Roman"/>
          <w:spacing w:val="-5"/>
          <w:sz w:val="24"/>
          <w:szCs w:val="24"/>
        </w:rPr>
        <w:t xml:space="preserve"> </w:t>
      </w:r>
      <w:r w:rsidRPr="000716E2">
        <w:rPr>
          <w:rFonts w:ascii="Times New Roman" w:hAnsi="Times New Roman" w:cs="Times New Roman"/>
          <w:sz w:val="24"/>
          <w:szCs w:val="24"/>
        </w:rPr>
        <w:t>piešķirtajām</w:t>
      </w:r>
      <w:r w:rsidRPr="000716E2">
        <w:rPr>
          <w:rFonts w:ascii="Times New Roman" w:hAnsi="Times New Roman" w:cs="Times New Roman"/>
          <w:spacing w:val="-10"/>
          <w:sz w:val="24"/>
          <w:szCs w:val="24"/>
        </w:rPr>
        <w:t xml:space="preserve"> </w:t>
      </w:r>
      <w:r w:rsidRPr="000716E2">
        <w:rPr>
          <w:rFonts w:ascii="Times New Roman" w:hAnsi="Times New Roman" w:cs="Times New Roman"/>
          <w:sz w:val="24"/>
          <w:szCs w:val="24"/>
        </w:rPr>
        <w:t>tiesībām</w:t>
      </w:r>
      <w:r w:rsidRPr="000716E2">
        <w:rPr>
          <w:rFonts w:ascii="Times New Roman" w:hAnsi="Times New Roman" w:cs="Times New Roman"/>
          <w:spacing w:val="-8"/>
          <w:sz w:val="24"/>
          <w:szCs w:val="24"/>
        </w:rPr>
        <w:t xml:space="preserve"> </w:t>
      </w:r>
      <w:r w:rsidRPr="000716E2">
        <w:rPr>
          <w:rFonts w:ascii="Times New Roman" w:hAnsi="Times New Roman" w:cs="Times New Roman"/>
          <w:sz w:val="24"/>
          <w:szCs w:val="24"/>
        </w:rPr>
        <w:t>gūt</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ieņēmumus no partnerības aktīva lietotājiem vai no cita ieņēmumus nesoša aktīva, budžeta iestāde atzīst saistības attiecībā uz to no privātā partnera saņemto maksājumu daļu, kas attiecināma uz nākamajiem pārskata periodiem (nosacījumu īstenošanās gaidāma nākamajos pārskata periodos), līdz tiek izpildīti ieņēmumu atzīšanas</w:t>
      </w:r>
      <w:r w:rsidRPr="000716E2">
        <w:rPr>
          <w:rFonts w:ascii="Times New Roman" w:hAnsi="Times New Roman" w:cs="Times New Roman"/>
          <w:spacing w:val="-1"/>
          <w:sz w:val="24"/>
          <w:szCs w:val="24"/>
        </w:rPr>
        <w:t xml:space="preserve"> </w:t>
      </w:r>
      <w:r w:rsidRPr="000716E2">
        <w:rPr>
          <w:rFonts w:ascii="Times New Roman" w:hAnsi="Times New Roman" w:cs="Times New Roman"/>
          <w:sz w:val="24"/>
          <w:szCs w:val="24"/>
        </w:rPr>
        <w:t>kritēriji.</w:t>
      </w:r>
    </w:p>
    <w:p w14:paraId="2CD27838" w14:textId="77777777" w:rsidR="000716E2" w:rsidRPr="000716E2" w:rsidRDefault="000716E2" w:rsidP="00CD363C">
      <w:pPr>
        <w:widowControl w:val="0"/>
        <w:autoSpaceDE w:val="0"/>
        <w:autoSpaceDN w:val="0"/>
        <w:spacing w:after="0" w:line="240" w:lineRule="auto"/>
        <w:ind w:right="107"/>
        <w:jc w:val="both"/>
        <w:rPr>
          <w:rFonts w:ascii="Times New Roman" w:eastAsia="Times New Roman" w:hAnsi="Times New Roman" w:cs="Times New Roman"/>
          <w:i/>
          <w:sz w:val="24"/>
          <w:szCs w:val="24"/>
          <w:lang w:val="lv" w:eastAsia="lv"/>
        </w:rPr>
      </w:pPr>
      <w:r w:rsidRPr="000716E2">
        <w:rPr>
          <w:rFonts w:ascii="Times New Roman" w:eastAsia="Times New Roman" w:hAnsi="Times New Roman" w:cs="Times New Roman"/>
          <w:i/>
          <w:sz w:val="24"/>
          <w:szCs w:val="24"/>
          <w:lang w:val="lv" w:eastAsia="lv"/>
        </w:rPr>
        <w:t>Avansa maksājuma saņemšanas dienā budžeta iestāde atzīst saistības:</w:t>
      </w:r>
    </w:p>
    <w:p w14:paraId="215AC39A"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lang w:val="lv"/>
        </w:rPr>
      </w:pPr>
      <w:r w:rsidRPr="000716E2">
        <w:rPr>
          <w:rFonts w:ascii="Times New Roman" w:hAnsi="Times New Roman" w:cs="Times New Roman"/>
          <w:b/>
          <w:bCs/>
          <w:sz w:val="24"/>
          <w:szCs w:val="24"/>
          <w:lang w:val="lv"/>
        </w:rPr>
        <w:t xml:space="preserve">    D    2600   Naudas līdzekļi</w:t>
      </w:r>
    </w:p>
    <w:p w14:paraId="320EBAD2"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lang w:val="lv"/>
        </w:rPr>
      </w:pPr>
      <w:r w:rsidRPr="000716E2">
        <w:rPr>
          <w:rFonts w:ascii="Times New Roman" w:hAnsi="Times New Roman" w:cs="Times New Roman"/>
          <w:b/>
          <w:bCs/>
          <w:sz w:val="24"/>
          <w:szCs w:val="24"/>
          <w:lang w:val="lv"/>
        </w:rPr>
        <w:t xml:space="preserve">    K    5100   Ilgtermiņa saistības</w:t>
      </w:r>
    </w:p>
    <w:p w14:paraId="7A21D5E3"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lang w:val="lv"/>
        </w:rPr>
      </w:pPr>
      <w:r w:rsidRPr="000716E2">
        <w:rPr>
          <w:rFonts w:ascii="Times New Roman" w:hAnsi="Times New Roman" w:cs="Times New Roman"/>
          <w:b/>
          <w:bCs/>
          <w:sz w:val="24"/>
          <w:szCs w:val="24"/>
          <w:lang w:val="lv"/>
        </w:rPr>
        <w:t xml:space="preserve">    K    5910   Nākamo periodu ieņēmumi un saņemtie avansi</w:t>
      </w:r>
    </w:p>
    <w:p w14:paraId="7F17703A" w14:textId="77777777" w:rsidR="000716E2" w:rsidRPr="000716E2" w:rsidRDefault="000716E2" w:rsidP="00CD363C">
      <w:pPr>
        <w:spacing w:after="0" w:line="240" w:lineRule="auto"/>
        <w:ind w:right="107"/>
        <w:jc w:val="both"/>
        <w:rPr>
          <w:rFonts w:ascii="Times New Roman" w:hAnsi="Times New Roman" w:cs="Times New Roman"/>
          <w:i/>
          <w:sz w:val="24"/>
          <w:szCs w:val="24"/>
        </w:rPr>
      </w:pPr>
      <w:r w:rsidRPr="000716E2">
        <w:rPr>
          <w:rFonts w:ascii="Times New Roman" w:hAnsi="Times New Roman" w:cs="Times New Roman"/>
          <w:i/>
          <w:sz w:val="24"/>
          <w:szCs w:val="24"/>
        </w:rPr>
        <w:t>Dienā, kad izpildīti ieņēmumu atzīšanas kritēriji, budžeta iestāde samazina saistības un atzīst ieņēmumus, grāmatojot:</w:t>
      </w:r>
    </w:p>
    <w:p w14:paraId="4139708F" w14:textId="77777777" w:rsidR="000716E2" w:rsidRPr="000716E2" w:rsidRDefault="000716E2" w:rsidP="00CD363C">
      <w:pPr>
        <w:spacing w:after="0" w:line="240" w:lineRule="auto"/>
        <w:ind w:right="107"/>
        <w:jc w:val="both"/>
        <w:rPr>
          <w:rFonts w:ascii="Times New Roman" w:hAnsi="Times New Roman" w:cs="Times New Roman"/>
          <w:b/>
          <w:bCs/>
          <w:iCs/>
          <w:sz w:val="24"/>
          <w:szCs w:val="24"/>
        </w:rPr>
      </w:pPr>
      <w:r w:rsidRPr="000716E2">
        <w:rPr>
          <w:rFonts w:ascii="Times New Roman" w:hAnsi="Times New Roman" w:cs="Times New Roman"/>
          <w:iCs/>
          <w:sz w:val="24"/>
          <w:szCs w:val="24"/>
        </w:rPr>
        <w:t xml:space="preserve">    </w:t>
      </w:r>
      <w:r w:rsidRPr="000716E2">
        <w:rPr>
          <w:rFonts w:ascii="Times New Roman" w:hAnsi="Times New Roman" w:cs="Times New Roman"/>
          <w:b/>
          <w:bCs/>
          <w:iCs/>
          <w:sz w:val="24"/>
          <w:szCs w:val="24"/>
        </w:rPr>
        <w:t>D    5910   Nākamo periodu ieņēmumi un saņemtie avansi</w:t>
      </w:r>
    </w:p>
    <w:p w14:paraId="539FF1CB" w14:textId="77777777" w:rsidR="000716E2" w:rsidRDefault="000716E2" w:rsidP="00CD363C">
      <w:pPr>
        <w:spacing w:after="0" w:line="240" w:lineRule="auto"/>
        <w:ind w:right="107"/>
        <w:jc w:val="both"/>
        <w:rPr>
          <w:rFonts w:ascii="Times New Roman" w:hAnsi="Times New Roman" w:cs="Times New Roman"/>
          <w:b/>
          <w:bCs/>
          <w:iCs/>
          <w:sz w:val="24"/>
          <w:szCs w:val="24"/>
        </w:rPr>
      </w:pPr>
      <w:r w:rsidRPr="000716E2">
        <w:rPr>
          <w:rFonts w:ascii="Times New Roman" w:hAnsi="Times New Roman" w:cs="Times New Roman"/>
          <w:b/>
          <w:bCs/>
          <w:iCs/>
          <w:sz w:val="24"/>
          <w:szCs w:val="24"/>
        </w:rPr>
        <w:t xml:space="preserve">    K    6000   Pamatdarbības ieņēmumi</w:t>
      </w:r>
    </w:p>
    <w:p w14:paraId="3A0BDC67" w14:textId="77777777" w:rsidR="000716E2" w:rsidRPr="000C00DE"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0C00DE">
        <w:rPr>
          <w:rFonts w:ascii="Times New Roman" w:hAnsi="Times New Roman" w:cs="Times New Roman"/>
          <w:sz w:val="24"/>
          <w:szCs w:val="24"/>
        </w:rPr>
        <w:t>801.  Tā kā privātās un publiskās partnerības līgumi var ietvert visai atšķirīga veida aktīvus, kā arī var atšķirties līgumu darbības laiks, iespējamas alternatīvas metodes (papildus ieņēmumu lineārās atzīšanas</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metodei)</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tādu</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ieņēmumu</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atzīšanai,</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kas</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attiecināmi</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uz</w:t>
      </w:r>
      <w:r w:rsidRPr="000C00DE">
        <w:rPr>
          <w:rFonts w:ascii="Times New Roman" w:hAnsi="Times New Roman" w:cs="Times New Roman"/>
          <w:spacing w:val="-7"/>
          <w:sz w:val="24"/>
          <w:szCs w:val="24"/>
        </w:rPr>
        <w:t xml:space="preserve"> </w:t>
      </w:r>
      <w:r w:rsidRPr="000C00DE">
        <w:rPr>
          <w:rFonts w:ascii="Times New Roman" w:hAnsi="Times New Roman" w:cs="Times New Roman"/>
          <w:sz w:val="24"/>
          <w:szCs w:val="24"/>
        </w:rPr>
        <w:t>līgumā</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noteikto</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ienākošo</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 xml:space="preserve">maksājumu plūsmu. Budžeta iestāde izvēlas atbilstošu ieņēmumu atzīšanas metodi, kas precīzāk uzrāda aktīva saimniecisko patēriņu un/vai naudas vērtības izmaiņas laika faktora ietekmē, kas saistītas ar privātajam partnerim piešķirto piekļuvi partnerības aktīvam. Budžeta iestāde izstrādā metodi ieņēmumu atzīšanai, kas būtu saskaņota ar resursu plūsmām no partnerības aktīva izmantošanas. </w:t>
      </w:r>
      <w:r w:rsidRPr="000C00DE">
        <w:rPr>
          <w:rFonts w:ascii="Times New Roman" w:hAnsi="Times New Roman" w:cs="Times New Roman"/>
          <w:i/>
          <w:sz w:val="24"/>
          <w:szCs w:val="24"/>
        </w:rPr>
        <w:t>Piemēram, anuitātes metode, kurā izmanto salikto procentu likmi, kas ieņēmumus atzīst vienmērīgāk pēc tā diskontētās, nevis nominālās vērtības, var būt piemērotāka tāda līguma gadījumā, kuras darbības termiņš ir vairāki gadu</w:t>
      </w:r>
      <w:r w:rsidRPr="000C00DE">
        <w:rPr>
          <w:rFonts w:ascii="Times New Roman" w:hAnsi="Times New Roman" w:cs="Times New Roman"/>
          <w:i/>
          <w:spacing w:val="-7"/>
          <w:sz w:val="24"/>
          <w:szCs w:val="24"/>
        </w:rPr>
        <w:t xml:space="preserve"> </w:t>
      </w:r>
      <w:r w:rsidRPr="000C00DE">
        <w:rPr>
          <w:rFonts w:ascii="Times New Roman" w:hAnsi="Times New Roman" w:cs="Times New Roman"/>
          <w:i/>
          <w:sz w:val="24"/>
          <w:szCs w:val="24"/>
        </w:rPr>
        <w:t>desmiti.</w:t>
      </w:r>
    </w:p>
    <w:p w14:paraId="74132538" w14:textId="77777777" w:rsidR="000716E2"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0C00DE">
        <w:rPr>
          <w:rFonts w:ascii="Times New Roman" w:hAnsi="Times New Roman" w:cs="Times New Roman"/>
          <w:sz w:val="24"/>
          <w:szCs w:val="24"/>
        </w:rPr>
        <w:t xml:space="preserve">802.  </w:t>
      </w:r>
      <w:r w:rsidR="000716E2" w:rsidRPr="000C00DE">
        <w:rPr>
          <w:rFonts w:ascii="Times New Roman" w:hAnsi="Times New Roman" w:cs="Times New Roman"/>
          <w:sz w:val="24"/>
          <w:szCs w:val="24"/>
        </w:rPr>
        <w:t xml:space="preserve">Ja budžeta iestāde saņem no privātā partnera avansa maksājumu, tā atzīst ieņēmumus tādā veidā, lai visprecīzāk uzrādītu darījuma būtību </w:t>
      </w:r>
      <w:r w:rsidR="000716E2" w:rsidRPr="000C00DE">
        <w:rPr>
          <w:rFonts w:ascii="Times New Roman" w:hAnsi="Times New Roman" w:cs="Times New Roman"/>
          <w:i/>
          <w:sz w:val="24"/>
          <w:szCs w:val="24"/>
        </w:rPr>
        <w:t>Piemēram, ja privātajam partnerim visā līguma darbības laikā jāveic</w:t>
      </w:r>
      <w:r w:rsidR="000716E2" w:rsidRPr="000C00DE">
        <w:rPr>
          <w:rFonts w:ascii="Times New Roman" w:hAnsi="Times New Roman" w:cs="Times New Roman"/>
          <w:i/>
          <w:spacing w:val="-7"/>
          <w:sz w:val="24"/>
          <w:szCs w:val="24"/>
        </w:rPr>
        <w:t xml:space="preserve"> </w:t>
      </w:r>
      <w:r w:rsidR="000716E2" w:rsidRPr="000C00DE">
        <w:rPr>
          <w:rFonts w:ascii="Times New Roman" w:hAnsi="Times New Roman" w:cs="Times New Roman"/>
          <w:i/>
          <w:sz w:val="24"/>
          <w:szCs w:val="24"/>
        </w:rPr>
        <w:t>ikgadējas</w:t>
      </w:r>
      <w:r w:rsidR="000716E2" w:rsidRPr="000C00DE">
        <w:rPr>
          <w:rFonts w:ascii="Times New Roman" w:hAnsi="Times New Roman" w:cs="Times New Roman"/>
          <w:i/>
          <w:spacing w:val="-8"/>
          <w:sz w:val="24"/>
          <w:szCs w:val="24"/>
        </w:rPr>
        <w:t xml:space="preserve"> </w:t>
      </w:r>
      <w:r w:rsidR="000716E2" w:rsidRPr="000C00DE">
        <w:rPr>
          <w:rFonts w:ascii="Times New Roman" w:hAnsi="Times New Roman" w:cs="Times New Roman"/>
          <w:i/>
          <w:sz w:val="24"/>
          <w:szCs w:val="24"/>
        </w:rPr>
        <w:t>iemaksas</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vai</w:t>
      </w:r>
      <w:r w:rsidR="000716E2" w:rsidRPr="000C00DE">
        <w:rPr>
          <w:rFonts w:ascii="Times New Roman" w:hAnsi="Times New Roman" w:cs="Times New Roman"/>
          <w:i/>
          <w:spacing w:val="-6"/>
          <w:sz w:val="24"/>
          <w:szCs w:val="24"/>
        </w:rPr>
        <w:t xml:space="preserve"> </w:t>
      </w:r>
      <w:r w:rsidR="000716E2" w:rsidRPr="000C00DE">
        <w:rPr>
          <w:rFonts w:ascii="Times New Roman" w:hAnsi="Times New Roman" w:cs="Times New Roman"/>
          <w:i/>
          <w:sz w:val="24"/>
          <w:szCs w:val="24"/>
        </w:rPr>
        <w:t>iepriekš</w:t>
      </w:r>
      <w:r w:rsidR="000716E2" w:rsidRPr="000C00DE">
        <w:rPr>
          <w:rFonts w:ascii="Times New Roman" w:hAnsi="Times New Roman" w:cs="Times New Roman"/>
          <w:i/>
          <w:spacing w:val="-6"/>
          <w:sz w:val="24"/>
          <w:szCs w:val="24"/>
        </w:rPr>
        <w:t xml:space="preserve"> </w:t>
      </w:r>
      <w:r w:rsidR="000716E2" w:rsidRPr="000C00DE">
        <w:rPr>
          <w:rFonts w:ascii="Times New Roman" w:hAnsi="Times New Roman" w:cs="Times New Roman"/>
          <w:i/>
          <w:sz w:val="24"/>
          <w:szCs w:val="24"/>
        </w:rPr>
        <w:t>noteiktas</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summas</w:t>
      </w:r>
      <w:r w:rsidR="000716E2" w:rsidRPr="000C00DE">
        <w:rPr>
          <w:rFonts w:ascii="Times New Roman" w:hAnsi="Times New Roman" w:cs="Times New Roman"/>
          <w:i/>
          <w:spacing w:val="-7"/>
          <w:sz w:val="24"/>
          <w:szCs w:val="24"/>
        </w:rPr>
        <w:t xml:space="preserve"> </w:t>
      </w:r>
      <w:r w:rsidR="000716E2" w:rsidRPr="000C00DE">
        <w:rPr>
          <w:rFonts w:ascii="Times New Roman" w:hAnsi="Times New Roman" w:cs="Times New Roman"/>
          <w:i/>
          <w:sz w:val="24"/>
          <w:szCs w:val="24"/>
        </w:rPr>
        <w:t>konkrētos</w:t>
      </w:r>
      <w:r w:rsidR="000716E2" w:rsidRPr="000C00DE">
        <w:rPr>
          <w:rFonts w:ascii="Times New Roman" w:hAnsi="Times New Roman" w:cs="Times New Roman"/>
          <w:i/>
          <w:spacing w:val="-6"/>
          <w:sz w:val="24"/>
          <w:szCs w:val="24"/>
        </w:rPr>
        <w:t xml:space="preserve"> </w:t>
      </w:r>
      <w:r w:rsidR="000716E2" w:rsidRPr="000C00DE">
        <w:rPr>
          <w:rFonts w:ascii="Times New Roman" w:hAnsi="Times New Roman" w:cs="Times New Roman"/>
          <w:i/>
          <w:sz w:val="24"/>
          <w:szCs w:val="24"/>
        </w:rPr>
        <w:t>gados</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saskaņā</w:t>
      </w:r>
      <w:r w:rsidR="000716E2" w:rsidRPr="000C00DE">
        <w:rPr>
          <w:rFonts w:ascii="Times New Roman" w:hAnsi="Times New Roman" w:cs="Times New Roman"/>
          <w:i/>
          <w:spacing w:val="-10"/>
          <w:sz w:val="24"/>
          <w:szCs w:val="24"/>
        </w:rPr>
        <w:t xml:space="preserve"> </w:t>
      </w:r>
      <w:r w:rsidR="000716E2" w:rsidRPr="000C00DE">
        <w:rPr>
          <w:rFonts w:ascii="Times New Roman" w:hAnsi="Times New Roman" w:cs="Times New Roman"/>
          <w:i/>
          <w:sz w:val="24"/>
          <w:szCs w:val="24"/>
        </w:rPr>
        <w:t>ar</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noslēgtā</w:t>
      </w:r>
      <w:r w:rsidR="000716E2" w:rsidRPr="000C00DE">
        <w:rPr>
          <w:rFonts w:ascii="Times New Roman" w:hAnsi="Times New Roman" w:cs="Times New Roman"/>
          <w:i/>
          <w:spacing w:val="-9"/>
          <w:sz w:val="24"/>
          <w:szCs w:val="24"/>
        </w:rPr>
        <w:t xml:space="preserve"> </w:t>
      </w:r>
      <w:r w:rsidR="000716E2" w:rsidRPr="000C00DE">
        <w:rPr>
          <w:rFonts w:ascii="Times New Roman" w:hAnsi="Times New Roman" w:cs="Times New Roman"/>
          <w:i/>
          <w:sz w:val="24"/>
          <w:szCs w:val="24"/>
        </w:rPr>
        <w:t>līguma noteikumiem, ieņēmumus atzīst attiecīgā perioda</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ietvaros.</w:t>
      </w:r>
    </w:p>
    <w:p w14:paraId="1D87D254" w14:textId="77777777" w:rsidR="000716E2"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C00DE">
        <w:rPr>
          <w:rFonts w:ascii="Times New Roman" w:hAnsi="Times New Roman" w:cs="Times New Roman"/>
          <w:sz w:val="24"/>
          <w:szCs w:val="24"/>
        </w:rPr>
        <w:t xml:space="preserve">803.  </w:t>
      </w:r>
      <w:r w:rsidR="000716E2" w:rsidRPr="000C00DE">
        <w:rPr>
          <w:rFonts w:ascii="Times New Roman" w:hAnsi="Times New Roman" w:cs="Times New Roman"/>
          <w:sz w:val="24"/>
          <w:szCs w:val="24"/>
        </w:rPr>
        <w:t>Tādu publiskās un privātās partnerības līgumu, kur privātajam partnerim piešķirtas tiesības gūt ieņēmumus no partnerības aktīva lietotājiem – trešajām pusēm, ieņēmumi attiecas uz saimniecisko labumu ienākošo plūsmu pakalpojumu nodrošināšanas laikā, tādēļ ieņēmumus atzīst pēc tāda paša principa, kā samazina saistības. Šādos gadījumos līgums ar privāto partneri parasti ietver ieņēmumu sadales noteikumus. Līgumā ietvertā ieņēmumu sadale var attiekties uz visiem privātā partnera nopelnītajiem ieņēmumiem vai ieņēmumiem, kas ir virs noteikta līmeņa, vai ieņēmumiem, kas pārsniedz tos, kas privātajam partnerim nepieciešami noteiktas peļņas normas</w:t>
      </w:r>
      <w:r w:rsidR="000716E2" w:rsidRPr="000C00DE">
        <w:rPr>
          <w:rFonts w:ascii="Times New Roman" w:hAnsi="Times New Roman" w:cs="Times New Roman"/>
          <w:spacing w:val="-17"/>
          <w:sz w:val="24"/>
          <w:szCs w:val="24"/>
        </w:rPr>
        <w:t xml:space="preserve"> </w:t>
      </w:r>
      <w:r w:rsidR="000716E2" w:rsidRPr="000C00DE">
        <w:rPr>
          <w:rFonts w:ascii="Times New Roman" w:hAnsi="Times New Roman" w:cs="Times New Roman"/>
          <w:sz w:val="24"/>
          <w:szCs w:val="24"/>
        </w:rPr>
        <w:t>sasniegšanai.</w:t>
      </w:r>
    </w:p>
    <w:p w14:paraId="7E9C9317" w14:textId="77777777" w:rsidR="000716E2"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C00DE">
        <w:rPr>
          <w:rFonts w:ascii="Times New Roman" w:hAnsi="Times New Roman" w:cs="Times New Roman"/>
          <w:sz w:val="24"/>
          <w:szCs w:val="24"/>
        </w:rPr>
        <w:t>804.</w:t>
      </w:r>
      <w:r>
        <w:rPr>
          <w:rFonts w:ascii="Times New Roman" w:hAnsi="Times New Roman" w:cs="Times New Roman"/>
          <w:sz w:val="24"/>
          <w:szCs w:val="24"/>
        </w:rPr>
        <w:t xml:space="preserve"> </w:t>
      </w:r>
      <w:r w:rsidRPr="000C00DE">
        <w:rPr>
          <w:rFonts w:ascii="Times New Roman" w:hAnsi="Times New Roman" w:cs="Times New Roman"/>
          <w:sz w:val="24"/>
          <w:szCs w:val="24"/>
        </w:rPr>
        <w:t xml:space="preserve"> </w:t>
      </w:r>
      <w:r w:rsidR="000716E2" w:rsidRPr="000C00DE">
        <w:rPr>
          <w:rFonts w:ascii="Times New Roman" w:hAnsi="Times New Roman" w:cs="Times New Roman"/>
          <w:sz w:val="24"/>
          <w:szCs w:val="24"/>
        </w:rPr>
        <w:t>Budžeta iestāde atzīst ieņēmumus, kas radušies saskaņā ar līgumā noteiktajiem ieņēmumu sadales noteikumiem,</w:t>
      </w:r>
      <w:r w:rsidR="000716E2" w:rsidRPr="000C00DE">
        <w:rPr>
          <w:rFonts w:ascii="Times New Roman" w:hAnsi="Times New Roman" w:cs="Times New Roman"/>
          <w:spacing w:val="-7"/>
          <w:sz w:val="24"/>
          <w:szCs w:val="24"/>
        </w:rPr>
        <w:t xml:space="preserve"> </w:t>
      </w:r>
      <w:r w:rsidR="000716E2" w:rsidRPr="000C00DE">
        <w:rPr>
          <w:rFonts w:ascii="Times New Roman" w:hAnsi="Times New Roman" w:cs="Times New Roman"/>
          <w:sz w:val="24"/>
          <w:szCs w:val="24"/>
        </w:rPr>
        <w:t>tajā</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periodā,</w:t>
      </w:r>
      <w:r w:rsidR="000716E2" w:rsidRPr="000C00DE">
        <w:rPr>
          <w:rFonts w:ascii="Times New Roman" w:hAnsi="Times New Roman" w:cs="Times New Roman"/>
          <w:spacing w:val="-9"/>
          <w:sz w:val="24"/>
          <w:szCs w:val="24"/>
        </w:rPr>
        <w:t xml:space="preserve"> </w:t>
      </w:r>
      <w:r w:rsidR="000716E2" w:rsidRPr="000C00DE">
        <w:rPr>
          <w:rFonts w:ascii="Times New Roman" w:hAnsi="Times New Roman" w:cs="Times New Roman"/>
          <w:sz w:val="24"/>
          <w:szCs w:val="24"/>
        </w:rPr>
        <w:t>kad</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tie</w:t>
      </w:r>
      <w:r w:rsidR="000716E2" w:rsidRPr="000C00DE">
        <w:rPr>
          <w:rFonts w:ascii="Times New Roman" w:hAnsi="Times New Roman" w:cs="Times New Roman"/>
          <w:spacing w:val="-7"/>
          <w:sz w:val="24"/>
          <w:szCs w:val="24"/>
        </w:rPr>
        <w:t xml:space="preserve"> </w:t>
      </w:r>
      <w:r w:rsidR="000716E2" w:rsidRPr="000C00DE">
        <w:rPr>
          <w:rFonts w:ascii="Times New Roman" w:hAnsi="Times New Roman" w:cs="Times New Roman"/>
          <w:sz w:val="24"/>
          <w:szCs w:val="24"/>
        </w:rPr>
        <w:t>nopelnīti</w:t>
      </w:r>
      <w:r w:rsidR="000716E2" w:rsidRPr="000C00DE">
        <w:rPr>
          <w:rFonts w:ascii="Times New Roman" w:hAnsi="Times New Roman" w:cs="Times New Roman"/>
          <w:spacing w:val="-5"/>
          <w:sz w:val="24"/>
          <w:szCs w:val="24"/>
        </w:rPr>
        <w:t xml:space="preserve"> </w:t>
      </w:r>
      <w:r w:rsidR="000716E2" w:rsidRPr="000C00DE">
        <w:rPr>
          <w:rFonts w:ascii="Times New Roman" w:hAnsi="Times New Roman" w:cs="Times New Roman"/>
          <w:sz w:val="24"/>
          <w:szCs w:val="24"/>
        </w:rPr>
        <w:t>un</w:t>
      </w:r>
      <w:r w:rsidR="000716E2" w:rsidRPr="000C00DE">
        <w:rPr>
          <w:rFonts w:ascii="Times New Roman" w:hAnsi="Times New Roman" w:cs="Times New Roman"/>
          <w:spacing w:val="-10"/>
          <w:sz w:val="24"/>
          <w:szCs w:val="24"/>
        </w:rPr>
        <w:t xml:space="preserve"> </w:t>
      </w:r>
      <w:r w:rsidR="000716E2" w:rsidRPr="000C00DE">
        <w:rPr>
          <w:rFonts w:ascii="Times New Roman" w:hAnsi="Times New Roman" w:cs="Times New Roman"/>
          <w:sz w:val="24"/>
          <w:szCs w:val="24"/>
        </w:rPr>
        <w:t>saskaņā</w:t>
      </w:r>
      <w:r w:rsidR="000716E2" w:rsidRPr="000C00DE">
        <w:rPr>
          <w:rFonts w:ascii="Times New Roman" w:hAnsi="Times New Roman" w:cs="Times New Roman"/>
          <w:spacing w:val="-8"/>
          <w:sz w:val="24"/>
          <w:szCs w:val="24"/>
        </w:rPr>
        <w:t xml:space="preserve"> </w:t>
      </w:r>
      <w:r w:rsidR="000716E2" w:rsidRPr="000C00DE">
        <w:rPr>
          <w:rFonts w:ascii="Times New Roman" w:hAnsi="Times New Roman" w:cs="Times New Roman"/>
          <w:sz w:val="24"/>
          <w:szCs w:val="24"/>
        </w:rPr>
        <w:t>ar</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attiecīgā</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līguma</w:t>
      </w:r>
      <w:r w:rsidR="000716E2" w:rsidRPr="000C00DE">
        <w:rPr>
          <w:rFonts w:ascii="Times New Roman" w:hAnsi="Times New Roman" w:cs="Times New Roman"/>
          <w:spacing w:val="-7"/>
          <w:sz w:val="24"/>
          <w:szCs w:val="24"/>
        </w:rPr>
        <w:t xml:space="preserve"> </w:t>
      </w:r>
      <w:r w:rsidR="000716E2" w:rsidRPr="000C00DE">
        <w:rPr>
          <w:rFonts w:ascii="Times New Roman" w:hAnsi="Times New Roman" w:cs="Times New Roman"/>
          <w:sz w:val="24"/>
          <w:szCs w:val="24"/>
        </w:rPr>
        <w:t>būtību</w:t>
      </w:r>
      <w:r w:rsidR="000716E2" w:rsidRPr="000C00DE">
        <w:rPr>
          <w:rFonts w:ascii="Times New Roman" w:hAnsi="Times New Roman" w:cs="Times New Roman"/>
          <w:spacing w:val="-5"/>
          <w:sz w:val="24"/>
          <w:szCs w:val="24"/>
        </w:rPr>
        <w:t xml:space="preserve"> </w:t>
      </w:r>
      <w:r w:rsidR="000716E2" w:rsidRPr="000C00DE">
        <w:rPr>
          <w:rFonts w:ascii="Times New Roman" w:hAnsi="Times New Roman" w:cs="Times New Roman"/>
          <w:sz w:val="24"/>
          <w:szCs w:val="24"/>
        </w:rPr>
        <w:t>–</w:t>
      </w:r>
      <w:r w:rsidR="000716E2" w:rsidRPr="000C00DE">
        <w:rPr>
          <w:rFonts w:ascii="Times New Roman" w:hAnsi="Times New Roman" w:cs="Times New Roman"/>
          <w:spacing w:val="-9"/>
          <w:sz w:val="24"/>
          <w:szCs w:val="24"/>
        </w:rPr>
        <w:t xml:space="preserve"> </w:t>
      </w:r>
      <w:r w:rsidR="000716E2" w:rsidRPr="000C00DE">
        <w:rPr>
          <w:rFonts w:ascii="Times New Roman" w:hAnsi="Times New Roman" w:cs="Times New Roman"/>
          <w:sz w:val="24"/>
          <w:szCs w:val="24"/>
        </w:rPr>
        <w:t>kad</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tiek</w:t>
      </w:r>
      <w:r w:rsidR="000716E2" w:rsidRPr="000C00DE">
        <w:rPr>
          <w:rFonts w:ascii="Times New Roman" w:hAnsi="Times New Roman" w:cs="Times New Roman"/>
          <w:spacing w:val="-8"/>
          <w:sz w:val="24"/>
          <w:szCs w:val="24"/>
        </w:rPr>
        <w:t xml:space="preserve"> </w:t>
      </w:r>
      <w:r w:rsidR="000716E2" w:rsidRPr="000C00DE">
        <w:rPr>
          <w:rFonts w:ascii="Times New Roman" w:hAnsi="Times New Roman" w:cs="Times New Roman"/>
          <w:sz w:val="24"/>
          <w:szCs w:val="24"/>
        </w:rPr>
        <w:t>uzskatīts, ka īstenojies kāds no iespējamiem gadījumiem (piemēram, sasniegts noteikts ieņēmumu</w:t>
      </w:r>
      <w:r w:rsidR="000716E2" w:rsidRPr="000C00DE">
        <w:rPr>
          <w:rFonts w:ascii="Times New Roman" w:hAnsi="Times New Roman" w:cs="Times New Roman"/>
          <w:spacing w:val="-25"/>
          <w:sz w:val="24"/>
          <w:szCs w:val="24"/>
        </w:rPr>
        <w:t xml:space="preserve"> </w:t>
      </w:r>
      <w:r w:rsidR="000716E2" w:rsidRPr="000C00DE">
        <w:rPr>
          <w:rFonts w:ascii="Times New Roman" w:hAnsi="Times New Roman" w:cs="Times New Roman"/>
          <w:sz w:val="24"/>
          <w:szCs w:val="24"/>
        </w:rPr>
        <w:t>līmenis).</w:t>
      </w:r>
    </w:p>
    <w:p w14:paraId="57C3CA7F" w14:textId="77777777" w:rsidR="000C00DE"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0C00DE">
        <w:rPr>
          <w:rFonts w:ascii="Times New Roman" w:hAnsi="Times New Roman" w:cs="Times New Roman"/>
          <w:sz w:val="24"/>
          <w:szCs w:val="24"/>
        </w:rPr>
        <w:t>805.  Ja</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līguma</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izpildes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ietvaros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samazinās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budžeta</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iestādes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saistības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par</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nākotnes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maksājumiem</w:t>
      </w:r>
      <w:r w:rsidRPr="000C00DE">
        <w:rPr>
          <w:rFonts w:ascii="Times New Roman" w:hAnsi="Times New Roman" w:cs="Times New Roman"/>
          <w:spacing w:val="-14"/>
          <w:sz w:val="24"/>
          <w:szCs w:val="24"/>
        </w:rPr>
        <w:t xml:space="preserve"> </w:t>
      </w:r>
      <w:r w:rsidRPr="000C00DE">
        <w:rPr>
          <w:rFonts w:ascii="Times New Roman" w:hAnsi="Times New Roman" w:cs="Times New Roman"/>
          <w:sz w:val="24"/>
          <w:szCs w:val="24"/>
        </w:rPr>
        <w:t xml:space="preserve">privātajam partnerim, kurus iestāde sākotnēji atzinusi, budžeta iestāde atzīst ieņēmumus attiecībā uz maksājumu samazinājumu saistību samazināšanas brīdī. </w:t>
      </w:r>
      <w:r w:rsidRPr="000C00DE">
        <w:rPr>
          <w:rFonts w:ascii="Times New Roman" w:hAnsi="Times New Roman" w:cs="Times New Roman"/>
          <w:i/>
          <w:sz w:val="24"/>
          <w:szCs w:val="24"/>
        </w:rPr>
        <w:t>Piemēram, privātais partneris guvis ieņēmumus no trešajām pusēm vairāk nekā plānots un tāpēc samazinās budžeta iestādes veicamais maksājums. Periodā,</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kad</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kļuvis</w:t>
      </w:r>
      <w:r w:rsidRPr="000C00DE">
        <w:rPr>
          <w:rFonts w:ascii="Times New Roman" w:hAnsi="Times New Roman" w:cs="Times New Roman"/>
          <w:i/>
          <w:spacing w:val="-15"/>
          <w:sz w:val="24"/>
          <w:szCs w:val="24"/>
        </w:rPr>
        <w:t xml:space="preserve"> </w:t>
      </w:r>
      <w:r w:rsidRPr="000C00DE">
        <w:rPr>
          <w:rFonts w:ascii="Times New Roman" w:hAnsi="Times New Roman" w:cs="Times New Roman"/>
          <w:i/>
          <w:sz w:val="24"/>
          <w:szCs w:val="24"/>
        </w:rPr>
        <w:t>zināms</w:t>
      </w:r>
      <w:r w:rsidRPr="000C00DE">
        <w:rPr>
          <w:rFonts w:ascii="Times New Roman" w:hAnsi="Times New Roman" w:cs="Times New Roman"/>
          <w:i/>
          <w:spacing w:val="-14"/>
          <w:sz w:val="24"/>
          <w:szCs w:val="24"/>
        </w:rPr>
        <w:t xml:space="preserve"> </w:t>
      </w:r>
      <w:r w:rsidRPr="000C00DE">
        <w:rPr>
          <w:rFonts w:ascii="Times New Roman" w:hAnsi="Times New Roman" w:cs="Times New Roman"/>
          <w:i/>
          <w:sz w:val="24"/>
          <w:szCs w:val="24"/>
        </w:rPr>
        <w:t>par</w:t>
      </w:r>
      <w:r w:rsidRPr="000C00DE">
        <w:rPr>
          <w:rFonts w:ascii="Times New Roman" w:hAnsi="Times New Roman" w:cs="Times New Roman"/>
          <w:i/>
          <w:spacing w:val="-12"/>
          <w:sz w:val="24"/>
          <w:szCs w:val="24"/>
        </w:rPr>
        <w:t xml:space="preserve"> </w:t>
      </w:r>
      <w:r w:rsidRPr="000C00DE">
        <w:rPr>
          <w:rFonts w:ascii="Times New Roman" w:hAnsi="Times New Roman" w:cs="Times New Roman"/>
          <w:i/>
          <w:sz w:val="24"/>
          <w:szCs w:val="24"/>
        </w:rPr>
        <w:t>saistību</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samazinājumu,</w:t>
      </w:r>
      <w:r w:rsidRPr="000C00DE">
        <w:rPr>
          <w:rFonts w:ascii="Times New Roman" w:hAnsi="Times New Roman" w:cs="Times New Roman"/>
          <w:i/>
          <w:spacing w:val="-15"/>
          <w:sz w:val="24"/>
          <w:szCs w:val="24"/>
        </w:rPr>
        <w:t xml:space="preserve"> </w:t>
      </w:r>
      <w:r w:rsidRPr="000C00DE">
        <w:rPr>
          <w:rFonts w:ascii="Times New Roman" w:hAnsi="Times New Roman" w:cs="Times New Roman"/>
          <w:i/>
          <w:sz w:val="24"/>
          <w:szCs w:val="24"/>
        </w:rPr>
        <w:t>iestāde</w:t>
      </w:r>
      <w:r w:rsidRPr="000C00DE">
        <w:rPr>
          <w:rFonts w:ascii="Times New Roman" w:hAnsi="Times New Roman" w:cs="Times New Roman"/>
          <w:i/>
          <w:spacing w:val="-14"/>
          <w:sz w:val="24"/>
          <w:szCs w:val="24"/>
        </w:rPr>
        <w:t xml:space="preserve"> </w:t>
      </w:r>
      <w:r w:rsidRPr="000C00DE">
        <w:rPr>
          <w:rFonts w:ascii="Times New Roman" w:hAnsi="Times New Roman" w:cs="Times New Roman"/>
          <w:i/>
          <w:sz w:val="24"/>
          <w:szCs w:val="24"/>
        </w:rPr>
        <w:t>vienlaicīgi</w:t>
      </w:r>
      <w:r w:rsidRPr="000C00DE">
        <w:rPr>
          <w:rFonts w:ascii="Times New Roman" w:hAnsi="Times New Roman" w:cs="Times New Roman"/>
          <w:i/>
          <w:spacing w:val="-12"/>
          <w:sz w:val="24"/>
          <w:szCs w:val="24"/>
        </w:rPr>
        <w:t xml:space="preserve"> </w:t>
      </w:r>
      <w:r w:rsidRPr="000C00DE">
        <w:rPr>
          <w:rFonts w:ascii="Times New Roman" w:hAnsi="Times New Roman" w:cs="Times New Roman"/>
          <w:i/>
          <w:sz w:val="24"/>
          <w:szCs w:val="24"/>
        </w:rPr>
        <w:t>samazina</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saistības</w:t>
      </w:r>
      <w:r w:rsidRPr="000C00DE">
        <w:rPr>
          <w:rFonts w:ascii="Times New Roman" w:hAnsi="Times New Roman" w:cs="Times New Roman"/>
          <w:i/>
          <w:spacing w:val="-15"/>
          <w:sz w:val="24"/>
          <w:szCs w:val="24"/>
        </w:rPr>
        <w:t xml:space="preserve"> </w:t>
      </w:r>
      <w:r w:rsidRPr="000C00DE">
        <w:rPr>
          <w:rFonts w:ascii="Times New Roman" w:hAnsi="Times New Roman" w:cs="Times New Roman"/>
          <w:i/>
          <w:sz w:val="24"/>
          <w:szCs w:val="24"/>
        </w:rPr>
        <w:t>un</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atzīst ieņēmumus,</w:t>
      </w:r>
      <w:r w:rsidRPr="000C00DE">
        <w:rPr>
          <w:rFonts w:ascii="Times New Roman" w:hAnsi="Times New Roman" w:cs="Times New Roman"/>
          <w:i/>
          <w:spacing w:val="-1"/>
          <w:sz w:val="24"/>
          <w:szCs w:val="24"/>
        </w:rPr>
        <w:t xml:space="preserve"> </w:t>
      </w:r>
      <w:r w:rsidRPr="000C00DE">
        <w:rPr>
          <w:rFonts w:ascii="Times New Roman" w:hAnsi="Times New Roman" w:cs="Times New Roman"/>
          <w:i/>
          <w:sz w:val="24"/>
          <w:szCs w:val="24"/>
        </w:rPr>
        <w:t>grāmatojot:</w:t>
      </w:r>
    </w:p>
    <w:p w14:paraId="0D3C4EC5" w14:textId="77777777" w:rsidR="000C00DE"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sidRPr="000C00DE">
        <w:rPr>
          <w:rFonts w:ascii="Times New Roman" w:hAnsi="Times New Roman" w:cs="Times New Roman"/>
          <w:i/>
          <w:sz w:val="24"/>
          <w:szCs w:val="24"/>
        </w:rPr>
        <w:t xml:space="preserve"> </w:t>
      </w:r>
      <w:r w:rsidRPr="000C00DE">
        <w:rPr>
          <w:rFonts w:ascii="Times New Roman" w:hAnsi="Times New Roman" w:cs="Times New Roman"/>
          <w:iCs/>
          <w:sz w:val="24"/>
          <w:szCs w:val="24"/>
        </w:rPr>
        <w:t xml:space="preserve">   </w:t>
      </w:r>
      <w:r w:rsidRPr="000C00DE">
        <w:rPr>
          <w:rFonts w:ascii="Times New Roman" w:hAnsi="Times New Roman" w:cs="Times New Roman"/>
          <w:b/>
          <w:bCs/>
          <w:iCs/>
          <w:sz w:val="24"/>
          <w:szCs w:val="24"/>
        </w:rPr>
        <w:t>D    5300   Īstermiņa saistības pret piegādātājiem un darbuzņēmējiem</w:t>
      </w:r>
    </w:p>
    <w:p w14:paraId="5DA68CDE" w14:textId="77777777" w:rsidR="000C00DE"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sidRPr="000C00DE">
        <w:rPr>
          <w:rFonts w:ascii="Times New Roman" w:hAnsi="Times New Roman" w:cs="Times New Roman"/>
          <w:b/>
          <w:bCs/>
          <w:iCs/>
          <w:sz w:val="24"/>
          <w:szCs w:val="24"/>
        </w:rPr>
        <w:t xml:space="preserve">    K    6000   Pamatdarbības ieņēmumi</w:t>
      </w:r>
    </w:p>
    <w:p w14:paraId="59770E6B" w14:textId="77777777" w:rsid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C00DE">
        <w:rPr>
          <w:rFonts w:ascii="Times New Roman" w:hAnsi="Times New Roman" w:cs="Times New Roman"/>
          <w:iCs/>
          <w:sz w:val="24"/>
          <w:szCs w:val="24"/>
        </w:rPr>
        <w:t>806.</w:t>
      </w:r>
      <w:r w:rsidRPr="000C00DE">
        <w:rPr>
          <w:rFonts w:ascii="Times New Roman" w:hAnsi="Times New Roman" w:cs="Times New Roman"/>
          <w:b/>
          <w:bCs/>
          <w:iCs/>
          <w:sz w:val="24"/>
          <w:szCs w:val="24"/>
        </w:rPr>
        <w:t xml:space="preserve">  </w:t>
      </w:r>
      <w:r w:rsidRPr="000C00DE">
        <w:rPr>
          <w:rFonts w:ascii="Times New Roman" w:hAnsi="Times New Roman" w:cs="Times New Roman"/>
          <w:sz w:val="24"/>
          <w:szCs w:val="24"/>
        </w:rPr>
        <w:t xml:space="preserve">Ja līgums nosaka, ka par piekļuvi ieņēmumus nesošam aktīvam privātais partneris maksā budžeta iestādei simbolisku nomas maksu, budžeta iestāde šos ieņēmumus no nomas maksas atzīst saskaņā ar </w:t>
      </w:r>
      <w:r>
        <w:rPr>
          <w:rFonts w:ascii="Times New Roman" w:hAnsi="Times New Roman" w:cs="Times New Roman"/>
          <w:sz w:val="24"/>
          <w:szCs w:val="24"/>
        </w:rPr>
        <w:t>Grāmatvedības uzskaites kārtīb</w:t>
      </w:r>
      <w:r w:rsidR="00621A84">
        <w:rPr>
          <w:rFonts w:ascii="Times New Roman" w:hAnsi="Times New Roman" w:cs="Times New Roman"/>
          <w:sz w:val="24"/>
          <w:szCs w:val="24"/>
        </w:rPr>
        <w:t>as</w:t>
      </w:r>
      <w:r w:rsidRPr="000C00DE">
        <w:rPr>
          <w:rFonts w:ascii="Times New Roman" w:hAnsi="Times New Roman" w:cs="Times New Roman"/>
          <w:spacing w:val="-11"/>
          <w:sz w:val="24"/>
          <w:szCs w:val="24"/>
        </w:rPr>
        <w:t xml:space="preserve"> </w:t>
      </w:r>
      <w:r w:rsidRPr="000C00DE">
        <w:rPr>
          <w:rFonts w:ascii="Times New Roman" w:hAnsi="Times New Roman" w:cs="Times New Roman"/>
          <w:sz w:val="24"/>
          <w:szCs w:val="24"/>
        </w:rPr>
        <w:t>sadaļā</w:t>
      </w:r>
      <w:r w:rsidRPr="000C00DE">
        <w:rPr>
          <w:rFonts w:ascii="Times New Roman" w:hAnsi="Times New Roman" w:cs="Times New Roman"/>
          <w:color w:val="0462C1"/>
          <w:spacing w:val="-10"/>
          <w:sz w:val="24"/>
          <w:szCs w:val="24"/>
        </w:rPr>
        <w:t xml:space="preserve"> </w:t>
      </w:r>
      <w:r w:rsidRPr="000C00DE">
        <w:rPr>
          <w:rFonts w:ascii="Times New Roman" w:hAnsi="Times New Roman" w:cs="Times New Roman"/>
          <w:color w:val="0462C1"/>
          <w:sz w:val="24"/>
          <w:szCs w:val="24"/>
          <w:u w:val="single" w:color="0462C1"/>
        </w:rPr>
        <w:t>“</w:t>
      </w:r>
      <w:hyperlink w:anchor="_bookmark374" w:history="1">
        <w:r w:rsidRPr="000C00DE">
          <w:rPr>
            <w:rFonts w:ascii="Times New Roman" w:hAnsi="Times New Roman" w:cs="Times New Roman"/>
            <w:color w:val="0462C1"/>
            <w:sz w:val="24"/>
            <w:szCs w:val="24"/>
            <w:u w:val="single" w:color="0462C1"/>
          </w:rPr>
          <w:t>Ieņēmumi</w:t>
        </w:r>
        <w:r w:rsidRPr="000C00DE">
          <w:rPr>
            <w:rFonts w:ascii="Times New Roman" w:hAnsi="Times New Roman" w:cs="Times New Roman"/>
            <w:color w:val="0462C1"/>
            <w:spacing w:val="-10"/>
            <w:sz w:val="24"/>
            <w:szCs w:val="24"/>
            <w:u w:val="single" w:color="0462C1"/>
          </w:rPr>
          <w:t xml:space="preserve"> </w:t>
        </w:r>
        <w:r w:rsidRPr="000C00DE">
          <w:rPr>
            <w:rFonts w:ascii="Times New Roman" w:hAnsi="Times New Roman" w:cs="Times New Roman"/>
            <w:color w:val="0462C1"/>
            <w:sz w:val="24"/>
            <w:szCs w:val="24"/>
            <w:u w:val="single" w:color="0462C1"/>
          </w:rPr>
          <w:t>no</w:t>
        </w:r>
        <w:r w:rsidRPr="000C00DE">
          <w:rPr>
            <w:rFonts w:ascii="Times New Roman" w:hAnsi="Times New Roman" w:cs="Times New Roman"/>
            <w:color w:val="0462C1"/>
            <w:spacing w:val="-12"/>
            <w:sz w:val="24"/>
            <w:szCs w:val="24"/>
            <w:u w:val="single" w:color="0462C1"/>
          </w:rPr>
          <w:t xml:space="preserve"> </w:t>
        </w:r>
        <w:r w:rsidRPr="000C00DE">
          <w:rPr>
            <w:rFonts w:ascii="Times New Roman" w:hAnsi="Times New Roman" w:cs="Times New Roman"/>
            <w:color w:val="0462C1"/>
            <w:sz w:val="24"/>
            <w:szCs w:val="24"/>
            <w:u w:val="single" w:color="0462C1"/>
          </w:rPr>
          <w:t>darījumiem</w:t>
        </w:r>
        <w:r w:rsidRPr="000C00DE">
          <w:rPr>
            <w:rFonts w:ascii="Times New Roman" w:hAnsi="Times New Roman" w:cs="Times New Roman"/>
            <w:color w:val="0462C1"/>
            <w:spacing w:val="-15"/>
            <w:sz w:val="24"/>
            <w:szCs w:val="24"/>
            <w:u w:val="single" w:color="0462C1"/>
          </w:rPr>
          <w:t xml:space="preserve"> </w:t>
        </w:r>
        <w:r w:rsidRPr="000C00DE">
          <w:rPr>
            <w:rFonts w:ascii="Times New Roman" w:hAnsi="Times New Roman" w:cs="Times New Roman"/>
            <w:color w:val="0462C1"/>
            <w:sz w:val="24"/>
            <w:szCs w:val="24"/>
            <w:u w:val="single" w:color="0462C1"/>
          </w:rPr>
          <w:t>bez</w:t>
        </w:r>
        <w:r w:rsidRPr="000C00DE">
          <w:rPr>
            <w:rFonts w:ascii="Times New Roman" w:hAnsi="Times New Roman" w:cs="Times New Roman"/>
            <w:color w:val="0462C1"/>
            <w:spacing w:val="-13"/>
            <w:sz w:val="24"/>
            <w:szCs w:val="24"/>
            <w:u w:val="single" w:color="0462C1"/>
          </w:rPr>
          <w:t xml:space="preserve"> </w:t>
        </w:r>
        <w:r w:rsidRPr="000C00DE">
          <w:rPr>
            <w:rFonts w:ascii="Times New Roman" w:hAnsi="Times New Roman" w:cs="Times New Roman"/>
            <w:color w:val="0462C1"/>
            <w:sz w:val="24"/>
            <w:szCs w:val="24"/>
            <w:u w:val="single" w:color="0462C1"/>
          </w:rPr>
          <w:t>atlīdzības</w:t>
        </w:r>
        <w:r w:rsidRPr="000C00DE">
          <w:rPr>
            <w:rFonts w:ascii="Times New Roman" w:hAnsi="Times New Roman" w:cs="Times New Roman"/>
            <w:color w:val="0462C1"/>
            <w:spacing w:val="-14"/>
            <w:sz w:val="24"/>
            <w:szCs w:val="24"/>
            <w:u w:val="single" w:color="0462C1"/>
          </w:rPr>
          <w:t xml:space="preserve"> </w:t>
        </w:r>
        <w:r w:rsidRPr="000C00DE">
          <w:rPr>
            <w:rFonts w:ascii="Times New Roman" w:hAnsi="Times New Roman" w:cs="Times New Roman"/>
            <w:color w:val="0462C1"/>
            <w:sz w:val="24"/>
            <w:szCs w:val="24"/>
            <w:u w:val="single" w:color="0462C1"/>
          </w:rPr>
          <w:t>(nodokļi</w:t>
        </w:r>
        <w:r w:rsidRPr="000C00DE">
          <w:rPr>
            <w:rFonts w:ascii="Times New Roman" w:hAnsi="Times New Roman" w:cs="Times New Roman"/>
            <w:color w:val="0462C1"/>
            <w:spacing w:val="-10"/>
            <w:sz w:val="24"/>
            <w:szCs w:val="24"/>
            <w:u w:val="single" w:color="0462C1"/>
          </w:rPr>
          <w:t xml:space="preserve"> </w:t>
        </w:r>
        <w:r w:rsidRPr="000C00DE">
          <w:rPr>
            <w:rFonts w:ascii="Times New Roman" w:hAnsi="Times New Roman" w:cs="Times New Roman"/>
            <w:color w:val="0462C1"/>
            <w:sz w:val="24"/>
            <w:szCs w:val="24"/>
            <w:u w:val="single" w:color="0462C1"/>
          </w:rPr>
          <w:t>un</w:t>
        </w:r>
        <w:r w:rsidRPr="000C00DE">
          <w:rPr>
            <w:rFonts w:ascii="Times New Roman" w:hAnsi="Times New Roman" w:cs="Times New Roman"/>
            <w:color w:val="0462C1"/>
            <w:spacing w:val="-12"/>
            <w:sz w:val="24"/>
            <w:szCs w:val="24"/>
            <w:u w:val="single" w:color="0462C1"/>
          </w:rPr>
          <w:t xml:space="preserve"> </w:t>
        </w:r>
        <w:r w:rsidRPr="000C00DE">
          <w:rPr>
            <w:rFonts w:ascii="Times New Roman" w:hAnsi="Times New Roman" w:cs="Times New Roman"/>
            <w:color w:val="0462C1"/>
            <w:sz w:val="24"/>
            <w:szCs w:val="24"/>
            <w:u w:val="single" w:color="0462C1"/>
          </w:rPr>
          <w:t>pārvedumi)</w:t>
        </w:r>
      </w:hyperlink>
      <w:r w:rsidRPr="000C00DE">
        <w:rPr>
          <w:rFonts w:ascii="Times New Roman" w:hAnsi="Times New Roman" w:cs="Times New Roman"/>
          <w:color w:val="0462C1"/>
          <w:sz w:val="24"/>
          <w:szCs w:val="24"/>
          <w:u w:val="single" w:color="0462C1"/>
        </w:rPr>
        <w:t>”</w:t>
      </w:r>
      <w:r w:rsidRPr="000C00DE">
        <w:rPr>
          <w:rFonts w:ascii="Times New Roman" w:hAnsi="Times New Roman" w:cs="Times New Roman"/>
          <w:color w:val="0462C1"/>
          <w:spacing w:val="-10"/>
          <w:sz w:val="24"/>
          <w:szCs w:val="24"/>
        </w:rPr>
        <w:t xml:space="preserve"> </w:t>
      </w:r>
      <w:r w:rsidRPr="000C00DE">
        <w:rPr>
          <w:rFonts w:ascii="Times New Roman" w:hAnsi="Times New Roman" w:cs="Times New Roman"/>
          <w:sz w:val="24"/>
          <w:szCs w:val="24"/>
        </w:rPr>
        <w:t>noteiktajiem uzskaites</w:t>
      </w:r>
      <w:r w:rsidRPr="000C00DE">
        <w:rPr>
          <w:rFonts w:ascii="Times New Roman" w:hAnsi="Times New Roman" w:cs="Times New Roman"/>
          <w:spacing w:val="-1"/>
          <w:sz w:val="24"/>
          <w:szCs w:val="24"/>
        </w:rPr>
        <w:t xml:space="preserve"> </w:t>
      </w:r>
      <w:r w:rsidRPr="000C00DE">
        <w:rPr>
          <w:rFonts w:ascii="Times New Roman" w:hAnsi="Times New Roman" w:cs="Times New Roman"/>
          <w:sz w:val="24"/>
          <w:szCs w:val="24"/>
        </w:rPr>
        <w:t>principiem.</w:t>
      </w:r>
    </w:p>
    <w:p w14:paraId="4770FCAE" w14:textId="77777777" w:rsid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p>
    <w:p w14:paraId="549A88EF" w14:textId="77777777" w:rsid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Pr>
          <w:rFonts w:ascii="Times New Roman" w:hAnsi="Times New Roman" w:cs="Times New Roman"/>
          <w:b/>
          <w:bCs/>
          <w:iCs/>
          <w:sz w:val="24"/>
          <w:szCs w:val="24"/>
        </w:rPr>
        <w:t>19.9. Inventarizācija</w:t>
      </w:r>
    </w:p>
    <w:p w14:paraId="47841DFA"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 xml:space="preserve"> 807. Pārskata perioda beigās budžeta iestāde veic visu aktīvu (tai skaitā prasību), saistību (tai skaitā saņemto avansa maksājumu) inventarizāciju, saskaņojot norēķinu summas ar darījuma</w:t>
      </w:r>
      <w:r w:rsidRPr="00621A84">
        <w:rPr>
          <w:rFonts w:ascii="Times New Roman" w:hAnsi="Times New Roman" w:cs="Times New Roman"/>
          <w:spacing w:val="-22"/>
          <w:sz w:val="24"/>
          <w:szCs w:val="24"/>
        </w:rPr>
        <w:t xml:space="preserve"> </w:t>
      </w:r>
      <w:r w:rsidRPr="00621A84">
        <w:rPr>
          <w:rFonts w:ascii="Times New Roman" w:hAnsi="Times New Roman" w:cs="Times New Roman"/>
          <w:sz w:val="24"/>
          <w:szCs w:val="24"/>
        </w:rPr>
        <w:t>partneriem.</w:t>
      </w:r>
    </w:p>
    <w:p w14:paraId="327EE1E7"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808.  Inventarizējot partnerības aktīvus, budžeta iestāde ievēro grāmatvedības uzskaites kārtības sadaļā</w:t>
      </w:r>
      <w:r w:rsidRPr="00621A84">
        <w:rPr>
          <w:rFonts w:ascii="Times New Roman" w:hAnsi="Times New Roman" w:cs="Times New Roman"/>
          <w:color w:val="0462C1"/>
          <w:sz w:val="24"/>
          <w:szCs w:val="24"/>
        </w:rPr>
        <w:t xml:space="preserve"> </w:t>
      </w:r>
      <w:r w:rsidRPr="00621A84">
        <w:rPr>
          <w:rFonts w:ascii="Times New Roman" w:hAnsi="Times New Roman" w:cs="Times New Roman"/>
          <w:color w:val="0462C1"/>
          <w:sz w:val="24"/>
          <w:szCs w:val="24"/>
          <w:u w:val="single" w:color="0462C1"/>
        </w:rPr>
        <w:t>“</w:t>
      </w:r>
      <w:hyperlink w:anchor="_bookmark33" w:history="1">
        <w:r w:rsidRPr="00621A84">
          <w:rPr>
            <w:rFonts w:ascii="Times New Roman" w:hAnsi="Times New Roman" w:cs="Times New Roman"/>
            <w:color w:val="0462C1"/>
            <w:sz w:val="24"/>
            <w:szCs w:val="24"/>
            <w:u w:val="single" w:color="0462C1"/>
          </w:rPr>
          <w:t>Pamatlīdzekļu</w:t>
        </w:r>
      </w:hyperlink>
      <w:hyperlink w:anchor="_bookmark33" w:history="1">
        <w:r w:rsidRPr="00621A84">
          <w:rPr>
            <w:rFonts w:ascii="Times New Roman" w:hAnsi="Times New Roman" w:cs="Times New Roman"/>
            <w:color w:val="0462C1"/>
            <w:sz w:val="24"/>
            <w:szCs w:val="24"/>
            <w:u w:val="single" w:color="0462C1"/>
          </w:rPr>
          <w:t xml:space="preserve"> uzskaite</w:t>
        </w:r>
      </w:hyperlink>
      <w:r w:rsidRPr="00621A84">
        <w:rPr>
          <w:rFonts w:ascii="Times New Roman" w:hAnsi="Times New Roman" w:cs="Times New Roman"/>
          <w:color w:val="0462C1"/>
          <w:sz w:val="24"/>
          <w:szCs w:val="24"/>
          <w:u w:val="single" w:color="0462C1"/>
        </w:rPr>
        <w:t>”</w:t>
      </w:r>
      <w:r w:rsidRPr="00621A84">
        <w:rPr>
          <w:rFonts w:ascii="Times New Roman" w:hAnsi="Times New Roman" w:cs="Times New Roman"/>
          <w:color w:val="0462C1"/>
          <w:sz w:val="24"/>
          <w:szCs w:val="24"/>
        </w:rPr>
        <w:t xml:space="preserve"> </w:t>
      </w:r>
      <w:r w:rsidRPr="00621A84">
        <w:rPr>
          <w:rFonts w:ascii="Times New Roman" w:hAnsi="Times New Roman" w:cs="Times New Roman"/>
          <w:sz w:val="24"/>
          <w:szCs w:val="24"/>
        </w:rPr>
        <w:t>noteiktās prasības par pamatlīdzekļu</w:t>
      </w:r>
      <w:r w:rsidRPr="00621A84">
        <w:rPr>
          <w:rFonts w:ascii="Times New Roman" w:hAnsi="Times New Roman" w:cs="Times New Roman"/>
          <w:spacing w:val="-3"/>
          <w:sz w:val="24"/>
          <w:szCs w:val="24"/>
        </w:rPr>
        <w:t xml:space="preserve"> </w:t>
      </w:r>
      <w:r w:rsidRPr="00621A84">
        <w:rPr>
          <w:rFonts w:ascii="Times New Roman" w:hAnsi="Times New Roman" w:cs="Times New Roman"/>
          <w:sz w:val="24"/>
          <w:szCs w:val="24"/>
        </w:rPr>
        <w:t>inventarizāciju.</w:t>
      </w:r>
    </w:p>
    <w:p w14:paraId="48AD2BD7"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809.  Inventarizējot prasības pret darījuma partneriem, tai veiktos avansa maksājumus, budžeta iestāde ievēro grāmatvedības uzskaites kārtības sadaļā</w:t>
      </w:r>
      <w:r w:rsidRPr="00621A84">
        <w:rPr>
          <w:rFonts w:ascii="Times New Roman" w:hAnsi="Times New Roman" w:cs="Times New Roman"/>
          <w:color w:val="0462C1"/>
          <w:sz w:val="24"/>
          <w:szCs w:val="24"/>
        </w:rPr>
        <w:t xml:space="preserve"> </w:t>
      </w:r>
      <w:r w:rsidRPr="00621A84">
        <w:rPr>
          <w:rFonts w:ascii="Times New Roman" w:hAnsi="Times New Roman" w:cs="Times New Roman"/>
          <w:color w:val="0462C1"/>
          <w:sz w:val="24"/>
          <w:szCs w:val="24"/>
          <w:u w:val="single" w:color="0462C1"/>
        </w:rPr>
        <w:t>“</w:t>
      </w:r>
      <w:hyperlink w:anchor="_bookmark179" w:history="1">
        <w:r w:rsidRPr="00621A84">
          <w:rPr>
            <w:rFonts w:ascii="Times New Roman" w:hAnsi="Times New Roman" w:cs="Times New Roman"/>
            <w:color w:val="0462C1"/>
            <w:sz w:val="24"/>
            <w:szCs w:val="24"/>
            <w:u w:val="single" w:color="0462C1"/>
          </w:rPr>
          <w:t>Prasību uzskaite, tai skaitā, nākamo periodu izdevumu un avansu</w:t>
        </w:r>
      </w:hyperlink>
      <w:hyperlink w:anchor="_bookmark179" w:history="1">
        <w:r w:rsidRPr="00621A84">
          <w:rPr>
            <w:rFonts w:ascii="Times New Roman" w:hAnsi="Times New Roman" w:cs="Times New Roman"/>
            <w:color w:val="0462C1"/>
            <w:sz w:val="24"/>
            <w:szCs w:val="24"/>
            <w:u w:val="single" w:color="0462C1"/>
          </w:rPr>
          <w:t xml:space="preserve"> uzskaite</w:t>
        </w:r>
      </w:hyperlink>
      <w:r w:rsidRPr="00621A84">
        <w:rPr>
          <w:rFonts w:ascii="Times New Roman" w:hAnsi="Times New Roman" w:cs="Times New Roman"/>
          <w:color w:val="0462C1"/>
          <w:sz w:val="24"/>
          <w:szCs w:val="24"/>
          <w:u w:val="single" w:color="0462C1"/>
        </w:rPr>
        <w:t>”</w:t>
      </w:r>
      <w:r w:rsidRPr="00621A84">
        <w:rPr>
          <w:rFonts w:ascii="Times New Roman" w:hAnsi="Times New Roman" w:cs="Times New Roman"/>
          <w:color w:val="0462C1"/>
          <w:sz w:val="24"/>
          <w:szCs w:val="24"/>
        </w:rPr>
        <w:t xml:space="preserve"> </w:t>
      </w:r>
      <w:r w:rsidRPr="00621A84">
        <w:rPr>
          <w:rFonts w:ascii="Times New Roman" w:hAnsi="Times New Roman" w:cs="Times New Roman"/>
          <w:sz w:val="24"/>
          <w:szCs w:val="24"/>
        </w:rPr>
        <w:t>noteiktās prasības par</w:t>
      </w:r>
      <w:r w:rsidRPr="00621A84">
        <w:rPr>
          <w:rFonts w:ascii="Times New Roman" w:hAnsi="Times New Roman" w:cs="Times New Roman"/>
          <w:spacing w:val="-5"/>
          <w:sz w:val="24"/>
          <w:szCs w:val="24"/>
        </w:rPr>
        <w:t xml:space="preserve"> </w:t>
      </w:r>
      <w:r w:rsidRPr="00621A84">
        <w:rPr>
          <w:rFonts w:ascii="Times New Roman" w:hAnsi="Times New Roman" w:cs="Times New Roman"/>
          <w:sz w:val="24"/>
          <w:szCs w:val="24"/>
        </w:rPr>
        <w:t>inventarizāciju.</w:t>
      </w:r>
    </w:p>
    <w:p w14:paraId="3677B78A"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810.  Inventarizējot saistības pret darījuma partneriem, tai skaitā nākamo periodu ieņēmumus un saņemtos avansa maksājumus, budžeta iestāde ievēro grāmatvedības uzskaites kārtības sadaļā</w:t>
      </w:r>
      <w:r w:rsidRPr="00621A84">
        <w:rPr>
          <w:rFonts w:ascii="Times New Roman" w:hAnsi="Times New Roman" w:cs="Times New Roman"/>
          <w:color w:val="0462C1"/>
          <w:sz w:val="24"/>
          <w:szCs w:val="24"/>
        </w:rPr>
        <w:t xml:space="preserve"> </w:t>
      </w:r>
      <w:r w:rsidRPr="00621A84">
        <w:rPr>
          <w:rFonts w:ascii="Times New Roman" w:hAnsi="Times New Roman" w:cs="Times New Roman"/>
          <w:color w:val="0462C1"/>
          <w:sz w:val="24"/>
          <w:szCs w:val="24"/>
          <w:u w:val="single" w:color="0462C1"/>
        </w:rPr>
        <w:t>“</w:t>
      </w:r>
      <w:hyperlink w:anchor="_bookmark239" w:history="1">
        <w:r w:rsidRPr="00621A84">
          <w:rPr>
            <w:rFonts w:ascii="Times New Roman" w:hAnsi="Times New Roman" w:cs="Times New Roman"/>
            <w:color w:val="0462C1"/>
            <w:sz w:val="24"/>
            <w:szCs w:val="24"/>
            <w:u w:val="single" w:color="0462C1"/>
          </w:rPr>
          <w:t>Saistību uzskaite</w:t>
        </w:r>
      </w:hyperlink>
      <w:r w:rsidRPr="00621A84">
        <w:rPr>
          <w:rFonts w:ascii="Times New Roman" w:hAnsi="Times New Roman" w:cs="Times New Roman"/>
          <w:color w:val="0462C1"/>
          <w:sz w:val="24"/>
          <w:szCs w:val="24"/>
          <w:u w:val="single" w:color="0462C1"/>
        </w:rPr>
        <w:t>”</w:t>
      </w:r>
      <w:r w:rsidRPr="00621A84">
        <w:rPr>
          <w:rFonts w:ascii="Times New Roman" w:hAnsi="Times New Roman" w:cs="Times New Roman"/>
          <w:color w:val="0462C1"/>
          <w:sz w:val="24"/>
          <w:szCs w:val="24"/>
        </w:rPr>
        <w:t xml:space="preserve"> </w:t>
      </w:r>
      <w:r w:rsidRPr="00621A84">
        <w:rPr>
          <w:rFonts w:ascii="Times New Roman" w:hAnsi="Times New Roman" w:cs="Times New Roman"/>
          <w:sz w:val="24"/>
          <w:szCs w:val="24"/>
        </w:rPr>
        <w:t>noteiktās prasības par</w:t>
      </w:r>
      <w:r w:rsidRPr="00621A84">
        <w:rPr>
          <w:rFonts w:ascii="Times New Roman" w:hAnsi="Times New Roman" w:cs="Times New Roman"/>
          <w:spacing w:val="-1"/>
          <w:sz w:val="24"/>
          <w:szCs w:val="24"/>
        </w:rPr>
        <w:t xml:space="preserve"> </w:t>
      </w:r>
      <w:r w:rsidRPr="00621A84">
        <w:rPr>
          <w:rFonts w:ascii="Times New Roman" w:hAnsi="Times New Roman" w:cs="Times New Roman"/>
          <w:sz w:val="24"/>
          <w:szCs w:val="24"/>
        </w:rPr>
        <w:t>inventarizāciju.</w:t>
      </w:r>
    </w:p>
    <w:p w14:paraId="29C8FA35" w14:textId="77777777" w:rsid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621A84">
        <w:rPr>
          <w:rFonts w:ascii="Times New Roman" w:hAnsi="Times New Roman" w:cs="Times New Roman"/>
          <w:b/>
          <w:bCs/>
          <w:sz w:val="24"/>
          <w:szCs w:val="24"/>
        </w:rPr>
        <w:t>19.10. Piemēri</w:t>
      </w:r>
    </w:p>
    <w:p w14:paraId="1E338B43" w14:textId="77777777" w:rsidR="00621A84" w:rsidRPr="001F5F2E" w:rsidRDefault="00621A84"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811.  Ilustratīvajos piemēros aplūkoti tikai divi no daudziem iespējamiem līgumu veidiem. Katrā piemērā pieņemts,</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ka</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publiskās</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un</w:t>
      </w:r>
      <w:r w:rsidRPr="001F5F2E">
        <w:rPr>
          <w:rFonts w:ascii="Times New Roman" w:hAnsi="Times New Roman" w:cs="Times New Roman"/>
          <w:spacing w:val="7"/>
          <w:sz w:val="24"/>
          <w:szCs w:val="24"/>
        </w:rPr>
        <w:t xml:space="preserve"> </w:t>
      </w:r>
      <w:r w:rsidRPr="001F5F2E">
        <w:rPr>
          <w:rFonts w:ascii="Times New Roman" w:hAnsi="Times New Roman" w:cs="Times New Roman"/>
          <w:sz w:val="24"/>
          <w:szCs w:val="24"/>
        </w:rPr>
        <w:t>privātās</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partnerības</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līguma</w:t>
      </w:r>
      <w:r w:rsidRPr="001F5F2E">
        <w:rPr>
          <w:rFonts w:ascii="Times New Roman" w:hAnsi="Times New Roman" w:cs="Times New Roman"/>
          <w:spacing w:val="11"/>
          <w:sz w:val="24"/>
          <w:szCs w:val="24"/>
        </w:rPr>
        <w:t xml:space="preserve"> </w:t>
      </w:r>
      <w:r w:rsidRPr="001F5F2E">
        <w:rPr>
          <w:rFonts w:ascii="Times New Roman" w:hAnsi="Times New Roman" w:cs="Times New Roman"/>
          <w:sz w:val="24"/>
          <w:szCs w:val="24"/>
        </w:rPr>
        <w:t>termiņš</w:t>
      </w:r>
      <w:r w:rsidRPr="001F5F2E">
        <w:rPr>
          <w:rFonts w:ascii="Times New Roman" w:hAnsi="Times New Roman" w:cs="Times New Roman"/>
          <w:spacing w:val="8"/>
          <w:sz w:val="24"/>
          <w:szCs w:val="24"/>
        </w:rPr>
        <w:t xml:space="preserve"> </w:t>
      </w:r>
      <w:r w:rsidRPr="001F5F2E">
        <w:rPr>
          <w:rFonts w:ascii="Times New Roman" w:hAnsi="Times New Roman" w:cs="Times New Roman"/>
          <w:sz w:val="24"/>
          <w:szCs w:val="24"/>
        </w:rPr>
        <w:t>ir</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desmit</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gadu</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un</w:t>
      </w:r>
      <w:r w:rsidRPr="001F5F2E">
        <w:rPr>
          <w:rFonts w:ascii="Times New Roman" w:hAnsi="Times New Roman" w:cs="Times New Roman"/>
          <w:spacing w:val="7"/>
          <w:sz w:val="24"/>
          <w:szCs w:val="24"/>
        </w:rPr>
        <w:t xml:space="preserve"> </w:t>
      </w:r>
      <w:r w:rsidRPr="001F5F2E">
        <w:rPr>
          <w:rFonts w:ascii="Times New Roman" w:hAnsi="Times New Roman" w:cs="Times New Roman"/>
          <w:sz w:val="24"/>
          <w:szCs w:val="24"/>
        </w:rPr>
        <w:t>ka</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privātā</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partnera gada ieņēmumi šajā periodā nemainās. Praksē līguma termiņi var būt garāki, turklāt ieņēmumi laika gaitā var mainīties. Partnerības aktīva nolietojuma aprēķināšanai izmantota lineārā metode. Aprēķini un grāmatojumi sniegti katra piemēra beigās.</w:t>
      </w:r>
    </w:p>
    <w:p w14:paraId="3A72522C" w14:textId="77777777" w:rsidR="00621A84" w:rsidRDefault="00621A84" w:rsidP="00CD363C">
      <w:pPr>
        <w:pStyle w:val="Virsraksts6"/>
        <w:ind w:left="218" w:right="107"/>
        <w:jc w:val="both"/>
      </w:pPr>
      <w:r>
        <w:t>Līguma nosacījumi (vienādi abos piemēros)</w:t>
      </w:r>
    </w:p>
    <w:p w14:paraId="4EC72ABD" w14:textId="77777777" w:rsidR="00621A84" w:rsidRDefault="00621A84" w:rsidP="00CD363C">
      <w:pPr>
        <w:pStyle w:val="Pamatteksts"/>
        <w:ind w:right="107"/>
        <w:jc w:val="both"/>
        <w:rPr>
          <w:b/>
          <w:sz w:val="20"/>
        </w:rPr>
      </w:pPr>
    </w:p>
    <w:p w14:paraId="49BF7CCF" w14:textId="77777777" w:rsidR="00621A84" w:rsidRPr="00E93146" w:rsidRDefault="00621A84"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812.  Šajos</w:t>
      </w:r>
      <w:r w:rsidRPr="00E93146">
        <w:rPr>
          <w:rFonts w:ascii="Times New Roman" w:hAnsi="Times New Roman" w:cs="Times New Roman"/>
          <w:spacing w:val="-9"/>
          <w:sz w:val="24"/>
          <w:szCs w:val="24"/>
        </w:rPr>
        <w:t xml:space="preserve"> </w:t>
      </w:r>
      <w:r w:rsidRPr="00E93146">
        <w:rPr>
          <w:rFonts w:ascii="Times New Roman" w:hAnsi="Times New Roman" w:cs="Times New Roman"/>
          <w:sz w:val="24"/>
          <w:szCs w:val="24"/>
        </w:rPr>
        <w:t>piemēros</w:t>
      </w:r>
      <w:r w:rsidRPr="00E93146">
        <w:rPr>
          <w:rFonts w:ascii="Times New Roman" w:hAnsi="Times New Roman" w:cs="Times New Roman"/>
          <w:spacing w:val="-5"/>
          <w:sz w:val="24"/>
          <w:szCs w:val="24"/>
        </w:rPr>
        <w:t xml:space="preserve"> </w:t>
      </w:r>
      <w:r w:rsidRPr="00E93146">
        <w:rPr>
          <w:rFonts w:ascii="Times New Roman" w:hAnsi="Times New Roman" w:cs="Times New Roman"/>
          <w:sz w:val="24"/>
          <w:szCs w:val="24"/>
        </w:rPr>
        <w:t>visas</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summas</w:t>
      </w:r>
      <w:r w:rsidRPr="00E93146">
        <w:rPr>
          <w:rFonts w:ascii="Times New Roman" w:hAnsi="Times New Roman" w:cs="Times New Roman"/>
          <w:spacing w:val="-9"/>
          <w:sz w:val="24"/>
          <w:szCs w:val="24"/>
        </w:rPr>
        <w:t xml:space="preserve"> </w:t>
      </w:r>
      <w:r w:rsidRPr="00E93146">
        <w:rPr>
          <w:rFonts w:ascii="Times New Roman" w:hAnsi="Times New Roman" w:cs="Times New Roman"/>
          <w:sz w:val="24"/>
          <w:szCs w:val="24"/>
        </w:rPr>
        <w:t>izteiktas</w:t>
      </w:r>
      <w:r w:rsidRPr="00E93146">
        <w:rPr>
          <w:rFonts w:ascii="Times New Roman" w:hAnsi="Times New Roman" w:cs="Times New Roman"/>
          <w:spacing w:val="-3"/>
          <w:sz w:val="24"/>
          <w:szCs w:val="24"/>
        </w:rPr>
        <w:t xml:space="preserve"> </w:t>
      </w:r>
      <w:r w:rsidRPr="00E93146">
        <w:rPr>
          <w:rFonts w:ascii="Times New Roman" w:hAnsi="Times New Roman" w:cs="Times New Roman"/>
          <w:i/>
          <w:sz w:val="24"/>
          <w:szCs w:val="24"/>
        </w:rPr>
        <w:t>euro</w:t>
      </w:r>
      <w:r w:rsidRPr="00E93146">
        <w:rPr>
          <w:rFonts w:ascii="Times New Roman" w:hAnsi="Times New Roman" w:cs="Times New Roman"/>
          <w:i/>
          <w:spacing w:val="-8"/>
          <w:sz w:val="24"/>
          <w:szCs w:val="24"/>
        </w:rPr>
        <w:t xml:space="preserve"> </w:t>
      </w:r>
      <w:r w:rsidRPr="00E93146">
        <w:rPr>
          <w:rFonts w:ascii="Times New Roman" w:hAnsi="Times New Roman" w:cs="Times New Roman"/>
          <w:sz w:val="24"/>
          <w:szCs w:val="24"/>
        </w:rPr>
        <w:t>(EUR).</w:t>
      </w:r>
      <w:r w:rsidRPr="00E93146">
        <w:rPr>
          <w:rFonts w:ascii="Times New Roman" w:hAnsi="Times New Roman" w:cs="Times New Roman"/>
          <w:spacing w:val="-12"/>
          <w:sz w:val="24"/>
          <w:szCs w:val="24"/>
        </w:rPr>
        <w:t xml:space="preserve"> </w:t>
      </w:r>
      <w:r w:rsidRPr="00E93146">
        <w:rPr>
          <w:rFonts w:ascii="Times New Roman" w:hAnsi="Times New Roman" w:cs="Times New Roman"/>
          <w:sz w:val="24"/>
          <w:szCs w:val="24"/>
        </w:rPr>
        <w:t>Tālāk</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minētie</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nosacījumi</w:t>
      </w:r>
      <w:r w:rsidRPr="00E93146">
        <w:rPr>
          <w:rFonts w:ascii="Times New Roman" w:hAnsi="Times New Roman" w:cs="Times New Roman"/>
          <w:spacing w:val="-6"/>
          <w:sz w:val="24"/>
          <w:szCs w:val="24"/>
        </w:rPr>
        <w:t xml:space="preserve"> </w:t>
      </w:r>
      <w:r w:rsidRPr="00E93146">
        <w:rPr>
          <w:rFonts w:ascii="Times New Roman" w:hAnsi="Times New Roman" w:cs="Times New Roman"/>
          <w:sz w:val="24"/>
          <w:szCs w:val="24"/>
        </w:rPr>
        <w:t>vienādi</w:t>
      </w:r>
      <w:r w:rsidRPr="00E93146">
        <w:rPr>
          <w:rFonts w:ascii="Times New Roman" w:hAnsi="Times New Roman" w:cs="Times New Roman"/>
          <w:spacing w:val="-5"/>
          <w:sz w:val="24"/>
          <w:szCs w:val="24"/>
        </w:rPr>
        <w:t xml:space="preserve"> </w:t>
      </w:r>
      <w:r w:rsidRPr="00E93146">
        <w:rPr>
          <w:rFonts w:ascii="Times New Roman" w:hAnsi="Times New Roman" w:cs="Times New Roman"/>
          <w:sz w:val="24"/>
          <w:szCs w:val="24"/>
        </w:rPr>
        <w:t>visos</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piemēros.</w:t>
      </w:r>
    </w:p>
    <w:p w14:paraId="5223FD78" w14:textId="77777777" w:rsidR="00621A84" w:rsidRPr="00E93146"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813</w:t>
      </w:r>
      <w:r w:rsidR="00E93146" w:rsidRPr="00E93146">
        <w:rPr>
          <w:rFonts w:ascii="Times New Roman" w:hAnsi="Times New Roman" w:cs="Times New Roman"/>
          <w:sz w:val="24"/>
          <w:szCs w:val="24"/>
        </w:rPr>
        <w:t>.</w:t>
      </w:r>
      <w:r w:rsidRPr="00E93146">
        <w:rPr>
          <w:rFonts w:ascii="Times New Roman" w:hAnsi="Times New Roman" w:cs="Times New Roman"/>
          <w:sz w:val="24"/>
          <w:szCs w:val="24"/>
        </w:rPr>
        <w:t xml:space="preserve">  Saskaņā ar līguma nosacījumiem privātajam partnerim jāuzbūvē ceļš. Būvniecība jāpabeidz divos gados un pēc tam šis ceļš jāuztur atbilstoši noteiktajiem standartiem vēl astoņus gadus (t.i., no trešā līdz desmitajam gadam). Ceļš atbilst partnerības aktīva atzīšanas</w:t>
      </w:r>
      <w:r w:rsidRPr="00E93146">
        <w:rPr>
          <w:rFonts w:ascii="Times New Roman" w:hAnsi="Times New Roman" w:cs="Times New Roman"/>
          <w:spacing w:val="-13"/>
          <w:sz w:val="24"/>
          <w:szCs w:val="24"/>
        </w:rPr>
        <w:t xml:space="preserve"> </w:t>
      </w:r>
      <w:r w:rsidRPr="00E93146">
        <w:rPr>
          <w:rFonts w:ascii="Times New Roman" w:hAnsi="Times New Roman" w:cs="Times New Roman"/>
          <w:sz w:val="24"/>
          <w:szCs w:val="24"/>
        </w:rPr>
        <w:t>nosacījumiem.</w:t>
      </w:r>
    </w:p>
    <w:p w14:paraId="49BFD07D"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814.  </w:t>
      </w:r>
      <w:r w:rsidR="00621A84" w:rsidRPr="00E93146">
        <w:rPr>
          <w:rFonts w:ascii="Times New Roman" w:hAnsi="Times New Roman" w:cs="Times New Roman"/>
          <w:sz w:val="24"/>
          <w:szCs w:val="24"/>
        </w:rPr>
        <w:t>Saskaņā ar līguma nosacījumiem privātajam partnerim arī jāatjauno ceļa segums, kad sākotnējais segums</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ir</w:t>
      </w:r>
      <w:r w:rsidR="00621A84" w:rsidRPr="00E93146">
        <w:rPr>
          <w:rFonts w:ascii="Times New Roman" w:hAnsi="Times New Roman" w:cs="Times New Roman"/>
          <w:spacing w:val="-4"/>
          <w:sz w:val="24"/>
          <w:szCs w:val="24"/>
        </w:rPr>
        <w:t xml:space="preserve"> </w:t>
      </w:r>
      <w:r w:rsidR="00621A84" w:rsidRPr="00E93146">
        <w:rPr>
          <w:rFonts w:ascii="Times New Roman" w:hAnsi="Times New Roman" w:cs="Times New Roman"/>
          <w:sz w:val="24"/>
          <w:szCs w:val="24"/>
        </w:rPr>
        <w:t>pasliktinājies</w:t>
      </w:r>
      <w:r w:rsidR="00621A84" w:rsidRPr="00E93146">
        <w:rPr>
          <w:rFonts w:ascii="Times New Roman" w:hAnsi="Times New Roman" w:cs="Times New Roman"/>
          <w:spacing w:val="-4"/>
          <w:sz w:val="24"/>
          <w:szCs w:val="24"/>
        </w:rPr>
        <w:t xml:space="preserve"> </w:t>
      </w:r>
      <w:r w:rsidR="00621A84" w:rsidRPr="00E93146">
        <w:rPr>
          <w:rFonts w:ascii="Times New Roman" w:hAnsi="Times New Roman" w:cs="Times New Roman"/>
          <w:sz w:val="24"/>
          <w:szCs w:val="24"/>
        </w:rPr>
        <w:t>un</w:t>
      </w:r>
      <w:r w:rsidR="00621A84" w:rsidRPr="00E93146">
        <w:rPr>
          <w:rFonts w:ascii="Times New Roman" w:hAnsi="Times New Roman" w:cs="Times New Roman"/>
          <w:spacing w:val="-8"/>
          <w:sz w:val="24"/>
          <w:szCs w:val="24"/>
        </w:rPr>
        <w:t xml:space="preserve"> </w:t>
      </w:r>
      <w:r w:rsidR="00621A84" w:rsidRPr="00E93146">
        <w:rPr>
          <w:rFonts w:ascii="Times New Roman" w:hAnsi="Times New Roman" w:cs="Times New Roman"/>
          <w:sz w:val="24"/>
          <w:szCs w:val="24"/>
        </w:rPr>
        <w:t>vairs</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neatbilst</w:t>
      </w:r>
      <w:r w:rsidR="00621A84" w:rsidRPr="00E93146">
        <w:rPr>
          <w:rFonts w:ascii="Times New Roman" w:hAnsi="Times New Roman" w:cs="Times New Roman"/>
          <w:spacing w:val="-2"/>
          <w:sz w:val="24"/>
          <w:szCs w:val="24"/>
        </w:rPr>
        <w:t xml:space="preserve"> </w:t>
      </w:r>
      <w:r w:rsidR="00621A84" w:rsidRPr="00E93146">
        <w:rPr>
          <w:rFonts w:ascii="Times New Roman" w:hAnsi="Times New Roman" w:cs="Times New Roman"/>
          <w:sz w:val="24"/>
          <w:szCs w:val="24"/>
        </w:rPr>
        <w:t>noteiktajam</w:t>
      </w:r>
      <w:r w:rsidR="00621A84" w:rsidRPr="00E93146">
        <w:rPr>
          <w:rFonts w:ascii="Times New Roman" w:hAnsi="Times New Roman" w:cs="Times New Roman"/>
          <w:spacing w:val="-7"/>
          <w:sz w:val="24"/>
          <w:szCs w:val="24"/>
        </w:rPr>
        <w:t xml:space="preserve"> </w:t>
      </w:r>
      <w:r w:rsidR="00621A84" w:rsidRPr="00E93146">
        <w:rPr>
          <w:rFonts w:ascii="Times New Roman" w:hAnsi="Times New Roman" w:cs="Times New Roman"/>
          <w:sz w:val="24"/>
          <w:szCs w:val="24"/>
        </w:rPr>
        <w:t>stāvoklim.</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Privātais</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partneris</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ir</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aplēsis,</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ka</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ceļa seguma atjaunošana būs jāveic astotā gada beigās un ka atjaunošanas darbu patiesā vērtība būs     110 000,00 EUR. Atlīdzība privātajam partnerim par šo pakalpojumu iekļauta iepriekš noteiktos maksājumos un/vai ieņēmumos, kurus privātajam partnerim ir tiesības gūt no partnerības aktīva, ko privātajam partnerim piešķīrusi budžeta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iestāde.</w:t>
      </w:r>
    </w:p>
    <w:p w14:paraId="5EAE3AD4"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815.  </w:t>
      </w:r>
      <w:r w:rsidR="00621A84" w:rsidRPr="00E93146">
        <w:rPr>
          <w:rFonts w:ascii="Times New Roman" w:hAnsi="Times New Roman" w:cs="Times New Roman"/>
          <w:sz w:val="24"/>
          <w:szCs w:val="24"/>
        </w:rPr>
        <w:t>Pieņemts,</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ka</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sākotnējais</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segums</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ir</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atsevišķa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aktīva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komponente</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un</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aktīva sākotnējās atzīšanas dienā tā atbilst pamatlīdzekļa kapitalizācijas</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kritērijiem.</w:t>
      </w:r>
    </w:p>
    <w:p w14:paraId="5D13B4AD"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816.  </w:t>
      </w:r>
      <w:r w:rsidR="00621A84" w:rsidRPr="00E93146">
        <w:rPr>
          <w:rFonts w:ascii="Times New Roman" w:hAnsi="Times New Roman" w:cs="Times New Roman"/>
          <w:sz w:val="24"/>
          <w:szCs w:val="24"/>
        </w:rPr>
        <w:t>Tāpat pieņemts, ka ceļa seguma atjaunošanas darbu laiks un apjoms ir nosakāms pietiekami droši, lai atzītu tos par atsevišķu komponenti. Pieņemts, ka paredzamos ceļa seguma atjaunošanas izdevumus var</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izmantot,</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lai</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aplēstu</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seguma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sākotnējās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izmaksas,</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kas</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uzrādīta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kā</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atsevišķa</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aktīva komponente.</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Līdz</w:t>
      </w:r>
      <w:r w:rsidR="00621A84" w:rsidRPr="00E93146">
        <w:rPr>
          <w:rFonts w:ascii="Times New Roman" w:hAnsi="Times New Roman" w:cs="Times New Roman"/>
          <w:spacing w:val="-18"/>
          <w:sz w:val="24"/>
          <w:szCs w:val="24"/>
        </w:rPr>
        <w:t xml:space="preserve"> </w:t>
      </w:r>
      <w:r w:rsidR="00621A84" w:rsidRPr="00E93146">
        <w:rPr>
          <w:rFonts w:ascii="Times New Roman" w:hAnsi="Times New Roman" w:cs="Times New Roman"/>
          <w:sz w:val="24"/>
          <w:szCs w:val="24"/>
        </w:rPr>
        <w:t>ar</w:t>
      </w:r>
      <w:r w:rsidR="00621A84" w:rsidRPr="00E93146">
        <w:rPr>
          <w:rFonts w:ascii="Times New Roman" w:hAnsi="Times New Roman" w:cs="Times New Roman"/>
          <w:spacing w:val="-18"/>
          <w:sz w:val="24"/>
          <w:szCs w:val="24"/>
        </w:rPr>
        <w:t xml:space="preserve"> </w:t>
      </w:r>
      <w:r w:rsidR="00621A84" w:rsidRPr="00E93146">
        <w:rPr>
          <w:rFonts w:ascii="Times New Roman" w:hAnsi="Times New Roman" w:cs="Times New Roman"/>
          <w:sz w:val="24"/>
          <w:szCs w:val="24"/>
        </w:rPr>
        <w:t>to</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18"/>
          <w:sz w:val="24"/>
          <w:szCs w:val="24"/>
        </w:rPr>
        <w:t xml:space="preserve"> </w:t>
      </w:r>
      <w:r w:rsidR="00621A84" w:rsidRPr="00E93146">
        <w:rPr>
          <w:rFonts w:ascii="Times New Roman" w:hAnsi="Times New Roman" w:cs="Times New Roman"/>
          <w:sz w:val="24"/>
          <w:szCs w:val="24"/>
        </w:rPr>
        <w:t>segumu</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uzrāda</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kā</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aktīva</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sākotnējās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patiesās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vērtības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atsevišķu komponenti</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un</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novērtē</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aplēstajā</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seguma</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atjaunošanas</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patiesajā</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vērtībā.</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Nolietojumu</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aprēķina</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no trešā līdz astotajam gadam. Šāds nolietojuma periods ir īsāks par ceļa seguma pamata nolietojuma periodu, tādējādi ņemot vērā, ka ceļa seguma atjaunošana parasti notiek ik pēc sešiem, nevis 20 gadiem, kas noteiktais lietderīgās lietošanas laiks ceļa segas pamatam. Piemērā pieņemts, ka būvniecības posma pirmajā gadā būvē tikai ceļa seguma pamatu un ka ceļš ir gatavs ekspluatācijai tikai otrā gada beigās.</w:t>
      </w:r>
    </w:p>
    <w:p w14:paraId="58072CA2"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817.  </w:t>
      </w:r>
      <w:r w:rsidR="00621A84" w:rsidRPr="00E93146">
        <w:rPr>
          <w:rFonts w:ascii="Times New Roman" w:hAnsi="Times New Roman" w:cs="Times New Roman"/>
          <w:sz w:val="24"/>
          <w:szCs w:val="24"/>
        </w:rPr>
        <w:t>Uzrādot ceļa seguma aizvietojošo komponenti kā atsevišķu partnerības aktīva komponenti astotajā gadā, palielinās arī budžeta iestādes uzrādītās saistības. Tomēr, ja izdevumi uzlabo funkcijas izpildi, piemēram,</w:t>
      </w:r>
      <w:r w:rsidR="00621A84" w:rsidRPr="00E93146">
        <w:rPr>
          <w:rFonts w:ascii="Times New Roman" w:hAnsi="Times New Roman" w:cs="Times New Roman"/>
          <w:spacing w:val="-14"/>
          <w:sz w:val="24"/>
          <w:szCs w:val="24"/>
        </w:rPr>
        <w:t xml:space="preserve"> </w:t>
      </w:r>
      <w:r w:rsidR="00621A84" w:rsidRPr="00E93146">
        <w:rPr>
          <w:rFonts w:ascii="Times New Roman" w:hAnsi="Times New Roman" w:cs="Times New Roman"/>
          <w:sz w:val="24"/>
          <w:szCs w:val="24"/>
        </w:rPr>
        <w:t>ieviešot</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jaunu</w:t>
      </w:r>
      <w:r w:rsidR="00621A84" w:rsidRPr="00E93146">
        <w:rPr>
          <w:rFonts w:ascii="Times New Roman" w:hAnsi="Times New Roman" w:cs="Times New Roman"/>
          <w:spacing w:val="-14"/>
          <w:sz w:val="24"/>
          <w:szCs w:val="24"/>
        </w:rPr>
        <w:t xml:space="preserve"> </w:t>
      </w:r>
      <w:r w:rsidR="00621A84" w:rsidRPr="00E93146">
        <w:rPr>
          <w:rFonts w:ascii="Times New Roman" w:hAnsi="Times New Roman" w:cs="Times New Roman"/>
          <w:sz w:val="24"/>
          <w:szCs w:val="24"/>
        </w:rPr>
        <w:t>kustības</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joslu,</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nevis</w:t>
      </w:r>
      <w:r w:rsidR="00621A84" w:rsidRPr="00E93146">
        <w:rPr>
          <w:rFonts w:ascii="Times New Roman" w:hAnsi="Times New Roman" w:cs="Times New Roman"/>
          <w:spacing w:val="-14"/>
          <w:sz w:val="24"/>
          <w:szCs w:val="24"/>
        </w:rPr>
        <w:t xml:space="preserve"> </w:t>
      </w:r>
      <w:r w:rsidR="00621A84" w:rsidRPr="00E93146">
        <w:rPr>
          <w:rFonts w:ascii="Times New Roman" w:hAnsi="Times New Roman" w:cs="Times New Roman"/>
          <w:sz w:val="24"/>
          <w:szCs w:val="24"/>
        </w:rPr>
        <w:t>tikai</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sākotnējās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funkcijas</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izpildes</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atjaunošanu,</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pareizāk būtu no šiem uzlabojumiem izrietošos ieņēmumus uzrādīt tikai tad, kad tie ir</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veikti.</w:t>
      </w:r>
    </w:p>
    <w:p w14:paraId="26483040"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818.  </w:t>
      </w:r>
      <w:r w:rsidR="00621A84" w:rsidRPr="00E93146">
        <w:rPr>
          <w:rFonts w:ascii="Times New Roman" w:hAnsi="Times New Roman" w:cs="Times New Roman"/>
          <w:sz w:val="24"/>
          <w:szCs w:val="24"/>
        </w:rPr>
        <w:t>Trešā gada sākumā ceļa kopējā patiesā vērtība ir 1 050 000,00 EUR, ko veido 940 000,00 EUR par ceļa seguma pamata būvniecību un 110 000,00 EUR par ceļa seguma būvniecību. Seguma patieso vērtību lieto, lai noteiktu patieso vērtību ceļa seguma atjaunošanai (veic aktīva daļas uzskaiti saskaņā ar Rokasgrāmatas sadaļā “Pamatlīdzekļu uzskaite” noteiktajiem pamatlīdzekļa daļu uzskaites principiem). Ceļa seguma lietderīgās lietošanas laiku (6 gadi) lieto arī, lai noteiktu komponentes nolietojumu līguma darbības 9. un 10.</w:t>
      </w:r>
      <w:r w:rsidR="00621A84" w:rsidRPr="00E93146">
        <w:rPr>
          <w:rFonts w:ascii="Times New Roman" w:hAnsi="Times New Roman" w:cs="Times New Roman"/>
          <w:spacing w:val="-1"/>
          <w:sz w:val="24"/>
          <w:szCs w:val="24"/>
        </w:rPr>
        <w:t xml:space="preserve"> </w:t>
      </w:r>
      <w:r w:rsidR="00621A84" w:rsidRPr="00E93146">
        <w:rPr>
          <w:rFonts w:ascii="Times New Roman" w:hAnsi="Times New Roman" w:cs="Times New Roman"/>
          <w:sz w:val="24"/>
          <w:szCs w:val="24"/>
        </w:rPr>
        <w:t>gadā.</w:t>
      </w:r>
    </w:p>
    <w:p w14:paraId="3A6FC238" w14:textId="77777777" w:rsidR="00621A84"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819.  </w:t>
      </w:r>
      <w:r w:rsidR="00621A84" w:rsidRPr="00E93146">
        <w:rPr>
          <w:rFonts w:ascii="Times New Roman" w:hAnsi="Times New Roman" w:cs="Times New Roman"/>
          <w:sz w:val="24"/>
          <w:szCs w:val="24"/>
        </w:rPr>
        <w:t xml:space="preserve">Ceļa seguma pamata lietderīgās lietošanas laiks ir 20 gadi. Budžeta iestāde ikgadējo nolietojumu aprēķina, izmantojot lineāro metodi. Ceļa seguma pamata slāņu nolietojums ir 65 333,33 EUR gadā </w:t>
      </w:r>
      <w:r w:rsidR="00621A84" w:rsidRPr="00E93146">
        <w:rPr>
          <w:rFonts w:ascii="Times New Roman" w:hAnsi="Times New Roman" w:cs="Times New Roman"/>
          <w:i/>
          <w:sz w:val="24"/>
          <w:szCs w:val="24"/>
        </w:rPr>
        <w:t>(940</w:t>
      </w:r>
      <w:r w:rsidR="00621A84" w:rsidRPr="00E93146">
        <w:rPr>
          <w:rFonts w:ascii="Times New Roman" w:hAnsi="Times New Roman" w:cs="Times New Roman"/>
          <w:i/>
          <w:spacing w:val="-2"/>
          <w:sz w:val="24"/>
          <w:szCs w:val="24"/>
        </w:rPr>
        <w:t xml:space="preserve"> </w:t>
      </w:r>
      <w:r w:rsidR="00621A84" w:rsidRPr="00E93146">
        <w:rPr>
          <w:rFonts w:ascii="Times New Roman" w:hAnsi="Times New Roman" w:cs="Times New Roman"/>
          <w:i/>
          <w:sz w:val="24"/>
          <w:szCs w:val="24"/>
        </w:rPr>
        <w:t>000,00</w:t>
      </w:r>
      <w:r w:rsidR="00621A84" w:rsidRPr="00E93146">
        <w:rPr>
          <w:rFonts w:ascii="Times New Roman" w:hAnsi="Times New Roman" w:cs="Times New Roman"/>
          <w:i/>
          <w:spacing w:val="-5"/>
          <w:sz w:val="24"/>
          <w:szCs w:val="24"/>
        </w:rPr>
        <w:t xml:space="preserve"> </w:t>
      </w:r>
      <w:r w:rsidR="00621A84" w:rsidRPr="00E93146">
        <w:rPr>
          <w:rFonts w:ascii="Times New Roman" w:hAnsi="Times New Roman" w:cs="Times New Roman"/>
          <w:i/>
          <w:sz w:val="24"/>
          <w:szCs w:val="24"/>
        </w:rPr>
        <w:t>EUR</w:t>
      </w:r>
      <w:r w:rsidR="00621A84" w:rsidRPr="00E93146">
        <w:rPr>
          <w:rFonts w:ascii="Times New Roman" w:hAnsi="Times New Roman" w:cs="Times New Roman"/>
          <w:i/>
          <w:spacing w:val="-8"/>
          <w:sz w:val="24"/>
          <w:szCs w:val="24"/>
        </w:rPr>
        <w:t xml:space="preserve"> </w:t>
      </w:r>
      <w:r w:rsidR="00621A84" w:rsidRPr="00E93146">
        <w:rPr>
          <w:rFonts w:ascii="Times New Roman" w:hAnsi="Times New Roman" w:cs="Times New Roman"/>
          <w:i/>
          <w:sz w:val="24"/>
          <w:szCs w:val="24"/>
        </w:rPr>
        <w:t>/</w:t>
      </w:r>
      <w:r w:rsidR="00621A84" w:rsidRPr="00E93146">
        <w:rPr>
          <w:rFonts w:ascii="Times New Roman" w:hAnsi="Times New Roman" w:cs="Times New Roman"/>
          <w:i/>
          <w:spacing w:val="-5"/>
          <w:sz w:val="24"/>
          <w:szCs w:val="24"/>
        </w:rPr>
        <w:t xml:space="preserve"> </w:t>
      </w:r>
      <w:r w:rsidR="00621A84" w:rsidRPr="00E93146">
        <w:rPr>
          <w:rFonts w:ascii="Times New Roman" w:hAnsi="Times New Roman" w:cs="Times New Roman"/>
          <w:i/>
          <w:sz w:val="24"/>
          <w:szCs w:val="24"/>
        </w:rPr>
        <w:t>20</w:t>
      </w:r>
      <w:r w:rsidR="00621A84" w:rsidRPr="00E93146">
        <w:rPr>
          <w:rFonts w:ascii="Times New Roman" w:hAnsi="Times New Roman" w:cs="Times New Roman"/>
          <w:i/>
          <w:spacing w:val="-5"/>
          <w:sz w:val="24"/>
          <w:szCs w:val="24"/>
        </w:rPr>
        <w:t xml:space="preserve"> </w:t>
      </w:r>
      <w:r w:rsidR="00621A84" w:rsidRPr="00E93146">
        <w:rPr>
          <w:rFonts w:ascii="Times New Roman" w:hAnsi="Times New Roman" w:cs="Times New Roman"/>
          <w:i/>
          <w:sz w:val="24"/>
          <w:szCs w:val="24"/>
        </w:rPr>
        <w:t>gadi)</w:t>
      </w:r>
      <w:r w:rsidR="00621A84" w:rsidRPr="00E93146">
        <w:rPr>
          <w:rFonts w:ascii="Times New Roman" w:hAnsi="Times New Roman" w:cs="Times New Roman"/>
          <w:sz w:val="24"/>
          <w:szCs w:val="24"/>
        </w:rPr>
        <w:t>.</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seguma</w:t>
      </w:r>
      <w:r w:rsidR="00621A84" w:rsidRPr="00E93146">
        <w:rPr>
          <w:rFonts w:ascii="Times New Roman" w:hAnsi="Times New Roman" w:cs="Times New Roman"/>
          <w:spacing w:val="-4"/>
          <w:sz w:val="24"/>
          <w:szCs w:val="24"/>
        </w:rPr>
        <w:t xml:space="preserve"> </w:t>
      </w:r>
      <w:r w:rsidR="00621A84" w:rsidRPr="00E93146">
        <w:rPr>
          <w:rFonts w:ascii="Times New Roman" w:hAnsi="Times New Roman" w:cs="Times New Roman"/>
          <w:sz w:val="24"/>
          <w:szCs w:val="24"/>
        </w:rPr>
        <w:t>nolietojumu</w:t>
      </w:r>
      <w:r w:rsidR="00621A84" w:rsidRPr="00E93146">
        <w:rPr>
          <w:rFonts w:ascii="Times New Roman" w:hAnsi="Times New Roman" w:cs="Times New Roman"/>
          <w:spacing w:val="-7"/>
          <w:sz w:val="24"/>
          <w:szCs w:val="24"/>
        </w:rPr>
        <w:t xml:space="preserve"> </w:t>
      </w:r>
      <w:r w:rsidR="00621A84" w:rsidRPr="00E93146">
        <w:rPr>
          <w:rFonts w:ascii="Times New Roman" w:hAnsi="Times New Roman" w:cs="Times New Roman"/>
          <w:sz w:val="24"/>
          <w:szCs w:val="24"/>
        </w:rPr>
        <w:t>aprēķina</w:t>
      </w:r>
      <w:r w:rsidR="00621A84" w:rsidRPr="00E93146">
        <w:rPr>
          <w:rFonts w:ascii="Times New Roman" w:hAnsi="Times New Roman" w:cs="Times New Roman"/>
          <w:spacing w:val="-6"/>
          <w:sz w:val="24"/>
          <w:szCs w:val="24"/>
        </w:rPr>
        <w:t xml:space="preserve"> </w:t>
      </w:r>
      <w:r w:rsidR="00621A84" w:rsidRPr="00E93146">
        <w:rPr>
          <w:rFonts w:ascii="Times New Roman" w:hAnsi="Times New Roman" w:cs="Times New Roman"/>
          <w:sz w:val="24"/>
          <w:szCs w:val="24"/>
        </w:rPr>
        <w:t>sešos</w:t>
      </w:r>
      <w:r w:rsidR="00621A84" w:rsidRPr="00E93146">
        <w:rPr>
          <w:rFonts w:ascii="Times New Roman" w:hAnsi="Times New Roman" w:cs="Times New Roman"/>
          <w:spacing w:val="-6"/>
          <w:sz w:val="24"/>
          <w:szCs w:val="24"/>
        </w:rPr>
        <w:t xml:space="preserve"> </w:t>
      </w:r>
      <w:r w:rsidR="00621A84" w:rsidRPr="00E93146">
        <w:rPr>
          <w:rFonts w:ascii="Times New Roman" w:hAnsi="Times New Roman" w:cs="Times New Roman"/>
          <w:sz w:val="24"/>
          <w:szCs w:val="24"/>
        </w:rPr>
        <w:t>gados</w:t>
      </w:r>
      <w:r w:rsidR="00621A84" w:rsidRPr="00E93146">
        <w:rPr>
          <w:rFonts w:ascii="Times New Roman" w:hAnsi="Times New Roman" w:cs="Times New Roman"/>
          <w:spacing w:val="-6"/>
          <w:sz w:val="24"/>
          <w:szCs w:val="24"/>
        </w:rPr>
        <w:t xml:space="preserve"> </w:t>
      </w:r>
      <w:r w:rsidR="00621A84" w:rsidRPr="00E93146">
        <w:rPr>
          <w:rFonts w:ascii="Times New Roman" w:hAnsi="Times New Roman" w:cs="Times New Roman"/>
          <w:sz w:val="24"/>
          <w:szCs w:val="24"/>
        </w:rPr>
        <w:t>(sākotnējai</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 xml:space="preserve">komponentei no trešā līdz astotajam gadam un aizvietojošajai komponentei ─ sākot ar devīto gadu). Ceļa seguma nolietojums ir 18 333,33 EUR gadā </w:t>
      </w:r>
      <w:r w:rsidR="00621A84" w:rsidRPr="00E93146">
        <w:rPr>
          <w:rFonts w:ascii="Times New Roman" w:hAnsi="Times New Roman" w:cs="Times New Roman"/>
          <w:i/>
          <w:sz w:val="24"/>
          <w:szCs w:val="24"/>
        </w:rPr>
        <w:t xml:space="preserve">(110 000,00 EUR/6 gadi). </w:t>
      </w:r>
      <w:r w:rsidR="00621A84" w:rsidRPr="001F5F2E">
        <w:rPr>
          <w:rFonts w:ascii="Times New Roman" w:hAnsi="Times New Roman" w:cs="Times New Roman"/>
          <w:sz w:val="24"/>
          <w:szCs w:val="24"/>
        </w:rPr>
        <w:t>Līguma laikā ceļa vērtība nav samazinājusies.</w:t>
      </w:r>
    </w:p>
    <w:p w14:paraId="6C7AB64F" w14:textId="77777777" w:rsidR="00621A84"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 xml:space="preserve">820.  </w:t>
      </w:r>
      <w:r w:rsidR="00621A84" w:rsidRPr="001F5F2E">
        <w:rPr>
          <w:rFonts w:ascii="Times New Roman" w:hAnsi="Times New Roman" w:cs="Times New Roman"/>
          <w:sz w:val="24"/>
          <w:szCs w:val="24"/>
        </w:rPr>
        <w:t>Līgumā ietvertā procentu likme attiecībā uz partnerības aktīvu ir</w:t>
      </w:r>
      <w:r w:rsidR="00621A84" w:rsidRPr="001F5F2E">
        <w:rPr>
          <w:rFonts w:ascii="Times New Roman" w:hAnsi="Times New Roman" w:cs="Times New Roman"/>
          <w:spacing w:val="-10"/>
          <w:sz w:val="24"/>
          <w:szCs w:val="24"/>
        </w:rPr>
        <w:t xml:space="preserve"> </w:t>
      </w:r>
      <w:r w:rsidR="00621A84" w:rsidRPr="001F5F2E">
        <w:rPr>
          <w:rFonts w:ascii="Times New Roman" w:hAnsi="Times New Roman" w:cs="Times New Roman"/>
          <w:sz w:val="24"/>
          <w:szCs w:val="24"/>
        </w:rPr>
        <w:t>6,18%.</w:t>
      </w:r>
    </w:p>
    <w:p w14:paraId="3AB0D7FB" w14:textId="77777777" w:rsidR="00621A84"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 xml:space="preserve">821.  </w:t>
      </w:r>
      <w:r w:rsidR="00621A84" w:rsidRPr="001F5F2E">
        <w:rPr>
          <w:rFonts w:ascii="Times New Roman" w:hAnsi="Times New Roman" w:cs="Times New Roman"/>
          <w:sz w:val="24"/>
          <w:szCs w:val="24"/>
        </w:rPr>
        <w:t>Piemērā pieņemts, ka jebkuras naudas plūsmas veidojas gada</w:t>
      </w:r>
      <w:r w:rsidR="00621A84" w:rsidRPr="001F5F2E">
        <w:rPr>
          <w:rFonts w:ascii="Times New Roman" w:hAnsi="Times New Roman" w:cs="Times New Roman"/>
          <w:spacing w:val="-4"/>
          <w:sz w:val="24"/>
          <w:szCs w:val="24"/>
        </w:rPr>
        <w:t xml:space="preserve"> </w:t>
      </w:r>
      <w:r w:rsidR="00621A84" w:rsidRPr="001F5F2E">
        <w:rPr>
          <w:rFonts w:ascii="Times New Roman" w:hAnsi="Times New Roman" w:cs="Times New Roman"/>
          <w:sz w:val="24"/>
          <w:szCs w:val="24"/>
        </w:rPr>
        <w:t>beigās.</w:t>
      </w:r>
    </w:p>
    <w:p w14:paraId="2D5A8596"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822.  Desmitā gada beigās līgums izbeigsies. Līguma darbības beigās privātais partneris nodod ceļa uzturēšanu budžeta</w:t>
      </w:r>
      <w:r w:rsidRPr="001F5F2E">
        <w:rPr>
          <w:rFonts w:ascii="Times New Roman" w:hAnsi="Times New Roman" w:cs="Times New Roman"/>
          <w:spacing w:val="-3"/>
          <w:sz w:val="24"/>
          <w:szCs w:val="24"/>
        </w:rPr>
        <w:t xml:space="preserve"> </w:t>
      </w:r>
      <w:r w:rsidRPr="001F5F2E">
        <w:rPr>
          <w:rFonts w:ascii="Times New Roman" w:hAnsi="Times New Roman" w:cs="Times New Roman"/>
          <w:sz w:val="24"/>
          <w:szCs w:val="24"/>
        </w:rPr>
        <w:t>iestādei.</w:t>
      </w:r>
    </w:p>
    <w:p w14:paraId="04C39753"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823.  Kopējā atlīdzība, kas pienākas privātajam partnerim, abos piemēros ietver katru pakalpojumu komponenti un atbilst katra pakalpojuma patiesai vērtībai, kā norādīts 1.</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tabulā.</w:t>
      </w:r>
    </w:p>
    <w:p w14:paraId="5E90F7BC"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824.  Pamatlīdzekļus uzskaita saskaņā ar grāmatvedības uzskaites kārtības sadaļā</w:t>
      </w:r>
      <w:r w:rsidRPr="001F5F2E">
        <w:rPr>
          <w:rFonts w:ascii="Times New Roman" w:hAnsi="Times New Roman" w:cs="Times New Roman"/>
          <w:color w:val="0462C1"/>
          <w:sz w:val="24"/>
          <w:szCs w:val="24"/>
        </w:rPr>
        <w:t xml:space="preserve"> </w:t>
      </w:r>
      <w:r w:rsidRPr="001F5F2E">
        <w:rPr>
          <w:rFonts w:ascii="Times New Roman" w:hAnsi="Times New Roman" w:cs="Times New Roman"/>
          <w:color w:val="0462C1"/>
          <w:sz w:val="24"/>
          <w:szCs w:val="24"/>
          <w:u w:val="single" w:color="0462C1"/>
        </w:rPr>
        <w:t>“</w:t>
      </w:r>
      <w:hyperlink w:anchor="_bookmark33" w:history="1">
        <w:r w:rsidRPr="001F5F2E">
          <w:rPr>
            <w:rFonts w:ascii="Times New Roman" w:hAnsi="Times New Roman" w:cs="Times New Roman"/>
            <w:color w:val="0462C1"/>
            <w:sz w:val="24"/>
            <w:szCs w:val="24"/>
            <w:u w:val="single" w:color="0462C1"/>
          </w:rPr>
          <w:t>Pamatlīdzekļu uzskaite</w:t>
        </w:r>
      </w:hyperlink>
      <w:r w:rsidRPr="001F5F2E">
        <w:rPr>
          <w:rFonts w:ascii="Times New Roman" w:hAnsi="Times New Roman" w:cs="Times New Roman"/>
          <w:color w:val="0462C1"/>
          <w:sz w:val="24"/>
          <w:szCs w:val="24"/>
          <w:u w:val="single" w:color="0462C1"/>
        </w:rPr>
        <w:t>”</w:t>
      </w:r>
      <w:r w:rsidRPr="001F5F2E">
        <w:rPr>
          <w:rFonts w:ascii="Times New Roman" w:hAnsi="Times New Roman" w:cs="Times New Roman"/>
          <w:color w:val="0462C1"/>
          <w:sz w:val="24"/>
          <w:szCs w:val="24"/>
        </w:rPr>
        <w:t xml:space="preserve"> </w:t>
      </w:r>
      <w:r w:rsidRPr="001F5F2E">
        <w:rPr>
          <w:rFonts w:ascii="Times New Roman" w:hAnsi="Times New Roman" w:cs="Times New Roman"/>
          <w:sz w:val="24"/>
          <w:szCs w:val="24"/>
        </w:rPr>
        <w:t>noteiktajiem uzskaites</w:t>
      </w:r>
      <w:r w:rsidRPr="001F5F2E">
        <w:rPr>
          <w:rFonts w:ascii="Times New Roman" w:hAnsi="Times New Roman" w:cs="Times New Roman"/>
          <w:spacing w:val="-1"/>
          <w:sz w:val="24"/>
          <w:szCs w:val="24"/>
        </w:rPr>
        <w:t xml:space="preserve"> </w:t>
      </w:r>
      <w:r w:rsidRPr="001F5F2E">
        <w:rPr>
          <w:rFonts w:ascii="Times New Roman" w:hAnsi="Times New Roman" w:cs="Times New Roman"/>
          <w:sz w:val="24"/>
          <w:szCs w:val="24"/>
        </w:rPr>
        <w:t>principiem.</w:t>
      </w:r>
    </w:p>
    <w:p w14:paraId="7A7CC40E" w14:textId="77777777" w:rsidR="00E93146" w:rsidRPr="001F5F2E" w:rsidRDefault="00E93146" w:rsidP="00CD363C">
      <w:pPr>
        <w:pStyle w:val="Sarakstarindkopa"/>
        <w:widowControl w:val="0"/>
        <w:numPr>
          <w:ilvl w:val="2"/>
          <w:numId w:val="22"/>
        </w:numPr>
        <w:tabs>
          <w:tab w:val="left" w:pos="5289"/>
        </w:tabs>
        <w:autoSpaceDE w:val="0"/>
        <w:autoSpaceDN w:val="0"/>
        <w:spacing w:after="0" w:line="240" w:lineRule="auto"/>
        <w:ind w:right="107" w:hanging="151"/>
        <w:contextualSpacing w:val="0"/>
        <w:jc w:val="both"/>
        <w:rPr>
          <w:rFonts w:ascii="Times New Roman" w:hAnsi="Times New Roman" w:cs="Times New Roman"/>
          <w:i/>
          <w:sz w:val="24"/>
          <w:szCs w:val="24"/>
        </w:rPr>
      </w:pPr>
      <w:r w:rsidRPr="001F5F2E">
        <w:rPr>
          <w:rFonts w:ascii="Times New Roman" w:hAnsi="Times New Roman" w:cs="Times New Roman"/>
          <w:i/>
          <w:sz w:val="24"/>
          <w:szCs w:val="24"/>
        </w:rPr>
        <w:t>tabula. Līgumā ietverto komponenšu patiesās</w:t>
      </w:r>
      <w:r w:rsidRPr="001F5F2E">
        <w:rPr>
          <w:rFonts w:ascii="Times New Roman" w:hAnsi="Times New Roman" w:cs="Times New Roman"/>
          <w:i/>
          <w:spacing w:val="-5"/>
          <w:sz w:val="24"/>
          <w:szCs w:val="24"/>
        </w:rPr>
        <w:t xml:space="preserve"> </w:t>
      </w:r>
      <w:r w:rsidRPr="001F5F2E">
        <w:rPr>
          <w:rFonts w:ascii="Times New Roman" w:hAnsi="Times New Roman" w:cs="Times New Roman"/>
          <w:i/>
          <w:sz w:val="24"/>
          <w:szCs w:val="24"/>
        </w:rPr>
        <w:t>vērtības</w:t>
      </w:r>
    </w:p>
    <w:p w14:paraId="1F7A4858" w14:textId="77777777" w:rsidR="00E93146" w:rsidRPr="001F5F2E" w:rsidRDefault="00E93146" w:rsidP="00CD363C">
      <w:pPr>
        <w:pStyle w:val="Pamatteksts"/>
        <w:ind w:right="107"/>
        <w:jc w:val="both"/>
        <w:rPr>
          <w:i/>
          <w:sz w:val="24"/>
          <w:szCs w:val="24"/>
        </w:rPr>
      </w:pPr>
    </w:p>
    <w:tbl>
      <w:tblPr>
        <w:tblW w:w="0" w:type="auto"/>
        <w:tblInd w:w="87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884"/>
        <w:gridCol w:w="1701"/>
        <w:gridCol w:w="1699"/>
        <w:gridCol w:w="1516"/>
      </w:tblGrid>
      <w:tr w:rsidR="00E93146" w:rsidRPr="001F5F2E" w14:paraId="00E7720F" w14:textId="77777777" w:rsidTr="001F5F2E">
        <w:trPr>
          <w:trHeight w:val="505"/>
        </w:trPr>
        <w:tc>
          <w:tcPr>
            <w:tcW w:w="3884" w:type="dxa"/>
            <w:shd w:val="clear" w:color="auto" w:fill="F1F1F1"/>
          </w:tcPr>
          <w:p w14:paraId="31362A2B" w14:textId="77777777" w:rsidR="00E93146" w:rsidRPr="001F5F2E" w:rsidRDefault="00E93146" w:rsidP="00CD363C">
            <w:pPr>
              <w:pStyle w:val="TableParagraph"/>
              <w:ind w:left="1341" w:right="107"/>
              <w:jc w:val="both"/>
              <w:rPr>
                <w:b/>
                <w:sz w:val="24"/>
                <w:szCs w:val="24"/>
              </w:rPr>
            </w:pPr>
            <w:r w:rsidRPr="001F5F2E">
              <w:rPr>
                <w:b/>
                <w:sz w:val="24"/>
                <w:szCs w:val="24"/>
              </w:rPr>
              <w:t>Komponente</w:t>
            </w:r>
          </w:p>
        </w:tc>
        <w:tc>
          <w:tcPr>
            <w:tcW w:w="1701" w:type="dxa"/>
            <w:shd w:val="clear" w:color="auto" w:fill="F1F1F1"/>
          </w:tcPr>
          <w:p w14:paraId="05FC7111" w14:textId="77777777" w:rsidR="00E93146" w:rsidRPr="001F5F2E" w:rsidRDefault="00E93146" w:rsidP="00CD363C">
            <w:pPr>
              <w:pStyle w:val="TableParagraph"/>
              <w:ind w:left="492" w:right="107"/>
              <w:jc w:val="both"/>
              <w:rPr>
                <w:b/>
                <w:sz w:val="24"/>
                <w:szCs w:val="24"/>
              </w:rPr>
            </w:pPr>
            <w:r w:rsidRPr="001F5F2E">
              <w:rPr>
                <w:b/>
                <w:sz w:val="24"/>
                <w:szCs w:val="24"/>
              </w:rPr>
              <w:t>Vērtība</w:t>
            </w:r>
          </w:p>
        </w:tc>
        <w:tc>
          <w:tcPr>
            <w:tcW w:w="1699" w:type="dxa"/>
            <w:shd w:val="clear" w:color="auto" w:fill="F1F1F1"/>
          </w:tcPr>
          <w:p w14:paraId="408A4A8E" w14:textId="77777777" w:rsidR="00E93146" w:rsidRPr="001F5F2E" w:rsidRDefault="00E93146" w:rsidP="00CD363C">
            <w:pPr>
              <w:pStyle w:val="TableParagraph"/>
              <w:ind w:left="178" w:right="107" w:firstLine="158"/>
              <w:jc w:val="both"/>
              <w:rPr>
                <w:b/>
                <w:sz w:val="24"/>
                <w:szCs w:val="24"/>
              </w:rPr>
            </w:pPr>
            <w:r w:rsidRPr="001F5F2E">
              <w:rPr>
                <w:b/>
                <w:sz w:val="24"/>
                <w:szCs w:val="24"/>
              </w:rPr>
              <w:t>Lietderīgās lietošanas laiks</w:t>
            </w:r>
          </w:p>
        </w:tc>
        <w:tc>
          <w:tcPr>
            <w:tcW w:w="1516" w:type="dxa"/>
            <w:shd w:val="clear" w:color="auto" w:fill="F1F1F1"/>
          </w:tcPr>
          <w:p w14:paraId="145AF7F7" w14:textId="77777777" w:rsidR="00E93146" w:rsidRPr="001F5F2E" w:rsidRDefault="00E93146" w:rsidP="00CD363C">
            <w:pPr>
              <w:pStyle w:val="TableParagraph"/>
              <w:ind w:left="524" w:right="107" w:hanging="312"/>
              <w:jc w:val="both"/>
              <w:rPr>
                <w:b/>
                <w:sz w:val="24"/>
                <w:szCs w:val="24"/>
              </w:rPr>
            </w:pPr>
            <w:r w:rsidRPr="001F5F2E">
              <w:rPr>
                <w:b/>
                <w:w w:val="95"/>
                <w:sz w:val="24"/>
                <w:szCs w:val="24"/>
              </w:rPr>
              <w:t xml:space="preserve">Nolietojums </w:t>
            </w:r>
            <w:r w:rsidRPr="001F5F2E">
              <w:rPr>
                <w:b/>
                <w:sz w:val="24"/>
                <w:szCs w:val="24"/>
              </w:rPr>
              <w:t>gadā</w:t>
            </w:r>
          </w:p>
        </w:tc>
      </w:tr>
      <w:tr w:rsidR="00E93146" w:rsidRPr="001F5F2E" w14:paraId="17CE5F88" w14:textId="77777777" w:rsidTr="001F5F2E">
        <w:trPr>
          <w:trHeight w:val="275"/>
        </w:trPr>
        <w:tc>
          <w:tcPr>
            <w:tcW w:w="3884" w:type="dxa"/>
          </w:tcPr>
          <w:p w14:paraId="4A0F6D2F" w14:textId="77777777" w:rsidR="00E93146" w:rsidRPr="001F5F2E" w:rsidRDefault="00E93146" w:rsidP="00CD363C">
            <w:pPr>
              <w:pStyle w:val="TableParagraph"/>
              <w:ind w:left="105" w:right="107"/>
              <w:jc w:val="both"/>
              <w:rPr>
                <w:sz w:val="24"/>
                <w:szCs w:val="24"/>
              </w:rPr>
            </w:pPr>
            <w:r w:rsidRPr="001F5F2E">
              <w:rPr>
                <w:sz w:val="24"/>
                <w:szCs w:val="24"/>
              </w:rPr>
              <w:t>Ceļš – ceļa segas pamats</w:t>
            </w:r>
          </w:p>
        </w:tc>
        <w:tc>
          <w:tcPr>
            <w:tcW w:w="1701" w:type="dxa"/>
          </w:tcPr>
          <w:p w14:paraId="4CDC85B5" w14:textId="77777777" w:rsidR="00E93146" w:rsidRPr="001F5F2E" w:rsidRDefault="00E93146" w:rsidP="00CD363C">
            <w:pPr>
              <w:pStyle w:val="TableParagraph"/>
              <w:ind w:right="107"/>
              <w:jc w:val="both"/>
              <w:rPr>
                <w:sz w:val="24"/>
                <w:szCs w:val="24"/>
              </w:rPr>
            </w:pPr>
            <w:r w:rsidRPr="001F5F2E">
              <w:rPr>
                <w:sz w:val="24"/>
                <w:szCs w:val="24"/>
              </w:rPr>
              <w:t>940 000,00</w:t>
            </w:r>
          </w:p>
        </w:tc>
        <w:tc>
          <w:tcPr>
            <w:tcW w:w="1699" w:type="dxa"/>
          </w:tcPr>
          <w:p w14:paraId="430249B2" w14:textId="77777777" w:rsidR="00E93146" w:rsidRPr="001F5F2E" w:rsidRDefault="00E93146" w:rsidP="00CD363C">
            <w:pPr>
              <w:pStyle w:val="TableParagraph"/>
              <w:ind w:right="107"/>
              <w:jc w:val="both"/>
              <w:rPr>
                <w:sz w:val="24"/>
                <w:szCs w:val="24"/>
              </w:rPr>
            </w:pPr>
            <w:r w:rsidRPr="001F5F2E">
              <w:rPr>
                <w:sz w:val="24"/>
                <w:szCs w:val="24"/>
              </w:rPr>
              <w:t>20</w:t>
            </w:r>
          </w:p>
        </w:tc>
        <w:tc>
          <w:tcPr>
            <w:tcW w:w="1516" w:type="dxa"/>
          </w:tcPr>
          <w:p w14:paraId="49D1FC71" w14:textId="77777777" w:rsidR="00E93146" w:rsidRPr="001F5F2E" w:rsidRDefault="00E93146" w:rsidP="00CD363C">
            <w:pPr>
              <w:pStyle w:val="TableParagraph"/>
              <w:ind w:right="107"/>
              <w:jc w:val="both"/>
              <w:rPr>
                <w:sz w:val="24"/>
                <w:szCs w:val="24"/>
              </w:rPr>
            </w:pPr>
            <w:r w:rsidRPr="001F5F2E">
              <w:rPr>
                <w:sz w:val="24"/>
                <w:szCs w:val="24"/>
              </w:rPr>
              <w:t>47 000,00</w:t>
            </w:r>
          </w:p>
        </w:tc>
      </w:tr>
      <w:tr w:rsidR="00E93146" w:rsidRPr="001F5F2E" w14:paraId="2D6918E0" w14:textId="77777777" w:rsidTr="001F5F2E">
        <w:trPr>
          <w:trHeight w:val="275"/>
        </w:trPr>
        <w:tc>
          <w:tcPr>
            <w:tcW w:w="3884" w:type="dxa"/>
          </w:tcPr>
          <w:p w14:paraId="6333AE22" w14:textId="77777777" w:rsidR="00E93146" w:rsidRPr="001F5F2E" w:rsidRDefault="00E93146" w:rsidP="00CD363C">
            <w:pPr>
              <w:pStyle w:val="TableParagraph"/>
              <w:ind w:left="105" w:right="107"/>
              <w:jc w:val="both"/>
              <w:rPr>
                <w:sz w:val="24"/>
                <w:szCs w:val="24"/>
              </w:rPr>
            </w:pPr>
            <w:r w:rsidRPr="001F5F2E">
              <w:rPr>
                <w:sz w:val="24"/>
                <w:szCs w:val="24"/>
              </w:rPr>
              <w:t>Ceļš - sākotnējais ceļa segums</w:t>
            </w:r>
          </w:p>
        </w:tc>
        <w:tc>
          <w:tcPr>
            <w:tcW w:w="1701" w:type="dxa"/>
          </w:tcPr>
          <w:p w14:paraId="50AC445D" w14:textId="77777777" w:rsidR="00E93146" w:rsidRPr="001F5F2E" w:rsidRDefault="00E93146" w:rsidP="00CD363C">
            <w:pPr>
              <w:pStyle w:val="TableParagraph"/>
              <w:ind w:right="107"/>
              <w:jc w:val="both"/>
              <w:rPr>
                <w:sz w:val="24"/>
                <w:szCs w:val="24"/>
              </w:rPr>
            </w:pPr>
            <w:r w:rsidRPr="001F5F2E">
              <w:rPr>
                <w:sz w:val="24"/>
                <w:szCs w:val="24"/>
              </w:rPr>
              <w:t>110 000,00</w:t>
            </w:r>
          </w:p>
        </w:tc>
        <w:tc>
          <w:tcPr>
            <w:tcW w:w="1699" w:type="dxa"/>
          </w:tcPr>
          <w:p w14:paraId="7BC780D8" w14:textId="77777777" w:rsidR="00E93146" w:rsidRPr="001F5F2E" w:rsidRDefault="00E93146" w:rsidP="00CD363C">
            <w:pPr>
              <w:pStyle w:val="TableParagraph"/>
              <w:ind w:right="107"/>
              <w:jc w:val="both"/>
              <w:rPr>
                <w:sz w:val="24"/>
                <w:szCs w:val="24"/>
              </w:rPr>
            </w:pPr>
            <w:r w:rsidRPr="001F5F2E">
              <w:rPr>
                <w:w w:val="99"/>
                <w:sz w:val="24"/>
                <w:szCs w:val="24"/>
              </w:rPr>
              <w:t>6</w:t>
            </w:r>
          </w:p>
        </w:tc>
        <w:tc>
          <w:tcPr>
            <w:tcW w:w="1516" w:type="dxa"/>
          </w:tcPr>
          <w:p w14:paraId="2FA6CF3D" w14:textId="77777777" w:rsidR="00E93146" w:rsidRPr="001F5F2E" w:rsidRDefault="00E93146" w:rsidP="00CD363C">
            <w:pPr>
              <w:pStyle w:val="TableParagraph"/>
              <w:ind w:right="107"/>
              <w:jc w:val="both"/>
              <w:rPr>
                <w:sz w:val="24"/>
                <w:szCs w:val="24"/>
              </w:rPr>
            </w:pPr>
            <w:r w:rsidRPr="001F5F2E">
              <w:rPr>
                <w:sz w:val="24"/>
                <w:szCs w:val="24"/>
              </w:rPr>
              <w:t>18 333,33</w:t>
            </w:r>
          </w:p>
        </w:tc>
      </w:tr>
      <w:tr w:rsidR="00E93146" w:rsidRPr="001F5F2E" w14:paraId="651A35A1" w14:textId="77777777" w:rsidTr="001F5F2E">
        <w:trPr>
          <w:trHeight w:val="273"/>
        </w:trPr>
        <w:tc>
          <w:tcPr>
            <w:tcW w:w="3884" w:type="dxa"/>
          </w:tcPr>
          <w:p w14:paraId="33EC0851" w14:textId="77777777" w:rsidR="00E93146" w:rsidRPr="001F5F2E" w:rsidRDefault="00E93146" w:rsidP="00CD363C">
            <w:pPr>
              <w:pStyle w:val="TableParagraph"/>
              <w:ind w:left="105" w:right="107"/>
              <w:jc w:val="both"/>
              <w:rPr>
                <w:sz w:val="24"/>
                <w:szCs w:val="24"/>
              </w:rPr>
            </w:pPr>
            <w:r w:rsidRPr="001F5F2E">
              <w:rPr>
                <w:sz w:val="24"/>
                <w:szCs w:val="24"/>
              </w:rPr>
              <w:t>Ceļa kopējā patiesā vērtība</w:t>
            </w:r>
          </w:p>
        </w:tc>
        <w:tc>
          <w:tcPr>
            <w:tcW w:w="1701" w:type="dxa"/>
          </w:tcPr>
          <w:p w14:paraId="0107D516" w14:textId="77777777" w:rsidR="00E93146" w:rsidRPr="001F5F2E" w:rsidRDefault="00E93146" w:rsidP="00CD363C">
            <w:pPr>
              <w:pStyle w:val="TableParagraph"/>
              <w:ind w:right="107"/>
              <w:jc w:val="both"/>
              <w:rPr>
                <w:sz w:val="24"/>
                <w:szCs w:val="24"/>
              </w:rPr>
            </w:pPr>
            <w:r w:rsidRPr="001F5F2E">
              <w:rPr>
                <w:sz w:val="24"/>
                <w:szCs w:val="24"/>
              </w:rPr>
              <w:t>1 050 000,00</w:t>
            </w:r>
          </w:p>
        </w:tc>
        <w:tc>
          <w:tcPr>
            <w:tcW w:w="1699" w:type="dxa"/>
          </w:tcPr>
          <w:p w14:paraId="24864F50" w14:textId="77777777" w:rsidR="00E93146" w:rsidRPr="001F5F2E" w:rsidRDefault="00E93146" w:rsidP="00CD363C">
            <w:pPr>
              <w:pStyle w:val="TableParagraph"/>
              <w:ind w:right="107"/>
              <w:jc w:val="both"/>
              <w:rPr>
                <w:sz w:val="24"/>
                <w:szCs w:val="24"/>
              </w:rPr>
            </w:pPr>
            <w:r w:rsidRPr="001F5F2E">
              <w:rPr>
                <w:w w:val="99"/>
                <w:sz w:val="24"/>
                <w:szCs w:val="24"/>
              </w:rPr>
              <w:t>-</w:t>
            </w:r>
          </w:p>
        </w:tc>
        <w:tc>
          <w:tcPr>
            <w:tcW w:w="1516" w:type="dxa"/>
          </w:tcPr>
          <w:p w14:paraId="4F9D6AE2" w14:textId="77777777" w:rsidR="00E93146" w:rsidRPr="001F5F2E" w:rsidRDefault="00E93146" w:rsidP="00CD363C">
            <w:pPr>
              <w:pStyle w:val="TableParagraph"/>
              <w:ind w:right="107"/>
              <w:jc w:val="both"/>
              <w:rPr>
                <w:sz w:val="24"/>
                <w:szCs w:val="24"/>
              </w:rPr>
            </w:pPr>
            <w:r w:rsidRPr="001F5F2E">
              <w:rPr>
                <w:w w:val="99"/>
                <w:sz w:val="24"/>
                <w:szCs w:val="24"/>
              </w:rPr>
              <w:t>-</w:t>
            </w:r>
          </w:p>
        </w:tc>
      </w:tr>
      <w:tr w:rsidR="00E93146" w:rsidRPr="001F5F2E" w14:paraId="05B62251" w14:textId="77777777" w:rsidTr="001F5F2E">
        <w:trPr>
          <w:trHeight w:val="275"/>
        </w:trPr>
        <w:tc>
          <w:tcPr>
            <w:tcW w:w="3884" w:type="dxa"/>
          </w:tcPr>
          <w:p w14:paraId="39885B9F" w14:textId="77777777" w:rsidR="00E93146" w:rsidRPr="001F5F2E" w:rsidRDefault="00E93146" w:rsidP="00CD363C">
            <w:pPr>
              <w:pStyle w:val="TableParagraph"/>
              <w:ind w:left="105" w:right="107"/>
              <w:jc w:val="both"/>
              <w:rPr>
                <w:sz w:val="24"/>
                <w:szCs w:val="24"/>
              </w:rPr>
            </w:pPr>
            <w:r w:rsidRPr="001F5F2E">
              <w:rPr>
                <w:sz w:val="24"/>
                <w:szCs w:val="24"/>
              </w:rPr>
              <w:t>Ikgadējā pakalpojuma komponente</w:t>
            </w:r>
          </w:p>
        </w:tc>
        <w:tc>
          <w:tcPr>
            <w:tcW w:w="1701" w:type="dxa"/>
          </w:tcPr>
          <w:p w14:paraId="3F2FBF73" w14:textId="77777777" w:rsidR="00E93146" w:rsidRPr="001F5F2E" w:rsidRDefault="00E93146" w:rsidP="00CD363C">
            <w:pPr>
              <w:pStyle w:val="TableParagraph"/>
              <w:ind w:right="107"/>
              <w:jc w:val="both"/>
              <w:rPr>
                <w:sz w:val="24"/>
                <w:szCs w:val="24"/>
              </w:rPr>
            </w:pPr>
            <w:r w:rsidRPr="001F5F2E">
              <w:rPr>
                <w:sz w:val="24"/>
                <w:szCs w:val="24"/>
              </w:rPr>
              <w:t>12 000,00</w:t>
            </w:r>
          </w:p>
        </w:tc>
        <w:tc>
          <w:tcPr>
            <w:tcW w:w="1699" w:type="dxa"/>
          </w:tcPr>
          <w:p w14:paraId="25D06CB4" w14:textId="77777777" w:rsidR="00E93146" w:rsidRPr="001F5F2E" w:rsidRDefault="00E93146" w:rsidP="00CD363C">
            <w:pPr>
              <w:pStyle w:val="TableParagraph"/>
              <w:ind w:right="107"/>
              <w:jc w:val="both"/>
              <w:rPr>
                <w:sz w:val="24"/>
                <w:szCs w:val="24"/>
              </w:rPr>
            </w:pPr>
            <w:r w:rsidRPr="001F5F2E">
              <w:rPr>
                <w:w w:val="99"/>
                <w:sz w:val="24"/>
                <w:szCs w:val="24"/>
              </w:rPr>
              <w:t>-</w:t>
            </w:r>
          </w:p>
        </w:tc>
        <w:tc>
          <w:tcPr>
            <w:tcW w:w="1516" w:type="dxa"/>
          </w:tcPr>
          <w:p w14:paraId="47E70BA2" w14:textId="77777777" w:rsidR="00E93146" w:rsidRPr="001F5F2E" w:rsidRDefault="00E93146" w:rsidP="00CD363C">
            <w:pPr>
              <w:pStyle w:val="TableParagraph"/>
              <w:ind w:right="107"/>
              <w:jc w:val="both"/>
              <w:rPr>
                <w:sz w:val="24"/>
                <w:szCs w:val="24"/>
              </w:rPr>
            </w:pPr>
            <w:r w:rsidRPr="001F5F2E">
              <w:rPr>
                <w:w w:val="99"/>
                <w:sz w:val="24"/>
                <w:szCs w:val="24"/>
              </w:rPr>
              <w:t>-</w:t>
            </w:r>
          </w:p>
        </w:tc>
      </w:tr>
      <w:tr w:rsidR="00E93146" w:rsidRPr="001F5F2E" w14:paraId="47894D77" w14:textId="77777777" w:rsidTr="001F5F2E">
        <w:trPr>
          <w:trHeight w:val="275"/>
        </w:trPr>
        <w:tc>
          <w:tcPr>
            <w:tcW w:w="3884" w:type="dxa"/>
          </w:tcPr>
          <w:p w14:paraId="374F3672" w14:textId="77777777" w:rsidR="00E93146" w:rsidRPr="001F5F2E" w:rsidRDefault="00E93146" w:rsidP="00CD363C">
            <w:pPr>
              <w:pStyle w:val="TableParagraph"/>
              <w:ind w:left="105" w:right="107"/>
              <w:jc w:val="both"/>
              <w:rPr>
                <w:sz w:val="24"/>
                <w:szCs w:val="24"/>
              </w:rPr>
            </w:pPr>
            <w:r w:rsidRPr="001F5F2E">
              <w:rPr>
                <w:sz w:val="24"/>
                <w:szCs w:val="24"/>
              </w:rPr>
              <w:t>Efektīvā % likme</w:t>
            </w:r>
          </w:p>
        </w:tc>
        <w:tc>
          <w:tcPr>
            <w:tcW w:w="1701" w:type="dxa"/>
          </w:tcPr>
          <w:p w14:paraId="74E89604" w14:textId="77777777" w:rsidR="00E93146" w:rsidRPr="001F5F2E" w:rsidRDefault="00E93146" w:rsidP="00CD363C">
            <w:pPr>
              <w:pStyle w:val="TableParagraph"/>
              <w:ind w:right="107"/>
              <w:jc w:val="both"/>
              <w:rPr>
                <w:sz w:val="24"/>
                <w:szCs w:val="24"/>
              </w:rPr>
            </w:pPr>
            <w:r w:rsidRPr="001F5F2E">
              <w:rPr>
                <w:sz w:val="24"/>
                <w:szCs w:val="24"/>
              </w:rPr>
              <w:t>6,18%*</w:t>
            </w:r>
          </w:p>
        </w:tc>
        <w:tc>
          <w:tcPr>
            <w:tcW w:w="1699" w:type="dxa"/>
          </w:tcPr>
          <w:p w14:paraId="19D01928" w14:textId="77777777" w:rsidR="00E93146" w:rsidRPr="001F5F2E" w:rsidRDefault="00E93146" w:rsidP="00CD363C">
            <w:pPr>
              <w:pStyle w:val="TableParagraph"/>
              <w:ind w:right="107"/>
              <w:jc w:val="both"/>
              <w:rPr>
                <w:sz w:val="24"/>
                <w:szCs w:val="24"/>
              </w:rPr>
            </w:pPr>
            <w:r w:rsidRPr="001F5F2E">
              <w:rPr>
                <w:w w:val="99"/>
                <w:sz w:val="24"/>
                <w:szCs w:val="24"/>
              </w:rPr>
              <w:t>-</w:t>
            </w:r>
          </w:p>
        </w:tc>
        <w:tc>
          <w:tcPr>
            <w:tcW w:w="1516" w:type="dxa"/>
          </w:tcPr>
          <w:p w14:paraId="5F61D731" w14:textId="77777777" w:rsidR="00E93146" w:rsidRPr="001F5F2E" w:rsidRDefault="00E93146" w:rsidP="00CD363C">
            <w:pPr>
              <w:pStyle w:val="TableParagraph"/>
              <w:ind w:right="107"/>
              <w:jc w:val="both"/>
              <w:rPr>
                <w:sz w:val="24"/>
                <w:szCs w:val="24"/>
              </w:rPr>
            </w:pPr>
            <w:r w:rsidRPr="001F5F2E">
              <w:rPr>
                <w:w w:val="99"/>
                <w:sz w:val="24"/>
                <w:szCs w:val="24"/>
              </w:rPr>
              <w:t>-</w:t>
            </w:r>
          </w:p>
        </w:tc>
      </w:tr>
    </w:tbl>
    <w:p w14:paraId="796D9FD3" w14:textId="77777777" w:rsidR="00E93146" w:rsidRPr="001F5F2E" w:rsidRDefault="00E93146" w:rsidP="00CD363C">
      <w:pPr>
        <w:pStyle w:val="Sarakstarindkopa"/>
        <w:widowControl w:val="0"/>
        <w:numPr>
          <w:ilvl w:val="1"/>
          <w:numId w:val="2"/>
        </w:numPr>
        <w:tabs>
          <w:tab w:val="left" w:pos="416"/>
        </w:tabs>
        <w:autoSpaceDE w:val="0"/>
        <w:autoSpaceDN w:val="0"/>
        <w:spacing w:after="0" w:line="240" w:lineRule="auto"/>
        <w:ind w:left="415" w:right="107" w:hanging="151"/>
        <w:contextualSpacing w:val="0"/>
        <w:jc w:val="both"/>
        <w:rPr>
          <w:rFonts w:ascii="Times New Roman" w:hAnsi="Times New Roman" w:cs="Times New Roman"/>
          <w:i/>
          <w:sz w:val="24"/>
          <w:szCs w:val="24"/>
        </w:rPr>
      </w:pPr>
      <w:r w:rsidRPr="001F5F2E">
        <w:rPr>
          <w:rFonts w:ascii="Times New Roman" w:hAnsi="Times New Roman" w:cs="Times New Roman"/>
          <w:i/>
          <w:sz w:val="24"/>
          <w:szCs w:val="24"/>
        </w:rPr>
        <w:t>aprēķinos piemēros izmantota nenoapaļota likme</w:t>
      </w:r>
      <w:r w:rsidRPr="001F5F2E">
        <w:rPr>
          <w:rFonts w:ascii="Times New Roman" w:hAnsi="Times New Roman" w:cs="Times New Roman"/>
          <w:i/>
          <w:spacing w:val="-2"/>
          <w:sz w:val="24"/>
          <w:szCs w:val="24"/>
        </w:rPr>
        <w:t xml:space="preserve"> </w:t>
      </w:r>
      <w:r w:rsidRPr="001F5F2E">
        <w:rPr>
          <w:rFonts w:ascii="Times New Roman" w:hAnsi="Times New Roman" w:cs="Times New Roman"/>
          <w:i/>
          <w:sz w:val="24"/>
          <w:szCs w:val="24"/>
        </w:rPr>
        <w:t>6,17923698009166%</w:t>
      </w:r>
    </w:p>
    <w:p w14:paraId="7D995A6F" w14:textId="77777777" w:rsidR="001F5F2E" w:rsidRPr="001F5F2E" w:rsidRDefault="001F5F2E" w:rsidP="00CD363C">
      <w:pPr>
        <w:widowControl w:val="0"/>
        <w:tabs>
          <w:tab w:val="left" w:pos="944"/>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825.  2.tabulā sniegts līgumā ietvertās procentu likmes aprēķins, pamatojoties uz plānotajām resursu plūsmām līguma</w:t>
      </w:r>
      <w:r w:rsidRPr="001F5F2E">
        <w:rPr>
          <w:rFonts w:ascii="Times New Roman" w:hAnsi="Times New Roman" w:cs="Times New Roman"/>
          <w:spacing w:val="-5"/>
          <w:sz w:val="24"/>
          <w:szCs w:val="24"/>
        </w:rPr>
        <w:t xml:space="preserve"> </w:t>
      </w:r>
      <w:r w:rsidRPr="001F5F2E">
        <w:rPr>
          <w:rFonts w:ascii="Times New Roman" w:hAnsi="Times New Roman" w:cs="Times New Roman"/>
          <w:sz w:val="24"/>
          <w:szCs w:val="24"/>
        </w:rPr>
        <w:t>ietvaros.</w:t>
      </w:r>
    </w:p>
    <w:p w14:paraId="7F2F4D08" w14:textId="77777777" w:rsidR="001F5F2E" w:rsidRPr="001F5F2E" w:rsidRDefault="001F5F2E" w:rsidP="00CD363C">
      <w:pPr>
        <w:pStyle w:val="Sarakstarindkopa"/>
        <w:widowControl w:val="0"/>
        <w:numPr>
          <w:ilvl w:val="1"/>
          <w:numId w:val="18"/>
        </w:numPr>
        <w:tabs>
          <w:tab w:val="left" w:pos="3306"/>
        </w:tabs>
        <w:autoSpaceDE w:val="0"/>
        <w:autoSpaceDN w:val="0"/>
        <w:spacing w:after="0" w:line="240" w:lineRule="auto"/>
        <w:ind w:right="107"/>
        <w:contextualSpacing w:val="0"/>
        <w:jc w:val="both"/>
        <w:rPr>
          <w:rFonts w:ascii="Times New Roman" w:hAnsi="Times New Roman" w:cs="Times New Roman"/>
          <w:i/>
          <w:sz w:val="24"/>
          <w:szCs w:val="24"/>
        </w:rPr>
      </w:pPr>
      <w:r w:rsidRPr="001F5F2E">
        <w:rPr>
          <w:rFonts w:ascii="Times New Roman" w:hAnsi="Times New Roman" w:cs="Times New Roman"/>
          <w:i/>
          <w:sz w:val="24"/>
          <w:szCs w:val="24"/>
        </w:rPr>
        <w:t>tabula. Līgumā ietvertās procentu likmes aprēķinā izmantotās resursu</w:t>
      </w:r>
      <w:r w:rsidRPr="001F5F2E">
        <w:rPr>
          <w:rFonts w:ascii="Times New Roman" w:hAnsi="Times New Roman" w:cs="Times New Roman"/>
          <w:i/>
          <w:spacing w:val="-5"/>
          <w:sz w:val="24"/>
          <w:szCs w:val="24"/>
        </w:rPr>
        <w:t xml:space="preserve"> </w:t>
      </w:r>
      <w:r w:rsidRPr="001F5F2E">
        <w:rPr>
          <w:rFonts w:ascii="Times New Roman" w:hAnsi="Times New Roman" w:cs="Times New Roman"/>
          <w:i/>
          <w:sz w:val="24"/>
          <w:szCs w:val="24"/>
        </w:rPr>
        <w:t>plūsmas</w:t>
      </w:r>
    </w:p>
    <w:p w14:paraId="54AB1DB9" w14:textId="77777777" w:rsidR="001F5F2E" w:rsidRPr="001F5F2E" w:rsidRDefault="001F5F2E" w:rsidP="00CD363C">
      <w:pPr>
        <w:pStyle w:val="Pamatteksts"/>
        <w:ind w:right="107"/>
        <w:jc w:val="both"/>
        <w:rPr>
          <w:i/>
          <w:sz w:val="24"/>
          <w:szCs w:val="24"/>
        </w:rPr>
      </w:pPr>
    </w:p>
    <w:tbl>
      <w:tblPr>
        <w:tblW w:w="0" w:type="auto"/>
        <w:tblInd w:w="27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22"/>
        <w:gridCol w:w="1890"/>
        <w:gridCol w:w="1479"/>
        <w:gridCol w:w="1073"/>
        <w:gridCol w:w="2932"/>
      </w:tblGrid>
      <w:tr w:rsidR="001F5F2E" w:rsidRPr="001F5F2E" w14:paraId="1092F113" w14:textId="77777777" w:rsidTr="001F5F2E">
        <w:trPr>
          <w:trHeight w:val="1149"/>
        </w:trPr>
        <w:tc>
          <w:tcPr>
            <w:tcW w:w="1522" w:type="dxa"/>
            <w:shd w:val="clear" w:color="auto" w:fill="F1F1F1"/>
          </w:tcPr>
          <w:p w14:paraId="43A018C0" w14:textId="77777777" w:rsidR="001F5F2E" w:rsidRPr="001F5F2E" w:rsidRDefault="001F5F2E" w:rsidP="00CD363C">
            <w:pPr>
              <w:pStyle w:val="TableParagraph"/>
              <w:ind w:right="107"/>
              <w:jc w:val="both"/>
              <w:rPr>
                <w:i/>
                <w:sz w:val="24"/>
                <w:szCs w:val="24"/>
              </w:rPr>
            </w:pPr>
          </w:p>
          <w:p w14:paraId="6FE24FB8" w14:textId="77777777" w:rsidR="001F5F2E" w:rsidRPr="001F5F2E" w:rsidRDefault="001F5F2E" w:rsidP="00CD363C">
            <w:pPr>
              <w:pStyle w:val="TableParagraph"/>
              <w:ind w:right="107"/>
              <w:jc w:val="both"/>
              <w:rPr>
                <w:i/>
                <w:sz w:val="24"/>
                <w:szCs w:val="24"/>
              </w:rPr>
            </w:pPr>
          </w:p>
          <w:p w14:paraId="58193B1B" w14:textId="77777777" w:rsidR="001F5F2E" w:rsidRPr="001F5F2E" w:rsidRDefault="001F5F2E" w:rsidP="00CD363C">
            <w:pPr>
              <w:pStyle w:val="TableParagraph"/>
              <w:ind w:left="500" w:right="107"/>
              <w:jc w:val="both"/>
              <w:rPr>
                <w:b/>
                <w:sz w:val="24"/>
                <w:szCs w:val="24"/>
              </w:rPr>
            </w:pPr>
            <w:r w:rsidRPr="001F5F2E">
              <w:rPr>
                <w:b/>
                <w:sz w:val="24"/>
                <w:szCs w:val="24"/>
              </w:rPr>
              <w:t>Gadi</w:t>
            </w:r>
          </w:p>
        </w:tc>
        <w:tc>
          <w:tcPr>
            <w:tcW w:w="1890" w:type="dxa"/>
            <w:shd w:val="clear" w:color="auto" w:fill="F1F1F1"/>
          </w:tcPr>
          <w:p w14:paraId="5AFD5EFD" w14:textId="77777777" w:rsidR="001F5F2E" w:rsidRPr="001F5F2E" w:rsidRDefault="001F5F2E" w:rsidP="00CD363C">
            <w:pPr>
              <w:pStyle w:val="TableParagraph"/>
              <w:ind w:right="107"/>
              <w:jc w:val="both"/>
              <w:rPr>
                <w:i/>
                <w:sz w:val="24"/>
                <w:szCs w:val="24"/>
              </w:rPr>
            </w:pPr>
          </w:p>
          <w:p w14:paraId="4531E421" w14:textId="77777777" w:rsidR="001F5F2E" w:rsidRPr="001F5F2E" w:rsidRDefault="001F5F2E" w:rsidP="00CD363C">
            <w:pPr>
              <w:pStyle w:val="TableParagraph"/>
              <w:ind w:left="703" w:right="107" w:hanging="539"/>
              <w:jc w:val="both"/>
              <w:rPr>
                <w:b/>
                <w:sz w:val="24"/>
                <w:szCs w:val="24"/>
              </w:rPr>
            </w:pPr>
            <w:r w:rsidRPr="001F5F2E">
              <w:rPr>
                <w:b/>
                <w:sz w:val="24"/>
                <w:szCs w:val="24"/>
              </w:rPr>
              <w:t>Resursu plūsmas, EUR</w:t>
            </w:r>
          </w:p>
        </w:tc>
        <w:tc>
          <w:tcPr>
            <w:tcW w:w="1479" w:type="dxa"/>
            <w:shd w:val="clear" w:color="auto" w:fill="F1F1F1"/>
          </w:tcPr>
          <w:p w14:paraId="2609A620" w14:textId="77777777" w:rsidR="001F5F2E" w:rsidRPr="001F5F2E" w:rsidRDefault="001F5F2E" w:rsidP="00CD363C">
            <w:pPr>
              <w:pStyle w:val="TableParagraph"/>
              <w:ind w:left="128" w:right="107" w:firstLine="2"/>
              <w:jc w:val="both"/>
              <w:rPr>
                <w:b/>
                <w:sz w:val="24"/>
                <w:szCs w:val="24"/>
              </w:rPr>
            </w:pPr>
            <w:r w:rsidRPr="001F5F2E">
              <w:rPr>
                <w:b/>
                <w:spacing w:val="-1"/>
                <w:sz w:val="24"/>
                <w:szCs w:val="24"/>
              </w:rPr>
              <w:t xml:space="preserve">Pakalpojumu (uzturēšanas) </w:t>
            </w:r>
            <w:r w:rsidRPr="001F5F2E">
              <w:rPr>
                <w:b/>
                <w:sz w:val="24"/>
                <w:szCs w:val="24"/>
              </w:rPr>
              <w:t>izmaksas, EUR</w:t>
            </w:r>
          </w:p>
        </w:tc>
        <w:tc>
          <w:tcPr>
            <w:tcW w:w="1073" w:type="dxa"/>
            <w:shd w:val="clear" w:color="auto" w:fill="F1F1F1"/>
          </w:tcPr>
          <w:p w14:paraId="5B36CED3" w14:textId="77777777" w:rsidR="001F5F2E" w:rsidRPr="001F5F2E" w:rsidRDefault="001F5F2E" w:rsidP="00CD363C">
            <w:pPr>
              <w:pStyle w:val="TableParagraph"/>
              <w:ind w:left="85" w:right="107"/>
              <w:jc w:val="both"/>
              <w:rPr>
                <w:b/>
                <w:sz w:val="24"/>
                <w:szCs w:val="24"/>
              </w:rPr>
            </w:pPr>
            <w:r w:rsidRPr="001F5F2E">
              <w:rPr>
                <w:b/>
                <w:sz w:val="24"/>
                <w:szCs w:val="24"/>
              </w:rPr>
              <w:t>Izmaksas ceļa seguma maiņai,</w:t>
            </w:r>
          </w:p>
          <w:p w14:paraId="60A94D24" w14:textId="77777777" w:rsidR="001F5F2E" w:rsidRPr="001F5F2E" w:rsidRDefault="001F5F2E" w:rsidP="00CD363C">
            <w:pPr>
              <w:pStyle w:val="TableParagraph"/>
              <w:ind w:left="83" w:right="107"/>
              <w:jc w:val="both"/>
              <w:rPr>
                <w:b/>
                <w:sz w:val="24"/>
                <w:szCs w:val="24"/>
              </w:rPr>
            </w:pPr>
            <w:r w:rsidRPr="001F5F2E">
              <w:rPr>
                <w:b/>
                <w:sz w:val="24"/>
                <w:szCs w:val="24"/>
              </w:rPr>
              <w:t>EUR</w:t>
            </w:r>
          </w:p>
        </w:tc>
        <w:tc>
          <w:tcPr>
            <w:tcW w:w="2932" w:type="dxa"/>
            <w:shd w:val="clear" w:color="auto" w:fill="F1F1F1"/>
          </w:tcPr>
          <w:p w14:paraId="5A014BC6" w14:textId="77777777" w:rsidR="001F5F2E" w:rsidRPr="001F5F2E" w:rsidRDefault="001F5F2E" w:rsidP="00CD363C">
            <w:pPr>
              <w:pStyle w:val="TableParagraph"/>
              <w:ind w:right="107"/>
              <w:jc w:val="both"/>
              <w:rPr>
                <w:i/>
                <w:sz w:val="24"/>
                <w:szCs w:val="24"/>
              </w:rPr>
            </w:pPr>
          </w:p>
          <w:p w14:paraId="7EC4C1C5" w14:textId="77777777" w:rsidR="001F5F2E" w:rsidRPr="001F5F2E" w:rsidRDefault="001F5F2E" w:rsidP="00CD363C">
            <w:pPr>
              <w:pStyle w:val="TableParagraph"/>
              <w:ind w:right="107"/>
              <w:jc w:val="both"/>
              <w:rPr>
                <w:i/>
                <w:sz w:val="24"/>
                <w:szCs w:val="24"/>
              </w:rPr>
            </w:pPr>
          </w:p>
          <w:p w14:paraId="5D4A9069" w14:textId="77777777" w:rsidR="001F5F2E" w:rsidRPr="001F5F2E" w:rsidRDefault="001F5F2E" w:rsidP="00CD363C">
            <w:pPr>
              <w:pStyle w:val="TableParagraph"/>
              <w:ind w:left="211" w:right="107"/>
              <w:jc w:val="both"/>
              <w:rPr>
                <w:b/>
                <w:sz w:val="24"/>
                <w:szCs w:val="24"/>
              </w:rPr>
            </w:pPr>
            <w:r w:rsidRPr="001F5F2E">
              <w:rPr>
                <w:b/>
                <w:sz w:val="24"/>
                <w:szCs w:val="24"/>
              </w:rPr>
              <w:t>Resursu plūsmas kopā, EUR</w:t>
            </w:r>
          </w:p>
        </w:tc>
      </w:tr>
      <w:tr w:rsidR="001F5F2E" w:rsidRPr="001F5F2E" w14:paraId="1C3FA4FF" w14:textId="77777777" w:rsidTr="001F5F2E">
        <w:trPr>
          <w:trHeight w:val="300"/>
        </w:trPr>
        <w:tc>
          <w:tcPr>
            <w:tcW w:w="1522" w:type="dxa"/>
          </w:tcPr>
          <w:p w14:paraId="70373313" w14:textId="77777777" w:rsidR="001F5F2E" w:rsidRPr="001F5F2E" w:rsidRDefault="001F5F2E" w:rsidP="00CD363C">
            <w:pPr>
              <w:pStyle w:val="TableParagraph"/>
              <w:ind w:right="107"/>
              <w:jc w:val="both"/>
              <w:rPr>
                <w:sz w:val="24"/>
                <w:szCs w:val="24"/>
              </w:rPr>
            </w:pPr>
            <w:r w:rsidRPr="001F5F2E">
              <w:rPr>
                <w:w w:val="99"/>
                <w:sz w:val="24"/>
                <w:szCs w:val="24"/>
              </w:rPr>
              <w:t>1</w:t>
            </w:r>
          </w:p>
        </w:tc>
        <w:tc>
          <w:tcPr>
            <w:tcW w:w="1890" w:type="dxa"/>
          </w:tcPr>
          <w:p w14:paraId="10AF638E" w14:textId="77777777" w:rsidR="001F5F2E" w:rsidRPr="001F5F2E" w:rsidRDefault="001F5F2E" w:rsidP="00CD363C">
            <w:pPr>
              <w:pStyle w:val="TableParagraph"/>
              <w:ind w:right="107"/>
              <w:jc w:val="both"/>
              <w:rPr>
                <w:sz w:val="24"/>
                <w:szCs w:val="24"/>
              </w:rPr>
            </w:pPr>
            <w:r w:rsidRPr="001F5F2E">
              <w:rPr>
                <w:sz w:val="24"/>
                <w:szCs w:val="24"/>
              </w:rPr>
              <w:t>525 000</w:t>
            </w:r>
          </w:p>
        </w:tc>
        <w:tc>
          <w:tcPr>
            <w:tcW w:w="1479" w:type="dxa"/>
          </w:tcPr>
          <w:p w14:paraId="338AF79C" w14:textId="77777777" w:rsidR="001F5F2E" w:rsidRPr="001F5F2E" w:rsidRDefault="001F5F2E" w:rsidP="00CD363C">
            <w:pPr>
              <w:pStyle w:val="TableParagraph"/>
              <w:ind w:right="107"/>
              <w:jc w:val="both"/>
              <w:rPr>
                <w:sz w:val="24"/>
                <w:szCs w:val="24"/>
              </w:rPr>
            </w:pPr>
          </w:p>
        </w:tc>
        <w:tc>
          <w:tcPr>
            <w:tcW w:w="1073" w:type="dxa"/>
          </w:tcPr>
          <w:p w14:paraId="7549D7E9" w14:textId="77777777" w:rsidR="001F5F2E" w:rsidRPr="001F5F2E" w:rsidRDefault="001F5F2E" w:rsidP="00CD363C">
            <w:pPr>
              <w:pStyle w:val="TableParagraph"/>
              <w:ind w:right="107"/>
              <w:jc w:val="both"/>
              <w:rPr>
                <w:sz w:val="24"/>
                <w:szCs w:val="24"/>
              </w:rPr>
            </w:pPr>
          </w:p>
        </w:tc>
        <w:tc>
          <w:tcPr>
            <w:tcW w:w="2932" w:type="dxa"/>
          </w:tcPr>
          <w:p w14:paraId="2CED0759" w14:textId="77777777" w:rsidR="001F5F2E" w:rsidRPr="001F5F2E" w:rsidRDefault="001F5F2E" w:rsidP="00CD363C">
            <w:pPr>
              <w:pStyle w:val="TableParagraph"/>
              <w:ind w:right="107"/>
              <w:jc w:val="both"/>
              <w:rPr>
                <w:sz w:val="24"/>
                <w:szCs w:val="24"/>
              </w:rPr>
            </w:pPr>
            <w:r w:rsidRPr="001F5F2E">
              <w:rPr>
                <w:sz w:val="24"/>
                <w:szCs w:val="24"/>
              </w:rPr>
              <w:t>525 000</w:t>
            </w:r>
          </w:p>
        </w:tc>
      </w:tr>
      <w:tr w:rsidR="001F5F2E" w:rsidRPr="001F5F2E" w14:paraId="33FDE1D3" w14:textId="77777777" w:rsidTr="001F5F2E">
        <w:trPr>
          <w:trHeight w:val="299"/>
        </w:trPr>
        <w:tc>
          <w:tcPr>
            <w:tcW w:w="1522" w:type="dxa"/>
          </w:tcPr>
          <w:p w14:paraId="50A97EF0" w14:textId="77777777" w:rsidR="001F5F2E" w:rsidRPr="001F5F2E" w:rsidRDefault="001F5F2E" w:rsidP="00CD363C">
            <w:pPr>
              <w:pStyle w:val="TableParagraph"/>
              <w:ind w:right="107"/>
              <w:jc w:val="both"/>
              <w:rPr>
                <w:sz w:val="24"/>
                <w:szCs w:val="24"/>
              </w:rPr>
            </w:pPr>
            <w:r w:rsidRPr="001F5F2E">
              <w:rPr>
                <w:w w:val="99"/>
                <w:sz w:val="24"/>
                <w:szCs w:val="24"/>
              </w:rPr>
              <w:t>2</w:t>
            </w:r>
          </w:p>
        </w:tc>
        <w:tc>
          <w:tcPr>
            <w:tcW w:w="1890" w:type="dxa"/>
          </w:tcPr>
          <w:p w14:paraId="11778ECA" w14:textId="77777777" w:rsidR="001F5F2E" w:rsidRPr="001F5F2E" w:rsidRDefault="001F5F2E" w:rsidP="00CD363C">
            <w:pPr>
              <w:pStyle w:val="TableParagraph"/>
              <w:ind w:right="107"/>
              <w:jc w:val="both"/>
              <w:rPr>
                <w:sz w:val="24"/>
                <w:szCs w:val="24"/>
              </w:rPr>
            </w:pPr>
            <w:r w:rsidRPr="001F5F2E">
              <w:rPr>
                <w:sz w:val="24"/>
                <w:szCs w:val="24"/>
              </w:rPr>
              <w:t>525 000</w:t>
            </w:r>
          </w:p>
        </w:tc>
        <w:tc>
          <w:tcPr>
            <w:tcW w:w="1479" w:type="dxa"/>
          </w:tcPr>
          <w:p w14:paraId="32AD8771" w14:textId="77777777" w:rsidR="001F5F2E" w:rsidRPr="001F5F2E" w:rsidRDefault="001F5F2E" w:rsidP="00CD363C">
            <w:pPr>
              <w:pStyle w:val="TableParagraph"/>
              <w:ind w:right="107"/>
              <w:jc w:val="both"/>
              <w:rPr>
                <w:sz w:val="24"/>
                <w:szCs w:val="24"/>
              </w:rPr>
            </w:pPr>
          </w:p>
        </w:tc>
        <w:tc>
          <w:tcPr>
            <w:tcW w:w="1073" w:type="dxa"/>
          </w:tcPr>
          <w:p w14:paraId="4631CC66" w14:textId="77777777" w:rsidR="001F5F2E" w:rsidRPr="001F5F2E" w:rsidRDefault="001F5F2E" w:rsidP="00CD363C">
            <w:pPr>
              <w:pStyle w:val="TableParagraph"/>
              <w:ind w:right="107"/>
              <w:jc w:val="both"/>
              <w:rPr>
                <w:sz w:val="24"/>
                <w:szCs w:val="24"/>
              </w:rPr>
            </w:pPr>
          </w:p>
        </w:tc>
        <w:tc>
          <w:tcPr>
            <w:tcW w:w="2932" w:type="dxa"/>
          </w:tcPr>
          <w:p w14:paraId="7F7B306E" w14:textId="77777777" w:rsidR="001F5F2E" w:rsidRPr="001F5F2E" w:rsidRDefault="001F5F2E" w:rsidP="00CD363C">
            <w:pPr>
              <w:pStyle w:val="TableParagraph"/>
              <w:ind w:right="107"/>
              <w:jc w:val="both"/>
              <w:rPr>
                <w:sz w:val="24"/>
                <w:szCs w:val="24"/>
              </w:rPr>
            </w:pPr>
            <w:r w:rsidRPr="001F5F2E">
              <w:rPr>
                <w:sz w:val="24"/>
                <w:szCs w:val="24"/>
              </w:rPr>
              <w:t>525 000</w:t>
            </w:r>
          </w:p>
        </w:tc>
      </w:tr>
      <w:tr w:rsidR="001F5F2E" w:rsidRPr="001F5F2E" w14:paraId="2889F454" w14:textId="77777777" w:rsidTr="001F5F2E">
        <w:trPr>
          <w:trHeight w:val="429"/>
        </w:trPr>
        <w:tc>
          <w:tcPr>
            <w:tcW w:w="1522" w:type="dxa"/>
          </w:tcPr>
          <w:p w14:paraId="2DCD2ADA" w14:textId="77777777" w:rsidR="001F5F2E" w:rsidRPr="001F5F2E" w:rsidRDefault="001F5F2E" w:rsidP="00CD363C">
            <w:pPr>
              <w:pStyle w:val="TableParagraph"/>
              <w:ind w:right="107"/>
              <w:jc w:val="both"/>
              <w:rPr>
                <w:sz w:val="24"/>
                <w:szCs w:val="24"/>
              </w:rPr>
            </w:pPr>
            <w:r w:rsidRPr="001F5F2E">
              <w:rPr>
                <w:w w:val="99"/>
                <w:sz w:val="24"/>
                <w:szCs w:val="24"/>
              </w:rPr>
              <w:t>3</w:t>
            </w:r>
          </w:p>
        </w:tc>
        <w:tc>
          <w:tcPr>
            <w:tcW w:w="1890" w:type="dxa"/>
          </w:tcPr>
          <w:p w14:paraId="32F1C6D0"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0064D655"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377F3A45" w14:textId="77777777" w:rsidR="001F5F2E" w:rsidRPr="001F5F2E" w:rsidRDefault="001F5F2E" w:rsidP="00CD363C">
            <w:pPr>
              <w:pStyle w:val="TableParagraph"/>
              <w:ind w:right="107"/>
              <w:jc w:val="both"/>
              <w:rPr>
                <w:sz w:val="24"/>
                <w:szCs w:val="24"/>
              </w:rPr>
            </w:pPr>
          </w:p>
        </w:tc>
        <w:tc>
          <w:tcPr>
            <w:tcW w:w="2932" w:type="dxa"/>
          </w:tcPr>
          <w:p w14:paraId="26EB362C"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264FF50F" w14:textId="77777777" w:rsidTr="001F5F2E">
        <w:trPr>
          <w:trHeight w:val="249"/>
        </w:trPr>
        <w:tc>
          <w:tcPr>
            <w:tcW w:w="1522" w:type="dxa"/>
          </w:tcPr>
          <w:p w14:paraId="4F6EF2C9" w14:textId="77777777" w:rsidR="001F5F2E" w:rsidRPr="001F5F2E" w:rsidRDefault="001F5F2E" w:rsidP="00CD363C">
            <w:pPr>
              <w:pStyle w:val="TableParagraph"/>
              <w:ind w:right="107"/>
              <w:jc w:val="both"/>
              <w:rPr>
                <w:sz w:val="24"/>
                <w:szCs w:val="24"/>
              </w:rPr>
            </w:pPr>
            <w:r w:rsidRPr="001F5F2E">
              <w:rPr>
                <w:w w:val="99"/>
                <w:sz w:val="24"/>
                <w:szCs w:val="24"/>
              </w:rPr>
              <w:t>4</w:t>
            </w:r>
          </w:p>
        </w:tc>
        <w:tc>
          <w:tcPr>
            <w:tcW w:w="1890" w:type="dxa"/>
          </w:tcPr>
          <w:p w14:paraId="6E64F2AA"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31BE684F"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70B45E9C" w14:textId="77777777" w:rsidR="001F5F2E" w:rsidRPr="001F5F2E" w:rsidRDefault="001F5F2E" w:rsidP="00CD363C">
            <w:pPr>
              <w:pStyle w:val="TableParagraph"/>
              <w:ind w:right="107"/>
              <w:jc w:val="both"/>
              <w:rPr>
                <w:sz w:val="24"/>
                <w:szCs w:val="24"/>
              </w:rPr>
            </w:pPr>
          </w:p>
        </w:tc>
        <w:tc>
          <w:tcPr>
            <w:tcW w:w="2932" w:type="dxa"/>
          </w:tcPr>
          <w:p w14:paraId="529E848D"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45AA6D2A" w14:textId="77777777" w:rsidTr="001F5F2E">
        <w:trPr>
          <w:trHeight w:val="251"/>
        </w:trPr>
        <w:tc>
          <w:tcPr>
            <w:tcW w:w="1522" w:type="dxa"/>
          </w:tcPr>
          <w:p w14:paraId="64790023" w14:textId="77777777" w:rsidR="001F5F2E" w:rsidRPr="001F5F2E" w:rsidRDefault="001F5F2E" w:rsidP="00CD363C">
            <w:pPr>
              <w:pStyle w:val="TableParagraph"/>
              <w:ind w:right="107"/>
              <w:jc w:val="both"/>
              <w:rPr>
                <w:sz w:val="24"/>
                <w:szCs w:val="24"/>
              </w:rPr>
            </w:pPr>
            <w:r w:rsidRPr="001F5F2E">
              <w:rPr>
                <w:w w:val="99"/>
                <w:sz w:val="24"/>
                <w:szCs w:val="24"/>
              </w:rPr>
              <w:t>5</w:t>
            </w:r>
          </w:p>
        </w:tc>
        <w:tc>
          <w:tcPr>
            <w:tcW w:w="1890" w:type="dxa"/>
          </w:tcPr>
          <w:p w14:paraId="110727B1"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5A8A7722"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0D093849" w14:textId="77777777" w:rsidR="001F5F2E" w:rsidRPr="001F5F2E" w:rsidRDefault="001F5F2E" w:rsidP="00CD363C">
            <w:pPr>
              <w:pStyle w:val="TableParagraph"/>
              <w:ind w:right="107"/>
              <w:jc w:val="both"/>
              <w:rPr>
                <w:sz w:val="24"/>
                <w:szCs w:val="24"/>
              </w:rPr>
            </w:pPr>
          </w:p>
        </w:tc>
        <w:tc>
          <w:tcPr>
            <w:tcW w:w="2932" w:type="dxa"/>
          </w:tcPr>
          <w:p w14:paraId="35C0EF55"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19AF6252" w14:textId="77777777" w:rsidTr="001F5F2E">
        <w:trPr>
          <w:trHeight w:val="251"/>
        </w:trPr>
        <w:tc>
          <w:tcPr>
            <w:tcW w:w="1522" w:type="dxa"/>
          </w:tcPr>
          <w:p w14:paraId="362AC391" w14:textId="77777777" w:rsidR="001F5F2E" w:rsidRPr="001F5F2E" w:rsidRDefault="001F5F2E" w:rsidP="00CD363C">
            <w:pPr>
              <w:pStyle w:val="TableParagraph"/>
              <w:ind w:right="107"/>
              <w:jc w:val="both"/>
              <w:rPr>
                <w:sz w:val="24"/>
                <w:szCs w:val="24"/>
              </w:rPr>
            </w:pPr>
            <w:r w:rsidRPr="001F5F2E">
              <w:rPr>
                <w:w w:val="99"/>
                <w:sz w:val="24"/>
                <w:szCs w:val="24"/>
              </w:rPr>
              <w:t>6</w:t>
            </w:r>
          </w:p>
        </w:tc>
        <w:tc>
          <w:tcPr>
            <w:tcW w:w="1890" w:type="dxa"/>
          </w:tcPr>
          <w:p w14:paraId="219D6D51"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2F777586"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14E458E5" w14:textId="77777777" w:rsidR="001F5F2E" w:rsidRPr="001F5F2E" w:rsidRDefault="001F5F2E" w:rsidP="00CD363C">
            <w:pPr>
              <w:pStyle w:val="TableParagraph"/>
              <w:ind w:right="107"/>
              <w:jc w:val="both"/>
              <w:rPr>
                <w:sz w:val="24"/>
                <w:szCs w:val="24"/>
              </w:rPr>
            </w:pPr>
          </w:p>
        </w:tc>
        <w:tc>
          <w:tcPr>
            <w:tcW w:w="2932" w:type="dxa"/>
          </w:tcPr>
          <w:p w14:paraId="1732FA0C"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6405C237" w14:textId="77777777" w:rsidTr="001F5F2E">
        <w:trPr>
          <w:trHeight w:val="299"/>
        </w:trPr>
        <w:tc>
          <w:tcPr>
            <w:tcW w:w="1522" w:type="dxa"/>
          </w:tcPr>
          <w:p w14:paraId="785BB3F6" w14:textId="77777777" w:rsidR="001F5F2E" w:rsidRPr="001F5F2E" w:rsidRDefault="001F5F2E" w:rsidP="00CD363C">
            <w:pPr>
              <w:pStyle w:val="TableParagraph"/>
              <w:ind w:right="107"/>
              <w:jc w:val="both"/>
              <w:rPr>
                <w:sz w:val="24"/>
                <w:szCs w:val="24"/>
              </w:rPr>
            </w:pPr>
            <w:r w:rsidRPr="001F5F2E">
              <w:rPr>
                <w:w w:val="99"/>
                <w:sz w:val="24"/>
                <w:szCs w:val="24"/>
              </w:rPr>
              <w:t>7</w:t>
            </w:r>
          </w:p>
        </w:tc>
        <w:tc>
          <w:tcPr>
            <w:tcW w:w="1890" w:type="dxa"/>
          </w:tcPr>
          <w:p w14:paraId="7113CBD7"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1F7FF177"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0A5F2D89" w14:textId="77777777" w:rsidR="001F5F2E" w:rsidRPr="001F5F2E" w:rsidRDefault="001F5F2E" w:rsidP="00CD363C">
            <w:pPr>
              <w:pStyle w:val="TableParagraph"/>
              <w:ind w:right="107"/>
              <w:jc w:val="both"/>
              <w:rPr>
                <w:sz w:val="24"/>
                <w:szCs w:val="24"/>
              </w:rPr>
            </w:pPr>
          </w:p>
        </w:tc>
        <w:tc>
          <w:tcPr>
            <w:tcW w:w="2932" w:type="dxa"/>
          </w:tcPr>
          <w:p w14:paraId="0062A94E"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611EFDAF" w14:textId="77777777" w:rsidTr="001F5F2E">
        <w:trPr>
          <w:trHeight w:val="249"/>
        </w:trPr>
        <w:tc>
          <w:tcPr>
            <w:tcW w:w="1522" w:type="dxa"/>
          </w:tcPr>
          <w:p w14:paraId="4BF8B09E" w14:textId="77777777" w:rsidR="001F5F2E" w:rsidRPr="001F5F2E" w:rsidRDefault="001F5F2E" w:rsidP="00CD363C">
            <w:pPr>
              <w:pStyle w:val="TableParagraph"/>
              <w:ind w:right="107"/>
              <w:jc w:val="both"/>
              <w:rPr>
                <w:sz w:val="24"/>
                <w:szCs w:val="24"/>
              </w:rPr>
            </w:pPr>
            <w:r w:rsidRPr="001F5F2E">
              <w:rPr>
                <w:w w:val="99"/>
                <w:sz w:val="24"/>
                <w:szCs w:val="24"/>
              </w:rPr>
              <w:t>8</w:t>
            </w:r>
          </w:p>
        </w:tc>
        <w:tc>
          <w:tcPr>
            <w:tcW w:w="1890" w:type="dxa"/>
          </w:tcPr>
          <w:p w14:paraId="1E9C7032"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7288FCFC"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0C5E530D" w14:textId="77777777" w:rsidR="001F5F2E" w:rsidRPr="001F5F2E" w:rsidRDefault="001F5F2E" w:rsidP="00CD363C">
            <w:pPr>
              <w:pStyle w:val="TableParagraph"/>
              <w:ind w:left="255" w:right="107"/>
              <w:jc w:val="both"/>
              <w:rPr>
                <w:sz w:val="24"/>
                <w:szCs w:val="24"/>
              </w:rPr>
            </w:pPr>
            <w:r w:rsidRPr="001F5F2E">
              <w:rPr>
                <w:sz w:val="24"/>
                <w:szCs w:val="24"/>
              </w:rPr>
              <w:t>110 000</w:t>
            </w:r>
          </w:p>
        </w:tc>
        <w:tc>
          <w:tcPr>
            <w:tcW w:w="2932" w:type="dxa"/>
          </w:tcPr>
          <w:p w14:paraId="19A4C4CF" w14:textId="77777777" w:rsidR="001F5F2E" w:rsidRPr="001F5F2E" w:rsidRDefault="001F5F2E" w:rsidP="00CD363C">
            <w:pPr>
              <w:pStyle w:val="TableParagraph"/>
              <w:ind w:right="107"/>
              <w:jc w:val="both"/>
              <w:rPr>
                <w:sz w:val="24"/>
                <w:szCs w:val="24"/>
              </w:rPr>
            </w:pPr>
            <w:r w:rsidRPr="001F5F2E">
              <w:rPr>
                <w:sz w:val="24"/>
                <w:szCs w:val="24"/>
              </w:rPr>
              <w:t>(78 000)</w:t>
            </w:r>
          </w:p>
        </w:tc>
      </w:tr>
      <w:tr w:rsidR="001F5F2E" w:rsidRPr="001F5F2E" w14:paraId="3D71D7F2" w14:textId="77777777" w:rsidTr="001F5F2E">
        <w:trPr>
          <w:trHeight w:val="299"/>
        </w:trPr>
        <w:tc>
          <w:tcPr>
            <w:tcW w:w="1522" w:type="dxa"/>
          </w:tcPr>
          <w:p w14:paraId="7CF6FD29" w14:textId="77777777" w:rsidR="001F5F2E" w:rsidRPr="001F5F2E" w:rsidRDefault="001F5F2E" w:rsidP="00CD363C">
            <w:pPr>
              <w:pStyle w:val="TableParagraph"/>
              <w:ind w:right="107"/>
              <w:jc w:val="both"/>
              <w:rPr>
                <w:sz w:val="24"/>
                <w:szCs w:val="24"/>
              </w:rPr>
            </w:pPr>
            <w:r w:rsidRPr="001F5F2E">
              <w:rPr>
                <w:w w:val="99"/>
                <w:sz w:val="24"/>
                <w:szCs w:val="24"/>
              </w:rPr>
              <w:t>9</w:t>
            </w:r>
          </w:p>
        </w:tc>
        <w:tc>
          <w:tcPr>
            <w:tcW w:w="1890" w:type="dxa"/>
          </w:tcPr>
          <w:p w14:paraId="2A5AFEE3"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7FF12101"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608C1BB2" w14:textId="77777777" w:rsidR="001F5F2E" w:rsidRPr="001F5F2E" w:rsidRDefault="001F5F2E" w:rsidP="00CD363C">
            <w:pPr>
              <w:pStyle w:val="TableParagraph"/>
              <w:ind w:right="107"/>
              <w:jc w:val="both"/>
              <w:rPr>
                <w:sz w:val="24"/>
                <w:szCs w:val="24"/>
              </w:rPr>
            </w:pPr>
          </w:p>
        </w:tc>
        <w:tc>
          <w:tcPr>
            <w:tcW w:w="2932" w:type="dxa"/>
          </w:tcPr>
          <w:p w14:paraId="7A0F7113"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67B08364" w14:textId="77777777" w:rsidTr="001F5F2E">
        <w:trPr>
          <w:trHeight w:val="299"/>
        </w:trPr>
        <w:tc>
          <w:tcPr>
            <w:tcW w:w="1522" w:type="dxa"/>
          </w:tcPr>
          <w:p w14:paraId="53762412" w14:textId="77777777" w:rsidR="001F5F2E" w:rsidRPr="001F5F2E" w:rsidRDefault="001F5F2E" w:rsidP="00CD363C">
            <w:pPr>
              <w:pStyle w:val="TableParagraph"/>
              <w:ind w:left="500" w:right="107"/>
              <w:jc w:val="both"/>
              <w:rPr>
                <w:sz w:val="24"/>
                <w:szCs w:val="24"/>
              </w:rPr>
            </w:pPr>
            <w:r w:rsidRPr="001F5F2E">
              <w:rPr>
                <w:sz w:val="24"/>
                <w:szCs w:val="24"/>
              </w:rPr>
              <w:t>10</w:t>
            </w:r>
          </w:p>
        </w:tc>
        <w:tc>
          <w:tcPr>
            <w:tcW w:w="1890" w:type="dxa"/>
          </w:tcPr>
          <w:p w14:paraId="7652B97A"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5EA26F96"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189FA77C" w14:textId="77777777" w:rsidR="001F5F2E" w:rsidRPr="001F5F2E" w:rsidRDefault="001F5F2E" w:rsidP="00CD363C">
            <w:pPr>
              <w:pStyle w:val="TableParagraph"/>
              <w:ind w:right="107"/>
              <w:jc w:val="both"/>
              <w:rPr>
                <w:sz w:val="24"/>
                <w:szCs w:val="24"/>
              </w:rPr>
            </w:pPr>
          </w:p>
        </w:tc>
        <w:tc>
          <w:tcPr>
            <w:tcW w:w="2932" w:type="dxa"/>
          </w:tcPr>
          <w:p w14:paraId="3FE8F94B"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499ED095" w14:textId="77777777" w:rsidTr="001F5F2E">
        <w:trPr>
          <w:trHeight w:val="299"/>
        </w:trPr>
        <w:tc>
          <w:tcPr>
            <w:tcW w:w="5964" w:type="dxa"/>
            <w:gridSpan w:val="4"/>
          </w:tcPr>
          <w:p w14:paraId="79AD88AA" w14:textId="77777777" w:rsidR="001F5F2E" w:rsidRPr="001F5F2E" w:rsidRDefault="001F5F2E" w:rsidP="00CD363C">
            <w:pPr>
              <w:pStyle w:val="TableParagraph"/>
              <w:ind w:left="1593" w:right="107"/>
              <w:jc w:val="both"/>
              <w:rPr>
                <w:b/>
                <w:sz w:val="24"/>
                <w:szCs w:val="24"/>
              </w:rPr>
            </w:pPr>
            <w:r w:rsidRPr="001F5F2E">
              <w:rPr>
                <w:b/>
                <w:sz w:val="24"/>
                <w:szCs w:val="24"/>
              </w:rPr>
              <w:t>Līgumā ietvertā procentu likme</w:t>
            </w:r>
          </w:p>
        </w:tc>
        <w:tc>
          <w:tcPr>
            <w:tcW w:w="2932" w:type="dxa"/>
          </w:tcPr>
          <w:p w14:paraId="1160CCD5" w14:textId="77777777" w:rsidR="001F5F2E" w:rsidRPr="001F5F2E" w:rsidRDefault="001F5F2E" w:rsidP="00CD363C">
            <w:pPr>
              <w:pStyle w:val="TableParagraph"/>
              <w:ind w:left="560" w:right="107"/>
              <w:jc w:val="both"/>
              <w:rPr>
                <w:b/>
                <w:sz w:val="24"/>
                <w:szCs w:val="24"/>
              </w:rPr>
            </w:pPr>
            <w:r w:rsidRPr="001F5F2E">
              <w:rPr>
                <w:b/>
                <w:sz w:val="24"/>
                <w:szCs w:val="24"/>
              </w:rPr>
              <w:t>6,17923698009166%</w:t>
            </w:r>
          </w:p>
        </w:tc>
      </w:tr>
    </w:tbl>
    <w:p w14:paraId="6CB4CFB9"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p>
    <w:p w14:paraId="6F91E61D" w14:textId="77777777" w:rsidR="001F5F2E" w:rsidRDefault="001F5F2E" w:rsidP="00CD363C">
      <w:pPr>
        <w:pStyle w:val="Pamatteksts"/>
        <w:ind w:right="107"/>
        <w:jc w:val="both"/>
        <w:rPr>
          <w:i/>
          <w:sz w:val="31"/>
        </w:rPr>
      </w:pPr>
    </w:p>
    <w:p w14:paraId="4B35D4C1" w14:textId="77777777" w:rsidR="001F5F2E" w:rsidRDefault="001F5F2E" w:rsidP="00CD363C">
      <w:pPr>
        <w:pStyle w:val="Virsraksts4"/>
        <w:tabs>
          <w:tab w:val="left" w:pos="752"/>
        </w:tabs>
        <w:spacing w:before="0"/>
        <w:ind w:left="218" w:right="107"/>
        <w:jc w:val="both"/>
      </w:pPr>
      <w:bookmarkStart w:id="70" w:name="13.1._piemērs:_Budžeta_iestāde_veic_priv"/>
      <w:bookmarkStart w:id="71" w:name="_bookmark301"/>
      <w:bookmarkEnd w:id="70"/>
      <w:bookmarkEnd w:id="71"/>
      <w:r>
        <w:rPr>
          <w:color w:val="002069"/>
        </w:rPr>
        <w:t>piemērs:</w:t>
      </w:r>
      <w:r>
        <w:rPr>
          <w:color w:val="002069"/>
          <w:spacing w:val="-9"/>
        </w:rPr>
        <w:t xml:space="preserve"> </w:t>
      </w:r>
      <w:r>
        <w:rPr>
          <w:color w:val="002069"/>
        </w:rPr>
        <w:t>Budžeta</w:t>
      </w:r>
      <w:r>
        <w:rPr>
          <w:color w:val="002069"/>
          <w:spacing w:val="-8"/>
        </w:rPr>
        <w:t xml:space="preserve"> </w:t>
      </w:r>
      <w:r>
        <w:rPr>
          <w:color w:val="002069"/>
        </w:rPr>
        <w:t>iestāde</w:t>
      </w:r>
      <w:r>
        <w:rPr>
          <w:color w:val="002069"/>
          <w:spacing w:val="-8"/>
        </w:rPr>
        <w:t xml:space="preserve"> </w:t>
      </w:r>
      <w:r>
        <w:rPr>
          <w:color w:val="002069"/>
        </w:rPr>
        <w:t>veic</w:t>
      </w:r>
      <w:r>
        <w:rPr>
          <w:color w:val="002069"/>
          <w:spacing w:val="-9"/>
        </w:rPr>
        <w:t xml:space="preserve"> </w:t>
      </w:r>
      <w:r>
        <w:rPr>
          <w:color w:val="002069"/>
        </w:rPr>
        <w:t>privātajam</w:t>
      </w:r>
      <w:r>
        <w:rPr>
          <w:color w:val="002069"/>
          <w:spacing w:val="-5"/>
        </w:rPr>
        <w:t xml:space="preserve"> </w:t>
      </w:r>
      <w:r>
        <w:rPr>
          <w:color w:val="002069"/>
        </w:rPr>
        <w:t>partnerim</w:t>
      </w:r>
      <w:r>
        <w:rPr>
          <w:color w:val="002069"/>
          <w:spacing w:val="-6"/>
        </w:rPr>
        <w:t xml:space="preserve"> </w:t>
      </w:r>
      <w:r>
        <w:rPr>
          <w:color w:val="002069"/>
        </w:rPr>
        <w:t>vairākus</w:t>
      </w:r>
      <w:r>
        <w:rPr>
          <w:color w:val="002069"/>
          <w:spacing w:val="-9"/>
        </w:rPr>
        <w:t xml:space="preserve"> </w:t>
      </w:r>
      <w:r>
        <w:rPr>
          <w:color w:val="002069"/>
        </w:rPr>
        <w:t>iepriekš</w:t>
      </w:r>
      <w:r>
        <w:rPr>
          <w:color w:val="002069"/>
          <w:spacing w:val="-7"/>
        </w:rPr>
        <w:t xml:space="preserve"> </w:t>
      </w:r>
      <w:r>
        <w:rPr>
          <w:color w:val="002069"/>
        </w:rPr>
        <w:t>noteiktus</w:t>
      </w:r>
      <w:r>
        <w:rPr>
          <w:color w:val="002069"/>
          <w:spacing w:val="-9"/>
        </w:rPr>
        <w:t xml:space="preserve"> </w:t>
      </w:r>
      <w:r>
        <w:rPr>
          <w:color w:val="002069"/>
        </w:rPr>
        <w:t>maksājumus</w:t>
      </w:r>
    </w:p>
    <w:p w14:paraId="6B2FD171" w14:textId="77777777" w:rsidR="001F5F2E" w:rsidRDefault="001F5F2E" w:rsidP="00CD363C">
      <w:pPr>
        <w:pStyle w:val="Virsraksts6"/>
        <w:ind w:left="218" w:right="107"/>
        <w:jc w:val="both"/>
      </w:pPr>
      <w:r>
        <w:t>Papildu nosacījumi</w:t>
      </w:r>
    </w:p>
    <w:p w14:paraId="2482DA62" w14:textId="77777777" w:rsidR="001F5F2E" w:rsidRDefault="001F5F2E" w:rsidP="00CD363C">
      <w:pPr>
        <w:pStyle w:val="Pamatteksts"/>
        <w:ind w:right="107"/>
        <w:jc w:val="both"/>
        <w:rPr>
          <w:b/>
          <w:sz w:val="20"/>
        </w:rPr>
      </w:pPr>
    </w:p>
    <w:p w14:paraId="4B009EAB" w14:textId="77777777" w:rsidR="001F5F2E" w:rsidRDefault="00D1005B" w:rsidP="00CD363C">
      <w:pPr>
        <w:pStyle w:val="Pamatteksts"/>
        <w:ind w:left="218" w:right="107"/>
        <w:jc w:val="both"/>
      </w:pPr>
      <w:r>
        <w:t xml:space="preserve">826.  </w:t>
      </w:r>
      <w:r w:rsidR="001F5F2E">
        <w:t>Saskaņā</w:t>
      </w:r>
      <w:r w:rsidR="001F5F2E">
        <w:rPr>
          <w:spacing w:val="-9"/>
        </w:rPr>
        <w:t xml:space="preserve"> </w:t>
      </w:r>
      <w:r w:rsidR="001F5F2E">
        <w:t>ar</w:t>
      </w:r>
      <w:r w:rsidR="001F5F2E">
        <w:rPr>
          <w:spacing w:val="-10"/>
        </w:rPr>
        <w:t xml:space="preserve"> </w:t>
      </w:r>
      <w:r w:rsidR="001F5F2E">
        <w:t>līguma</w:t>
      </w:r>
      <w:r w:rsidR="001F5F2E">
        <w:rPr>
          <w:spacing w:val="-9"/>
        </w:rPr>
        <w:t xml:space="preserve"> </w:t>
      </w:r>
      <w:r w:rsidR="001F5F2E">
        <w:t>nosacījumiem</w:t>
      </w:r>
      <w:r w:rsidR="001F5F2E">
        <w:rPr>
          <w:spacing w:val="-12"/>
        </w:rPr>
        <w:t xml:space="preserve"> </w:t>
      </w:r>
      <w:r w:rsidR="001F5F2E">
        <w:t>budžeta</w:t>
      </w:r>
      <w:r w:rsidR="001F5F2E">
        <w:rPr>
          <w:spacing w:val="-8"/>
        </w:rPr>
        <w:t xml:space="preserve"> </w:t>
      </w:r>
      <w:r w:rsidR="001F5F2E">
        <w:t>iestāde</w:t>
      </w:r>
      <w:r w:rsidR="001F5F2E">
        <w:rPr>
          <w:spacing w:val="-9"/>
        </w:rPr>
        <w:t xml:space="preserve"> </w:t>
      </w:r>
      <w:r w:rsidR="001F5F2E">
        <w:t>no</w:t>
      </w:r>
      <w:r w:rsidR="001F5F2E">
        <w:rPr>
          <w:spacing w:val="-9"/>
        </w:rPr>
        <w:t xml:space="preserve"> </w:t>
      </w:r>
      <w:r w:rsidR="001F5F2E">
        <w:t>trešā</w:t>
      </w:r>
      <w:r w:rsidR="001F5F2E">
        <w:rPr>
          <w:spacing w:val="-9"/>
        </w:rPr>
        <w:t xml:space="preserve"> </w:t>
      </w:r>
      <w:r w:rsidR="001F5F2E">
        <w:t>līdz</w:t>
      </w:r>
      <w:r w:rsidR="001F5F2E">
        <w:rPr>
          <w:spacing w:val="-11"/>
        </w:rPr>
        <w:t xml:space="preserve"> </w:t>
      </w:r>
      <w:r w:rsidR="001F5F2E">
        <w:t>desmitajam</w:t>
      </w:r>
      <w:r w:rsidR="001F5F2E">
        <w:rPr>
          <w:spacing w:val="-12"/>
        </w:rPr>
        <w:t xml:space="preserve"> </w:t>
      </w:r>
      <w:r w:rsidR="001F5F2E">
        <w:t>gadam</w:t>
      </w:r>
      <w:r w:rsidR="001F5F2E">
        <w:rPr>
          <w:spacing w:val="-11"/>
        </w:rPr>
        <w:t xml:space="preserve"> </w:t>
      </w:r>
      <w:r w:rsidR="001F5F2E">
        <w:t>maksā</w:t>
      </w:r>
      <w:r w:rsidR="001F5F2E">
        <w:rPr>
          <w:spacing w:val="-8"/>
        </w:rPr>
        <w:t xml:space="preserve"> </w:t>
      </w:r>
      <w:r w:rsidR="001F5F2E">
        <w:t>privātajam</w:t>
      </w:r>
      <w:r w:rsidR="001F5F2E">
        <w:rPr>
          <w:spacing w:val="-12"/>
        </w:rPr>
        <w:t xml:space="preserve"> </w:t>
      </w:r>
      <w:r w:rsidR="001F5F2E">
        <w:t>partnerim 200 000,00 EUR gadā par to, ka ceļš ir pieejams sabiedrībai. Kopējā atlīdzība (200 000,00 EUR katru gadu no trešā līdz desmitajam gadam) atbilst 1. tabulā norādīto aktīvu un pakalpojumu patiesai vērtībai. Šie maksājumi</w:t>
      </w:r>
      <w:r w:rsidR="001F5F2E">
        <w:rPr>
          <w:spacing w:val="12"/>
        </w:rPr>
        <w:t xml:space="preserve"> </w:t>
      </w:r>
      <w:r w:rsidR="001F5F2E">
        <w:t>paredzēti</w:t>
      </w:r>
      <w:r w:rsidR="001F5F2E">
        <w:rPr>
          <w:spacing w:val="11"/>
        </w:rPr>
        <w:t xml:space="preserve"> </w:t>
      </w:r>
      <w:r w:rsidR="001F5F2E">
        <w:t>ceļa</w:t>
      </w:r>
      <w:r w:rsidR="001F5F2E">
        <w:rPr>
          <w:spacing w:val="10"/>
        </w:rPr>
        <w:t xml:space="preserve"> </w:t>
      </w:r>
      <w:r w:rsidR="001F5F2E">
        <w:t>būvniecības</w:t>
      </w:r>
      <w:r w:rsidR="001F5F2E">
        <w:rPr>
          <w:spacing w:val="10"/>
        </w:rPr>
        <w:t xml:space="preserve"> </w:t>
      </w:r>
      <w:r w:rsidR="001F5F2E">
        <w:t>izmaksu</w:t>
      </w:r>
      <w:r w:rsidR="001F5F2E">
        <w:rPr>
          <w:spacing w:val="12"/>
        </w:rPr>
        <w:t xml:space="preserve"> </w:t>
      </w:r>
      <w:r w:rsidR="001F5F2E">
        <w:t>segšanai</w:t>
      </w:r>
      <w:r w:rsidR="001F5F2E">
        <w:rPr>
          <w:spacing w:val="13"/>
        </w:rPr>
        <w:t xml:space="preserve"> </w:t>
      </w:r>
      <w:r w:rsidR="001F5F2E">
        <w:t>1</w:t>
      </w:r>
      <w:r w:rsidR="001F5F2E">
        <w:rPr>
          <w:spacing w:val="1"/>
        </w:rPr>
        <w:t xml:space="preserve"> </w:t>
      </w:r>
      <w:r w:rsidR="001F5F2E">
        <w:t>050</w:t>
      </w:r>
      <w:r w:rsidR="001F5F2E">
        <w:rPr>
          <w:spacing w:val="-1"/>
        </w:rPr>
        <w:t xml:space="preserve"> </w:t>
      </w:r>
      <w:r w:rsidR="001F5F2E">
        <w:t>000,00</w:t>
      </w:r>
      <w:r w:rsidR="001F5F2E">
        <w:rPr>
          <w:spacing w:val="12"/>
        </w:rPr>
        <w:t xml:space="preserve"> </w:t>
      </w:r>
      <w:r w:rsidR="001F5F2E">
        <w:t>EUR</w:t>
      </w:r>
      <w:r w:rsidR="001F5F2E">
        <w:rPr>
          <w:spacing w:val="9"/>
        </w:rPr>
        <w:t xml:space="preserve"> </w:t>
      </w:r>
      <w:r w:rsidR="001F5F2E">
        <w:t>apmērā,</w:t>
      </w:r>
      <w:r w:rsidR="001F5F2E">
        <w:rPr>
          <w:spacing w:val="10"/>
        </w:rPr>
        <w:t xml:space="preserve"> </w:t>
      </w:r>
      <w:r w:rsidR="001F5F2E">
        <w:t>ikgadējām</w:t>
      </w:r>
      <w:r w:rsidR="001F5F2E">
        <w:rPr>
          <w:spacing w:val="9"/>
        </w:rPr>
        <w:t xml:space="preserve"> </w:t>
      </w:r>
      <w:r w:rsidR="001F5F2E">
        <w:t>uzturēšanas  izmaksām 12 000,00 EUR apmērā un privātā partnera atlīdzībai 110 000,00 EUR apmērā par ceļa seguma atjaunošanu astotajā gadā.</w:t>
      </w:r>
    </w:p>
    <w:p w14:paraId="71D3E162" w14:textId="77777777" w:rsidR="001F5F2E" w:rsidRDefault="00D1005B" w:rsidP="00CD363C">
      <w:pPr>
        <w:pStyle w:val="Pamatteksts"/>
        <w:ind w:left="218" w:right="107"/>
        <w:jc w:val="both"/>
      </w:pPr>
      <w:r>
        <w:t xml:space="preserve">827.  </w:t>
      </w:r>
      <w:r w:rsidR="001F5F2E">
        <w:t>Budžeta iestāde sākotnēji atzīst partnerības aktīvu kā pamatlīdzekli tā patiesajā vērtībā (kopā 1 050 000,00 EUR, ko veido ceļa segas pamata izbūves izmaksas 940 000,00 EUR apmērā un ceļa sākotnējā seguma būvniecības izmaksas 110 000,00 EUR). Aktīvu atzīst kā nepabeigto būvniecību pakāpeniski tā būvniecības laikā</w:t>
      </w:r>
      <w:r w:rsidR="001F5F2E">
        <w:rPr>
          <w:spacing w:val="-15"/>
        </w:rPr>
        <w:t xml:space="preserve"> </w:t>
      </w:r>
      <w:r w:rsidR="001F5F2E">
        <w:t>(525</w:t>
      </w:r>
      <w:r w:rsidR="001F5F2E">
        <w:rPr>
          <w:spacing w:val="-2"/>
        </w:rPr>
        <w:t xml:space="preserve"> </w:t>
      </w:r>
      <w:r w:rsidR="001F5F2E">
        <w:t>000,00</w:t>
      </w:r>
      <w:r w:rsidR="001F5F2E">
        <w:rPr>
          <w:spacing w:val="-13"/>
        </w:rPr>
        <w:t xml:space="preserve"> </w:t>
      </w:r>
      <w:r w:rsidR="001F5F2E">
        <w:t>EUR</w:t>
      </w:r>
      <w:r w:rsidR="001F5F2E">
        <w:rPr>
          <w:spacing w:val="-17"/>
        </w:rPr>
        <w:t xml:space="preserve"> </w:t>
      </w:r>
      <w:r w:rsidR="001F5F2E">
        <w:t>apmērā</w:t>
      </w:r>
      <w:r w:rsidR="001F5F2E">
        <w:rPr>
          <w:spacing w:val="-14"/>
        </w:rPr>
        <w:t xml:space="preserve"> </w:t>
      </w:r>
      <w:r w:rsidR="001F5F2E">
        <w:t>pirmajā</w:t>
      </w:r>
      <w:r w:rsidR="001F5F2E">
        <w:rPr>
          <w:spacing w:val="-15"/>
        </w:rPr>
        <w:t xml:space="preserve"> </w:t>
      </w:r>
      <w:r w:rsidR="001F5F2E">
        <w:t>gadā</w:t>
      </w:r>
      <w:r w:rsidR="001F5F2E">
        <w:rPr>
          <w:spacing w:val="-13"/>
        </w:rPr>
        <w:t xml:space="preserve"> </w:t>
      </w:r>
      <w:r w:rsidR="001F5F2E">
        <w:t>un</w:t>
      </w:r>
      <w:r w:rsidR="001F5F2E">
        <w:rPr>
          <w:spacing w:val="-16"/>
        </w:rPr>
        <w:t xml:space="preserve"> </w:t>
      </w:r>
      <w:r w:rsidR="001F5F2E">
        <w:t>525</w:t>
      </w:r>
      <w:r w:rsidR="001F5F2E">
        <w:rPr>
          <w:spacing w:val="-1"/>
        </w:rPr>
        <w:t xml:space="preserve"> </w:t>
      </w:r>
      <w:r w:rsidR="001F5F2E">
        <w:t>000,00</w:t>
      </w:r>
      <w:r w:rsidR="001F5F2E">
        <w:rPr>
          <w:spacing w:val="-13"/>
        </w:rPr>
        <w:t xml:space="preserve"> </w:t>
      </w:r>
      <w:r w:rsidR="001F5F2E">
        <w:t>EUR</w:t>
      </w:r>
      <w:r w:rsidR="001F5F2E">
        <w:rPr>
          <w:spacing w:val="-14"/>
        </w:rPr>
        <w:t xml:space="preserve"> </w:t>
      </w:r>
      <w:r w:rsidR="001F5F2E">
        <w:t>apmērā</w:t>
      </w:r>
      <w:r w:rsidR="001F5F2E">
        <w:rPr>
          <w:spacing w:val="-14"/>
        </w:rPr>
        <w:t xml:space="preserve"> </w:t>
      </w:r>
      <w:r w:rsidR="001F5F2E">
        <w:t>–</w:t>
      </w:r>
      <w:r w:rsidR="001F5F2E">
        <w:rPr>
          <w:spacing w:val="-13"/>
        </w:rPr>
        <w:t xml:space="preserve"> </w:t>
      </w:r>
      <w:r w:rsidR="001F5F2E">
        <w:t>otrajā</w:t>
      </w:r>
      <w:r w:rsidR="001F5F2E">
        <w:rPr>
          <w:spacing w:val="-15"/>
        </w:rPr>
        <w:t xml:space="preserve"> </w:t>
      </w:r>
      <w:r w:rsidR="001F5F2E">
        <w:t>gadā).</w:t>
      </w:r>
      <w:r w:rsidR="001F5F2E">
        <w:rPr>
          <w:spacing w:val="-16"/>
        </w:rPr>
        <w:t xml:space="preserve"> </w:t>
      </w:r>
      <w:r w:rsidR="001F5F2E">
        <w:t>Nolietojumu</w:t>
      </w:r>
      <w:r w:rsidR="001F5F2E">
        <w:rPr>
          <w:spacing w:val="-13"/>
        </w:rPr>
        <w:t xml:space="preserve"> </w:t>
      </w:r>
      <w:r w:rsidR="001F5F2E">
        <w:t>aprēķina katru gadu (65 333,33 EUR gadā, ko veido ceļa segas pamata nolietojums 47 000,00 EUR apmērā un ceļa seguma nolietojums 18 000,00 EUR apmērā), sākot no trešā</w:t>
      </w:r>
      <w:r w:rsidR="001F5F2E">
        <w:rPr>
          <w:spacing w:val="-3"/>
        </w:rPr>
        <w:t xml:space="preserve"> </w:t>
      </w:r>
      <w:r w:rsidR="001F5F2E">
        <w:t>gada.</w:t>
      </w:r>
    </w:p>
    <w:p w14:paraId="687A4F94" w14:textId="77777777" w:rsidR="001F5F2E" w:rsidRDefault="00D1005B" w:rsidP="00CD363C">
      <w:pPr>
        <w:pStyle w:val="Pamatteksts"/>
        <w:ind w:left="218" w:right="107"/>
        <w:jc w:val="both"/>
      </w:pPr>
      <w:r>
        <w:t xml:space="preserve">828.  </w:t>
      </w:r>
      <w:r w:rsidR="001F5F2E">
        <w:t>Budžeta iestāde sākotnēji atzīst finanšu saistības patiesajā vērtībā, kas atbilst nepabeigtā aktīva patiesajai vērtībai pirmā gada beigās (525 000,00 EUR). Otrā gada beigās saistības palielina, atzīstot papildu veiktos būvniecības darbus (525 000,00 EUR) un procentu izdevumus par saistību atlikuma apmēru pirmā gada beigās. Tā kā iepriekš noteikto maksājumu saistībā ar līguma pakalpojumu komponenti summa ir zināma, budžeta iestāde var noteikt maksājuma summu, kas samazina saistības. Procentu izdevumus no atlikušām saistībām</w:t>
      </w:r>
      <w:r w:rsidR="001F5F2E">
        <w:rPr>
          <w:spacing w:val="-9"/>
        </w:rPr>
        <w:t xml:space="preserve"> </w:t>
      </w:r>
      <w:r w:rsidR="001F5F2E">
        <w:t>6,18%</w:t>
      </w:r>
      <w:r w:rsidR="001F5F2E">
        <w:rPr>
          <w:spacing w:val="-4"/>
        </w:rPr>
        <w:t xml:space="preserve"> </w:t>
      </w:r>
      <w:r w:rsidR="001F5F2E">
        <w:t>apmērā</w:t>
      </w:r>
      <w:r w:rsidR="001F5F2E">
        <w:rPr>
          <w:spacing w:val="-4"/>
        </w:rPr>
        <w:t xml:space="preserve"> </w:t>
      </w:r>
      <w:r w:rsidR="001F5F2E">
        <w:t>atzīst</w:t>
      </w:r>
      <w:r w:rsidR="001F5F2E">
        <w:rPr>
          <w:spacing w:val="-3"/>
        </w:rPr>
        <w:t xml:space="preserve"> </w:t>
      </w:r>
      <w:r w:rsidR="001F5F2E">
        <w:t>reizi</w:t>
      </w:r>
      <w:r w:rsidR="001F5F2E">
        <w:rPr>
          <w:spacing w:val="-5"/>
        </w:rPr>
        <w:t xml:space="preserve"> </w:t>
      </w:r>
      <w:r w:rsidR="001F5F2E">
        <w:t>gadā,</w:t>
      </w:r>
      <w:r w:rsidR="001F5F2E">
        <w:rPr>
          <w:spacing w:val="-5"/>
        </w:rPr>
        <w:t xml:space="preserve"> </w:t>
      </w:r>
      <w:r w:rsidR="001F5F2E">
        <w:t>palielinot</w:t>
      </w:r>
      <w:r w:rsidR="001F5F2E">
        <w:rPr>
          <w:spacing w:val="-4"/>
        </w:rPr>
        <w:t xml:space="preserve"> </w:t>
      </w:r>
      <w:r w:rsidR="001F5F2E">
        <w:t>sākotnēji</w:t>
      </w:r>
      <w:r w:rsidR="001F5F2E">
        <w:rPr>
          <w:spacing w:val="-5"/>
        </w:rPr>
        <w:t xml:space="preserve"> </w:t>
      </w:r>
      <w:r w:rsidR="001F5F2E">
        <w:t>atzītās</w:t>
      </w:r>
      <w:r w:rsidR="001F5F2E">
        <w:rPr>
          <w:spacing w:val="-4"/>
        </w:rPr>
        <w:t xml:space="preserve"> </w:t>
      </w:r>
      <w:r w:rsidR="001F5F2E">
        <w:t>finanšu</w:t>
      </w:r>
      <w:r w:rsidR="001F5F2E">
        <w:rPr>
          <w:spacing w:val="-4"/>
        </w:rPr>
        <w:t xml:space="preserve"> </w:t>
      </w:r>
      <w:r w:rsidR="001F5F2E">
        <w:t>saistības</w:t>
      </w:r>
      <w:r w:rsidR="001F5F2E">
        <w:rPr>
          <w:spacing w:val="-4"/>
        </w:rPr>
        <w:t xml:space="preserve"> </w:t>
      </w:r>
      <w:r w:rsidR="001F5F2E">
        <w:t>un</w:t>
      </w:r>
      <w:r w:rsidR="001F5F2E">
        <w:rPr>
          <w:spacing w:val="-6"/>
        </w:rPr>
        <w:t xml:space="preserve"> </w:t>
      </w:r>
      <w:r w:rsidR="001F5F2E">
        <w:t>atskaitot</w:t>
      </w:r>
      <w:r w:rsidR="001F5F2E">
        <w:rPr>
          <w:spacing w:val="-4"/>
        </w:rPr>
        <w:t xml:space="preserve"> </w:t>
      </w:r>
      <w:r w:rsidR="001F5F2E">
        <w:t>atmaksātās summas. Detalizēti aprēķini sniegti</w:t>
      </w:r>
      <w:r w:rsidR="001F5F2E">
        <w:rPr>
          <w:spacing w:val="-1"/>
        </w:rPr>
        <w:t xml:space="preserve"> </w:t>
      </w:r>
      <w:r w:rsidR="001F5F2E">
        <w:t>3.tabulā.</w:t>
      </w:r>
    </w:p>
    <w:p w14:paraId="374BDF05" w14:textId="77777777" w:rsidR="001F5F2E" w:rsidRPr="001F5F2E" w:rsidRDefault="001F5F2E" w:rsidP="00CD363C">
      <w:pPr>
        <w:pStyle w:val="Pamatteksts"/>
        <w:ind w:left="218" w:right="107"/>
        <w:jc w:val="both"/>
        <w:rPr>
          <w:i/>
          <w:iCs/>
        </w:rPr>
      </w:pPr>
      <w:r w:rsidRPr="001F5F2E">
        <w:rPr>
          <w:i/>
          <w:iCs/>
        </w:rPr>
        <w:t xml:space="preserve">                                                                                                         3.tabula Finanšu saistību pārrēķins</w:t>
      </w:r>
    </w:p>
    <w:tbl>
      <w:tblPr>
        <w:tblW w:w="9632" w:type="dxa"/>
        <w:tblInd w:w="228"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42"/>
        <w:gridCol w:w="1275"/>
        <w:gridCol w:w="1418"/>
        <w:gridCol w:w="1558"/>
        <w:gridCol w:w="1561"/>
        <w:gridCol w:w="1419"/>
        <w:gridCol w:w="1559"/>
      </w:tblGrid>
      <w:tr w:rsidR="001F5F2E" w14:paraId="407FBBB5" w14:textId="77777777" w:rsidTr="00D1005B">
        <w:trPr>
          <w:trHeight w:val="1235"/>
        </w:trPr>
        <w:tc>
          <w:tcPr>
            <w:tcW w:w="842" w:type="dxa"/>
            <w:shd w:val="clear" w:color="auto" w:fill="F1F1F1"/>
          </w:tcPr>
          <w:p w14:paraId="74B79F20" w14:textId="77777777" w:rsidR="001F5F2E" w:rsidRDefault="001F5F2E" w:rsidP="00CD363C">
            <w:pPr>
              <w:pStyle w:val="TableParagraph"/>
              <w:ind w:right="107"/>
              <w:jc w:val="both"/>
              <w:rPr>
                <w:i/>
              </w:rPr>
            </w:pPr>
          </w:p>
          <w:p w14:paraId="4360866F" w14:textId="77777777" w:rsidR="001F5F2E" w:rsidRDefault="001F5F2E" w:rsidP="00CD363C">
            <w:pPr>
              <w:pStyle w:val="TableParagraph"/>
              <w:ind w:right="107"/>
              <w:jc w:val="both"/>
              <w:rPr>
                <w:i/>
                <w:sz w:val="21"/>
              </w:rPr>
            </w:pPr>
          </w:p>
          <w:p w14:paraId="69123B3F" w14:textId="77777777" w:rsidR="001F5F2E" w:rsidRDefault="001F5F2E" w:rsidP="00CD363C">
            <w:pPr>
              <w:pStyle w:val="TableParagraph"/>
              <w:ind w:left="159" w:right="107"/>
              <w:jc w:val="both"/>
              <w:rPr>
                <w:b/>
                <w:sz w:val="20"/>
              </w:rPr>
            </w:pPr>
            <w:r>
              <w:rPr>
                <w:b/>
                <w:sz w:val="20"/>
              </w:rPr>
              <w:t>Gadi</w:t>
            </w:r>
          </w:p>
        </w:tc>
        <w:tc>
          <w:tcPr>
            <w:tcW w:w="1275" w:type="dxa"/>
            <w:shd w:val="clear" w:color="auto" w:fill="F1F1F1"/>
          </w:tcPr>
          <w:p w14:paraId="7B77C171" w14:textId="77777777" w:rsidR="001F5F2E" w:rsidRDefault="001F5F2E" w:rsidP="00CD363C">
            <w:pPr>
              <w:pStyle w:val="TableParagraph"/>
              <w:ind w:left="247" w:right="107" w:hanging="1"/>
              <w:jc w:val="both"/>
              <w:rPr>
                <w:b/>
                <w:sz w:val="20"/>
              </w:rPr>
            </w:pPr>
            <w:r>
              <w:rPr>
                <w:b/>
                <w:sz w:val="20"/>
              </w:rPr>
              <w:t xml:space="preserve">Finanšu </w:t>
            </w:r>
            <w:r>
              <w:rPr>
                <w:b/>
                <w:w w:val="95"/>
                <w:sz w:val="20"/>
              </w:rPr>
              <w:t xml:space="preserve">saistības </w:t>
            </w:r>
            <w:r>
              <w:rPr>
                <w:b/>
                <w:sz w:val="20"/>
              </w:rPr>
              <w:t xml:space="preserve">perioda </w:t>
            </w:r>
            <w:r>
              <w:rPr>
                <w:b/>
                <w:w w:val="95"/>
                <w:sz w:val="20"/>
              </w:rPr>
              <w:t xml:space="preserve">sākumā, </w:t>
            </w:r>
            <w:r>
              <w:rPr>
                <w:b/>
                <w:sz w:val="20"/>
              </w:rPr>
              <w:t>EUR</w:t>
            </w:r>
          </w:p>
        </w:tc>
        <w:tc>
          <w:tcPr>
            <w:tcW w:w="1418" w:type="dxa"/>
            <w:shd w:val="clear" w:color="auto" w:fill="F1F1F1"/>
          </w:tcPr>
          <w:p w14:paraId="3C44F8EC" w14:textId="77777777" w:rsidR="001F5F2E" w:rsidRDefault="001F5F2E" w:rsidP="00CD363C">
            <w:pPr>
              <w:pStyle w:val="TableParagraph"/>
              <w:ind w:right="107"/>
              <w:jc w:val="both"/>
              <w:rPr>
                <w:i/>
                <w:sz w:val="23"/>
              </w:rPr>
            </w:pPr>
          </w:p>
          <w:p w14:paraId="3D0E4CBA" w14:textId="77777777" w:rsidR="001F5F2E" w:rsidRDefault="001F5F2E" w:rsidP="00CD363C">
            <w:pPr>
              <w:pStyle w:val="TableParagraph"/>
              <w:ind w:left="139" w:right="107"/>
              <w:jc w:val="both"/>
              <w:rPr>
                <w:b/>
                <w:sz w:val="20"/>
              </w:rPr>
            </w:pPr>
            <w:r>
              <w:rPr>
                <w:b/>
                <w:sz w:val="20"/>
              </w:rPr>
              <w:t xml:space="preserve">Procentu </w:t>
            </w:r>
            <w:r>
              <w:rPr>
                <w:b/>
                <w:w w:val="95"/>
                <w:sz w:val="20"/>
              </w:rPr>
              <w:t xml:space="preserve">izdevumi, </w:t>
            </w:r>
            <w:r>
              <w:rPr>
                <w:b/>
                <w:sz w:val="20"/>
              </w:rPr>
              <w:t>EUR</w:t>
            </w:r>
          </w:p>
        </w:tc>
        <w:tc>
          <w:tcPr>
            <w:tcW w:w="1558" w:type="dxa"/>
            <w:shd w:val="clear" w:color="auto" w:fill="F1F1F1"/>
          </w:tcPr>
          <w:p w14:paraId="68A250FD" w14:textId="77777777" w:rsidR="001F5F2E" w:rsidRDefault="001F5F2E" w:rsidP="00CD363C">
            <w:pPr>
              <w:pStyle w:val="TableParagraph"/>
              <w:ind w:right="107"/>
              <w:jc w:val="both"/>
              <w:rPr>
                <w:i/>
                <w:sz w:val="23"/>
              </w:rPr>
            </w:pPr>
          </w:p>
          <w:p w14:paraId="3609D673" w14:textId="77777777" w:rsidR="001F5F2E" w:rsidRDefault="001F5F2E" w:rsidP="00CD363C">
            <w:pPr>
              <w:pStyle w:val="TableParagraph"/>
              <w:ind w:left="152" w:right="107"/>
              <w:jc w:val="both"/>
              <w:rPr>
                <w:b/>
                <w:sz w:val="20"/>
              </w:rPr>
            </w:pPr>
            <w:r>
              <w:rPr>
                <w:b/>
                <w:sz w:val="20"/>
              </w:rPr>
              <w:t>Pakalpojumu izmaksas, EUR</w:t>
            </w:r>
          </w:p>
        </w:tc>
        <w:tc>
          <w:tcPr>
            <w:tcW w:w="1561" w:type="dxa"/>
            <w:shd w:val="clear" w:color="auto" w:fill="F1F1F1"/>
          </w:tcPr>
          <w:p w14:paraId="3274B9C4" w14:textId="77777777" w:rsidR="001F5F2E" w:rsidRDefault="001F5F2E" w:rsidP="00CD363C">
            <w:pPr>
              <w:pStyle w:val="TableParagraph"/>
              <w:ind w:right="107"/>
              <w:jc w:val="both"/>
              <w:rPr>
                <w:i/>
              </w:rPr>
            </w:pPr>
          </w:p>
          <w:p w14:paraId="430772B0" w14:textId="77777777" w:rsidR="001F5F2E" w:rsidRDefault="001F5F2E" w:rsidP="00CD363C">
            <w:pPr>
              <w:pStyle w:val="TableParagraph"/>
              <w:ind w:left="540" w:right="107" w:hanging="303"/>
              <w:jc w:val="both"/>
              <w:rPr>
                <w:b/>
                <w:sz w:val="20"/>
              </w:rPr>
            </w:pPr>
            <w:r>
              <w:rPr>
                <w:b/>
                <w:w w:val="95"/>
                <w:sz w:val="20"/>
              </w:rPr>
              <w:t xml:space="preserve">Maksājumi, </w:t>
            </w:r>
            <w:r>
              <w:rPr>
                <w:b/>
                <w:sz w:val="20"/>
              </w:rPr>
              <w:t>EUR</w:t>
            </w:r>
          </w:p>
        </w:tc>
        <w:tc>
          <w:tcPr>
            <w:tcW w:w="1419" w:type="dxa"/>
            <w:shd w:val="clear" w:color="auto" w:fill="F1F1F1"/>
          </w:tcPr>
          <w:p w14:paraId="0FC7A5A7" w14:textId="77777777" w:rsidR="001F5F2E" w:rsidRDefault="001F5F2E" w:rsidP="00CD363C">
            <w:pPr>
              <w:pStyle w:val="TableParagraph"/>
              <w:ind w:right="107"/>
              <w:jc w:val="both"/>
              <w:rPr>
                <w:i/>
                <w:sz w:val="23"/>
              </w:rPr>
            </w:pPr>
          </w:p>
          <w:p w14:paraId="792AB7BA" w14:textId="77777777" w:rsidR="001F5F2E" w:rsidRDefault="001F5F2E" w:rsidP="00CD363C">
            <w:pPr>
              <w:pStyle w:val="TableParagraph"/>
              <w:ind w:left="85" w:right="107"/>
              <w:jc w:val="both"/>
              <w:rPr>
                <w:b/>
                <w:sz w:val="20"/>
              </w:rPr>
            </w:pPr>
            <w:r>
              <w:rPr>
                <w:b/>
                <w:sz w:val="20"/>
              </w:rPr>
              <w:t>Ceļa seguma atjaunošana 8.gadā</w:t>
            </w:r>
          </w:p>
        </w:tc>
        <w:tc>
          <w:tcPr>
            <w:tcW w:w="1559" w:type="dxa"/>
            <w:shd w:val="clear" w:color="auto" w:fill="F1F1F1"/>
          </w:tcPr>
          <w:p w14:paraId="76D76662" w14:textId="77777777" w:rsidR="001F5F2E" w:rsidRDefault="001F5F2E" w:rsidP="00CD363C">
            <w:pPr>
              <w:pStyle w:val="TableParagraph"/>
              <w:ind w:left="220" w:right="107" w:firstLine="3"/>
              <w:jc w:val="both"/>
              <w:rPr>
                <w:b/>
                <w:sz w:val="20"/>
              </w:rPr>
            </w:pPr>
            <w:r>
              <w:rPr>
                <w:b/>
                <w:sz w:val="20"/>
              </w:rPr>
              <w:t>Finanšu saistības perioda beigās,</w:t>
            </w:r>
            <w:r>
              <w:rPr>
                <w:b/>
                <w:spacing w:val="-10"/>
                <w:sz w:val="20"/>
              </w:rPr>
              <w:t xml:space="preserve"> </w:t>
            </w:r>
            <w:r>
              <w:rPr>
                <w:b/>
                <w:sz w:val="20"/>
              </w:rPr>
              <w:t>EUR</w:t>
            </w:r>
          </w:p>
        </w:tc>
      </w:tr>
      <w:tr w:rsidR="001F5F2E" w14:paraId="66D80360" w14:textId="77777777" w:rsidTr="00D1005B">
        <w:trPr>
          <w:trHeight w:val="244"/>
        </w:trPr>
        <w:tc>
          <w:tcPr>
            <w:tcW w:w="842" w:type="dxa"/>
            <w:shd w:val="clear" w:color="auto" w:fill="F1F1F1"/>
          </w:tcPr>
          <w:p w14:paraId="7F50DD33" w14:textId="77777777" w:rsidR="001F5F2E" w:rsidRDefault="001F5F2E" w:rsidP="00CD363C">
            <w:pPr>
              <w:pStyle w:val="TableParagraph"/>
              <w:ind w:right="107"/>
              <w:jc w:val="both"/>
              <w:rPr>
                <w:b/>
                <w:sz w:val="20"/>
              </w:rPr>
            </w:pPr>
            <w:r>
              <w:rPr>
                <w:b/>
                <w:w w:val="99"/>
                <w:sz w:val="20"/>
              </w:rPr>
              <w:t>1</w:t>
            </w:r>
          </w:p>
        </w:tc>
        <w:tc>
          <w:tcPr>
            <w:tcW w:w="1275" w:type="dxa"/>
            <w:shd w:val="clear" w:color="auto" w:fill="F1F1F1"/>
          </w:tcPr>
          <w:p w14:paraId="5C42F48C" w14:textId="77777777" w:rsidR="001F5F2E" w:rsidRDefault="001F5F2E" w:rsidP="00CD363C">
            <w:pPr>
              <w:pStyle w:val="TableParagraph"/>
              <w:ind w:right="107"/>
              <w:jc w:val="both"/>
              <w:rPr>
                <w:b/>
                <w:sz w:val="20"/>
              </w:rPr>
            </w:pPr>
            <w:r>
              <w:rPr>
                <w:b/>
                <w:w w:val="99"/>
                <w:sz w:val="20"/>
              </w:rPr>
              <w:t>2</w:t>
            </w:r>
          </w:p>
        </w:tc>
        <w:tc>
          <w:tcPr>
            <w:tcW w:w="1418" w:type="dxa"/>
            <w:shd w:val="clear" w:color="auto" w:fill="F1F1F1"/>
          </w:tcPr>
          <w:p w14:paraId="0FAC84FD" w14:textId="77777777" w:rsidR="001F5F2E" w:rsidRDefault="001F5F2E" w:rsidP="00CD363C">
            <w:pPr>
              <w:pStyle w:val="TableParagraph"/>
              <w:ind w:right="107"/>
              <w:jc w:val="both"/>
              <w:rPr>
                <w:b/>
                <w:sz w:val="20"/>
              </w:rPr>
            </w:pPr>
            <w:r>
              <w:rPr>
                <w:b/>
                <w:w w:val="95"/>
                <w:sz w:val="20"/>
              </w:rPr>
              <w:t>3=2x6,18%*</w:t>
            </w:r>
          </w:p>
        </w:tc>
        <w:tc>
          <w:tcPr>
            <w:tcW w:w="1558" w:type="dxa"/>
            <w:shd w:val="clear" w:color="auto" w:fill="F1F1F1"/>
          </w:tcPr>
          <w:p w14:paraId="6876A77D" w14:textId="77777777" w:rsidR="001F5F2E" w:rsidRDefault="001F5F2E" w:rsidP="00CD363C">
            <w:pPr>
              <w:pStyle w:val="TableParagraph"/>
              <w:ind w:right="107"/>
              <w:jc w:val="both"/>
              <w:rPr>
                <w:b/>
                <w:sz w:val="20"/>
              </w:rPr>
            </w:pPr>
            <w:r>
              <w:rPr>
                <w:b/>
                <w:w w:val="99"/>
                <w:sz w:val="20"/>
              </w:rPr>
              <w:t>4</w:t>
            </w:r>
          </w:p>
        </w:tc>
        <w:tc>
          <w:tcPr>
            <w:tcW w:w="1561" w:type="dxa"/>
            <w:shd w:val="clear" w:color="auto" w:fill="F1F1F1"/>
          </w:tcPr>
          <w:p w14:paraId="2B044E7D" w14:textId="77777777" w:rsidR="001F5F2E" w:rsidRDefault="001F5F2E" w:rsidP="00CD363C">
            <w:pPr>
              <w:pStyle w:val="TableParagraph"/>
              <w:ind w:right="107"/>
              <w:jc w:val="both"/>
              <w:rPr>
                <w:b/>
                <w:sz w:val="20"/>
              </w:rPr>
            </w:pPr>
            <w:r>
              <w:rPr>
                <w:b/>
                <w:w w:val="99"/>
                <w:sz w:val="20"/>
              </w:rPr>
              <w:t>5</w:t>
            </w:r>
          </w:p>
        </w:tc>
        <w:tc>
          <w:tcPr>
            <w:tcW w:w="1419" w:type="dxa"/>
            <w:shd w:val="clear" w:color="auto" w:fill="F1F1F1"/>
          </w:tcPr>
          <w:p w14:paraId="5F43D059" w14:textId="77777777" w:rsidR="001F5F2E" w:rsidRDefault="001F5F2E" w:rsidP="00CD363C">
            <w:pPr>
              <w:pStyle w:val="TableParagraph"/>
              <w:ind w:right="107"/>
              <w:jc w:val="both"/>
              <w:rPr>
                <w:b/>
                <w:sz w:val="20"/>
              </w:rPr>
            </w:pPr>
            <w:r>
              <w:rPr>
                <w:b/>
                <w:w w:val="99"/>
                <w:sz w:val="20"/>
              </w:rPr>
              <w:t>6</w:t>
            </w:r>
          </w:p>
        </w:tc>
        <w:tc>
          <w:tcPr>
            <w:tcW w:w="1559" w:type="dxa"/>
            <w:shd w:val="clear" w:color="auto" w:fill="F1F1F1"/>
          </w:tcPr>
          <w:p w14:paraId="479CD65A" w14:textId="77777777" w:rsidR="001F5F2E" w:rsidRDefault="001F5F2E" w:rsidP="00CD363C">
            <w:pPr>
              <w:pStyle w:val="TableParagraph"/>
              <w:ind w:left="186" w:right="107"/>
              <w:jc w:val="both"/>
              <w:rPr>
                <w:b/>
                <w:sz w:val="20"/>
              </w:rPr>
            </w:pPr>
            <w:r>
              <w:rPr>
                <w:b/>
                <w:sz w:val="20"/>
              </w:rPr>
              <w:t>7=2+3+4-5+6</w:t>
            </w:r>
          </w:p>
        </w:tc>
      </w:tr>
      <w:tr w:rsidR="001F5F2E" w14:paraId="636B8E40" w14:textId="77777777" w:rsidTr="00D1005B">
        <w:trPr>
          <w:trHeight w:val="261"/>
        </w:trPr>
        <w:tc>
          <w:tcPr>
            <w:tcW w:w="842" w:type="dxa"/>
          </w:tcPr>
          <w:p w14:paraId="08065B10" w14:textId="77777777" w:rsidR="001F5F2E" w:rsidRDefault="001F5F2E" w:rsidP="00CD363C">
            <w:pPr>
              <w:pStyle w:val="TableParagraph"/>
              <w:ind w:right="107"/>
              <w:jc w:val="both"/>
              <w:rPr>
                <w:sz w:val="20"/>
              </w:rPr>
            </w:pPr>
            <w:r>
              <w:rPr>
                <w:w w:val="99"/>
                <w:sz w:val="20"/>
              </w:rPr>
              <w:t>1</w:t>
            </w:r>
          </w:p>
        </w:tc>
        <w:tc>
          <w:tcPr>
            <w:tcW w:w="1275" w:type="dxa"/>
          </w:tcPr>
          <w:p w14:paraId="76E0187A" w14:textId="77777777" w:rsidR="001F5F2E" w:rsidRDefault="001F5F2E" w:rsidP="00CD363C">
            <w:pPr>
              <w:pStyle w:val="TableParagraph"/>
              <w:ind w:right="107"/>
              <w:jc w:val="both"/>
              <w:rPr>
                <w:sz w:val="20"/>
              </w:rPr>
            </w:pPr>
            <w:r>
              <w:rPr>
                <w:sz w:val="20"/>
              </w:rPr>
              <w:t>0,00</w:t>
            </w:r>
          </w:p>
        </w:tc>
        <w:tc>
          <w:tcPr>
            <w:tcW w:w="1418" w:type="dxa"/>
          </w:tcPr>
          <w:p w14:paraId="0E17EBD9" w14:textId="77777777" w:rsidR="001F5F2E" w:rsidRDefault="001F5F2E" w:rsidP="00CD363C">
            <w:pPr>
              <w:pStyle w:val="TableParagraph"/>
              <w:ind w:right="107"/>
              <w:jc w:val="both"/>
              <w:rPr>
                <w:sz w:val="20"/>
              </w:rPr>
            </w:pPr>
            <w:r>
              <w:rPr>
                <w:sz w:val="20"/>
              </w:rPr>
              <w:t>0,00</w:t>
            </w:r>
          </w:p>
        </w:tc>
        <w:tc>
          <w:tcPr>
            <w:tcW w:w="1558" w:type="dxa"/>
          </w:tcPr>
          <w:p w14:paraId="46BF8A1F" w14:textId="77777777" w:rsidR="001F5F2E" w:rsidRDefault="001F5F2E" w:rsidP="00CD363C">
            <w:pPr>
              <w:pStyle w:val="TableParagraph"/>
              <w:ind w:right="107"/>
              <w:jc w:val="both"/>
              <w:rPr>
                <w:sz w:val="20"/>
              </w:rPr>
            </w:pPr>
            <w:r>
              <w:rPr>
                <w:sz w:val="20"/>
              </w:rPr>
              <w:t>0,00</w:t>
            </w:r>
          </w:p>
        </w:tc>
        <w:tc>
          <w:tcPr>
            <w:tcW w:w="1561" w:type="dxa"/>
          </w:tcPr>
          <w:p w14:paraId="3D229A22" w14:textId="77777777" w:rsidR="001F5F2E" w:rsidRDefault="001F5F2E" w:rsidP="00CD363C">
            <w:pPr>
              <w:pStyle w:val="TableParagraph"/>
              <w:ind w:right="107"/>
              <w:jc w:val="both"/>
              <w:rPr>
                <w:sz w:val="20"/>
              </w:rPr>
            </w:pPr>
            <w:r>
              <w:rPr>
                <w:sz w:val="20"/>
              </w:rPr>
              <w:t>0,00</w:t>
            </w:r>
          </w:p>
        </w:tc>
        <w:tc>
          <w:tcPr>
            <w:tcW w:w="1419" w:type="dxa"/>
          </w:tcPr>
          <w:p w14:paraId="737FE024" w14:textId="77777777" w:rsidR="001F5F2E" w:rsidRDefault="001F5F2E" w:rsidP="00CD363C">
            <w:pPr>
              <w:pStyle w:val="TableParagraph"/>
              <w:ind w:right="107"/>
              <w:jc w:val="both"/>
              <w:rPr>
                <w:sz w:val="18"/>
              </w:rPr>
            </w:pPr>
          </w:p>
        </w:tc>
        <w:tc>
          <w:tcPr>
            <w:tcW w:w="1559" w:type="dxa"/>
          </w:tcPr>
          <w:p w14:paraId="0BC6C476" w14:textId="77777777" w:rsidR="001F5F2E" w:rsidRDefault="001F5F2E" w:rsidP="00CD363C">
            <w:pPr>
              <w:pStyle w:val="TableParagraph"/>
              <w:ind w:right="107"/>
              <w:jc w:val="both"/>
              <w:rPr>
                <w:sz w:val="20"/>
              </w:rPr>
            </w:pPr>
            <w:r>
              <w:rPr>
                <w:sz w:val="20"/>
              </w:rPr>
              <w:t>525 000,00</w:t>
            </w:r>
          </w:p>
        </w:tc>
      </w:tr>
      <w:tr w:rsidR="001F5F2E" w14:paraId="528859B2" w14:textId="77777777" w:rsidTr="00D1005B">
        <w:trPr>
          <w:trHeight w:val="273"/>
        </w:trPr>
        <w:tc>
          <w:tcPr>
            <w:tcW w:w="842" w:type="dxa"/>
          </w:tcPr>
          <w:p w14:paraId="303D0D9C" w14:textId="77777777" w:rsidR="001F5F2E" w:rsidRDefault="001F5F2E" w:rsidP="00CD363C">
            <w:pPr>
              <w:pStyle w:val="TableParagraph"/>
              <w:ind w:right="107"/>
              <w:jc w:val="both"/>
              <w:rPr>
                <w:sz w:val="20"/>
              </w:rPr>
            </w:pPr>
            <w:r>
              <w:rPr>
                <w:w w:val="99"/>
                <w:sz w:val="20"/>
              </w:rPr>
              <w:t>2</w:t>
            </w:r>
          </w:p>
        </w:tc>
        <w:tc>
          <w:tcPr>
            <w:tcW w:w="1275" w:type="dxa"/>
          </w:tcPr>
          <w:p w14:paraId="313FE3C7" w14:textId="77777777" w:rsidR="001F5F2E" w:rsidRDefault="001F5F2E" w:rsidP="00CD363C">
            <w:pPr>
              <w:pStyle w:val="TableParagraph"/>
              <w:ind w:right="107"/>
              <w:jc w:val="both"/>
              <w:rPr>
                <w:sz w:val="20"/>
              </w:rPr>
            </w:pPr>
            <w:r>
              <w:rPr>
                <w:sz w:val="20"/>
              </w:rPr>
              <w:t>525 000,00</w:t>
            </w:r>
          </w:p>
        </w:tc>
        <w:tc>
          <w:tcPr>
            <w:tcW w:w="1418" w:type="dxa"/>
          </w:tcPr>
          <w:p w14:paraId="7B12156B" w14:textId="77777777" w:rsidR="001F5F2E" w:rsidRDefault="001F5F2E" w:rsidP="00CD363C">
            <w:pPr>
              <w:pStyle w:val="TableParagraph"/>
              <w:ind w:right="107"/>
              <w:jc w:val="both"/>
              <w:rPr>
                <w:sz w:val="20"/>
              </w:rPr>
            </w:pPr>
            <w:r>
              <w:rPr>
                <w:sz w:val="20"/>
              </w:rPr>
              <w:t>32 440,99</w:t>
            </w:r>
          </w:p>
        </w:tc>
        <w:tc>
          <w:tcPr>
            <w:tcW w:w="1558" w:type="dxa"/>
          </w:tcPr>
          <w:p w14:paraId="7FCC98B0" w14:textId="77777777" w:rsidR="001F5F2E" w:rsidRDefault="001F5F2E" w:rsidP="00CD363C">
            <w:pPr>
              <w:pStyle w:val="TableParagraph"/>
              <w:ind w:right="107"/>
              <w:jc w:val="both"/>
              <w:rPr>
                <w:sz w:val="20"/>
              </w:rPr>
            </w:pPr>
            <w:r>
              <w:rPr>
                <w:sz w:val="20"/>
              </w:rPr>
              <w:t>0,00</w:t>
            </w:r>
          </w:p>
        </w:tc>
        <w:tc>
          <w:tcPr>
            <w:tcW w:w="1561" w:type="dxa"/>
          </w:tcPr>
          <w:p w14:paraId="670A8AA7" w14:textId="77777777" w:rsidR="001F5F2E" w:rsidRDefault="001F5F2E" w:rsidP="00CD363C">
            <w:pPr>
              <w:pStyle w:val="TableParagraph"/>
              <w:ind w:right="107"/>
              <w:jc w:val="both"/>
              <w:rPr>
                <w:sz w:val="20"/>
              </w:rPr>
            </w:pPr>
            <w:r>
              <w:rPr>
                <w:sz w:val="20"/>
              </w:rPr>
              <w:t>0,00</w:t>
            </w:r>
          </w:p>
        </w:tc>
        <w:tc>
          <w:tcPr>
            <w:tcW w:w="1419" w:type="dxa"/>
          </w:tcPr>
          <w:p w14:paraId="1A76061B" w14:textId="77777777" w:rsidR="001F5F2E" w:rsidRDefault="001F5F2E" w:rsidP="00CD363C">
            <w:pPr>
              <w:pStyle w:val="TableParagraph"/>
              <w:ind w:right="107"/>
              <w:jc w:val="both"/>
              <w:rPr>
                <w:sz w:val="20"/>
              </w:rPr>
            </w:pPr>
          </w:p>
        </w:tc>
        <w:tc>
          <w:tcPr>
            <w:tcW w:w="1559" w:type="dxa"/>
          </w:tcPr>
          <w:p w14:paraId="3CD500B1" w14:textId="77777777" w:rsidR="001F5F2E" w:rsidRDefault="001F5F2E" w:rsidP="00CD363C">
            <w:pPr>
              <w:pStyle w:val="TableParagraph"/>
              <w:ind w:right="107"/>
              <w:jc w:val="both"/>
              <w:rPr>
                <w:sz w:val="20"/>
              </w:rPr>
            </w:pPr>
            <w:r>
              <w:rPr>
                <w:sz w:val="20"/>
              </w:rPr>
              <w:t>1 082 440,99</w:t>
            </w:r>
          </w:p>
        </w:tc>
      </w:tr>
      <w:tr w:rsidR="001F5F2E" w14:paraId="003C6875" w14:textId="77777777" w:rsidTr="00D1005B">
        <w:trPr>
          <w:trHeight w:val="270"/>
        </w:trPr>
        <w:tc>
          <w:tcPr>
            <w:tcW w:w="842" w:type="dxa"/>
          </w:tcPr>
          <w:p w14:paraId="53E5E1DF" w14:textId="77777777" w:rsidR="001F5F2E" w:rsidRDefault="001F5F2E" w:rsidP="00CD363C">
            <w:pPr>
              <w:pStyle w:val="TableParagraph"/>
              <w:ind w:right="107"/>
              <w:jc w:val="both"/>
              <w:rPr>
                <w:sz w:val="20"/>
              </w:rPr>
            </w:pPr>
            <w:r>
              <w:rPr>
                <w:w w:val="99"/>
                <w:sz w:val="20"/>
              </w:rPr>
              <w:t>3</w:t>
            </w:r>
          </w:p>
        </w:tc>
        <w:tc>
          <w:tcPr>
            <w:tcW w:w="1275" w:type="dxa"/>
          </w:tcPr>
          <w:p w14:paraId="35170A8B" w14:textId="77777777" w:rsidR="001F5F2E" w:rsidRDefault="001F5F2E" w:rsidP="00CD363C">
            <w:pPr>
              <w:pStyle w:val="TableParagraph"/>
              <w:ind w:right="107"/>
              <w:jc w:val="both"/>
              <w:rPr>
                <w:sz w:val="16"/>
              </w:rPr>
            </w:pPr>
            <w:r>
              <w:rPr>
                <w:sz w:val="16"/>
              </w:rPr>
              <w:t>1 082 440,99</w:t>
            </w:r>
          </w:p>
        </w:tc>
        <w:tc>
          <w:tcPr>
            <w:tcW w:w="1418" w:type="dxa"/>
          </w:tcPr>
          <w:p w14:paraId="4FFC4ADD" w14:textId="77777777" w:rsidR="001F5F2E" w:rsidRDefault="001F5F2E" w:rsidP="00CD363C">
            <w:pPr>
              <w:pStyle w:val="TableParagraph"/>
              <w:ind w:right="107"/>
              <w:jc w:val="both"/>
              <w:rPr>
                <w:sz w:val="20"/>
              </w:rPr>
            </w:pPr>
            <w:r>
              <w:rPr>
                <w:sz w:val="20"/>
              </w:rPr>
              <w:t>66 886,59</w:t>
            </w:r>
          </w:p>
        </w:tc>
        <w:tc>
          <w:tcPr>
            <w:tcW w:w="1558" w:type="dxa"/>
          </w:tcPr>
          <w:p w14:paraId="1CD0EE5B" w14:textId="77777777" w:rsidR="001F5F2E" w:rsidRDefault="001F5F2E" w:rsidP="00CD363C">
            <w:pPr>
              <w:pStyle w:val="TableParagraph"/>
              <w:ind w:right="107"/>
              <w:jc w:val="both"/>
              <w:rPr>
                <w:sz w:val="20"/>
              </w:rPr>
            </w:pPr>
            <w:r>
              <w:rPr>
                <w:sz w:val="20"/>
              </w:rPr>
              <w:t>12 000,00</w:t>
            </w:r>
          </w:p>
        </w:tc>
        <w:tc>
          <w:tcPr>
            <w:tcW w:w="1561" w:type="dxa"/>
          </w:tcPr>
          <w:p w14:paraId="1654EC62" w14:textId="77777777" w:rsidR="001F5F2E" w:rsidRDefault="001F5F2E" w:rsidP="00CD363C">
            <w:pPr>
              <w:pStyle w:val="TableParagraph"/>
              <w:ind w:right="107"/>
              <w:jc w:val="both"/>
              <w:rPr>
                <w:sz w:val="20"/>
              </w:rPr>
            </w:pPr>
            <w:r>
              <w:rPr>
                <w:sz w:val="20"/>
              </w:rPr>
              <w:t>200 000,00</w:t>
            </w:r>
          </w:p>
        </w:tc>
        <w:tc>
          <w:tcPr>
            <w:tcW w:w="1419" w:type="dxa"/>
          </w:tcPr>
          <w:p w14:paraId="52FD1E7A" w14:textId="77777777" w:rsidR="001F5F2E" w:rsidRDefault="001F5F2E" w:rsidP="00CD363C">
            <w:pPr>
              <w:pStyle w:val="TableParagraph"/>
              <w:ind w:right="107"/>
              <w:jc w:val="both"/>
              <w:rPr>
                <w:sz w:val="20"/>
              </w:rPr>
            </w:pPr>
          </w:p>
        </w:tc>
        <w:tc>
          <w:tcPr>
            <w:tcW w:w="1559" w:type="dxa"/>
          </w:tcPr>
          <w:p w14:paraId="538714F9" w14:textId="77777777" w:rsidR="001F5F2E" w:rsidRDefault="001F5F2E" w:rsidP="00CD363C">
            <w:pPr>
              <w:pStyle w:val="TableParagraph"/>
              <w:ind w:right="107"/>
              <w:jc w:val="both"/>
              <w:rPr>
                <w:sz w:val="20"/>
              </w:rPr>
            </w:pPr>
            <w:r>
              <w:rPr>
                <w:sz w:val="20"/>
              </w:rPr>
              <w:t>961 327,59</w:t>
            </w:r>
          </w:p>
        </w:tc>
      </w:tr>
      <w:tr w:rsidR="001F5F2E" w14:paraId="7DEC6C06" w14:textId="77777777" w:rsidTr="00D1005B">
        <w:trPr>
          <w:trHeight w:val="273"/>
        </w:trPr>
        <w:tc>
          <w:tcPr>
            <w:tcW w:w="842" w:type="dxa"/>
          </w:tcPr>
          <w:p w14:paraId="287FF55F" w14:textId="77777777" w:rsidR="001F5F2E" w:rsidRDefault="001F5F2E" w:rsidP="00CD363C">
            <w:pPr>
              <w:pStyle w:val="TableParagraph"/>
              <w:ind w:right="107"/>
              <w:jc w:val="both"/>
              <w:rPr>
                <w:sz w:val="20"/>
              </w:rPr>
            </w:pPr>
            <w:r>
              <w:rPr>
                <w:w w:val="99"/>
                <w:sz w:val="20"/>
              </w:rPr>
              <w:t>4</w:t>
            </w:r>
          </w:p>
        </w:tc>
        <w:tc>
          <w:tcPr>
            <w:tcW w:w="1275" w:type="dxa"/>
          </w:tcPr>
          <w:p w14:paraId="4FF4FF13" w14:textId="77777777" w:rsidR="001F5F2E" w:rsidRDefault="001F5F2E" w:rsidP="00CD363C">
            <w:pPr>
              <w:pStyle w:val="TableParagraph"/>
              <w:ind w:right="107"/>
              <w:jc w:val="both"/>
              <w:rPr>
                <w:sz w:val="20"/>
              </w:rPr>
            </w:pPr>
            <w:r>
              <w:rPr>
                <w:sz w:val="20"/>
              </w:rPr>
              <w:t>961 327,59</w:t>
            </w:r>
          </w:p>
        </w:tc>
        <w:tc>
          <w:tcPr>
            <w:tcW w:w="1418" w:type="dxa"/>
          </w:tcPr>
          <w:p w14:paraId="04EA61A9" w14:textId="77777777" w:rsidR="001F5F2E" w:rsidRDefault="001F5F2E" w:rsidP="00CD363C">
            <w:pPr>
              <w:pStyle w:val="TableParagraph"/>
              <w:ind w:right="107"/>
              <w:jc w:val="both"/>
              <w:rPr>
                <w:sz w:val="20"/>
              </w:rPr>
            </w:pPr>
            <w:r>
              <w:rPr>
                <w:sz w:val="20"/>
              </w:rPr>
              <w:t>59 402,71</w:t>
            </w:r>
          </w:p>
        </w:tc>
        <w:tc>
          <w:tcPr>
            <w:tcW w:w="1558" w:type="dxa"/>
          </w:tcPr>
          <w:p w14:paraId="2EB13722" w14:textId="77777777" w:rsidR="001F5F2E" w:rsidRDefault="001F5F2E" w:rsidP="00CD363C">
            <w:pPr>
              <w:pStyle w:val="TableParagraph"/>
              <w:ind w:right="107"/>
              <w:jc w:val="both"/>
              <w:rPr>
                <w:sz w:val="20"/>
              </w:rPr>
            </w:pPr>
            <w:r>
              <w:rPr>
                <w:sz w:val="20"/>
              </w:rPr>
              <w:t>12 000,00</w:t>
            </w:r>
          </w:p>
        </w:tc>
        <w:tc>
          <w:tcPr>
            <w:tcW w:w="1561" w:type="dxa"/>
          </w:tcPr>
          <w:p w14:paraId="5F9CE9AB" w14:textId="77777777" w:rsidR="001F5F2E" w:rsidRDefault="001F5F2E" w:rsidP="00CD363C">
            <w:pPr>
              <w:pStyle w:val="TableParagraph"/>
              <w:ind w:right="107"/>
              <w:jc w:val="both"/>
              <w:rPr>
                <w:sz w:val="20"/>
              </w:rPr>
            </w:pPr>
            <w:r>
              <w:rPr>
                <w:sz w:val="20"/>
              </w:rPr>
              <w:t>200 000,00</w:t>
            </w:r>
          </w:p>
        </w:tc>
        <w:tc>
          <w:tcPr>
            <w:tcW w:w="1419" w:type="dxa"/>
          </w:tcPr>
          <w:p w14:paraId="21BD288E" w14:textId="77777777" w:rsidR="001F5F2E" w:rsidRDefault="001F5F2E" w:rsidP="00CD363C">
            <w:pPr>
              <w:pStyle w:val="TableParagraph"/>
              <w:ind w:right="107"/>
              <w:jc w:val="both"/>
              <w:rPr>
                <w:sz w:val="20"/>
              </w:rPr>
            </w:pPr>
          </w:p>
        </w:tc>
        <w:tc>
          <w:tcPr>
            <w:tcW w:w="1559" w:type="dxa"/>
          </w:tcPr>
          <w:p w14:paraId="70C9847C" w14:textId="77777777" w:rsidR="001F5F2E" w:rsidRDefault="001F5F2E" w:rsidP="00CD363C">
            <w:pPr>
              <w:pStyle w:val="TableParagraph"/>
              <w:ind w:right="107"/>
              <w:jc w:val="both"/>
              <w:rPr>
                <w:sz w:val="20"/>
              </w:rPr>
            </w:pPr>
            <w:r>
              <w:rPr>
                <w:sz w:val="20"/>
              </w:rPr>
              <w:t>832 730,30</w:t>
            </w:r>
          </w:p>
        </w:tc>
      </w:tr>
      <w:tr w:rsidR="001F5F2E" w14:paraId="228087E0" w14:textId="77777777" w:rsidTr="00D1005B">
        <w:trPr>
          <w:trHeight w:val="270"/>
        </w:trPr>
        <w:tc>
          <w:tcPr>
            <w:tcW w:w="842" w:type="dxa"/>
          </w:tcPr>
          <w:p w14:paraId="71F9206E" w14:textId="77777777" w:rsidR="001F5F2E" w:rsidRDefault="001F5F2E" w:rsidP="00CD363C">
            <w:pPr>
              <w:pStyle w:val="TableParagraph"/>
              <w:ind w:right="107"/>
              <w:jc w:val="both"/>
              <w:rPr>
                <w:sz w:val="20"/>
              </w:rPr>
            </w:pPr>
            <w:r>
              <w:rPr>
                <w:w w:val="99"/>
                <w:sz w:val="20"/>
              </w:rPr>
              <w:t>5</w:t>
            </w:r>
          </w:p>
        </w:tc>
        <w:tc>
          <w:tcPr>
            <w:tcW w:w="1275" w:type="dxa"/>
          </w:tcPr>
          <w:p w14:paraId="7D5E1EB5" w14:textId="77777777" w:rsidR="001F5F2E" w:rsidRDefault="001F5F2E" w:rsidP="00CD363C">
            <w:pPr>
              <w:pStyle w:val="TableParagraph"/>
              <w:ind w:right="107"/>
              <w:jc w:val="both"/>
              <w:rPr>
                <w:sz w:val="20"/>
              </w:rPr>
            </w:pPr>
            <w:r>
              <w:rPr>
                <w:sz w:val="20"/>
              </w:rPr>
              <w:t>832 730,30</w:t>
            </w:r>
          </w:p>
        </w:tc>
        <w:tc>
          <w:tcPr>
            <w:tcW w:w="1418" w:type="dxa"/>
          </w:tcPr>
          <w:p w14:paraId="1ECD049C" w14:textId="77777777" w:rsidR="001F5F2E" w:rsidRDefault="001F5F2E" w:rsidP="00CD363C">
            <w:pPr>
              <w:pStyle w:val="TableParagraph"/>
              <w:ind w:right="107"/>
              <w:jc w:val="both"/>
              <w:rPr>
                <w:sz w:val="20"/>
              </w:rPr>
            </w:pPr>
            <w:r>
              <w:rPr>
                <w:sz w:val="20"/>
              </w:rPr>
              <w:t>51 456,38</w:t>
            </w:r>
          </w:p>
        </w:tc>
        <w:tc>
          <w:tcPr>
            <w:tcW w:w="1558" w:type="dxa"/>
          </w:tcPr>
          <w:p w14:paraId="3A369C14" w14:textId="77777777" w:rsidR="001F5F2E" w:rsidRDefault="001F5F2E" w:rsidP="00CD363C">
            <w:pPr>
              <w:pStyle w:val="TableParagraph"/>
              <w:ind w:right="107"/>
              <w:jc w:val="both"/>
              <w:rPr>
                <w:sz w:val="20"/>
              </w:rPr>
            </w:pPr>
            <w:r>
              <w:rPr>
                <w:sz w:val="20"/>
              </w:rPr>
              <w:t>12 000,00</w:t>
            </w:r>
          </w:p>
        </w:tc>
        <w:tc>
          <w:tcPr>
            <w:tcW w:w="1561" w:type="dxa"/>
          </w:tcPr>
          <w:p w14:paraId="5C0E8913" w14:textId="77777777" w:rsidR="001F5F2E" w:rsidRDefault="001F5F2E" w:rsidP="00CD363C">
            <w:pPr>
              <w:pStyle w:val="TableParagraph"/>
              <w:ind w:right="107"/>
              <w:jc w:val="both"/>
              <w:rPr>
                <w:sz w:val="20"/>
              </w:rPr>
            </w:pPr>
            <w:r>
              <w:rPr>
                <w:sz w:val="20"/>
              </w:rPr>
              <w:t>200 000,00</w:t>
            </w:r>
          </w:p>
        </w:tc>
        <w:tc>
          <w:tcPr>
            <w:tcW w:w="1419" w:type="dxa"/>
          </w:tcPr>
          <w:p w14:paraId="34AD87A1" w14:textId="77777777" w:rsidR="001F5F2E" w:rsidRDefault="001F5F2E" w:rsidP="00CD363C">
            <w:pPr>
              <w:pStyle w:val="TableParagraph"/>
              <w:ind w:right="107"/>
              <w:jc w:val="both"/>
              <w:rPr>
                <w:sz w:val="20"/>
              </w:rPr>
            </w:pPr>
          </w:p>
        </w:tc>
        <w:tc>
          <w:tcPr>
            <w:tcW w:w="1559" w:type="dxa"/>
          </w:tcPr>
          <w:p w14:paraId="0038EA48" w14:textId="77777777" w:rsidR="001F5F2E" w:rsidRDefault="001F5F2E" w:rsidP="00CD363C">
            <w:pPr>
              <w:pStyle w:val="TableParagraph"/>
              <w:ind w:right="107"/>
              <w:jc w:val="both"/>
              <w:rPr>
                <w:sz w:val="20"/>
              </w:rPr>
            </w:pPr>
            <w:r>
              <w:rPr>
                <w:sz w:val="20"/>
              </w:rPr>
              <w:t>696 186,68</w:t>
            </w:r>
          </w:p>
        </w:tc>
      </w:tr>
      <w:tr w:rsidR="001F5F2E" w14:paraId="54CB0D05" w14:textId="77777777" w:rsidTr="00D1005B">
        <w:trPr>
          <w:trHeight w:val="273"/>
        </w:trPr>
        <w:tc>
          <w:tcPr>
            <w:tcW w:w="842" w:type="dxa"/>
          </w:tcPr>
          <w:p w14:paraId="37E96D4D" w14:textId="77777777" w:rsidR="001F5F2E" w:rsidRDefault="001F5F2E" w:rsidP="00CD363C">
            <w:pPr>
              <w:pStyle w:val="TableParagraph"/>
              <w:ind w:right="107"/>
              <w:jc w:val="both"/>
              <w:rPr>
                <w:sz w:val="20"/>
              </w:rPr>
            </w:pPr>
            <w:r>
              <w:rPr>
                <w:w w:val="99"/>
                <w:sz w:val="20"/>
              </w:rPr>
              <w:t>6</w:t>
            </w:r>
          </w:p>
        </w:tc>
        <w:tc>
          <w:tcPr>
            <w:tcW w:w="1275" w:type="dxa"/>
          </w:tcPr>
          <w:p w14:paraId="1112EB6E" w14:textId="77777777" w:rsidR="001F5F2E" w:rsidRDefault="001F5F2E" w:rsidP="00CD363C">
            <w:pPr>
              <w:pStyle w:val="TableParagraph"/>
              <w:ind w:right="107"/>
              <w:jc w:val="both"/>
              <w:rPr>
                <w:sz w:val="20"/>
              </w:rPr>
            </w:pPr>
            <w:r>
              <w:rPr>
                <w:sz w:val="20"/>
              </w:rPr>
              <w:t>696 186,68</w:t>
            </w:r>
          </w:p>
        </w:tc>
        <w:tc>
          <w:tcPr>
            <w:tcW w:w="1418" w:type="dxa"/>
          </w:tcPr>
          <w:p w14:paraId="1DDEA73E" w14:textId="77777777" w:rsidR="001F5F2E" w:rsidRDefault="001F5F2E" w:rsidP="00CD363C">
            <w:pPr>
              <w:pStyle w:val="TableParagraph"/>
              <w:ind w:right="107"/>
              <w:jc w:val="both"/>
              <w:rPr>
                <w:sz w:val="20"/>
              </w:rPr>
            </w:pPr>
            <w:r>
              <w:rPr>
                <w:sz w:val="20"/>
              </w:rPr>
              <w:t>43 019,02</w:t>
            </w:r>
          </w:p>
        </w:tc>
        <w:tc>
          <w:tcPr>
            <w:tcW w:w="1558" w:type="dxa"/>
          </w:tcPr>
          <w:p w14:paraId="01C2A58E" w14:textId="77777777" w:rsidR="001F5F2E" w:rsidRDefault="001F5F2E" w:rsidP="00CD363C">
            <w:pPr>
              <w:pStyle w:val="TableParagraph"/>
              <w:ind w:right="107"/>
              <w:jc w:val="both"/>
              <w:rPr>
                <w:sz w:val="20"/>
              </w:rPr>
            </w:pPr>
            <w:r>
              <w:rPr>
                <w:sz w:val="20"/>
              </w:rPr>
              <w:t>12 000,00</w:t>
            </w:r>
          </w:p>
        </w:tc>
        <w:tc>
          <w:tcPr>
            <w:tcW w:w="1561" w:type="dxa"/>
          </w:tcPr>
          <w:p w14:paraId="2355FC9F" w14:textId="77777777" w:rsidR="001F5F2E" w:rsidRDefault="001F5F2E" w:rsidP="00CD363C">
            <w:pPr>
              <w:pStyle w:val="TableParagraph"/>
              <w:ind w:right="107"/>
              <w:jc w:val="both"/>
              <w:rPr>
                <w:sz w:val="20"/>
              </w:rPr>
            </w:pPr>
            <w:r>
              <w:rPr>
                <w:sz w:val="20"/>
              </w:rPr>
              <w:t>200 000,00</w:t>
            </w:r>
          </w:p>
        </w:tc>
        <w:tc>
          <w:tcPr>
            <w:tcW w:w="1419" w:type="dxa"/>
          </w:tcPr>
          <w:p w14:paraId="34C936E8" w14:textId="77777777" w:rsidR="001F5F2E" w:rsidRDefault="001F5F2E" w:rsidP="00CD363C">
            <w:pPr>
              <w:pStyle w:val="TableParagraph"/>
              <w:ind w:right="107"/>
              <w:jc w:val="both"/>
              <w:rPr>
                <w:sz w:val="20"/>
              </w:rPr>
            </w:pPr>
          </w:p>
        </w:tc>
        <w:tc>
          <w:tcPr>
            <w:tcW w:w="1559" w:type="dxa"/>
          </w:tcPr>
          <w:p w14:paraId="264C3647" w14:textId="77777777" w:rsidR="001F5F2E" w:rsidRDefault="001F5F2E" w:rsidP="00CD363C">
            <w:pPr>
              <w:pStyle w:val="TableParagraph"/>
              <w:ind w:right="107"/>
              <w:jc w:val="both"/>
              <w:rPr>
                <w:sz w:val="20"/>
              </w:rPr>
            </w:pPr>
            <w:r>
              <w:rPr>
                <w:sz w:val="20"/>
              </w:rPr>
              <w:t>551 205,70</w:t>
            </w:r>
          </w:p>
        </w:tc>
      </w:tr>
      <w:tr w:rsidR="001F5F2E" w14:paraId="39ED349F" w14:textId="77777777" w:rsidTr="00D1005B">
        <w:trPr>
          <w:trHeight w:val="270"/>
        </w:trPr>
        <w:tc>
          <w:tcPr>
            <w:tcW w:w="842" w:type="dxa"/>
          </w:tcPr>
          <w:p w14:paraId="0CBF60BF" w14:textId="77777777" w:rsidR="001F5F2E" w:rsidRDefault="001F5F2E" w:rsidP="00CD363C">
            <w:pPr>
              <w:pStyle w:val="TableParagraph"/>
              <w:ind w:right="107"/>
              <w:jc w:val="both"/>
              <w:rPr>
                <w:sz w:val="20"/>
              </w:rPr>
            </w:pPr>
            <w:r>
              <w:rPr>
                <w:w w:val="99"/>
                <w:sz w:val="20"/>
              </w:rPr>
              <w:t>7</w:t>
            </w:r>
          </w:p>
        </w:tc>
        <w:tc>
          <w:tcPr>
            <w:tcW w:w="1275" w:type="dxa"/>
          </w:tcPr>
          <w:p w14:paraId="24EF3064" w14:textId="77777777" w:rsidR="001F5F2E" w:rsidRDefault="001F5F2E" w:rsidP="00CD363C">
            <w:pPr>
              <w:pStyle w:val="TableParagraph"/>
              <w:ind w:right="107"/>
              <w:jc w:val="both"/>
              <w:rPr>
                <w:sz w:val="20"/>
              </w:rPr>
            </w:pPr>
            <w:r>
              <w:rPr>
                <w:sz w:val="20"/>
              </w:rPr>
              <w:t>551 205,70</w:t>
            </w:r>
          </w:p>
        </w:tc>
        <w:tc>
          <w:tcPr>
            <w:tcW w:w="1418" w:type="dxa"/>
          </w:tcPr>
          <w:p w14:paraId="07203E3B" w14:textId="77777777" w:rsidR="001F5F2E" w:rsidRDefault="001F5F2E" w:rsidP="00CD363C">
            <w:pPr>
              <w:pStyle w:val="TableParagraph"/>
              <w:ind w:right="107"/>
              <w:jc w:val="both"/>
              <w:rPr>
                <w:sz w:val="20"/>
              </w:rPr>
            </w:pPr>
            <w:r>
              <w:rPr>
                <w:sz w:val="20"/>
              </w:rPr>
              <w:t>34 060,31</w:t>
            </w:r>
          </w:p>
        </w:tc>
        <w:tc>
          <w:tcPr>
            <w:tcW w:w="1558" w:type="dxa"/>
          </w:tcPr>
          <w:p w14:paraId="7AFFFF00" w14:textId="77777777" w:rsidR="001F5F2E" w:rsidRDefault="001F5F2E" w:rsidP="00CD363C">
            <w:pPr>
              <w:pStyle w:val="TableParagraph"/>
              <w:ind w:right="107"/>
              <w:jc w:val="both"/>
              <w:rPr>
                <w:sz w:val="20"/>
              </w:rPr>
            </w:pPr>
            <w:r>
              <w:rPr>
                <w:sz w:val="20"/>
              </w:rPr>
              <w:t>12 000,00</w:t>
            </w:r>
          </w:p>
        </w:tc>
        <w:tc>
          <w:tcPr>
            <w:tcW w:w="1561" w:type="dxa"/>
          </w:tcPr>
          <w:p w14:paraId="49E68B3A" w14:textId="77777777" w:rsidR="001F5F2E" w:rsidRDefault="001F5F2E" w:rsidP="00CD363C">
            <w:pPr>
              <w:pStyle w:val="TableParagraph"/>
              <w:ind w:right="107"/>
              <w:jc w:val="both"/>
              <w:rPr>
                <w:sz w:val="20"/>
              </w:rPr>
            </w:pPr>
            <w:r>
              <w:rPr>
                <w:sz w:val="20"/>
              </w:rPr>
              <w:t>200 000,00</w:t>
            </w:r>
          </w:p>
        </w:tc>
        <w:tc>
          <w:tcPr>
            <w:tcW w:w="1419" w:type="dxa"/>
          </w:tcPr>
          <w:p w14:paraId="2C77FD06" w14:textId="77777777" w:rsidR="001F5F2E" w:rsidRDefault="001F5F2E" w:rsidP="00CD363C">
            <w:pPr>
              <w:pStyle w:val="TableParagraph"/>
              <w:ind w:right="107"/>
              <w:jc w:val="both"/>
              <w:rPr>
                <w:sz w:val="20"/>
              </w:rPr>
            </w:pPr>
          </w:p>
        </w:tc>
        <w:tc>
          <w:tcPr>
            <w:tcW w:w="1559" w:type="dxa"/>
          </w:tcPr>
          <w:p w14:paraId="12329790" w14:textId="77777777" w:rsidR="001F5F2E" w:rsidRDefault="001F5F2E" w:rsidP="00CD363C">
            <w:pPr>
              <w:pStyle w:val="TableParagraph"/>
              <w:ind w:right="107"/>
              <w:jc w:val="both"/>
              <w:rPr>
                <w:sz w:val="20"/>
              </w:rPr>
            </w:pPr>
            <w:r>
              <w:rPr>
                <w:sz w:val="20"/>
              </w:rPr>
              <w:t>397 266,01</w:t>
            </w:r>
          </w:p>
        </w:tc>
      </w:tr>
      <w:tr w:rsidR="001F5F2E" w14:paraId="296C09A0" w14:textId="77777777" w:rsidTr="00D1005B">
        <w:trPr>
          <w:trHeight w:val="273"/>
        </w:trPr>
        <w:tc>
          <w:tcPr>
            <w:tcW w:w="842" w:type="dxa"/>
          </w:tcPr>
          <w:p w14:paraId="5C089246" w14:textId="77777777" w:rsidR="001F5F2E" w:rsidRDefault="001F5F2E" w:rsidP="00CD363C">
            <w:pPr>
              <w:pStyle w:val="TableParagraph"/>
              <w:ind w:right="107"/>
              <w:jc w:val="both"/>
              <w:rPr>
                <w:sz w:val="20"/>
              </w:rPr>
            </w:pPr>
            <w:r>
              <w:rPr>
                <w:w w:val="99"/>
                <w:sz w:val="20"/>
              </w:rPr>
              <w:t>8</w:t>
            </w:r>
          </w:p>
        </w:tc>
        <w:tc>
          <w:tcPr>
            <w:tcW w:w="1275" w:type="dxa"/>
          </w:tcPr>
          <w:p w14:paraId="4FE07174" w14:textId="77777777" w:rsidR="001F5F2E" w:rsidRDefault="001F5F2E" w:rsidP="00CD363C">
            <w:pPr>
              <w:pStyle w:val="TableParagraph"/>
              <w:ind w:right="107"/>
              <w:jc w:val="both"/>
              <w:rPr>
                <w:sz w:val="20"/>
              </w:rPr>
            </w:pPr>
            <w:r>
              <w:rPr>
                <w:sz w:val="20"/>
              </w:rPr>
              <w:t>397 266,01</w:t>
            </w:r>
          </w:p>
        </w:tc>
        <w:tc>
          <w:tcPr>
            <w:tcW w:w="1418" w:type="dxa"/>
          </w:tcPr>
          <w:p w14:paraId="706D49CD" w14:textId="77777777" w:rsidR="001F5F2E" w:rsidRDefault="001F5F2E" w:rsidP="00CD363C">
            <w:pPr>
              <w:pStyle w:val="TableParagraph"/>
              <w:ind w:right="107"/>
              <w:jc w:val="both"/>
              <w:rPr>
                <w:sz w:val="20"/>
              </w:rPr>
            </w:pPr>
            <w:r>
              <w:rPr>
                <w:sz w:val="20"/>
              </w:rPr>
              <w:t>24 548,01</w:t>
            </w:r>
          </w:p>
        </w:tc>
        <w:tc>
          <w:tcPr>
            <w:tcW w:w="1558" w:type="dxa"/>
          </w:tcPr>
          <w:p w14:paraId="2BB5356F" w14:textId="77777777" w:rsidR="001F5F2E" w:rsidRDefault="001F5F2E" w:rsidP="00CD363C">
            <w:pPr>
              <w:pStyle w:val="TableParagraph"/>
              <w:ind w:right="107"/>
              <w:jc w:val="both"/>
              <w:rPr>
                <w:sz w:val="20"/>
              </w:rPr>
            </w:pPr>
            <w:r>
              <w:rPr>
                <w:sz w:val="20"/>
              </w:rPr>
              <w:t>12 000,00</w:t>
            </w:r>
          </w:p>
        </w:tc>
        <w:tc>
          <w:tcPr>
            <w:tcW w:w="1561" w:type="dxa"/>
          </w:tcPr>
          <w:p w14:paraId="61CFB5D2" w14:textId="77777777" w:rsidR="001F5F2E" w:rsidRDefault="001F5F2E" w:rsidP="00CD363C">
            <w:pPr>
              <w:pStyle w:val="TableParagraph"/>
              <w:ind w:right="107"/>
              <w:jc w:val="both"/>
              <w:rPr>
                <w:sz w:val="20"/>
              </w:rPr>
            </w:pPr>
            <w:r>
              <w:rPr>
                <w:sz w:val="20"/>
              </w:rPr>
              <w:t>200 000,00</w:t>
            </w:r>
          </w:p>
        </w:tc>
        <w:tc>
          <w:tcPr>
            <w:tcW w:w="1419" w:type="dxa"/>
          </w:tcPr>
          <w:p w14:paraId="787F129A" w14:textId="77777777" w:rsidR="001F5F2E" w:rsidRDefault="001F5F2E" w:rsidP="00CD363C">
            <w:pPr>
              <w:pStyle w:val="TableParagraph"/>
              <w:ind w:left="352" w:right="107"/>
              <w:jc w:val="both"/>
              <w:rPr>
                <w:sz w:val="20"/>
              </w:rPr>
            </w:pPr>
            <w:r>
              <w:rPr>
                <w:sz w:val="20"/>
              </w:rPr>
              <w:t>110 000,00</w:t>
            </w:r>
          </w:p>
        </w:tc>
        <w:tc>
          <w:tcPr>
            <w:tcW w:w="1559" w:type="dxa"/>
          </w:tcPr>
          <w:p w14:paraId="3DF98B91" w14:textId="77777777" w:rsidR="001F5F2E" w:rsidRDefault="001F5F2E" w:rsidP="00CD363C">
            <w:pPr>
              <w:pStyle w:val="TableParagraph"/>
              <w:ind w:right="107"/>
              <w:jc w:val="both"/>
              <w:rPr>
                <w:sz w:val="20"/>
              </w:rPr>
            </w:pPr>
            <w:r>
              <w:rPr>
                <w:sz w:val="20"/>
              </w:rPr>
              <w:t>233 814,02</w:t>
            </w:r>
          </w:p>
        </w:tc>
      </w:tr>
      <w:tr w:rsidR="001F5F2E" w14:paraId="6077ED20" w14:textId="77777777" w:rsidTr="00D1005B">
        <w:trPr>
          <w:trHeight w:val="270"/>
        </w:trPr>
        <w:tc>
          <w:tcPr>
            <w:tcW w:w="842" w:type="dxa"/>
          </w:tcPr>
          <w:p w14:paraId="30BA11B2" w14:textId="77777777" w:rsidR="001F5F2E" w:rsidRDefault="001F5F2E" w:rsidP="00CD363C">
            <w:pPr>
              <w:pStyle w:val="TableParagraph"/>
              <w:ind w:right="107"/>
              <w:jc w:val="both"/>
              <w:rPr>
                <w:sz w:val="20"/>
              </w:rPr>
            </w:pPr>
            <w:r>
              <w:rPr>
                <w:w w:val="99"/>
                <w:sz w:val="20"/>
              </w:rPr>
              <w:t>9</w:t>
            </w:r>
          </w:p>
        </w:tc>
        <w:tc>
          <w:tcPr>
            <w:tcW w:w="1275" w:type="dxa"/>
          </w:tcPr>
          <w:p w14:paraId="6D45B9F2" w14:textId="77777777" w:rsidR="001F5F2E" w:rsidRDefault="001F5F2E" w:rsidP="00CD363C">
            <w:pPr>
              <w:pStyle w:val="TableParagraph"/>
              <w:ind w:right="107"/>
              <w:jc w:val="both"/>
              <w:rPr>
                <w:sz w:val="20"/>
              </w:rPr>
            </w:pPr>
            <w:r>
              <w:rPr>
                <w:sz w:val="20"/>
              </w:rPr>
              <w:t>343 814,02</w:t>
            </w:r>
          </w:p>
        </w:tc>
        <w:tc>
          <w:tcPr>
            <w:tcW w:w="1418" w:type="dxa"/>
          </w:tcPr>
          <w:p w14:paraId="26FB626A" w14:textId="77777777" w:rsidR="001F5F2E" w:rsidRDefault="001F5F2E" w:rsidP="00CD363C">
            <w:pPr>
              <w:pStyle w:val="TableParagraph"/>
              <w:ind w:right="107"/>
              <w:jc w:val="both"/>
              <w:rPr>
                <w:sz w:val="20"/>
              </w:rPr>
            </w:pPr>
            <w:r>
              <w:rPr>
                <w:sz w:val="20"/>
              </w:rPr>
              <w:t>21 245,08</w:t>
            </w:r>
          </w:p>
        </w:tc>
        <w:tc>
          <w:tcPr>
            <w:tcW w:w="1558" w:type="dxa"/>
          </w:tcPr>
          <w:p w14:paraId="14FB4CC2" w14:textId="77777777" w:rsidR="001F5F2E" w:rsidRDefault="001F5F2E" w:rsidP="00CD363C">
            <w:pPr>
              <w:pStyle w:val="TableParagraph"/>
              <w:ind w:right="107"/>
              <w:jc w:val="both"/>
              <w:rPr>
                <w:sz w:val="20"/>
              </w:rPr>
            </w:pPr>
            <w:r>
              <w:rPr>
                <w:sz w:val="20"/>
              </w:rPr>
              <w:t>12 000,00</w:t>
            </w:r>
          </w:p>
        </w:tc>
        <w:tc>
          <w:tcPr>
            <w:tcW w:w="1561" w:type="dxa"/>
          </w:tcPr>
          <w:p w14:paraId="07BC7690" w14:textId="77777777" w:rsidR="001F5F2E" w:rsidRDefault="001F5F2E" w:rsidP="00CD363C">
            <w:pPr>
              <w:pStyle w:val="TableParagraph"/>
              <w:ind w:right="107"/>
              <w:jc w:val="both"/>
              <w:rPr>
                <w:sz w:val="20"/>
              </w:rPr>
            </w:pPr>
            <w:r>
              <w:rPr>
                <w:sz w:val="20"/>
              </w:rPr>
              <w:t>200 000,00</w:t>
            </w:r>
          </w:p>
        </w:tc>
        <w:tc>
          <w:tcPr>
            <w:tcW w:w="1419" w:type="dxa"/>
          </w:tcPr>
          <w:p w14:paraId="641D1BBF" w14:textId="77777777" w:rsidR="001F5F2E" w:rsidRDefault="001F5F2E" w:rsidP="00CD363C">
            <w:pPr>
              <w:pStyle w:val="TableParagraph"/>
              <w:ind w:right="107"/>
              <w:jc w:val="both"/>
              <w:rPr>
                <w:sz w:val="20"/>
              </w:rPr>
            </w:pPr>
          </w:p>
        </w:tc>
        <w:tc>
          <w:tcPr>
            <w:tcW w:w="1559" w:type="dxa"/>
          </w:tcPr>
          <w:p w14:paraId="4BBE5962" w14:textId="77777777" w:rsidR="001F5F2E" w:rsidRDefault="001F5F2E" w:rsidP="00CD363C">
            <w:pPr>
              <w:pStyle w:val="TableParagraph"/>
              <w:ind w:right="107"/>
              <w:jc w:val="both"/>
              <w:rPr>
                <w:sz w:val="20"/>
              </w:rPr>
            </w:pPr>
            <w:r>
              <w:rPr>
                <w:sz w:val="20"/>
              </w:rPr>
              <w:t>177 059,10</w:t>
            </w:r>
          </w:p>
        </w:tc>
      </w:tr>
      <w:tr w:rsidR="001F5F2E" w14:paraId="30F1F484" w14:textId="77777777" w:rsidTr="00D1005B">
        <w:trPr>
          <w:trHeight w:val="273"/>
        </w:trPr>
        <w:tc>
          <w:tcPr>
            <w:tcW w:w="842" w:type="dxa"/>
          </w:tcPr>
          <w:p w14:paraId="73D0CD5F" w14:textId="77777777" w:rsidR="001F5F2E" w:rsidRDefault="001F5F2E" w:rsidP="00CD363C">
            <w:pPr>
              <w:pStyle w:val="TableParagraph"/>
              <w:ind w:left="159" w:right="107"/>
              <w:jc w:val="both"/>
              <w:rPr>
                <w:sz w:val="20"/>
              </w:rPr>
            </w:pPr>
            <w:r>
              <w:rPr>
                <w:sz w:val="20"/>
              </w:rPr>
              <w:t>10</w:t>
            </w:r>
          </w:p>
        </w:tc>
        <w:tc>
          <w:tcPr>
            <w:tcW w:w="1275" w:type="dxa"/>
          </w:tcPr>
          <w:p w14:paraId="2C63B32B" w14:textId="77777777" w:rsidR="001F5F2E" w:rsidRDefault="001F5F2E" w:rsidP="00CD363C">
            <w:pPr>
              <w:pStyle w:val="TableParagraph"/>
              <w:ind w:right="107"/>
              <w:jc w:val="both"/>
              <w:rPr>
                <w:sz w:val="20"/>
              </w:rPr>
            </w:pPr>
            <w:r>
              <w:rPr>
                <w:sz w:val="20"/>
              </w:rPr>
              <w:t>177 059,10</w:t>
            </w:r>
          </w:p>
        </w:tc>
        <w:tc>
          <w:tcPr>
            <w:tcW w:w="1418" w:type="dxa"/>
          </w:tcPr>
          <w:p w14:paraId="07DD43A1" w14:textId="77777777" w:rsidR="001F5F2E" w:rsidRDefault="001F5F2E" w:rsidP="00CD363C">
            <w:pPr>
              <w:pStyle w:val="TableParagraph"/>
              <w:ind w:right="107"/>
              <w:jc w:val="both"/>
              <w:rPr>
                <w:sz w:val="20"/>
              </w:rPr>
            </w:pPr>
            <w:r>
              <w:rPr>
                <w:sz w:val="20"/>
              </w:rPr>
              <w:t>10 940,90</w:t>
            </w:r>
          </w:p>
        </w:tc>
        <w:tc>
          <w:tcPr>
            <w:tcW w:w="1558" w:type="dxa"/>
          </w:tcPr>
          <w:p w14:paraId="4E782425" w14:textId="77777777" w:rsidR="001F5F2E" w:rsidRDefault="001F5F2E" w:rsidP="00CD363C">
            <w:pPr>
              <w:pStyle w:val="TableParagraph"/>
              <w:ind w:right="107"/>
              <w:jc w:val="both"/>
              <w:rPr>
                <w:sz w:val="20"/>
              </w:rPr>
            </w:pPr>
            <w:r>
              <w:rPr>
                <w:sz w:val="20"/>
              </w:rPr>
              <w:t>12 000,00</w:t>
            </w:r>
          </w:p>
        </w:tc>
        <w:tc>
          <w:tcPr>
            <w:tcW w:w="1561" w:type="dxa"/>
          </w:tcPr>
          <w:p w14:paraId="720F832B" w14:textId="77777777" w:rsidR="001F5F2E" w:rsidRDefault="001F5F2E" w:rsidP="00CD363C">
            <w:pPr>
              <w:pStyle w:val="TableParagraph"/>
              <w:ind w:right="107"/>
              <w:jc w:val="both"/>
              <w:rPr>
                <w:sz w:val="20"/>
              </w:rPr>
            </w:pPr>
            <w:r>
              <w:rPr>
                <w:sz w:val="20"/>
              </w:rPr>
              <w:t>200 000,00</w:t>
            </w:r>
          </w:p>
        </w:tc>
        <w:tc>
          <w:tcPr>
            <w:tcW w:w="1419" w:type="dxa"/>
          </w:tcPr>
          <w:p w14:paraId="5827FFC2" w14:textId="77777777" w:rsidR="001F5F2E" w:rsidRDefault="001F5F2E" w:rsidP="00CD363C">
            <w:pPr>
              <w:pStyle w:val="TableParagraph"/>
              <w:ind w:right="107"/>
              <w:jc w:val="both"/>
              <w:rPr>
                <w:sz w:val="20"/>
              </w:rPr>
            </w:pPr>
          </w:p>
        </w:tc>
        <w:tc>
          <w:tcPr>
            <w:tcW w:w="1559" w:type="dxa"/>
          </w:tcPr>
          <w:p w14:paraId="118B8820" w14:textId="77777777" w:rsidR="001F5F2E" w:rsidRDefault="001F5F2E" w:rsidP="00CD363C">
            <w:pPr>
              <w:pStyle w:val="TableParagraph"/>
              <w:ind w:right="107"/>
              <w:jc w:val="both"/>
              <w:rPr>
                <w:sz w:val="20"/>
              </w:rPr>
            </w:pPr>
            <w:r>
              <w:rPr>
                <w:sz w:val="20"/>
              </w:rPr>
              <w:t>0,00</w:t>
            </w:r>
          </w:p>
        </w:tc>
      </w:tr>
    </w:tbl>
    <w:p w14:paraId="4D3E2AF8" w14:textId="77777777" w:rsidR="00D1005B" w:rsidRDefault="00D1005B" w:rsidP="00CD363C">
      <w:pPr>
        <w:pStyle w:val="Sarakstarindkopa"/>
        <w:widowControl w:val="0"/>
        <w:numPr>
          <w:ilvl w:val="2"/>
          <w:numId w:val="23"/>
        </w:numPr>
        <w:tabs>
          <w:tab w:val="left" w:pos="1090"/>
        </w:tabs>
        <w:autoSpaceDE w:val="0"/>
        <w:autoSpaceDN w:val="0"/>
        <w:spacing w:after="0" w:line="240" w:lineRule="auto"/>
        <w:ind w:right="107"/>
        <w:contextualSpacing w:val="0"/>
        <w:jc w:val="both"/>
        <w:rPr>
          <w:i/>
          <w:sz w:val="20"/>
        </w:rPr>
      </w:pPr>
      <w:r>
        <w:rPr>
          <w:i/>
          <w:sz w:val="20"/>
        </w:rPr>
        <w:t>noapaļota procentu likme līdz divām zīmēm aiz komata, aprēķinos izmantota līgumā ietvertā procentu</w:t>
      </w:r>
      <w:r>
        <w:rPr>
          <w:i/>
          <w:spacing w:val="-18"/>
          <w:sz w:val="20"/>
        </w:rPr>
        <w:t xml:space="preserve"> </w:t>
      </w:r>
      <w:r>
        <w:rPr>
          <w:i/>
          <w:sz w:val="20"/>
        </w:rPr>
        <w:t>likme</w:t>
      </w:r>
    </w:p>
    <w:p w14:paraId="65033CB7" w14:textId="77777777" w:rsidR="001F5F2E" w:rsidRDefault="001F5F2E" w:rsidP="00CD363C">
      <w:pPr>
        <w:pStyle w:val="Pamatteksts"/>
        <w:ind w:left="218" w:right="107"/>
        <w:jc w:val="both"/>
      </w:pPr>
    </w:p>
    <w:p w14:paraId="483D2367" w14:textId="77777777" w:rsidR="00E93146" w:rsidRDefault="00E93146" w:rsidP="00CD363C">
      <w:pPr>
        <w:pStyle w:val="Pamatteksts"/>
        <w:ind w:right="107"/>
        <w:jc w:val="both"/>
        <w:rPr>
          <w:sz w:val="21"/>
        </w:rPr>
      </w:pPr>
    </w:p>
    <w:p w14:paraId="6C8407F9" w14:textId="77777777" w:rsidR="00D1005B" w:rsidRPr="00D1005B" w:rsidRDefault="00D1005B" w:rsidP="00CD363C">
      <w:pPr>
        <w:pStyle w:val="Pamatteksts"/>
        <w:ind w:left="218" w:right="107"/>
        <w:jc w:val="both"/>
        <w:rPr>
          <w:sz w:val="24"/>
          <w:szCs w:val="24"/>
        </w:rPr>
      </w:pPr>
      <w:r w:rsidRPr="00D1005B">
        <w:rPr>
          <w:sz w:val="24"/>
          <w:szCs w:val="24"/>
        </w:rPr>
        <w:t>829.  Atlīdzība</w:t>
      </w:r>
      <w:r w:rsidRPr="00D1005B">
        <w:rPr>
          <w:spacing w:val="-13"/>
          <w:sz w:val="24"/>
          <w:szCs w:val="24"/>
        </w:rPr>
        <w:t xml:space="preserve"> </w:t>
      </w:r>
      <w:r w:rsidRPr="00D1005B">
        <w:rPr>
          <w:sz w:val="24"/>
          <w:szCs w:val="24"/>
        </w:rPr>
        <w:t>par</w:t>
      </w:r>
      <w:r w:rsidRPr="00D1005B">
        <w:rPr>
          <w:spacing w:val="-11"/>
          <w:sz w:val="24"/>
          <w:szCs w:val="24"/>
        </w:rPr>
        <w:t xml:space="preserve"> </w:t>
      </w:r>
      <w:r w:rsidRPr="00D1005B">
        <w:rPr>
          <w:sz w:val="24"/>
          <w:szCs w:val="24"/>
        </w:rPr>
        <w:t>ceļa</w:t>
      </w:r>
      <w:r w:rsidRPr="00D1005B">
        <w:rPr>
          <w:spacing w:val="-12"/>
          <w:sz w:val="24"/>
          <w:szCs w:val="24"/>
        </w:rPr>
        <w:t xml:space="preserve"> </w:t>
      </w:r>
      <w:r w:rsidRPr="00D1005B">
        <w:rPr>
          <w:sz w:val="24"/>
          <w:szCs w:val="24"/>
        </w:rPr>
        <w:t>seguma</w:t>
      </w:r>
      <w:r w:rsidRPr="00D1005B">
        <w:rPr>
          <w:spacing w:val="-9"/>
          <w:sz w:val="24"/>
          <w:szCs w:val="24"/>
        </w:rPr>
        <w:t xml:space="preserve"> </w:t>
      </w:r>
      <w:r w:rsidRPr="00D1005B">
        <w:rPr>
          <w:sz w:val="24"/>
          <w:szCs w:val="24"/>
        </w:rPr>
        <w:t>atjaunošanu</w:t>
      </w:r>
      <w:r w:rsidRPr="00D1005B">
        <w:rPr>
          <w:spacing w:val="-12"/>
          <w:sz w:val="24"/>
          <w:szCs w:val="24"/>
        </w:rPr>
        <w:t xml:space="preserve"> </w:t>
      </w:r>
      <w:r w:rsidRPr="00D1005B">
        <w:rPr>
          <w:sz w:val="24"/>
          <w:szCs w:val="24"/>
        </w:rPr>
        <w:t>ir</w:t>
      </w:r>
      <w:r w:rsidRPr="00D1005B">
        <w:rPr>
          <w:spacing w:val="-12"/>
          <w:sz w:val="24"/>
          <w:szCs w:val="24"/>
        </w:rPr>
        <w:t xml:space="preserve"> </w:t>
      </w:r>
      <w:r w:rsidRPr="00D1005B">
        <w:rPr>
          <w:sz w:val="24"/>
          <w:szCs w:val="24"/>
        </w:rPr>
        <w:t>iekļauta</w:t>
      </w:r>
      <w:r w:rsidRPr="00D1005B">
        <w:rPr>
          <w:spacing w:val="-11"/>
          <w:sz w:val="24"/>
          <w:szCs w:val="24"/>
        </w:rPr>
        <w:t xml:space="preserve"> </w:t>
      </w:r>
      <w:r w:rsidRPr="00D1005B">
        <w:rPr>
          <w:sz w:val="24"/>
          <w:szCs w:val="24"/>
        </w:rPr>
        <w:t>iepriekš</w:t>
      </w:r>
      <w:r w:rsidRPr="00D1005B">
        <w:rPr>
          <w:spacing w:val="-9"/>
          <w:sz w:val="24"/>
          <w:szCs w:val="24"/>
        </w:rPr>
        <w:t xml:space="preserve"> </w:t>
      </w:r>
      <w:r w:rsidRPr="00D1005B">
        <w:rPr>
          <w:sz w:val="24"/>
          <w:szCs w:val="24"/>
        </w:rPr>
        <w:t>noteiktajos</w:t>
      </w:r>
      <w:r w:rsidRPr="00D1005B">
        <w:rPr>
          <w:spacing w:val="-9"/>
          <w:sz w:val="24"/>
          <w:szCs w:val="24"/>
        </w:rPr>
        <w:t xml:space="preserve"> </w:t>
      </w:r>
      <w:r w:rsidRPr="00D1005B">
        <w:rPr>
          <w:sz w:val="24"/>
          <w:szCs w:val="24"/>
        </w:rPr>
        <w:t>maksājumos.</w:t>
      </w:r>
      <w:r w:rsidRPr="00D1005B">
        <w:rPr>
          <w:spacing w:val="-11"/>
          <w:sz w:val="24"/>
          <w:szCs w:val="24"/>
        </w:rPr>
        <w:t xml:space="preserve"> </w:t>
      </w:r>
      <w:r w:rsidRPr="00D1005B">
        <w:rPr>
          <w:sz w:val="24"/>
          <w:szCs w:val="24"/>
        </w:rPr>
        <w:t>Budžeta</w:t>
      </w:r>
      <w:r w:rsidRPr="00D1005B">
        <w:rPr>
          <w:spacing w:val="-12"/>
          <w:sz w:val="24"/>
          <w:szCs w:val="24"/>
        </w:rPr>
        <w:t xml:space="preserve"> </w:t>
      </w:r>
      <w:r w:rsidRPr="00D1005B">
        <w:rPr>
          <w:sz w:val="24"/>
          <w:szCs w:val="24"/>
        </w:rPr>
        <w:t>iestāde</w:t>
      </w:r>
      <w:r w:rsidRPr="00D1005B">
        <w:rPr>
          <w:spacing w:val="-11"/>
          <w:sz w:val="24"/>
          <w:szCs w:val="24"/>
        </w:rPr>
        <w:t xml:space="preserve"> </w:t>
      </w:r>
      <w:r w:rsidRPr="00D1005B">
        <w:rPr>
          <w:sz w:val="24"/>
          <w:szCs w:val="24"/>
        </w:rPr>
        <w:t>atzīst</w:t>
      </w:r>
      <w:r w:rsidRPr="00D1005B">
        <w:rPr>
          <w:spacing w:val="-11"/>
          <w:sz w:val="24"/>
          <w:szCs w:val="24"/>
        </w:rPr>
        <w:t xml:space="preserve"> </w:t>
      </w:r>
      <w:r w:rsidRPr="00D1005B">
        <w:rPr>
          <w:sz w:val="24"/>
          <w:szCs w:val="24"/>
        </w:rPr>
        <w:t>ceļa atjaunošanas darbus kā aktīvu dienā, kad atjaunotais ceļa segums nodots ekspluatācijā, un, sākot ar devīto gadu, atzīst nolietojumu 110 000,00 EUR /6 gadi = 18 333,33</w:t>
      </w:r>
      <w:r w:rsidRPr="00D1005B">
        <w:rPr>
          <w:spacing w:val="-6"/>
          <w:sz w:val="24"/>
          <w:szCs w:val="24"/>
        </w:rPr>
        <w:t xml:space="preserve"> </w:t>
      </w:r>
      <w:r w:rsidRPr="00D1005B">
        <w:rPr>
          <w:sz w:val="24"/>
          <w:szCs w:val="24"/>
        </w:rPr>
        <w:t>EUR.</w:t>
      </w:r>
    </w:p>
    <w:p w14:paraId="2032C855" w14:textId="77777777" w:rsidR="00D1005B" w:rsidRPr="00D1005B" w:rsidRDefault="00D1005B" w:rsidP="00CD363C">
      <w:pPr>
        <w:pStyle w:val="Pamatteksts"/>
        <w:ind w:left="218" w:right="107"/>
        <w:jc w:val="both"/>
        <w:rPr>
          <w:sz w:val="24"/>
          <w:szCs w:val="24"/>
        </w:rPr>
      </w:pPr>
      <w:r w:rsidRPr="00D1005B">
        <w:rPr>
          <w:sz w:val="24"/>
          <w:szCs w:val="24"/>
        </w:rPr>
        <w:t>830.  Atlīdzība par ceļa uzturēšanu (12 000,00 EUR) ir iekļauta iepriekš noteiktajos maksājumos. Ar šo pakalpojumu saistītās izmaksas naudas plūsmu tieši neietekmē; tomēr budžeta iestāde izmaksas atzīst katru gadu.</w:t>
      </w:r>
    </w:p>
    <w:p w14:paraId="573C1582" w14:textId="77777777" w:rsidR="00D1005B" w:rsidRDefault="00D1005B" w:rsidP="00CD363C">
      <w:pPr>
        <w:pStyle w:val="Pamatteksts"/>
        <w:ind w:left="218" w:right="107"/>
        <w:jc w:val="both"/>
        <w:rPr>
          <w:sz w:val="24"/>
          <w:szCs w:val="24"/>
        </w:rPr>
      </w:pPr>
      <w:r w:rsidRPr="00D1005B">
        <w:rPr>
          <w:sz w:val="24"/>
          <w:szCs w:val="24"/>
        </w:rPr>
        <w:t>831.  Budžeta iestāde veic grāmatojumus atbilstoši 4.tabulā sniegtajai informācijai.</w:t>
      </w: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3291"/>
        <w:gridCol w:w="986"/>
        <w:gridCol w:w="2964"/>
        <w:gridCol w:w="1569"/>
      </w:tblGrid>
      <w:tr w:rsidR="00CE0D94" w14:paraId="6AADD343" w14:textId="77777777" w:rsidTr="00FB6347">
        <w:trPr>
          <w:trHeight w:val="570"/>
        </w:trPr>
        <w:tc>
          <w:tcPr>
            <w:tcW w:w="816" w:type="dxa"/>
            <w:shd w:val="clear" w:color="auto" w:fill="F1F1F1"/>
          </w:tcPr>
          <w:p w14:paraId="3711F1A5" w14:textId="77777777" w:rsidR="00CE0D94" w:rsidRDefault="00CE0D94" w:rsidP="00CD363C">
            <w:pPr>
              <w:pStyle w:val="TableParagraph"/>
              <w:ind w:left="155" w:right="107"/>
              <w:jc w:val="both"/>
              <w:rPr>
                <w:b/>
                <w:sz w:val="20"/>
              </w:rPr>
            </w:pPr>
            <w:r>
              <w:rPr>
                <w:b/>
                <w:sz w:val="20"/>
              </w:rPr>
              <w:t>Gads</w:t>
            </w:r>
          </w:p>
        </w:tc>
        <w:tc>
          <w:tcPr>
            <w:tcW w:w="3291" w:type="dxa"/>
            <w:shd w:val="clear" w:color="auto" w:fill="F1F1F1"/>
          </w:tcPr>
          <w:p w14:paraId="4670237A" w14:textId="77777777" w:rsidR="00CE0D94" w:rsidRDefault="00CE0D94" w:rsidP="00CD363C">
            <w:pPr>
              <w:pStyle w:val="TableParagraph"/>
              <w:ind w:left="1342" w:right="107"/>
              <w:jc w:val="both"/>
              <w:rPr>
                <w:b/>
                <w:sz w:val="20"/>
              </w:rPr>
            </w:pPr>
            <w:r>
              <w:rPr>
                <w:b/>
                <w:sz w:val="20"/>
              </w:rPr>
              <w:t>Konts</w:t>
            </w:r>
          </w:p>
        </w:tc>
        <w:tc>
          <w:tcPr>
            <w:tcW w:w="986" w:type="dxa"/>
            <w:shd w:val="clear" w:color="auto" w:fill="F1F1F1"/>
          </w:tcPr>
          <w:p w14:paraId="570DE5AC" w14:textId="77777777" w:rsidR="00CE0D94" w:rsidRDefault="00CE0D94" w:rsidP="00CD363C">
            <w:pPr>
              <w:pStyle w:val="TableParagraph"/>
              <w:ind w:left="321" w:right="107" w:hanging="125"/>
              <w:jc w:val="both"/>
              <w:rPr>
                <w:b/>
                <w:sz w:val="20"/>
              </w:rPr>
            </w:pPr>
            <w:r>
              <w:rPr>
                <w:b/>
                <w:sz w:val="20"/>
              </w:rPr>
              <w:t>Konta Nr.</w:t>
            </w:r>
          </w:p>
        </w:tc>
        <w:tc>
          <w:tcPr>
            <w:tcW w:w="2964" w:type="dxa"/>
            <w:shd w:val="clear" w:color="auto" w:fill="F1F1F1"/>
          </w:tcPr>
          <w:p w14:paraId="4B30D5F8" w14:textId="77777777" w:rsidR="00CE0D94" w:rsidRDefault="00CE0D94" w:rsidP="00CD363C">
            <w:pPr>
              <w:pStyle w:val="TableParagraph"/>
              <w:ind w:left="677" w:right="107"/>
              <w:jc w:val="both"/>
              <w:rPr>
                <w:b/>
                <w:sz w:val="20"/>
              </w:rPr>
            </w:pPr>
            <w:r>
              <w:rPr>
                <w:b/>
                <w:sz w:val="20"/>
              </w:rPr>
              <w:t>Konta nosaukums</w:t>
            </w:r>
          </w:p>
        </w:tc>
        <w:tc>
          <w:tcPr>
            <w:tcW w:w="1569" w:type="dxa"/>
            <w:shd w:val="clear" w:color="auto" w:fill="F1F1F1"/>
          </w:tcPr>
          <w:p w14:paraId="2B8D66CF" w14:textId="77777777" w:rsidR="00CE0D94" w:rsidRDefault="00CE0D94" w:rsidP="00CD363C">
            <w:pPr>
              <w:pStyle w:val="TableParagraph"/>
              <w:ind w:left="212" w:right="107" w:firstLine="218"/>
              <w:jc w:val="both"/>
              <w:rPr>
                <w:b/>
                <w:sz w:val="20"/>
              </w:rPr>
            </w:pPr>
            <w:r>
              <w:rPr>
                <w:b/>
                <w:sz w:val="20"/>
              </w:rPr>
              <w:t>Summa (tūkst. EUR)</w:t>
            </w:r>
          </w:p>
        </w:tc>
      </w:tr>
      <w:tr w:rsidR="00CE0D94" w14:paraId="60D072ED" w14:textId="77777777" w:rsidTr="00FB6347">
        <w:trPr>
          <w:trHeight w:val="253"/>
        </w:trPr>
        <w:tc>
          <w:tcPr>
            <w:tcW w:w="816" w:type="dxa"/>
            <w:vMerge w:val="restart"/>
          </w:tcPr>
          <w:p w14:paraId="298E96CB" w14:textId="77777777" w:rsidR="00CE0D94" w:rsidRDefault="00CE0D94" w:rsidP="00CD363C">
            <w:pPr>
              <w:pStyle w:val="TableParagraph"/>
              <w:ind w:right="107"/>
              <w:jc w:val="both"/>
              <w:rPr>
                <w:i/>
                <w:sz w:val="21"/>
              </w:rPr>
            </w:pPr>
          </w:p>
          <w:p w14:paraId="5E3BC156" w14:textId="77777777" w:rsidR="00CE0D94" w:rsidRDefault="00CE0D94" w:rsidP="00CD363C">
            <w:pPr>
              <w:pStyle w:val="TableParagraph"/>
              <w:ind w:right="107"/>
              <w:jc w:val="both"/>
              <w:rPr>
                <w:b/>
                <w:sz w:val="20"/>
              </w:rPr>
            </w:pPr>
            <w:r>
              <w:rPr>
                <w:b/>
                <w:w w:val="99"/>
                <w:sz w:val="20"/>
              </w:rPr>
              <w:t>1</w:t>
            </w:r>
          </w:p>
        </w:tc>
        <w:tc>
          <w:tcPr>
            <w:tcW w:w="8810" w:type="dxa"/>
            <w:gridSpan w:val="4"/>
          </w:tcPr>
          <w:p w14:paraId="3574E70B" w14:textId="77777777" w:rsidR="00CE0D94" w:rsidRDefault="00CE0D94" w:rsidP="00CD363C">
            <w:pPr>
              <w:pStyle w:val="TableParagraph"/>
              <w:ind w:left="107" w:right="107"/>
              <w:jc w:val="both"/>
              <w:rPr>
                <w:b/>
                <w:sz w:val="20"/>
              </w:rPr>
            </w:pPr>
            <w:r>
              <w:rPr>
                <w:b/>
                <w:sz w:val="20"/>
              </w:rPr>
              <w:t>Partnerības aktīva daļas (segas pamata) un finanšu saistību atzīšana</w:t>
            </w:r>
          </w:p>
        </w:tc>
      </w:tr>
      <w:tr w:rsidR="00CE0D94" w14:paraId="00D9772E" w14:textId="77777777" w:rsidTr="00FB6347">
        <w:trPr>
          <w:trHeight w:val="460"/>
        </w:trPr>
        <w:tc>
          <w:tcPr>
            <w:tcW w:w="816" w:type="dxa"/>
            <w:vMerge/>
            <w:tcBorders>
              <w:top w:val="nil"/>
            </w:tcBorders>
          </w:tcPr>
          <w:p w14:paraId="37D5D773" w14:textId="77777777" w:rsidR="00CE0D94" w:rsidRDefault="00CE0D94" w:rsidP="00CD363C">
            <w:pPr>
              <w:spacing w:after="0" w:line="240" w:lineRule="auto"/>
              <w:ind w:right="107"/>
              <w:jc w:val="both"/>
              <w:rPr>
                <w:sz w:val="2"/>
                <w:szCs w:val="2"/>
              </w:rPr>
            </w:pPr>
          </w:p>
        </w:tc>
        <w:tc>
          <w:tcPr>
            <w:tcW w:w="3291" w:type="dxa"/>
          </w:tcPr>
          <w:p w14:paraId="21B71917" w14:textId="77777777" w:rsidR="00CE0D94" w:rsidRDefault="00CE0D94" w:rsidP="00CD363C">
            <w:pPr>
              <w:pStyle w:val="TableParagraph"/>
              <w:ind w:left="107" w:right="107"/>
              <w:jc w:val="both"/>
              <w:rPr>
                <w:sz w:val="20"/>
              </w:rPr>
            </w:pPr>
            <w:r>
              <w:rPr>
                <w:sz w:val="20"/>
              </w:rPr>
              <w:t>D Partnerības aktīvs – ceļa segas</w:t>
            </w:r>
          </w:p>
          <w:p w14:paraId="084A57AF" w14:textId="77777777" w:rsidR="00CE0D94" w:rsidRDefault="00CE0D94" w:rsidP="00CD363C">
            <w:pPr>
              <w:pStyle w:val="TableParagraph"/>
              <w:ind w:left="107" w:right="107"/>
              <w:jc w:val="both"/>
              <w:rPr>
                <w:sz w:val="20"/>
              </w:rPr>
            </w:pPr>
            <w:r>
              <w:rPr>
                <w:sz w:val="20"/>
              </w:rPr>
              <w:t>pamats un ceļa segums</w:t>
            </w:r>
          </w:p>
        </w:tc>
        <w:tc>
          <w:tcPr>
            <w:tcW w:w="986" w:type="dxa"/>
          </w:tcPr>
          <w:p w14:paraId="27127D43" w14:textId="77777777" w:rsidR="00CE0D94" w:rsidRDefault="00CE0D94" w:rsidP="00CD363C">
            <w:pPr>
              <w:pStyle w:val="TableParagraph"/>
              <w:ind w:left="264" w:right="107"/>
              <w:jc w:val="both"/>
              <w:rPr>
                <w:sz w:val="20"/>
              </w:rPr>
            </w:pPr>
            <w:r>
              <w:rPr>
                <w:sz w:val="20"/>
              </w:rPr>
              <w:t>1240</w:t>
            </w:r>
          </w:p>
        </w:tc>
        <w:tc>
          <w:tcPr>
            <w:tcW w:w="2964" w:type="dxa"/>
          </w:tcPr>
          <w:p w14:paraId="0B5C3F05" w14:textId="77777777" w:rsidR="00CE0D94" w:rsidRDefault="00CE0D94" w:rsidP="00CD363C">
            <w:pPr>
              <w:pStyle w:val="TableParagraph"/>
              <w:ind w:left="108" w:right="107"/>
              <w:jc w:val="both"/>
              <w:rPr>
                <w:sz w:val="20"/>
              </w:rPr>
            </w:pPr>
            <w:r>
              <w:rPr>
                <w:sz w:val="20"/>
              </w:rPr>
              <w:t>Pamatlīdzekļu izveidošana un</w:t>
            </w:r>
          </w:p>
          <w:p w14:paraId="6CEA67D3" w14:textId="77777777" w:rsidR="00CE0D94" w:rsidRDefault="00CE0D94" w:rsidP="00CD363C">
            <w:pPr>
              <w:pStyle w:val="TableParagraph"/>
              <w:ind w:left="108" w:right="107"/>
              <w:jc w:val="both"/>
              <w:rPr>
                <w:sz w:val="20"/>
              </w:rPr>
            </w:pPr>
            <w:r>
              <w:rPr>
                <w:sz w:val="20"/>
              </w:rPr>
              <w:t>nepabeigtā būvniecība</w:t>
            </w:r>
          </w:p>
        </w:tc>
        <w:tc>
          <w:tcPr>
            <w:tcW w:w="1569" w:type="dxa"/>
          </w:tcPr>
          <w:p w14:paraId="779DEEA7" w14:textId="77777777" w:rsidR="00CE0D94" w:rsidRDefault="00CE0D94" w:rsidP="00CD363C">
            <w:pPr>
              <w:pStyle w:val="TableParagraph"/>
              <w:ind w:left="507" w:right="107"/>
              <w:jc w:val="both"/>
              <w:rPr>
                <w:sz w:val="20"/>
              </w:rPr>
            </w:pPr>
            <w:r>
              <w:rPr>
                <w:sz w:val="20"/>
              </w:rPr>
              <w:t>525 000,00</w:t>
            </w:r>
          </w:p>
        </w:tc>
      </w:tr>
    </w:tbl>
    <w:p w14:paraId="31BDD297" w14:textId="77777777" w:rsidR="00CE0D94" w:rsidRDefault="00CE0D94" w:rsidP="00CD363C">
      <w:pPr>
        <w:spacing w:after="0" w:line="240" w:lineRule="auto"/>
        <w:ind w:right="107"/>
        <w:jc w:val="both"/>
        <w:rPr>
          <w:sz w:val="20"/>
        </w:rPr>
        <w:sectPr w:rsidR="00CE0D94" w:rsidSect="006D602B">
          <w:pgSz w:w="11910" w:h="16840"/>
          <w:pgMar w:top="760" w:right="853" w:bottom="1200" w:left="1200" w:header="0" w:footer="93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1990"/>
        <w:gridCol w:w="179"/>
        <w:gridCol w:w="456"/>
        <w:gridCol w:w="667"/>
        <w:gridCol w:w="987"/>
        <w:gridCol w:w="2965"/>
        <w:gridCol w:w="1570"/>
      </w:tblGrid>
      <w:tr w:rsidR="00CE0D94" w14:paraId="1D54F1F1" w14:textId="77777777" w:rsidTr="00FB6347">
        <w:trPr>
          <w:trHeight w:val="570"/>
        </w:trPr>
        <w:tc>
          <w:tcPr>
            <w:tcW w:w="816" w:type="dxa"/>
            <w:shd w:val="clear" w:color="auto" w:fill="F1F1F1"/>
          </w:tcPr>
          <w:p w14:paraId="5A44AB25" w14:textId="77777777" w:rsidR="00CE0D94" w:rsidRDefault="00CE0D94" w:rsidP="00CD363C">
            <w:pPr>
              <w:pStyle w:val="TableParagraph"/>
              <w:ind w:left="155" w:right="107"/>
              <w:jc w:val="both"/>
              <w:rPr>
                <w:b/>
                <w:sz w:val="20"/>
              </w:rPr>
            </w:pPr>
            <w:r>
              <w:rPr>
                <w:b/>
                <w:sz w:val="20"/>
              </w:rPr>
              <w:t>Gads</w:t>
            </w:r>
          </w:p>
        </w:tc>
        <w:tc>
          <w:tcPr>
            <w:tcW w:w="3292" w:type="dxa"/>
            <w:gridSpan w:val="4"/>
            <w:shd w:val="clear" w:color="auto" w:fill="F1F1F1"/>
          </w:tcPr>
          <w:p w14:paraId="176689F1" w14:textId="77777777" w:rsidR="00CE0D94" w:rsidRDefault="00CE0D94" w:rsidP="00CD363C">
            <w:pPr>
              <w:pStyle w:val="TableParagraph"/>
              <w:ind w:left="1342" w:right="107"/>
              <w:jc w:val="both"/>
              <w:rPr>
                <w:b/>
                <w:sz w:val="20"/>
              </w:rPr>
            </w:pPr>
            <w:r>
              <w:rPr>
                <w:b/>
                <w:sz w:val="20"/>
              </w:rPr>
              <w:t>Konts</w:t>
            </w:r>
          </w:p>
        </w:tc>
        <w:tc>
          <w:tcPr>
            <w:tcW w:w="987" w:type="dxa"/>
            <w:shd w:val="clear" w:color="auto" w:fill="F1F1F1"/>
          </w:tcPr>
          <w:p w14:paraId="53C6961A" w14:textId="77777777" w:rsidR="00CE0D94" w:rsidRDefault="00CE0D94" w:rsidP="00CD363C">
            <w:pPr>
              <w:pStyle w:val="TableParagraph"/>
              <w:ind w:left="320" w:right="107" w:hanging="125"/>
              <w:jc w:val="both"/>
              <w:rPr>
                <w:b/>
                <w:sz w:val="20"/>
              </w:rPr>
            </w:pPr>
            <w:r>
              <w:rPr>
                <w:b/>
                <w:sz w:val="20"/>
              </w:rPr>
              <w:t>Konta Nr.</w:t>
            </w:r>
          </w:p>
        </w:tc>
        <w:tc>
          <w:tcPr>
            <w:tcW w:w="2965" w:type="dxa"/>
            <w:shd w:val="clear" w:color="auto" w:fill="F1F1F1"/>
          </w:tcPr>
          <w:p w14:paraId="04793C17" w14:textId="77777777" w:rsidR="00CE0D94" w:rsidRDefault="00CE0D94" w:rsidP="00CD363C">
            <w:pPr>
              <w:pStyle w:val="TableParagraph"/>
              <w:ind w:left="675" w:right="107"/>
              <w:jc w:val="both"/>
              <w:rPr>
                <w:b/>
                <w:sz w:val="20"/>
              </w:rPr>
            </w:pPr>
            <w:r>
              <w:rPr>
                <w:b/>
                <w:sz w:val="20"/>
              </w:rPr>
              <w:t>Konta nosaukums</w:t>
            </w:r>
          </w:p>
        </w:tc>
        <w:tc>
          <w:tcPr>
            <w:tcW w:w="1570" w:type="dxa"/>
            <w:shd w:val="clear" w:color="auto" w:fill="F1F1F1"/>
          </w:tcPr>
          <w:p w14:paraId="3A02ED43" w14:textId="77777777" w:rsidR="00CE0D94" w:rsidRDefault="00CE0D94" w:rsidP="00CD363C">
            <w:pPr>
              <w:pStyle w:val="TableParagraph"/>
              <w:ind w:left="209" w:right="107" w:firstLine="218"/>
              <w:jc w:val="both"/>
              <w:rPr>
                <w:b/>
                <w:sz w:val="20"/>
              </w:rPr>
            </w:pPr>
            <w:r>
              <w:rPr>
                <w:b/>
                <w:sz w:val="20"/>
              </w:rPr>
              <w:t>Summa (tūkst. EUR)</w:t>
            </w:r>
          </w:p>
        </w:tc>
      </w:tr>
      <w:tr w:rsidR="00CE0D94" w14:paraId="4E0E85A7" w14:textId="77777777" w:rsidTr="00FB6347">
        <w:trPr>
          <w:trHeight w:val="688"/>
        </w:trPr>
        <w:tc>
          <w:tcPr>
            <w:tcW w:w="816" w:type="dxa"/>
          </w:tcPr>
          <w:p w14:paraId="5ED272C8" w14:textId="77777777" w:rsidR="00CE0D94" w:rsidRDefault="00CE0D94" w:rsidP="00CD363C">
            <w:pPr>
              <w:pStyle w:val="TableParagraph"/>
              <w:ind w:right="107"/>
              <w:jc w:val="both"/>
              <w:rPr>
                <w:sz w:val="18"/>
              </w:rPr>
            </w:pPr>
          </w:p>
        </w:tc>
        <w:tc>
          <w:tcPr>
            <w:tcW w:w="3292" w:type="dxa"/>
            <w:gridSpan w:val="4"/>
          </w:tcPr>
          <w:p w14:paraId="4A8A4064" w14:textId="77777777" w:rsidR="00CE0D94" w:rsidRDefault="00CE0D94" w:rsidP="00CD363C">
            <w:pPr>
              <w:pStyle w:val="TableParagraph"/>
              <w:ind w:right="107"/>
              <w:jc w:val="both"/>
              <w:rPr>
                <w:i/>
                <w:sz w:val="18"/>
              </w:rPr>
            </w:pPr>
          </w:p>
          <w:p w14:paraId="34D51F16" w14:textId="77777777" w:rsidR="00CE0D94" w:rsidRDefault="00CE0D94" w:rsidP="00CD363C">
            <w:pPr>
              <w:pStyle w:val="TableParagraph"/>
              <w:ind w:left="107" w:right="107"/>
              <w:jc w:val="both"/>
              <w:rPr>
                <w:sz w:val="20"/>
              </w:rPr>
            </w:pPr>
            <w:r>
              <w:rPr>
                <w:sz w:val="20"/>
              </w:rPr>
              <w:t>K Finanšu saistības</w:t>
            </w:r>
          </w:p>
        </w:tc>
        <w:tc>
          <w:tcPr>
            <w:tcW w:w="987" w:type="dxa"/>
          </w:tcPr>
          <w:p w14:paraId="6F1651E7" w14:textId="77777777" w:rsidR="00CE0D94" w:rsidRDefault="00CE0D94" w:rsidP="00CD363C">
            <w:pPr>
              <w:pStyle w:val="TableParagraph"/>
              <w:ind w:right="107"/>
              <w:jc w:val="both"/>
              <w:rPr>
                <w:i/>
                <w:sz w:val="18"/>
              </w:rPr>
            </w:pPr>
          </w:p>
          <w:p w14:paraId="4650ECA0" w14:textId="77777777" w:rsidR="00CE0D94" w:rsidRDefault="00CE0D94" w:rsidP="00CD363C">
            <w:pPr>
              <w:pStyle w:val="TableParagraph"/>
              <w:ind w:right="107"/>
              <w:jc w:val="both"/>
              <w:rPr>
                <w:sz w:val="20"/>
              </w:rPr>
            </w:pPr>
            <w:r>
              <w:rPr>
                <w:sz w:val="20"/>
              </w:rPr>
              <w:t>5130</w:t>
            </w:r>
          </w:p>
        </w:tc>
        <w:tc>
          <w:tcPr>
            <w:tcW w:w="2965" w:type="dxa"/>
          </w:tcPr>
          <w:p w14:paraId="29928A92" w14:textId="77777777" w:rsidR="00CE0D94" w:rsidRDefault="00CE0D94" w:rsidP="00CD363C">
            <w:pPr>
              <w:pStyle w:val="TableParagraph"/>
              <w:ind w:left="106" w:right="107"/>
              <w:jc w:val="both"/>
              <w:rPr>
                <w:sz w:val="20"/>
              </w:rPr>
            </w:pPr>
            <w:r>
              <w:rPr>
                <w:sz w:val="20"/>
              </w:rPr>
              <w:t>Ilgtermiņa saistības pret piegādātājiem un</w:t>
            </w:r>
          </w:p>
          <w:p w14:paraId="75DAD1B6" w14:textId="77777777" w:rsidR="00CE0D94" w:rsidRDefault="00CE0D94" w:rsidP="00CD363C">
            <w:pPr>
              <w:pStyle w:val="TableParagraph"/>
              <w:ind w:left="106" w:right="107"/>
              <w:jc w:val="both"/>
              <w:rPr>
                <w:sz w:val="20"/>
              </w:rPr>
            </w:pPr>
            <w:r>
              <w:rPr>
                <w:sz w:val="20"/>
              </w:rPr>
              <w:t>darbuzņēmējiem</w:t>
            </w:r>
          </w:p>
        </w:tc>
        <w:tc>
          <w:tcPr>
            <w:tcW w:w="1570" w:type="dxa"/>
          </w:tcPr>
          <w:p w14:paraId="66AC28AD" w14:textId="77777777" w:rsidR="00CE0D94" w:rsidRDefault="00CE0D94" w:rsidP="00CD363C">
            <w:pPr>
              <w:pStyle w:val="TableParagraph"/>
              <w:ind w:right="107"/>
              <w:jc w:val="both"/>
              <w:rPr>
                <w:i/>
                <w:sz w:val="18"/>
              </w:rPr>
            </w:pPr>
          </w:p>
          <w:p w14:paraId="75A174E6" w14:textId="77777777" w:rsidR="00CE0D94" w:rsidRDefault="00CE0D94" w:rsidP="00CD363C">
            <w:pPr>
              <w:pStyle w:val="TableParagraph"/>
              <w:ind w:right="107"/>
              <w:jc w:val="both"/>
              <w:rPr>
                <w:sz w:val="20"/>
              </w:rPr>
            </w:pPr>
            <w:r>
              <w:rPr>
                <w:sz w:val="20"/>
              </w:rPr>
              <w:t>525 000,00</w:t>
            </w:r>
          </w:p>
        </w:tc>
      </w:tr>
      <w:tr w:rsidR="00CE0D94" w14:paraId="4C8F8A23" w14:textId="77777777" w:rsidTr="00FB6347">
        <w:trPr>
          <w:trHeight w:val="256"/>
        </w:trPr>
        <w:tc>
          <w:tcPr>
            <w:tcW w:w="816" w:type="dxa"/>
            <w:vMerge w:val="restart"/>
          </w:tcPr>
          <w:p w14:paraId="1E2A394D" w14:textId="77777777" w:rsidR="00CE0D94" w:rsidRDefault="00CE0D94" w:rsidP="00CD363C">
            <w:pPr>
              <w:pStyle w:val="TableParagraph"/>
              <w:ind w:right="107"/>
              <w:jc w:val="both"/>
              <w:rPr>
                <w:i/>
              </w:rPr>
            </w:pPr>
          </w:p>
          <w:p w14:paraId="54E50C73" w14:textId="77777777" w:rsidR="00CE0D94" w:rsidRDefault="00CE0D94" w:rsidP="00CD363C">
            <w:pPr>
              <w:pStyle w:val="TableParagraph"/>
              <w:ind w:right="107"/>
              <w:jc w:val="both"/>
              <w:rPr>
                <w:i/>
              </w:rPr>
            </w:pPr>
          </w:p>
          <w:p w14:paraId="721B6A92" w14:textId="77777777" w:rsidR="00CE0D94" w:rsidRDefault="00CE0D94" w:rsidP="00CD363C">
            <w:pPr>
              <w:pStyle w:val="TableParagraph"/>
              <w:ind w:right="107"/>
              <w:jc w:val="both"/>
              <w:rPr>
                <w:i/>
              </w:rPr>
            </w:pPr>
          </w:p>
          <w:p w14:paraId="20D4583B" w14:textId="77777777" w:rsidR="00CE0D94" w:rsidRDefault="00CE0D94" w:rsidP="00CD363C">
            <w:pPr>
              <w:pStyle w:val="TableParagraph"/>
              <w:ind w:right="107"/>
              <w:jc w:val="both"/>
              <w:rPr>
                <w:i/>
              </w:rPr>
            </w:pPr>
          </w:p>
          <w:p w14:paraId="0D498636" w14:textId="77777777" w:rsidR="00CE0D94" w:rsidRDefault="00CE0D94" w:rsidP="00CD363C">
            <w:pPr>
              <w:pStyle w:val="TableParagraph"/>
              <w:ind w:right="107"/>
              <w:jc w:val="both"/>
              <w:rPr>
                <w:i/>
              </w:rPr>
            </w:pPr>
          </w:p>
          <w:p w14:paraId="58AE70A0" w14:textId="77777777" w:rsidR="00CE0D94" w:rsidRDefault="00CE0D94" w:rsidP="00CD363C">
            <w:pPr>
              <w:pStyle w:val="TableParagraph"/>
              <w:ind w:right="107"/>
              <w:jc w:val="both"/>
              <w:rPr>
                <w:i/>
              </w:rPr>
            </w:pPr>
          </w:p>
          <w:p w14:paraId="37238E01" w14:textId="77777777" w:rsidR="00CE0D94" w:rsidRDefault="00CE0D94" w:rsidP="00CD363C">
            <w:pPr>
              <w:pStyle w:val="TableParagraph"/>
              <w:ind w:right="107"/>
              <w:jc w:val="both"/>
              <w:rPr>
                <w:i/>
              </w:rPr>
            </w:pPr>
          </w:p>
          <w:p w14:paraId="6A0B9B12" w14:textId="77777777" w:rsidR="00CE0D94" w:rsidRDefault="00CE0D94" w:rsidP="00CD363C">
            <w:pPr>
              <w:pStyle w:val="TableParagraph"/>
              <w:ind w:right="107"/>
              <w:jc w:val="both"/>
              <w:rPr>
                <w:i/>
              </w:rPr>
            </w:pPr>
          </w:p>
          <w:p w14:paraId="5A48F228" w14:textId="77777777" w:rsidR="00CE0D94" w:rsidRDefault="00CE0D94" w:rsidP="00CD363C">
            <w:pPr>
              <w:pStyle w:val="TableParagraph"/>
              <w:ind w:right="107"/>
              <w:jc w:val="both"/>
              <w:rPr>
                <w:i/>
                <w:sz w:val="19"/>
              </w:rPr>
            </w:pPr>
          </w:p>
          <w:p w14:paraId="3B7EC298" w14:textId="77777777" w:rsidR="00CE0D94" w:rsidRDefault="00CE0D94" w:rsidP="00CD363C">
            <w:pPr>
              <w:pStyle w:val="TableParagraph"/>
              <w:ind w:right="107"/>
              <w:jc w:val="both"/>
              <w:rPr>
                <w:b/>
                <w:sz w:val="20"/>
              </w:rPr>
            </w:pPr>
            <w:r>
              <w:rPr>
                <w:b/>
                <w:w w:val="99"/>
                <w:sz w:val="20"/>
              </w:rPr>
              <w:t>2</w:t>
            </w:r>
          </w:p>
        </w:tc>
        <w:tc>
          <w:tcPr>
            <w:tcW w:w="8814" w:type="dxa"/>
            <w:gridSpan w:val="7"/>
          </w:tcPr>
          <w:p w14:paraId="08FC27CD" w14:textId="77777777" w:rsidR="00CE0D94" w:rsidRDefault="00CE0D94" w:rsidP="00CD363C">
            <w:pPr>
              <w:pStyle w:val="TableParagraph"/>
              <w:ind w:left="107" w:right="107"/>
              <w:jc w:val="both"/>
              <w:rPr>
                <w:b/>
                <w:sz w:val="20"/>
              </w:rPr>
            </w:pPr>
            <w:r>
              <w:rPr>
                <w:b/>
                <w:sz w:val="20"/>
              </w:rPr>
              <w:t>Partnerības aktīva atlikušās daļas (segas pamata un sākotnējā seguma) un finanšu saistību atzīšana</w:t>
            </w:r>
          </w:p>
        </w:tc>
      </w:tr>
      <w:tr w:rsidR="00CE0D94" w14:paraId="7DF66C37" w14:textId="77777777" w:rsidTr="00FB6347">
        <w:trPr>
          <w:trHeight w:val="827"/>
        </w:trPr>
        <w:tc>
          <w:tcPr>
            <w:tcW w:w="816" w:type="dxa"/>
            <w:vMerge/>
            <w:tcBorders>
              <w:top w:val="nil"/>
            </w:tcBorders>
          </w:tcPr>
          <w:p w14:paraId="39B33011" w14:textId="77777777" w:rsidR="00CE0D94" w:rsidRDefault="00CE0D94" w:rsidP="00CD363C">
            <w:pPr>
              <w:spacing w:after="0" w:line="240" w:lineRule="auto"/>
              <w:ind w:right="107"/>
              <w:jc w:val="both"/>
              <w:rPr>
                <w:sz w:val="2"/>
                <w:szCs w:val="2"/>
              </w:rPr>
            </w:pPr>
          </w:p>
        </w:tc>
        <w:tc>
          <w:tcPr>
            <w:tcW w:w="1990" w:type="dxa"/>
            <w:tcBorders>
              <w:right w:val="nil"/>
            </w:tcBorders>
          </w:tcPr>
          <w:p w14:paraId="2A47BD5D" w14:textId="77777777" w:rsidR="00CE0D94" w:rsidRDefault="00CE0D94" w:rsidP="00CD363C">
            <w:pPr>
              <w:pStyle w:val="TableParagraph"/>
              <w:ind w:left="107" w:right="107"/>
              <w:jc w:val="both"/>
              <w:rPr>
                <w:sz w:val="20"/>
              </w:rPr>
            </w:pPr>
            <w:r>
              <w:rPr>
                <w:sz w:val="20"/>
              </w:rPr>
              <w:t>D Partnerības aktīvs pamats un ceļa segums</w:t>
            </w:r>
          </w:p>
        </w:tc>
        <w:tc>
          <w:tcPr>
            <w:tcW w:w="179" w:type="dxa"/>
            <w:tcBorders>
              <w:left w:val="nil"/>
              <w:right w:val="nil"/>
            </w:tcBorders>
          </w:tcPr>
          <w:p w14:paraId="1D3873AD" w14:textId="77777777" w:rsidR="00CE0D94" w:rsidRDefault="00CE0D94" w:rsidP="00CD363C">
            <w:pPr>
              <w:pStyle w:val="TableParagraph"/>
              <w:ind w:left="50" w:right="107"/>
              <w:jc w:val="both"/>
              <w:rPr>
                <w:sz w:val="20"/>
              </w:rPr>
            </w:pPr>
            <w:r>
              <w:rPr>
                <w:w w:val="99"/>
                <w:sz w:val="20"/>
              </w:rPr>
              <w:t>-</w:t>
            </w:r>
          </w:p>
        </w:tc>
        <w:tc>
          <w:tcPr>
            <w:tcW w:w="456" w:type="dxa"/>
            <w:tcBorders>
              <w:left w:val="nil"/>
              <w:right w:val="nil"/>
            </w:tcBorders>
          </w:tcPr>
          <w:p w14:paraId="19BA73FD" w14:textId="77777777" w:rsidR="00CE0D94" w:rsidRDefault="00CE0D94" w:rsidP="00CD363C">
            <w:pPr>
              <w:pStyle w:val="TableParagraph"/>
              <w:ind w:left="70" w:right="107"/>
              <w:jc w:val="both"/>
              <w:rPr>
                <w:sz w:val="20"/>
              </w:rPr>
            </w:pPr>
            <w:r>
              <w:rPr>
                <w:sz w:val="20"/>
              </w:rPr>
              <w:t>ceļa</w:t>
            </w:r>
          </w:p>
        </w:tc>
        <w:tc>
          <w:tcPr>
            <w:tcW w:w="667" w:type="dxa"/>
            <w:tcBorders>
              <w:left w:val="nil"/>
            </w:tcBorders>
          </w:tcPr>
          <w:p w14:paraId="210076F8" w14:textId="77777777" w:rsidR="00CE0D94" w:rsidRDefault="00CE0D94" w:rsidP="00CD363C">
            <w:pPr>
              <w:pStyle w:val="TableParagraph"/>
              <w:ind w:left="72" w:right="107"/>
              <w:jc w:val="both"/>
              <w:rPr>
                <w:sz w:val="20"/>
              </w:rPr>
            </w:pPr>
            <w:r>
              <w:rPr>
                <w:sz w:val="20"/>
              </w:rPr>
              <w:t>segas</w:t>
            </w:r>
          </w:p>
        </w:tc>
        <w:tc>
          <w:tcPr>
            <w:tcW w:w="987" w:type="dxa"/>
          </w:tcPr>
          <w:p w14:paraId="29E0DB91" w14:textId="77777777" w:rsidR="00CE0D94" w:rsidRDefault="00CE0D94" w:rsidP="00CD363C">
            <w:pPr>
              <w:pStyle w:val="TableParagraph"/>
              <w:ind w:right="107"/>
              <w:jc w:val="both"/>
              <w:rPr>
                <w:i/>
                <w:sz w:val="19"/>
              </w:rPr>
            </w:pPr>
          </w:p>
          <w:p w14:paraId="32540A7D" w14:textId="77777777" w:rsidR="00CE0D94" w:rsidRDefault="00CE0D94" w:rsidP="00CD363C">
            <w:pPr>
              <w:pStyle w:val="TableParagraph"/>
              <w:ind w:left="107" w:right="107"/>
              <w:jc w:val="both"/>
              <w:rPr>
                <w:sz w:val="20"/>
              </w:rPr>
            </w:pPr>
            <w:r>
              <w:rPr>
                <w:sz w:val="20"/>
              </w:rPr>
              <w:t>1240</w:t>
            </w:r>
          </w:p>
        </w:tc>
        <w:tc>
          <w:tcPr>
            <w:tcW w:w="2965" w:type="dxa"/>
          </w:tcPr>
          <w:p w14:paraId="5D233BD1" w14:textId="77777777" w:rsidR="00CE0D94" w:rsidRDefault="00CE0D94" w:rsidP="00CD363C">
            <w:pPr>
              <w:pStyle w:val="TableParagraph"/>
              <w:tabs>
                <w:tab w:val="left" w:pos="1451"/>
                <w:tab w:val="left" w:pos="2597"/>
              </w:tabs>
              <w:ind w:left="106" w:right="107"/>
              <w:jc w:val="both"/>
              <w:rPr>
                <w:sz w:val="20"/>
              </w:rPr>
            </w:pPr>
            <w:r>
              <w:rPr>
                <w:sz w:val="20"/>
              </w:rPr>
              <w:t>Pamatlīdzekļu</w:t>
            </w:r>
            <w:r>
              <w:rPr>
                <w:sz w:val="20"/>
              </w:rPr>
              <w:tab/>
              <w:t>izveidošana</w:t>
            </w:r>
            <w:r>
              <w:rPr>
                <w:sz w:val="20"/>
              </w:rPr>
              <w:tab/>
            </w:r>
            <w:r>
              <w:rPr>
                <w:w w:val="95"/>
                <w:sz w:val="20"/>
              </w:rPr>
              <w:t xml:space="preserve">un </w:t>
            </w:r>
            <w:r>
              <w:rPr>
                <w:sz w:val="20"/>
              </w:rPr>
              <w:t>nepabeigtā</w:t>
            </w:r>
            <w:r>
              <w:rPr>
                <w:spacing w:val="-1"/>
                <w:sz w:val="20"/>
              </w:rPr>
              <w:t xml:space="preserve"> </w:t>
            </w:r>
            <w:r>
              <w:rPr>
                <w:sz w:val="20"/>
              </w:rPr>
              <w:t>būvniecība</w:t>
            </w:r>
          </w:p>
        </w:tc>
        <w:tc>
          <w:tcPr>
            <w:tcW w:w="1570" w:type="dxa"/>
          </w:tcPr>
          <w:p w14:paraId="2BBABC09" w14:textId="77777777" w:rsidR="00CE0D94" w:rsidRDefault="00CE0D94" w:rsidP="00CD363C">
            <w:pPr>
              <w:pStyle w:val="TableParagraph"/>
              <w:ind w:right="107"/>
              <w:jc w:val="both"/>
              <w:rPr>
                <w:i/>
                <w:sz w:val="19"/>
              </w:rPr>
            </w:pPr>
          </w:p>
          <w:p w14:paraId="35CC6975" w14:textId="77777777" w:rsidR="00CE0D94" w:rsidRDefault="00CE0D94" w:rsidP="00CD363C">
            <w:pPr>
              <w:pStyle w:val="TableParagraph"/>
              <w:ind w:left="106" w:right="107"/>
              <w:jc w:val="both"/>
              <w:rPr>
                <w:sz w:val="20"/>
              </w:rPr>
            </w:pPr>
            <w:r>
              <w:rPr>
                <w:sz w:val="20"/>
              </w:rPr>
              <w:t>525 000,00</w:t>
            </w:r>
          </w:p>
        </w:tc>
      </w:tr>
      <w:tr w:rsidR="00CE0D94" w14:paraId="6F0B2350" w14:textId="77777777" w:rsidTr="00FB6347">
        <w:trPr>
          <w:trHeight w:val="690"/>
        </w:trPr>
        <w:tc>
          <w:tcPr>
            <w:tcW w:w="816" w:type="dxa"/>
            <w:vMerge/>
            <w:tcBorders>
              <w:top w:val="nil"/>
            </w:tcBorders>
          </w:tcPr>
          <w:p w14:paraId="71A27B74" w14:textId="77777777" w:rsidR="00CE0D94" w:rsidRDefault="00CE0D94" w:rsidP="00CD363C">
            <w:pPr>
              <w:spacing w:after="0" w:line="240" w:lineRule="auto"/>
              <w:ind w:right="107"/>
              <w:jc w:val="both"/>
              <w:rPr>
                <w:sz w:val="2"/>
                <w:szCs w:val="2"/>
              </w:rPr>
            </w:pPr>
          </w:p>
        </w:tc>
        <w:tc>
          <w:tcPr>
            <w:tcW w:w="3292" w:type="dxa"/>
            <w:gridSpan w:val="4"/>
          </w:tcPr>
          <w:p w14:paraId="01670C8D" w14:textId="77777777" w:rsidR="00CE0D94" w:rsidRDefault="00CE0D94" w:rsidP="00CD363C">
            <w:pPr>
              <w:pStyle w:val="TableParagraph"/>
              <w:ind w:right="107"/>
              <w:jc w:val="both"/>
              <w:rPr>
                <w:i/>
                <w:sz w:val="19"/>
              </w:rPr>
            </w:pPr>
          </w:p>
          <w:p w14:paraId="695936FD" w14:textId="77777777" w:rsidR="00CE0D94" w:rsidRDefault="00CE0D94" w:rsidP="00CD363C">
            <w:pPr>
              <w:pStyle w:val="TableParagraph"/>
              <w:ind w:left="107" w:right="107"/>
              <w:jc w:val="both"/>
              <w:rPr>
                <w:sz w:val="20"/>
              </w:rPr>
            </w:pPr>
            <w:r>
              <w:rPr>
                <w:sz w:val="20"/>
              </w:rPr>
              <w:t>K Finanšu saistības</w:t>
            </w:r>
          </w:p>
        </w:tc>
        <w:tc>
          <w:tcPr>
            <w:tcW w:w="987" w:type="dxa"/>
          </w:tcPr>
          <w:p w14:paraId="1E9F89D7" w14:textId="77777777" w:rsidR="00CE0D94" w:rsidRDefault="00CE0D94" w:rsidP="00CD363C">
            <w:pPr>
              <w:pStyle w:val="TableParagraph"/>
              <w:ind w:right="107"/>
              <w:jc w:val="both"/>
              <w:rPr>
                <w:i/>
                <w:sz w:val="19"/>
              </w:rPr>
            </w:pPr>
          </w:p>
          <w:p w14:paraId="6977BAB2" w14:textId="77777777" w:rsidR="00CE0D94" w:rsidRDefault="00CE0D94" w:rsidP="00CD363C">
            <w:pPr>
              <w:pStyle w:val="TableParagraph"/>
              <w:ind w:right="107"/>
              <w:jc w:val="both"/>
              <w:rPr>
                <w:sz w:val="20"/>
              </w:rPr>
            </w:pPr>
            <w:r>
              <w:rPr>
                <w:sz w:val="20"/>
              </w:rPr>
              <w:t>5130</w:t>
            </w:r>
          </w:p>
        </w:tc>
        <w:tc>
          <w:tcPr>
            <w:tcW w:w="2965" w:type="dxa"/>
          </w:tcPr>
          <w:p w14:paraId="31422458" w14:textId="77777777" w:rsidR="00CE0D94" w:rsidRDefault="00CE0D94" w:rsidP="00CD363C">
            <w:pPr>
              <w:pStyle w:val="TableParagraph"/>
              <w:ind w:left="106" w:right="107"/>
              <w:jc w:val="both"/>
              <w:rPr>
                <w:sz w:val="20"/>
              </w:rPr>
            </w:pPr>
            <w:r>
              <w:rPr>
                <w:sz w:val="20"/>
              </w:rPr>
              <w:t>Ilgtermiņa saistības pret piegādātājiem un</w:t>
            </w:r>
          </w:p>
          <w:p w14:paraId="51790A1A" w14:textId="77777777" w:rsidR="00CE0D94" w:rsidRDefault="00CE0D94" w:rsidP="00CD363C">
            <w:pPr>
              <w:pStyle w:val="TableParagraph"/>
              <w:ind w:left="106" w:right="107"/>
              <w:jc w:val="both"/>
              <w:rPr>
                <w:sz w:val="20"/>
              </w:rPr>
            </w:pPr>
            <w:r>
              <w:rPr>
                <w:sz w:val="20"/>
              </w:rPr>
              <w:t>darbuzņēmējiem</w:t>
            </w:r>
          </w:p>
        </w:tc>
        <w:tc>
          <w:tcPr>
            <w:tcW w:w="1570" w:type="dxa"/>
          </w:tcPr>
          <w:p w14:paraId="2B8561E3" w14:textId="77777777" w:rsidR="00CE0D94" w:rsidRDefault="00CE0D94" w:rsidP="00CD363C">
            <w:pPr>
              <w:pStyle w:val="TableParagraph"/>
              <w:ind w:right="107"/>
              <w:jc w:val="both"/>
              <w:rPr>
                <w:i/>
                <w:sz w:val="19"/>
              </w:rPr>
            </w:pPr>
          </w:p>
          <w:p w14:paraId="3708FE28" w14:textId="77777777" w:rsidR="00CE0D94" w:rsidRDefault="00CE0D94" w:rsidP="00CD363C">
            <w:pPr>
              <w:pStyle w:val="TableParagraph"/>
              <w:ind w:right="107"/>
              <w:jc w:val="both"/>
              <w:rPr>
                <w:sz w:val="20"/>
              </w:rPr>
            </w:pPr>
            <w:r>
              <w:rPr>
                <w:sz w:val="20"/>
              </w:rPr>
              <w:t>525 000,00</w:t>
            </w:r>
          </w:p>
        </w:tc>
      </w:tr>
      <w:tr w:rsidR="00CE0D94" w14:paraId="434AB9B8" w14:textId="77777777" w:rsidTr="00FB6347">
        <w:trPr>
          <w:trHeight w:val="254"/>
        </w:trPr>
        <w:tc>
          <w:tcPr>
            <w:tcW w:w="816" w:type="dxa"/>
            <w:vMerge/>
            <w:tcBorders>
              <w:top w:val="nil"/>
            </w:tcBorders>
          </w:tcPr>
          <w:p w14:paraId="1956ABA7" w14:textId="77777777" w:rsidR="00CE0D94" w:rsidRDefault="00CE0D94" w:rsidP="00CD363C">
            <w:pPr>
              <w:spacing w:after="0" w:line="240" w:lineRule="auto"/>
              <w:ind w:right="107"/>
              <w:jc w:val="both"/>
              <w:rPr>
                <w:sz w:val="2"/>
                <w:szCs w:val="2"/>
              </w:rPr>
            </w:pPr>
          </w:p>
        </w:tc>
        <w:tc>
          <w:tcPr>
            <w:tcW w:w="3292" w:type="dxa"/>
            <w:gridSpan w:val="4"/>
          </w:tcPr>
          <w:p w14:paraId="2D03D540" w14:textId="77777777" w:rsidR="00CE0D94" w:rsidRDefault="00CE0D94" w:rsidP="00CD363C">
            <w:pPr>
              <w:pStyle w:val="TableParagraph"/>
              <w:ind w:left="107" w:right="107"/>
              <w:jc w:val="both"/>
              <w:rPr>
                <w:sz w:val="20"/>
              </w:rPr>
            </w:pPr>
            <w:r>
              <w:rPr>
                <w:sz w:val="20"/>
              </w:rPr>
              <w:t>D Partnerības aktīvs - segas pamats</w:t>
            </w:r>
          </w:p>
        </w:tc>
        <w:tc>
          <w:tcPr>
            <w:tcW w:w="987" w:type="dxa"/>
          </w:tcPr>
          <w:p w14:paraId="0718B8D8" w14:textId="77777777" w:rsidR="00CE0D94" w:rsidRDefault="00CE0D94" w:rsidP="00CD363C">
            <w:pPr>
              <w:pStyle w:val="TableParagraph"/>
              <w:ind w:right="107"/>
              <w:jc w:val="both"/>
              <w:rPr>
                <w:sz w:val="20"/>
              </w:rPr>
            </w:pPr>
            <w:r>
              <w:rPr>
                <w:sz w:val="20"/>
              </w:rPr>
              <w:t>1213</w:t>
            </w:r>
          </w:p>
        </w:tc>
        <w:tc>
          <w:tcPr>
            <w:tcW w:w="2965" w:type="dxa"/>
          </w:tcPr>
          <w:p w14:paraId="5A77D99C" w14:textId="77777777" w:rsidR="00CE0D94" w:rsidRDefault="00CE0D94" w:rsidP="00CD363C">
            <w:pPr>
              <w:pStyle w:val="TableParagraph"/>
              <w:ind w:left="106" w:right="107"/>
              <w:jc w:val="both"/>
              <w:rPr>
                <w:sz w:val="20"/>
              </w:rPr>
            </w:pPr>
            <w:r>
              <w:rPr>
                <w:sz w:val="20"/>
              </w:rPr>
              <w:t>Transporta būves</w:t>
            </w:r>
          </w:p>
        </w:tc>
        <w:tc>
          <w:tcPr>
            <w:tcW w:w="1570" w:type="dxa"/>
          </w:tcPr>
          <w:p w14:paraId="42E416C7" w14:textId="77777777" w:rsidR="00CE0D94" w:rsidRDefault="00CE0D94" w:rsidP="00CD363C">
            <w:pPr>
              <w:pStyle w:val="TableParagraph"/>
              <w:ind w:right="107"/>
              <w:jc w:val="both"/>
              <w:rPr>
                <w:sz w:val="20"/>
              </w:rPr>
            </w:pPr>
            <w:r>
              <w:rPr>
                <w:sz w:val="20"/>
              </w:rPr>
              <w:t>940 000,00</w:t>
            </w:r>
          </w:p>
        </w:tc>
      </w:tr>
      <w:tr w:rsidR="00CE0D94" w14:paraId="5793A118" w14:textId="77777777" w:rsidTr="00FB6347">
        <w:trPr>
          <w:trHeight w:val="460"/>
        </w:trPr>
        <w:tc>
          <w:tcPr>
            <w:tcW w:w="816" w:type="dxa"/>
            <w:vMerge/>
            <w:tcBorders>
              <w:top w:val="nil"/>
            </w:tcBorders>
          </w:tcPr>
          <w:p w14:paraId="24C39120" w14:textId="77777777" w:rsidR="00CE0D94" w:rsidRDefault="00CE0D94" w:rsidP="00CD363C">
            <w:pPr>
              <w:spacing w:after="0" w:line="240" w:lineRule="auto"/>
              <w:ind w:right="107"/>
              <w:jc w:val="both"/>
              <w:rPr>
                <w:sz w:val="2"/>
                <w:szCs w:val="2"/>
              </w:rPr>
            </w:pPr>
          </w:p>
        </w:tc>
        <w:tc>
          <w:tcPr>
            <w:tcW w:w="3292" w:type="dxa"/>
            <w:gridSpan w:val="4"/>
          </w:tcPr>
          <w:p w14:paraId="7DA344D3" w14:textId="77777777" w:rsidR="00CE0D94" w:rsidRDefault="00CE0D94" w:rsidP="00CD363C">
            <w:pPr>
              <w:pStyle w:val="TableParagraph"/>
              <w:ind w:left="107" w:right="107"/>
              <w:jc w:val="both"/>
              <w:rPr>
                <w:sz w:val="20"/>
              </w:rPr>
            </w:pPr>
            <w:r>
              <w:rPr>
                <w:sz w:val="20"/>
              </w:rPr>
              <w:t>D Partnerības aktīvs - sākotnējais</w:t>
            </w:r>
          </w:p>
          <w:p w14:paraId="7B944870" w14:textId="77777777" w:rsidR="00CE0D94" w:rsidRDefault="00CE0D94" w:rsidP="00CD363C">
            <w:pPr>
              <w:pStyle w:val="TableParagraph"/>
              <w:ind w:left="107" w:right="107"/>
              <w:jc w:val="both"/>
              <w:rPr>
                <w:sz w:val="20"/>
              </w:rPr>
            </w:pPr>
            <w:r>
              <w:rPr>
                <w:sz w:val="20"/>
              </w:rPr>
              <w:t>segums</w:t>
            </w:r>
          </w:p>
        </w:tc>
        <w:tc>
          <w:tcPr>
            <w:tcW w:w="987" w:type="dxa"/>
          </w:tcPr>
          <w:p w14:paraId="02ABDF36" w14:textId="77777777" w:rsidR="00CE0D94" w:rsidRDefault="00CE0D94" w:rsidP="00CD363C">
            <w:pPr>
              <w:pStyle w:val="TableParagraph"/>
              <w:ind w:right="107"/>
              <w:jc w:val="both"/>
              <w:rPr>
                <w:sz w:val="20"/>
              </w:rPr>
            </w:pPr>
            <w:r>
              <w:rPr>
                <w:sz w:val="20"/>
              </w:rPr>
              <w:t>1213</w:t>
            </w:r>
          </w:p>
        </w:tc>
        <w:tc>
          <w:tcPr>
            <w:tcW w:w="2965" w:type="dxa"/>
          </w:tcPr>
          <w:p w14:paraId="169ECB19" w14:textId="77777777" w:rsidR="00CE0D94" w:rsidRDefault="00CE0D94" w:rsidP="00CD363C">
            <w:pPr>
              <w:pStyle w:val="TableParagraph"/>
              <w:ind w:left="106" w:right="107"/>
              <w:jc w:val="both"/>
              <w:rPr>
                <w:sz w:val="20"/>
              </w:rPr>
            </w:pPr>
            <w:r>
              <w:rPr>
                <w:sz w:val="20"/>
              </w:rPr>
              <w:t>Transporta būves</w:t>
            </w:r>
          </w:p>
        </w:tc>
        <w:tc>
          <w:tcPr>
            <w:tcW w:w="1570" w:type="dxa"/>
          </w:tcPr>
          <w:p w14:paraId="64E24590" w14:textId="77777777" w:rsidR="00CE0D94" w:rsidRDefault="00CE0D94" w:rsidP="00CD363C">
            <w:pPr>
              <w:pStyle w:val="TableParagraph"/>
              <w:ind w:right="107"/>
              <w:jc w:val="both"/>
              <w:rPr>
                <w:sz w:val="20"/>
              </w:rPr>
            </w:pPr>
            <w:r>
              <w:rPr>
                <w:sz w:val="20"/>
              </w:rPr>
              <w:t>110 000,00</w:t>
            </w:r>
          </w:p>
        </w:tc>
      </w:tr>
      <w:tr w:rsidR="00CE0D94" w14:paraId="7F084670" w14:textId="77777777" w:rsidTr="00FB6347">
        <w:trPr>
          <w:trHeight w:val="460"/>
        </w:trPr>
        <w:tc>
          <w:tcPr>
            <w:tcW w:w="816" w:type="dxa"/>
            <w:vMerge/>
            <w:tcBorders>
              <w:top w:val="nil"/>
            </w:tcBorders>
          </w:tcPr>
          <w:p w14:paraId="5597F241" w14:textId="77777777" w:rsidR="00CE0D94" w:rsidRDefault="00CE0D94" w:rsidP="00CD363C">
            <w:pPr>
              <w:spacing w:after="0" w:line="240" w:lineRule="auto"/>
              <w:ind w:right="107"/>
              <w:jc w:val="both"/>
              <w:rPr>
                <w:sz w:val="2"/>
                <w:szCs w:val="2"/>
              </w:rPr>
            </w:pPr>
          </w:p>
        </w:tc>
        <w:tc>
          <w:tcPr>
            <w:tcW w:w="3292" w:type="dxa"/>
            <w:gridSpan w:val="4"/>
          </w:tcPr>
          <w:p w14:paraId="41358DF7" w14:textId="77777777" w:rsidR="00CE0D94" w:rsidRDefault="00CE0D94" w:rsidP="00CD363C">
            <w:pPr>
              <w:pStyle w:val="TableParagraph"/>
              <w:ind w:left="107" w:right="107"/>
              <w:jc w:val="both"/>
              <w:rPr>
                <w:sz w:val="20"/>
              </w:rPr>
            </w:pPr>
            <w:r>
              <w:rPr>
                <w:sz w:val="20"/>
              </w:rPr>
              <w:t>K Partnerības aktīvs – ceļa segas</w:t>
            </w:r>
          </w:p>
          <w:p w14:paraId="3E941B37" w14:textId="77777777" w:rsidR="00CE0D94" w:rsidRDefault="00CE0D94" w:rsidP="00CD363C">
            <w:pPr>
              <w:pStyle w:val="TableParagraph"/>
              <w:ind w:left="107" w:right="107"/>
              <w:jc w:val="both"/>
              <w:rPr>
                <w:sz w:val="20"/>
              </w:rPr>
            </w:pPr>
            <w:r>
              <w:rPr>
                <w:sz w:val="20"/>
              </w:rPr>
              <w:t>pamats un ceļa segums</w:t>
            </w:r>
          </w:p>
        </w:tc>
        <w:tc>
          <w:tcPr>
            <w:tcW w:w="987" w:type="dxa"/>
          </w:tcPr>
          <w:p w14:paraId="52E4E8B1" w14:textId="77777777" w:rsidR="00CE0D94" w:rsidRDefault="00CE0D94" w:rsidP="00CD363C">
            <w:pPr>
              <w:pStyle w:val="TableParagraph"/>
              <w:ind w:right="107"/>
              <w:jc w:val="both"/>
              <w:rPr>
                <w:sz w:val="20"/>
              </w:rPr>
            </w:pPr>
            <w:r>
              <w:rPr>
                <w:sz w:val="20"/>
              </w:rPr>
              <w:t>1240</w:t>
            </w:r>
          </w:p>
        </w:tc>
        <w:tc>
          <w:tcPr>
            <w:tcW w:w="2965" w:type="dxa"/>
          </w:tcPr>
          <w:p w14:paraId="32BFB4BB" w14:textId="77777777" w:rsidR="00CE0D94" w:rsidRDefault="00CE0D94" w:rsidP="00CD363C">
            <w:pPr>
              <w:pStyle w:val="TableParagraph"/>
              <w:ind w:left="106" w:right="107"/>
              <w:jc w:val="both"/>
              <w:rPr>
                <w:sz w:val="20"/>
              </w:rPr>
            </w:pPr>
            <w:r>
              <w:rPr>
                <w:sz w:val="20"/>
              </w:rPr>
              <w:t>Pamatlīdzekļu izveidošana un</w:t>
            </w:r>
          </w:p>
          <w:p w14:paraId="7F852905" w14:textId="77777777" w:rsidR="00CE0D94" w:rsidRDefault="00CE0D94" w:rsidP="00CD363C">
            <w:pPr>
              <w:pStyle w:val="TableParagraph"/>
              <w:ind w:left="106" w:right="107"/>
              <w:jc w:val="both"/>
              <w:rPr>
                <w:sz w:val="20"/>
              </w:rPr>
            </w:pPr>
            <w:r>
              <w:rPr>
                <w:sz w:val="20"/>
              </w:rPr>
              <w:t>nepabeigtā būvniecība</w:t>
            </w:r>
          </w:p>
        </w:tc>
        <w:tc>
          <w:tcPr>
            <w:tcW w:w="1570" w:type="dxa"/>
          </w:tcPr>
          <w:p w14:paraId="3283A2C6" w14:textId="77777777" w:rsidR="00CE0D94" w:rsidRDefault="00CE0D94" w:rsidP="00CD363C">
            <w:pPr>
              <w:pStyle w:val="TableParagraph"/>
              <w:ind w:right="107"/>
              <w:jc w:val="both"/>
              <w:rPr>
                <w:sz w:val="20"/>
              </w:rPr>
            </w:pPr>
            <w:r>
              <w:rPr>
                <w:sz w:val="20"/>
              </w:rPr>
              <w:t>1 050 000,00</w:t>
            </w:r>
          </w:p>
        </w:tc>
      </w:tr>
      <w:tr w:rsidR="00CE0D94" w14:paraId="2CC61DFD" w14:textId="77777777" w:rsidTr="00FB6347">
        <w:trPr>
          <w:trHeight w:val="254"/>
        </w:trPr>
        <w:tc>
          <w:tcPr>
            <w:tcW w:w="816" w:type="dxa"/>
            <w:vMerge/>
            <w:tcBorders>
              <w:top w:val="nil"/>
            </w:tcBorders>
          </w:tcPr>
          <w:p w14:paraId="7B8345F2" w14:textId="77777777" w:rsidR="00CE0D94" w:rsidRDefault="00CE0D94" w:rsidP="00CD363C">
            <w:pPr>
              <w:spacing w:after="0" w:line="240" w:lineRule="auto"/>
              <w:ind w:right="107"/>
              <w:jc w:val="both"/>
              <w:rPr>
                <w:sz w:val="2"/>
                <w:szCs w:val="2"/>
              </w:rPr>
            </w:pPr>
          </w:p>
        </w:tc>
        <w:tc>
          <w:tcPr>
            <w:tcW w:w="8814" w:type="dxa"/>
            <w:gridSpan w:val="7"/>
          </w:tcPr>
          <w:p w14:paraId="761F6081" w14:textId="77777777" w:rsidR="00CE0D94" w:rsidRDefault="00CE0D94" w:rsidP="00CD363C">
            <w:pPr>
              <w:pStyle w:val="TableParagraph"/>
              <w:ind w:left="107" w:right="107"/>
              <w:jc w:val="both"/>
              <w:rPr>
                <w:b/>
                <w:sz w:val="20"/>
              </w:rPr>
            </w:pPr>
            <w:r>
              <w:rPr>
                <w:b/>
                <w:sz w:val="20"/>
              </w:rPr>
              <w:t>Procentu izdevumi</w:t>
            </w:r>
          </w:p>
        </w:tc>
      </w:tr>
      <w:tr w:rsidR="00CE0D94" w14:paraId="67901A3D" w14:textId="77777777" w:rsidTr="00FB6347">
        <w:trPr>
          <w:trHeight w:val="256"/>
        </w:trPr>
        <w:tc>
          <w:tcPr>
            <w:tcW w:w="816" w:type="dxa"/>
            <w:vMerge/>
            <w:tcBorders>
              <w:top w:val="nil"/>
            </w:tcBorders>
          </w:tcPr>
          <w:p w14:paraId="477946C1" w14:textId="77777777" w:rsidR="00CE0D94" w:rsidRDefault="00CE0D94" w:rsidP="00CD363C">
            <w:pPr>
              <w:spacing w:after="0" w:line="240" w:lineRule="auto"/>
              <w:ind w:right="107"/>
              <w:jc w:val="both"/>
              <w:rPr>
                <w:sz w:val="2"/>
                <w:szCs w:val="2"/>
              </w:rPr>
            </w:pPr>
          </w:p>
        </w:tc>
        <w:tc>
          <w:tcPr>
            <w:tcW w:w="3292" w:type="dxa"/>
            <w:gridSpan w:val="4"/>
          </w:tcPr>
          <w:p w14:paraId="129C3DC5" w14:textId="77777777" w:rsidR="00CE0D94" w:rsidRDefault="00CE0D94" w:rsidP="00CD363C">
            <w:pPr>
              <w:pStyle w:val="TableParagraph"/>
              <w:ind w:left="107" w:right="107"/>
              <w:jc w:val="both"/>
              <w:rPr>
                <w:sz w:val="20"/>
              </w:rPr>
            </w:pPr>
            <w:r>
              <w:rPr>
                <w:sz w:val="20"/>
              </w:rPr>
              <w:t>D Procentu izdevumi</w:t>
            </w:r>
          </w:p>
        </w:tc>
        <w:tc>
          <w:tcPr>
            <w:tcW w:w="987" w:type="dxa"/>
          </w:tcPr>
          <w:p w14:paraId="0EFA7860" w14:textId="77777777" w:rsidR="00CE0D94" w:rsidRDefault="00CE0D94" w:rsidP="00CD363C">
            <w:pPr>
              <w:pStyle w:val="TableParagraph"/>
              <w:ind w:right="107"/>
              <w:jc w:val="both"/>
              <w:rPr>
                <w:sz w:val="20"/>
              </w:rPr>
            </w:pPr>
            <w:r>
              <w:rPr>
                <w:sz w:val="20"/>
              </w:rPr>
              <w:t>8220</w:t>
            </w:r>
          </w:p>
        </w:tc>
        <w:tc>
          <w:tcPr>
            <w:tcW w:w="2965" w:type="dxa"/>
          </w:tcPr>
          <w:p w14:paraId="39E8AB21" w14:textId="77777777" w:rsidR="00CE0D94" w:rsidRDefault="00CE0D94" w:rsidP="00CD363C">
            <w:pPr>
              <w:pStyle w:val="TableParagraph"/>
              <w:ind w:left="106" w:right="107"/>
              <w:jc w:val="both"/>
              <w:rPr>
                <w:sz w:val="20"/>
              </w:rPr>
            </w:pPr>
            <w:r>
              <w:rPr>
                <w:sz w:val="20"/>
              </w:rPr>
              <w:t>Procentu izdevumi</w:t>
            </w:r>
          </w:p>
        </w:tc>
        <w:tc>
          <w:tcPr>
            <w:tcW w:w="1570" w:type="dxa"/>
          </w:tcPr>
          <w:p w14:paraId="2DF9E9EE" w14:textId="77777777" w:rsidR="00CE0D94" w:rsidRDefault="00CE0D94" w:rsidP="00CD363C">
            <w:pPr>
              <w:pStyle w:val="TableParagraph"/>
              <w:ind w:right="107"/>
              <w:jc w:val="both"/>
              <w:rPr>
                <w:sz w:val="20"/>
              </w:rPr>
            </w:pPr>
            <w:r>
              <w:rPr>
                <w:sz w:val="20"/>
              </w:rPr>
              <w:t>32 440,99</w:t>
            </w:r>
          </w:p>
        </w:tc>
      </w:tr>
      <w:tr w:rsidR="00CE0D94" w14:paraId="6FFB5F34" w14:textId="77777777" w:rsidTr="00FB6347">
        <w:trPr>
          <w:trHeight w:val="688"/>
        </w:trPr>
        <w:tc>
          <w:tcPr>
            <w:tcW w:w="816" w:type="dxa"/>
            <w:vMerge/>
            <w:tcBorders>
              <w:top w:val="nil"/>
            </w:tcBorders>
          </w:tcPr>
          <w:p w14:paraId="1E4B7AA4" w14:textId="77777777" w:rsidR="00CE0D94" w:rsidRDefault="00CE0D94" w:rsidP="00CD363C">
            <w:pPr>
              <w:spacing w:after="0" w:line="240" w:lineRule="auto"/>
              <w:ind w:right="107"/>
              <w:jc w:val="both"/>
              <w:rPr>
                <w:sz w:val="2"/>
                <w:szCs w:val="2"/>
              </w:rPr>
            </w:pPr>
          </w:p>
        </w:tc>
        <w:tc>
          <w:tcPr>
            <w:tcW w:w="3292" w:type="dxa"/>
            <w:gridSpan w:val="4"/>
          </w:tcPr>
          <w:p w14:paraId="50ACAF4F" w14:textId="77777777" w:rsidR="00CE0D94" w:rsidRDefault="00CE0D94" w:rsidP="00CD363C">
            <w:pPr>
              <w:pStyle w:val="TableParagraph"/>
              <w:ind w:right="107"/>
              <w:jc w:val="both"/>
              <w:rPr>
                <w:i/>
                <w:sz w:val="19"/>
              </w:rPr>
            </w:pPr>
          </w:p>
          <w:p w14:paraId="0BCE395A" w14:textId="77777777" w:rsidR="00CE0D94" w:rsidRDefault="00CE0D94" w:rsidP="00CD363C">
            <w:pPr>
              <w:pStyle w:val="TableParagraph"/>
              <w:ind w:left="107" w:right="107"/>
              <w:jc w:val="both"/>
              <w:rPr>
                <w:sz w:val="20"/>
              </w:rPr>
            </w:pPr>
            <w:r>
              <w:rPr>
                <w:sz w:val="20"/>
              </w:rPr>
              <w:t>K Finanšu saistības</w:t>
            </w:r>
          </w:p>
        </w:tc>
        <w:tc>
          <w:tcPr>
            <w:tcW w:w="987" w:type="dxa"/>
          </w:tcPr>
          <w:p w14:paraId="017AE866" w14:textId="77777777" w:rsidR="00CE0D94" w:rsidRDefault="00CE0D94" w:rsidP="00CD363C">
            <w:pPr>
              <w:pStyle w:val="TableParagraph"/>
              <w:ind w:right="107"/>
              <w:jc w:val="both"/>
              <w:rPr>
                <w:i/>
                <w:sz w:val="19"/>
              </w:rPr>
            </w:pPr>
          </w:p>
          <w:p w14:paraId="63323518" w14:textId="77777777" w:rsidR="00CE0D94" w:rsidRDefault="00CE0D94" w:rsidP="00CD363C">
            <w:pPr>
              <w:pStyle w:val="TableParagraph"/>
              <w:ind w:right="107"/>
              <w:jc w:val="both"/>
              <w:rPr>
                <w:sz w:val="20"/>
              </w:rPr>
            </w:pPr>
            <w:r>
              <w:rPr>
                <w:sz w:val="20"/>
              </w:rPr>
              <w:t>5310</w:t>
            </w:r>
          </w:p>
        </w:tc>
        <w:tc>
          <w:tcPr>
            <w:tcW w:w="2965" w:type="dxa"/>
          </w:tcPr>
          <w:p w14:paraId="182BC1B9" w14:textId="77777777" w:rsidR="00CE0D94" w:rsidRDefault="00CE0D94" w:rsidP="00CD363C">
            <w:pPr>
              <w:pStyle w:val="TableParagraph"/>
              <w:ind w:left="106" w:right="107"/>
              <w:jc w:val="both"/>
              <w:rPr>
                <w:sz w:val="20"/>
              </w:rPr>
            </w:pPr>
            <w:r>
              <w:rPr>
                <w:sz w:val="20"/>
              </w:rPr>
              <w:t>Īstermiņa saistības pret</w:t>
            </w:r>
          </w:p>
          <w:p w14:paraId="61B399A4" w14:textId="77777777" w:rsidR="00CE0D94" w:rsidRDefault="00CE0D94" w:rsidP="00CD363C">
            <w:pPr>
              <w:pStyle w:val="TableParagraph"/>
              <w:ind w:left="106" w:right="107"/>
              <w:jc w:val="both"/>
              <w:rPr>
                <w:sz w:val="20"/>
              </w:rPr>
            </w:pPr>
            <w:r>
              <w:rPr>
                <w:sz w:val="20"/>
              </w:rPr>
              <w:t>piegādātājiem un darbuzņēmējiem</w:t>
            </w:r>
          </w:p>
        </w:tc>
        <w:tc>
          <w:tcPr>
            <w:tcW w:w="1570" w:type="dxa"/>
          </w:tcPr>
          <w:p w14:paraId="421A14B3" w14:textId="77777777" w:rsidR="00CE0D94" w:rsidRDefault="00CE0D94" w:rsidP="00CD363C">
            <w:pPr>
              <w:pStyle w:val="TableParagraph"/>
              <w:ind w:right="107"/>
              <w:jc w:val="both"/>
              <w:rPr>
                <w:i/>
                <w:sz w:val="19"/>
              </w:rPr>
            </w:pPr>
          </w:p>
          <w:p w14:paraId="7D98F4FC" w14:textId="77777777" w:rsidR="00CE0D94" w:rsidRDefault="00CE0D94" w:rsidP="00CD363C">
            <w:pPr>
              <w:pStyle w:val="TableParagraph"/>
              <w:ind w:right="107"/>
              <w:jc w:val="both"/>
              <w:rPr>
                <w:sz w:val="20"/>
              </w:rPr>
            </w:pPr>
            <w:r>
              <w:rPr>
                <w:sz w:val="20"/>
              </w:rPr>
              <w:t>32 440,99</w:t>
            </w:r>
          </w:p>
        </w:tc>
      </w:tr>
      <w:tr w:rsidR="00CE0D94" w14:paraId="68B1D4FE" w14:textId="77777777" w:rsidTr="00FB6347">
        <w:trPr>
          <w:trHeight w:val="256"/>
        </w:trPr>
        <w:tc>
          <w:tcPr>
            <w:tcW w:w="816" w:type="dxa"/>
            <w:vMerge/>
            <w:tcBorders>
              <w:top w:val="nil"/>
            </w:tcBorders>
          </w:tcPr>
          <w:p w14:paraId="1980513E" w14:textId="77777777" w:rsidR="00CE0D94" w:rsidRDefault="00CE0D94" w:rsidP="00CD363C">
            <w:pPr>
              <w:spacing w:after="0" w:line="240" w:lineRule="auto"/>
              <w:ind w:right="107"/>
              <w:jc w:val="both"/>
              <w:rPr>
                <w:sz w:val="2"/>
                <w:szCs w:val="2"/>
              </w:rPr>
            </w:pPr>
          </w:p>
        </w:tc>
        <w:tc>
          <w:tcPr>
            <w:tcW w:w="8814" w:type="dxa"/>
            <w:gridSpan w:val="7"/>
          </w:tcPr>
          <w:p w14:paraId="6AB97B08"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1FBFC440" w14:textId="77777777" w:rsidTr="00FB6347">
        <w:trPr>
          <w:trHeight w:val="690"/>
        </w:trPr>
        <w:tc>
          <w:tcPr>
            <w:tcW w:w="816" w:type="dxa"/>
            <w:vMerge/>
            <w:tcBorders>
              <w:top w:val="nil"/>
            </w:tcBorders>
          </w:tcPr>
          <w:p w14:paraId="0945147B" w14:textId="77777777" w:rsidR="00CE0D94" w:rsidRDefault="00CE0D94" w:rsidP="00CD363C">
            <w:pPr>
              <w:spacing w:after="0" w:line="240" w:lineRule="auto"/>
              <w:ind w:right="107"/>
              <w:jc w:val="both"/>
              <w:rPr>
                <w:sz w:val="2"/>
                <w:szCs w:val="2"/>
              </w:rPr>
            </w:pPr>
          </w:p>
        </w:tc>
        <w:tc>
          <w:tcPr>
            <w:tcW w:w="3292" w:type="dxa"/>
            <w:gridSpan w:val="4"/>
          </w:tcPr>
          <w:p w14:paraId="3A2F5DFE" w14:textId="77777777" w:rsidR="00CE0D94" w:rsidRDefault="00CE0D94" w:rsidP="00CD363C">
            <w:pPr>
              <w:pStyle w:val="TableParagraph"/>
              <w:ind w:right="107"/>
              <w:jc w:val="both"/>
              <w:rPr>
                <w:i/>
                <w:sz w:val="19"/>
              </w:rPr>
            </w:pPr>
          </w:p>
          <w:p w14:paraId="4635B2AA" w14:textId="77777777" w:rsidR="00CE0D94" w:rsidRDefault="00CE0D94" w:rsidP="00CD363C">
            <w:pPr>
              <w:pStyle w:val="TableParagraph"/>
              <w:ind w:left="107" w:right="107"/>
              <w:jc w:val="both"/>
              <w:rPr>
                <w:sz w:val="20"/>
              </w:rPr>
            </w:pPr>
            <w:r>
              <w:rPr>
                <w:sz w:val="20"/>
              </w:rPr>
              <w:t>D Finanšu saistības</w:t>
            </w:r>
          </w:p>
        </w:tc>
        <w:tc>
          <w:tcPr>
            <w:tcW w:w="987" w:type="dxa"/>
          </w:tcPr>
          <w:p w14:paraId="1513F1FC" w14:textId="77777777" w:rsidR="00CE0D94" w:rsidRDefault="00CE0D94" w:rsidP="00CD363C">
            <w:pPr>
              <w:pStyle w:val="TableParagraph"/>
              <w:ind w:right="107"/>
              <w:jc w:val="both"/>
              <w:rPr>
                <w:i/>
                <w:sz w:val="19"/>
              </w:rPr>
            </w:pPr>
          </w:p>
          <w:p w14:paraId="39371C4D" w14:textId="77777777" w:rsidR="00CE0D94" w:rsidRDefault="00CE0D94" w:rsidP="00CD363C">
            <w:pPr>
              <w:pStyle w:val="TableParagraph"/>
              <w:ind w:right="107"/>
              <w:jc w:val="both"/>
              <w:rPr>
                <w:sz w:val="20"/>
              </w:rPr>
            </w:pPr>
            <w:r>
              <w:rPr>
                <w:sz w:val="20"/>
              </w:rPr>
              <w:t>5130</w:t>
            </w:r>
          </w:p>
        </w:tc>
        <w:tc>
          <w:tcPr>
            <w:tcW w:w="2965" w:type="dxa"/>
          </w:tcPr>
          <w:p w14:paraId="124581F4" w14:textId="77777777" w:rsidR="00CE0D94" w:rsidRDefault="00CE0D94" w:rsidP="00CD363C">
            <w:pPr>
              <w:pStyle w:val="TableParagraph"/>
              <w:ind w:left="106" w:right="107"/>
              <w:jc w:val="both"/>
              <w:rPr>
                <w:sz w:val="20"/>
              </w:rPr>
            </w:pPr>
            <w:r>
              <w:rPr>
                <w:sz w:val="20"/>
              </w:rPr>
              <w:t>Ilgtermiņa saistības pret piegādātajiem un</w:t>
            </w:r>
          </w:p>
          <w:p w14:paraId="0F97282A" w14:textId="77777777" w:rsidR="00CE0D94" w:rsidRDefault="00CE0D94" w:rsidP="00CD363C">
            <w:pPr>
              <w:pStyle w:val="TableParagraph"/>
              <w:ind w:left="106" w:right="107"/>
              <w:jc w:val="both"/>
              <w:rPr>
                <w:sz w:val="20"/>
              </w:rPr>
            </w:pPr>
            <w:r>
              <w:rPr>
                <w:sz w:val="20"/>
              </w:rPr>
              <w:t>darbuzņēmējiem</w:t>
            </w:r>
          </w:p>
        </w:tc>
        <w:tc>
          <w:tcPr>
            <w:tcW w:w="1570" w:type="dxa"/>
          </w:tcPr>
          <w:p w14:paraId="34EC816A" w14:textId="77777777" w:rsidR="00CE0D94" w:rsidRDefault="00CE0D94" w:rsidP="00CD363C">
            <w:pPr>
              <w:pStyle w:val="TableParagraph"/>
              <w:ind w:right="107"/>
              <w:jc w:val="both"/>
              <w:rPr>
                <w:i/>
                <w:sz w:val="19"/>
              </w:rPr>
            </w:pPr>
          </w:p>
          <w:p w14:paraId="702D9526" w14:textId="77777777" w:rsidR="00CE0D94" w:rsidRDefault="00CE0D94" w:rsidP="00CD363C">
            <w:pPr>
              <w:pStyle w:val="TableParagraph"/>
              <w:ind w:right="107"/>
              <w:jc w:val="both"/>
              <w:rPr>
                <w:sz w:val="20"/>
              </w:rPr>
            </w:pPr>
            <w:r>
              <w:rPr>
                <w:sz w:val="20"/>
              </w:rPr>
              <w:t>167 559,01</w:t>
            </w:r>
          </w:p>
        </w:tc>
      </w:tr>
      <w:tr w:rsidR="00CE0D94" w14:paraId="4714978D" w14:textId="77777777" w:rsidTr="00FB6347">
        <w:trPr>
          <w:trHeight w:val="688"/>
        </w:trPr>
        <w:tc>
          <w:tcPr>
            <w:tcW w:w="816" w:type="dxa"/>
            <w:vMerge/>
            <w:tcBorders>
              <w:top w:val="nil"/>
            </w:tcBorders>
          </w:tcPr>
          <w:p w14:paraId="1AD87F07" w14:textId="77777777" w:rsidR="00CE0D94" w:rsidRDefault="00CE0D94" w:rsidP="00CD363C">
            <w:pPr>
              <w:spacing w:after="0" w:line="240" w:lineRule="auto"/>
              <w:ind w:right="107"/>
              <w:jc w:val="both"/>
              <w:rPr>
                <w:sz w:val="2"/>
                <w:szCs w:val="2"/>
              </w:rPr>
            </w:pPr>
          </w:p>
        </w:tc>
        <w:tc>
          <w:tcPr>
            <w:tcW w:w="3292" w:type="dxa"/>
            <w:gridSpan w:val="4"/>
          </w:tcPr>
          <w:p w14:paraId="7E8DF6B9" w14:textId="77777777" w:rsidR="00CE0D94" w:rsidRDefault="00CE0D94" w:rsidP="00CD363C">
            <w:pPr>
              <w:pStyle w:val="TableParagraph"/>
              <w:ind w:right="107"/>
              <w:jc w:val="both"/>
              <w:rPr>
                <w:i/>
                <w:sz w:val="18"/>
              </w:rPr>
            </w:pPr>
          </w:p>
          <w:p w14:paraId="273F067A" w14:textId="77777777" w:rsidR="00CE0D94" w:rsidRDefault="00CE0D94" w:rsidP="00CD363C">
            <w:pPr>
              <w:pStyle w:val="TableParagraph"/>
              <w:ind w:left="107" w:right="107"/>
              <w:jc w:val="both"/>
              <w:rPr>
                <w:sz w:val="20"/>
              </w:rPr>
            </w:pPr>
            <w:r>
              <w:rPr>
                <w:sz w:val="20"/>
              </w:rPr>
              <w:t>K Finanšu saistības</w:t>
            </w:r>
          </w:p>
        </w:tc>
        <w:tc>
          <w:tcPr>
            <w:tcW w:w="987" w:type="dxa"/>
          </w:tcPr>
          <w:p w14:paraId="37E8461F" w14:textId="77777777" w:rsidR="00CE0D94" w:rsidRDefault="00CE0D94" w:rsidP="00CD363C">
            <w:pPr>
              <w:pStyle w:val="TableParagraph"/>
              <w:ind w:right="107"/>
              <w:jc w:val="both"/>
              <w:rPr>
                <w:i/>
                <w:sz w:val="18"/>
              </w:rPr>
            </w:pPr>
          </w:p>
          <w:p w14:paraId="64D6D7E5" w14:textId="77777777" w:rsidR="00CE0D94" w:rsidRDefault="00CE0D94" w:rsidP="00CD363C">
            <w:pPr>
              <w:pStyle w:val="TableParagraph"/>
              <w:ind w:right="107"/>
              <w:jc w:val="both"/>
              <w:rPr>
                <w:sz w:val="20"/>
              </w:rPr>
            </w:pPr>
            <w:r>
              <w:rPr>
                <w:sz w:val="20"/>
              </w:rPr>
              <w:t>5310</w:t>
            </w:r>
          </w:p>
        </w:tc>
        <w:tc>
          <w:tcPr>
            <w:tcW w:w="2965" w:type="dxa"/>
          </w:tcPr>
          <w:p w14:paraId="212554B8" w14:textId="77777777" w:rsidR="00CE0D94" w:rsidRDefault="00CE0D94" w:rsidP="00CD363C">
            <w:pPr>
              <w:pStyle w:val="TableParagraph"/>
              <w:ind w:left="106" w:right="107"/>
              <w:jc w:val="both"/>
              <w:rPr>
                <w:sz w:val="20"/>
              </w:rPr>
            </w:pPr>
            <w:r>
              <w:rPr>
                <w:sz w:val="20"/>
              </w:rPr>
              <w:t>Īstermiņa saistības pret piegādātājiem un</w:t>
            </w:r>
          </w:p>
          <w:p w14:paraId="302FD93B" w14:textId="77777777" w:rsidR="00CE0D94" w:rsidRDefault="00CE0D94" w:rsidP="00CD363C">
            <w:pPr>
              <w:pStyle w:val="TableParagraph"/>
              <w:ind w:left="106" w:right="107"/>
              <w:jc w:val="both"/>
              <w:rPr>
                <w:sz w:val="20"/>
              </w:rPr>
            </w:pPr>
            <w:r>
              <w:rPr>
                <w:sz w:val="20"/>
              </w:rPr>
              <w:t>darbuzņēmējiem</w:t>
            </w:r>
          </w:p>
        </w:tc>
        <w:tc>
          <w:tcPr>
            <w:tcW w:w="1570" w:type="dxa"/>
          </w:tcPr>
          <w:p w14:paraId="36AD83BA" w14:textId="77777777" w:rsidR="00CE0D94" w:rsidRDefault="00CE0D94" w:rsidP="00CD363C">
            <w:pPr>
              <w:pStyle w:val="TableParagraph"/>
              <w:ind w:right="107"/>
              <w:jc w:val="both"/>
              <w:rPr>
                <w:i/>
                <w:sz w:val="18"/>
              </w:rPr>
            </w:pPr>
          </w:p>
          <w:p w14:paraId="39A34180" w14:textId="77777777" w:rsidR="00CE0D94" w:rsidRDefault="00CE0D94" w:rsidP="00CD363C">
            <w:pPr>
              <w:pStyle w:val="TableParagraph"/>
              <w:ind w:right="107"/>
              <w:jc w:val="both"/>
              <w:rPr>
                <w:sz w:val="20"/>
              </w:rPr>
            </w:pPr>
            <w:r>
              <w:rPr>
                <w:sz w:val="20"/>
              </w:rPr>
              <w:t>167 559,01</w:t>
            </w:r>
          </w:p>
        </w:tc>
      </w:tr>
      <w:tr w:rsidR="00CE0D94" w14:paraId="17DC6451" w14:textId="77777777" w:rsidTr="00FB6347">
        <w:trPr>
          <w:trHeight w:val="256"/>
        </w:trPr>
        <w:tc>
          <w:tcPr>
            <w:tcW w:w="816" w:type="dxa"/>
            <w:vMerge w:val="restart"/>
          </w:tcPr>
          <w:p w14:paraId="7C06E412" w14:textId="77777777" w:rsidR="00CE0D94" w:rsidRDefault="00CE0D94" w:rsidP="00CD363C">
            <w:pPr>
              <w:pStyle w:val="TableParagraph"/>
              <w:ind w:right="107"/>
              <w:jc w:val="both"/>
              <w:rPr>
                <w:i/>
              </w:rPr>
            </w:pPr>
          </w:p>
          <w:p w14:paraId="2F687D4D" w14:textId="77777777" w:rsidR="00CE0D94" w:rsidRDefault="00CE0D94" w:rsidP="00CD363C">
            <w:pPr>
              <w:pStyle w:val="TableParagraph"/>
              <w:ind w:right="107"/>
              <w:jc w:val="both"/>
              <w:rPr>
                <w:i/>
              </w:rPr>
            </w:pPr>
          </w:p>
          <w:p w14:paraId="569BC910" w14:textId="77777777" w:rsidR="00CE0D94" w:rsidRDefault="00CE0D94" w:rsidP="00CD363C">
            <w:pPr>
              <w:pStyle w:val="TableParagraph"/>
              <w:ind w:right="107"/>
              <w:jc w:val="both"/>
              <w:rPr>
                <w:i/>
              </w:rPr>
            </w:pPr>
          </w:p>
          <w:p w14:paraId="317D5FB4" w14:textId="77777777" w:rsidR="00CE0D94" w:rsidRDefault="00CE0D94" w:rsidP="00CD363C">
            <w:pPr>
              <w:pStyle w:val="TableParagraph"/>
              <w:ind w:right="107"/>
              <w:jc w:val="both"/>
              <w:rPr>
                <w:i/>
              </w:rPr>
            </w:pPr>
          </w:p>
          <w:p w14:paraId="31CD3DA8" w14:textId="77777777" w:rsidR="00CE0D94" w:rsidRDefault="00CE0D94" w:rsidP="00CD363C">
            <w:pPr>
              <w:pStyle w:val="TableParagraph"/>
              <w:ind w:right="107"/>
              <w:jc w:val="both"/>
              <w:rPr>
                <w:i/>
              </w:rPr>
            </w:pPr>
          </w:p>
          <w:p w14:paraId="29C31187" w14:textId="77777777" w:rsidR="00CE0D94" w:rsidRDefault="00CE0D94" w:rsidP="00CD363C">
            <w:pPr>
              <w:pStyle w:val="TableParagraph"/>
              <w:ind w:right="107"/>
              <w:jc w:val="both"/>
              <w:rPr>
                <w:i/>
              </w:rPr>
            </w:pPr>
          </w:p>
          <w:p w14:paraId="3B842410" w14:textId="77777777" w:rsidR="00CE0D94" w:rsidRDefault="00CE0D94" w:rsidP="00CD363C">
            <w:pPr>
              <w:pStyle w:val="TableParagraph"/>
              <w:ind w:right="107"/>
              <w:jc w:val="both"/>
              <w:rPr>
                <w:i/>
              </w:rPr>
            </w:pPr>
          </w:p>
          <w:p w14:paraId="5768403E" w14:textId="77777777" w:rsidR="00CE0D94" w:rsidRDefault="00CE0D94" w:rsidP="00CD363C">
            <w:pPr>
              <w:pStyle w:val="TableParagraph"/>
              <w:ind w:right="107"/>
              <w:jc w:val="both"/>
              <w:rPr>
                <w:b/>
                <w:sz w:val="20"/>
              </w:rPr>
            </w:pPr>
            <w:r>
              <w:rPr>
                <w:b/>
                <w:w w:val="99"/>
                <w:sz w:val="20"/>
              </w:rPr>
              <w:t>3</w:t>
            </w:r>
          </w:p>
        </w:tc>
        <w:tc>
          <w:tcPr>
            <w:tcW w:w="8814" w:type="dxa"/>
            <w:gridSpan w:val="7"/>
          </w:tcPr>
          <w:p w14:paraId="557580D6" w14:textId="77777777" w:rsidR="00CE0D94" w:rsidRDefault="00CE0D94" w:rsidP="00CD363C">
            <w:pPr>
              <w:pStyle w:val="TableParagraph"/>
              <w:ind w:left="107" w:right="107"/>
              <w:jc w:val="both"/>
              <w:rPr>
                <w:b/>
                <w:sz w:val="20"/>
              </w:rPr>
            </w:pPr>
            <w:r>
              <w:rPr>
                <w:b/>
                <w:sz w:val="20"/>
              </w:rPr>
              <w:t>Maksājuma veikšana</w:t>
            </w:r>
          </w:p>
        </w:tc>
      </w:tr>
      <w:tr w:rsidR="00CE0D94" w14:paraId="6FCDF7B8" w14:textId="77777777" w:rsidTr="00FB6347">
        <w:trPr>
          <w:trHeight w:val="688"/>
        </w:trPr>
        <w:tc>
          <w:tcPr>
            <w:tcW w:w="816" w:type="dxa"/>
            <w:vMerge/>
            <w:tcBorders>
              <w:top w:val="nil"/>
            </w:tcBorders>
          </w:tcPr>
          <w:p w14:paraId="7D013158" w14:textId="77777777" w:rsidR="00CE0D94" w:rsidRDefault="00CE0D94" w:rsidP="00CD363C">
            <w:pPr>
              <w:spacing w:after="0" w:line="240" w:lineRule="auto"/>
              <w:ind w:right="107"/>
              <w:jc w:val="both"/>
              <w:rPr>
                <w:sz w:val="2"/>
                <w:szCs w:val="2"/>
              </w:rPr>
            </w:pPr>
          </w:p>
        </w:tc>
        <w:tc>
          <w:tcPr>
            <w:tcW w:w="3292" w:type="dxa"/>
            <w:gridSpan w:val="4"/>
          </w:tcPr>
          <w:p w14:paraId="31CEE678" w14:textId="77777777" w:rsidR="00CE0D94" w:rsidRDefault="00CE0D94" w:rsidP="00CD363C">
            <w:pPr>
              <w:pStyle w:val="TableParagraph"/>
              <w:ind w:right="107"/>
              <w:jc w:val="both"/>
              <w:rPr>
                <w:i/>
                <w:sz w:val="18"/>
              </w:rPr>
            </w:pPr>
          </w:p>
          <w:p w14:paraId="696C59D7" w14:textId="77777777" w:rsidR="00CE0D94" w:rsidRDefault="00CE0D94" w:rsidP="00CD363C">
            <w:pPr>
              <w:pStyle w:val="TableParagraph"/>
              <w:ind w:left="107" w:right="107"/>
              <w:jc w:val="both"/>
              <w:rPr>
                <w:sz w:val="20"/>
              </w:rPr>
            </w:pPr>
            <w:r>
              <w:rPr>
                <w:sz w:val="20"/>
              </w:rPr>
              <w:t>D Finanšu saistības</w:t>
            </w:r>
          </w:p>
        </w:tc>
        <w:tc>
          <w:tcPr>
            <w:tcW w:w="987" w:type="dxa"/>
          </w:tcPr>
          <w:p w14:paraId="7CBF7B8C" w14:textId="77777777" w:rsidR="00CE0D94" w:rsidRDefault="00CE0D94" w:rsidP="00CD363C">
            <w:pPr>
              <w:pStyle w:val="TableParagraph"/>
              <w:ind w:right="107"/>
              <w:jc w:val="both"/>
              <w:rPr>
                <w:i/>
                <w:sz w:val="18"/>
              </w:rPr>
            </w:pPr>
          </w:p>
          <w:p w14:paraId="58F3A005" w14:textId="77777777" w:rsidR="00CE0D94" w:rsidRDefault="00CE0D94" w:rsidP="00CD363C">
            <w:pPr>
              <w:pStyle w:val="TableParagraph"/>
              <w:ind w:right="107"/>
              <w:jc w:val="both"/>
              <w:rPr>
                <w:sz w:val="20"/>
              </w:rPr>
            </w:pPr>
            <w:r>
              <w:rPr>
                <w:sz w:val="20"/>
              </w:rPr>
              <w:t>5310</w:t>
            </w:r>
          </w:p>
        </w:tc>
        <w:tc>
          <w:tcPr>
            <w:tcW w:w="2965" w:type="dxa"/>
          </w:tcPr>
          <w:p w14:paraId="154ECAE4" w14:textId="77777777" w:rsidR="00CE0D94" w:rsidRDefault="00CE0D94" w:rsidP="00CD363C">
            <w:pPr>
              <w:pStyle w:val="TableParagraph"/>
              <w:ind w:left="106" w:right="107"/>
              <w:jc w:val="both"/>
              <w:rPr>
                <w:sz w:val="20"/>
              </w:rPr>
            </w:pPr>
            <w:r>
              <w:rPr>
                <w:sz w:val="20"/>
              </w:rPr>
              <w:t>Īstermiņa saistības pret piegādātājiem un</w:t>
            </w:r>
          </w:p>
          <w:p w14:paraId="0ACA55F6" w14:textId="77777777" w:rsidR="00CE0D94" w:rsidRDefault="00CE0D94" w:rsidP="00CD363C">
            <w:pPr>
              <w:pStyle w:val="TableParagraph"/>
              <w:ind w:left="106" w:right="107"/>
              <w:jc w:val="both"/>
              <w:rPr>
                <w:sz w:val="20"/>
              </w:rPr>
            </w:pPr>
            <w:r>
              <w:rPr>
                <w:sz w:val="20"/>
              </w:rPr>
              <w:t>darbuzņēmējiem</w:t>
            </w:r>
          </w:p>
        </w:tc>
        <w:tc>
          <w:tcPr>
            <w:tcW w:w="1570" w:type="dxa"/>
          </w:tcPr>
          <w:p w14:paraId="0F507CA3" w14:textId="77777777" w:rsidR="00CE0D94" w:rsidRDefault="00CE0D94" w:rsidP="00CD363C">
            <w:pPr>
              <w:pStyle w:val="TableParagraph"/>
              <w:ind w:right="107"/>
              <w:jc w:val="both"/>
              <w:rPr>
                <w:i/>
                <w:sz w:val="18"/>
              </w:rPr>
            </w:pPr>
          </w:p>
          <w:p w14:paraId="1DCA2A85" w14:textId="77777777" w:rsidR="00CE0D94" w:rsidRDefault="00CE0D94" w:rsidP="00CD363C">
            <w:pPr>
              <w:pStyle w:val="TableParagraph"/>
              <w:ind w:right="107"/>
              <w:jc w:val="both"/>
              <w:rPr>
                <w:sz w:val="20"/>
              </w:rPr>
            </w:pPr>
            <w:r>
              <w:rPr>
                <w:sz w:val="20"/>
              </w:rPr>
              <w:t>200 000,00</w:t>
            </w:r>
          </w:p>
        </w:tc>
      </w:tr>
      <w:tr w:rsidR="00CE0D94" w14:paraId="6009E027" w14:textId="77777777" w:rsidTr="00FB6347">
        <w:trPr>
          <w:trHeight w:val="256"/>
        </w:trPr>
        <w:tc>
          <w:tcPr>
            <w:tcW w:w="816" w:type="dxa"/>
            <w:vMerge/>
            <w:tcBorders>
              <w:top w:val="nil"/>
            </w:tcBorders>
          </w:tcPr>
          <w:p w14:paraId="4BA55204" w14:textId="77777777" w:rsidR="00CE0D94" w:rsidRDefault="00CE0D94" w:rsidP="00CD363C">
            <w:pPr>
              <w:spacing w:after="0" w:line="240" w:lineRule="auto"/>
              <w:ind w:right="107"/>
              <w:jc w:val="both"/>
              <w:rPr>
                <w:sz w:val="2"/>
                <w:szCs w:val="2"/>
              </w:rPr>
            </w:pPr>
          </w:p>
        </w:tc>
        <w:tc>
          <w:tcPr>
            <w:tcW w:w="3292" w:type="dxa"/>
            <w:gridSpan w:val="4"/>
          </w:tcPr>
          <w:p w14:paraId="20484D2E" w14:textId="77777777" w:rsidR="00CE0D94" w:rsidRDefault="00CE0D94" w:rsidP="00CD363C">
            <w:pPr>
              <w:pStyle w:val="TableParagraph"/>
              <w:ind w:left="107" w:right="107"/>
              <w:jc w:val="both"/>
              <w:rPr>
                <w:sz w:val="20"/>
              </w:rPr>
            </w:pPr>
            <w:r>
              <w:rPr>
                <w:sz w:val="20"/>
              </w:rPr>
              <w:t>K Nauda</w:t>
            </w:r>
          </w:p>
        </w:tc>
        <w:tc>
          <w:tcPr>
            <w:tcW w:w="987" w:type="dxa"/>
          </w:tcPr>
          <w:p w14:paraId="10C59C81" w14:textId="77777777" w:rsidR="00CE0D94" w:rsidRDefault="00CE0D94" w:rsidP="00CD363C">
            <w:pPr>
              <w:pStyle w:val="TableParagraph"/>
              <w:ind w:right="107"/>
              <w:jc w:val="both"/>
              <w:rPr>
                <w:sz w:val="20"/>
              </w:rPr>
            </w:pPr>
            <w:r>
              <w:rPr>
                <w:sz w:val="20"/>
              </w:rPr>
              <w:t>2600</w:t>
            </w:r>
          </w:p>
        </w:tc>
        <w:tc>
          <w:tcPr>
            <w:tcW w:w="2965" w:type="dxa"/>
          </w:tcPr>
          <w:p w14:paraId="0811BC96" w14:textId="77777777" w:rsidR="00CE0D94" w:rsidRDefault="00CE0D94" w:rsidP="00CD363C">
            <w:pPr>
              <w:pStyle w:val="TableParagraph"/>
              <w:ind w:left="106" w:right="107"/>
              <w:jc w:val="both"/>
              <w:rPr>
                <w:sz w:val="20"/>
              </w:rPr>
            </w:pPr>
            <w:r>
              <w:rPr>
                <w:sz w:val="20"/>
              </w:rPr>
              <w:t>Naudas līdzekļi</w:t>
            </w:r>
          </w:p>
        </w:tc>
        <w:tc>
          <w:tcPr>
            <w:tcW w:w="1570" w:type="dxa"/>
          </w:tcPr>
          <w:p w14:paraId="2B7C710E" w14:textId="77777777" w:rsidR="00CE0D94" w:rsidRDefault="00CE0D94" w:rsidP="00CD363C">
            <w:pPr>
              <w:pStyle w:val="TableParagraph"/>
              <w:ind w:right="107"/>
              <w:jc w:val="both"/>
              <w:rPr>
                <w:sz w:val="20"/>
              </w:rPr>
            </w:pPr>
            <w:r>
              <w:rPr>
                <w:sz w:val="20"/>
              </w:rPr>
              <w:t>200 000,00</w:t>
            </w:r>
          </w:p>
        </w:tc>
      </w:tr>
      <w:tr w:rsidR="00CE0D94" w14:paraId="1C428D55" w14:textId="77777777" w:rsidTr="00FB6347">
        <w:trPr>
          <w:trHeight w:val="254"/>
        </w:trPr>
        <w:tc>
          <w:tcPr>
            <w:tcW w:w="816" w:type="dxa"/>
            <w:vMerge/>
            <w:tcBorders>
              <w:top w:val="nil"/>
            </w:tcBorders>
          </w:tcPr>
          <w:p w14:paraId="75E92F9A" w14:textId="77777777" w:rsidR="00CE0D94" w:rsidRDefault="00CE0D94" w:rsidP="00CD363C">
            <w:pPr>
              <w:spacing w:after="0" w:line="240" w:lineRule="auto"/>
              <w:ind w:right="107"/>
              <w:jc w:val="both"/>
              <w:rPr>
                <w:sz w:val="2"/>
                <w:szCs w:val="2"/>
              </w:rPr>
            </w:pPr>
          </w:p>
        </w:tc>
        <w:tc>
          <w:tcPr>
            <w:tcW w:w="8814" w:type="dxa"/>
            <w:gridSpan w:val="7"/>
          </w:tcPr>
          <w:p w14:paraId="0DD41551" w14:textId="77777777" w:rsidR="00CE0D94" w:rsidRDefault="00CE0D94" w:rsidP="00CD363C">
            <w:pPr>
              <w:pStyle w:val="TableParagraph"/>
              <w:ind w:left="107" w:right="107"/>
              <w:jc w:val="both"/>
              <w:rPr>
                <w:b/>
                <w:sz w:val="20"/>
              </w:rPr>
            </w:pPr>
            <w:r>
              <w:rPr>
                <w:b/>
                <w:sz w:val="20"/>
              </w:rPr>
              <w:t>Procentu izdevumi</w:t>
            </w:r>
          </w:p>
        </w:tc>
      </w:tr>
      <w:tr w:rsidR="00CE0D94" w14:paraId="4FEE19FA" w14:textId="77777777" w:rsidTr="00FB6347">
        <w:trPr>
          <w:trHeight w:val="253"/>
        </w:trPr>
        <w:tc>
          <w:tcPr>
            <w:tcW w:w="816" w:type="dxa"/>
            <w:vMerge/>
            <w:tcBorders>
              <w:top w:val="nil"/>
            </w:tcBorders>
          </w:tcPr>
          <w:p w14:paraId="4034C59A" w14:textId="77777777" w:rsidR="00CE0D94" w:rsidRDefault="00CE0D94" w:rsidP="00CD363C">
            <w:pPr>
              <w:spacing w:after="0" w:line="240" w:lineRule="auto"/>
              <w:ind w:right="107"/>
              <w:jc w:val="both"/>
              <w:rPr>
                <w:sz w:val="2"/>
                <w:szCs w:val="2"/>
              </w:rPr>
            </w:pPr>
          </w:p>
        </w:tc>
        <w:tc>
          <w:tcPr>
            <w:tcW w:w="3292" w:type="dxa"/>
            <w:gridSpan w:val="4"/>
          </w:tcPr>
          <w:p w14:paraId="438D88FA" w14:textId="77777777" w:rsidR="00CE0D94" w:rsidRDefault="00CE0D94" w:rsidP="00CD363C">
            <w:pPr>
              <w:pStyle w:val="TableParagraph"/>
              <w:ind w:left="107" w:right="107"/>
              <w:jc w:val="both"/>
              <w:rPr>
                <w:sz w:val="20"/>
              </w:rPr>
            </w:pPr>
            <w:r>
              <w:rPr>
                <w:sz w:val="20"/>
              </w:rPr>
              <w:t>D Procentu izdevumi</w:t>
            </w:r>
          </w:p>
        </w:tc>
        <w:tc>
          <w:tcPr>
            <w:tcW w:w="987" w:type="dxa"/>
          </w:tcPr>
          <w:p w14:paraId="27CCA51B" w14:textId="77777777" w:rsidR="00CE0D94" w:rsidRDefault="00CE0D94" w:rsidP="00CD363C">
            <w:pPr>
              <w:pStyle w:val="TableParagraph"/>
              <w:ind w:right="107"/>
              <w:jc w:val="both"/>
              <w:rPr>
                <w:sz w:val="20"/>
              </w:rPr>
            </w:pPr>
            <w:r>
              <w:rPr>
                <w:sz w:val="20"/>
              </w:rPr>
              <w:t>8220</w:t>
            </w:r>
          </w:p>
        </w:tc>
        <w:tc>
          <w:tcPr>
            <w:tcW w:w="2965" w:type="dxa"/>
          </w:tcPr>
          <w:p w14:paraId="70E6BED1" w14:textId="77777777" w:rsidR="00CE0D94" w:rsidRDefault="00CE0D94" w:rsidP="00CD363C">
            <w:pPr>
              <w:pStyle w:val="TableParagraph"/>
              <w:ind w:left="106" w:right="107"/>
              <w:jc w:val="both"/>
              <w:rPr>
                <w:sz w:val="20"/>
              </w:rPr>
            </w:pPr>
            <w:r>
              <w:rPr>
                <w:sz w:val="20"/>
              </w:rPr>
              <w:t>Procentu izdevumi</w:t>
            </w:r>
          </w:p>
        </w:tc>
        <w:tc>
          <w:tcPr>
            <w:tcW w:w="1570" w:type="dxa"/>
          </w:tcPr>
          <w:p w14:paraId="5F33591A" w14:textId="77777777" w:rsidR="00CE0D94" w:rsidRDefault="00CE0D94" w:rsidP="00CD363C">
            <w:pPr>
              <w:pStyle w:val="TableParagraph"/>
              <w:ind w:right="107"/>
              <w:jc w:val="both"/>
              <w:rPr>
                <w:sz w:val="20"/>
              </w:rPr>
            </w:pPr>
            <w:r>
              <w:rPr>
                <w:sz w:val="20"/>
              </w:rPr>
              <w:t>66 886,59</w:t>
            </w:r>
          </w:p>
        </w:tc>
      </w:tr>
      <w:tr w:rsidR="00CE0D94" w14:paraId="2DF0AF51" w14:textId="77777777" w:rsidTr="00FB6347">
        <w:trPr>
          <w:trHeight w:val="256"/>
        </w:trPr>
        <w:tc>
          <w:tcPr>
            <w:tcW w:w="816" w:type="dxa"/>
            <w:vMerge/>
            <w:tcBorders>
              <w:top w:val="nil"/>
            </w:tcBorders>
          </w:tcPr>
          <w:p w14:paraId="7C677C5C" w14:textId="77777777" w:rsidR="00CE0D94" w:rsidRDefault="00CE0D94" w:rsidP="00CD363C">
            <w:pPr>
              <w:spacing w:after="0" w:line="240" w:lineRule="auto"/>
              <w:ind w:right="107"/>
              <w:jc w:val="both"/>
              <w:rPr>
                <w:sz w:val="2"/>
                <w:szCs w:val="2"/>
              </w:rPr>
            </w:pPr>
          </w:p>
        </w:tc>
        <w:tc>
          <w:tcPr>
            <w:tcW w:w="3292" w:type="dxa"/>
            <w:gridSpan w:val="4"/>
          </w:tcPr>
          <w:p w14:paraId="291ACEE2" w14:textId="77777777" w:rsidR="00CE0D94" w:rsidRDefault="00CE0D94" w:rsidP="00CD363C">
            <w:pPr>
              <w:pStyle w:val="TableParagraph"/>
              <w:ind w:left="107" w:right="107"/>
              <w:jc w:val="both"/>
              <w:rPr>
                <w:sz w:val="20"/>
              </w:rPr>
            </w:pPr>
            <w:r>
              <w:rPr>
                <w:sz w:val="20"/>
              </w:rPr>
              <w:t>D Pakalpojuma izmaksas</w:t>
            </w:r>
          </w:p>
        </w:tc>
        <w:tc>
          <w:tcPr>
            <w:tcW w:w="987" w:type="dxa"/>
          </w:tcPr>
          <w:p w14:paraId="047F7884" w14:textId="77777777" w:rsidR="00CE0D94" w:rsidRDefault="00CE0D94" w:rsidP="00CD363C">
            <w:pPr>
              <w:pStyle w:val="TableParagraph"/>
              <w:ind w:right="107"/>
              <w:jc w:val="both"/>
              <w:rPr>
                <w:sz w:val="20"/>
              </w:rPr>
            </w:pPr>
            <w:r>
              <w:rPr>
                <w:sz w:val="20"/>
              </w:rPr>
              <w:t>7000</w:t>
            </w:r>
          </w:p>
        </w:tc>
        <w:tc>
          <w:tcPr>
            <w:tcW w:w="2965" w:type="dxa"/>
          </w:tcPr>
          <w:p w14:paraId="293F0D36" w14:textId="77777777" w:rsidR="00CE0D94" w:rsidRDefault="00CE0D94" w:rsidP="00CD363C">
            <w:pPr>
              <w:pStyle w:val="TableParagraph"/>
              <w:ind w:left="106" w:right="107"/>
              <w:jc w:val="both"/>
              <w:rPr>
                <w:sz w:val="20"/>
              </w:rPr>
            </w:pPr>
            <w:r>
              <w:rPr>
                <w:sz w:val="20"/>
              </w:rPr>
              <w:t>Pamatdarbības izdevumi</w:t>
            </w:r>
          </w:p>
        </w:tc>
        <w:tc>
          <w:tcPr>
            <w:tcW w:w="1570" w:type="dxa"/>
          </w:tcPr>
          <w:p w14:paraId="72EA9F5D" w14:textId="77777777" w:rsidR="00CE0D94" w:rsidRDefault="00CE0D94" w:rsidP="00CD363C">
            <w:pPr>
              <w:pStyle w:val="TableParagraph"/>
              <w:ind w:right="107"/>
              <w:jc w:val="both"/>
              <w:rPr>
                <w:sz w:val="20"/>
              </w:rPr>
            </w:pPr>
            <w:r>
              <w:rPr>
                <w:sz w:val="20"/>
              </w:rPr>
              <w:t>12 000,00</w:t>
            </w:r>
          </w:p>
        </w:tc>
      </w:tr>
      <w:tr w:rsidR="00CE0D94" w14:paraId="11732B6A" w14:textId="77777777" w:rsidTr="00FB6347">
        <w:trPr>
          <w:trHeight w:val="690"/>
        </w:trPr>
        <w:tc>
          <w:tcPr>
            <w:tcW w:w="816" w:type="dxa"/>
            <w:vMerge/>
            <w:tcBorders>
              <w:top w:val="nil"/>
            </w:tcBorders>
          </w:tcPr>
          <w:p w14:paraId="05828C13" w14:textId="77777777" w:rsidR="00CE0D94" w:rsidRDefault="00CE0D94" w:rsidP="00CD363C">
            <w:pPr>
              <w:spacing w:after="0" w:line="240" w:lineRule="auto"/>
              <w:ind w:right="107"/>
              <w:jc w:val="both"/>
              <w:rPr>
                <w:sz w:val="2"/>
                <w:szCs w:val="2"/>
              </w:rPr>
            </w:pPr>
          </w:p>
        </w:tc>
        <w:tc>
          <w:tcPr>
            <w:tcW w:w="3292" w:type="dxa"/>
            <w:gridSpan w:val="4"/>
          </w:tcPr>
          <w:p w14:paraId="7C44599D" w14:textId="77777777" w:rsidR="00CE0D94" w:rsidRDefault="00CE0D94" w:rsidP="00CD363C">
            <w:pPr>
              <w:pStyle w:val="TableParagraph"/>
              <w:ind w:right="107"/>
              <w:jc w:val="both"/>
              <w:rPr>
                <w:i/>
                <w:sz w:val="19"/>
              </w:rPr>
            </w:pPr>
          </w:p>
          <w:p w14:paraId="652EDC63" w14:textId="77777777" w:rsidR="00CE0D94" w:rsidRDefault="00CE0D94" w:rsidP="00CD363C">
            <w:pPr>
              <w:pStyle w:val="TableParagraph"/>
              <w:ind w:left="107" w:right="107"/>
              <w:jc w:val="both"/>
              <w:rPr>
                <w:sz w:val="20"/>
              </w:rPr>
            </w:pPr>
            <w:r>
              <w:rPr>
                <w:sz w:val="20"/>
              </w:rPr>
              <w:t>K Finanšu saistības</w:t>
            </w:r>
          </w:p>
        </w:tc>
        <w:tc>
          <w:tcPr>
            <w:tcW w:w="987" w:type="dxa"/>
          </w:tcPr>
          <w:p w14:paraId="51C9A1A6" w14:textId="77777777" w:rsidR="00CE0D94" w:rsidRDefault="00CE0D94" w:rsidP="00CD363C">
            <w:pPr>
              <w:pStyle w:val="TableParagraph"/>
              <w:ind w:right="107"/>
              <w:jc w:val="both"/>
              <w:rPr>
                <w:i/>
                <w:sz w:val="19"/>
              </w:rPr>
            </w:pPr>
          </w:p>
          <w:p w14:paraId="3F4B356C" w14:textId="77777777" w:rsidR="00CE0D94" w:rsidRDefault="00CE0D94" w:rsidP="00CD363C">
            <w:pPr>
              <w:pStyle w:val="TableParagraph"/>
              <w:ind w:right="107"/>
              <w:jc w:val="both"/>
              <w:rPr>
                <w:sz w:val="20"/>
              </w:rPr>
            </w:pPr>
            <w:r>
              <w:rPr>
                <w:sz w:val="20"/>
              </w:rPr>
              <w:t>5310</w:t>
            </w:r>
          </w:p>
        </w:tc>
        <w:tc>
          <w:tcPr>
            <w:tcW w:w="2965" w:type="dxa"/>
          </w:tcPr>
          <w:p w14:paraId="434D3B16" w14:textId="77777777" w:rsidR="00CE0D94" w:rsidRDefault="00CE0D94" w:rsidP="00CD363C">
            <w:pPr>
              <w:pStyle w:val="TableParagraph"/>
              <w:ind w:left="106" w:right="107"/>
              <w:jc w:val="both"/>
              <w:rPr>
                <w:sz w:val="20"/>
              </w:rPr>
            </w:pPr>
            <w:r>
              <w:rPr>
                <w:sz w:val="20"/>
              </w:rPr>
              <w:t>Īstermiņa saistības pret piegādātājiem un</w:t>
            </w:r>
          </w:p>
          <w:p w14:paraId="04E0A671" w14:textId="77777777" w:rsidR="00CE0D94" w:rsidRDefault="00CE0D94" w:rsidP="00CD363C">
            <w:pPr>
              <w:pStyle w:val="TableParagraph"/>
              <w:ind w:left="106" w:right="107"/>
              <w:jc w:val="both"/>
              <w:rPr>
                <w:sz w:val="20"/>
              </w:rPr>
            </w:pPr>
            <w:r>
              <w:rPr>
                <w:sz w:val="20"/>
              </w:rPr>
              <w:t>darbuzņēmējiem</w:t>
            </w:r>
          </w:p>
        </w:tc>
        <w:tc>
          <w:tcPr>
            <w:tcW w:w="1570" w:type="dxa"/>
          </w:tcPr>
          <w:p w14:paraId="395E02A9" w14:textId="77777777" w:rsidR="00CE0D94" w:rsidRDefault="00CE0D94" w:rsidP="00CD363C">
            <w:pPr>
              <w:pStyle w:val="TableParagraph"/>
              <w:ind w:right="107"/>
              <w:jc w:val="both"/>
              <w:rPr>
                <w:i/>
                <w:sz w:val="19"/>
              </w:rPr>
            </w:pPr>
          </w:p>
          <w:p w14:paraId="6698DD6A" w14:textId="77777777" w:rsidR="00CE0D94" w:rsidRDefault="00CE0D94" w:rsidP="00CD363C">
            <w:pPr>
              <w:pStyle w:val="TableParagraph"/>
              <w:ind w:right="107"/>
              <w:jc w:val="both"/>
              <w:rPr>
                <w:sz w:val="20"/>
              </w:rPr>
            </w:pPr>
            <w:r>
              <w:rPr>
                <w:sz w:val="20"/>
              </w:rPr>
              <w:t>78 886,59</w:t>
            </w:r>
          </w:p>
        </w:tc>
      </w:tr>
      <w:tr w:rsidR="00CE0D94" w14:paraId="29640558" w14:textId="77777777" w:rsidTr="00FB6347">
        <w:trPr>
          <w:trHeight w:val="254"/>
        </w:trPr>
        <w:tc>
          <w:tcPr>
            <w:tcW w:w="816" w:type="dxa"/>
            <w:vMerge/>
            <w:tcBorders>
              <w:top w:val="nil"/>
            </w:tcBorders>
          </w:tcPr>
          <w:p w14:paraId="0A55374F" w14:textId="77777777" w:rsidR="00CE0D94" w:rsidRDefault="00CE0D94" w:rsidP="00CD363C">
            <w:pPr>
              <w:spacing w:after="0" w:line="240" w:lineRule="auto"/>
              <w:ind w:right="107"/>
              <w:jc w:val="both"/>
              <w:rPr>
                <w:sz w:val="2"/>
                <w:szCs w:val="2"/>
              </w:rPr>
            </w:pPr>
          </w:p>
        </w:tc>
        <w:tc>
          <w:tcPr>
            <w:tcW w:w="8814" w:type="dxa"/>
            <w:gridSpan w:val="7"/>
          </w:tcPr>
          <w:p w14:paraId="02379537" w14:textId="77777777" w:rsidR="00CE0D94" w:rsidRDefault="00CE0D94" w:rsidP="00CD363C">
            <w:pPr>
              <w:pStyle w:val="TableParagraph"/>
              <w:ind w:left="3452" w:right="107"/>
              <w:jc w:val="both"/>
              <w:rPr>
                <w:b/>
                <w:sz w:val="20"/>
              </w:rPr>
            </w:pPr>
            <w:r>
              <w:rPr>
                <w:b/>
                <w:sz w:val="20"/>
              </w:rPr>
              <w:t>Nolietojuma uzskaite</w:t>
            </w:r>
          </w:p>
        </w:tc>
      </w:tr>
      <w:tr w:rsidR="00CE0D94" w14:paraId="2B602121" w14:textId="77777777" w:rsidTr="00FB6347">
        <w:trPr>
          <w:trHeight w:val="254"/>
        </w:trPr>
        <w:tc>
          <w:tcPr>
            <w:tcW w:w="816" w:type="dxa"/>
            <w:vMerge/>
            <w:tcBorders>
              <w:top w:val="nil"/>
            </w:tcBorders>
          </w:tcPr>
          <w:p w14:paraId="7D2DDACF" w14:textId="77777777" w:rsidR="00CE0D94" w:rsidRDefault="00CE0D94" w:rsidP="00CD363C">
            <w:pPr>
              <w:spacing w:after="0" w:line="240" w:lineRule="auto"/>
              <w:ind w:right="107"/>
              <w:jc w:val="both"/>
              <w:rPr>
                <w:sz w:val="2"/>
                <w:szCs w:val="2"/>
              </w:rPr>
            </w:pPr>
          </w:p>
        </w:tc>
        <w:tc>
          <w:tcPr>
            <w:tcW w:w="3292" w:type="dxa"/>
            <w:gridSpan w:val="4"/>
          </w:tcPr>
          <w:p w14:paraId="63301FDF" w14:textId="77777777" w:rsidR="00CE0D94" w:rsidRDefault="00CE0D94" w:rsidP="00CD363C">
            <w:pPr>
              <w:pStyle w:val="TableParagraph"/>
              <w:ind w:left="107" w:right="107"/>
              <w:jc w:val="both"/>
              <w:rPr>
                <w:sz w:val="20"/>
              </w:rPr>
            </w:pPr>
            <w:r>
              <w:rPr>
                <w:sz w:val="20"/>
              </w:rPr>
              <w:t>D Nolietojuma izdevumi</w:t>
            </w:r>
          </w:p>
        </w:tc>
        <w:tc>
          <w:tcPr>
            <w:tcW w:w="987" w:type="dxa"/>
          </w:tcPr>
          <w:p w14:paraId="4843A4C6" w14:textId="77777777" w:rsidR="00CE0D94" w:rsidRDefault="00CE0D94" w:rsidP="00CD363C">
            <w:pPr>
              <w:pStyle w:val="TableParagraph"/>
              <w:ind w:right="107"/>
              <w:jc w:val="both"/>
              <w:rPr>
                <w:sz w:val="20"/>
              </w:rPr>
            </w:pPr>
            <w:r>
              <w:rPr>
                <w:sz w:val="20"/>
              </w:rPr>
              <w:t>7000</w:t>
            </w:r>
          </w:p>
        </w:tc>
        <w:tc>
          <w:tcPr>
            <w:tcW w:w="2965" w:type="dxa"/>
          </w:tcPr>
          <w:p w14:paraId="661515F2" w14:textId="77777777" w:rsidR="00CE0D94" w:rsidRDefault="00CE0D94" w:rsidP="00CD363C">
            <w:pPr>
              <w:pStyle w:val="TableParagraph"/>
              <w:ind w:left="106" w:right="107"/>
              <w:jc w:val="both"/>
              <w:rPr>
                <w:sz w:val="20"/>
              </w:rPr>
            </w:pPr>
            <w:r>
              <w:rPr>
                <w:sz w:val="20"/>
              </w:rPr>
              <w:t>Pamatdarbības izdevumi</w:t>
            </w:r>
          </w:p>
        </w:tc>
        <w:tc>
          <w:tcPr>
            <w:tcW w:w="1570" w:type="dxa"/>
          </w:tcPr>
          <w:p w14:paraId="51F7D2D5" w14:textId="77777777" w:rsidR="00CE0D94" w:rsidRDefault="00CE0D94" w:rsidP="00CD363C">
            <w:pPr>
              <w:pStyle w:val="TableParagraph"/>
              <w:ind w:right="107"/>
              <w:jc w:val="both"/>
              <w:rPr>
                <w:sz w:val="20"/>
              </w:rPr>
            </w:pPr>
            <w:r>
              <w:rPr>
                <w:sz w:val="20"/>
              </w:rPr>
              <w:t>65 333,33</w:t>
            </w:r>
          </w:p>
        </w:tc>
      </w:tr>
      <w:tr w:rsidR="00CE0D94" w14:paraId="650F295E" w14:textId="77777777" w:rsidTr="00FB6347">
        <w:trPr>
          <w:trHeight w:val="256"/>
        </w:trPr>
        <w:tc>
          <w:tcPr>
            <w:tcW w:w="816" w:type="dxa"/>
            <w:vMerge/>
            <w:tcBorders>
              <w:top w:val="nil"/>
            </w:tcBorders>
          </w:tcPr>
          <w:p w14:paraId="21E3AA1C" w14:textId="77777777" w:rsidR="00CE0D94" w:rsidRDefault="00CE0D94" w:rsidP="00CD363C">
            <w:pPr>
              <w:spacing w:after="0" w:line="240" w:lineRule="auto"/>
              <w:ind w:right="107"/>
              <w:jc w:val="both"/>
              <w:rPr>
                <w:sz w:val="2"/>
                <w:szCs w:val="2"/>
              </w:rPr>
            </w:pPr>
          </w:p>
        </w:tc>
        <w:tc>
          <w:tcPr>
            <w:tcW w:w="3292" w:type="dxa"/>
            <w:gridSpan w:val="4"/>
          </w:tcPr>
          <w:p w14:paraId="3601B3B6" w14:textId="77777777" w:rsidR="00CE0D94" w:rsidRDefault="00CE0D94" w:rsidP="00CD363C">
            <w:pPr>
              <w:pStyle w:val="TableParagraph"/>
              <w:ind w:left="107" w:right="107"/>
              <w:jc w:val="both"/>
              <w:rPr>
                <w:sz w:val="20"/>
              </w:rPr>
            </w:pPr>
            <w:r>
              <w:rPr>
                <w:sz w:val="20"/>
              </w:rPr>
              <w:t>K Uzkrātais nolietojums</w:t>
            </w:r>
          </w:p>
        </w:tc>
        <w:tc>
          <w:tcPr>
            <w:tcW w:w="987" w:type="dxa"/>
          </w:tcPr>
          <w:p w14:paraId="7A582827" w14:textId="77777777" w:rsidR="00CE0D94" w:rsidRDefault="00CE0D94" w:rsidP="00CD363C">
            <w:pPr>
              <w:pStyle w:val="TableParagraph"/>
              <w:ind w:right="107"/>
              <w:jc w:val="both"/>
              <w:rPr>
                <w:sz w:val="20"/>
              </w:rPr>
            </w:pPr>
            <w:r>
              <w:rPr>
                <w:sz w:val="20"/>
              </w:rPr>
              <w:t>1291</w:t>
            </w:r>
          </w:p>
        </w:tc>
        <w:tc>
          <w:tcPr>
            <w:tcW w:w="2965" w:type="dxa"/>
          </w:tcPr>
          <w:p w14:paraId="2309549C" w14:textId="77777777" w:rsidR="00CE0D94" w:rsidRDefault="00CE0D94" w:rsidP="00CD363C">
            <w:pPr>
              <w:pStyle w:val="TableParagraph"/>
              <w:ind w:left="106" w:right="107"/>
              <w:jc w:val="both"/>
              <w:rPr>
                <w:sz w:val="20"/>
              </w:rPr>
            </w:pPr>
            <w:r>
              <w:rPr>
                <w:sz w:val="20"/>
              </w:rPr>
              <w:t>Būvju uzkrātais nolietojums</w:t>
            </w:r>
          </w:p>
        </w:tc>
        <w:tc>
          <w:tcPr>
            <w:tcW w:w="1570" w:type="dxa"/>
          </w:tcPr>
          <w:p w14:paraId="37FFA2A3" w14:textId="77777777" w:rsidR="00CE0D94" w:rsidRDefault="00CE0D94" w:rsidP="00CD363C">
            <w:pPr>
              <w:pStyle w:val="TableParagraph"/>
              <w:ind w:right="107"/>
              <w:jc w:val="both"/>
              <w:rPr>
                <w:sz w:val="20"/>
              </w:rPr>
            </w:pPr>
            <w:r>
              <w:rPr>
                <w:sz w:val="20"/>
              </w:rPr>
              <w:t>65 333,33</w:t>
            </w:r>
          </w:p>
        </w:tc>
      </w:tr>
      <w:tr w:rsidR="00CE0D94" w14:paraId="75EC9761" w14:textId="77777777" w:rsidTr="00FB6347">
        <w:trPr>
          <w:trHeight w:val="253"/>
        </w:trPr>
        <w:tc>
          <w:tcPr>
            <w:tcW w:w="816" w:type="dxa"/>
            <w:vMerge/>
            <w:tcBorders>
              <w:top w:val="nil"/>
            </w:tcBorders>
          </w:tcPr>
          <w:p w14:paraId="11B2F968" w14:textId="77777777" w:rsidR="00CE0D94" w:rsidRDefault="00CE0D94" w:rsidP="00CD363C">
            <w:pPr>
              <w:spacing w:after="0" w:line="240" w:lineRule="auto"/>
              <w:ind w:right="107"/>
              <w:jc w:val="both"/>
              <w:rPr>
                <w:sz w:val="2"/>
                <w:szCs w:val="2"/>
              </w:rPr>
            </w:pPr>
          </w:p>
        </w:tc>
        <w:tc>
          <w:tcPr>
            <w:tcW w:w="8814" w:type="dxa"/>
            <w:gridSpan w:val="7"/>
          </w:tcPr>
          <w:p w14:paraId="1A16C0BB"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06E2F32E" w14:textId="77777777" w:rsidTr="00FB6347">
        <w:trPr>
          <w:trHeight w:val="690"/>
        </w:trPr>
        <w:tc>
          <w:tcPr>
            <w:tcW w:w="816" w:type="dxa"/>
            <w:vMerge/>
            <w:tcBorders>
              <w:top w:val="nil"/>
            </w:tcBorders>
          </w:tcPr>
          <w:p w14:paraId="10784F17" w14:textId="77777777" w:rsidR="00CE0D94" w:rsidRDefault="00CE0D94" w:rsidP="00CD363C">
            <w:pPr>
              <w:spacing w:after="0" w:line="240" w:lineRule="auto"/>
              <w:ind w:right="107"/>
              <w:jc w:val="both"/>
              <w:rPr>
                <w:sz w:val="2"/>
                <w:szCs w:val="2"/>
              </w:rPr>
            </w:pPr>
          </w:p>
        </w:tc>
        <w:tc>
          <w:tcPr>
            <w:tcW w:w="3292" w:type="dxa"/>
            <w:gridSpan w:val="4"/>
          </w:tcPr>
          <w:p w14:paraId="727ED9BA" w14:textId="77777777" w:rsidR="00CE0D94" w:rsidRDefault="00CE0D94" w:rsidP="00CD363C">
            <w:pPr>
              <w:pStyle w:val="TableParagraph"/>
              <w:ind w:right="107"/>
              <w:jc w:val="both"/>
              <w:rPr>
                <w:i/>
                <w:sz w:val="19"/>
              </w:rPr>
            </w:pPr>
          </w:p>
          <w:p w14:paraId="0773B381" w14:textId="77777777" w:rsidR="00CE0D94" w:rsidRDefault="00CE0D94" w:rsidP="00CD363C">
            <w:pPr>
              <w:pStyle w:val="TableParagraph"/>
              <w:ind w:left="107" w:right="107"/>
              <w:jc w:val="both"/>
              <w:rPr>
                <w:sz w:val="20"/>
              </w:rPr>
            </w:pPr>
            <w:r>
              <w:rPr>
                <w:sz w:val="20"/>
              </w:rPr>
              <w:t>D Finanšu saistības</w:t>
            </w:r>
          </w:p>
        </w:tc>
        <w:tc>
          <w:tcPr>
            <w:tcW w:w="987" w:type="dxa"/>
          </w:tcPr>
          <w:p w14:paraId="7CBA03F2" w14:textId="77777777" w:rsidR="00CE0D94" w:rsidRDefault="00CE0D94" w:rsidP="00CD363C">
            <w:pPr>
              <w:pStyle w:val="TableParagraph"/>
              <w:ind w:right="107"/>
              <w:jc w:val="both"/>
              <w:rPr>
                <w:i/>
                <w:sz w:val="19"/>
              </w:rPr>
            </w:pPr>
          </w:p>
          <w:p w14:paraId="073661F0" w14:textId="77777777" w:rsidR="00CE0D94" w:rsidRDefault="00CE0D94" w:rsidP="00CD363C">
            <w:pPr>
              <w:pStyle w:val="TableParagraph"/>
              <w:ind w:right="107"/>
              <w:jc w:val="both"/>
              <w:rPr>
                <w:sz w:val="20"/>
              </w:rPr>
            </w:pPr>
            <w:r>
              <w:rPr>
                <w:sz w:val="20"/>
              </w:rPr>
              <w:t>5130</w:t>
            </w:r>
          </w:p>
        </w:tc>
        <w:tc>
          <w:tcPr>
            <w:tcW w:w="2965" w:type="dxa"/>
          </w:tcPr>
          <w:p w14:paraId="4C57F3F3" w14:textId="77777777" w:rsidR="00CE0D94" w:rsidRDefault="00CE0D94" w:rsidP="00CD363C">
            <w:pPr>
              <w:pStyle w:val="TableParagraph"/>
              <w:ind w:left="106" w:right="107"/>
              <w:jc w:val="both"/>
              <w:rPr>
                <w:sz w:val="20"/>
              </w:rPr>
            </w:pPr>
            <w:r>
              <w:rPr>
                <w:sz w:val="20"/>
              </w:rPr>
              <w:t>Ilgtermiņa saistības pret</w:t>
            </w:r>
          </w:p>
          <w:p w14:paraId="6536A138" w14:textId="77777777" w:rsidR="00CE0D94" w:rsidRDefault="00CE0D94" w:rsidP="00CD363C">
            <w:pPr>
              <w:pStyle w:val="TableParagraph"/>
              <w:ind w:left="106" w:right="107"/>
              <w:jc w:val="both"/>
              <w:rPr>
                <w:sz w:val="20"/>
              </w:rPr>
            </w:pPr>
            <w:r>
              <w:rPr>
                <w:sz w:val="20"/>
              </w:rPr>
              <w:t>piegādātajiem un darbuzņēmējiem</w:t>
            </w:r>
          </w:p>
        </w:tc>
        <w:tc>
          <w:tcPr>
            <w:tcW w:w="1570" w:type="dxa"/>
          </w:tcPr>
          <w:p w14:paraId="7BD3C96A" w14:textId="77777777" w:rsidR="00CE0D94" w:rsidRDefault="00CE0D94" w:rsidP="00CD363C">
            <w:pPr>
              <w:pStyle w:val="TableParagraph"/>
              <w:ind w:right="107"/>
              <w:jc w:val="both"/>
              <w:rPr>
                <w:sz w:val="20"/>
              </w:rPr>
            </w:pPr>
            <w:r>
              <w:rPr>
                <w:sz w:val="20"/>
              </w:rPr>
              <w:t>121 113,41</w:t>
            </w:r>
          </w:p>
        </w:tc>
      </w:tr>
      <w:tr w:rsidR="00CE0D94" w14:paraId="762CBD47" w14:textId="77777777" w:rsidTr="00FB6347">
        <w:trPr>
          <w:trHeight w:val="689"/>
        </w:trPr>
        <w:tc>
          <w:tcPr>
            <w:tcW w:w="816" w:type="dxa"/>
            <w:vMerge/>
            <w:tcBorders>
              <w:top w:val="nil"/>
            </w:tcBorders>
          </w:tcPr>
          <w:p w14:paraId="4B97CF00" w14:textId="77777777" w:rsidR="00CE0D94" w:rsidRDefault="00CE0D94" w:rsidP="00CD363C">
            <w:pPr>
              <w:spacing w:after="0" w:line="240" w:lineRule="auto"/>
              <w:ind w:right="107"/>
              <w:jc w:val="both"/>
              <w:rPr>
                <w:sz w:val="2"/>
                <w:szCs w:val="2"/>
              </w:rPr>
            </w:pPr>
          </w:p>
        </w:tc>
        <w:tc>
          <w:tcPr>
            <w:tcW w:w="3292" w:type="dxa"/>
            <w:gridSpan w:val="4"/>
          </w:tcPr>
          <w:p w14:paraId="19ED220C" w14:textId="77777777" w:rsidR="00CE0D94" w:rsidRDefault="00CE0D94" w:rsidP="00CD363C">
            <w:pPr>
              <w:pStyle w:val="TableParagraph"/>
              <w:ind w:right="107"/>
              <w:jc w:val="both"/>
              <w:rPr>
                <w:i/>
                <w:sz w:val="19"/>
              </w:rPr>
            </w:pPr>
          </w:p>
          <w:p w14:paraId="393FE12E" w14:textId="77777777" w:rsidR="00CE0D94" w:rsidRDefault="00CE0D94" w:rsidP="00CD363C">
            <w:pPr>
              <w:pStyle w:val="TableParagraph"/>
              <w:ind w:left="107" w:right="107"/>
              <w:jc w:val="both"/>
              <w:rPr>
                <w:sz w:val="20"/>
              </w:rPr>
            </w:pPr>
            <w:r>
              <w:rPr>
                <w:sz w:val="20"/>
              </w:rPr>
              <w:t>K Finanšu saistības</w:t>
            </w:r>
          </w:p>
        </w:tc>
        <w:tc>
          <w:tcPr>
            <w:tcW w:w="987" w:type="dxa"/>
          </w:tcPr>
          <w:p w14:paraId="62AE6BBD" w14:textId="77777777" w:rsidR="00CE0D94" w:rsidRDefault="00CE0D94" w:rsidP="00CD363C">
            <w:pPr>
              <w:pStyle w:val="TableParagraph"/>
              <w:ind w:right="107"/>
              <w:jc w:val="both"/>
              <w:rPr>
                <w:i/>
                <w:sz w:val="19"/>
              </w:rPr>
            </w:pPr>
          </w:p>
          <w:p w14:paraId="58681D2E" w14:textId="77777777" w:rsidR="00CE0D94" w:rsidRDefault="00CE0D94" w:rsidP="00CD363C">
            <w:pPr>
              <w:pStyle w:val="TableParagraph"/>
              <w:ind w:right="107"/>
              <w:jc w:val="both"/>
              <w:rPr>
                <w:sz w:val="20"/>
              </w:rPr>
            </w:pPr>
            <w:r>
              <w:rPr>
                <w:sz w:val="20"/>
              </w:rPr>
              <w:t>5310</w:t>
            </w:r>
          </w:p>
        </w:tc>
        <w:tc>
          <w:tcPr>
            <w:tcW w:w="2965" w:type="dxa"/>
          </w:tcPr>
          <w:p w14:paraId="2D3460A7" w14:textId="77777777" w:rsidR="00CE0D94" w:rsidRDefault="00CE0D94" w:rsidP="00CD363C">
            <w:pPr>
              <w:pStyle w:val="TableParagraph"/>
              <w:ind w:left="156" w:right="107"/>
              <w:jc w:val="both"/>
              <w:rPr>
                <w:sz w:val="20"/>
              </w:rPr>
            </w:pPr>
            <w:r>
              <w:rPr>
                <w:sz w:val="20"/>
              </w:rPr>
              <w:t>Īstermiņa saistības pret</w:t>
            </w:r>
          </w:p>
          <w:p w14:paraId="4D6CB292" w14:textId="77777777" w:rsidR="00CE0D94" w:rsidRDefault="00CE0D94" w:rsidP="00CD363C">
            <w:pPr>
              <w:pStyle w:val="TableParagraph"/>
              <w:ind w:left="106" w:right="107"/>
              <w:jc w:val="both"/>
              <w:rPr>
                <w:sz w:val="20"/>
              </w:rPr>
            </w:pPr>
            <w:r>
              <w:rPr>
                <w:sz w:val="20"/>
              </w:rPr>
              <w:t>piegādātājiem un darbuzņēmējiem</w:t>
            </w:r>
          </w:p>
        </w:tc>
        <w:tc>
          <w:tcPr>
            <w:tcW w:w="1570" w:type="dxa"/>
          </w:tcPr>
          <w:p w14:paraId="5E0B64F4" w14:textId="77777777" w:rsidR="00CE0D94" w:rsidRDefault="00CE0D94" w:rsidP="00CD363C">
            <w:pPr>
              <w:pStyle w:val="TableParagraph"/>
              <w:ind w:right="107"/>
              <w:jc w:val="both"/>
              <w:rPr>
                <w:sz w:val="20"/>
              </w:rPr>
            </w:pPr>
            <w:r>
              <w:rPr>
                <w:sz w:val="20"/>
              </w:rPr>
              <w:t>121 113,41</w:t>
            </w:r>
          </w:p>
        </w:tc>
      </w:tr>
      <w:tr w:rsidR="00CE0D94" w14:paraId="287EC880" w14:textId="77777777" w:rsidTr="00FB6347">
        <w:trPr>
          <w:trHeight w:val="230"/>
        </w:trPr>
        <w:tc>
          <w:tcPr>
            <w:tcW w:w="816" w:type="dxa"/>
            <w:vMerge w:val="restart"/>
          </w:tcPr>
          <w:p w14:paraId="2D66486D" w14:textId="77777777" w:rsidR="00CE0D94" w:rsidRDefault="00CE0D94" w:rsidP="00CD363C">
            <w:pPr>
              <w:pStyle w:val="TableParagraph"/>
              <w:ind w:right="107"/>
              <w:jc w:val="both"/>
              <w:rPr>
                <w:b/>
                <w:sz w:val="20"/>
              </w:rPr>
            </w:pPr>
            <w:r>
              <w:rPr>
                <w:b/>
                <w:w w:val="99"/>
                <w:sz w:val="20"/>
              </w:rPr>
              <w:t>4</w:t>
            </w:r>
          </w:p>
        </w:tc>
        <w:tc>
          <w:tcPr>
            <w:tcW w:w="8814" w:type="dxa"/>
            <w:gridSpan w:val="7"/>
          </w:tcPr>
          <w:p w14:paraId="47F54C59" w14:textId="77777777" w:rsidR="00CE0D94" w:rsidRDefault="00CE0D94" w:rsidP="00CD363C">
            <w:pPr>
              <w:pStyle w:val="TableParagraph"/>
              <w:ind w:left="107" w:right="107"/>
              <w:jc w:val="both"/>
              <w:rPr>
                <w:b/>
                <w:sz w:val="20"/>
              </w:rPr>
            </w:pPr>
            <w:r>
              <w:rPr>
                <w:b/>
                <w:sz w:val="20"/>
              </w:rPr>
              <w:t>Maksājuma veikšana</w:t>
            </w:r>
          </w:p>
        </w:tc>
      </w:tr>
      <w:tr w:rsidR="00CE0D94" w14:paraId="01BEC396" w14:textId="77777777" w:rsidTr="00FB6347">
        <w:trPr>
          <w:trHeight w:val="690"/>
        </w:trPr>
        <w:tc>
          <w:tcPr>
            <w:tcW w:w="816" w:type="dxa"/>
            <w:vMerge/>
            <w:tcBorders>
              <w:top w:val="nil"/>
            </w:tcBorders>
          </w:tcPr>
          <w:p w14:paraId="22DEABFF" w14:textId="77777777" w:rsidR="00CE0D94" w:rsidRDefault="00CE0D94" w:rsidP="00CD363C">
            <w:pPr>
              <w:spacing w:after="0" w:line="240" w:lineRule="auto"/>
              <w:ind w:right="107"/>
              <w:jc w:val="both"/>
              <w:rPr>
                <w:sz w:val="2"/>
                <w:szCs w:val="2"/>
              </w:rPr>
            </w:pPr>
          </w:p>
        </w:tc>
        <w:tc>
          <w:tcPr>
            <w:tcW w:w="3292" w:type="dxa"/>
            <w:gridSpan w:val="4"/>
          </w:tcPr>
          <w:p w14:paraId="537912C7" w14:textId="77777777" w:rsidR="00CE0D94" w:rsidRDefault="00CE0D94" w:rsidP="00CD363C">
            <w:pPr>
              <w:pStyle w:val="TableParagraph"/>
              <w:ind w:right="107"/>
              <w:jc w:val="both"/>
              <w:rPr>
                <w:i/>
                <w:sz w:val="19"/>
              </w:rPr>
            </w:pPr>
          </w:p>
          <w:p w14:paraId="66D23E86" w14:textId="77777777" w:rsidR="00CE0D94" w:rsidRDefault="00CE0D94" w:rsidP="00CD363C">
            <w:pPr>
              <w:pStyle w:val="TableParagraph"/>
              <w:ind w:left="107" w:right="107"/>
              <w:jc w:val="both"/>
              <w:rPr>
                <w:sz w:val="20"/>
              </w:rPr>
            </w:pPr>
            <w:r>
              <w:rPr>
                <w:sz w:val="20"/>
              </w:rPr>
              <w:t>D Finanšu saistības</w:t>
            </w:r>
          </w:p>
        </w:tc>
        <w:tc>
          <w:tcPr>
            <w:tcW w:w="987" w:type="dxa"/>
          </w:tcPr>
          <w:p w14:paraId="2AB5798A" w14:textId="77777777" w:rsidR="00CE0D94" w:rsidRDefault="00CE0D94" w:rsidP="00CD363C">
            <w:pPr>
              <w:pStyle w:val="TableParagraph"/>
              <w:ind w:right="107"/>
              <w:jc w:val="both"/>
              <w:rPr>
                <w:i/>
                <w:sz w:val="19"/>
              </w:rPr>
            </w:pPr>
          </w:p>
          <w:p w14:paraId="0F047B54" w14:textId="77777777" w:rsidR="00CE0D94" w:rsidRDefault="00CE0D94" w:rsidP="00CD363C">
            <w:pPr>
              <w:pStyle w:val="TableParagraph"/>
              <w:ind w:right="107"/>
              <w:jc w:val="both"/>
              <w:rPr>
                <w:sz w:val="20"/>
              </w:rPr>
            </w:pPr>
            <w:r>
              <w:rPr>
                <w:sz w:val="20"/>
              </w:rPr>
              <w:t>5310</w:t>
            </w:r>
          </w:p>
        </w:tc>
        <w:tc>
          <w:tcPr>
            <w:tcW w:w="2965" w:type="dxa"/>
          </w:tcPr>
          <w:p w14:paraId="39FBF0FA" w14:textId="77777777" w:rsidR="00CE0D94" w:rsidRDefault="00CE0D94" w:rsidP="00CD363C">
            <w:pPr>
              <w:pStyle w:val="TableParagraph"/>
              <w:ind w:left="106" w:right="107"/>
              <w:jc w:val="both"/>
              <w:rPr>
                <w:sz w:val="20"/>
              </w:rPr>
            </w:pPr>
            <w:r>
              <w:rPr>
                <w:sz w:val="20"/>
              </w:rPr>
              <w:t>Īstermiņa saistības pret piegādātājiem un</w:t>
            </w:r>
          </w:p>
          <w:p w14:paraId="115867C9" w14:textId="77777777" w:rsidR="00CE0D94" w:rsidRDefault="00CE0D94" w:rsidP="00CD363C">
            <w:pPr>
              <w:pStyle w:val="TableParagraph"/>
              <w:ind w:left="106" w:right="107"/>
              <w:jc w:val="both"/>
              <w:rPr>
                <w:sz w:val="20"/>
              </w:rPr>
            </w:pPr>
            <w:r>
              <w:rPr>
                <w:sz w:val="20"/>
              </w:rPr>
              <w:t>darbuzņēmējiem</w:t>
            </w:r>
          </w:p>
        </w:tc>
        <w:tc>
          <w:tcPr>
            <w:tcW w:w="1570" w:type="dxa"/>
          </w:tcPr>
          <w:p w14:paraId="07925002" w14:textId="77777777" w:rsidR="00CE0D94" w:rsidRDefault="00CE0D94" w:rsidP="00CD363C">
            <w:pPr>
              <w:pStyle w:val="TableParagraph"/>
              <w:ind w:right="107"/>
              <w:jc w:val="both"/>
              <w:rPr>
                <w:i/>
                <w:sz w:val="19"/>
              </w:rPr>
            </w:pPr>
          </w:p>
          <w:p w14:paraId="131402DE" w14:textId="77777777" w:rsidR="00CE0D94" w:rsidRDefault="00CE0D94" w:rsidP="00CD363C">
            <w:pPr>
              <w:pStyle w:val="TableParagraph"/>
              <w:ind w:right="107"/>
              <w:jc w:val="both"/>
              <w:rPr>
                <w:sz w:val="20"/>
              </w:rPr>
            </w:pPr>
            <w:r>
              <w:rPr>
                <w:sz w:val="20"/>
              </w:rPr>
              <w:t>200 000,00</w:t>
            </w:r>
          </w:p>
        </w:tc>
      </w:tr>
      <w:tr w:rsidR="00CE0D94" w14:paraId="4D337F9C" w14:textId="77777777" w:rsidTr="00FB6347">
        <w:trPr>
          <w:trHeight w:val="256"/>
        </w:trPr>
        <w:tc>
          <w:tcPr>
            <w:tcW w:w="816" w:type="dxa"/>
            <w:vMerge/>
            <w:tcBorders>
              <w:top w:val="nil"/>
            </w:tcBorders>
          </w:tcPr>
          <w:p w14:paraId="0E62092B" w14:textId="77777777" w:rsidR="00CE0D94" w:rsidRDefault="00CE0D94" w:rsidP="00CD363C">
            <w:pPr>
              <w:spacing w:after="0" w:line="240" w:lineRule="auto"/>
              <w:ind w:right="107"/>
              <w:jc w:val="both"/>
              <w:rPr>
                <w:sz w:val="2"/>
                <w:szCs w:val="2"/>
              </w:rPr>
            </w:pPr>
          </w:p>
        </w:tc>
        <w:tc>
          <w:tcPr>
            <w:tcW w:w="3292" w:type="dxa"/>
            <w:gridSpan w:val="4"/>
          </w:tcPr>
          <w:p w14:paraId="62066886" w14:textId="77777777" w:rsidR="00CE0D94" w:rsidRDefault="00CE0D94" w:rsidP="00CD363C">
            <w:pPr>
              <w:pStyle w:val="TableParagraph"/>
              <w:ind w:left="107" w:right="107"/>
              <w:jc w:val="both"/>
              <w:rPr>
                <w:sz w:val="20"/>
              </w:rPr>
            </w:pPr>
            <w:r>
              <w:rPr>
                <w:sz w:val="20"/>
              </w:rPr>
              <w:t>K Nauda</w:t>
            </w:r>
          </w:p>
        </w:tc>
        <w:tc>
          <w:tcPr>
            <w:tcW w:w="987" w:type="dxa"/>
          </w:tcPr>
          <w:p w14:paraId="2AE4CC79" w14:textId="77777777" w:rsidR="00CE0D94" w:rsidRDefault="00CE0D94" w:rsidP="00CD363C">
            <w:pPr>
              <w:pStyle w:val="TableParagraph"/>
              <w:ind w:right="107"/>
              <w:jc w:val="both"/>
              <w:rPr>
                <w:sz w:val="20"/>
              </w:rPr>
            </w:pPr>
            <w:r>
              <w:rPr>
                <w:sz w:val="20"/>
              </w:rPr>
              <w:t>2600</w:t>
            </w:r>
          </w:p>
        </w:tc>
        <w:tc>
          <w:tcPr>
            <w:tcW w:w="2965" w:type="dxa"/>
          </w:tcPr>
          <w:p w14:paraId="26851819" w14:textId="77777777" w:rsidR="00CE0D94" w:rsidRDefault="00CE0D94" w:rsidP="00CD363C">
            <w:pPr>
              <w:pStyle w:val="TableParagraph"/>
              <w:ind w:left="106" w:right="107"/>
              <w:jc w:val="both"/>
              <w:rPr>
                <w:sz w:val="20"/>
              </w:rPr>
            </w:pPr>
            <w:r>
              <w:rPr>
                <w:sz w:val="20"/>
              </w:rPr>
              <w:t>Naudas līdzekļi</w:t>
            </w:r>
          </w:p>
        </w:tc>
        <w:tc>
          <w:tcPr>
            <w:tcW w:w="1570" w:type="dxa"/>
          </w:tcPr>
          <w:p w14:paraId="5AFA3E43" w14:textId="77777777" w:rsidR="00CE0D94" w:rsidRDefault="00CE0D94" w:rsidP="00CD363C">
            <w:pPr>
              <w:pStyle w:val="TableParagraph"/>
              <w:ind w:right="107"/>
              <w:jc w:val="both"/>
              <w:rPr>
                <w:sz w:val="20"/>
              </w:rPr>
            </w:pPr>
            <w:r>
              <w:rPr>
                <w:sz w:val="20"/>
              </w:rPr>
              <w:t>200 000,00</w:t>
            </w:r>
          </w:p>
        </w:tc>
      </w:tr>
      <w:tr w:rsidR="00CE0D94" w14:paraId="5E4DD87D" w14:textId="77777777" w:rsidTr="00FB6347">
        <w:trPr>
          <w:trHeight w:val="253"/>
        </w:trPr>
        <w:tc>
          <w:tcPr>
            <w:tcW w:w="816" w:type="dxa"/>
            <w:vMerge/>
            <w:tcBorders>
              <w:top w:val="nil"/>
            </w:tcBorders>
          </w:tcPr>
          <w:p w14:paraId="4BB35365" w14:textId="77777777" w:rsidR="00CE0D94" w:rsidRDefault="00CE0D94" w:rsidP="00CD363C">
            <w:pPr>
              <w:spacing w:after="0" w:line="240" w:lineRule="auto"/>
              <w:ind w:right="107"/>
              <w:jc w:val="both"/>
              <w:rPr>
                <w:sz w:val="2"/>
                <w:szCs w:val="2"/>
              </w:rPr>
            </w:pPr>
          </w:p>
        </w:tc>
        <w:tc>
          <w:tcPr>
            <w:tcW w:w="8814" w:type="dxa"/>
            <w:gridSpan w:val="7"/>
          </w:tcPr>
          <w:p w14:paraId="39932DB9" w14:textId="77777777" w:rsidR="00CE0D94" w:rsidRDefault="00CE0D94" w:rsidP="00CD363C">
            <w:pPr>
              <w:pStyle w:val="TableParagraph"/>
              <w:ind w:left="107" w:right="107"/>
              <w:jc w:val="both"/>
              <w:rPr>
                <w:b/>
                <w:sz w:val="20"/>
              </w:rPr>
            </w:pPr>
            <w:r>
              <w:rPr>
                <w:b/>
                <w:sz w:val="20"/>
              </w:rPr>
              <w:t>Procentu izdevumi</w:t>
            </w:r>
          </w:p>
        </w:tc>
      </w:tr>
      <w:tr w:rsidR="00CE0D94" w14:paraId="674CED1A" w14:textId="77777777" w:rsidTr="00FB6347">
        <w:trPr>
          <w:trHeight w:val="253"/>
        </w:trPr>
        <w:tc>
          <w:tcPr>
            <w:tcW w:w="816" w:type="dxa"/>
            <w:vMerge/>
            <w:tcBorders>
              <w:top w:val="nil"/>
            </w:tcBorders>
          </w:tcPr>
          <w:p w14:paraId="6B771BC8" w14:textId="77777777" w:rsidR="00CE0D94" w:rsidRDefault="00CE0D94" w:rsidP="00CD363C">
            <w:pPr>
              <w:spacing w:after="0" w:line="240" w:lineRule="auto"/>
              <w:ind w:right="107"/>
              <w:jc w:val="both"/>
              <w:rPr>
                <w:sz w:val="2"/>
                <w:szCs w:val="2"/>
              </w:rPr>
            </w:pPr>
          </w:p>
        </w:tc>
        <w:tc>
          <w:tcPr>
            <w:tcW w:w="3292" w:type="dxa"/>
            <w:gridSpan w:val="4"/>
          </w:tcPr>
          <w:p w14:paraId="5371C8D5" w14:textId="77777777" w:rsidR="00CE0D94" w:rsidRDefault="00CE0D94" w:rsidP="00CD363C">
            <w:pPr>
              <w:pStyle w:val="TableParagraph"/>
              <w:ind w:left="107" w:right="107"/>
              <w:jc w:val="both"/>
              <w:rPr>
                <w:sz w:val="20"/>
              </w:rPr>
            </w:pPr>
            <w:r>
              <w:rPr>
                <w:sz w:val="20"/>
              </w:rPr>
              <w:t>D Procentu izdevumi</w:t>
            </w:r>
          </w:p>
        </w:tc>
        <w:tc>
          <w:tcPr>
            <w:tcW w:w="987" w:type="dxa"/>
          </w:tcPr>
          <w:p w14:paraId="4F3272E9" w14:textId="77777777" w:rsidR="00CE0D94" w:rsidRDefault="00CE0D94" w:rsidP="00CD363C">
            <w:pPr>
              <w:pStyle w:val="TableParagraph"/>
              <w:ind w:right="107"/>
              <w:jc w:val="both"/>
              <w:rPr>
                <w:sz w:val="20"/>
              </w:rPr>
            </w:pPr>
            <w:r>
              <w:rPr>
                <w:sz w:val="20"/>
              </w:rPr>
              <w:t>8220</w:t>
            </w:r>
          </w:p>
        </w:tc>
        <w:tc>
          <w:tcPr>
            <w:tcW w:w="2965" w:type="dxa"/>
          </w:tcPr>
          <w:p w14:paraId="5D6F452F" w14:textId="77777777" w:rsidR="00CE0D94" w:rsidRDefault="00CE0D94" w:rsidP="00CD363C">
            <w:pPr>
              <w:pStyle w:val="TableParagraph"/>
              <w:ind w:left="106" w:right="107"/>
              <w:jc w:val="both"/>
              <w:rPr>
                <w:sz w:val="20"/>
              </w:rPr>
            </w:pPr>
            <w:r>
              <w:rPr>
                <w:sz w:val="20"/>
              </w:rPr>
              <w:t>Procentu izdevumi</w:t>
            </w:r>
          </w:p>
        </w:tc>
        <w:tc>
          <w:tcPr>
            <w:tcW w:w="1570" w:type="dxa"/>
          </w:tcPr>
          <w:p w14:paraId="10BE1589" w14:textId="77777777" w:rsidR="00CE0D94" w:rsidRDefault="00CE0D94" w:rsidP="00CD363C">
            <w:pPr>
              <w:pStyle w:val="TableParagraph"/>
              <w:ind w:right="107"/>
              <w:jc w:val="both"/>
              <w:rPr>
                <w:sz w:val="20"/>
              </w:rPr>
            </w:pPr>
            <w:r>
              <w:rPr>
                <w:sz w:val="20"/>
              </w:rPr>
              <w:t>59 402,71</w:t>
            </w:r>
          </w:p>
        </w:tc>
      </w:tr>
      <w:tr w:rsidR="00CE0D94" w14:paraId="033F9D28" w14:textId="77777777" w:rsidTr="00FB6347">
        <w:trPr>
          <w:trHeight w:val="256"/>
        </w:trPr>
        <w:tc>
          <w:tcPr>
            <w:tcW w:w="816" w:type="dxa"/>
            <w:vMerge/>
            <w:tcBorders>
              <w:top w:val="nil"/>
            </w:tcBorders>
          </w:tcPr>
          <w:p w14:paraId="0D30F177" w14:textId="77777777" w:rsidR="00CE0D94" w:rsidRDefault="00CE0D94" w:rsidP="00CD363C">
            <w:pPr>
              <w:spacing w:after="0" w:line="240" w:lineRule="auto"/>
              <w:ind w:right="107"/>
              <w:jc w:val="both"/>
              <w:rPr>
                <w:sz w:val="2"/>
                <w:szCs w:val="2"/>
              </w:rPr>
            </w:pPr>
          </w:p>
        </w:tc>
        <w:tc>
          <w:tcPr>
            <w:tcW w:w="3292" w:type="dxa"/>
            <w:gridSpan w:val="4"/>
          </w:tcPr>
          <w:p w14:paraId="29AC0EBD" w14:textId="77777777" w:rsidR="00CE0D94" w:rsidRDefault="00CE0D94" w:rsidP="00CD363C">
            <w:pPr>
              <w:pStyle w:val="TableParagraph"/>
              <w:ind w:left="107" w:right="107"/>
              <w:jc w:val="both"/>
              <w:rPr>
                <w:sz w:val="20"/>
              </w:rPr>
            </w:pPr>
            <w:r>
              <w:rPr>
                <w:sz w:val="20"/>
              </w:rPr>
              <w:t>D Pakalpojuma izmaksas</w:t>
            </w:r>
          </w:p>
        </w:tc>
        <w:tc>
          <w:tcPr>
            <w:tcW w:w="987" w:type="dxa"/>
          </w:tcPr>
          <w:p w14:paraId="48BE3E74" w14:textId="77777777" w:rsidR="00CE0D94" w:rsidRDefault="00CE0D94" w:rsidP="00CD363C">
            <w:pPr>
              <w:pStyle w:val="TableParagraph"/>
              <w:ind w:right="107"/>
              <w:jc w:val="both"/>
              <w:rPr>
                <w:sz w:val="20"/>
              </w:rPr>
            </w:pPr>
            <w:r>
              <w:rPr>
                <w:sz w:val="20"/>
              </w:rPr>
              <w:t>7000</w:t>
            </w:r>
          </w:p>
        </w:tc>
        <w:tc>
          <w:tcPr>
            <w:tcW w:w="2965" w:type="dxa"/>
          </w:tcPr>
          <w:p w14:paraId="456EC128" w14:textId="77777777" w:rsidR="00CE0D94" w:rsidRDefault="00CE0D94" w:rsidP="00CD363C">
            <w:pPr>
              <w:pStyle w:val="TableParagraph"/>
              <w:ind w:left="106" w:right="107"/>
              <w:jc w:val="both"/>
              <w:rPr>
                <w:sz w:val="20"/>
              </w:rPr>
            </w:pPr>
            <w:r>
              <w:rPr>
                <w:sz w:val="20"/>
              </w:rPr>
              <w:t>Pamatdarbības izdevumi</w:t>
            </w:r>
          </w:p>
        </w:tc>
        <w:tc>
          <w:tcPr>
            <w:tcW w:w="1570" w:type="dxa"/>
          </w:tcPr>
          <w:p w14:paraId="44F4ED47" w14:textId="77777777" w:rsidR="00CE0D94" w:rsidRDefault="00CE0D94" w:rsidP="00CD363C">
            <w:pPr>
              <w:pStyle w:val="TableParagraph"/>
              <w:ind w:right="107"/>
              <w:jc w:val="both"/>
              <w:rPr>
                <w:sz w:val="20"/>
              </w:rPr>
            </w:pPr>
            <w:r>
              <w:rPr>
                <w:sz w:val="20"/>
              </w:rPr>
              <w:t>12 000,00</w:t>
            </w:r>
          </w:p>
        </w:tc>
      </w:tr>
    </w:tbl>
    <w:p w14:paraId="3A7CAB46" w14:textId="77777777" w:rsidR="00CE0D94" w:rsidRDefault="00CE0D94" w:rsidP="00CD363C">
      <w:pPr>
        <w:spacing w:after="0" w:line="240" w:lineRule="auto"/>
        <w:ind w:right="107"/>
        <w:jc w:val="both"/>
        <w:rPr>
          <w:sz w:val="20"/>
        </w:rPr>
        <w:sectPr w:rsidR="00CE0D94">
          <w:pgSz w:w="11910" w:h="16840"/>
          <w:pgMar w:top="840" w:right="420" w:bottom="1120" w:left="1200" w:header="0" w:footer="93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3291"/>
        <w:gridCol w:w="986"/>
        <w:gridCol w:w="2964"/>
        <w:gridCol w:w="1569"/>
      </w:tblGrid>
      <w:tr w:rsidR="00CE0D94" w14:paraId="6422DB1F" w14:textId="77777777" w:rsidTr="00FB6347">
        <w:trPr>
          <w:trHeight w:val="570"/>
        </w:trPr>
        <w:tc>
          <w:tcPr>
            <w:tcW w:w="816" w:type="dxa"/>
            <w:shd w:val="clear" w:color="auto" w:fill="F1F1F1"/>
          </w:tcPr>
          <w:p w14:paraId="5BC3688F" w14:textId="77777777" w:rsidR="00CE0D94" w:rsidRDefault="00CE0D94" w:rsidP="00CD363C">
            <w:pPr>
              <w:pStyle w:val="TableParagraph"/>
              <w:ind w:left="135" w:right="107"/>
              <w:jc w:val="both"/>
              <w:rPr>
                <w:b/>
                <w:sz w:val="20"/>
              </w:rPr>
            </w:pPr>
            <w:r>
              <w:rPr>
                <w:b/>
                <w:sz w:val="20"/>
              </w:rPr>
              <w:t>Gads</w:t>
            </w:r>
          </w:p>
        </w:tc>
        <w:tc>
          <w:tcPr>
            <w:tcW w:w="3291" w:type="dxa"/>
            <w:shd w:val="clear" w:color="auto" w:fill="F1F1F1"/>
          </w:tcPr>
          <w:p w14:paraId="728F1568" w14:textId="77777777" w:rsidR="00CE0D94" w:rsidRDefault="00CE0D94" w:rsidP="00CD363C">
            <w:pPr>
              <w:pStyle w:val="TableParagraph"/>
              <w:ind w:left="1342" w:right="107"/>
              <w:jc w:val="both"/>
              <w:rPr>
                <w:b/>
                <w:sz w:val="20"/>
              </w:rPr>
            </w:pPr>
            <w:r>
              <w:rPr>
                <w:b/>
                <w:sz w:val="20"/>
              </w:rPr>
              <w:t>Konts</w:t>
            </w:r>
          </w:p>
        </w:tc>
        <w:tc>
          <w:tcPr>
            <w:tcW w:w="986" w:type="dxa"/>
            <w:shd w:val="clear" w:color="auto" w:fill="F1F1F1"/>
          </w:tcPr>
          <w:p w14:paraId="7635205A" w14:textId="77777777" w:rsidR="00CE0D94" w:rsidRDefault="00CE0D94" w:rsidP="00CD363C">
            <w:pPr>
              <w:pStyle w:val="TableParagraph"/>
              <w:ind w:left="321" w:right="107" w:hanging="125"/>
              <w:jc w:val="both"/>
              <w:rPr>
                <w:b/>
                <w:sz w:val="20"/>
              </w:rPr>
            </w:pPr>
            <w:r>
              <w:rPr>
                <w:b/>
                <w:sz w:val="20"/>
              </w:rPr>
              <w:t>Konta Nr.</w:t>
            </w:r>
          </w:p>
        </w:tc>
        <w:tc>
          <w:tcPr>
            <w:tcW w:w="2964" w:type="dxa"/>
            <w:shd w:val="clear" w:color="auto" w:fill="F1F1F1"/>
          </w:tcPr>
          <w:p w14:paraId="6F271A59" w14:textId="77777777" w:rsidR="00CE0D94" w:rsidRDefault="00CE0D94" w:rsidP="00CD363C">
            <w:pPr>
              <w:pStyle w:val="TableParagraph"/>
              <w:ind w:left="677" w:right="107"/>
              <w:jc w:val="both"/>
              <w:rPr>
                <w:b/>
                <w:sz w:val="20"/>
              </w:rPr>
            </w:pPr>
            <w:r>
              <w:rPr>
                <w:b/>
                <w:sz w:val="20"/>
              </w:rPr>
              <w:t>Konta nosaukums</w:t>
            </w:r>
          </w:p>
        </w:tc>
        <w:tc>
          <w:tcPr>
            <w:tcW w:w="1569" w:type="dxa"/>
            <w:shd w:val="clear" w:color="auto" w:fill="F1F1F1"/>
          </w:tcPr>
          <w:p w14:paraId="4A2AB9B3" w14:textId="77777777" w:rsidR="00CE0D94" w:rsidRDefault="00CE0D94" w:rsidP="00CD363C">
            <w:pPr>
              <w:pStyle w:val="TableParagraph"/>
              <w:ind w:left="212" w:right="107" w:firstLine="218"/>
              <w:jc w:val="both"/>
              <w:rPr>
                <w:b/>
                <w:sz w:val="20"/>
              </w:rPr>
            </w:pPr>
            <w:r>
              <w:rPr>
                <w:b/>
                <w:sz w:val="20"/>
              </w:rPr>
              <w:t>Summa (tūkst. EUR)</w:t>
            </w:r>
          </w:p>
        </w:tc>
      </w:tr>
      <w:tr w:rsidR="00CE0D94" w14:paraId="5980A13E" w14:textId="77777777" w:rsidTr="00FB6347">
        <w:trPr>
          <w:trHeight w:val="688"/>
        </w:trPr>
        <w:tc>
          <w:tcPr>
            <w:tcW w:w="816" w:type="dxa"/>
            <w:vMerge w:val="restart"/>
          </w:tcPr>
          <w:p w14:paraId="283D1EF6" w14:textId="77777777" w:rsidR="00CE0D94" w:rsidRDefault="00CE0D94" w:rsidP="00CD363C">
            <w:pPr>
              <w:pStyle w:val="TableParagraph"/>
              <w:ind w:right="107"/>
              <w:jc w:val="both"/>
              <w:rPr>
                <w:sz w:val="18"/>
              </w:rPr>
            </w:pPr>
          </w:p>
        </w:tc>
        <w:tc>
          <w:tcPr>
            <w:tcW w:w="3291" w:type="dxa"/>
          </w:tcPr>
          <w:p w14:paraId="4BD99005" w14:textId="77777777" w:rsidR="00CE0D94" w:rsidRDefault="00CE0D94" w:rsidP="00CD363C">
            <w:pPr>
              <w:pStyle w:val="TableParagraph"/>
              <w:ind w:right="107"/>
              <w:jc w:val="both"/>
              <w:rPr>
                <w:i/>
                <w:sz w:val="18"/>
              </w:rPr>
            </w:pPr>
          </w:p>
          <w:p w14:paraId="7476E2AF" w14:textId="77777777" w:rsidR="00CE0D94" w:rsidRDefault="00CE0D94" w:rsidP="00CD363C">
            <w:pPr>
              <w:pStyle w:val="TableParagraph"/>
              <w:ind w:left="107" w:right="107"/>
              <w:jc w:val="both"/>
              <w:rPr>
                <w:sz w:val="20"/>
              </w:rPr>
            </w:pPr>
            <w:r>
              <w:rPr>
                <w:sz w:val="20"/>
              </w:rPr>
              <w:t>K Procentu izdevumi</w:t>
            </w:r>
          </w:p>
        </w:tc>
        <w:tc>
          <w:tcPr>
            <w:tcW w:w="986" w:type="dxa"/>
          </w:tcPr>
          <w:p w14:paraId="0FE34FBC" w14:textId="77777777" w:rsidR="00CE0D94" w:rsidRDefault="00CE0D94" w:rsidP="00CD363C">
            <w:pPr>
              <w:pStyle w:val="TableParagraph"/>
              <w:ind w:right="107"/>
              <w:jc w:val="both"/>
              <w:rPr>
                <w:i/>
                <w:sz w:val="18"/>
              </w:rPr>
            </w:pPr>
          </w:p>
          <w:p w14:paraId="1E769207" w14:textId="77777777" w:rsidR="00CE0D94" w:rsidRDefault="00CE0D94" w:rsidP="00CD363C">
            <w:pPr>
              <w:pStyle w:val="TableParagraph"/>
              <w:ind w:left="264" w:right="107"/>
              <w:jc w:val="both"/>
              <w:rPr>
                <w:sz w:val="20"/>
              </w:rPr>
            </w:pPr>
            <w:r>
              <w:rPr>
                <w:sz w:val="20"/>
              </w:rPr>
              <w:t>5310</w:t>
            </w:r>
          </w:p>
        </w:tc>
        <w:tc>
          <w:tcPr>
            <w:tcW w:w="2964" w:type="dxa"/>
          </w:tcPr>
          <w:p w14:paraId="45CCC8E5" w14:textId="77777777" w:rsidR="00CE0D94" w:rsidRDefault="00CE0D94" w:rsidP="00CD363C">
            <w:pPr>
              <w:pStyle w:val="TableParagraph"/>
              <w:ind w:left="108" w:right="107"/>
              <w:jc w:val="both"/>
              <w:rPr>
                <w:sz w:val="20"/>
              </w:rPr>
            </w:pPr>
            <w:r>
              <w:rPr>
                <w:sz w:val="20"/>
              </w:rPr>
              <w:t>Īstermiņa saistības pret piegādātājiem un</w:t>
            </w:r>
          </w:p>
          <w:p w14:paraId="5C43D56D" w14:textId="77777777" w:rsidR="00CE0D94" w:rsidRDefault="00CE0D94" w:rsidP="00CD363C">
            <w:pPr>
              <w:pStyle w:val="TableParagraph"/>
              <w:ind w:left="108" w:right="107"/>
              <w:jc w:val="both"/>
              <w:rPr>
                <w:sz w:val="20"/>
              </w:rPr>
            </w:pPr>
            <w:r>
              <w:rPr>
                <w:sz w:val="20"/>
              </w:rPr>
              <w:t>darbuzņēmējiem</w:t>
            </w:r>
          </w:p>
        </w:tc>
        <w:tc>
          <w:tcPr>
            <w:tcW w:w="1569" w:type="dxa"/>
          </w:tcPr>
          <w:p w14:paraId="315FA771" w14:textId="77777777" w:rsidR="00CE0D94" w:rsidRDefault="00CE0D94" w:rsidP="00CD363C">
            <w:pPr>
              <w:pStyle w:val="TableParagraph"/>
              <w:ind w:right="107"/>
              <w:jc w:val="both"/>
              <w:rPr>
                <w:i/>
                <w:sz w:val="18"/>
              </w:rPr>
            </w:pPr>
          </w:p>
          <w:p w14:paraId="3DA762A8" w14:textId="77777777" w:rsidR="00CE0D94" w:rsidRDefault="00CE0D94" w:rsidP="00CD363C">
            <w:pPr>
              <w:pStyle w:val="TableParagraph"/>
              <w:ind w:right="107"/>
              <w:jc w:val="both"/>
              <w:rPr>
                <w:sz w:val="20"/>
              </w:rPr>
            </w:pPr>
            <w:r>
              <w:rPr>
                <w:sz w:val="20"/>
              </w:rPr>
              <w:t>71 402,71</w:t>
            </w:r>
          </w:p>
        </w:tc>
      </w:tr>
      <w:tr w:rsidR="00CE0D94" w14:paraId="2FA928F9" w14:textId="77777777" w:rsidTr="00FB6347">
        <w:trPr>
          <w:trHeight w:val="256"/>
        </w:trPr>
        <w:tc>
          <w:tcPr>
            <w:tcW w:w="816" w:type="dxa"/>
            <w:vMerge/>
            <w:tcBorders>
              <w:top w:val="nil"/>
            </w:tcBorders>
          </w:tcPr>
          <w:p w14:paraId="36B6BC0A" w14:textId="77777777" w:rsidR="00CE0D94" w:rsidRDefault="00CE0D94" w:rsidP="00CD363C">
            <w:pPr>
              <w:spacing w:after="0" w:line="240" w:lineRule="auto"/>
              <w:ind w:right="107"/>
              <w:jc w:val="both"/>
              <w:rPr>
                <w:sz w:val="2"/>
                <w:szCs w:val="2"/>
              </w:rPr>
            </w:pPr>
          </w:p>
        </w:tc>
        <w:tc>
          <w:tcPr>
            <w:tcW w:w="8810" w:type="dxa"/>
            <w:gridSpan w:val="4"/>
          </w:tcPr>
          <w:p w14:paraId="1B58906B" w14:textId="77777777" w:rsidR="00CE0D94" w:rsidRDefault="00CE0D94" w:rsidP="00CD363C">
            <w:pPr>
              <w:pStyle w:val="TableParagraph"/>
              <w:ind w:left="107" w:right="107"/>
              <w:jc w:val="both"/>
              <w:rPr>
                <w:b/>
                <w:sz w:val="20"/>
              </w:rPr>
            </w:pPr>
            <w:r>
              <w:rPr>
                <w:b/>
                <w:sz w:val="20"/>
              </w:rPr>
              <w:t>Nolietojuma uzskaite</w:t>
            </w:r>
          </w:p>
        </w:tc>
      </w:tr>
      <w:tr w:rsidR="00CE0D94" w14:paraId="2C9147F1" w14:textId="77777777" w:rsidTr="00FB6347">
        <w:trPr>
          <w:trHeight w:val="253"/>
        </w:trPr>
        <w:tc>
          <w:tcPr>
            <w:tcW w:w="816" w:type="dxa"/>
            <w:vMerge/>
            <w:tcBorders>
              <w:top w:val="nil"/>
            </w:tcBorders>
          </w:tcPr>
          <w:p w14:paraId="0795929B" w14:textId="77777777" w:rsidR="00CE0D94" w:rsidRDefault="00CE0D94" w:rsidP="00CD363C">
            <w:pPr>
              <w:spacing w:after="0" w:line="240" w:lineRule="auto"/>
              <w:ind w:right="107"/>
              <w:jc w:val="both"/>
              <w:rPr>
                <w:sz w:val="2"/>
                <w:szCs w:val="2"/>
              </w:rPr>
            </w:pPr>
          </w:p>
        </w:tc>
        <w:tc>
          <w:tcPr>
            <w:tcW w:w="3291" w:type="dxa"/>
          </w:tcPr>
          <w:p w14:paraId="1025F5FD" w14:textId="77777777" w:rsidR="00CE0D94" w:rsidRDefault="00CE0D94" w:rsidP="00CD363C">
            <w:pPr>
              <w:pStyle w:val="TableParagraph"/>
              <w:ind w:left="107" w:right="107"/>
              <w:jc w:val="both"/>
              <w:rPr>
                <w:sz w:val="20"/>
              </w:rPr>
            </w:pPr>
            <w:r>
              <w:rPr>
                <w:sz w:val="20"/>
              </w:rPr>
              <w:t>D Nolietojuma izdevumi</w:t>
            </w:r>
          </w:p>
        </w:tc>
        <w:tc>
          <w:tcPr>
            <w:tcW w:w="986" w:type="dxa"/>
          </w:tcPr>
          <w:p w14:paraId="1B5AAECC" w14:textId="77777777" w:rsidR="00CE0D94" w:rsidRDefault="00CE0D94" w:rsidP="00CD363C">
            <w:pPr>
              <w:pStyle w:val="TableParagraph"/>
              <w:ind w:left="264" w:right="107"/>
              <w:jc w:val="both"/>
              <w:rPr>
                <w:sz w:val="20"/>
              </w:rPr>
            </w:pPr>
            <w:r>
              <w:rPr>
                <w:sz w:val="20"/>
              </w:rPr>
              <w:t>7000</w:t>
            </w:r>
          </w:p>
        </w:tc>
        <w:tc>
          <w:tcPr>
            <w:tcW w:w="2964" w:type="dxa"/>
          </w:tcPr>
          <w:p w14:paraId="00F09152" w14:textId="77777777" w:rsidR="00CE0D94" w:rsidRDefault="00CE0D94" w:rsidP="00CD363C">
            <w:pPr>
              <w:pStyle w:val="TableParagraph"/>
              <w:ind w:left="108" w:right="107"/>
              <w:jc w:val="both"/>
              <w:rPr>
                <w:sz w:val="20"/>
              </w:rPr>
            </w:pPr>
            <w:r>
              <w:rPr>
                <w:sz w:val="20"/>
              </w:rPr>
              <w:t>Pamatdarbības izdevumi</w:t>
            </w:r>
          </w:p>
        </w:tc>
        <w:tc>
          <w:tcPr>
            <w:tcW w:w="1569" w:type="dxa"/>
          </w:tcPr>
          <w:p w14:paraId="280395A9" w14:textId="77777777" w:rsidR="00CE0D94" w:rsidRDefault="00CE0D94" w:rsidP="00CD363C">
            <w:pPr>
              <w:pStyle w:val="TableParagraph"/>
              <w:ind w:right="107"/>
              <w:jc w:val="both"/>
              <w:rPr>
                <w:sz w:val="20"/>
              </w:rPr>
            </w:pPr>
            <w:r>
              <w:rPr>
                <w:sz w:val="20"/>
              </w:rPr>
              <w:t>65 333,33</w:t>
            </w:r>
          </w:p>
        </w:tc>
      </w:tr>
      <w:tr w:rsidR="00CE0D94" w14:paraId="2F757927" w14:textId="77777777" w:rsidTr="00FB6347">
        <w:trPr>
          <w:trHeight w:val="256"/>
        </w:trPr>
        <w:tc>
          <w:tcPr>
            <w:tcW w:w="816" w:type="dxa"/>
            <w:vMerge/>
            <w:tcBorders>
              <w:top w:val="nil"/>
            </w:tcBorders>
          </w:tcPr>
          <w:p w14:paraId="5C81BBD5" w14:textId="77777777" w:rsidR="00CE0D94" w:rsidRDefault="00CE0D94" w:rsidP="00CD363C">
            <w:pPr>
              <w:spacing w:after="0" w:line="240" w:lineRule="auto"/>
              <w:ind w:right="107"/>
              <w:jc w:val="both"/>
              <w:rPr>
                <w:sz w:val="2"/>
                <w:szCs w:val="2"/>
              </w:rPr>
            </w:pPr>
          </w:p>
        </w:tc>
        <w:tc>
          <w:tcPr>
            <w:tcW w:w="3291" w:type="dxa"/>
          </w:tcPr>
          <w:p w14:paraId="780FC350" w14:textId="77777777" w:rsidR="00CE0D94" w:rsidRDefault="00CE0D94" w:rsidP="00CD363C">
            <w:pPr>
              <w:pStyle w:val="TableParagraph"/>
              <w:ind w:left="107" w:right="107"/>
              <w:jc w:val="both"/>
              <w:rPr>
                <w:sz w:val="20"/>
              </w:rPr>
            </w:pPr>
            <w:r>
              <w:rPr>
                <w:sz w:val="20"/>
              </w:rPr>
              <w:t>K Uzkrātais nolietojums</w:t>
            </w:r>
          </w:p>
        </w:tc>
        <w:tc>
          <w:tcPr>
            <w:tcW w:w="986" w:type="dxa"/>
          </w:tcPr>
          <w:p w14:paraId="0FC4CFFF" w14:textId="77777777" w:rsidR="00CE0D94" w:rsidRDefault="00CE0D94" w:rsidP="00CD363C">
            <w:pPr>
              <w:pStyle w:val="TableParagraph"/>
              <w:ind w:left="264" w:right="107"/>
              <w:jc w:val="both"/>
              <w:rPr>
                <w:sz w:val="20"/>
              </w:rPr>
            </w:pPr>
            <w:r>
              <w:rPr>
                <w:sz w:val="20"/>
              </w:rPr>
              <w:t>1291</w:t>
            </w:r>
          </w:p>
        </w:tc>
        <w:tc>
          <w:tcPr>
            <w:tcW w:w="2964" w:type="dxa"/>
          </w:tcPr>
          <w:p w14:paraId="0C6C2DE6"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2D29963D" w14:textId="77777777" w:rsidR="00CE0D94" w:rsidRDefault="00CE0D94" w:rsidP="00CD363C">
            <w:pPr>
              <w:pStyle w:val="TableParagraph"/>
              <w:ind w:right="107"/>
              <w:jc w:val="both"/>
              <w:rPr>
                <w:sz w:val="20"/>
              </w:rPr>
            </w:pPr>
            <w:r>
              <w:rPr>
                <w:sz w:val="20"/>
              </w:rPr>
              <w:t>65 333,33</w:t>
            </w:r>
          </w:p>
        </w:tc>
      </w:tr>
      <w:tr w:rsidR="00CE0D94" w14:paraId="4304BFE5" w14:textId="77777777" w:rsidTr="00FB6347">
        <w:trPr>
          <w:trHeight w:val="254"/>
        </w:trPr>
        <w:tc>
          <w:tcPr>
            <w:tcW w:w="816" w:type="dxa"/>
            <w:vMerge/>
            <w:tcBorders>
              <w:top w:val="nil"/>
            </w:tcBorders>
          </w:tcPr>
          <w:p w14:paraId="48B5A296" w14:textId="77777777" w:rsidR="00CE0D94" w:rsidRDefault="00CE0D94" w:rsidP="00CD363C">
            <w:pPr>
              <w:spacing w:after="0" w:line="240" w:lineRule="auto"/>
              <w:ind w:right="107"/>
              <w:jc w:val="both"/>
              <w:rPr>
                <w:sz w:val="2"/>
                <w:szCs w:val="2"/>
              </w:rPr>
            </w:pPr>
          </w:p>
        </w:tc>
        <w:tc>
          <w:tcPr>
            <w:tcW w:w="8810" w:type="dxa"/>
            <w:gridSpan w:val="4"/>
          </w:tcPr>
          <w:p w14:paraId="7B2B3106"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40D62D6A" w14:textId="77777777" w:rsidTr="00FB6347">
        <w:trPr>
          <w:trHeight w:val="690"/>
        </w:trPr>
        <w:tc>
          <w:tcPr>
            <w:tcW w:w="816" w:type="dxa"/>
            <w:vMerge/>
            <w:tcBorders>
              <w:top w:val="nil"/>
            </w:tcBorders>
          </w:tcPr>
          <w:p w14:paraId="284292D4" w14:textId="77777777" w:rsidR="00CE0D94" w:rsidRDefault="00CE0D94" w:rsidP="00CD363C">
            <w:pPr>
              <w:spacing w:after="0" w:line="240" w:lineRule="auto"/>
              <w:ind w:right="107"/>
              <w:jc w:val="both"/>
              <w:rPr>
                <w:sz w:val="2"/>
                <w:szCs w:val="2"/>
              </w:rPr>
            </w:pPr>
          </w:p>
        </w:tc>
        <w:tc>
          <w:tcPr>
            <w:tcW w:w="3291" w:type="dxa"/>
          </w:tcPr>
          <w:p w14:paraId="1D07924E" w14:textId="77777777" w:rsidR="00CE0D94" w:rsidRDefault="00CE0D94" w:rsidP="00CD363C">
            <w:pPr>
              <w:pStyle w:val="TableParagraph"/>
              <w:ind w:right="107"/>
              <w:jc w:val="both"/>
              <w:rPr>
                <w:i/>
                <w:sz w:val="19"/>
              </w:rPr>
            </w:pPr>
          </w:p>
          <w:p w14:paraId="46847228" w14:textId="77777777" w:rsidR="00CE0D94" w:rsidRDefault="00CE0D94" w:rsidP="00CD363C">
            <w:pPr>
              <w:pStyle w:val="TableParagraph"/>
              <w:ind w:left="107" w:right="107"/>
              <w:jc w:val="both"/>
              <w:rPr>
                <w:sz w:val="20"/>
              </w:rPr>
            </w:pPr>
            <w:r>
              <w:rPr>
                <w:sz w:val="20"/>
              </w:rPr>
              <w:t>D Finanšu saistības</w:t>
            </w:r>
          </w:p>
        </w:tc>
        <w:tc>
          <w:tcPr>
            <w:tcW w:w="986" w:type="dxa"/>
          </w:tcPr>
          <w:p w14:paraId="621C4EBB" w14:textId="77777777" w:rsidR="00CE0D94" w:rsidRDefault="00CE0D94" w:rsidP="00CD363C">
            <w:pPr>
              <w:pStyle w:val="TableParagraph"/>
              <w:ind w:right="107"/>
              <w:jc w:val="both"/>
              <w:rPr>
                <w:i/>
                <w:sz w:val="19"/>
              </w:rPr>
            </w:pPr>
          </w:p>
          <w:p w14:paraId="730552D8" w14:textId="77777777" w:rsidR="00CE0D94" w:rsidRDefault="00CE0D94" w:rsidP="00CD363C">
            <w:pPr>
              <w:pStyle w:val="TableParagraph"/>
              <w:ind w:left="264" w:right="107"/>
              <w:jc w:val="both"/>
              <w:rPr>
                <w:sz w:val="20"/>
              </w:rPr>
            </w:pPr>
            <w:r>
              <w:rPr>
                <w:sz w:val="20"/>
              </w:rPr>
              <w:t>5130</w:t>
            </w:r>
          </w:p>
        </w:tc>
        <w:tc>
          <w:tcPr>
            <w:tcW w:w="2964" w:type="dxa"/>
          </w:tcPr>
          <w:p w14:paraId="2E480C6D" w14:textId="77777777" w:rsidR="00CE0D94" w:rsidRDefault="00CE0D94" w:rsidP="00CD363C">
            <w:pPr>
              <w:pStyle w:val="TableParagraph"/>
              <w:ind w:left="108" w:right="107"/>
              <w:jc w:val="both"/>
              <w:rPr>
                <w:sz w:val="20"/>
              </w:rPr>
            </w:pPr>
            <w:r>
              <w:rPr>
                <w:sz w:val="20"/>
              </w:rPr>
              <w:t>Ilgtermiņa saistības pret piegādātajiem un</w:t>
            </w:r>
          </w:p>
          <w:p w14:paraId="1D117110" w14:textId="77777777" w:rsidR="00CE0D94" w:rsidRDefault="00CE0D94" w:rsidP="00CD363C">
            <w:pPr>
              <w:pStyle w:val="TableParagraph"/>
              <w:ind w:left="108" w:right="107"/>
              <w:jc w:val="both"/>
              <w:rPr>
                <w:sz w:val="20"/>
              </w:rPr>
            </w:pPr>
            <w:r>
              <w:rPr>
                <w:sz w:val="20"/>
              </w:rPr>
              <w:t>darbuzņēmējiem</w:t>
            </w:r>
          </w:p>
        </w:tc>
        <w:tc>
          <w:tcPr>
            <w:tcW w:w="1569" w:type="dxa"/>
          </w:tcPr>
          <w:p w14:paraId="412B46E2" w14:textId="77777777" w:rsidR="00CE0D94" w:rsidRDefault="00CE0D94" w:rsidP="00CD363C">
            <w:pPr>
              <w:pStyle w:val="TableParagraph"/>
              <w:ind w:right="107"/>
              <w:jc w:val="both"/>
              <w:rPr>
                <w:i/>
                <w:sz w:val="19"/>
              </w:rPr>
            </w:pPr>
          </w:p>
          <w:p w14:paraId="344B1E4D" w14:textId="77777777" w:rsidR="00CE0D94" w:rsidRDefault="00CE0D94" w:rsidP="00CD363C">
            <w:pPr>
              <w:pStyle w:val="TableParagraph"/>
              <w:ind w:right="107"/>
              <w:jc w:val="both"/>
              <w:rPr>
                <w:sz w:val="20"/>
              </w:rPr>
            </w:pPr>
            <w:r>
              <w:rPr>
                <w:sz w:val="20"/>
              </w:rPr>
              <w:t>128 597,29</w:t>
            </w:r>
          </w:p>
        </w:tc>
      </w:tr>
      <w:tr w:rsidR="00CE0D94" w14:paraId="6D385568" w14:textId="77777777" w:rsidTr="00FB6347">
        <w:trPr>
          <w:trHeight w:val="688"/>
        </w:trPr>
        <w:tc>
          <w:tcPr>
            <w:tcW w:w="816" w:type="dxa"/>
            <w:vMerge/>
            <w:tcBorders>
              <w:top w:val="nil"/>
            </w:tcBorders>
          </w:tcPr>
          <w:p w14:paraId="7399133F" w14:textId="77777777" w:rsidR="00CE0D94" w:rsidRDefault="00CE0D94" w:rsidP="00CD363C">
            <w:pPr>
              <w:spacing w:after="0" w:line="240" w:lineRule="auto"/>
              <w:ind w:right="107"/>
              <w:jc w:val="both"/>
              <w:rPr>
                <w:sz w:val="2"/>
                <w:szCs w:val="2"/>
              </w:rPr>
            </w:pPr>
          </w:p>
        </w:tc>
        <w:tc>
          <w:tcPr>
            <w:tcW w:w="3291" w:type="dxa"/>
          </w:tcPr>
          <w:p w14:paraId="52844CA0" w14:textId="77777777" w:rsidR="00CE0D94" w:rsidRDefault="00CE0D94" w:rsidP="00CD363C">
            <w:pPr>
              <w:pStyle w:val="TableParagraph"/>
              <w:ind w:right="107"/>
              <w:jc w:val="both"/>
              <w:rPr>
                <w:i/>
                <w:sz w:val="18"/>
              </w:rPr>
            </w:pPr>
          </w:p>
          <w:p w14:paraId="387C6FF7" w14:textId="77777777" w:rsidR="00CE0D94" w:rsidRDefault="00CE0D94" w:rsidP="00CD363C">
            <w:pPr>
              <w:pStyle w:val="TableParagraph"/>
              <w:ind w:left="107" w:right="107"/>
              <w:jc w:val="both"/>
              <w:rPr>
                <w:sz w:val="20"/>
              </w:rPr>
            </w:pPr>
            <w:r>
              <w:rPr>
                <w:sz w:val="20"/>
              </w:rPr>
              <w:t>K Finanšu saistības</w:t>
            </w:r>
          </w:p>
        </w:tc>
        <w:tc>
          <w:tcPr>
            <w:tcW w:w="986" w:type="dxa"/>
          </w:tcPr>
          <w:p w14:paraId="18E02868" w14:textId="77777777" w:rsidR="00CE0D94" w:rsidRDefault="00CE0D94" w:rsidP="00CD363C">
            <w:pPr>
              <w:pStyle w:val="TableParagraph"/>
              <w:ind w:right="107"/>
              <w:jc w:val="both"/>
              <w:rPr>
                <w:i/>
                <w:sz w:val="18"/>
              </w:rPr>
            </w:pPr>
          </w:p>
          <w:p w14:paraId="6A7AD0CE" w14:textId="77777777" w:rsidR="00CE0D94" w:rsidRDefault="00CE0D94" w:rsidP="00CD363C">
            <w:pPr>
              <w:pStyle w:val="TableParagraph"/>
              <w:ind w:left="264" w:right="107"/>
              <w:jc w:val="both"/>
              <w:rPr>
                <w:sz w:val="20"/>
              </w:rPr>
            </w:pPr>
            <w:r>
              <w:rPr>
                <w:sz w:val="20"/>
              </w:rPr>
              <w:t>5310</w:t>
            </w:r>
          </w:p>
        </w:tc>
        <w:tc>
          <w:tcPr>
            <w:tcW w:w="2964" w:type="dxa"/>
          </w:tcPr>
          <w:p w14:paraId="04A9636E" w14:textId="77777777" w:rsidR="00CE0D94" w:rsidRDefault="00CE0D94" w:rsidP="00CD363C">
            <w:pPr>
              <w:pStyle w:val="TableParagraph"/>
              <w:ind w:left="108" w:right="107" w:firstLine="50"/>
              <w:jc w:val="both"/>
              <w:rPr>
                <w:sz w:val="20"/>
              </w:rPr>
            </w:pPr>
            <w:r>
              <w:rPr>
                <w:sz w:val="20"/>
              </w:rPr>
              <w:t>Īstermiņa saistības pret piegādātājiem un</w:t>
            </w:r>
          </w:p>
          <w:p w14:paraId="71581859" w14:textId="77777777" w:rsidR="00CE0D94" w:rsidRDefault="00CE0D94" w:rsidP="00CD363C">
            <w:pPr>
              <w:pStyle w:val="TableParagraph"/>
              <w:ind w:left="108" w:right="107"/>
              <w:jc w:val="both"/>
              <w:rPr>
                <w:sz w:val="20"/>
              </w:rPr>
            </w:pPr>
            <w:r>
              <w:rPr>
                <w:sz w:val="20"/>
              </w:rPr>
              <w:t>darbuzņēmējiem</w:t>
            </w:r>
          </w:p>
        </w:tc>
        <w:tc>
          <w:tcPr>
            <w:tcW w:w="1569" w:type="dxa"/>
          </w:tcPr>
          <w:p w14:paraId="5BAB00AC" w14:textId="77777777" w:rsidR="00CE0D94" w:rsidRDefault="00CE0D94" w:rsidP="00CD363C">
            <w:pPr>
              <w:pStyle w:val="TableParagraph"/>
              <w:ind w:right="107"/>
              <w:jc w:val="both"/>
              <w:rPr>
                <w:i/>
                <w:sz w:val="18"/>
              </w:rPr>
            </w:pPr>
          </w:p>
          <w:p w14:paraId="4A45A784" w14:textId="77777777" w:rsidR="00CE0D94" w:rsidRDefault="00CE0D94" w:rsidP="00CD363C">
            <w:pPr>
              <w:pStyle w:val="TableParagraph"/>
              <w:ind w:right="107"/>
              <w:jc w:val="both"/>
              <w:rPr>
                <w:sz w:val="20"/>
              </w:rPr>
            </w:pPr>
            <w:r>
              <w:rPr>
                <w:sz w:val="20"/>
              </w:rPr>
              <w:t>128 597,29</w:t>
            </w:r>
          </w:p>
        </w:tc>
      </w:tr>
      <w:tr w:rsidR="00CE0D94" w14:paraId="03955C9B" w14:textId="77777777" w:rsidTr="00FB6347">
        <w:trPr>
          <w:trHeight w:val="256"/>
        </w:trPr>
        <w:tc>
          <w:tcPr>
            <w:tcW w:w="816" w:type="dxa"/>
            <w:vMerge w:val="restart"/>
          </w:tcPr>
          <w:p w14:paraId="25316A8C" w14:textId="77777777" w:rsidR="00CE0D94" w:rsidRDefault="00CE0D94" w:rsidP="00CD363C">
            <w:pPr>
              <w:pStyle w:val="TableParagraph"/>
              <w:ind w:right="107"/>
              <w:jc w:val="both"/>
              <w:rPr>
                <w:i/>
              </w:rPr>
            </w:pPr>
          </w:p>
          <w:p w14:paraId="73D148C2" w14:textId="77777777" w:rsidR="00CE0D94" w:rsidRDefault="00CE0D94" w:rsidP="00CD363C">
            <w:pPr>
              <w:pStyle w:val="TableParagraph"/>
              <w:ind w:right="107"/>
              <w:jc w:val="both"/>
              <w:rPr>
                <w:i/>
              </w:rPr>
            </w:pPr>
          </w:p>
          <w:p w14:paraId="3EE13AC1" w14:textId="77777777" w:rsidR="00CE0D94" w:rsidRDefault="00CE0D94" w:rsidP="00CD363C">
            <w:pPr>
              <w:pStyle w:val="TableParagraph"/>
              <w:ind w:right="107"/>
              <w:jc w:val="both"/>
              <w:rPr>
                <w:i/>
              </w:rPr>
            </w:pPr>
          </w:p>
          <w:p w14:paraId="6197D6C0" w14:textId="77777777" w:rsidR="00CE0D94" w:rsidRDefault="00CE0D94" w:rsidP="00CD363C">
            <w:pPr>
              <w:pStyle w:val="TableParagraph"/>
              <w:ind w:right="107"/>
              <w:jc w:val="both"/>
              <w:rPr>
                <w:i/>
              </w:rPr>
            </w:pPr>
          </w:p>
          <w:p w14:paraId="19167F62" w14:textId="77777777" w:rsidR="00CE0D94" w:rsidRDefault="00CE0D94" w:rsidP="00CD363C">
            <w:pPr>
              <w:pStyle w:val="TableParagraph"/>
              <w:ind w:right="107"/>
              <w:jc w:val="both"/>
              <w:rPr>
                <w:i/>
              </w:rPr>
            </w:pPr>
          </w:p>
          <w:p w14:paraId="0F21A134" w14:textId="77777777" w:rsidR="00CE0D94" w:rsidRDefault="00CE0D94" w:rsidP="00CD363C">
            <w:pPr>
              <w:pStyle w:val="TableParagraph"/>
              <w:ind w:right="107"/>
              <w:jc w:val="both"/>
              <w:rPr>
                <w:i/>
              </w:rPr>
            </w:pPr>
          </w:p>
          <w:p w14:paraId="18321020" w14:textId="77777777" w:rsidR="00CE0D94" w:rsidRDefault="00CE0D94" w:rsidP="00CD363C">
            <w:pPr>
              <w:pStyle w:val="TableParagraph"/>
              <w:ind w:right="107"/>
              <w:jc w:val="both"/>
              <w:rPr>
                <w:i/>
              </w:rPr>
            </w:pPr>
          </w:p>
          <w:p w14:paraId="53A152FF" w14:textId="77777777" w:rsidR="00CE0D94" w:rsidRDefault="00CE0D94" w:rsidP="00CD363C">
            <w:pPr>
              <w:pStyle w:val="TableParagraph"/>
              <w:ind w:right="107"/>
              <w:jc w:val="both"/>
              <w:rPr>
                <w:b/>
                <w:sz w:val="20"/>
              </w:rPr>
            </w:pPr>
            <w:r>
              <w:rPr>
                <w:b/>
                <w:w w:val="99"/>
                <w:sz w:val="20"/>
              </w:rPr>
              <w:t>5</w:t>
            </w:r>
          </w:p>
        </w:tc>
        <w:tc>
          <w:tcPr>
            <w:tcW w:w="8810" w:type="dxa"/>
            <w:gridSpan w:val="4"/>
          </w:tcPr>
          <w:p w14:paraId="6EF9E364" w14:textId="77777777" w:rsidR="00CE0D94" w:rsidRDefault="00CE0D94" w:rsidP="00CD363C">
            <w:pPr>
              <w:pStyle w:val="TableParagraph"/>
              <w:ind w:left="107" w:right="107"/>
              <w:jc w:val="both"/>
              <w:rPr>
                <w:b/>
                <w:sz w:val="20"/>
              </w:rPr>
            </w:pPr>
            <w:r>
              <w:rPr>
                <w:b/>
                <w:sz w:val="20"/>
              </w:rPr>
              <w:t>Maksājuma veikšana</w:t>
            </w:r>
          </w:p>
        </w:tc>
      </w:tr>
      <w:tr w:rsidR="00CE0D94" w14:paraId="4E47A683" w14:textId="77777777" w:rsidTr="00FB6347">
        <w:trPr>
          <w:trHeight w:val="688"/>
        </w:trPr>
        <w:tc>
          <w:tcPr>
            <w:tcW w:w="816" w:type="dxa"/>
            <w:vMerge/>
            <w:tcBorders>
              <w:top w:val="nil"/>
            </w:tcBorders>
          </w:tcPr>
          <w:p w14:paraId="140E61BB" w14:textId="77777777" w:rsidR="00CE0D94" w:rsidRDefault="00CE0D94" w:rsidP="00CD363C">
            <w:pPr>
              <w:spacing w:after="0" w:line="240" w:lineRule="auto"/>
              <w:ind w:right="107"/>
              <w:jc w:val="both"/>
              <w:rPr>
                <w:sz w:val="2"/>
                <w:szCs w:val="2"/>
              </w:rPr>
            </w:pPr>
          </w:p>
        </w:tc>
        <w:tc>
          <w:tcPr>
            <w:tcW w:w="3291" w:type="dxa"/>
          </w:tcPr>
          <w:p w14:paraId="06C7F7FD" w14:textId="77777777" w:rsidR="00CE0D94" w:rsidRDefault="00CE0D94" w:rsidP="00CD363C">
            <w:pPr>
              <w:pStyle w:val="TableParagraph"/>
              <w:ind w:right="107"/>
              <w:jc w:val="both"/>
              <w:rPr>
                <w:i/>
                <w:sz w:val="18"/>
              </w:rPr>
            </w:pPr>
          </w:p>
          <w:p w14:paraId="4081491A" w14:textId="77777777" w:rsidR="00CE0D94" w:rsidRDefault="00CE0D94" w:rsidP="00CD363C">
            <w:pPr>
              <w:pStyle w:val="TableParagraph"/>
              <w:ind w:left="107" w:right="107"/>
              <w:jc w:val="both"/>
              <w:rPr>
                <w:sz w:val="20"/>
              </w:rPr>
            </w:pPr>
            <w:r>
              <w:rPr>
                <w:sz w:val="20"/>
              </w:rPr>
              <w:t>D Finanšu saistības</w:t>
            </w:r>
          </w:p>
        </w:tc>
        <w:tc>
          <w:tcPr>
            <w:tcW w:w="986" w:type="dxa"/>
          </w:tcPr>
          <w:p w14:paraId="3ADE3A05" w14:textId="77777777" w:rsidR="00CE0D94" w:rsidRDefault="00CE0D94" w:rsidP="00CD363C">
            <w:pPr>
              <w:pStyle w:val="TableParagraph"/>
              <w:ind w:right="107"/>
              <w:jc w:val="both"/>
              <w:rPr>
                <w:i/>
                <w:sz w:val="18"/>
              </w:rPr>
            </w:pPr>
          </w:p>
          <w:p w14:paraId="7A64A7E8" w14:textId="77777777" w:rsidR="00CE0D94" w:rsidRDefault="00CE0D94" w:rsidP="00CD363C">
            <w:pPr>
              <w:pStyle w:val="TableParagraph"/>
              <w:ind w:left="264" w:right="107"/>
              <w:jc w:val="both"/>
              <w:rPr>
                <w:sz w:val="20"/>
              </w:rPr>
            </w:pPr>
            <w:r>
              <w:rPr>
                <w:sz w:val="20"/>
              </w:rPr>
              <w:t>5310</w:t>
            </w:r>
          </w:p>
        </w:tc>
        <w:tc>
          <w:tcPr>
            <w:tcW w:w="2964" w:type="dxa"/>
          </w:tcPr>
          <w:p w14:paraId="028A642C" w14:textId="77777777" w:rsidR="00CE0D94" w:rsidRDefault="00CE0D94" w:rsidP="00CD363C">
            <w:pPr>
              <w:pStyle w:val="TableParagraph"/>
              <w:ind w:left="108" w:right="107"/>
              <w:jc w:val="both"/>
              <w:rPr>
                <w:sz w:val="20"/>
              </w:rPr>
            </w:pPr>
            <w:r>
              <w:rPr>
                <w:sz w:val="20"/>
              </w:rPr>
              <w:t>Īstermiņa saistības pret piegādātājiem un</w:t>
            </w:r>
          </w:p>
          <w:p w14:paraId="1231AD40" w14:textId="77777777" w:rsidR="00CE0D94" w:rsidRDefault="00CE0D94" w:rsidP="00CD363C">
            <w:pPr>
              <w:pStyle w:val="TableParagraph"/>
              <w:ind w:left="108" w:right="107"/>
              <w:jc w:val="both"/>
              <w:rPr>
                <w:sz w:val="20"/>
              </w:rPr>
            </w:pPr>
            <w:r>
              <w:rPr>
                <w:sz w:val="20"/>
              </w:rPr>
              <w:t>darbuzņēmējiem</w:t>
            </w:r>
          </w:p>
        </w:tc>
        <w:tc>
          <w:tcPr>
            <w:tcW w:w="1569" w:type="dxa"/>
          </w:tcPr>
          <w:p w14:paraId="16D02BC0" w14:textId="77777777" w:rsidR="00CE0D94" w:rsidRDefault="00CE0D94" w:rsidP="00CD363C">
            <w:pPr>
              <w:pStyle w:val="TableParagraph"/>
              <w:ind w:right="107"/>
              <w:jc w:val="both"/>
              <w:rPr>
                <w:i/>
                <w:sz w:val="18"/>
              </w:rPr>
            </w:pPr>
          </w:p>
          <w:p w14:paraId="4B2B1168" w14:textId="77777777" w:rsidR="00CE0D94" w:rsidRDefault="00CE0D94" w:rsidP="00CD363C">
            <w:pPr>
              <w:pStyle w:val="TableParagraph"/>
              <w:ind w:right="107"/>
              <w:jc w:val="both"/>
              <w:rPr>
                <w:sz w:val="20"/>
              </w:rPr>
            </w:pPr>
            <w:r>
              <w:rPr>
                <w:sz w:val="20"/>
              </w:rPr>
              <w:t>200 000,00</w:t>
            </w:r>
          </w:p>
        </w:tc>
      </w:tr>
      <w:tr w:rsidR="00CE0D94" w14:paraId="0960982A" w14:textId="77777777" w:rsidTr="00FB6347">
        <w:trPr>
          <w:trHeight w:val="257"/>
        </w:trPr>
        <w:tc>
          <w:tcPr>
            <w:tcW w:w="816" w:type="dxa"/>
            <w:vMerge/>
            <w:tcBorders>
              <w:top w:val="nil"/>
            </w:tcBorders>
          </w:tcPr>
          <w:p w14:paraId="2DCBC05D" w14:textId="77777777" w:rsidR="00CE0D94" w:rsidRDefault="00CE0D94" w:rsidP="00CD363C">
            <w:pPr>
              <w:spacing w:after="0" w:line="240" w:lineRule="auto"/>
              <w:ind w:right="107"/>
              <w:jc w:val="both"/>
              <w:rPr>
                <w:sz w:val="2"/>
                <w:szCs w:val="2"/>
              </w:rPr>
            </w:pPr>
          </w:p>
        </w:tc>
        <w:tc>
          <w:tcPr>
            <w:tcW w:w="3291" w:type="dxa"/>
          </w:tcPr>
          <w:p w14:paraId="7C9F8247" w14:textId="77777777" w:rsidR="00CE0D94" w:rsidRDefault="00CE0D94" w:rsidP="00CD363C">
            <w:pPr>
              <w:pStyle w:val="TableParagraph"/>
              <w:ind w:left="107" w:right="107"/>
              <w:jc w:val="both"/>
              <w:rPr>
                <w:sz w:val="20"/>
              </w:rPr>
            </w:pPr>
            <w:r>
              <w:rPr>
                <w:sz w:val="20"/>
              </w:rPr>
              <w:t>K Nauda</w:t>
            </w:r>
          </w:p>
        </w:tc>
        <w:tc>
          <w:tcPr>
            <w:tcW w:w="986" w:type="dxa"/>
          </w:tcPr>
          <w:p w14:paraId="0E55DD79" w14:textId="77777777" w:rsidR="00CE0D94" w:rsidRDefault="00CE0D94" w:rsidP="00CD363C">
            <w:pPr>
              <w:pStyle w:val="TableParagraph"/>
              <w:ind w:left="264" w:right="107"/>
              <w:jc w:val="both"/>
              <w:rPr>
                <w:sz w:val="20"/>
              </w:rPr>
            </w:pPr>
            <w:r>
              <w:rPr>
                <w:sz w:val="20"/>
              </w:rPr>
              <w:t>2600</w:t>
            </w:r>
          </w:p>
        </w:tc>
        <w:tc>
          <w:tcPr>
            <w:tcW w:w="2964" w:type="dxa"/>
          </w:tcPr>
          <w:p w14:paraId="0F1E3238" w14:textId="77777777" w:rsidR="00CE0D94" w:rsidRDefault="00CE0D94" w:rsidP="00CD363C">
            <w:pPr>
              <w:pStyle w:val="TableParagraph"/>
              <w:ind w:left="108" w:right="107"/>
              <w:jc w:val="both"/>
              <w:rPr>
                <w:sz w:val="20"/>
              </w:rPr>
            </w:pPr>
            <w:r>
              <w:rPr>
                <w:sz w:val="20"/>
              </w:rPr>
              <w:t>Naudas līdzekļi</w:t>
            </w:r>
          </w:p>
        </w:tc>
        <w:tc>
          <w:tcPr>
            <w:tcW w:w="1569" w:type="dxa"/>
          </w:tcPr>
          <w:p w14:paraId="147937DB" w14:textId="77777777" w:rsidR="00CE0D94" w:rsidRDefault="00CE0D94" w:rsidP="00CD363C">
            <w:pPr>
              <w:pStyle w:val="TableParagraph"/>
              <w:ind w:right="107"/>
              <w:jc w:val="both"/>
              <w:rPr>
                <w:sz w:val="20"/>
              </w:rPr>
            </w:pPr>
            <w:r>
              <w:rPr>
                <w:sz w:val="20"/>
              </w:rPr>
              <w:t>200 000,00</w:t>
            </w:r>
          </w:p>
        </w:tc>
      </w:tr>
      <w:tr w:rsidR="00CE0D94" w14:paraId="027EA512" w14:textId="77777777" w:rsidTr="00FB6347">
        <w:trPr>
          <w:trHeight w:val="254"/>
        </w:trPr>
        <w:tc>
          <w:tcPr>
            <w:tcW w:w="816" w:type="dxa"/>
            <w:vMerge/>
            <w:tcBorders>
              <w:top w:val="nil"/>
            </w:tcBorders>
          </w:tcPr>
          <w:p w14:paraId="59BA414C" w14:textId="77777777" w:rsidR="00CE0D94" w:rsidRDefault="00CE0D94" w:rsidP="00CD363C">
            <w:pPr>
              <w:spacing w:after="0" w:line="240" w:lineRule="auto"/>
              <w:ind w:right="107"/>
              <w:jc w:val="both"/>
              <w:rPr>
                <w:sz w:val="2"/>
                <w:szCs w:val="2"/>
              </w:rPr>
            </w:pPr>
          </w:p>
        </w:tc>
        <w:tc>
          <w:tcPr>
            <w:tcW w:w="8810" w:type="dxa"/>
            <w:gridSpan w:val="4"/>
          </w:tcPr>
          <w:p w14:paraId="5967E9BC" w14:textId="77777777" w:rsidR="00CE0D94" w:rsidRDefault="00CE0D94" w:rsidP="00CD363C">
            <w:pPr>
              <w:pStyle w:val="TableParagraph"/>
              <w:ind w:left="107" w:right="107"/>
              <w:jc w:val="both"/>
              <w:rPr>
                <w:b/>
                <w:sz w:val="20"/>
              </w:rPr>
            </w:pPr>
            <w:r>
              <w:rPr>
                <w:b/>
                <w:sz w:val="20"/>
              </w:rPr>
              <w:t>Procentu izdevumi</w:t>
            </w:r>
          </w:p>
        </w:tc>
      </w:tr>
      <w:tr w:rsidR="00CE0D94" w14:paraId="25637046" w14:textId="77777777" w:rsidTr="00FB6347">
        <w:trPr>
          <w:trHeight w:val="256"/>
        </w:trPr>
        <w:tc>
          <w:tcPr>
            <w:tcW w:w="816" w:type="dxa"/>
            <w:vMerge/>
            <w:tcBorders>
              <w:top w:val="nil"/>
            </w:tcBorders>
          </w:tcPr>
          <w:p w14:paraId="4F8F59DD" w14:textId="77777777" w:rsidR="00CE0D94" w:rsidRDefault="00CE0D94" w:rsidP="00CD363C">
            <w:pPr>
              <w:spacing w:after="0" w:line="240" w:lineRule="auto"/>
              <w:ind w:right="107"/>
              <w:jc w:val="both"/>
              <w:rPr>
                <w:sz w:val="2"/>
                <w:szCs w:val="2"/>
              </w:rPr>
            </w:pPr>
          </w:p>
        </w:tc>
        <w:tc>
          <w:tcPr>
            <w:tcW w:w="3291" w:type="dxa"/>
          </w:tcPr>
          <w:p w14:paraId="49774136" w14:textId="77777777" w:rsidR="00CE0D94" w:rsidRDefault="00CE0D94" w:rsidP="00CD363C">
            <w:pPr>
              <w:pStyle w:val="TableParagraph"/>
              <w:ind w:left="107" w:right="107"/>
              <w:jc w:val="both"/>
              <w:rPr>
                <w:sz w:val="20"/>
              </w:rPr>
            </w:pPr>
            <w:r>
              <w:rPr>
                <w:sz w:val="20"/>
              </w:rPr>
              <w:t>D Procentu izdevumi</w:t>
            </w:r>
          </w:p>
        </w:tc>
        <w:tc>
          <w:tcPr>
            <w:tcW w:w="986" w:type="dxa"/>
          </w:tcPr>
          <w:p w14:paraId="7F0DA1DC" w14:textId="77777777" w:rsidR="00CE0D94" w:rsidRDefault="00CE0D94" w:rsidP="00CD363C">
            <w:pPr>
              <w:pStyle w:val="TableParagraph"/>
              <w:ind w:left="264" w:right="107"/>
              <w:jc w:val="both"/>
              <w:rPr>
                <w:sz w:val="20"/>
              </w:rPr>
            </w:pPr>
            <w:r>
              <w:rPr>
                <w:sz w:val="20"/>
              </w:rPr>
              <w:t>8220</w:t>
            </w:r>
          </w:p>
        </w:tc>
        <w:tc>
          <w:tcPr>
            <w:tcW w:w="2964" w:type="dxa"/>
          </w:tcPr>
          <w:p w14:paraId="49076EAE" w14:textId="77777777" w:rsidR="00CE0D94" w:rsidRDefault="00CE0D94" w:rsidP="00CD363C">
            <w:pPr>
              <w:pStyle w:val="TableParagraph"/>
              <w:ind w:left="108" w:right="107"/>
              <w:jc w:val="both"/>
              <w:rPr>
                <w:sz w:val="20"/>
              </w:rPr>
            </w:pPr>
            <w:r>
              <w:rPr>
                <w:sz w:val="20"/>
              </w:rPr>
              <w:t>Procentu izdevumi</w:t>
            </w:r>
          </w:p>
        </w:tc>
        <w:tc>
          <w:tcPr>
            <w:tcW w:w="1569" w:type="dxa"/>
          </w:tcPr>
          <w:p w14:paraId="3D2DE97F" w14:textId="77777777" w:rsidR="00CE0D94" w:rsidRDefault="00CE0D94" w:rsidP="00CD363C">
            <w:pPr>
              <w:pStyle w:val="TableParagraph"/>
              <w:ind w:right="107"/>
              <w:jc w:val="both"/>
              <w:rPr>
                <w:sz w:val="20"/>
              </w:rPr>
            </w:pPr>
            <w:r>
              <w:rPr>
                <w:sz w:val="20"/>
              </w:rPr>
              <w:t>51 456,38</w:t>
            </w:r>
          </w:p>
        </w:tc>
      </w:tr>
      <w:tr w:rsidR="00CE0D94" w14:paraId="61218843" w14:textId="77777777" w:rsidTr="00FB6347">
        <w:trPr>
          <w:trHeight w:val="253"/>
        </w:trPr>
        <w:tc>
          <w:tcPr>
            <w:tcW w:w="816" w:type="dxa"/>
            <w:vMerge/>
            <w:tcBorders>
              <w:top w:val="nil"/>
            </w:tcBorders>
          </w:tcPr>
          <w:p w14:paraId="72D6FDAD" w14:textId="77777777" w:rsidR="00CE0D94" w:rsidRDefault="00CE0D94" w:rsidP="00CD363C">
            <w:pPr>
              <w:spacing w:after="0" w:line="240" w:lineRule="auto"/>
              <w:ind w:right="107"/>
              <w:jc w:val="both"/>
              <w:rPr>
                <w:sz w:val="2"/>
                <w:szCs w:val="2"/>
              </w:rPr>
            </w:pPr>
          </w:p>
        </w:tc>
        <w:tc>
          <w:tcPr>
            <w:tcW w:w="3291" w:type="dxa"/>
          </w:tcPr>
          <w:p w14:paraId="3CCEC44B" w14:textId="77777777" w:rsidR="00CE0D94" w:rsidRDefault="00CE0D94" w:rsidP="00CD363C">
            <w:pPr>
              <w:pStyle w:val="TableParagraph"/>
              <w:ind w:left="107" w:right="107"/>
              <w:jc w:val="both"/>
              <w:rPr>
                <w:sz w:val="20"/>
              </w:rPr>
            </w:pPr>
            <w:r>
              <w:rPr>
                <w:sz w:val="20"/>
              </w:rPr>
              <w:t>D Pakalpojuma izmaksas</w:t>
            </w:r>
          </w:p>
        </w:tc>
        <w:tc>
          <w:tcPr>
            <w:tcW w:w="986" w:type="dxa"/>
          </w:tcPr>
          <w:p w14:paraId="634D4131" w14:textId="77777777" w:rsidR="00CE0D94" w:rsidRDefault="00CE0D94" w:rsidP="00CD363C">
            <w:pPr>
              <w:pStyle w:val="TableParagraph"/>
              <w:ind w:left="264" w:right="107"/>
              <w:jc w:val="both"/>
              <w:rPr>
                <w:sz w:val="20"/>
              </w:rPr>
            </w:pPr>
            <w:r>
              <w:rPr>
                <w:sz w:val="20"/>
              </w:rPr>
              <w:t>7000</w:t>
            </w:r>
          </w:p>
        </w:tc>
        <w:tc>
          <w:tcPr>
            <w:tcW w:w="2964" w:type="dxa"/>
          </w:tcPr>
          <w:p w14:paraId="25CAEDBD" w14:textId="77777777" w:rsidR="00CE0D94" w:rsidRDefault="00CE0D94" w:rsidP="00CD363C">
            <w:pPr>
              <w:pStyle w:val="TableParagraph"/>
              <w:ind w:left="108" w:right="107"/>
              <w:jc w:val="both"/>
              <w:rPr>
                <w:sz w:val="20"/>
              </w:rPr>
            </w:pPr>
            <w:r>
              <w:rPr>
                <w:sz w:val="20"/>
              </w:rPr>
              <w:t>Pamatdarbības izdevumi</w:t>
            </w:r>
          </w:p>
        </w:tc>
        <w:tc>
          <w:tcPr>
            <w:tcW w:w="1569" w:type="dxa"/>
          </w:tcPr>
          <w:p w14:paraId="750F2594" w14:textId="77777777" w:rsidR="00CE0D94" w:rsidRDefault="00CE0D94" w:rsidP="00CD363C">
            <w:pPr>
              <w:pStyle w:val="TableParagraph"/>
              <w:ind w:right="107"/>
              <w:jc w:val="both"/>
              <w:rPr>
                <w:sz w:val="20"/>
              </w:rPr>
            </w:pPr>
            <w:r>
              <w:rPr>
                <w:sz w:val="20"/>
              </w:rPr>
              <w:t>12 000,00</w:t>
            </w:r>
          </w:p>
        </w:tc>
      </w:tr>
      <w:tr w:rsidR="00CE0D94" w14:paraId="663F05FD" w14:textId="77777777" w:rsidTr="00FB6347">
        <w:trPr>
          <w:trHeight w:val="690"/>
        </w:trPr>
        <w:tc>
          <w:tcPr>
            <w:tcW w:w="816" w:type="dxa"/>
            <w:vMerge/>
            <w:tcBorders>
              <w:top w:val="nil"/>
            </w:tcBorders>
          </w:tcPr>
          <w:p w14:paraId="5E7568F3" w14:textId="77777777" w:rsidR="00CE0D94" w:rsidRDefault="00CE0D94" w:rsidP="00CD363C">
            <w:pPr>
              <w:spacing w:after="0" w:line="240" w:lineRule="auto"/>
              <w:ind w:right="107"/>
              <w:jc w:val="both"/>
              <w:rPr>
                <w:sz w:val="2"/>
                <w:szCs w:val="2"/>
              </w:rPr>
            </w:pPr>
          </w:p>
        </w:tc>
        <w:tc>
          <w:tcPr>
            <w:tcW w:w="3291" w:type="dxa"/>
          </w:tcPr>
          <w:p w14:paraId="594820B8" w14:textId="77777777" w:rsidR="00CE0D94" w:rsidRDefault="00CE0D94" w:rsidP="00CD363C">
            <w:pPr>
              <w:pStyle w:val="TableParagraph"/>
              <w:ind w:right="107"/>
              <w:jc w:val="both"/>
              <w:rPr>
                <w:i/>
                <w:sz w:val="19"/>
              </w:rPr>
            </w:pPr>
          </w:p>
          <w:p w14:paraId="3F1C2902" w14:textId="77777777" w:rsidR="00CE0D94" w:rsidRDefault="00CE0D94" w:rsidP="00CD363C">
            <w:pPr>
              <w:pStyle w:val="TableParagraph"/>
              <w:ind w:left="107" w:right="107"/>
              <w:jc w:val="both"/>
              <w:rPr>
                <w:sz w:val="20"/>
              </w:rPr>
            </w:pPr>
            <w:r>
              <w:rPr>
                <w:sz w:val="20"/>
              </w:rPr>
              <w:t>K Finanšu saistības</w:t>
            </w:r>
          </w:p>
        </w:tc>
        <w:tc>
          <w:tcPr>
            <w:tcW w:w="986" w:type="dxa"/>
          </w:tcPr>
          <w:p w14:paraId="365DF65D" w14:textId="77777777" w:rsidR="00CE0D94" w:rsidRDefault="00CE0D94" w:rsidP="00CD363C">
            <w:pPr>
              <w:pStyle w:val="TableParagraph"/>
              <w:ind w:right="107"/>
              <w:jc w:val="both"/>
              <w:rPr>
                <w:i/>
                <w:sz w:val="19"/>
              </w:rPr>
            </w:pPr>
          </w:p>
          <w:p w14:paraId="4DC10FF2" w14:textId="77777777" w:rsidR="00CE0D94" w:rsidRDefault="00CE0D94" w:rsidP="00CD363C">
            <w:pPr>
              <w:pStyle w:val="TableParagraph"/>
              <w:ind w:left="264" w:right="107"/>
              <w:jc w:val="both"/>
              <w:rPr>
                <w:sz w:val="20"/>
              </w:rPr>
            </w:pPr>
            <w:r>
              <w:rPr>
                <w:sz w:val="20"/>
              </w:rPr>
              <w:t>5310</w:t>
            </w:r>
          </w:p>
        </w:tc>
        <w:tc>
          <w:tcPr>
            <w:tcW w:w="2964" w:type="dxa"/>
          </w:tcPr>
          <w:p w14:paraId="028D9FAB" w14:textId="77777777" w:rsidR="00CE0D94" w:rsidRDefault="00CE0D94" w:rsidP="00CD363C">
            <w:pPr>
              <w:pStyle w:val="TableParagraph"/>
              <w:ind w:left="108" w:right="107"/>
              <w:jc w:val="both"/>
              <w:rPr>
                <w:sz w:val="20"/>
              </w:rPr>
            </w:pPr>
            <w:r>
              <w:rPr>
                <w:sz w:val="20"/>
              </w:rPr>
              <w:t>Īstermiņa saistības pret piegādātājiem un</w:t>
            </w:r>
          </w:p>
          <w:p w14:paraId="0E33140D" w14:textId="77777777" w:rsidR="00CE0D94" w:rsidRDefault="00CE0D94" w:rsidP="00CD363C">
            <w:pPr>
              <w:pStyle w:val="TableParagraph"/>
              <w:ind w:left="108" w:right="107"/>
              <w:jc w:val="both"/>
              <w:rPr>
                <w:sz w:val="20"/>
              </w:rPr>
            </w:pPr>
            <w:r>
              <w:rPr>
                <w:sz w:val="20"/>
              </w:rPr>
              <w:t>darbuzņēmējiem</w:t>
            </w:r>
          </w:p>
        </w:tc>
        <w:tc>
          <w:tcPr>
            <w:tcW w:w="1569" w:type="dxa"/>
          </w:tcPr>
          <w:p w14:paraId="589501A7" w14:textId="77777777" w:rsidR="00CE0D94" w:rsidRDefault="00CE0D94" w:rsidP="00CD363C">
            <w:pPr>
              <w:pStyle w:val="TableParagraph"/>
              <w:ind w:right="107"/>
              <w:jc w:val="both"/>
              <w:rPr>
                <w:i/>
                <w:sz w:val="19"/>
              </w:rPr>
            </w:pPr>
          </w:p>
          <w:p w14:paraId="676D46B9" w14:textId="77777777" w:rsidR="00CE0D94" w:rsidRDefault="00CE0D94" w:rsidP="00CD363C">
            <w:pPr>
              <w:pStyle w:val="TableParagraph"/>
              <w:ind w:right="107"/>
              <w:jc w:val="both"/>
              <w:rPr>
                <w:sz w:val="20"/>
              </w:rPr>
            </w:pPr>
            <w:r>
              <w:rPr>
                <w:sz w:val="20"/>
              </w:rPr>
              <w:t>63 456,38</w:t>
            </w:r>
          </w:p>
        </w:tc>
      </w:tr>
      <w:tr w:rsidR="00CE0D94" w14:paraId="54CA4E37" w14:textId="77777777" w:rsidTr="00FB6347">
        <w:trPr>
          <w:trHeight w:val="253"/>
        </w:trPr>
        <w:tc>
          <w:tcPr>
            <w:tcW w:w="816" w:type="dxa"/>
            <w:vMerge/>
            <w:tcBorders>
              <w:top w:val="nil"/>
            </w:tcBorders>
          </w:tcPr>
          <w:p w14:paraId="1AD5B280" w14:textId="77777777" w:rsidR="00CE0D94" w:rsidRDefault="00CE0D94" w:rsidP="00CD363C">
            <w:pPr>
              <w:spacing w:after="0" w:line="240" w:lineRule="auto"/>
              <w:ind w:right="107"/>
              <w:jc w:val="both"/>
              <w:rPr>
                <w:sz w:val="2"/>
                <w:szCs w:val="2"/>
              </w:rPr>
            </w:pPr>
          </w:p>
        </w:tc>
        <w:tc>
          <w:tcPr>
            <w:tcW w:w="8810" w:type="dxa"/>
            <w:gridSpan w:val="4"/>
          </w:tcPr>
          <w:p w14:paraId="132D8815" w14:textId="77777777" w:rsidR="00CE0D94" w:rsidRDefault="00CE0D94" w:rsidP="00CD363C">
            <w:pPr>
              <w:pStyle w:val="TableParagraph"/>
              <w:ind w:left="107" w:right="107"/>
              <w:jc w:val="both"/>
              <w:rPr>
                <w:b/>
                <w:sz w:val="20"/>
              </w:rPr>
            </w:pPr>
            <w:r>
              <w:rPr>
                <w:b/>
                <w:sz w:val="20"/>
              </w:rPr>
              <w:t>Nolietojuma uzskaite</w:t>
            </w:r>
          </w:p>
        </w:tc>
      </w:tr>
      <w:tr w:rsidR="00CE0D94" w14:paraId="42AFAEFD" w14:textId="77777777" w:rsidTr="00FB6347">
        <w:trPr>
          <w:trHeight w:val="253"/>
        </w:trPr>
        <w:tc>
          <w:tcPr>
            <w:tcW w:w="816" w:type="dxa"/>
            <w:vMerge/>
            <w:tcBorders>
              <w:top w:val="nil"/>
            </w:tcBorders>
          </w:tcPr>
          <w:p w14:paraId="702783D9" w14:textId="77777777" w:rsidR="00CE0D94" w:rsidRDefault="00CE0D94" w:rsidP="00CD363C">
            <w:pPr>
              <w:spacing w:after="0" w:line="240" w:lineRule="auto"/>
              <w:ind w:right="107"/>
              <w:jc w:val="both"/>
              <w:rPr>
                <w:sz w:val="2"/>
                <w:szCs w:val="2"/>
              </w:rPr>
            </w:pPr>
          </w:p>
        </w:tc>
        <w:tc>
          <w:tcPr>
            <w:tcW w:w="3291" w:type="dxa"/>
          </w:tcPr>
          <w:p w14:paraId="36F9FCF1" w14:textId="77777777" w:rsidR="00CE0D94" w:rsidRDefault="00CE0D94" w:rsidP="00CD363C">
            <w:pPr>
              <w:pStyle w:val="TableParagraph"/>
              <w:ind w:left="107" w:right="107"/>
              <w:jc w:val="both"/>
              <w:rPr>
                <w:sz w:val="20"/>
              </w:rPr>
            </w:pPr>
            <w:r>
              <w:rPr>
                <w:sz w:val="20"/>
              </w:rPr>
              <w:t>D Nolietojuma izdevumi</w:t>
            </w:r>
          </w:p>
        </w:tc>
        <w:tc>
          <w:tcPr>
            <w:tcW w:w="986" w:type="dxa"/>
          </w:tcPr>
          <w:p w14:paraId="2F696C9D" w14:textId="77777777" w:rsidR="00CE0D94" w:rsidRDefault="00CE0D94" w:rsidP="00CD363C">
            <w:pPr>
              <w:pStyle w:val="TableParagraph"/>
              <w:ind w:left="264" w:right="107"/>
              <w:jc w:val="both"/>
              <w:rPr>
                <w:sz w:val="20"/>
              </w:rPr>
            </w:pPr>
            <w:r>
              <w:rPr>
                <w:sz w:val="20"/>
              </w:rPr>
              <w:t>7000</w:t>
            </w:r>
          </w:p>
        </w:tc>
        <w:tc>
          <w:tcPr>
            <w:tcW w:w="2964" w:type="dxa"/>
          </w:tcPr>
          <w:p w14:paraId="7A788C50" w14:textId="77777777" w:rsidR="00CE0D94" w:rsidRDefault="00CE0D94" w:rsidP="00CD363C">
            <w:pPr>
              <w:pStyle w:val="TableParagraph"/>
              <w:ind w:left="108" w:right="107"/>
              <w:jc w:val="both"/>
              <w:rPr>
                <w:sz w:val="20"/>
              </w:rPr>
            </w:pPr>
            <w:r>
              <w:rPr>
                <w:sz w:val="20"/>
              </w:rPr>
              <w:t>Pamatdarbības izdevumi</w:t>
            </w:r>
          </w:p>
        </w:tc>
        <w:tc>
          <w:tcPr>
            <w:tcW w:w="1569" w:type="dxa"/>
          </w:tcPr>
          <w:p w14:paraId="7DABCBA0" w14:textId="77777777" w:rsidR="00CE0D94" w:rsidRDefault="00CE0D94" w:rsidP="00CD363C">
            <w:pPr>
              <w:pStyle w:val="TableParagraph"/>
              <w:ind w:right="107"/>
              <w:jc w:val="both"/>
              <w:rPr>
                <w:sz w:val="20"/>
              </w:rPr>
            </w:pPr>
            <w:r>
              <w:rPr>
                <w:sz w:val="20"/>
              </w:rPr>
              <w:t>65 333,33</w:t>
            </w:r>
          </w:p>
        </w:tc>
      </w:tr>
      <w:tr w:rsidR="00CE0D94" w14:paraId="1D6B0F0B" w14:textId="77777777" w:rsidTr="00FB6347">
        <w:trPr>
          <w:trHeight w:val="256"/>
        </w:trPr>
        <w:tc>
          <w:tcPr>
            <w:tcW w:w="816" w:type="dxa"/>
            <w:vMerge/>
            <w:tcBorders>
              <w:top w:val="nil"/>
            </w:tcBorders>
          </w:tcPr>
          <w:p w14:paraId="68D8EF1B" w14:textId="77777777" w:rsidR="00CE0D94" w:rsidRDefault="00CE0D94" w:rsidP="00CD363C">
            <w:pPr>
              <w:spacing w:after="0" w:line="240" w:lineRule="auto"/>
              <w:ind w:right="107"/>
              <w:jc w:val="both"/>
              <w:rPr>
                <w:sz w:val="2"/>
                <w:szCs w:val="2"/>
              </w:rPr>
            </w:pPr>
          </w:p>
        </w:tc>
        <w:tc>
          <w:tcPr>
            <w:tcW w:w="3291" w:type="dxa"/>
          </w:tcPr>
          <w:p w14:paraId="6559DEC9" w14:textId="77777777" w:rsidR="00CE0D94" w:rsidRDefault="00CE0D94" w:rsidP="00CD363C">
            <w:pPr>
              <w:pStyle w:val="TableParagraph"/>
              <w:ind w:left="107" w:right="107"/>
              <w:jc w:val="both"/>
              <w:rPr>
                <w:sz w:val="20"/>
              </w:rPr>
            </w:pPr>
            <w:r>
              <w:rPr>
                <w:sz w:val="20"/>
              </w:rPr>
              <w:t>K Uzkrātais nolietojums</w:t>
            </w:r>
          </w:p>
        </w:tc>
        <w:tc>
          <w:tcPr>
            <w:tcW w:w="986" w:type="dxa"/>
          </w:tcPr>
          <w:p w14:paraId="43C4A826" w14:textId="77777777" w:rsidR="00CE0D94" w:rsidRDefault="00CE0D94" w:rsidP="00CD363C">
            <w:pPr>
              <w:pStyle w:val="TableParagraph"/>
              <w:ind w:left="264" w:right="107"/>
              <w:jc w:val="both"/>
              <w:rPr>
                <w:sz w:val="20"/>
              </w:rPr>
            </w:pPr>
            <w:r>
              <w:rPr>
                <w:sz w:val="20"/>
              </w:rPr>
              <w:t>1291</w:t>
            </w:r>
          </w:p>
        </w:tc>
        <w:tc>
          <w:tcPr>
            <w:tcW w:w="2964" w:type="dxa"/>
          </w:tcPr>
          <w:p w14:paraId="6A739F8E"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70BCFE0C" w14:textId="77777777" w:rsidR="00CE0D94" w:rsidRDefault="00CE0D94" w:rsidP="00CD363C">
            <w:pPr>
              <w:pStyle w:val="TableParagraph"/>
              <w:ind w:right="107"/>
              <w:jc w:val="both"/>
              <w:rPr>
                <w:sz w:val="20"/>
              </w:rPr>
            </w:pPr>
            <w:r>
              <w:rPr>
                <w:sz w:val="20"/>
              </w:rPr>
              <w:t>65 333,33</w:t>
            </w:r>
          </w:p>
        </w:tc>
      </w:tr>
      <w:tr w:rsidR="00CE0D94" w14:paraId="01725EE3" w14:textId="77777777" w:rsidTr="00FB6347">
        <w:trPr>
          <w:trHeight w:val="253"/>
        </w:trPr>
        <w:tc>
          <w:tcPr>
            <w:tcW w:w="816" w:type="dxa"/>
            <w:vMerge/>
            <w:tcBorders>
              <w:top w:val="nil"/>
            </w:tcBorders>
          </w:tcPr>
          <w:p w14:paraId="2F2CD610" w14:textId="77777777" w:rsidR="00CE0D94" w:rsidRDefault="00CE0D94" w:rsidP="00CD363C">
            <w:pPr>
              <w:spacing w:after="0" w:line="240" w:lineRule="auto"/>
              <w:ind w:right="107"/>
              <w:jc w:val="both"/>
              <w:rPr>
                <w:sz w:val="2"/>
                <w:szCs w:val="2"/>
              </w:rPr>
            </w:pPr>
          </w:p>
        </w:tc>
        <w:tc>
          <w:tcPr>
            <w:tcW w:w="8810" w:type="dxa"/>
            <w:gridSpan w:val="4"/>
          </w:tcPr>
          <w:p w14:paraId="661CFF13"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4B4D8BAA" w14:textId="77777777" w:rsidTr="00FB6347">
        <w:trPr>
          <w:trHeight w:val="690"/>
        </w:trPr>
        <w:tc>
          <w:tcPr>
            <w:tcW w:w="816" w:type="dxa"/>
            <w:vMerge/>
            <w:tcBorders>
              <w:top w:val="nil"/>
            </w:tcBorders>
          </w:tcPr>
          <w:p w14:paraId="1BAEDBEC" w14:textId="77777777" w:rsidR="00CE0D94" w:rsidRDefault="00CE0D94" w:rsidP="00CD363C">
            <w:pPr>
              <w:spacing w:after="0" w:line="240" w:lineRule="auto"/>
              <w:ind w:right="107"/>
              <w:jc w:val="both"/>
              <w:rPr>
                <w:sz w:val="2"/>
                <w:szCs w:val="2"/>
              </w:rPr>
            </w:pPr>
          </w:p>
        </w:tc>
        <w:tc>
          <w:tcPr>
            <w:tcW w:w="3291" w:type="dxa"/>
          </w:tcPr>
          <w:p w14:paraId="1E379BB8" w14:textId="77777777" w:rsidR="00CE0D94" w:rsidRDefault="00CE0D94" w:rsidP="00CD363C">
            <w:pPr>
              <w:pStyle w:val="TableParagraph"/>
              <w:ind w:right="107"/>
              <w:jc w:val="both"/>
              <w:rPr>
                <w:i/>
                <w:sz w:val="19"/>
              </w:rPr>
            </w:pPr>
          </w:p>
          <w:p w14:paraId="565D9C8D" w14:textId="77777777" w:rsidR="00CE0D94" w:rsidRDefault="00CE0D94" w:rsidP="00CD363C">
            <w:pPr>
              <w:pStyle w:val="TableParagraph"/>
              <w:ind w:left="107" w:right="107"/>
              <w:jc w:val="both"/>
              <w:rPr>
                <w:sz w:val="20"/>
              </w:rPr>
            </w:pPr>
            <w:r>
              <w:rPr>
                <w:sz w:val="20"/>
              </w:rPr>
              <w:t>D Finanšu saistības</w:t>
            </w:r>
          </w:p>
        </w:tc>
        <w:tc>
          <w:tcPr>
            <w:tcW w:w="986" w:type="dxa"/>
          </w:tcPr>
          <w:p w14:paraId="604B9FFB" w14:textId="77777777" w:rsidR="00CE0D94" w:rsidRDefault="00CE0D94" w:rsidP="00CD363C">
            <w:pPr>
              <w:pStyle w:val="TableParagraph"/>
              <w:ind w:right="107"/>
              <w:jc w:val="both"/>
              <w:rPr>
                <w:i/>
                <w:sz w:val="19"/>
              </w:rPr>
            </w:pPr>
          </w:p>
          <w:p w14:paraId="50453EBE" w14:textId="77777777" w:rsidR="00CE0D94" w:rsidRDefault="00CE0D94" w:rsidP="00CD363C">
            <w:pPr>
              <w:pStyle w:val="TableParagraph"/>
              <w:ind w:left="264" w:right="107"/>
              <w:jc w:val="both"/>
              <w:rPr>
                <w:sz w:val="20"/>
              </w:rPr>
            </w:pPr>
            <w:r>
              <w:rPr>
                <w:sz w:val="20"/>
              </w:rPr>
              <w:t>5130</w:t>
            </w:r>
          </w:p>
        </w:tc>
        <w:tc>
          <w:tcPr>
            <w:tcW w:w="2964" w:type="dxa"/>
          </w:tcPr>
          <w:p w14:paraId="0B84E1B5" w14:textId="77777777" w:rsidR="00CE0D94" w:rsidRDefault="00CE0D94" w:rsidP="00CD363C">
            <w:pPr>
              <w:pStyle w:val="TableParagraph"/>
              <w:ind w:left="108" w:right="107"/>
              <w:jc w:val="both"/>
              <w:rPr>
                <w:sz w:val="20"/>
              </w:rPr>
            </w:pPr>
            <w:r>
              <w:rPr>
                <w:sz w:val="20"/>
              </w:rPr>
              <w:t>Ilgtermiņa saistības pret piegādātajiem un</w:t>
            </w:r>
          </w:p>
          <w:p w14:paraId="03D398B3" w14:textId="77777777" w:rsidR="00CE0D94" w:rsidRDefault="00CE0D94" w:rsidP="00CD363C">
            <w:pPr>
              <w:pStyle w:val="TableParagraph"/>
              <w:ind w:left="108" w:right="107"/>
              <w:jc w:val="both"/>
              <w:rPr>
                <w:sz w:val="20"/>
              </w:rPr>
            </w:pPr>
            <w:r>
              <w:rPr>
                <w:sz w:val="20"/>
              </w:rPr>
              <w:t>darbuzņēmējiem</w:t>
            </w:r>
          </w:p>
        </w:tc>
        <w:tc>
          <w:tcPr>
            <w:tcW w:w="1569" w:type="dxa"/>
          </w:tcPr>
          <w:p w14:paraId="6795CA7D" w14:textId="77777777" w:rsidR="00CE0D94" w:rsidRDefault="00CE0D94" w:rsidP="00CD363C">
            <w:pPr>
              <w:pStyle w:val="TableParagraph"/>
              <w:ind w:right="107"/>
              <w:jc w:val="both"/>
              <w:rPr>
                <w:i/>
                <w:sz w:val="19"/>
              </w:rPr>
            </w:pPr>
          </w:p>
          <w:p w14:paraId="788617D7" w14:textId="77777777" w:rsidR="00CE0D94" w:rsidRDefault="00CE0D94" w:rsidP="00CD363C">
            <w:pPr>
              <w:pStyle w:val="TableParagraph"/>
              <w:ind w:right="107"/>
              <w:jc w:val="both"/>
              <w:rPr>
                <w:sz w:val="20"/>
              </w:rPr>
            </w:pPr>
            <w:r>
              <w:rPr>
                <w:sz w:val="20"/>
              </w:rPr>
              <w:t>136 543,62</w:t>
            </w:r>
          </w:p>
        </w:tc>
      </w:tr>
      <w:tr w:rsidR="00CE0D94" w14:paraId="57970916" w14:textId="77777777" w:rsidTr="00FB6347">
        <w:trPr>
          <w:trHeight w:val="691"/>
        </w:trPr>
        <w:tc>
          <w:tcPr>
            <w:tcW w:w="816" w:type="dxa"/>
            <w:vMerge/>
            <w:tcBorders>
              <w:top w:val="nil"/>
            </w:tcBorders>
          </w:tcPr>
          <w:p w14:paraId="78F3DCA2" w14:textId="77777777" w:rsidR="00CE0D94" w:rsidRDefault="00CE0D94" w:rsidP="00CD363C">
            <w:pPr>
              <w:spacing w:after="0" w:line="240" w:lineRule="auto"/>
              <w:ind w:right="107"/>
              <w:jc w:val="both"/>
              <w:rPr>
                <w:sz w:val="2"/>
                <w:szCs w:val="2"/>
              </w:rPr>
            </w:pPr>
          </w:p>
        </w:tc>
        <w:tc>
          <w:tcPr>
            <w:tcW w:w="3291" w:type="dxa"/>
          </w:tcPr>
          <w:p w14:paraId="3E6437ED" w14:textId="77777777" w:rsidR="00CE0D94" w:rsidRDefault="00CE0D94" w:rsidP="00CD363C">
            <w:pPr>
              <w:pStyle w:val="TableParagraph"/>
              <w:ind w:right="107"/>
              <w:jc w:val="both"/>
              <w:rPr>
                <w:i/>
                <w:sz w:val="19"/>
              </w:rPr>
            </w:pPr>
          </w:p>
          <w:p w14:paraId="25C2495B" w14:textId="77777777" w:rsidR="00CE0D94" w:rsidRDefault="00CE0D94" w:rsidP="00CD363C">
            <w:pPr>
              <w:pStyle w:val="TableParagraph"/>
              <w:ind w:left="107" w:right="107"/>
              <w:jc w:val="both"/>
              <w:rPr>
                <w:sz w:val="20"/>
              </w:rPr>
            </w:pPr>
            <w:r>
              <w:rPr>
                <w:sz w:val="20"/>
              </w:rPr>
              <w:t>K Finanšu saistības</w:t>
            </w:r>
          </w:p>
        </w:tc>
        <w:tc>
          <w:tcPr>
            <w:tcW w:w="986" w:type="dxa"/>
          </w:tcPr>
          <w:p w14:paraId="2984DBC3" w14:textId="77777777" w:rsidR="00CE0D94" w:rsidRDefault="00CE0D94" w:rsidP="00CD363C">
            <w:pPr>
              <w:pStyle w:val="TableParagraph"/>
              <w:ind w:right="107"/>
              <w:jc w:val="both"/>
              <w:rPr>
                <w:i/>
                <w:sz w:val="19"/>
              </w:rPr>
            </w:pPr>
          </w:p>
          <w:p w14:paraId="68EF880D" w14:textId="77777777" w:rsidR="00CE0D94" w:rsidRDefault="00CE0D94" w:rsidP="00CD363C">
            <w:pPr>
              <w:pStyle w:val="TableParagraph"/>
              <w:ind w:left="264" w:right="107"/>
              <w:jc w:val="both"/>
              <w:rPr>
                <w:sz w:val="20"/>
              </w:rPr>
            </w:pPr>
            <w:r>
              <w:rPr>
                <w:sz w:val="20"/>
              </w:rPr>
              <w:t>5310</w:t>
            </w:r>
          </w:p>
        </w:tc>
        <w:tc>
          <w:tcPr>
            <w:tcW w:w="2964" w:type="dxa"/>
          </w:tcPr>
          <w:p w14:paraId="48434E1D" w14:textId="77777777" w:rsidR="00CE0D94" w:rsidRDefault="00CE0D94" w:rsidP="00CD363C">
            <w:pPr>
              <w:pStyle w:val="TableParagraph"/>
              <w:ind w:left="158" w:right="107"/>
              <w:jc w:val="both"/>
              <w:rPr>
                <w:sz w:val="20"/>
              </w:rPr>
            </w:pPr>
            <w:r>
              <w:rPr>
                <w:sz w:val="20"/>
              </w:rPr>
              <w:t>Īstermiņa saistības pret</w:t>
            </w:r>
          </w:p>
          <w:p w14:paraId="59187DE2"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1BA22EA8" w14:textId="77777777" w:rsidR="00CE0D94" w:rsidRDefault="00CE0D94" w:rsidP="00CD363C">
            <w:pPr>
              <w:pStyle w:val="TableParagraph"/>
              <w:ind w:right="107"/>
              <w:jc w:val="both"/>
              <w:rPr>
                <w:i/>
                <w:sz w:val="19"/>
              </w:rPr>
            </w:pPr>
          </w:p>
          <w:p w14:paraId="37E4978F" w14:textId="77777777" w:rsidR="00CE0D94" w:rsidRDefault="00CE0D94" w:rsidP="00CD363C">
            <w:pPr>
              <w:pStyle w:val="TableParagraph"/>
              <w:ind w:right="107"/>
              <w:jc w:val="both"/>
              <w:rPr>
                <w:sz w:val="20"/>
              </w:rPr>
            </w:pPr>
            <w:r>
              <w:rPr>
                <w:sz w:val="20"/>
              </w:rPr>
              <w:t>136 543,62</w:t>
            </w:r>
          </w:p>
        </w:tc>
      </w:tr>
      <w:tr w:rsidR="00CE0D94" w14:paraId="47CA0CA8" w14:textId="77777777" w:rsidTr="00FB6347">
        <w:trPr>
          <w:trHeight w:val="253"/>
        </w:trPr>
        <w:tc>
          <w:tcPr>
            <w:tcW w:w="816" w:type="dxa"/>
            <w:vMerge w:val="restart"/>
          </w:tcPr>
          <w:p w14:paraId="58447D6A" w14:textId="77777777" w:rsidR="00CE0D94" w:rsidRDefault="00CE0D94" w:rsidP="00CD363C">
            <w:pPr>
              <w:pStyle w:val="TableParagraph"/>
              <w:ind w:right="107"/>
              <w:jc w:val="both"/>
              <w:rPr>
                <w:i/>
              </w:rPr>
            </w:pPr>
          </w:p>
          <w:p w14:paraId="568C1EFA" w14:textId="77777777" w:rsidR="00CE0D94" w:rsidRDefault="00CE0D94" w:rsidP="00CD363C">
            <w:pPr>
              <w:pStyle w:val="TableParagraph"/>
              <w:ind w:right="107"/>
              <w:jc w:val="both"/>
              <w:rPr>
                <w:i/>
              </w:rPr>
            </w:pPr>
          </w:p>
          <w:p w14:paraId="588D43FF" w14:textId="77777777" w:rsidR="00CE0D94" w:rsidRDefault="00CE0D94" w:rsidP="00CD363C">
            <w:pPr>
              <w:pStyle w:val="TableParagraph"/>
              <w:ind w:right="107"/>
              <w:jc w:val="both"/>
              <w:rPr>
                <w:i/>
              </w:rPr>
            </w:pPr>
          </w:p>
          <w:p w14:paraId="3E766C0C" w14:textId="77777777" w:rsidR="00CE0D94" w:rsidRDefault="00CE0D94" w:rsidP="00CD363C">
            <w:pPr>
              <w:pStyle w:val="TableParagraph"/>
              <w:ind w:right="107"/>
              <w:jc w:val="both"/>
              <w:rPr>
                <w:i/>
              </w:rPr>
            </w:pPr>
          </w:p>
          <w:p w14:paraId="601BDD1A" w14:textId="77777777" w:rsidR="00CE0D94" w:rsidRDefault="00CE0D94" w:rsidP="00CD363C">
            <w:pPr>
              <w:pStyle w:val="TableParagraph"/>
              <w:ind w:right="107"/>
              <w:jc w:val="both"/>
              <w:rPr>
                <w:i/>
              </w:rPr>
            </w:pPr>
          </w:p>
          <w:p w14:paraId="27FE18FF" w14:textId="77777777" w:rsidR="00CE0D94" w:rsidRDefault="00CE0D94" w:rsidP="00CD363C">
            <w:pPr>
              <w:pStyle w:val="TableParagraph"/>
              <w:ind w:right="107"/>
              <w:jc w:val="both"/>
              <w:rPr>
                <w:i/>
              </w:rPr>
            </w:pPr>
          </w:p>
          <w:p w14:paraId="5A11AD5A" w14:textId="77777777" w:rsidR="00CE0D94" w:rsidRDefault="00CE0D94" w:rsidP="00CD363C">
            <w:pPr>
              <w:pStyle w:val="TableParagraph"/>
              <w:ind w:right="107"/>
              <w:jc w:val="both"/>
              <w:rPr>
                <w:i/>
              </w:rPr>
            </w:pPr>
          </w:p>
          <w:p w14:paraId="733430CE" w14:textId="77777777" w:rsidR="00CE0D94" w:rsidRDefault="00CE0D94" w:rsidP="00CD363C">
            <w:pPr>
              <w:pStyle w:val="TableParagraph"/>
              <w:ind w:right="107"/>
              <w:jc w:val="both"/>
              <w:rPr>
                <w:b/>
                <w:sz w:val="20"/>
              </w:rPr>
            </w:pPr>
            <w:r>
              <w:rPr>
                <w:b/>
                <w:w w:val="99"/>
                <w:sz w:val="20"/>
              </w:rPr>
              <w:t>6</w:t>
            </w:r>
          </w:p>
        </w:tc>
        <w:tc>
          <w:tcPr>
            <w:tcW w:w="8810" w:type="dxa"/>
            <w:gridSpan w:val="4"/>
          </w:tcPr>
          <w:p w14:paraId="34414A3E" w14:textId="77777777" w:rsidR="00CE0D94" w:rsidRDefault="00CE0D94" w:rsidP="00CD363C">
            <w:pPr>
              <w:pStyle w:val="TableParagraph"/>
              <w:ind w:left="107" w:right="107"/>
              <w:jc w:val="both"/>
              <w:rPr>
                <w:b/>
                <w:sz w:val="20"/>
              </w:rPr>
            </w:pPr>
            <w:r>
              <w:rPr>
                <w:b/>
                <w:sz w:val="20"/>
              </w:rPr>
              <w:t>Maksājuma veikšana</w:t>
            </w:r>
          </w:p>
        </w:tc>
      </w:tr>
      <w:tr w:rsidR="00CE0D94" w14:paraId="319B6280" w14:textId="77777777" w:rsidTr="00FB6347">
        <w:trPr>
          <w:trHeight w:val="690"/>
        </w:trPr>
        <w:tc>
          <w:tcPr>
            <w:tcW w:w="816" w:type="dxa"/>
            <w:vMerge/>
            <w:tcBorders>
              <w:top w:val="nil"/>
            </w:tcBorders>
          </w:tcPr>
          <w:p w14:paraId="2D546498" w14:textId="77777777" w:rsidR="00CE0D94" w:rsidRDefault="00CE0D94" w:rsidP="00CD363C">
            <w:pPr>
              <w:spacing w:after="0" w:line="240" w:lineRule="auto"/>
              <w:ind w:right="107"/>
              <w:jc w:val="both"/>
              <w:rPr>
                <w:sz w:val="2"/>
                <w:szCs w:val="2"/>
              </w:rPr>
            </w:pPr>
          </w:p>
        </w:tc>
        <w:tc>
          <w:tcPr>
            <w:tcW w:w="3291" w:type="dxa"/>
          </w:tcPr>
          <w:p w14:paraId="19A3F3B6" w14:textId="77777777" w:rsidR="00CE0D94" w:rsidRDefault="00CE0D94" w:rsidP="00CD363C">
            <w:pPr>
              <w:pStyle w:val="TableParagraph"/>
              <w:ind w:right="107"/>
              <w:jc w:val="both"/>
              <w:rPr>
                <w:i/>
                <w:sz w:val="19"/>
              </w:rPr>
            </w:pPr>
          </w:p>
          <w:p w14:paraId="41C95473" w14:textId="77777777" w:rsidR="00CE0D94" w:rsidRDefault="00CE0D94" w:rsidP="00CD363C">
            <w:pPr>
              <w:pStyle w:val="TableParagraph"/>
              <w:ind w:left="107" w:right="107"/>
              <w:jc w:val="both"/>
              <w:rPr>
                <w:sz w:val="20"/>
              </w:rPr>
            </w:pPr>
            <w:r>
              <w:rPr>
                <w:sz w:val="20"/>
              </w:rPr>
              <w:t>D Finanšu saistības</w:t>
            </w:r>
          </w:p>
        </w:tc>
        <w:tc>
          <w:tcPr>
            <w:tcW w:w="986" w:type="dxa"/>
          </w:tcPr>
          <w:p w14:paraId="63B9969E" w14:textId="77777777" w:rsidR="00CE0D94" w:rsidRDefault="00CE0D94" w:rsidP="00CD363C">
            <w:pPr>
              <w:pStyle w:val="TableParagraph"/>
              <w:ind w:right="107"/>
              <w:jc w:val="both"/>
              <w:rPr>
                <w:i/>
                <w:sz w:val="19"/>
              </w:rPr>
            </w:pPr>
          </w:p>
          <w:p w14:paraId="61D4193E" w14:textId="77777777" w:rsidR="00CE0D94" w:rsidRDefault="00CE0D94" w:rsidP="00CD363C">
            <w:pPr>
              <w:pStyle w:val="TableParagraph"/>
              <w:ind w:left="264" w:right="107"/>
              <w:jc w:val="both"/>
              <w:rPr>
                <w:sz w:val="20"/>
              </w:rPr>
            </w:pPr>
            <w:r>
              <w:rPr>
                <w:sz w:val="20"/>
              </w:rPr>
              <w:t>5310</w:t>
            </w:r>
          </w:p>
        </w:tc>
        <w:tc>
          <w:tcPr>
            <w:tcW w:w="2964" w:type="dxa"/>
          </w:tcPr>
          <w:p w14:paraId="20D9444E" w14:textId="77777777" w:rsidR="00CE0D94" w:rsidRDefault="00CE0D94" w:rsidP="00CD363C">
            <w:pPr>
              <w:pStyle w:val="TableParagraph"/>
              <w:ind w:left="108" w:right="107"/>
              <w:jc w:val="both"/>
              <w:rPr>
                <w:sz w:val="20"/>
              </w:rPr>
            </w:pPr>
            <w:r>
              <w:rPr>
                <w:sz w:val="20"/>
              </w:rPr>
              <w:t>Īstermiņa saistības pret</w:t>
            </w:r>
          </w:p>
          <w:p w14:paraId="4A1E2393"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0147A3EF" w14:textId="77777777" w:rsidR="00CE0D94" w:rsidRDefault="00CE0D94" w:rsidP="00CD363C">
            <w:pPr>
              <w:pStyle w:val="TableParagraph"/>
              <w:ind w:right="107"/>
              <w:jc w:val="both"/>
              <w:rPr>
                <w:i/>
                <w:sz w:val="19"/>
              </w:rPr>
            </w:pPr>
          </w:p>
          <w:p w14:paraId="3468C005" w14:textId="77777777" w:rsidR="00CE0D94" w:rsidRDefault="00CE0D94" w:rsidP="00CD363C">
            <w:pPr>
              <w:pStyle w:val="TableParagraph"/>
              <w:ind w:right="107"/>
              <w:jc w:val="both"/>
              <w:rPr>
                <w:sz w:val="20"/>
              </w:rPr>
            </w:pPr>
            <w:r>
              <w:rPr>
                <w:sz w:val="20"/>
              </w:rPr>
              <w:t>200 000,00</w:t>
            </w:r>
          </w:p>
        </w:tc>
      </w:tr>
      <w:tr w:rsidR="00CE0D94" w14:paraId="0D242EF7" w14:textId="77777777" w:rsidTr="00FB6347">
        <w:trPr>
          <w:trHeight w:val="254"/>
        </w:trPr>
        <w:tc>
          <w:tcPr>
            <w:tcW w:w="816" w:type="dxa"/>
            <w:vMerge/>
            <w:tcBorders>
              <w:top w:val="nil"/>
            </w:tcBorders>
          </w:tcPr>
          <w:p w14:paraId="311E8FF2" w14:textId="77777777" w:rsidR="00CE0D94" w:rsidRDefault="00CE0D94" w:rsidP="00CD363C">
            <w:pPr>
              <w:spacing w:after="0" w:line="240" w:lineRule="auto"/>
              <w:ind w:right="107"/>
              <w:jc w:val="both"/>
              <w:rPr>
                <w:sz w:val="2"/>
                <w:szCs w:val="2"/>
              </w:rPr>
            </w:pPr>
          </w:p>
        </w:tc>
        <w:tc>
          <w:tcPr>
            <w:tcW w:w="3291" w:type="dxa"/>
          </w:tcPr>
          <w:p w14:paraId="7C850506" w14:textId="77777777" w:rsidR="00CE0D94" w:rsidRDefault="00CE0D94" w:rsidP="00CD363C">
            <w:pPr>
              <w:pStyle w:val="TableParagraph"/>
              <w:ind w:left="107" w:right="107"/>
              <w:jc w:val="both"/>
              <w:rPr>
                <w:sz w:val="20"/>
              </w:rPr>
            </w:pPr>
            <w:r>
              <w:rPr>
                <w:sz w:val="20"/>
              </w:rPr>
              <w:t>K Nauda</w:t>
            </w:r>
          </w:p>
        </w:tc>
        <w:tc>
          <w:tcPr>
            <w:tcW w:w="986" w:type="dxa"/>
          </w:tcPr>
          <w:p w14:paraId="161EB207" w14:textId="77777777" w:rsidR="00CE0D94" w:rsidRDefault="00CE0D94" w:rsidP="00CD363C">
            <w:pPr>
              <w:pStyle w:val="TableParagraph"/>
              <w:ind w:left="264" w:right="107"/>
              <w:jc w:val="both"/>
              <w:rPr>
                <w:sz w:val="20"/>
              </w:rPr>
            </w:pPr>
            <w:r>
              <w:rPr>
                <w:sz w:val="20"/>
              </w:rPr>
              <w:t>2600</w:t>
            </w:r>
          </w:p>
        </w:tc>
        <w:tc>
          <w:tcPr>
            <w:tcW w:w="2964" w:type="dxa"/>
          </w:tcPr>
          <w:p w14:paraId="32A0758F" w14:textId="77777777" w:rsidR="00CE0D94" w:rsidRDefault="00CE0D94" w:rsidP="00CD363C">
            <w:pPr>
              <w:pStyle w:val="TableParagraph"/>
              <w:ind w:left="108" w:right="107"/>
              <w:jc w:val="both"/>
              <w:rPr>
                <w:sz w:val="20"/>
              </w:rPr>
            </w:pPr>
            <w:r>
              <w:rPr>
                <w:sz w:val="20"/>
              </w:rPr>
              <w:t>Naudas līdzekļi</w:t>
            </w:r>
          </w:p>
        </w:tc>
        <w:tc>
          <w:tcPr>
            <w:tcW w:w="1569" w:type="dxa"/>
          </w:tcPr>
          <w:p w14:paraId="50CABF92" w14:textId="77777777" w:rsidR="00CE0D94" w:rsidRDefault="00CE0D94" w:rsidP="00CD363C">
            <w:pPr>
              <w:pStyle w:val="TableParagraph"/>
              <w:ind w:right="107"/>
              <w:jc w:val="both"/>
              <w:rPr>
                <w:sz w:val="20"/>
              </w:rPr>
            </w:pPr>
            <w:r>
              <w:rPr>
                <w:sz w:val="20"/>
              </w:rPr>
              <w:t>200 000,00</w:t>
            </w:r>
          </w:p>
        </w:tc>
      </w:tr>
      <w:tr w:rsidR="00CE0D94" w14:paraId="6BA40739" w14:textId="77777777" w:rsidTr="00FB6347">
        <w:trPr>
          <w:trHeight w:val="253"/>
        </w:trPr>
        <w:tc>
          <w:tcPr>
            <w:tcW w:w="816" w:type="dxa"/>
            <w:vMerge/>
            <w:tcBorders>
              <w:top w:val="nil"/>
            </w:tcBorders>
          </w:tcPr>
          <w:p w14:paraId="402A74ED" w14:textId="77777777" w:rsidR="00CE0D94" w:rsidRDefault="00CE0D94" w:rsidP="00CD363C">
            <w:pPr>
              <w:spacing w:after="0" w:line="240" w:lineRule="auto"/>
              <w:ind w:right="107"/>
              <w:jc w:val="both"/>
              <w:rPr>
                <w:sz w:val="2"/>
                <w:szCs w:val="2"/>
              </w:rPr>
            </w:pPr>
          </w:p>
        </w:tc>
        <w:tc>
          <w:tcPr>
            <w:tcW w:w="8810" w:type="dxa"/>
            <w:gridSpan w:val="4"/>
          </w:tcPr>
          <w:p w14:paraId="37D46E9B" w14:textId="77777777" w:rsidR="00CE0D94" w:rsidRDefault="00CE0D94" w:rsidP="00CD363C">
            <w:pPr>
              <w:pStyle w:val="TableParagraph"/>
              <w:ind w:left="107" w:right="107"/>
              <w:jc w:val="both"/>
              <w:rPr>
                <w:b/>
                <w:sz w:val="20"/>
              </w:rPr>
            </w:pPr>
            <w:r>
              <w:rPr>
                <w:b/>
                <w:sz w:val="20"/>
              </w:rPr>
              <w:t>Procentu izdevumi</w:t>
            </w:r>
          </w:p>
        </w:tc>
      </w:tr>
      <w:tr w:rsidR="00CE0D94" w14:paraId="27D94B16" w14:textId="77777777" w:rsidTr="00FB6347">
        <w:trPr>
          <w:trHeight w:val="256"/>
        </w:trPr>
        <w:tc>
          <w:tcPr>
            <w:tcW w:w="816" w:type="dxa"/>
            <w:vMerge/>
            <w:tcBorders>
              <w:top w:val="nil"/>
            </w:tcBorders>
          </w:tcPr>
          <w:p w14:paraId="0EB60A86" w14:textId="77777777" w:rsidR="00CE0D94" w:rsidRDefault="00CE0D94" w:rsidP="00CD363C">
            <w:pPr>
              <w:spacing w:after="0" w:line="240" w:lineRule="auto"/>
              <w:ind w:right="107"/>
              <w:jc w:val="both"/>
              <w:rPr>
                <w:sz w:val="2"/>
                <w:szCs w:val="2"/>
              </w:rPr>
            </w:pPr>
          </w:p>
        </w:tc>
        <w:tc>
          <w:tcPr>
            <w:tcW w:w="3291" w:type="dxa"/>
          </w:tcPr>
          <w:p w14:paraId="78BE710C" w14:textId="77777777" w:rsidR="00CE0D94" w:rsidRDefault="00CE0D94" w:rsidP="00CD363C">
            <w:pPr>
              <w:pStyle w:val="TableParagraph"/>
              <w:ind w:left="107" w:right="107"/>
              <w:jc w:val="both"/>
              <w:rPr>
                <w:sz w:val="20"/>
              </w:rPr>
            </w:pPr>
            <w:r>
              <w:rPr>
                <w:sz w:val="20"/>
              </w:rPr>
              <w:t>D Procentu izdevumi</w:t>
            </w:r>
          </w:p>
        </w:tc>
        <w:tc>
          <w:tcPr>
            <w:tcW w:w="986" w:type="dxa"/>
          </w:tcPr>
          <w:p w14:paraId="3D03C64E" w14:textId="77777777" w:rsidR="00CE0D94" w:rsidRDefault="00CE0D94" w:rsidP="00CD363C">
            <w:pPr>
              <w:pStyle w:val="TableParagraph"/>
              <w:ind w:left="264" w:right="107"/>
              <w:jc w:val="both"/>
              <w:rPr>
                <w:sz w:val="20"/>
              </w:rPr>
            </w:pPr>
            <w:r>
              <w:rPr>
                <w:sz w:val="20"/>
              </w:rPr>
              <w:t>8220</w:t>
            </w:r>
          </w:p>
        </w:tc>
        <w:tc>
          <w:tcPr>
            <w:tcW w:w="2964" w:type="dxa"/>
          </w:tcPr>
          <w:p w14:paraId="54DB7C5F" w14:textId="77777777" w:rsidR="00CE0D94" w:rsidRDefault="00CE0D94" w:rsidP="00CD363C">
            <w:pPr>
              <w:pStyle w:val="TableParagraph"/>
              <w:ind w:left="108" w:right="107"/>
              <w:jc w:val="both"/>
              <w:rPr>
                <w:sz w:val="20"/>
              </w:rPr>
            </w:pPr>
            <w:r>
              <w:rPr>
                <w:sz w:val="20"/>
              </w:rPr>
              <w:t>Procentu izdevumi</w:t>
            </w:r>
          </w:p>
        </w:tc>
        <w:tc>
          <w:tcPr>
            <w:tcW w:w="1569" w:type="dxa"/>
          </w:tcPr>
          <w:p w14:paraId="033F20C8" w14:textId="77777777" w:rsidR="00CE0D94" w:rsidRDefault="00CE0D94" w:rsidP="00CD363C">
            <w:pPr>
              <w:pStyle w:val="TableParagraph"/>
              <w:ind w:right="107"/>
              <w:jc w:val="both"/>
              <w:rPr>
                <w:sz w:val="20"/>
              </w:rPr>
            </w:pPr>
            <w:r>
              <w:rPr>
                <w:sz w:val="20"/>
              </w:rPr>
              <w:t>43 019,02</w:t>
            </w:r>
          </w:p>
        </w:tc>
      </w:tr>
      <w:tr w:rsidR="00CE0D94" w14:paraId="69974593" w14:textId="77777777" w:rsidTr="00FB6347">
        <w:trPr>
          <w:trHeight w:val="254"/>
        </w:trPr>
        <w:tc>
          <w:tcPr>
            <w:tcW w:w="816" w:type="dxa"/>
            <w:vMerge/>
            <w:tcBorders>
              <w:top w:val="nil"/>
            </w:tcBorders>
          </w:tcPr>
          <w:p w14:paraId="562247D6" w14:textId="77777777" w:rsidR="00CE0D94" w:rsidRDefault="00CE0D94" w:rsidP="00CD363C">
            <w:pPr>
              <w:spacing w:after="0" w:line="240" w:lineRule="auto"/>
              <w:ind w:right="107"/>
              <w:jc w:val="both"/>
              <w:rPr>
                <w:sz w:val="2"/>
                <w:szCs w:val="2"/>
              </w:rPr>
            </w:pPr>
          </w:p>
        </w:tc>
        <w:tc>
          <w:tcPr>
            <w:tcW w:w="3291" w:type="dxa"/>
          </w:tcPr>
          <w:p w14:paraId="7C2ABA19" w14:textId="77777777" w:rsidR="00CE0D94" w:rsidRDefault="00CE0D94" w:rsidP="00CD363C">
            <w:pPr>
              <w:pStyle w:val="TableParagraph"/>
              <w:ind w:left="107" w:right="107"/>
              <w:jc w:val="both"/>
              <w:rPr>
                <w:sz w:val="20"/>
              </w:rPr>
            </w:pPr>
            <w:r>
              <w:rPr>
                <w:sz w:val="20"/>
              </w:rPr>
              <w:t>D Pakalpojuma izmaksas</w:t>
            </w:r>
          </w:p>
        </w:tc>
        <w:tc>
          <w:tcPr>
            <w:tcW w:w="986" w:type="dxa"/>
          </w:tcPr>
          <w:p w14:paraId="0E325DBA" w14:textId="77777777" w:rsidR="00CE0D94" w:rsidRDefault="00CE0D94" w:rsidP="00CD363C">
            <w:pPr>
              <w:pStyle w:val="TableParagraph"/>
              <w:ind w:left="264" w:right="107"/>
              <w:jc w:val="both"/>
              <w:rPr>
                <w:sz w:val="20"/>
              </w:rPr>
            </w:pPr>
            <w:r>
              <w:rPr>
                <w:sz w:val="20"/>
              </w:rPr>
              <w:t>7000</w:t>
            </w:r>
          </w:p>
        </w:tc>
        <w:tc>
          <w:tcPr>
            <w:tcW w:w="2964" w:type="dxa"/>
          </w:tcPr>
          <w:p w14:paraId="3D4259CC" w14:textId="77777777" w:rsidR="00CE0D94" w:rsidRDefault="00CE0D94" w:rsidP="00CD363C">
            <w:pPr>
              <w:pStyle w:val="TableParagraph"/>
              <w:ind w:left="108" w:right="107"/>
              <w:jc w:val="both"/>
              <w:rPr>
                <w:sz w:val="20"/>
              </w:rPr>
            </w:pPr>
            <w:r>
              <w:rPr>
                <w:sz w:val="20"/>
              </w:rPr>
              <w:t>Pamatdarbības izdevumi</w:t>
            </w:r>
          </w:p>
        </w:tc>
        <w:tc>
          <w:tcPr>
            <w:tcW w:w="1569" w:type="dxa"/>
          </w:tcPr>
          <w:p w14:paraId="357BCDE9" w14:textId="77777777" w:rsidR="00CE0D94" w:rsidRDefault="00CE0D94" w:rsidP="00CD363C">
            <w:pPr>
              <w:pStyle w:val="TableParagraph"/>
              <w:ind w:right="107"/>
              <w:jc w:val="both"/>
              <w:rPr>
                <w:sz w:val="20"/>
              </w:rPr>
            </w:pPr>
            <w:r>
              <w:rPr>
                <w:sz w:val="20"/>
              </w:rPr>
              <w:t>12 000,00</w:t>
            </w:r>
          </w:p>
        </w:tc>
      </w:tr>
      <w:tr w:rsidR="00CE0D94" w14:paraId="3BFFD06E" w14:textId="77777777" w:rsidTr="00FB6347">
        <w:trPr>
          <w:trHeight w:val="690"/>
        </w:trPr>
        <w:tc>
          <w:tcPr>
            <w:tcW w:w="816" w:type="dxa"/>
            <w:vMerge/>
            <w:tcBorders>
              <w:top w:val="nil"/>
            </w:tcBorders>
          </w:tcPr>
          <w:p w14:paraId="6B5501C0" w14:textId="77777777" w:rsidR="00CE0D94" w:rsidRDefault="00CE0D94" w:rsidP="00CD363C">
            <w:pPr>
              <w:spacing w:after="0" w:line="240" w:lineRule="auto"/>
              <w:ind w:right="107"/>
              <w:jc w:val="both"/>
              <w:rPr>
                <w:sz w:val="2"/>
                <w:szCs w:val="2"/>
              </w:rPr>
            </w:pPr>
          </w:p>
        </w:tc>
        <w:tc>
          <w:tcPr>
            <w:tcW w:w="3291" w:type="dxa"/>
          </w:tcPr>
          <w:p w14:paraId="37310B6D" w14:textId="77777777" w:rsidR="00CE0D94" w:rsidRDefault="00CE0D94" w:rsidP="00CD363C">
            <w:pPr>
              <w:pStyle w:val="TableParagraph"/>
              <w:ind w:right="107"/>
              <w:jc w:val="both"/>
              <w:rPr>
                <w:i/>
                <w:sz w:val="19"/>
              </w:rPr>
            </w:pPr>
          </w:p>
          <w:p w14:paraId="6F9024FE" w14:textId="77777777" w:rsidR="00CE0D94" w:rsidRDefault="00CE0D94" w:rsidP="00CD363C">
            <w:pPr>
              <w:pStyle w:val="TableParagraph"/>
              <w:ind w:left="107" w:right="107"/>
              <w:jc w:val="both"/>
              <w:rPr>
                <w:sz w:val="20"/>
              </w:rPr>
            </w:pPr>
            <w:r>
              <w:rPr>
                <w:sz w:val="20"/>
              </w:rPr>
              <w:t>K Finanšu saistības</w:t>
            </w:r>
          </w:p>
        </w:tc>
        <w:tc>
          <w:tcPr>
            <w:tcW w:w="986" w:type="dxa"/>
          </w:tcPr>
          <w:p w14:paraId="07E820A8" w14:textId="77777777" w:rsidR="00CE0D94" w:rsidRDefault="00CE0D94" w:rsidP="00CD363C">
            <w:pPr>
              <w:pStyle w:val="TableParagraph"/>
              <w:ind w:right="107"/>
              <w:jc w:val="both"/>
              <w:rPr>
                <w:i/>
                <w:sz w:val="19"/>
              </w:rPr>
            </w:pPr>
          </w:p>
          <w:p w14:paraId="6F399496" w14:textId="77777777" w:rsidR="00CE0D94" w:rsidRDefault="00CE0D94" w:rsidP="00CD363C">
            <w:pPr>
              <w:pStyle w:val="TableParagraph"/>
              <w:ind w:left="264" w:right="107"/>
              <w:jc w:val="both"/>
              <w:rPr>
                <w:sz w:val="20"/>
              </w:rPr>
            </w:pPr>
            <w:r>
              <w:rPr>
                <w:sz w:val="20"/>
              </w:rPr>
              <w:t>5310</w:t>
            </w:r>
          </w:p>
        </w:tc>
        <w:tc>
          <w:tcPr>
            <w:tcW w:w="2964" w:type="dxa"/>
          </w:tcPr>
          <w:p w14:paraId="0F062A3E" w14:textId="77777777" w:rsidR="00CE0D94" w:rsidRDefault="00CE0D94" w:rsidP="00CD363C">
            <w:pPr>
              <w:pStyle w:val="TableParagraph"/>
              <w:ind w:left="108" w:right="107"/>
              <w:jc w:val="both"/>
              <w:rPr>
                <w:sz w:val="20"/>
              </w:rPr>
            </w:pPr>
            <w:r>
              <w:rPr>
                <w:sz w:val="20"/>
              </w:rPr>
              <w:t>Īstermiņa saistības pret piegādātājiem un</w:t>
            </w:r>
          </w:p>
          <w:p w14:paraId="7A8F47CA" w14:textId="77777777" w:rsidR="00CE0D94" w:rsidRDefault="00CE0D94" w:rsidP="00CD363C">
            <w:pPr>
              <w:pStyle w:val="TableParagraph"/>
              <w:ind w:left="108" w:right="107"/>
              <w:jc w:val="both"/>
              <w:rPr>
                <w:sz w:val="20"/>
              </w:rPr>
            </w:pPr>
            <w:r>
              <w:rPr>
                <w:sz w:val="20"/>
              </w:rPr>
              <w:t>darbuzņēmējiem</w:t>
            </w:r>
          </w:p>
        </w:tc>
        <w:tc>
          <w:tcPr>
            <w:tcW w:w="1569" w:type="dxa"/>
          </w:tcPr>
          <w:p w14:paraId="65C20438" w14:textId="77777777" w:rsidR="00CE0D94" w:rsidRDefault="00CE0D94" w:rsidP="00CD363C">
            <w:pPr>
              <w:pStyle w:val="TableParagraph"/>
              <w:ind w:right="107"/>
              <w:jc w:val="both"/>
              <w:rPr>
                <w:i/>
                <w:sz w:val="19"/>
              </w:rPr>
            </w:pPr>
          </w:p>
          <w:p w14:paraId="5F28D1A7" w14:textId="77777777" w:rsidR="00CE0D94" w:rsidRDefault="00CE0D94" w:rsidP="00CD363C">
            <w:pPr>
              <w:pStyle w:val="TableParagraph"/>
              <w:ind w:right="107"/>
              <w:jc w:val="both"/>
              <w:rPr>
                <w:sz w:val="20"/>
              </w:rPr>
            </w:pPr>
            <w:r>
              <w:rPr>
                <w:sz w:val="20"/>
              </w:rPr>
              <w:t>55 019,02</w:t>
            </w:r>
          </w:p>
        </w:tc>
      </w:tr>
      <w:tr w:rsidR="00CE0D94" w14:paraId="5580070C" w14:textId="77777777" w:rsidTr="00FB6347">
        <w:trPr>
          <w:trHeight w:val="253"/>
        </w:trPr>
        <w:tc>
          <w:tcPr>
            <w:tcW w:w="816" w:type="dxa"/>
            <w:vMerge/>
            <w:tcBorders>
              <w:top w:val="nil"/>
            </w:tcBorders>
          </w:tcPr>
          <w:p w14:paraId="5FEBE0DA" w14:textId="77777777" w:rsidR="00CE0D94" w:rsidRDefault="00CE0D94" w:rsidP="00CD363C">
            <w:pPr>
              <w:spacing w:after="0" w:line="240" w:lineRule="auto"/>
              <w:ind w:right="107"/>
              <w:jc w:val="both"/>
              <w:rPr>
                <w:sz w:val="2"/>
                <w:szCs w:val="2"/>
              </w:rPr>
            </w:pPr>
          </w:p>
        </w:tc>
        <w:tc>
          <w:tcPr>
            <w:tcW w:w="8810" w:type="dxa"/>
            <w:gridSpan w:val="4"/>
          </w:tcPr>
          <w:p w14:paraId="771E03AD" w14:textId="77777777" w:rsidR="00CE0D94" w:rsidRDefault="00CE0D94" w:rsidP="00CD363C">
            <w:pPr>
              <w:pStyle w:val="TableParagraph"/>
              <w:ind w:left="107" w:right="107"/>
              <w:jc w:val="both"/>
              <w:rPr>
                <w:b/>
                <w:sz w:val="20"/>
              </w:rPr>
            </w:pPr>
            <w:r>
              <w:rPr>
                <w:b/>
                <w:sz w:val="20"/>
              </w:rPr>
              <w:t>Nolietojuma uzskaite</w:t>
            </w:r>
          </w:p>
        </w:tc>
      </w:tr>
      <w:tr w:rsidR="00CE0D94" w14:paraId="7149B07D" w14:textId="77777777" w:rsidTr="00FB6347">
        <w:trPr>
          <w:trHeight w:val="256"/>
        </w:trPr>
        <w:tc>
          <w:tcPr>
            <w:tcW w:w="816" w:type="dxa"/>
            <w:vMerge/>
            <w:tcBorders>
              <w:top w:val="nil"/>
            </w:tcBorders>
          </w:tcPr>
          <w:p w14:paraId="2B9B334C" w14:textId="77777777" w:rsidR="00CE0D94" w:rsidRDefault="00CE0D94" w:rsidP="00CD363C">
            <w:pPr>
              <w:spacing w:after="0" w:line="240" w:lineRule="auto"/>
              <w:ind w:right="107"/>
              <w:jc w:val="both"/>
              <w:rPr>
                <w:sz w:val="2"/>
                <w:szCs w:val="2"/>
              </w:rPr>
            </w:pPr>
          </w:p>
        </w:tc>
        <w:tc>
          <w:tcPr>
            <w:tcW w:w="3291" w:type="dxa"/>
          </w:tcPr>
          <w:p w14:paraId="7C0BBF93" w14:textId="77777777" w:rsidR="00CE0D94" w:rsidRDefault="00CE0D94" w:rsidP="00CD363C">
            <w:pPr>
              <w:pStyle w:val="TableParagraph"/>
              <w:ind w:left="107" w:right="107"/>
              <w:jc w:val="both"/>
              <w:rPr>
                <w:sz w:val="20"/>
              </w:rPr>
            </w:pPr>
            <w:r>
              <w:rPr>
                <w:sz w:val="20"/>
              </w:rPr>
              <w:t>D Nolietojuma izdevumi</w:t>
            </w:r>
          </w:p>
        </w:tc>
        <w:tc>
          <w:tcPr>
            <w:tcW w:w="986" w:type="dxa"/>
          </w:tcPr>
          <w:p w14:paraId="69C169DA" w14:textId="77777777" w:rsidR="00CE0D94" w:rsidRDefault="00CE0D94" w:rsidP="00CD363C">
            <w:pPr>
              <w:pStyle w:val="TableParagraph"/>
              <w:ind w:left="264" w:right="107"/>
              <w:jc w:val="both"/>
              <w:rPr>
                <w:sz w:val="20"/>
              </w:rPr>
            </w:pPr>
            <w:r>
              <w:rPr>
                <w:sz w:val="20"/>
              </w:rPr>
              <w:t>7000</w:t>
            </w:r>
          </w:p>
        </w:tc>
        <w:tc>
          <w:tcPr>
            <w:tcW w:w="2964" w:type="dxa"/>
          </w:tcPr>
          <w:p w14:paraId="3C06CF59" w14:textId="77777777" w:rsidR="00CE0D94" w:rsidRDefault="00CE0D94" w:rsidP="00CD363C">
            <w:pPr>
              <w:pStyle w:val="TableParagraph"/>
              <w:ind w:left="108" w:right="107"/>
              <w:jc w:val="both"/>
              <w:rPr>
                <w:sz w:val="20"/>
              </w:rPr>
            </w:pPr>
            <w:r>
              <w:rPr>
                <w:sz w:val="20"/>
              </w:rPr>
              <w:t>Pamatdarbības izdevumi</w:t>
            </w:r>
          </w:p>
        </w:tc>
        <w:tc>
          <w:tcPr>
            <w:tcW w:w="1569" w:type="dxa"/>
          </w:tcPr>
          <w:p w14:paraId="6C4D6C89" w14:textId="77777777" w:rsidR="00CE0D94" w:rsidRDefault="00CE0D94" w:rsidP="00CD363C">
            <w:pPr>
              <w:pStyle w:val="TableParagraph"/>
              <w:ind w:right="107"/>
              <w:jc w:val="both"/>
              <w:rPr>
                <w:sz w:val="20"/>
              </w:rPr>
            </w:pPr>
            <w:r>
              <w:rPr>
                <w:sz w:val="20"/>
              </w:rPr>
              <w:t>65 333,33</w:t>
            </w:r>
          </w:p>
        </w:tc>
      </w:tr>
      <w:tr w:rsidR="00CE0D94" w14:paraId="35954D8D" w14:textId="77777777" w:rsidTr="00FB6347">
        <w:trPr>
          <w:trHeight w:val="254"/>
        </w:trPr>
        <w:tc>
          <w:tcPr>
            <w:tcW w:w="816" w:type="dxa"/>
            <w:vMerge/>
            <w:tcBorders>
              <w:top w:val="nil"/>
            </w:tcBorders>
          </w:tcPr>
          <w:p w14:paraId="33049AD4" w14:textId="77777777" w:rsidR="00CE0D94" w:rsidRDefault="00CE0D94" w:rsidP="00CD363C">
            <w:pPr>
              <w:spacing w:after="0" w:line="240" w:lineRule="auto"/>
              <w:ind w:right="107"/>
              <w:jc w:val="both"/>
              <w:rPr>
                <w:sz w:val="2"/>
                <w:szCs w:val="2"/>
              </w:rPr>
            </w:pPr>
          </w:p>
        </w:tc>
        <w:tc>
          <w:tcPr>
            <w:tcW w:w="3291" w:type="dxa"/>
          </w:tcPr>
          <w:p w14:paraId="52B494C0" w14:textId="77777777" w:rsidR="00CE0D94" w:rsidRDefault="00CE0D94" w:rsidP="00CD363C">
            <w:pPr>
              <w:pStyle w:val="TableParagraph"/>
              <w:ind w:left="107" w:right="107"/>
              <w:jc w:val="both"/>
              <w:rPr>
                <w:sz w:val="20"/>
              </w:rPr>
            </w:pPr>
            <w:r>
              <w:rPr>
                <w:sz w:val="20"/>
              </w:rPr>
              <w:t>K Uzkrātais nolietojums</w:t>
            </w:r>
          </w:p>
        </w:tc>
        <w:tc>
          <w:tcPr>
            <w:tcW w:w="986" w:type="dxa"/>
          </w:tcPr>
          <w:p w14:paraId="74BB6C81" w14:textId="77777777" w:rsidR="00CE0D94" w:rsidRDefault="00CE0D94" w:rsidP="00CD363C">
            <w:pPr>
              <w:pStyle w:val="TableParagraph"/>
              <w:ind w:left="264" w:right="107"/>
              <w:jc w:val="both"/>
              <w:rPr>
                <w:sz w:val="20"/>
              </w:rPr>
            </w:pPr>
            <w:r>
              <w:rPr>
                <w:sz w:val="20"/>
              </w:rPr>
              <w:t>1291</w:t>
            </w:r>
          </w:p>
        </w:tc>
        <w:tc>
          <w:tcPr>
            <w:tcW w:w="2964" w:type="dxa"/>
          </w:tcPr>
          <w:p w14:paraId="553E7A23"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58E0727F" w14:textId="77777777" w:rsidR="00CE0D94" w:rsidRDefault="00CE0D94" w:rsidP="00CD363C">
            <w:pPr>
              <w:pStyle w:val="TableParagraph"/>
              <w:ind w:right="107"/>
              <w:jc w:val="both"/>
              <w:rPr>
                <w:sz w:val="20"/>
              </w:rPr>
            </w:pPr>
            <w:r>
              <w:rPr>
                <w:sz w:val="20"/>
              </w:rPr>
              <w:t>65 333,33</w:t>
            </w:r>
          </w:p>
        </w:tc>
      </w:tr>
      <w:tr w:rsidR="00CE0D94" w14:paraId="21C39BBE" w14:textId="77777777" w:rsidTr="00FB6347">
        <w:trPr>
          <w:trHeight w:val="256"/>
        </w:trPr>
        <w:tc>
          <w:tcPr>
            <w:tcW w:w="816" w:type="dxa"/>
            <w:vMerge/>
            <w:tcBorders>
              <w:top w:val="nil"/>
            </w:tcBorders>
          </w:tcPr>
          <w:p w14:paraId="3BCCE4C7" w14:textId="77777777" w:rsidR="00CE0D94" w:rsidRDefault="00CE0D94" w:rsidP="00CD363C">
            <w:pPr>
              <w:spacing w:after="0" w:line="240" w:lineRule="auto"/>
              <w:ind w:right="107"/>
              <w:jc w:val="both"/>
              <w:rPr>
                <w:sz w:val="2"/>
                <w:szCs w:val="2"/>
              </w:rPr>
            </w:pPr>
          </w:p>
        </w:tc>
        <w:tc>
          <w:tcPr>
            <w:tcW w:w="8810" w:type="dxa"/>
            <w:gridSpan w:val="4"/>
          </w:tcPr>
          <w:p w14:paraId="3E7175DE"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0C762BBB" w14:textId="77777777" w:rsidTr="00FB6347">
        <w:trPr>
          <w:trHeight w:val="688"/>
        </w:trPr>
        <w:tc>
          <w:tcPr>
            <w:tcW w:w="816" w:type="dxa"/>
            <w:vMerge/>
            <w:tcBorders>
              <w:top w:val="nil"/>
            </w:tcBorders>
          </w:tcPr>
          <w:p w14:paraId="683A968C" w14:textId="77777777" w:rsidR="00CE0D94" w:rsidRDefault="00CE0D94" w:rsidP="00CD363C">
            <w:pPr>
              <w:spacing w:after="0" w:line="240" w:lineRule="auto"/>
              <w:ind w:right="107"/>
              <w:jc w:val="both"/>
              <w:rPr>
                <w:sz w:val="2"/>
                <w:szCs w:val="2"/>
              </w:rPr>
            </w:pPr>
          </w:p>
        </w:tc>
        <w:tc>
          <w:tcPr>
            <w:tcW w:w="3291" w:type="dxa"/>
          </w:tcPr>
          <w:p w14:paraId="2AAE607D" w14:textId="77777777" w:rsidR="00CE0D94" w:rsidRDefault="00CE0D94" w:rsidP="00CD363C">
            <w:pPr>
              <w:pStyle w:val="TableParagraph"/>
              <w:ind w:right="107"/>
              <w:jc w:val="both"/>
              <w:rPr>
                <w:i/>
                <w:sz w:val="18"/>
              </w:rPr>
            </w:pPr>
          </w:p>
          <w:p w14:paraId="7EB856E6" w14:textId="77777777" w:rsidR="00CE0D94" w:rsidRDefault="00CE0D94" w:rsidP="00CD363C">
            <w:pPr>
              <w:pStyle w:val="TableParagraph"/>
              <w:ind w:left="107" w:right="107"/>
              <w:jc w:val="both"/>
              <w:rPr>
                <w:sz w:val="20"/>
              </w:rPr>
            </w:pPr>
            <w:r>
              <w:rPr>
                <w:sz w:val="20"/>
              </w:rPr>
              <w:t>D Finanšu saistības</w:t>
            </w:r>
          </w:p>
        </w:tc>
        <w:tc>
          <w:tcPr>
            <w:tcW w:w="986" w:type="dxa"/>
          </w:tcPr>
          <w:p w14:paraId="00EABE4E" w14:textId="77777777" w:rsidR="00CE0D94" w:rsidRDefault="00CE0D94" w:rsidP="00CD363C">
            <w:pPr>
              <w:pStyle w:val="TableParagraph"/>
              <w:ind w:right="107"/>
              <w:jc w:val="both"/>
              <w:rPr>
                <w:i/>
                <w:sz w:val="18"/>
              </w:rPr>
            </w:pPr>
          </w:p>
          <w:p w14:paraId="4893567B" w14:textId="77777777" w:rsidR="00CE0D94" w:rsidRDefault="00CE0D94" w:rsidP="00CD363C">
            <w:pPr>
              <w:pStyle w:val="TableParagraph"/>
              <w:ind w:left="264" w:right="107"/>
              <w:jc w:val="both"/>
              <w:rPr>
                <w:sz w:val="20"/>
              </w:rPr>
            </w:pPr>
            <w:r>
              <w:rPr>
                <w:sz w:val="20"/>
              </w:rPr>
              <w:t>5130</w:t>
            </w:r>
          </w:p>
        </w:tc>
        <w:tc>
          <w:tcPr>
            <w:tcW w:w="2964" w:type="dxa"/>
          </w:tcPr>
          <w:p w14:paraId="5769839A" w14:textId="77777777" w:rsidR="00CE0D94" w:rsidRDefault="00CE0D94" w:rsidP="00CD363C">
            <w:pPr>
              <w:pStyle w:val="TableParagraph"/>
              <w:ind w:left="108" w:right="107"/>
              <w:jc w:val="both"/>
              <w:rPr>
                <w:sz w:val="20"/>
              </w:rPr>
            </w:pPr>
            <w:r>
              <w:rPr>
                <w:sz w:val="20"/>
              </w:rPr>
              <w:t>Ilgtermiņa saistības pret piegādātajiem un</w:t>
            </w:r>
          </w:p>
          <w:p w14:paraId="05EA84DD" w14:textId="77777777" w:rsidR="00CE0D94" w:rsidRDefault="00CE0D94" w:rsidP="00CD363C">
            <w:pPr>
              <w:pStyle w:val="TableParagraph"/>
              <w:ind w:left="108" w:right="107"/>
              <w:jc w:val="both"/>
              <w:rPr>
                <w:sz w:val="20"/>
              </w:rPr>
            </w:pPr>
            <w:r>
              <w:rPr>
                <w:sz w:val="20"/>
              </w:rPr>
              <w:t>darbuzņēmējiem</w:t>
            </w:r>
          </w:p>
        </w:tc>
        <w:tc>
          <w:tcPr>
            <w:tcW w:w="1569" w:type="dxa"/>
          </w:tcPr>
          <w:p w14:paraId="10F7C491" w14:textId="77777777" w:rsidR="00CE0D94" w:rsidRDefault="00CE0D94" w:rsidP="00CD363C">
            <w:pPr>
              <w:pStyle w:val="TableParagraph"/>
              <w:ind w:right="107"/>
              <w:jc w:val="both"/>
              <w:rPr>
                <w:i/>
                <w:sz w:val="18"/>
              </w:rPr>
            </w:pPr>
          </w:p>
          <w:p w14:paraId="0C3C9D96" w14:textId="77777777" w:rsidR="00CE0D94" w:rsidRDefault="00CE0D94" w:rsidP="00CD363C">
            <w:pPr>
              <w:pStyle w:val="TableParagraph"/>
              <w:ind w:right="107"/>
              <w:jc w:val="both"/>
              <w:rPr>
                <w:sz w:val="20"/>
              </w:rPr>
            </w:pPr>
            <w:r>
              <w:rPr>
                <w:sz w:val="20"/>
              </w:rPr>
              <w:t>144 980,98</w:t>
            </w:r>
          </w:p>
        </w:tc>
      </w:tr>
      <w:tr w:rsidR="00CE0D94" w14:paraId="6C967FB9" w14:textId="77777777" w:rsidTr="00FB6347">
        <w:trPr>
          <w:trHeight w:val="690"/>
        </w:trPr>
        <w:tc>
          <w:tcPr>
            <w:tcW w:w="816" w:type="dxa"/>
            <w:vMerge/>
            <w:tcBorders>
              <w:top w:val="nil"/>
            </w:tcBorders>
          </w:tcPr>
          <w:p w14:paraId="2C786D2A" w14:textId="77777777" w:rsidR="00CE0D94" w:rsidRDefault="00CE0D94" w:rsidP="00CD363C">
            <w:pPr>
              <w:spacing w:after="0" w:line="240" w:lineRule="auto"/>
              <w:ind w:right="107"/>
              <w:jc w:val="both"/>
              <w:rPr>
                <w:sz w:val="2"/>
                <w:szCs w:val="2"/>
              </w:rPr>
            </w:pPr>
          </w:p>
        </w:tc>
        <w:tc>
          <w:tcPr>
            <w:tcW w:w="3291" w:type="dxa"/>
          </w:tcPr>
          <w:p w14:paraId="2300C1FF" w14:textId="77777777" w:rsidR="00CE0D94" w:rsidRDefault="00CE0D94" w:rsidP="00CD363C">
            <w:pPr>
              <w:pStyle w:val="TableParagraph"/>
              <w:ind w:right="107"/>
              <w:jc w:val="both"/>
              <w:rPr>
                <w:i/>
                <w:sz w:val="19"/>
              </w:rPr>
            </w:pPr>
          </w:p>
          <w:p w14:paraId="6F1F1007" w14:textId="77777777" w:rsidR="00CE0D94" w:rsidRDefault="00CE0D94" w:rsidP="00CD363C">
            <w:pPr>
              <w:pStyle w:val="TableParagraph"/>
              <w:ind w:left="107" w:right="107"/>
              <w:jc w:val="both"/>
              <w:rPr>
                <w:sz w:val="20"/>
              </w:rPr>
            </w:pPr>
            <w:r>
              <w:rPr>
                <w:sz w:val="20"/>
              </w:rPr>
              <w:t>K Finanšu saistības</w:t>
            </w:r>
          </w:p>
        </w:tc>
        <w:tc>
          <w:tcPr>
            <w:tcW w:w="986" w:type="dxa"/>
          </w:tcPr>
          <w:p w14:paraId="15B6C5D2" w14:textId="77777777" w:rsidR="00CE0D94" w:rsidRDefault="00CE0D94" w:rsidP="00CD363C">
            <w:pPr>
              <w:pStyle w:val="TableParagraph"/>
              <w:ind w:right="107"/>
              <w:jc w:val="both"/>
              <w:rPr>
                <w:i/>
                <w:sz w:val="19"/>
              </w:rPr>
            </w:pPr>
          </w:p>
          <w:p w14:paraId="1FCFC4B6" w14:textId="77777777" w:rsidR="00CE0D94" w:rsidRDefault="00CE0D94" w:rsidP="00CD363C">
            <w:pPr>
              <w:pStyle w:val="TableParagraph"/>
              <w:ind w:left="264" w:right="107"/>
              <w:jc w:val="both"/>
              <w:rPr>
                <w:sz w:val="20"/>
              </w:rPr>
            </w:pPr>
            <w:r>
              <w:rPr>
                <w:sz w:val="20"/>
              </w:rPr>
              <w:t>5310</w:t>
            </w:r>
          </w:p>
        </w:tc>
        <w:tc>
          <w:tcPr>
            <w:tcW w:w="2964" w:type="dxa"/>
          </w:tcPr>
          <w:p w14:paraId="00BA2F2C" w14:textId="77777777" w:rsidR="00CE0D94" w:rsidRDefault="00CE0D94" w:rsidP="00CD363C">
            <w:pPr>
              <w:pStyle w:val="TableParagraph"/>
              <w:ind w:left="158" w:right="107"/>
              <w:jc w:val="both"/>
              <w:rPr>
                <w:sz w:val="20"/>
              </w:rPr>
            </w:pPr>
            <w:r>
              <w:rPr>
                <w:sz w:val="20"/>
              </w:rPr>
              <w:t>Īstermiņa saistības pret</w:t>
            </w:r>
          </w:p>
          <w:p w14:paraId="01B04F2E"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63DA40EC" w14:textId="77777777" w:rsidR="00CE0D94" w:rsidRDefault="00CE0D94" w:rsidP="00CD363C">
            <w:pPr>
              <w:pStyle w:val="TableParagraph"/>
              <w:ind w:right="107"/>
              <w:jc w:val="both"/>
              <w:rPr>
                <w:i/>
                <w:sz w:val="19"/>
              </w:rPr>
            </w:pPr>
          </w:p>
          <w:p w14:paraId="46F97F53" w14:textId="77777777" w:rsidR="00CE0D94" w:rsidRDefault="00CE0D94" w:rsidP="00CD363C">
            <w:pPr>
              <w:pStyle w:val="TableParagraph"/>
              <w:ind w:right="107"/>
              <w:jc w:val="both"/>
              <w:rPr>
                <w:sz w:val="20"/>
              </w:rPr>
            </w:pPr>
            <w:r>
              <w:rPr>
                <w:sz w:val="20"/>
              </w:rPr>
              <w:t>144 980,98</w:t>
            </w:r>
          </w:p>
        </w:tc>
      </w:tr>
      <w:tr w:rsidR="00CE0D94" w14:paraId="70241F40" w14:textId="77777777" w:rsidTr="00FB6347">
        <w:trPr>
          <w:trHeight w:val="253"/>
        </w:trPr>
        <w:tc>
          <w:tcPr>
            <w:tcW w:w="816" w:type="dxa"/>
          </w:tcPr>
          <w:p w14:paraId="64AEBD9D" w14:textId="77777777" w:rsidR="00CE0D94" w:rsidRDefault="00CE0D94" w:rsidP="00CD363C">
            <w:pPr>
              <w:pStyle w:val="TableParagraph"/>
              <w:ind w:right="107"/>
              <w:jc w:val="both"/>
              <w:rPr>
                <w:b/>
                <w:sz w:val="20"/>
              </w:rPr>
            </w:pPr>
            <w:r>
              <w:rPr>
                <w:b/>
                <w:w w:val="99"/>
                <w:sz w:val="20"/>
              </w:rPr>
              <w:t>7</w:t>
            </w:r>
          </w:p>
        </w:tc>
        <w:tc>
          <w:tcPr>
            <w:tcW w:w="8810" w:type="dxa"/>
            <w:gridSpan w:val="4"/>
          </w:tcPr>
          <w:p w14:paraId="1EAD0EF9" w14:textId="77777777" w:rsidR="00CE0D94" w:rsidRDefault="00CE0D94" w:rsidP="00CD363C">
            <w:pPr>
              <w:pStyle w:val="TableParagraph"/>
              <w:ind w:left="107" w:right="107"/>
              <w:jc w:val="both"/>
              <w:rPr>
                <w:b/>
                <w:sz w:val="20"/>
              </w:rPr>
            </w:pPr>
            <w:r>
              <w:rPr>
                <w:b/>
                <w:sz w:val="20"/>
              </w:rPr>
              <w:t>Maksājuma veikšana</w:t>
            </w:r>
          </w:p>
        </w:tc>
      </w:tr>
    </w:tbl>
    <w:p w14:paraId="34CFCE51" w14:textId="77777777" w:rsidR="00CE0D94" w:rsidRDefault="00CE0D94" w:rsidP="00CD363C">
      <w:pPr>
        <w:spacing w:after="0" w:line="240" w:lineRule="auto"/>
        <w:ind w:right="107"/>
        <w:jc w:val="both"/>
        <w:rPr>
          <w:sz w:val="20"/>
        </w:rPr>
        <w:sectPr w:rsidR="00CE0D94">
          <w:pgSz w:w="11910" w:h="16840"/>
          <w:pgMar w:top="840" w:right="420" w:bottom="1120" w:left="1200" w:header="0" w:footer="93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3291"/>
        <w:gridCol w:w="986"/>
        <w:gridCol w:w="2964"/>
        <w:gridCol w:w="1569"/>
      </w:tblGrid>
      <w:tr w:rsidR="00CE0D94" w14:paraId="09264776" w14:textId="77777777" w:rsidTr="00FB6347">
        <w:trPr>
          <w:trHeight w:val="570"/>
        </w:trPr>
        <w:tc>
          <w:tcPr>
            <w:tcW w:w="816" w:type="dxa"/>
            <w:shd w:val="clear" w:color="auto" w:fill="F1F1F1"/>
          </w:tcPr>
          <w:p w14:paraId="232ABAD7" w14:textId="77777777" w:rsidR="00CE0D94" w:rsidRDefault="00CE0D94" w:rsidP="00CD363C">
            <w:pPr>
              <w:pStyle w:val="TableParagraph"/>
              <w:ind w:left="155" w:right="107"/>
              <w:jc w:val="both"/>
              <w:rPr>
                <w:b/>
                <w:sz w:val="20"/>
              </w:rPr>
            </w:pPr>
            <w:r>
              <w:rPr>
                <w:b/>
                <w:sz w:val="20"/>
              </w:rPr>
              <w:t>Gads</w:t>
            </w:r>
          </w:p>
        </w:tc>
        <w:tc>
          <w:tcPr>
            <w:tcW w:w="3291" w:type="dxa"/>
            <w:shd w:val="clear" w:color="auto" w:fill="F1F1F1"/>
          </w:tcPr>
          <w:p w14:paraId="394E9389" w14:textId="77777777" w:rsidR="00CE0D94" w:rsidRDefault="00CE0D94" w:rsidP="00CD363C">
            <w:pPr>
              <w:pStyle w:val="TableParagraph"/>
              <w:ind w:left="1342" w:right="107"/>
              <w:jc w:val="both"/>
              <w:rPr>
                <w:b/>
                <w:sz w:val="20"/>
              </w:rPr>
            </w:pPr>
            <w:r>
              <w:rPr>
                <w:b/>
                <w:sz w:val="20"/>
              </w:rPr>
              <w:t>Konts</w:t>
            </w:r>
          </w:p>
        </w:tc>
        <w:tc>
          <w:tcPr>
            <w:tcW w:w="986" w:type="dxa"/>
            <w:shd w:val="clear" w:color="auto" w:fill="F1F1F1"/>
          </w:tcPr>
          <w:p w14:paraId="167EC8E9" w14:textId="77777777" w:rsidR="00CE0D94" w:rsidRDefault="00CE0D94" w:rsidP="00CD363C">
            <w:pPr>
              <w:pStyle w:val="TableParagraph"/>
              <w:ind w:left="321" w:right="107" w:hanging="125"/>
              <w:jc w:val="both"/>
              <w:rPr>
                <w:b/>
                <w:sz w:val="20"/>
              </w:rPr>
            </w:pPr>
            <w:r>
              <w:rPr>
                <w:b/>
                <w:sz w:val="20"/>
              </w:rPr>
              <w:t>Konta Nr.</w:t>
            </w:r>
          </w:p>
        </w:tc>
        <w:tc>
          <w:tcPr>
            <w:tcW w:w="2964" w:type="dxa"/>
            <w:shd w:val="clear" w:color="auto" w:fill="F1F1F1"/>
          </w:tcPr>
          <w:p w14:paraId="18EE59D4" w14:textId="77777777" w:rsidR="00CE0D94" w:rsidRDefault="00CE0D94" w:rsidP="00CD363C">
            <w:pPr>
              <w:pStyle w:val="TableParagraph"/>
              <w:ind w:left="677" w:right="107"/>
              <w:jc w:val="both"/>
              <w:rPr>
                <w:b/>
                <w:sz w:val="20"/>
              </w:rPr>
            </w:pPr>
            <w:r>
              <w:rPr>
                <w:b/>
                <w:sz w:val="20"/>
              </w:rPr>
              <w:t>Konta nosaukums</w:t>
            </w:r>
          </w:p>
        </w:tc>
        <w:tc>
          <w:tcPr>
            <w:tcW w:w="1569" w:type="dxa"/>
            <w:shd w:val="clear" w:color="auto" w:fill="F1F1F1"/>
          </w:tcPr>
          <w:p w14:paraId="0AF8E2ED" w14:textId="77777777" w:rsidR="00CE0D94" w:rsidRDefault="00CE0D94" w:rsidP="00CD363C">
            <w:pPr>
              <w:pStyle w:val="TableParagraph"/>
              <w:ind w:left="212" w:right="107" w:firstLine="218"/>
              <w:jc w:val="both"/>
              <w:rPr>
                <w:b/>
                <w:sz w:val="20"/>
              </w:rPr>
            </w:pPr>
            <w:r>
              <w:rPr>
                <w:b/>
                <w:sz w:val="20"/>
              </w:rPr>
              <w:t>Summa (tūkst. EUR)</w:t>
            </w:r>
          </w:p>
        </w:tc>
      </w:tr>
      <w:tr w:rsidR="00CE0D94" w14:paraId="54FD594D" w14:textId="77777777" w:rsidTr="00FB6347">
        <w:trPr>
          <w:trHeight w:val="688"/>
        </w:trPr>
        <w:tc>
          <w:tcPr>
            <w:tcW w:w="816" w:type="dxa"/>
            <w:vMerge w:val="restart"/>
          </w:tcPr>
          <w:p w14:paraId="1C903789" w14:textId="77777777" w:rsidR="00CE0D94" w:rsidRDefault="00CE0D94" w:rsidP="00CD363C">
            <w:pPr>
              <w:pStyle w:val="TableParagraph"/>
              <w:ind w:right="107"/>
              <w:jc w:val="both"/>
              <w:rPr>
                <w:sz w:val="18"/>
              </w:rPr>
            </w:pPr>
          </w:p>
        </w:tc>
        <w:tc>
          <w:tcPr>
            <w:tcW w:w="3291" w:type="dxa"/>
          </w:tcPr>
          <w:p w14:paraId="63AF490D" w14:textId="77777777" w:rsidR="00CE0D94" w:rsidRDefault="00CE0D94" w:rsidP="00CD363C">
            <w:pPr>
              <w:pStyle w:val="TableParagraph"/>
              <w:ind w:right="107"/>
              <w:jc w:val="both"/>
              <w:rPr>
                <w:i/>
                <w:sz w:val="18"/>
              </w:rPr>
            </w:pPr>
          </w:p>
          <w:p w14:paraId="56926019" w14:textId="77777777" w:rsidR="00CE0D94" w:rsidRDefault="00CE0D94" w:rsidP="00CD363C">
            <w:pPr>
              <w:pStyle w:val="TableParagraph"/>
              <w:ind w:left="107" w:right="107"/>
              <w:jc w:val="both"/>
              <w:rPr>
                <w:sz w:val="20"/>
              </w:rPr>
            </w:pPr>
            <w:r>
              <w:rPr>
                <w:sz w:val="20"/>
              </w:rPr>
              <w:t>D Finanšu saistības</w:t>
            </w:r>
          </w:p>
        </w:tc>
        <w:tc>
          <w:tcPr>
            <w:tcW w:w="986" w:type="dxa"/>
          </w:tcPr>
          <w:p w14:paraId="487D79E5" w14:textId="77777777" w:rsidR="00CE0D94" w:rsidRDefault="00CE0D94" w:rsidP="00CD363C">
            <w:pPr>
              <w:pStyle w:val="TableParagraph"/>
              <w:ind w:right="107"/>
              <w:jc w:val="both"/>
              <w:rPr>
                <w:i/>
                <w:sz w:val="18"/>
              </w:rPr>
            </w:pPr>
          </w:p>
          <w:p w14:paraId="10BA25BA" w14:textId="77777777" w:rsidR="00CE0D94" w:rsidRDefault="00CE0D94" w:rsidP="00CD363C">
            <w:pPr>
              <w:pStyle w:val="TableParagraph"/>
              <w:ind w:left="264" w:right="107"/>
              <w:jc w:val="both"/>
              <w:rPr>
                <w:sz w:val="20"/>
              </w:rPr>
            </w:pPr>
            <w:r>
              <w:rPr>
                <w:sz w:val="20"/>
              </w:rPr>
              <w:t>5310</w:t>
            </w:r>
          </w:p>
        </w:tc>
        <w:tc>
          <w:tcPr>
            <w:tcW w:w="2964" w:type="dxa"/>
          </w:tcPr>
          <w:p w14:paraId="50461AC0" w14:textId="77777777" w:rsidR="00CE0D94" w:rsidRDefault="00CE0D94" w:rsidP="00CD363C">
            <w:pPr>
              <w:pStyle w:val="TableParagraph"/>
              <w:ind w:left="108" w:right="107"/>
              <w:jc w:val="both"/>
              <w:rPr>
                <w:sz w:val="20"/>
              </w:rPr>
            </w:pPr>
            <w:r>
              <w:rPr>
                <w:sz w:val="20"/>
              </w:rPr>
              <w:t>Īstermiņa saistības pret piegādātājiem un</w:t>
            </w:r>
          </w:p>
          <w:p w14:paraId="2C7D0AD9" w14:textId="77777777" w:rsidR="00CE0D94" w:rsidRDefault="00CE0D94" w:rsidP="00CD363C">
            <w:pPr>
              <w:pStyle w:val="TableParagraph"/>
              <w:ind w:left="108" w:right="107"/>
              <w:jc w:val="both"/>
              <w:rPr>
                <w:sz w:val="20"/>
              </w:rPr>
            </w:pPr>
            <w:r>
              <w:rPr>
                <w:sz w:val="20"/>
              </w:rPr>
              <w:t>darbuzņēmējiem</w:t>
            </w:r>
          </w:p>
        </w:tc>
        <w:tc>
          <w:tcPr>
            <w:tcW w:w="1569" w:type="dxa"/>
          </w:tcPr>
          <w:p w14:paraId="5415EB2A" w14:textId="77777777" w:rsidR="00CE0D94" w:rsidRDefault="00CE0D94" w:rsidP="00CD363C">
            <w:pPr>
              <w:pStyle w:val="TableParagraph"/>
              <w:ind w:right="107"/>
              <w:jc w:val="both"/>
              <w:rPr>
                <w:i/>
                <w:sz w:val="18"/>
              </w:rPr>
            </w:pPr>
          </w:p>
          <w:p w14:paraId="67EB9D45" w14:textId="77777777" w:rsidR="00CE0D94" w:rsidRDefault="00CE0D94" w:rsidP="00CD363C">
            <w:pPr>
              <w:pStyle w:val="TableParagraph"/>
              <w:ind w:right="107"/>
              <w:jc w:val="both"/>
              <w:rPr>
                <w:sz w:val="20"/>
              </w:rPr>
            </w:pPr>
            <w:r>
              <w:rPr>
                <w:sz w:val="20"/>
              </w:rPr>
              <w:t>200 000,00</w:t>
            </w:r>
          </w:p>
        </w:tc>
      </w:tr>
      <w:tr w:rsidR="00CE0D94" w14:paraId="2018B09F" w14:textId="77777777" w:rsidTr="00FB6347">
        <w:trPr>
          <w:trHeight w:val="256"/>
        </w:trPr>
        <w:tc>
          <w:tcPr>
            <w:tcW w:w="816" w:type="dxa"/>
            <w:vMerge/>
            <w:tcBorders>
              <w:top w:val="nil"/>
            </w:tcBorders>
          </w:tcPr>
          <w:p w14:paraId="1657B4C5" w14:textId="77777777" w:rsidR="00CE0D94" w:rsidRDefault="00CE0D94" w:rsidP="00CD363C">
            <w:pPr>
              <w:spacing w:after="0" w:line="240" w:lineRule="auto"/>
              <w:ind w:right="107"/>
              <w:jc w:val="both"/>
              <w:rPr>
                <w:sz w:val="2"/>
                <w:szCs w:val="2"/>
              </w:rPr>
            </w:pPr>
          </w:p>
        </w:tc>
        <w:tc>
          <w:tcPr>
            <w:tcW w:w="3291" w:type="dxa"/>
          </w:tcPr>
          <w:p w14:paraId="3DBE9C38" w14:textId="77777777" w:rsidR="00CE0D94" w:rsidRDefault="00CE0D94" w:rsidP="00CD363C">
            <w:pPr>
              <w:pStyle w:val="TableParagraph"/>
              <w:ind w:left="107" w:right="107"/>
              <w:jc w:val="both"/>
              <w:rPr>
                <w:sz w:val="20"/>
              </w:rPr>
            </w:pPr>
            <w:r>
              <w:rPr>
                <w:sz w:val="20"/>
              </w:rPr>
              <w:t>K Nauda</w:t>
            </w:r>
          </w:p>
        </w:tc>
        <w:tc>
          <w:tcPr>
            <w:tcW w:w="986" w:type="dxa"/>
          </w:tcPr>
          <w:p w14:paraId="547BE217" w14:textId="77777777" w:rsidR="00CE0D94" w:rsidRDefault="00CE0D94" w:rsidP="00CD363C">
            <w:pPr>
              <w:pStyle w:val="TableParagraph"/>
              <w:ind w:left="264" w:right="107"/>
              <w:jc w:val="both"/>
              <w:rPr>
                <w:sz w:val="20"/>
              </w:rPr>
            </w:pPr>
            <w:r>
              <w:rPr>
                <w:sz w:val="20"/>
              </w:rPr>
              <w:t>2600</w:t>
            </w:r>
          </w:p>
        </w:tc>
        <w:tc>
          <w:tcPr>
            <w:tcW w:w="2964" w:type="dxa"/>
          </w:tcPr>
          <w:p w14:paraId="2F9D6CB7" w14:textId="77777777" w:rsidR="00CE0D94" w:rsidRDefault="00CE0D94" w:rsidP="00CD363C">
            <w:pPr>
              <w:pStyle w:val="TableParagraph"/>
              <w:ind w:left="108" w:right="107"/>
              <w:jc w:val="both"/>
              <w:rPr>
                <w:sz w:val="20"/>
              </w:rPr>
            </w:pPr>
            <w:r>
              <w:rPr>
                <w:sz w:val="20"/>
              </w:rPr>
              <w:t>Naudas līdzekļi</w:t>
            </w:r>
          </w:p>
        </w:tc>
        <w:tc>
          <w:tcPr>
            <w:tcW w:w="1569" w:type="dxa"/>
          </w:tcPr>
          <w:p w14:paraId="45607296" w14:textId="77777777" w:rsidR="00CE0D94" w:rsidRDefault="00CE0D94" w:rsidP="00CD363C">
            <w:pPr>
              <w:pStyle w:val="TableParagraph"/>
              <w:ind w:right="107"/>
              <w:jc w:val="both"/>
              <w:rPr>
                <w:sz w:val="20"/>
              </w:rPr>
            </w:pPr>
            <w:r>
              <w:rPr>
                <w:sz w:val="20"/>
              </w:rPr>
              <w:t>200 000,00</w:t>
            </w:r>
          </w:p>
        </w:tc>
      </w:tr>
      <w:tr w:rsidR="00CE0D94" w14:paraId="4BDD064E" w14:textId="77777777" w:rsidTr="00FB6347">
        <w:trPr>
          <w:trHeight w:val="253"/>
        </w:trPr>
        <w:tc>
          <w:tcPr>
            <w:tcW w:w="816" w:type="dxa"/>
            <w:vMerge/>
            <w:tcBorders>
              <w:top w:val="nil"/>
            </w:tcBorders>
          </w:tcPr>
          <w:p w14:paraId="6E3C8C37" w14:textId="77777777" w:rsidR="00CE0D94" w:rsidRDefault="00CE0D94" w:rsidP="00CD363C">
            <w:pPr>
              <w:spacing w:after="0" w:line="240" w:lineRule="auto"/>
              <w:ind w:right="107"/>
              <w:jc w:val="both"/>
              <w:rPr>
                <w:sz w:val="2"/>
                <w:szCs w:val="2"/>
              </w:rPr>
            </w:pPr>
          </w:p>
        </w:tc>
        <w:tc>
          <w:tcPr>
            <w:tcW w:w="8810" w:type="dxa"/>
            <w:gridSpan w:val="4"/>
          </w:tcPr>
          <w:p w14:paraId="23DC0C9F" w14:textId="77777777" w:rsidR="00CE0D94" w:rsidRDefault="00CE0D94" w:rsidP="00CD363C">
            <w:pPr>
              <w:pStyle w:val="TableParagraph"/>
              <w:ind w:left="107" w:right="107"/>
              <w:jc w:val="both"/>
              <w:rPr>
                <w:b/>
                <w:sz w:val="20"/>
              </w:rPr>
            </w:pPr>
            <w:r>
              <w:rPr>
                <w:b/>
                <w:sz w:val="20"/>
              </w:rPr>
              <w:t>Procentu izdevumi</w:t>
            </w:r>
          </w:p>
        </w:tc>
      </w:tr>
      <w:tr w:rsidR="00CE0D94" w14:paraId="3CF361B1" w14:textId="77777777" w:rsidTr="00FB6347">
        <w:trPr>
          <w:trHeight w:val="256"/>
        </w:trPr>
        <w:tc>
          <w:tcPr>
            <w:tcW w:w="816" w:type="dxa"/>
            <w:vMerge/>
            <w:tcBorders>
              <w:top w:val="nil"/>
            </w:tcBorders>
          </w:tcPr>
          <w:p w14:paraId="7947B04E" w14:textId="77777777" w:rsidR="00CE0D94" w:rsidRDefault="00CE0D94" w:rsidP="00CD363C">
            <w:pPr>
              <w:spacing w:after="0" w:line="240" w:lineRule="auto"/>
              <w:ind w:right="107"/>
              <w:jc w:val="both"/>
              <w:rPr>
                <w:sz w:val="2"/>
                <w:szCs w:val="2"/>
              </w:rPr>
            </w:pPr>
          </w:p>
        </w:tc>
        <w:tc>
          <w:tcPr>
            <w:tcW w:w="3291" w:type="dxa"/>
          </w:tcPr>
          <w:p w14:paraId="4E439599" w14:textId="77777777" w:rsidR="00CE0D94" w:rsidRDefault="00CE0D94" w:rsidP="00CD363C">
            <w:pPr>
              <w:pStyle w:val="TableParagraph"/>
              <w:ind w:left="107" w:right="107"/>
              <w:jc w:val="both"/>
              <w:rPr>
                <w:sz w:val="20"/>
              </w:rPr>
            </w:pPr>
            <w:r>
              <w:rPr>
                <w:sz w:val="20"/>
              </w:rPr>
              <w:t>D Procentu izdevumi</w:t>
            </w:r>
          </w:p>
        </w:tc>
        <w:tc>
          <w:tcPr>
            <w:tcW w:w="986" w:type="dxa"/>
          </w:tcPr>
          <w:p w14:paraId="11CEF2C4" w14:textId="77777777" w:rsidR="00CE0D94" w:rsidRDefault="00CE0D94" w:rsidP="00CD363C">
            <w:pPr>
              <w:pStyle w:val="TableParagraph"/>
              <w:ind w:left="264" w:right="107"/>
              <w:jc w:val="both"/>
              <w:rPr>
                <w:sz w:val="20"/>
              </w:rPr>
            </w:pPr>
            <w:r>
              <w:rPr>
                <w:sz w:val="20"/>
              </w:rPr>
              <w:t>8220</w:t>
            </w:r>
          </w:p>
        </w:tc>
        <w:tc>
          <w:tcPr>
            <w:tcW w:w="2964" w:type="dxa"/>
          </w:tcPr>
          <w:p w14:paraId="4B43F70F" w14:textId="77777777" w:rsidR="00CE0D94" w:rsidRDefault="00CE0D94" w:rsidP="00CD363C">
            <w:pPr>
              <w:pStyle w:val="TableParagraph"/>
              <w:ind w:left="108" w:right="107"/>
              <w:jc w:val="both"/>
              <w:rPr>
                <w:sz w:val="20"/>
              </w:rPr>
            </w:pPr>
            <w:r>
              <w:rPr>
                <w:sz w:val="20"/>
              </w:rPr>
              <w:t>Procentu izdevumi</w:t>
            </w:r>
          </w:p>
        </w:tc>
        <w:tc>
          <w:tcPr>
            <w:tcW w:w="1569" w:type="dxa"/>
          </w:tcPr>
          <w:p w14:paraId="0969DA96" w14:textId="77777777" w:rsidR="00CE0D94" w:rsidRDefault="00CE0D94" w:rsidP="00CD363C">
            <w:pPr>
              <w:pStyle w:val="TableParagraph"/>
              <w:ind w:right="107"/>
              <w:jc w:val="both"/>
              <w:rPr>
                <w:sz w:val="20"/>
              </w:rPr>
            </w:pPr>
            <w:r>
              <w:rPr>
                <w:sz w:val="20"/>
              </w:rPr>
              <w:t>34 060,31</w:t>
            </w:r>
          </w:p>
        </w:tc>
      </w:tr>
      <w:tr w:rsidR="00CE0D94" w14:paraId="68462B04" w14:textId="77777777" w:rsidTr="00FB6347">
        <w:trPr>
          <w:trHeight w:val="254"/>
        </w:trPr>
        <w:tc>
          <w:tcPr>
            <w:tcW w:w="816" w:type="dxa"/>
            <w:vMerge/>
            <w:tcBorders>
              <w:top w:val="nil"/>
            </w:tcBorders>
          </w:tcPr>
          <w:p w14:paraId="5FF79BCA" w14:textId="77777777" w:rsidR="00CE0D94" w:rsidRDefault="00CE0D94" w:rsidP="00CD363C">
            <w:pPr>
              <w:spacing w:after="0" w:line="240" w:lineRule="auto"/>
              <w:ind w:right="107"/>
              <w:jc w:val="both"/>
              <w:rPr>
                <w:sz w:val="2"/>
                <w:szCs w:val="2"/>
              </w:rPr>
            </w:pPr>
          </w:p>
        </w:tc>
        <w:tc>
          <w:tcPr>
            <w:tcW w:w="3291" w:type="dxa"/>
          </w:tcPr>
          <w:p w14:paraId="39208214" w14:textId="77777777" w:rsidR="00CE0D94" w:rsidRDefault="00CE0D94" w:rsidP="00CD363C">
            <w:pPr>
              <w:pStyle w:val="TableParagraph"/>
              <w:ind w:left="107" w:right="107"/>
              <w:jc w:val="both"/>
              <w:rPr>
                <w:sz w:val="20"/>
              </w:rPr>
            </w:pPr>
            <w:r>
              <w:rPr>
                <w:sz w:val="20"/>
              </w:rPr>
              <w:t>D Pakalpojuma izmaksas</w:t>
            </w:r>
          </w:p>
        </w:tc>
        <w:tc>
          <w:tcPr>
            <w:tcW w:w="986" w:type="dxa"/>
          </w:tcPr>
          <w:p w14:paraId="2F2B101C" w14:textId="77777777" w:rsidR="00CE0D94" w:rsidRDefault="00CE0D94" w:rsidP="00CD363C">
            <w:pPr>
              <w:pStyle w:val="TableParagraph"/>
              <w:ind w:left="264" w:right="107"/>
              <w:jc w:val="both"/>
              <w:rPr>
                <w:sz w:val="20"/>
              </w:rPr>
            </w:pPr>
            <w:r>
              <w:rPr>
                <w:sz w:val="20"/>
              </w:rPr>
              <w:t>7000</w:t>
            </w:r>
          </w:p>
        </w:tc>
        <w:tc>
          <w:tcPr>
            <w:tcW w:w="2964" w:type="dxa"/>
          </w:tcPr>
          <w:p w14:paraId="2215C9A8" w14:textId="77777777" w:rsidR="00CE0D94" w:rsidRDefault="00CE0D94" w:rsidP="00CD363C">
            <w:pPr>
              <w:pStyle w:val="TableParagraph"/>
              <w:ind w:left="108" w:right="107"/>
              <w:jc w:val="both"/>
              <w:rPr>
                <w:sz w:val="20"/>
              </w:rPr>
            </w:pPr>
            <w:r>
              <w:rPr>
                <w:sz w:val="20"/>
              </w:rPr>
              <w:t>Pamatdarbības izdevumi</w:t>
            </w:r>
          </w:p>
        </w:tc>
        <w:tc>
          <w:tcPr>
            <w:tcW w:w="1569" w:type="dxa"/>
          </w:tcPr>
          <w:p w14:paraId="38E5F073" w14:textId="77777777" w:rsidR="00CE0D94" w:rsidRDefault="00CE0D94" w:rsidP="00CD363C">
            <w:pPr>
              <w:pStyle w:val="TableParagraph"/>
              <w:ind w:right="107"/>
              <w:jc w:val="both"/>
              <w:rPr>
                <w:sz w:val="20"/>
              </w:rPr>
            </w:pPr>
            <w:r>
              <w:rPr>
                <w:sz w:val="20"/>
              </w:rPr>
              <w:t>12 000,00</w:t>
            </w:r>
          </w:p>
        </w:tc>
      </w:tr>
      <w:tr w:rsidR="00CE0D94" w14:paraId="41266576" w14:textId="77777777" w:rsidTr="00FB6347">
        <w:trPr>
          <w:trHeight w:val="690"/>
        </w:trPr>
        <w:tc>
          <w:tcPr>
            <w:tcW w:w="816" w:type="dxa"/>
            <w:vMerge/>
            <w:tcBorders>
              <w:top w:val="nil"/>
            </w:tcBorders>
          </w:tcPr>
          <w:p w14:paraId="66ED1DFB" w14:textId="77777777" w:rsidR="00CE0D94" w:rsidRDefault="00CE0D94" w:rsidP="00CD363C">
            <w:pPr>
              <w:spacing w:after="0" w:line="240" w:lineRule="auto"/>
              <w:ind w:right="107"/>
              <w:jc w:val="both"/>
              <w:rPr>
                <w:sz w:val="2"/>
                <w:szCs w:val="2"/>
              </w:rPr>
            </w:pPr>
          </w:p>
        </w:tc>
        <w:tc>
          <w:tcPr>
            <w:tcW w:w="3291" w:type="dxa"/>
          </w:tcPr>
          <w:p w14:paraId="31A404BF" w14:textId="77777777" w:rsidR="00CE0D94" w:rsidRDefault="00CE0D94" w:rsidP="00CD363C">
            <w:pPr>
              <w:pStyle w:val="TableParagraph"/>
              <w:ind w:right="107"/>
              <w:jc w:val="both"/>
              <w:rPr>
                <w:i/>
                <w:sz w:val="19"/>
              </w:rPr>
            </w:pPr>
          </w:p>
          <w:p w14:paraId="7C56CFB3" w14:textId="77777777" w:rsidR="00CE0D94" w:rsidRDefault="00CE0D94" w:rsidP="00CD363C">
            <w:pPr>
              <w:pStyle w:val="TableParagraph"/>
              <w:ind w:left="107" w:right="107"/>
              <w:jc w:val="both"/>
              <w:rPr>
                <w:sz w:val="20"/>
              </w:rPr>
            </w:pPr>
            <w:r>
              <w:rPr>
                <w:sz w:val="20"/>
              </w:rPr>
              <w:t>K Finanšu saistības</w:t>
            </w:r>
          </w:p>
        </w:tc>
        <w:tc>
          <w:tcPr>
            <w:tcW w:w="986" w:type="dxa"/>
          </w:tcPr>
          <w:p w14:paraId="296B0EB3" w14:textId="77777777" w:rsidR="00CE0D94" w:rsidRDefault="00CE0D94" w:rsidP="00CD363C">
            <w:pPr>
              <w:pStyle w:val="TableParagraph"/>
              <w:ind w:right="107"/>
              <w:jc w:val="both"/>
              <w:rPr>
                <w:i/>
                <w:sz w:val="19"/>
              </w:rPr>
            </w:pPr>
          </w:p>
          <w:p w14:paraId="0B1FA87F" w14:textId="77777777" w:rsidR="00CE0D94" w:rsidRDefault="00CE0D94" w:rsidP="00CD363C">
            <w:pPr>
              <w:pStyle w:val="TableParagraph"/>
              <w:ind w:left="264" w:right="107"/>
              <w:jc w:val="both"/>
              <w:rPr>
                <w:sz w:val="20"/>
              </w:rPr>
            </w:pPr>
            <w:r>
              <w:rPr>
                <w:sz w:val="20"/>
              </w:rPr>
              <w:t>5310</w:t>
            </w:r>
          </w:p>
        </w:tc>
        <w:tc>
          <w:tcPr>
            <w:tcW w:w="2964" w:type="dxa"/>
          </w:tcPr>
          <w:p w14:paraId="588FBDD8" w14:textId="77777777" w:rsidR="00CE0D94" w:rsidRDefault="00CE0D94" w:rsidP="00CD363C">
            <w:pPr>
              <w:pStyle w:val="TableParagraph"/>
              <w:ind w:left="108" w:right="107"/>
              <w:jc w:val="both"/>
              <w:rPr>
                <w:sz w:val="20"/>
              </w:rPr>
            </w:pPr>
            <w:r>
              <w:rPr>
                <w:sz w:val="20"/>
              </w:rPr>
              <w:t>Īstermiņa saistības pret piegādātājiem un</w:t>
            </w:r>
          </w:p>
          <w:p w14:paraId="1D72D9AB" w14:textId="77777777" w:rsidR="00CE0D94" w:rsidRDefault="00CE0D94" w:rsidP="00CD363C">
            <w:pPr>
              <w:pStyle w:val="TableParagraph"/>
              <w:ind w:left="108" w:right="107"/>
              <w:jc w:val="both"/>
              <w:rPr>
                <w:sz w:val="20"/>
              </w:rPr>
            </w:pPr>
            <w:r>
              <w:rPr>
                <w:sz w:val="20"/>
              </w:rPr>
              <w:t>darbuzņēmējiem</w:t>
            </w:r>
          </w:p>
        </w:tc>
        <w:tc>
          <w:tcPr>
            <w:tcW w:w="1569" w:type="dxa"/>
          </w:tcPr>
          <w:p w14:paraId="5A153290" w14:textId="77777777" w:rsidR="00CE0D94" w:rsidRDefault="00CE0D94" w:rsidP="00CD363C">
            <w:pPr>
              <w:pStyle w:val="TableParagraph"/>
              <w:ind w:right="107"/>
              <w:jc w:val="both"/>
              <w:rPr>
                <w:i/>
                <w:sz w:val="19"/>
              </w:rPr>
            </w:pPr>
          </w:p>
          <w:p w14:paraId="7A41960D" w14:textId="77777777" w:rsidR="00CE0D94" w:rsidRDefault="00CE0D94" w:rsidP="00CD363C">
            <w:pPr>
              <w:pStyle w:val="TableParagraph"/>
              <w:ind w:right="107"/>
              <w:jc w:val="both"/>
              <w:rPr>
                <w:sz w:val="20"/>
              </w:rPr>
            </w:pPr>
            <w:r>
              <w:rPr>
                <w:sz w:val="20"/>
              </w:rPr>
              <w:t>46 060,31</w:t>
            </w:r>
          </w:p>
        </w:tc>
      </w:tr>
      <w:tr w:rsidR="00CE0D94" w14:paraId="376E7D23" w14:textId="77777777" w:rsidTr="00FB6347">
        <w:trPr>
          <w:trHeight w:val="253"/>
        </w:trPr>
        <w:tc>
          <w:tcPr>
            <w:tcW w:w="816" w:type="dxa"/>
            <w:vMerge/>
            <w:tcBorders>
              <w:top w:val="nil"/>
            </w:tcBorders>
          </w:tcPr>
          <w:p w14:paraId="790F39B4" w14:textId="77777777" w:rsidR="00CE0D94" w:rsidRDefault="00CE0D94" w:rsidP="00CD363C">
            <w:pPr>
              <w:spacing w:after="0" w:line="240" w:lineRule="auto"/>
              <w:ind w:right="107"/>
              <w:jc w:val="both"/>
              <w:rPr>
                <w:sz w:val="2"/>
                <w:szCs w:val="2"/>
              </w:rPr>
            </w:pPr>
          </w:p>
        </w:tc>
        <w:tc>
          <w:tcPr>
            <w:tcW w:w="8810" w:type="dxa"/>
            <w:gridSpan w:val="4"/>
          </w:tcPr>
          <w:p w14:paraId="5825A66D" w14:textId="77777777" w:rsidR="00CE0D94" w:rsidRDefault="00CE0D94" w:rsidP="00CD363C">
            <w:pPr>
              <w:pStyle w:val="TableParagraph"/>
              <w:ind w:left="107" w:right="107"/>
              <w:jc w:val="both"/>
              <w:rPr>
                <w:b/>
                <w:sz w:val="20"/>
              </w:rPr>
            </w:pPr>
            <w:r>
              <w:rPr>
                <w:b/>
                <w:sz w:val="20"/>
              </w:rPr>
              <w:t>Nolietojuma uzskaite</w:t>
            </w:r>
          </w:p>
        </w:tc>
      </w:tr>
      <w:tr w:rsidR="00CE0D94" w14:paraId="5A654790" w14:textId="77777777" w:rsidTr="00FB6347">
        <w:trPr>
          <w:trHeight w:val="254"/>
        </w:trPr>
        <w:tc>
          <w:tcPr>
            <w:tcW w:w="816" w:type="dxa"/>
            <w:vMerge/>
            <w:tcBorders>
              <w:top w:val="nil"/>
            </w:tcBorders>
          </w:tcPr>
          <w:p w14:paraId="24C383E1" w14:textId="77777777" w:rsidR="00CE0D94" w:rsidRDefault="00CE0D94" w:rsidP="00CD363C">
            <w:pPr>
              <w:spacing w:after="0" w:line="240" w:lineRule="auto"/>
              <w:ind w:right="107"/>
              <w:jc w:val="both"/>
              <w:rPr>
                <w:sz w:val="2"/>
                <w:szCs w:val="2"/>
              </w:rPr>
            </w:pPr>
          </w:p>
        </w:tc>
        <w:tc>
          <w:tcPr>
            <w:tcW w:w="3291" w:type="dxa"/>
          </w:tcPr>
          <w:p w14:paraId="7BA7123F" w14:textId="77777777" w:rsidR="00CE0D94" w:rsidRDefault="00CE0D94" w:rsidP="00CD363C">
            <w:pPr>
              <w:pStyle w:val="TableParagraph"/>
              <w:ind w:left="107" w:right="107"/>
              <w:jc w:val="both"/>
              <w:rPr>
                <w:sz w:val="20"/>
              </w:rPr>
            </w:pPr>
            <w:r>
              <w:rPr>
                <w:sz w:val="20"/>
              </w:rPr>
              <w:t>D Nolietojuma izdevumi</w:t>
            </w:r>
          </w:p>
        </w:tc>
        <w:tc>
          <w:tcPr>
            <w:tcW w:w="986" w:type="dxa"/>
          </w:tcPr>
          <w:p w14:paraId="5373EDFA" w14:textId="77777777" w:rsidR="00CE0D94" w:rsidRDefault="00CE0D94" w:rsidP="00CD363C">
            <w:pPr>
              <w:pStyle w:val="TableParagraph"/>
              <w:ind w:left="264" w:right="107"/>
              <w:jc w:val="both"/>
              <w:rPr>
                <w:sz w:val="20"/>
              </w:rPr>
            </w:pPr>
            <w:r>
              <w:rPr>
                <w:sz w:val="20"/>
              </w:rPr>
              <w:t>7000</w:t>
            </w:r>
          </w:p>
        </w:tc>
        <w:tc>
          <w:tcPr>
            <w:tcW w:w="2964" w:type="dxa"/>
          </w:tcPr>
          <w:p w14:paraId="217D69A9" w14:textId="77777777" w:rsidR="00CE0D94" w:rsidRDefault="00CE0D94" w:rsidP="00CD363C">
            <w:pPr>
              <w:pStyle w:val="TableParagraph"/>
              <w:ind w:left="108" w:right="107"/>
              <w:jc w:val="both"/>
              <w:rPr>
                <w:sz w:val="20"/>
              </w:rPr>
            </w:pPr>
            <w:r>
              <w:rPr>
                <w:sz w:val="20"/>
              </w:rPr>
              <w:t>Pamatdarbības izdevumi</w:t>
            </w:r>
          </w:p>
        </w:tc>
        <w:tc>
          <w:tcPr>
            <w:tcW w:w="1569" w:type="dxa"/>
          </w:tcPr>
          <w:p w14:paraId="634B4A11" w14:textId="77777777" w:rsidR="00CE0D94" w:rsidRDefault="00CE0D94" w:rsidP="00CD363C">
            <w:pPr>
              <w:pStyle w:val="TableParagraph"/>
              <w:ind w:right="107"/>
              <w:jc w:val="both"/>
              <w:rPr>
                <w:sz w:val="20"/>
              </w:rPr>
            </w:pPr>
            <w:r>
              <w:rPr>
                <w:sz w:val="20"/>
              </w:rPr>
              <w:t>65 333,33</w:t>
            </w:r>
          </w:p>
        </w:tc>
      </w:tr>
      <w:tr w:rsidR="00CE0D94" w14:paraId="051E1FEB" w14:textId="77777777" w:rsidTr="00FB6347">
        <w:trPr>
          <w:trHeight w:val="256"/>
        </w:trPr>
        <w:tc>
          <w:tcPr>
            <w:tcW w:w="816" w:type="dxa"/>
            <w:vMerge/>
            <w:tcBorders>
              <w:top w:val="nil"/>
            </w:tcBorders>
          </w:tcPr>
          <w:p w14:paraId="7A7753E6" w14:textId="77777777" w:rsidR="00CE0D94" w:rsidRDefault="00CE0D94" w:rsidP="00CD363C">
            <w:pPr>
              <w:spacing w:after="0" w:line="240" w:lineRule="auto"/>
              <w:ind w:right="107"/>
              <w:jc w:val="both"/>
              <w:rPr>
                <w:sz w:val="2"/>
                <w:szCs w:val="2"/>
              </w:rPr>
            </w:pPr>
          </w:p>
        </w:tc>
        <w:tc>
          <w:tcPr>
            <w:tcW w:w="3291" w:type="dxa"/>
          </w:tcPr>
          <w:p w14:paraId="4EDA90AB" w14:textId="77777777" w:rsidR="00CE0D94" w:rsidRDefault="00CE0D94" w:rsidP="00CD363C">
            <w:pPr>
              <w:pStyle w:val="TableParagraph"/>
              <w:ind w:left="107" w:right="107"/>
              <w:jc w:val="both"/>
              <w:rPr>
                <w:sz w:val="20"/>
              </w:rPr>
            </w:pPr>
            <w:r>
              <w:rPr>
                <w:sz w:val="20"/>
              </w:rPr>
              <w:t>K Uzkrātais nolietojums</w:t>
            </w:r>
          </w:p>
        </w:tc>
        <w:tc>
          <w:tcPr>
            <w:tcW w:w="986" w:type="dxa"/>
          </w:tcPr>
          <w:p w14:paraId="31ECE28A" w14:textId="77777777" w:rsidR="00CE0D94" w:rsidRDefault="00CE0D94" w:rsidP="00CD363C">
            <w:pPr>
              <w:pStyle w:val="TableParagraph"/>
              <w:ind w:left="264" w:right="107"/>
              <w:jc w:val="both"/>
              <w:rPr>
                <w:sz w:val="20"/>
              </w:rPr>
            </w:pPr>
            <w:r>
              <w:rPr>
                <w:sz w:val="20"/>
              </w:rPr>
              <w:t>1291</w:t>
            </w:r>
          </w:p>
        </w:tc>
        <w:tc>
          <w:tcPr>
            <w:tcW w:w="2964" w:type="dxa"/>
          </w:tcPr>
          <w:p w14:paraId="67BB899E"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209B6929" w14:textId="77777777" w:rsidR="00CE0D94" w:rsidRDefault="00CE0D94" w:rsidP="00CD363C">
            <w:pPr>
              <w:pStyle w:val="TableParagraph"/>
              <w:ind w:right="107"/>
              <w:jc w:val="both"/>
              <w:rPr>
                <w:sz w:val="20"/>
              </w:rPr>
            </w:pPr>
            <w:r>
              <w:rPr>
                <w:sz w:val="20"/>
              </w:rPr>
              <w:t>65 333,33</w:t>
            </w:r>
          </w:p>
        </w:tc>
      </w:tr>
      <w:tr w:rsidR="00CE0D94" w14:paraId="176ED415" w14:textId="77777777" w:rsidTr="00FB6347">
        <w:trPr>
          <w:trHeight w:val="253"/>
        </w:trPr>
        <w:tc>
          <w:tcPr>
            <w:tcW w:w="816" w:type="dxa"/>
            <w:vMerge/>
            <w:tcBorders>
              <w:top w:val="nil"/>
            </w:tcBorders>
          </w:tcPr>
          <w:p w14:paraId="6FBB1B90" w14:textId="77777777" w:rsidR="00CE0D94" w:rsidRDefault="00CE0D94" w:rsidP="00CD363C">
            <w:pPr>
              <w:spacing w:after="0" w:line="240" w:lineRule="auto"/>
              <w:ind w:right="107"/>
              <w:jc w:val="both"/>
              <w:rPr>
                <w:sz w:val="2"/>
                <w:szCs w:val="2"/>
              </w:rPr>
            </w:pPr>
          </w:p>
        </w:tc>
        <w:tc>
          <w:tcPr>
            <w:tcW w:w="8810" w:type="dxa"/>
            <w:gridSpan w:val="4"/>
          </w:tcPr>
          <w:p w14:paraId="781D4F0E"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4FBF7172" w14:textId="77777777" w:rsidTr="00FB6347">
        <w:trPr>
          <w:trHeight w:val="691"/>
        </w:trPr>
        <w:tc>
          <w:tcPr>
            <w:tcW w:w="816" w:type="dxa"/>
            <w:vMerge/>
            <w:tcBorders>
              <w:top w:val="nil"/>
            </w:tcBorders>
          </w:tcPr>
          <w:p w14:paraId="11CAF72F" w14:textId="77777777" w:rsidR="00CE0D94" w:rsidRDefault="00CE0D94" w:rsidP="00CD363C">
            <w:pPr>
              <w:spacing w:after="0" w:line="240" w:lineRule="auto"/>
              <w:ind w:right="107"/>
              <w:jc w:val="both"/>
              <w:rPr>
                <w:sz w:val="2"/>
                <w:szCs w:val="2"/>
              </w:rPr>
            </w:pPr>
          </w:p>
        </w:tc>
        <w:tc>
          <w:tcPr>
            <w:tcW w:w="3291" w:type="dxa"/>
          </w:tcPr>
          <w:p w14:paraId="3279797A" w14:textId="77777777" w:rsidR="00CE0D94" w:rsidRDefault="00CE0D94" w:rsidP="00CD363C">
            <w:pPr>
              <w:pStyle w:val="TableParagraph"/>
              <w:ind w:right="107"/>
              <w:jc w:val="both"/>
              <w:rPr>
                <w:i/>
                <w:sz w:val="19"/>
              </w:rPr>
            </w:pPr>
          </w:p>
          <w:p w14:paraId="79360805" w14:textId="77777777" w:rsidR="00CE0D94" w:rsidRDefault="00CE0D94" w:rsidP="00CD363C">
            <w:pPr>
              <w:pStyle w:val="TableParagraph"/>
              <w:ind w:left="107" w:right="107"/>
              <w:jc w:val="both"/>
              <w:rPr>
                <w:sz w:val="20"/>
              </w:rPr>
            </w:pPr>
            <w:r>
              <w:rPr>
                <w:sz w:val="20"/>
              </w:rPr>
              <w:t>D Finanšu saistības</w:t>
            </w:r>
          </w:p>
        </w:tc>
        <w:tc>
          <w:tcPr>
            <w:tcW w:w="986" w:type="dxa"/>
          </w:tcPr>
          <w:p w14:paraId="28DEABB1" w14:textId="77777777" w:rsidR="00CE0D94" w:rsidRDefault="00CE0D94" w:rsidP="00CD363C">
            <w:pPr>
              <w:pStyle w:val="TableParagraph"/>
              <w:ind w:right="107"/>
              <w:jc w:val="both"/>
              <w:rPr>
                <w:i/>
                <w:sz w:val="19"/>
              </w:rPr>
            </w:pPr>
          </w:p>
          <w:p w14:paraId="016D7328" w14:textId="77777777" w:rsidR="00CE0D94" w:rsidRDefault="00CE0D94" w:rsidP="00CD363C">
            <w:pPr>
              <w:pStyle w:val="TableParagraph"/>
              <w:ind w:left="264" w:right="107"/>
              <w:jc w:val="both"/>
              <w:rPr>
                <w:sz w:val="20"/>
              </w:rPr>
            </w:pPr>
            <w:r>
              <w:rPr>
                <w:sz w:val="20"/>
              </w:rPr>
              <w:t>5130</w:t>
            </w:r>
          </w:p>
        </w:tc>
        <w:tc>
          <w:tcPr>
            <w:tcW w:w="2964" w:type="dxa"/>
          </w:tcPr>
          <w:p w14:paraId="5EE76E71" w14:textId="77777777" w:rsidR="00CE0D94" w:rsidRDefault="00CE0D94" w:rsidP="00CD363C">
            <w:pPr>
              <w:pStyle w:val="TableParagraph"/>
              <w:ind w:left="108" w:right="107"/>
              <w:jc w:val="both"/>
              <w:rPr>
                <w:sz w:val="20"/>
              </w:rPr>
            </w:pPr>
            <w:r>
              <w:rPr>
                <w:sz w:val="20"/>
              </w:rPr>
              <w:t>Ilgtermiņa saistības pret piegādātajiem un</w:t>
            </w:r>
          </w:p>
          <w:p w14:paraId="6F84C5A2" w14:textId="77777777" w:rsidR="00CE0D94" w:rsidRDefault="00CE0D94" w:rsidP="00CD363C">
            <w:pPr>
              <w:pStyle w:val="TableParagraph"/>
              <w:ind w:left="108" w:right="107"/>
              <w:jc w:val="both"/>
              <w:rPr>
                <w:sz w:val="20"/>
              </w:rPr>
            </w:pPr>
            <w:r>
              <w:rPr>
                <w:sz w:val="20"/>
              </w:rPr>
              <w:t>darbuzņēmējiem</w:t>
            </w:r>
          </w:p>
        </w:tc>
        <w:tc>
          <w:tcPr>
            <w:tcW w:w="1569" w:type="dxa"/>
          </w:tcPr>
          <w:p w14:paraId="539EC253" w14:textId="77777777" w:rsidR="00CE0D94" w:rsidRDefault="00CE0D94" w:rsidP="00CD363C">
            <w:pPr>
              <w:pStyle w:val="TableParagraph"/>
              <w:ind w:right="107"/>
              <w:jc w:val="both"/>
              <w:rPr>
                <w:i/>
                <w:sz w:val="19"/>
              </w:rPr>
            </w:pPr>
          </w:p>
          <w:p w14:paraId="0C91C857" w14:textId="77777777" w:rsidR="00CE0D94" w:rsidRDefault="00CE0D94" w:rsidP="00CD363C">
            <w:pPr>
              <w:pStyle w:val="TableParagraph"/>
              <w:ind w:right="107"/>
              <w:jc w:val="both"/>
              <w:rPr>
                <w:sz w:val="20"/>
              </w:rPr>
            </w:pPr>
            <w:r>
              <w:rPr>
                <w:sz w:val="20"/>
              </w:rPr>
              <w:t>153 939,69</w:t>
            </w:r>
          </w:p>
        </w:tc>
      </w:tr>
      <w:tr w:rsidR="00CE0D94" w14:paraId="20C66750" w14:textId="77777777" w:rsidTr="00FB6347">
        <w:trPr>
          <w:trHeight w:val="690"/>
        </w:trPr>
        <w:tc>
          <w:tcPr>
            <w:tcW w:w="816" w:type="dxa"/>
            <w:vMerge/>
            <w:tcBorders>
              <w:top w:val="nil"/>
            </w:tcBorders>
          </w:tcPr>
          <w:p w14:paraId="7E6FF2F5" w14:textId="77777777" w:rsidR="00CE0D94" w:rsidRDefault="00CE0D94" w:rsidP="00CD363C">
            <w:pPr>
              <w:spacing w:after="0" w:line="240" w:lineRule="auto"/>
              <w:ind w:right="107"/>
              <w:jc w:val="both"/>
              <w:rPr>
                <w:sz w:val="2"/>
                <w:szCs w:val="2"/>
              </w:rPr>
            </w:pPr>
          </w:p>
        </w:tc>
        <w:tc>
          <w:tcPr>
            <w:tcW w:w="3291" w:type="dxa"/>
          </w:tcPr>
          <w:p w14:paraId="27C8AB53" w14:textId="77777777" w:rsidR="00CE0D94" w:rsidRDefault="00CE0D94" w:rsidP="00CD363C">
            <w:pPr>
              <w:pStyle w:val="TableParagraph"/>
              <w:ind w:right="107"/>
              <w:jc w:val="both"/>
              <w:rPr>
                <w:i/>
                <w:sz w:val="19"/>
              </w:rPr>
            </w:pPr>
          </w:p>
          <w:p w14:paraId="58614E9E" w14:textId="77777777" w:rsidR="00CE0D94" w:rsidRDefault="00CE0D94" w:rsidP="00CD363C">
            <w:pPr>
              <w:pStyle w:val="TableParagraph"/>
              <w:ind w:left="107" w:right="107"/>
              <w:jc w:val="both"/>
              <w:rPr>
                <w:sz w:val="20"/>
              </w:rPr>
            </w:pPr>
            <w:r>
              <w:rPr>
                <w:sz w:val="20"/>
              </w:rPr>
              <w:t>K Finanšu saistības</w:t>
            </w:r>
          </w:p>
        </w:tc>
        <w:tc>
          <w:tcPr>
            <w:tcW w:w="986" w:type="dxa"/>
          </w:tcPr>
          <w:p w14:paraId="2811D778" w14:textId="77777777" w:rsidR="00CE0D94" w:rsidRDefault="00CE0D94" w:rsidP="00CD363C">
            <w:pPr>
              <w:pStyle w:val="TableParagraph"/>
              <w:ind w:right="107"/>
              <w:jc w:val="both"/>
              <w:rPr>
                <w:i/>
                <w:sz w:val="19"/>
              </w:rPr>
            </w:pPr>
          </w:p>
          <w:p w14:paraId="4F83E8CA" w14:textId="77777777" w:rsidR="00CE0D94" w:rsidRDefault="00CE0D94" w:rsidP="00CD363C">
            <w:pPr>
              <w:pStyle w:val="TableParagraph"/>
              <w:ind w:left="264" w:right="107"/>
              <w:jc w:val="both"/>
              <w:rPr>
                <w:sz w:val="20"/>
              </w:rPr>
            </w:pPr>
            <w:r>
              <w:rPr>
                <w:sz w:val="20"/>
              </w:rPr>
              <w:t>5310</w:t>
            </w:r>
          </w:p>
        </w:tc>
        <w:tc>
          <w:tcPr>
            <w:tcW w:w="2964" w:type="dxa"/>
          </w:tcPr>
          <w:p w14:paraId="12867131" w14:textId="77777777" w:rsidR="00CE0D94" w:rsidRDefault="00CE0D94" w:rsidP="00CD363C">
            <w:pPr>
              <w:pStyle w:val="TableParagraph"/>
              <w:ind w:left="108" w:right="107" w:firstLine="50"/>
              <w:jc w:val="both"/>
              <w:rPr>
                <w:sz w:val="20"/>
              </w:rPr>
            </w:pPr>
            <w:r>
              <w:rPr>
                <w:sz w:val="20"/>
              </w:rPr>
              <w:t>Īstermiņa saistības pret piegādātājiem un</w:t>
            </w:r>
          </w:p>
          <w:p w14:paraId="4AB1162E" w14:textId="77777777" w:rsidR="00CE0D94" w:rsidRDefault="00CE0D94" w:rsidP="00CD363C">
            <w:pPr>
              <w:pStyle w:val="TableParagraph"/>
              <w:ind w:left="108" w:right="107"/>
              <w:jc w:val="both"/>
              <w:rPr>
                <w:sz w:val="20"/>
              </w:rPr>
            </w:pPr>
            <w:r>
              <w:rPr>
                <w:sz w:val="20"/>
              </w:rPr>
              <w:t>darbuzņēmējiem</w:t>
            </w:r>
          </w:p>
        </w:tc>
        <w:tc>
          <w:tcPr>
            <w:tcW w:w="1569" w:type="dxa"/>
          </w:tcPr>
          <w:p w14:paraId="06ACB117" w14:textId="77777777" w:rsidR="00CE0D94" w:rsidRDefault="00CE0D94" w:rsidP="00CD363C">
            <w:pPr>
              <w:pStyle w:val="TableParagraph"/>
              <w:ind w:right="107"/>
              <w:jc w:val="both"/>
              <w:rPr>
                <w:i/>
                <w:sz w:val="19"/>
              </w:rPr>
            </w:pPr>
          </w:p>
          <w:p w14:paraId="2A1272AF" w14:textId="77777777" w:rsidR="00CE0D94" w:rsidRDefault="00CE0D94" w:rsidP="00CD363C">
            <w:pPr>
              <w:pStyle w:val="TableParagraph"/>
              <w:ind w:right="107"/>
              <w:jc w:val="both"/>
              <w:rPr>
                <w:sz w:val="20"/>
              </w:rPr>
            </w:pPr>
            <w:r>
              <w:rPr>
                <w:sz w:val="20"/>
              </w:rPr>
              <w:t>153 939,69</w:t>
            </w:r>
          </w:p>
        </w:tc>
      </w:tr>
      <w:tr w:rsidR="00CE0D94" w14:paraId="7524CB93" w14:textId="77777777" w:rsidTr="00FB6347">
        <w:trPr>
          <w:trHeight w:val="253"/>
        </w:trPr>
        <w:tc>
          <w:tcPr>
            <w:tcW w:w="816" w:type="dxa"/>
            <w:vMerge w:val="restart"/>
          </w:tcPr>
          <w:p w14:paraId="76762354" w14:textId="77777777" w:rsidR="00CE0D94" w:rsidRDefault="00CE0D94" w:rsidP="00CD363C">
            <w:pPr>
              <w:pStyle w:val="TableParagraph"/>
              <w:ind w:right="107"/>
              <w:jc w:val="both"/>
              <w:rPr>
                <w:i/>
              </w:rPr>
            </w:pPr>
          </w:p>
          <w:p w14:paraId="2D36415B" w14:textId="77777777" w:rsidR="00CE0D94" w:rsidRDefault="00CE0D94" w:rsidP="00CD363C">
            <w:pPr>
              <w:pStyle w:val="TableParagraph"/>
              <w:ind w:right="107"/>
              <w:jc w:val="both"/>
              <w:rPr>
                <w:i/>
              </w:rPr>
            </w:pPr>
          </w:p>
          <w:p w14:paraId="15761302" w14:textId="77777777" w:rsidR="00CE0D94" w:rsidRDefault="00CE0D94" w:rsidP="00CD363C">
            <w:pPr>
              <w:pStyle w:val="TableParagraph"/>
              <w:ind w:right="107"/>
              <w:jc w:val="both"/>
              <w:rPr>
                <w:i/>
              </w:rPr>
            </w:pPr>
          </w:p>
          <w:p w14:paraId="6DC3EA1F" w14:textId="77777777" w:rsidR="00CE0D94" w:rsidRDefault="00CE0D94" w:rsidP="00CD363C">
            <w:pPr>
              <w:pStyle w:val="TableParagraph"/>
              <w:ind w:right="107"/>
              <w:jc w:val="both"/>
              <w:rPr>
                <w:i/>
              </w:rPr>
            </w:pPr>
          </w:p>
          <w:p w14:paraId="0FF9A286" w14:textId="77777777" w:rsidR="00CE0D94" w:rsidRDefault="00CE0D94" w:rsidP="00CD363C">
            <w:pPr>
              <w:pStyle w:val="TableParagraph"/>
              <w:ind w:right="107"/>
              <w:jc w:val="both"/>
              <w:rPr>
                <w:i/>
              </w:rPr>
            </w:pPr>
          </w:p>
          <w:p w14:paraId="76DC9A82" w14:textId="77777777" w:rsidR="00CE0D94" w:rsidRDefault="00CE0D94" w:rsidP="00CD363C">
            <w:pPr>
              <w:pStyle w:val="TableParagraph"/>
              <w:ind w:right="107"/>
              <w:jc w:val="both"/>
              <w:rPr>
                <w:i/>
              </w:rPr>
            </w:pPr>
          </w:p>
          <w:p w14:paraId="08207766" w14:textId="77777777" w:rsidR="00CE0D94" w:rsidRDefault="00CE0D94" w:rsidP="00CD363C">
            <w:pPr>
              <w:pStyle w:val="TableParagraph"/>
              <w:ind w:right="107"/>
              <w:jc w:val="both"/>
              <w:rPr>
                <w:i/>
              </w:rPr>
            </w:pPr>
          </w:p>
          <w:p w14:paraId="6091356E" w14:textId="77777777" w:rsidR="00CE0D94" w:rsidRDefault="00CE0D94" w:rsidP="00CD363C">
            <w:pPr>
              <w:pStyle w:val="TableParagraph"/>
              <w:ind w:right="107"/>
              <w:jc w:val="both"/>
              <w:rPr>
                <w:i/>
              </w:rPr>
            </w:pPr>
          </w:p>
          <w:p w14:paraId="3DBBB1B3" w14:textId="77777777" w:rsidR="00CE0D94" w:rsidRDefault="00CE0D94" w:rsidP="00CD363C">
            <w:pPr>
              <w:pStyle w:val="TableParagraph"/>
              <w:ind w:right="107"/>
              <w:jc w:val="both"/>
              <w:rPr>
                <w:b/>
                <w:sz w:val="20"/>
              </w:rPr>
            </w:pPr>
            <w:r>
              <w:rPr>
                <w:b/>
                <w:w w:val="99"/>
                <w:sz w:val="20"/>
              </w:rPr>
              <w:t>8</w:t>
            </w:r>
          </w:p>
        </w:tc>
        <w:tc>
          <w:tcPr>
            <w:tcW w:w="8810" w:type="dxa"/>
            <w:gridSpan w:val="4"/>
          </w:tcPr>
          <w:p w14:paraId="649CF9B7" w14:textId="77777777" w:rsidR="00CE0D94" w:rsidRDefault="00CE0D94" w:rsidP="00CD363C">
            <w:pPr>
              <w:pStyle w:val="TableParagraph"/>
              <w:ind w:left="107" w:right="107"/>
              <w:jc w:val="both"/>
              <w:rPr>
                <w:b/>
                <w:sz w:val="20"/>
              </w:rPr>
            </w:pPr>
            <w:r>
              <w:rPr>
                <w:b/>
                <w:sz w:val="20"/>
              </w:rPr>
              <w:t>Seguma atjaunošanas komponentes atzīšana (seguma maiņa)</w:t>
            </w:r>
          </w:p>
        </w:tc>
      </w:tr>
      <w:tr w:rsidR="00CE0D94" w14:paraId="796DAC23" w14:textId="77777777" w:rsidTr="00FB6347">
        <w:trPr>
          <w:trHeight w:val="254"/>
        </w:trPr>
        <w:tc>
          <w:tcPr>
            <w:tcW w:w="816" w:type="dxa"/>
            <w:vMerge/>
            <w:tcBorders>
              <w:top w:val="nil"/>
            </w:tcBorders>
          </w:tcPr>
          <w:p w14:paraId="1FA2CE66" w14:textId="77777777" w:rsidR="00CE0D94" w:rsidRDefault="00CE0D94" w:rsidP="00CD363C">
            <w:pPr>
              <w:spacing w:after="0" w:line="240" w:lineRule="auto"/>
              <w:ind w:right="107"/>
              <w:jc w:val="both"/>
              <w:rPr>
                <w:sz w:val="2"/>
                <w:szCs w:val="2"/>
              </w:rPr>
            </w:pPr>
          </w:p>
        </w:tc>
        <w:tc>
          <w:tcPr>
            <w:tcW w:w="3291" w:type="dxa"/>
          </w:tcPr>
          <w:p w14:paraId="43D4EC9B" w14:textId="77777777" w:rsidR="00CE0D94" w:rsidRDefault="00CE0D94" w:rsidP="00CD363C">
            <w:pPr>
              <w:pStyle w:val="TableParagraph"/>
              <w:ind w:left="107" w:right="107"/>
              <w:jc w:val="both"/>
              <w:rPr>
                <w:sz w:val="20"/>
              </w:rPr>
            </w:pPr>
            <w:r>
              <w:rPr>
                <w:sz w:val="20"/>
              </w:rPr>
              <w:t>D Partnerības aktīvs - seguma maiņa</w:t>
            </w:r>
          </w:p>
        </w:tc>
        <w:tc>
          <w:tcPr>
            <w:tcW w:w="986" w:type="dxa"/>
          </w:tcPr>
          <w:p w14:paraId="5A85D012" w14:textId="77777777" w:rsidR="00CE0D94" w:rsidRDefault="00CE0D94" w:rsidP="00CD363C">
            <w:pPr>
              <w:pStyle w:val="TableParagraph"/>
              <w:ind w:left="264" w:right="107"/>
              <w:jc w:val="both"/>
              <w:rPr>
                <w:sz w:val="20"/>
              </w:rPr>
            </w:pPr>
            <w:r>
              <w:rPr>
                <w:sz w:val="20"/>
              </w:rPr>
              <w:t>1213</w:t>
            </w:r>
          </w:p>
        </w:tc>
        <w:tc>
          <w:tcPr>
            <w:tcW w:w="2964" w:type="dxa"/>
          </w:tcPr>
          <w:p w14:paraId="5A8C339B" w14:textId="77777777" w:rsidR="00CE0D94" w:rsidRDefault="00CE0D94" w:rsidP="00CD363C">
            <w:pPr>
              <w:pStyle w:val="TableParagraph"/>
              <w:ind w:left="108" w:right="107"/>
              <w:jc w:val="both"/>
              <w:rPr>
                <w:sz w:val="20"/>
              </w:rPr>
            </w:pPr>
            <w:r>
              <w:rPr>
                <w:sz w:val="20"/>
              </w:rPr>
              <w:t>Transporta būves</w:t>
            </w:r>
          </w:p>
        </w:tc>
        <w:tc>
          <w:tcPr>
            <w:tcW w:w="1569" w:type="dxa"/>
          </w:tcPr>
          <w:p w14:paraId="4FA49ED2" w14:textId="77777777" w:rsidR="00CE0D94" w:rsidRDefault="00CE0D94" w:rsidP="00CD363C">
            <w:pPr>
              <w:pStyle w:val="TableParagraph"/>
              <w:ind w:right="107"/>
              <w:jc w:val="both"/>
              <w:rPr>
                <w:sz w:val="20"/>
              </w:rPr>
            </w:pPr>
            <w:r>
              <w:rPr>
                <w:sz w:val="20"/>
              </w:rPr>
              <w:t>110 000,00</w:t>
            </w:r>
          </w:p>
        </w:tc>
      </w:tr>
      <w:tr w:rsidR="00CE0D94" w14:paraId="36B4FAE9" w14:textId="77777777" w:rsidTr="00FB6347">
        <w:trPr>
          <w:trHeight w:val="690"/>
        </w:trPr>
        <w:tc>
          <w:tcPr>
            <w:tcW w:w="816" w:type="dxa"/>
            <w:vMerge/>
            <w:tcBorders>
              <w:top w:val="nil"/>
            </w:tcBorders>
          </w:tcPr>
          <w:p w14:paraId="7F71B059" w14:textId="77777777" w:rsidR="00CE0D94" w:rsidRDefault="00CE0D94" w:rsidP="00CD363C">
            <w:pPr>
              <w:spacing w:after="0" w:line="240" w:lineRule="auto"/>
              <w:ind w:right="107"/>
              <w:jc w:val="both"/>
              <w:rPr>
                <w:sz w:val="2"/>
                <w:szCs w:val="2"/>
              </w:rPr>
            </w:pPr>
          </w:p>
        </w:tc>
        <w:tc>
          <w:tcPr>
            <w:tcW w:w="3291" w:type="dxa"/>
          </w:tcPr>
          <w:p w14:paraId="47874D6D" w14:textId="77777777" w:rsidR="00CE0D94" w:rsidRDefault="00CE0D94" w:rsidP="00CD363C">
            <w:pPr>
              <w:pStyle w:val="TableParagraph"/>
              <w:ind w:right="107"/>
              <w:jc w:val="both"/>
              <w:rPr>
                <w:i/>
                <w:sz w:val="19"/>
              </w:rPr>
            </w:pPr>
          </w:p>
          <w:p w14:paraId="2CB23B9F" w14:textId="77777777" w:rsidR="00CE0D94" w:rsidRDefault="00CE0D94" w:rsidP="00CD363C">
            <w:pPr>
              <w:pStyle w:val="TableParagraph"/>
              <w:ind w:left="107" w:right="107"/>
              <w:jc w:val="both"/>
              <w:rPr>
                <w:sz w:val="20"/>
              </w:rPr>
            </w:pPr>
            <w:r>
              <w:rPr>
                <w:sz w:val="20"/>
              </w:rPr>
              <w:t>K Finanšu saistības</w:t>
            </w:r>
          </w:p>
        </w:tc>
        <w:tc>
          <w:tcPr>
            <w:tcW w:w="986" w:type="dxa"/>
          </w:tcPr>
          <w:p w14:paraId="4CA60140" w14:textId="77777777" w:rsidR="00CE0D94" w:rsidRDefault="00CE0D94" w:rsidP="00CD363C">
            <w:pPr>
              <w:pStyle w:val="TableParagraph"/>
              <w:ind w:right="107"/>
              <w:jc w:val="both"/>
              <w:rPr>
                <w:i/>
                <w:sz w:val="19"/>
              </w:rPr>
            </w:pPr>
          </w:p>
          <w:p w14:paraId="178AE0D3" w14:textId="77777777" w:rsidR="00CE0D94" w:rsidRDefault="00CE0D94" w:rsidP="00CD363C">
            <w:pPr>
              <w:pStyle w:val="TableParagraph"/>
              <w:ind w:left="264" w:right="107"/>
              <w:jc w:val="both"/>
              <w:rPr>
                <w:sz w:val="20"/>
              </w:rPr>
            </w:pPr>
            <w:r>
              <w:rPr>
                <w:sz w:val="20"/>
              </w:rPr>
              <w:t>5130</w:t>
            </w:r>
          </w:p>
        </w:tc>
        <w:tc>
          <w:tcPr>
            <w:tcW w:w="2964" w:type="dxa"/>
          </w:tcPr>
          <w:p w14:paraId="45DFB9B2" w14:textId="77777777" w:rsidR="00CE0D94" w:rsidRDefault="00CE0D94" w:rsidP="00CD363C">
            <w:pPr>
              <w:pStyle w:val="TableParagraph"/>
              <w:ind w:left="108" w:right="107"/>
              <w:jc w:val="both"/>
              <w:rPr>
                <w:sz w:val="20"/>
              </w:rPr>
            </w:pPr>
            <w:r>
              <w:rPr>
                <w:sz w:val="20"/>
              </w:rPr>
              <w:t>Ilgtermiņa saistības pret</w:t>
            </w:r>
          </w:p>
          <w:p w14:paraId="32E3C099"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66608CBD" w14:textId="77777777" w:rsidR="00CE0D94" w:rsidRDefault="00CE0D94" w:rsidP="00CD363C">
            <w:pPr>
              <w:pStyle w:val="TableParagraph"/>
              <w:ind w:right="107"/>
              <w:jc w:val="both"/>
              <w:rPr>
                <w:i/>
                <w:sz w:val="19"/>
              </w:rPr>
            </w:pPr>
          </w:p>
          <w:p w14:paraId="210422BA" w14:textId="77777777" w:rsidR="00CE0D94" w:rsidRDefault="00CE0D94" w:rsidP="00CD363C">
            <w:pPr>
              <w:pStyle w:val="TableParagraph"/>
              <w:ind w:right="107"/>
              <w:jc w:val="both"/>
              <w:rPr>
                <w:sz w:val="20"/>
              </w:rPr>
            </w:pPr>
            <w:r>
              <w:rPr>
                <w:sz w:val="20"/>
              </w:rPr>
              <w:t>110 000,00</w:t>
            </w:r>
          </w:p>
        </w:tc>
      </w:tr>
      <w:tr w:rsidR="00CE0D94" w14:paraId="13F13259" w14:textId="77777777" w:rsidTr="00FB6347">
        <w:trPr>
          <w:trHeight w:val="253"/>
        </w:trPr>
        <w:tc>
          <w:tcPr>
            <w:tcW w:w="816" w:type="dxa"/>
            <w:vMerge/>
            <w:tcBorders>
              <w:top w:val="nil"/>
            </w:tcBorders>
          </w:tcPr>
          <w:p w14:paraId="580A7F1B" w14:textId="77777777" w:rsidR="00CE0D94" w:rsidRDefault="00CE0D94" w:rsidP="00CD363C">
            <w:pPr>
              <w:spacing w:after="0" w:line="240" w:lineRule="auto"/>
              <w:ind w:right="107"/>
              <w:jc w:val="both"/>
              <w:rPr>
                <w:sz w:val="2"/>
                <w:szCs w:val="2"/>
              </w:rPr>
            </w:pPr>
          </w:p>
        </w:tc>
        <w:tc>
          <w:tcPr>
            <w:tcW w:w="8810" w:type="dxa"/>
            <w:gridSpan w:val="4"/>
          </w:tcPr>
          <w:p w14:paraId="25BB0D12" w14:textId="77777777" w:rsidR="00CE0D94" w:rsidRDefault="00CE0D94" w:rsidP="00CD363C">
            <w:pPr>
              <w:pStyle w:val="TableParagraph"/>
              <w:ind w:left="107" w:right="107"/>
              <w:jc w:val="both"/>
              <w:rPr>
                <w:b/>
                <w:sz w:val="20"/>
              </w:rPr>
            </w:pPr>
            <w:r>
              <w:rPr>
                <w:b/>
                <w:sz w:val="20"/>
              </w:rPr>
              <w:t>Maksājuma veikšana</w:t>
            </w:r>
          </w:p>
        </w:tc>
      </w:tr>
      <w:tr w:rsidR="00CE0D94" w14:paraId="3665D344" w14:textId="77777777" w:rsidTr="00FB6347">
        <w:trPr>
          <w:trHeight w:val="690"/>
        </w:trPr>
        <w:tc>
          <w:tcPr>
            <w:tcW w:w="816" w:type="dxa"/>
            <w:vMerge/>
            <w:tcBorders>
              <w:top w:val="nil"/>
            </w:tcBorders>
          </w:tcPr>
          <w:p w14:paraId="27254CC3" w14:textId="77777777" w:rsidR="00CE0D94" w:rsidRDefault="00CE0D94" w:rsidP="00CD363C">
            <w:pPr>
              <w:spacing w:after="0" w:line="240" w:lineRule="auto"/>
              <w:ind w:right="107"/>
              <w:jc w:val="both"/>
              <w:rPr>
                <w:sz w:val="2"/>
                <w:szCs w:val="2"/>
              </w:rPr>
            </w:pPr>
          </w:p>
        </w:tc>
        <w:tc>
          <w:tcPr>
            <w:tcW w:w="3291" w:type="dxa"/>
          </w:tcPr>
          <w:p w14:paraId="5CFE92CE" w14:textId="77777777" w:rsidR="00CE0D94" w:rsidRDefault="00CE0D94" w:rsidP="00CD363C">
            <w:pPr>
              <w:pStyle w:val="TableParagraph"/>
              <w:ind w:right="107"/>
              <w:jc w:val="both"/>
              <w:rPr>
                <w:i/>
                <w:sz w:val="19"/>
              </w:rPr>
            </w:pPr>
          </w:p>
          <w:p w14:paraId="2D52CAFE" w14:textId="77777777" w:rsidR="00CE0D94" w:rsidRDefault="00CE0D94" w:rsidP="00CD363C">
            <w:pPr>
              <w:pStyle w:val="TableParagraph"/>
              <w:ind w:left="107" w:right="107"/>
              <w:jc w:val="both"/>
              <w:rPr>
                <w:sz w:val="20"/>
              </w:rPr>
            </w:pPr>
            <w:r>
              <w:rPr>
                <w:sz w:val="20"/>
              </w:rPr>
              <w:t>D Finanšu saistības</w:t>
            </w:r>
          </w:p>
        </w:tc>
        <w:tc>
          <w:tcPr>
            <w:tcW w:w="986" w:type="dxa"/>
          </w:tcPr>
          <w:p w14:paraId="5C424A2A" w14:textId="77777777" w:rsidR="00CE0D94" w:rsidRDefault="00CE0D94" w:rsidP="00CD363C">
            <w:pPr>
              <w:pStyle w:val="TableParagraph"/>
              <w:ind w:right="107"/>
              <w:jc w:val="both"/>
              <w:rPr>
                <w:i/>
                <w:sz w:val="19"/>
              </w:rPr>
            </w:pPr>
          </w:p>
          <w:p w14:paraId="76240991" w14:textId="77777777" w:rsidR="00CE0D94" w:rsidRDefault="00CE0D94" w:rsidP="00CD363C">
            <w:pPr>
              <w:pStyle w:val="TableParagraph"/>
              <w:ind w:left="264" w:right="107"/>
              <w:jc w:val="both"/>
              <w:rPr>
                <w:sz w:val="20"/>
              </w:rPr>
            </w:pPr>
            <w:r>
              <w:rPr>
                <w:sz w:val="20"/>
              </w:rPr>
              <w:t>5310</w:t>
            </w:r>
          </w:p>
        </w:tc>
        <w:tc>
          <w:tcPr>
            <w:tcW w:w="2964" w:type="dxa"/>
          </w:tcPr>
          <w:p w14:paraId="5F8FF77C" w14:textId="77777777" w:rsidR="00CE0D94" w:rsidRDefault="00CE0D94" w:rsidP="00CD363C">
            <w:pPr>
              <w:pStyle w:val="TableParagraph"/>
              <w:ind w:left="108" w:right="107"/>
              <w:jc w:val="both"/>
              <w:rPr>
                <w:sz w:val="20"/>
              </w:rPr>
            </w:pPr>
            <w:r>
              <w:rPr>
                <w:sz w:val="20"/>
              </w:rPr>
              <w:t>Īstermiņa saistības pret piegādātājiem un</w:t>
            </w:r>
          </w:p>
          <w:p w14:paraId="31163AF9" w14:textId="77777777" w:rsidR="00CE0D94" w:rsidRDefault="00CE0D94" w:rsidP="00CD363C">
            <w:pPr>
              <w:pStyle w:val="TableParagraph"/>
              <w:ind w:left="108" w:right="107"/>
              <w:jc w:val="both"/>
              <w:rPr>
                <w:sz w:val="20"/>
              </w:rPr>
            </w:pPr>
            <w:r>
              <w:rPr>
                <w:sz w:val="20"/>
              </w:rPr>
              <w:t>darbuzņēmējiem</w:t>
            </w:r>
          </w:p>
        </w:tc>
        <w:tc>
          <w:tcPr>
            <w:tcW w:w="1569" w:type="dxa"/>
          </w:tcPr>
          <w:p w14:paraId="3CE11DA7" w14:textId="77777777" w:rsidR="00CE0D94" w:rsidRDefault="00CE0D94" w:rsidP="00CD363C">
            <w:pPr>
              <w:pStyle w:val="TableParagraph"/>
              <w:ind w:right="107"/>
              <w:jc w:val="both"/>
              <w:rPr>
                <w:i/>
                <w:sz w:val="19"/>
              </w:rPr>
            </w:pPr>
          </w:p>
          <w:p w14:paraId="233B562D" w14:textId="77777777" w:rsidR="00CE0D94" w:rsidRDefault="00CE0D94" w:rsidP="00CD363C">
            <w:pPr>
              <w:pStyle w:val="TableParagraph"/>
              <w:ind w:right="107"/>
              <w:jc w:val="both"/>
              <w:rPr>
                <w:sz w:val="20"/>
              </w:rPr>
            </w:pPr>
            <w:r>
              <w:rPr>
                <w:sz w:val="20"/>
              </w:rPr>
              <w:t>200 000,00</w:t>
            </w:r>
          </w:p>
        </w:tc>
      </w:tr>
      <w:tr w:rsidR="00CE0D94" w14:paraId="072B4D52" w14:textId="77777777" w:rsidTr="00FB6347">
        <w:trPr>
          <w:trHeight w:val="256"/>
        </w:trPr>
        <w:tc>
          <w:tcPr>
            <w:tcW w:w="816" w:type="dxa"/>
            <w:vMerge/>
            <w:tcBorders>
              <w:top w:val="nil"/>
            </w:tcBorders>
          </w:tcPr>
          <w:p w14:paraId="7B66A626" w14:textId="77777777" w:rsidR="00CE0D94" w:rsidRDefault="00CE0D94" w:rsidP="00CD363C">
            <w:pPr>
              <w:spacing w:after="0" w:line="240" w:lineRule="auto"/>
              <w:ind w:right="107"/>
              <w:jc w:val="both"/>
              <w:rPr>
                <w:sz w:val="2"/>
                <w:szCs w:val="2"/>
              </w:rPr>
            </w:pPr>
          </w:p>
        </w:tc>
        <w:tc>
          <w:tcPr>
            <w:tcW w:w="3291" w:type="dxa"/>
          </w:tcPr>
          <w:p w14:paraId="2C0106D4" w14:textId="77777777" w:rsidR="00CE0D94" w:rsidRDefault="00CE0D94" w:rsidP="00CD363C">
            <w:pPr>
              <w:pStyle w:val="TableParagraph"/>
              <w:ind w:left="107" w:right="107"/>
              <w:jc w:val="both"/>
              <w:rPr>
                <w:sz w:val="20"/>
              </w:rPr>
            </w:pPr>
            <w:r>
              <w:rPr>
                <w:sz w:val="20"/>
              </w:rPr>
              <w:t>K Nauda</w:t>
            </w:r>
          </w:p>
        </w:tc>
        <w:tc>
          <w:tcPr>
            <w:tcW w:w="986" w:type="dxa"/>
          </w:tcPr>
          <w:p w14:paraId="3E6FB2C8" w14:textId="77777777" w:rsidR="00CE0D94" w:rsidRDefault="00CE0D94" w:rsidP="00CD363C">
            <w:pPr>
              <w:pStyle w:val="TableParagraph"/>
              <w:ind w:left="264" w:right="107"/>
              <w:jc w:val="both"/>
              <w:rPr>
                <w:sz w:val="20"/>
              </w:rPr>
            </w:pPr>
            <w:r>
              <w:rPr>
                <w:sz w:val="20"/>
              </w:rPr>
              <w:t>2600</w:t>
            </w:r>
          </w:p>
        </w:tc>
        <w:tc>
          <w:tcPr>
            <w:tcW w:w="2964" w:type="dxa"/>
          </w:tcPr>
          <w:p w14:paraId="5E2A6C3C" w14:textId="77777777" w:rsidR="00CE0D94" w:rsidRDefault="00CE0D94" w:rsidP="00CD363C">
            <w:pPr>
              <w:pStyle w:val="TableParagraph"/>
              <w:ind w:left="108" w:right="107"/>
              <w:jc w:val="both"/>
              <w:rPr>
                <w:sz w:val="20"/>
              </w:rPr>
            </w:pPr>
            <w:r>
              <w:rPr>
                <w:sz w:val="20"/>
              </w:rPr>
              <w:t>Naudas līdzekļi</w:t>
            </w:r>
          </w:p>
        </w:tc>
        <w:tc>
          <w:tcPr>
            <w:tcW w:w="1569" w:type="dxa"/>
          </w:tcPr>
          <w:p w14:paraId="1C8721E0" w14:textId="77777777" w:rsidR="00CE0D94" w:rsidRDefault="00CE0D94" w:rsidP="00CD363C">
            <w:pPr>
              <w:pStyle w:val="TableParagraph"/>
              <w:ind w:right="107"/>
              <w:jc w:val="both"/>
              <w:rPr>
                <w:sz w:val="20"/>
              </w:rPr>
            </w:pPr>
            <w:r>
              <w:rPr>
                <w:sz w:val="20"/>
              </w:rPr>
              <w:t>200 000,00</w:t>
            </w:r>
          </w:p>
        </w:tc>
      </w:tr>
      <w:tr w:rsidR="00CE0D94" w14:paraId="3CC1C3E2" w14:textId="77777777" w:rsidTr="00FB6347">
        <w:trPr>
          <w:trHeight w:val="253"/>
        </w:trPr>
        <w:tc>
          <w:tcPr>
            <w:tcW w:w="816" w:type="dxa"/>
            <w:vMerge/>
            <w:tcBorders>
              <w:top w:val="nil"/>
            </w:tcBorders>
          </w:tcPr>
          <w:p w14:paraId="2341E615" w14:textId="77777777" w:rsidR="00CE0D94" w:rsidRDefault="00CE0D94" w:rsidP="00CD363C">
            <w:pPr>
              <w:spacing w:after="0" w:line="240" w:lineRule="auto"/>
              <w:ind w:right="107"/>
              <w:jc w:val="both"/>
              <w:rPr>
                <w:sz w:val="2"/>
                <w:szCs w:val="2"/>
              </w:rPr>
            </w:pPr>
          </w:p>
        </w:tc>
        <w:tc>
          <w:tcPr>
            <w:tcW w:w="8810" w:type="dxa"/>
            <w:gridSpan w:val="4"/>
          </w:tcPr>
          <w:p w14:paraId="32247C4F" w14:textId="77777777" w:rsidR="00CE0D94" w:rsidRDefault="00CE0D94" w:rsidP="00CD363C">
            <w:pPr>
              <w:pStyle w:val="TableParagraph"/>
              <w:ind w:left="107" w:right="107"/>
              <w:jc w:val="both"/>
              <w:rPr>
                <w:b/>
                <w:sz w:val="20"/>
              </w:rPr>
            </w:pPr>
            <w:r>
              <w:rPr>
                <w:b/>
                <w:sz w:val="20"/>
              </w:rPr>
              <w:t>Procentu izdevumi</w:t>
            </w:r>
          </w:p>
        </w:tc>
      </w:tr>
      <w:tr w:rsidR="00CE0D94" w14:paraId="10DE8811" w14:textId="77777777" w:rsidTr="00FB6347">
        <w:trPr>
          <w:trHeight w:val="254"/>
        </w:trPr>
        <w:tc>
          <w:tcPr>
            <w:tcW w:w="816" w:type="dxa"/>
            <w:vMerge/>
            <w:tcBorders>
              <w:top w:val="nil"/>
            </w:tcBorders>
          </w:tcPr>
          <w:p w14:paraId="70847F21" w14:textId="77777777" w:rsidR="00CE0D94" w:rsidRDefault="00CE0D94" w:rsidP="00CD363C">
            <w:pPr>
              <w:spacing w:after="0" w:line="240" w:lineRule="auto"/>
              <w:ind w:right="107"/>
              <w:jc w:val="both"/>
              <w:rPr>
                <w:sz w:val="2"/>
                <w:szCs w:val="2"/>
              </w:rPr>
            </w:pPr>
          </w:p>
        </w:tc>
        <w:tc>
          <w:tcPr>
            <w:tcW w:w="3291" w:type="dxa"/>
          </w:tcPr>
          <w:p w14:paraId="260E0083" w14:textId="77777777" w:rsidR="00CE0D94" w:rsidRDefault="00CE0D94" w:rsidP="00CD363C">
            <w:pPr>
              <w:pStyle w:val="TableParagraph"/>
              <w:ind w:left="107" w:right="107"/>
              <w:jc w:val="both"/>
              <w:rPr>
                <w:sz w:val="20"/>
              </w:rPr>
            </w:pPr>
            <w:r>
              <w:rPr>
                <w:sz w:val="20"/>
              </w:rPr>
              <w:t>D Procentu izdevumi</w:t>
            </w:r>
          </w:p>
        </w:tc>
        <w:tc>
          <w:tcPr>
            <w:tcW w:w="986" w:type="dxa"/>
          </w:tcPr>
          <w:p w14:paraId="02366E3F" w14:textId="77777777" w:rsidR="00CE0D94" w:rsidRDefault="00CE0D94" w:rsidP="00CD363C">
            <w:pPr>
              <w:pStyle w:val="TableParagraph"/>
              <w:ind w:left="264" w:right="107"/>
              <w:jc w:val="both"/>
              <w:rPr>
                <w:sz w:val="20"/>
              </w:rPr>
            </w:pPr>
            <w:r>
              <w:rPr>
                <w:sz w:val="20"/>
              </w:rPr>
              <w:t>8220</w:t>
            </w:r>
          </w:p>
        </w:tc>
        <w:tc>
          <w:tcPr>
            <w:tcW w:w="2964" w:type="dxa"/>
          </w:tcPr>
          <w:p w14:paraId="7D301364" w14:textId="77777777" w:rsidR="00CE0D94" w:rsidRDefault="00CE0D94" w:rsidP="00CD363C">
            <w:pPr>
              <w:pStyle w:val="TableParagraph"/>
              <w:ind w:left="108" w:right="107"/>
              <w:jc w:val="both"/>
              <w:rPr>
                <w:sz w:val="20"/>
              </w:rPr>
            </w:pPr>
            <w:r>
              <w:rPr>
                <w:sz w:val="20"/>
              </w:rPr>
              <w:t>Procentu izdevumi</w:t>
            </w:r>
          </w:p>
        </w:tc>
        <w:tc>
          <w:tcPr>
            <w:tcW w:w="1569" w:type="dxa"/>
          </w:tcPr>
          <w:p w14:paraId="3864DF7D" w14:textId="77777777" w:rsidR="00CE0D94" w:rsidRDefault="00CE0D94" w:rsidP="00CD363C">
            <w:pPr>
              <w:pStyle w:val="TableParagraph"/>
              <w:ind w:right="107"/>
              <w:jc w:val="both"/>
              <w:rPr>
                <w:sz w:val="20"/>
              </w:rPr>
            </w:pPr>
            <w:r>
              <w:rPr>
                <w:sz w:val="20"/>
              </w:rPr>
              <w:t>24 548,01</w:t>
            </w:r>
          </w:p>
        </w:tc>
      </w:tr>
      <w:tr w:rsidR="00CE0D94" w14:paraId="6D01C521" w14:textId="77777777" w:rsidTr="00FB6347">
        <w:trPr>
          <w:trHeight w:val="256"/>
        </w:trPr>
        <w:tc>
          <w:tcPr>
            <w:tcW w:w="816" w:type="dxa"/>
            <w:vMerge/>
            <w:tcBorders>
              <w:top w:val="nil"/>
            </w:tcBorders>
          </w:tcPr>
          <w:p w14:paraId="4416BCDB" w14:textId="77777777" w:rsidR="00CE0D94" w:rsidRDefault="00CE0D94" w:rsidP="00CD363C">
            <w:pPr>
              <w:spacing w:after="0" w:line="240" w:lineRule="auto"/>
              <w:ind w:right="107"/>
              <w:jc w:val="both"/>
              <w:rPr>
                <w:sz w:val="2"/>
                <w:szCs w:val="2"/>
              </w:rPr>
            </w:pPr>
          </w:p>
        </w:tc>
        <w:tc>
          <w:tcPr>
            <w:tcW w:w="3291" w:type="dxa"/>
          </w:tcPr>
          <w:p w14:paraId="3757FEBE" w14:textId="77777777" w:rsidR="00CE0D94" w:rsidRDefault="00CE0D94" w:rsidP="00CD363C">
            <w:pPr>
              <w:pStyle w:val="TableParagraph"/>
              <w:ind w:left="107" w:right="107"/>
              <w:jc w:val="both"/>
              <w:rPr>
                <w:sz w:val="20"/>
              </w:rPr>
            </w:pPr>
            <w:r>
              <w:rPr>
                <w:sz w:val="20"/>
              </w:rPr>
              <w:t>D Pakalpojuma izmaksas</w:t>
            </w:r>
          </w:p>
        </w:tc>
        <w:tc>
          <w:tcPr>
            <w:tcW w:w="986" w:type="dxa"/>
          </w:tcPr>
          <w:p w14:paraId="45D4890D" w14:textId="77777777" w:rsidR="00CE0D94" w:rsidRDefault="00CE0D94" w:rsidP="00CD363C">
            <w:pPr>
              <w:pStyle w:val="TableParagraph"/>
              <w:ind w:left="264" w:right="107"/>
              <w:jc w:val="both"/>
              <w:rPr>
                <w:sz w:val="20"/>
              </w:rPr>
            </w:pPr>
            <w:r>
              <w:rPr>
                <w:sz w:val="20"/>
              </w:rPr>
              <w:t>7000</w:t>
            </w:r>
          </w:p>
        </w:tc>
        <w:tc>
          <w:tcPr>
            <w:tcW w:w="2964" w:type="dxa"/>
          </w:tcPr>
          <w:p w14:paraId="059AA340" w14:textId="77777777" w:rsidR="00CE0D94" w:rsidRDefault="00CE0D94" w:rsidP="00CD363C">
            <w:pPr>
              <w:pStyle w:val="TableParagraph"/>
              <w:ind w:left="108" w:right="107"/>
              <w:jc w:val="both"/>
              <w:rPr>
                <w:sz w:val="20"/>
              </w:rPr>
            </w:pPr>
            <w:r>
              <w:rPr>
                <w:sz w:val="20"/>
              </w:rPr>
              <w:t>Pamatdarbības izdevumi</w:t>
            </w:r>
          </w:p>
        </w:tc>
        <w:tc>
          <w:tcPr>
            <w:tcW w:w="1569" w:type="dxa"/>
          </w:tcPr>
          <w:p w14:paraId="18757477" w14:textId="77777777" w:rsidR="00CE0D94" w:rsidRDefault="00CE0D94" w:rsidP="00CD363C">
            <w:pPr>
              <w:pStyle w:val="TableParagraph"/>
              <w:ind w:right="107"/>
              <w:jc w:val="both"/>
              <w:rPr>
                <w:sz w:val="20"/>
              </w:rPr>
            </w:pPr>
            <w:r>
              <w:rPr>
                <w:sz w:val="20"/>
              </w:rPr>
              <w:t>12 000,00</w:t>
            </w:r>
          </w:p>
        </w:tc>
      </w:tr>
      <w:tr w:rsidR="00CE0D94" w14:paraId="4C8F055B" w14:textId="77777777" w:rsidTr="00FB6347">
        <w:trPr>
          <w:trHeight w:val="688"/>
        </w:trPr>
        <w:tc>
          <w:tcPr>
            <w:tcW w:w="816" w:type="dxa"/>
            <w:vMerge/>
            <w:tcBorders>
              <w:top w:val="nil"/>
            </w:tcBorders>
          </w:tcPr>
          <w:p w14:paraId="77F48343" w14:textId="77777777" w:rsidR="00CE0D94" w:rsidRDefault="00CE0D94" w:rsidP="00CD363C">
            <w:pPr>
              <w:spacing w:after="0" w:line="240" w:lineRule="auto"/>
              <w:ind w:right="107"/>
              <w:jc w:val="both"/>
              <w:rPr>
                <w:sz w:val="2"/>
                <w:szCs w:val="2"/>
              </w:rPr>
            </w:pPr>
          </w:p>
        </w:tc>
        <w:tc>
          <w:tcPr>
            <w:tcW w:w="3291" w:type="dxa"/>
          </w:tcPr>
          <w:p w14:paraId="7A5CA057" w14:textId="77777777" w:rsidR="00CE0D94" w:rsidRDefault="00CE0D94" w:rsidP="00CD363C">
            <w:pPr>
              <w:pStyle w:val="TableParagraph"/>
              <w:ind w:right="107"/>
              <w:jc w:val="both"/>
              <w:rPr>
                <w:i/>
                <w:sz w:val="19"/>
              </w:rPr>
            </w:pPr>
          </w:p>
          <w:p w14:paraId="4E802550" w14:textId="77777777" w:rsidR="00CE0D94" w:rsidRDefault="00CE0D94" w:rsidP="00CD363C">
            <w:pPr>
              <w:pStyle w:val="TableParagraph"/>
              <w:ind w:left="107" w:right="107"/>
              <w:jc w:val="both"/>
              <w:rPr>
                <w:sz w:val="20"/>
              </w:rPr>
            </w:pPr>
            <w:r>
              <w:rPr>
                <w:sz w:val="20"/>
              </w:rPr>
              <w:t>K Finanšu saistības</w:t>
            </w:r>
          </w:p>
        </w:tc>
        <w:tc>
          <w:tcPr>
            <w:tcW w:w="986" w:type="dxa"/>
          </w:tcPr>
          <w:p w14:paraId="252443B5" w14:textId="77777777" w:rsidR="00CE0D94" w:rsidRDefault="00CE0D94" w:rsidP="00CD363C">
            <w:pPr>
              <w:pStyle w:val="TableParagraph"/>
              <w:ind w:right="107"/>
              <w:jc w:val="both"/>
              <w:rPr>
                <w:i/>
                <w:sz w:val="19"/>
              </w:rPr>
            </w:pPr>
          </w:p>
          <w:p w14:paraId="7B4641D4" w14:textId="77777777" w:rsidR="00CE0D94" w:rsidRDefault="00CE0D94" w:rsidP="00CD363C">
            <w:pPr>
              <w:pStyle w:val="TableParagraph"/>
              <w:ind w:left="264" w:right="107"/>
              <w:jc w:val="both"/>
              <w:rPr>
                <w:sz w:val="20"/>
              </w:rPr>
            </w:pPr>
            <w:r>
              <w:rPr>
                <w:sz w:val="20"/>
              </w:rPr>
              <w:t>5310</w:t>
            </w:r>
          </w:p>
        </w:tc>
        <w:tc>
          <w:tcPr>
            <w:tcW w:w="2964" w:type="dxa"/>
          </w:tcPr>
          <w:p w14:paraId="5158625E" w14:textId="77777777" w:rsidR="00CE0D94" w:rsidRDefault="00CE0D94" w:rsidP="00CD363C">
            <w:pPr>
              <w:pStyle w:val="TableParagraph"/>
              <w:ind w:left="108" w:right="107"/>
              <w:jc w:val="both"/>
              <w:rPr>
                <w:sz w:val="20"/>
              </w:rPr>
            </w:pPr>
            <w:r>
              <w:rPr>
                <w:sz w:val="20"/>
              </w:rPr>
              <w:t>Īstermiņa saistības pret</w:t>
            </w:r>
          </w:p>
          <w:p w14:paraId="46C28FD5"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3114B67F" w14:textId="77777777" w:rsidR="00CE0D94" w:rsidRDefault="00CE0D94" w:rsidP="00CD363C">
            <w:pPr>
              <w:pStyle w:val="TableParagraph"/>
              <w:ind w:right="107"/>
              <w:jc w:val="both"/>
              <w:rPr>
                <w:i/>
                <w:sz w:val="19"/>
              </w:rPr>
            </w:pPr>
          </w:p>
          <w:p w14:paraId="02A9F0FF" w14:textId="77777777" w:rsidR="00CE0D94" w:rsidRDefault="00CE0D94" w:rsidP="00CD363C">
            <w:pPr>
              <w:pStyle w:val="TableParagraph"/>
              <w:ind w:right="107"/>
              <w:jc w:val="both"/>
              <w:rPr>
                <w:sz w:val="20"/>
              </w:rPr>
            </w:pPr>
            <w:r>
              <w:rPr>
                <w:sz w:val="20"/>
              </w:rPr>
              <w:t>36 548,01</w:t>
            </w:r>
          </w:p>
        </w:tc>
      </w:tr>
      <w:tr w:rsidR="00CE0D94" w14:paraId="7526164B" w14:textId="77777777" w:rsidTr="00FB6347">
        <w:trPr>
          <w:trHeight w:val="256"/>
        </w:trPr>
        <w:tc>
          <w:tcPr>
            <w:tcW w:w="816" w:type="dxa"/>
            <w:vMerge/>
            <w:tcBorders>
              <w:top w:val="nil"/>
            </w:tcBorders>
          </w:tcPr>
          <w:p w14:paraId="25CD6009" w14:textId="77777777" w:rsidR="00CE0D94" w:rsidRDefault="00CE0D94" w:rsidP="00CD363C">
            <w:pPr>
              <w:spacing w:after="0" w:line="240" w:lineRule="auto"/>
              <w:ind w:right="107"/>
              <w:jc w:val="both"/>
              <w:rPr>
                <w:sz w:val="2"/>
                <w:szCs w:val="2"/>
              </w:rPr>
            </w:pPr>
          </w:p>
        </w:tc>
        <w:tc>
          <w:tcPr>
            <w:tcW w:w="8810" w:type="dxa"/>
            <w:gridSpan w:val="4"/>
          </w:tcPr>
          <w:p w14:paraId="52E9F9EF" w14:textId="77777777" w:rsidR="00CE0D94" w:rsidRDefault="00CE0D94" w:rsidP="00CD363C">
            <w:pPr>
              <w:pStyle w:val="TableParagraph"/>
              <w:ind w:left="107" w:right="107"/>
              <w:jc w:val="both"/>
              <w:rPr>
                <w:b/>
                <w:sz w:val="20"/>
              </w:rPr>
            </w:pPr>
            <w:r>
              <w:rPr>
                <w:b/>
                <w:sz w:val="20"/>
              </w:rPr>
              <w:t>Nolietojuma uzskaite</w:t>
            </w:r>
          </w:p>
        </w:tc>
      </w:tr>
      <w:tr w:rsidR="00CE0D94" w14:paraId="6F1743E8" w14:textId="77777777" w:rsidTr="00FB6347">
        <w:trPr>
          <w:trHeight w:val="254"/>
        </w:trPr>
        <w:tc>
          <w:tcPr>
            <w:tcW w:w="816" w:type="dxa"/>
            <w:vMerge/>
            <w:tcBorders>
              <w:top w:val="nil"/>
            </w:tcBorders>
          </w:tcPr>
          <w:p w14:paraId="51323E98" w14:textId="77777777" w:rsidR="00CE0D94" w:rsidRDefault="00CE0D94" w:rsidP="00CD363C">
            <w:pPr>
              <w:spacing w:after="0" w:line="240" w:lineRule="auto"/>
              <w:ind w:right="107"/>
              <w:jc w:val="both"/>
              <w:rPr>
                <w:sz w:val="2"/>
                <w:szCs w:val="2"/>
              </w:rPr>
            </w:pPr>
          </w:p>
        </w:tc>
        <w:tc>
          <w:tcPr>
            <w:tcW w:w="3291" w:type="dxa"/>
          </w:tcPr>
          <w:p w14:paraId="0F983719" w14:textId="77777777" w:rsidR="00CE0D94" w:rsidRDefault="00CE0D94" w:rsidP="00CD363C">
            <w:pPr>
              <w:pStyle w:val="TableParagraph"/>
              <w:ind w:left="107" w:right="107"/>
              <w:jc w:val="both"/>
              <w:rPr>
                <w:sz w:val="20"/>
              </w:rPr>
            </w:pPr>
            <w:r>
              <w:rPr>
                <w:sz w:val="20"/>
              </w:rPr>
              <w:t>D Nolietojuma izdevumi</w:t>
            </w:r>
          </w:p>
        </w:tc>
        <w:tc>
          <w:tcPr>
            <w:tcW w:w="986" w:type="dxa"/>
          </w:tcPr>
          <w:p w14:paraId="5D866072" w14:textId="77777777" w:rsidR="00CE0D94" w:rsidRDefault="00CE0D94" w:rsidP="00CD363C">
            <w:pPr>
              <w:pStyle w:val="TableParagraph"/>
              <w:ind w:left="264" w:right="107"/>
              <w:jc w:val="both"/>
              <w:rPr>
                <w:sz w:val="20"/>
              </w:rPr>
            </w:pPr>
            <w:r>
              <w:rPr>
                <w:sz w:val="20"/>
              </w:rPr>
              <w:t>7000</w:t>
            </w:r>
          </w:p>
        </w:tc>
        <w:tc>
          <w:tcPr>
            <w:tcW w:w="2964" w:type="dxa"/>
          </w:tcPr>
          <w:p w14:paraId="072ECF42" w14:textId="77777777" w:rsidR="00CE0D94" w:rsidRDefault="00CE0D94" w:rsidP="00CD363C">
            <w:pPr>
              <w:pStyle w:val="TableParagraph"/>
              <w:ind w:left="108" w:right="107"/>
              <w:jc w:val="both"/>
              <w:rPr>
                <w:sz w:val="20"/>
              </w:rPr>
            </w:pPr>
            <w:r>
              <w:rPr>
                <w:sz w:val="20"/>
              </w:rPr>
              <w:t>Pamatdarbības izdevumi</w:t>
            </w:r>
          </w:p>
        </w:tc>
        <w:tc>
          <w:tcPr>
            <w:tcW w:w="1569" w:type="dxa"/>
          </w:tcPr>
          <w:p w14:paraId="29D1C249" w14:textId="77777777" w:rsidR="00CE0D94" w:rsidRDefault="00CE0D94" w:rsidP="00CD363C">
            <w:pPr>
              <w:pStyle w:val="TableParagraph"/>
              <w:ind w:right="107"/>
              <w:jc w:val="both"/>
              <w:rPr>
                <w:sz w:val="20"/>
              </w:rPr>
            </w:pPr>
            <w:r>
              <w:rPr>
                <w:sz w:val="20"/>
              </w:rPr>
              <w:t>65 333,33</w:t>
            </w:r>
          </w:p>
        </w:tc>
      </w:tr>
      <w:tr w:rsidR="00CE0D94" w14:paraId="3A7FC816" w14:textId="77777777" w:rsidTr="00FB6347">
        <w:trPr>
          <w:trHeight w:val="256"/>
        </w:trPr>
        <w:tc>
          <w:tcPr>
            <w:tcW w:w="816" w:type="dxa"/>
            <w:vMerge/>
            <w:tcBorders>
              <w:top w:val="nil"/>
            </w:tcBorders>
          </w:tcPr>
          <w:p w14:paraId="6A950FDE" w14:textId="77777777" w:rsidR="00CE0D94" w:rsidRDefault="00CE0D94" w:rsidP="00CD363C">
            <w:pPr>
              <w:spacing w:after="0" w:line="240" w:lineRule="auto"/>
              <w:ind w:right="107"/>
              <w:jc w:val="both"/>
              <w:rPr>
                <w:sz w:val="2"/>
                <w:szCs w:val="2"/>
              </w:rPr>
            </w:pPr>
          </w:p>
        </w:tc>
        <w:tc>
          <w:tcPr>
            <w:tcW w:w="3291" w:type="dxa"/>
          </w:tcPr>
          <w:p w14:paraId="738EA9C3" w14:textId="77777777" w:rsidR="00CE0D94" w:rsidRDefault="00CE0D94" w:rsidP="00CD363C">
            <w:pPr>
              <w:pStyle w:val="TableParagraph"/>
              <w:ind w:left="107" w:right="107"/>
              <w:jc w:val="both"/>
              <w:rPr>
                <w:sz w:val="20"/>
              </w:rPr>
            </w:pPr>
            <w:r>
              <w:rPr>
                <w:sz w:val="20"/>
              </w:rPr>
              <w:t>K Uzkrātais nolietojums</w:t>
            </w:r>
          </w:p>
        </w:tc>
        <w:tc>
          <w:tcPr>
            <w:tcW w:w="986" w:type="dxa"/>
          </w:tcPr>
          <w:p w14:paraId="4313902E" w14:textId="77777777" w:rsidR="00CE0D94" w:rsidRDefault="00CE0D94" w:rsidP="00CD363C">
            <w:pPr>
              <w:pStyle w:val="TableParagraph"/>
              <w:ind w:left="264" w:right="107"/>
              <w:jc w:val="both"/>
              <w:rPr>
                <w:sz w:val="20"/>
              </w:rPr>
            </w:pPr>
            <w:r>
              <w:rPr>
                <w:sz w:val="20"/>
              </w:rPr>
              <w:t>1291</w:t>
            </w:r>
          </w:p>
        </w:tc>
        <w:tc>
          <w:tcPr>
            <w:tcW w:w="2964" w:type="dxa"/>
          </w:tcPr>
          <w:p w14:paraId="608F15BE"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6C41FC7A" w14:textId="77777777" w:rsidR="00CE0D94" w:rsidRDefault="00CE0D94" w:rsidP="00CD363C">
            <w:pPr>
              <w:pStyle w:val="TableParagraph"/>
              <w:ind w:right="107"/>
              <w:jc w:val="both"/>
              <w:rPr>
                <w:sz w:val="20"/>
              </w:rPr>
            </w:pPr>
            <w:r>
              <w:rPr>
                <w:sz w:val="20"/>
              </w:rPr>
              <w:t>65 333,33</w:t>
            </w:r>
          </w:p>
        </w:tc>
      </w:tr>
      <w:tr w:rsidR="00CE0D94" w14:paraId="15F17A74" w14:textId="77777777" w:rsidTr="00FB6347">
        <w:trPr>
          <w:trHeight w:val="254"/>
        </w:trPr>
        <w:tc>
          <w:tcPr>
            <w:tcW w:w="816" w:type="dxa"/>
            <w:vMerge/>
            <w:tcBorders>
              <w:top w:val="nil"/>
            </w:tcBorders>
          </w:tcPr>
          <w:p w14:paraId="532BBFE5" w14:textId="77777777" w:rsidR="00CE0D94" w:rsidRDefault="00CE0D94" w:rsidP="00CD363C">
            <w:pPr>
              <w:spacing w:after="0" w:line="240" w:lineRule="auto"/>
              <w:ind w:right="107"/>
              <w:jc w:val="both"/>
              <w:rPr>
                <w:sz w:val="2"/>
                <w:szCs w:val="2"/>
              </w:rPr>
            </w:pPr>
          </w:p>
        </w:tc>
        <w:tc>
          <w:tcPr>
            <w:tcW w:w="8810" w:type="dxa"/>
            <w:gridSpan w:val="4"/>
          </w:tcPr>
          <w:p w14:paraId="506D8E1B"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7C8F50C5" w14:textId="77777777" w:rsidTr="00FB6347">
        <w:trPr>
          <w:trHeight w:val="690"/>
        </w:trPr>
        <w:tc>
          <w:tcPr>
            <w:tcW w:w="816" w:type="dxa"/>
            <w:vMerge/>
            <w:tcBorders>
              <w:top w:val="nil"/>
            </w:tcBorders>
          </w:tcPr>
          <w:p w14:paraId="6BF3630B" w14:textId="77777777" w:rsidR="00CE0D94" w:rsidRDefault="00CE0D94" w:rsidP="00CD363C">
            <w:pPr>
              <w:spacing w:after="0" w:line="240" w:lineRule="auto"/>
              <w:ind w:right="107"/>
              <w:jc w:val="both"/>
              <w:rPr>
                <w:sz w:val="2"/>
                <w:szCs w:val="2"/>
              </w:rPr>
            </w:pPr>
          </w:p>
        </w:tc>
        <w:tc>
          <w:tcPr>
            <w:tcW w:w="3291" w:type="dxa"/>
          </w:tcPr>
          <w:p w14:paraId="732B91F5" w14:textId="77777777" w:rsidR="00CE0D94" w:rsidRDefault="00CE0D94" w:rsidP="00CD363C">
            <w:pPr>
              <w:pStyle w:val="TableParagraph"/>
              <w:ind w:right="107"/>
              <w:jc w:val="both"/>
              <w:rPr>
                <w:i/>
                <w:sz w:val="19"/>
              </w:rPr>
            </w:pPr>
          </w:p>
          <w:p w14:paraId="698B52AC" w14:textId="77777777" w:rsidR="00CE0D94" w:rsidRDefault="00CE0D94" w:rsidP="00CD363C">
            <w:pPr>
              <w:pStyle w:val="TableParagraph"/>
              <w:ind w:left="107" w:right="107"/>
              <w:jc w:val="both"/>
              <w:rPr>
                <w:sz w:val="20"/>
              </w:rPr>
            </w:pPr>
            <w:r>
              <w:rPr>
                <w:sz w:val="20"/>
              </w:rPr>
              <w:t>D Finanšu saistības</w:t>
            </w:r>
          </w:p>
        </w:tc>
        <w:tc>
          <w:tcPr>
            <w:tcW w:w="986" w:type="dxa"/>
          </w:tcPr>
          <w:p w14:paraId="20EF7544" w14:textId="77777777" w:rsidR="00CE0D94" w:rsidRDefault="00CE0D94" w:rsidP="00CD363C">
            <w:pPr>
              <w:pStyle w:val="TableParagraph"/>
              <w:ind w:right="107"/>
              <w:jc w:val="both"/>
              <w:rPr>
                <w:i/>
                <w:sz w:val="19"/>
              </w:rPr>
            </w:pPr>
          </w:p>
          <w:p w14:paraId="1D7270F2" w14:textId="77777777" w:rsidR="00CE0D94" w:rsidRDefault="00CE0D94" w:rsidP="00CD363C">
            <w:pPr>
              <w:pStyle w:val="TableParagraph"/>
              <w:ind w:left="264" w:right="107"/>
              <w:jc w:val="both"/>
              <w:rPr>
                <w:sz w:val="20"/>
              </w:rPr>
            </w:pPr>
            <w:r>
              <w:rPr>
                <w:sz w:val="20"/>
              </w:rPr>
              <w:t>5130</w:t>
            </w:r>
          </w:p>
        </w:tc>
        <w:tc>
          <w:tcPr>
            <w:tcW w:w="2964" w:type="dxa"/>
          </w:tcPr>
          <w:p w14:paraId="4A63B314" w14:textId="77777777" w:rsidR="00CE0D94" w:rsidRDefault="00CE0D94" w:rsidP="00CD363C">
            <w:pPr>
              <w:pStyle w:val="TableParagraph"/>
              <w:ind w:left="108" w:right="107"/>
              <w:jc w:val="both"/>
              <w:rPr>
                <w:sz w:val="20"/>
              </w:rPr>
            </w:pPr>
            <w:r>
              <w:rPr>
                <w:sz w:val="20"/>
              </w:rPr>
              <w:t>Ilgtermiņa saistības pret piegādātajiem un</w:t>
            </w:r>
          </w:p>
          <w:p w14:paraId="6DD9E4D3" w14:textId="77777777" w:rsidR="00CE0D94" w:rsidRDefault="00CE0D94" w:rsidP="00CD363C">
            <w:pPr>
              <w:pStyle w:val="TableParagraph"/>
              <w:ind w:left="108" w:right="107"/>
              <w:jc w:val="both"/>
              <w:rPr>
                <w:sz w:val="20"/>
              </w:rPr>
            </w:pPr>
            <w:r>
              <w:rPr>
                <w:sz w:val="20"/>
              </w:rPr>
              <w:t>darbuzņēmējiem</w:t>
            </w:r>
          </w:p>
        </w:tc>
        <w:tc>
          <w:tcPr>
            <w:tcW w:w="1569" w:type="dxa"/>
          </w:tcPr>
          <w:p w14:paraId="5B2C5555" w14:textId="77777777" w:rsidR="00CE0D94" w:rsidRDefault="00CE0D94" w:rsidP="00CD363C">
            <w:pPr>
              <w:pStyle w:val="TableParagraph"/>
              <w:ind w:right="107"/>
              <w:jc w:val="both"/>
              <w:rPr>
                <w:i/>
                <w:sz w:val="19"/>
              </w:rPr>
            </w:pPr>
          </w:p>
          <w:p w14:paraId="4ED28042" w14:textId="77777777" w:rsidR="00CE0D94" w:rsidRDefault="00CE0D94" w:rsidP="00CD363C">
            <w:pPr>
              <w:pStyle w:val="TableParagraph"/>
              <w:ind w:right="107"/>
              <w:jc w:val="both"/>
              <w:rPr>
                <w:sz w:val="20"/>
              </w:rPr>
            </w:pPr>
            <w:r>
              <w:rPr>
                <w:sz w:val="20"/>
              </w:rPr>
              <w:t>163 451,99</w:t>
            </w:r>
          </w:p>
        </w:tc>
      </w:tr>
      <w:tr w:rsidR="00CE0D94" w14:paraId="5C44E4E9" w14:textId="77777777" w:rsidTr="00FB6347">
        <w:trPr>
          <w:trHeight w:val="688"/>
        </w:trPr>
        <w:tc>
          <w:tcPr>
            <w:tcW w:w="816" w:type="dxa"/>
            <w:vMerge/>
            <w:tcBorders>
              <w:top w:val="nil"/>
            </w:tcBorders>
          </w:tcPr>
          <w:p w14:paraId="211A8BE1" w14:textId="77777777" w:rsidR="00CE0D94" w:rsidRDefault="00CE0D94" w:rsidP="00CD363C">
            <w:pPr>
              <w:spacing w:after="0" w:line="240" w:lineRule="auto"/>
              <w:ind w:right="107"/>
              <w:jc w:val="both"/>
              <w:rPr>
                <w:sz w:val="2"/>
                <w:szCs w:val="2"/>
              </w:rPr>
            </w:pPr>
          </w:p>
        </w:tc>
        <w:tc>
          <w:tcPr>
            <w:tcW w:w="3291" w:type="dxa"/>
          </w:tcPr>
          <w:p w14:paraId="12750963" w14:textId="77777777" w:rsidR="00CE0D94" w:rsidRDefault="00CE0D94" w:rsidP="00CD363C">
            <w:pPr>
              <w:pStyle w:val="TableParagraph"/>
              <w:ind w:right="107"/>
              <w:jc w:val="both"/>
              <w:rPr>
                <w:i/>
                <w:sz w:val="19"/>
              </w:rPr>
            </w:pPr>
          </w:p>
          <w:p w14:paraId="2EF5DBDB" w14:textId="77777777" w:rsidR="00CE0D94" w:rsidRDefault="00CE0D94" w:rsidP="00CD363C">
            <w:pPr>
              <w:pStyle w:val="TableParagraph"/>
              <w:ind w:left="107" w:right="107"/>
              <w:jc w:val="both"/>
              <w:rPr>
                <w:sz w:val="20"/>
              </w:rPr>
            </w:pPr>
            <w:r>
              <w:rPr>
                <w:sz w:val="20"/>
              </w:rPr>
              <w:t>K Finanšu saistības</w:t>
            </w:r>
          </w:p>
        </w:tc>
        <w:tc>
          <w:tcPr>
            <w:tcW w:w="986" w:type="dxa"/>
          </w:tcPr>
          <w:p w14:paraId="29001F93" w14:textId="77777777" w:rsidR="00CE0D94" w:rsidRDefault="00CE0D94" w:rsidP="00CD363C">
            <w:pPr>
              <w:pStyle w:val="TableParagraph"/>
              <w:ind w:right="107"/>
              <w:jc w:val="both"/>
              <w:rPr>
                <w:i/>
                <w:sz w:val="19"/>
              </w:rPr>
            </w:pPr>
          </w:p>
          <w:p w14:paraId="04C81B07" w14:textId="77777777" w:rsidR="00CE0D94" w:rsidRDefault="00CE0D94" w:rsidP="00CD363C">
            <w:pPr>
              <w:pStyle w:val="TableParagraph"/>
              <w:ind w:left="264" w:right="107"/>
              <w:jc w:val="both"/>
              <w:rPr>
                <w:sz w:val="20"/>
              </w:rPr>
            </w:pPr>
            <w:r>
              <w:rPr>
                <w:sz w:val="20"/>
              </w:rPr>
              <w:t>5310</w:t>
            </w:r>
          </w:p>
        </w:tc>
        <w:tc>
          <w:tcPr>
            <w:tcW w:w="2964" w:type="dxa"/>
          </w:tcPr>
          <w:p w14:paraId="0BC1A01B" w14:textId="77777777" w:rsidR="00CE0D94" w:rsidRDefault="00CE0D94" w:rsidP="00CD363C">
            <w:pPr>
              <w:pStyle w:val="TableParagraph"/>
              <w:ind w:left="158" w:right="107"/>
              <w:jc w:val="both"/>
              <w:rPr>
                <w:sz w:val="20"/>
              </w:rPr>
            </w:pPr>
            <w:r>
              <w:rPr>
                <w:sz w:val="20"/>
              </w:rPr>
              <w:t>Īstermiņa saistības pret</w:t>
            </w:r>
          </w:p>
          <w:p w14:paraId="1E27E701"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7BD5D7DE" w14:textId="77777777" w:rsidR="00CE0D94" w:rsidRDefault="00CE0D94" w:rsidP="00CD363C">
            <w:pPr>
              <w:pStyle w:val="TableParagraph"/>
              <w:ind w:right="107"/>
              <w:jc w:val="both"/>
              <w:rPr>
                <w:i/>
                <w:sz w:val="19"/>
              </w:rPr>
            </w:pPr>
          </w:p>
          <w:p w14:paraId="55C75CED" w14:textId="77777777" w:rsidR="00CE0D94" w:rsidRDefault="00CE0D94" w:rsidP="00CD363C">
            <w:pPr>
              <w:pStyle w:val="TableParagraph"/>
              <w:ind w:right="107"/>
              <w:jc w:val="both"/>
              <w:rPr>
                <w:sz w:val="20"/>
              </w:rPr>
            </w:pPr>
            <w:r>
              <w:rPr>
                <w:sz w:val="20"/>
              </w:rPr>
              <w:t>163 451,99</w:t>
            </w:r>
          </w:p>
        </w:tc>
      </w:tr>
      <w:tr w:rsidR="00CE0D94" w14:paraId="4E453E83" w14:textId="77777777" w:rsidTr="00FB6347">
        <w:trPr>
          <w:trHeight w:val="256"/>
        </w:trPr>
        <w:tc>
          <w:tcPr>
            <w:tcW w:w="816" w:type="dxa"/>
            <w:vMerge w:val="restart"/>
          </w:tcPr>
          <w:p w14:paraId="5A0E9F4D" w14:textId="77777777" w:rsidR="00CE0D94" w:rsidRDefault="00CE0D94" w:rsidP="00CD363C">
            <w:pPr>
              <w:pStyle w:val="TableParagraph"/>
              <w:ind w:right="107"/>
              <w:jc w:val="both"/>
              <w:rPr>
                <w:i/>
              </w:rPr>
            </w:pPr>
          </w:p>
          <w:p w14:paraId="7E0232F2" w14:textId="77777777" w:rsidR="00CE0D94" w:rsidRDefault="00CE0D94" w:rsidP="00CD363C">
            <w:pPr>
              <w:pStyle w:val="TableParagraph"/>
              <w:ind w:right="107"/>
              <w:jc w:val="both"/>
              <w:rPr>
                <w:i/>
                <w:sz w:val="25"/>
              </w:rPr>
            </w:pPr>
          </w:p>
          <w:p w14:paraId="35697649" w14:textId="77777777" w:rsidR="00CE0D94" w:rsidRDefault="00CE0D94" w:rsidP="00CD363C">
            <w:pPr>
              <w:pStyle w:val="TableParagraph"/>
              <w:ind w:right="107"/>
              <w:jc w:val="both"/>
              <w:rPr>
                <w:b/>
                <w:sz w:val="20"/>
              </w:rPr>
            </w:pPr>
            <w:r>
              <w:rPr>
                <w:b/>
                <w:w w:val="99"/>
                <w:sz w:val="20"/>
              </w:rPr>
              <w:t>9</w:t>
            </w:r>
          </w:p>
        </w:tc>
        <w:tc>
          <w:tcPr>
            <w:tcW w:w="8810" w:type="dxa"/>
            <w:gridSpan w:val="4"/>
          </w:tcPr>
          <w:p w14:paraId="29EB987A" w14:textId="77777777" w:rsidR="00CE0D94" w:rsidRDefault="00CE0D94" w:rsidP="00CD363C">
            <w:pPr>
              <w:pStyle w:val="TableParagraph"/>
              <w:ind w:left="107" w:right="107"/>
              <w:jc w:val="both"/>
              <w:rPr>
                <w:b/>
                <w:sz w:val="20"/>
              </w:rPr>
            </w:pPr>
            <w:r>
              <w:rPr>
                <w:b/>
                <w:sz w:val="20"/>
              </w:rPr>
              <w:t>Maksājuma veikšana</w:t>
            </w:r>
          </w:p>
        </w:tc>
      </w:tr>
      <w:tr w:rsidR="00CE0D94" w14:paraId="21FEE564" w14:textId="77777777" w:rsidTr="00FB6347">
        <w:trPr>
          <w:trHeight w:val="689"/>
        </w:trPr>
        <w:tc>
          <w:tcPr>
            <w:tcW w:w="816" w:type="dxa"/>
            <w:vMerge/>
            <w:tcBorders>
              <w:top w:val="nil"/>
            </w:tcBorders>
          </w:tcPr>
          <w:p w14:paraId="517BF849" w14:textId="77777777" w:rsidR="00CE0D94" w:rsidRDefault="00CE0D94" w:rsidP="00CD363C">
            <w:pPr>
              <w:spacing w:after="0" w:line="240" w:lineRule="auto"/>
              <w:ind w:right="107"/>
              <w:jc w:val="both"/>
              <w:rPr>
                <w:sz w:val="2"/>
                <w:szCs w:val="2"/>
              </w:rPr>
            </w:pPr>
          </w:p>
        </w:tc>
        <w:tc>
          <w:tcPr>
            <w:tcW w:w="3291" w:type="dxa"/>
          </w:tcPr>
          <w:p w14:paraId="1BF0FA6A" w14:textId="77777777" w:rsidR="00CE0D94" w:rsidRDefault="00CE0D94" w:rsidP="00CD363C">
            <w:pPr>
              <w:pStyle w:val="TableParagraph"/>
              <w:ind w:right="107"/>
              <w:jc w:val="both"/>
              <w:rPr>
                <w:i/>
                <w:sz w:val="19"/>
              </w:rPr>
            </w:pPr>
          </w:p>
          <w:p w14:paraId="06C36B95" w14:textId="77777777" w:rsidR="00CE0D94" w:rsidRDefault="00CE0D94" w:rsidP="00CD363C">
            <w:pPr>
              <w:pStyle w:val="TableParagraph"/>
              <w:ind w:left="107" w:right="107"/>
              <w:jc w:val="both"/>
              <w:rPr>
                <w:sz w:val="20"/>
              </w:rPr>
            </w:pPr>
            <w:r>
              <w:rPr>
                <w:sz w:val="20"/>
              </w:rPr>
              <w:t>D Finanšu saistības</w:t>
            </w:r>
          </w:p>
        </w:tc>
        <w:tc>
          <w:tcPr>
            <w:tcW w:w="986" w:type="dxa"/>
          </w:tcPr>
          <w:p w14:paraId="1202FA04" w14:textId="77777777" w:rsidR="00CE0D94" w:rsidRDefault="00CE0D94" w:rsidP="00CD363C">
            <w:pPr>
              <w:pStyle w:val="TableParagraph"/>
              <w:ind w:right="107"/>
              <w:jc w:val="both"/>
              <w:rPr>
                <w:i/>
                <w:sz w:val="19"/>
              </w:rPr>
            </w:pPr>
          </w:p>
          <w:p w14:paraId="173E187D" w14:textId="77777777" w:rsidR="00CE0D94" w:rsidRDefault="00CE0D94" w:rsidP="00CD363C">
            <w:pPr>
              <w:pStyle w:val="TableParagraph"/>
              <w:ind w:left="264" w:right="107"/>
              <w:jc w:val="both"/>
              <w:rPr>
                <w:sz w:val="20"/>
              </w:rPr>
            </w:pPr>
            <w:r>
              <w:rPr>
                <w:sz w:val="20"/>
              </w:rPr>
              <w:t>5310</w:t>
            </w:r>
          </w:p>
        </w:tc>
        <w:tc>
          <w:tcPr>
            <w:tcW w:w="2964" w:type="dxa"/>
          </w:tcPr>
          <w:p w14:paraId="443E2D41" w14:textId="77777777" w:rsidR="00CE0D94" w:rsidRDefault="00CE0D94" w:rsidP="00CD363C">
            <w:pPr>
              <w:pStyle w:val="TableParagraph"/>
              <w:ind w:left="108" w:right="107"/>
              <w:jc w:val="both"/>
              <w:rPr>
                <w:sz w:val="20"/>
              </w:rPr>
            </w:pPr>
            <w:r>
              <w:rPr>
                <w:sz w:val="20"/>
              </w:rPr>
              <w:t>Īstermiņa saistības pret</w:t>
            </w:r>
          </w:p>
          <w:p w14:paraId="205AF925"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5D14D4CF" w14:textId="77777777" w:rsidR="00CE0D94" w:rsidRDefault="00CE0D94" w:rsidP="00CD363C">
            <w:pPr>
              <w:pStyle w:val="TableParagraph"/>
              <w:ind w:right="107"/>
              <w:jc w:val="both"/>
              <w:rPr>
                <w:i/>
                <w:sz w:val="19"/>
              </w:rPr>
            </w:pPr>
          </w:p>
          <w:p w14:paraId="0334F746" w14:textId="77777777" w:rsidR="00CE0D94" w:rsidRDefault="00CE0D94" w:rsidP="00CD363C">
            <w:pPr>
              <w:pStyle w:val="TableParagraph"/>
              <w:ind w:right="107"/>
              <w:jc w:val="both"/>
              <w:rPr>
                <w:sz w:val="20"/>
              </w:rPr>
            </w:pPr>
            <w:r>
              <w:rPr>
                <w:sz w:val="20"/>
              </w:rPr>
              <w:t>200 000,00</w:t>
            </w:r>
          </w:p>
        </w:tc>
      </w:tr>
      <w:tr w:rsidR="00CE0D94" w14:paraId="2BC18ABF" w14:textId="77777777" w:rsidTr="00FB6347">
        <w:trPr>
          <w:trHeight w:val="256"/>
        </w:trPr>
        <w:tc>
          <w:tcPr>
            <w:tcW w:w="816" w:type="dxa"/>
            <w:vMerge/>
            <w:tcBorders>
              <w:top w:val="nil"/>
            </w:tcBorders>
          </w:tcPr>
          <w:p w14:paraId="4AB2E035" w14:textId="77777777" w:rsidR="00CE0D94" w:rsidRDefault="00CE0D94" w:rsidP="00CD363C">
            <w:pPr>
              <w:spacing w:after="0" w:line="240" w:lineRule="auto"/>
              <w:ind w:right="107"/>
              <w:jc w:val="both"/>
              <w:rPr>
                <w:sz w:val="2"/>
                <w:szCs w:val="2"/>
              </w:rPr>
            </w:pPr>
          </w:p>
        </w:tc>
        <w:tc>
          <w:tcPr>
            <w:tcW w:w="3291" w:type="dxa"/>
          </w:tcPr>
          <w:p w14:paraId="4B50288C" w14:textId="77777777" w:rsidR="00CE0D94" w:rsidRDefault="00CE0D94" w:rsidP="00CD363C">
            <w:pPr>
              <w:pStyle w:val="TableParagraph"/>
              <w:ind w:left="107" w:right="107"/>
              <w:jc w:val="both"/>
              <w:rPr>
                <w:sz w:val="20"/>
              </w:rPr>
            </w:pPr>
            <w:r>
              <w:rPr>
                <w:sz w:val="20"/>
              </w:rPr>
              <w:t>K Nauda</w:t>
            </w:r>
          </w:p>
        </w:tc>
        <w:tc>
          <w:tcPr>
            <w:tcW w:w="986" w:type="dxa"/>
          </w:tcPr>
          <w:p w14:paraId="5D304DC9" w14:textId="77777777" w:rsidR="00CE0D94" w:rsidRDefault="00CE0D94" w:rsidP="00CD363C">
            <w:pPr>
              <w:pStyle w:val="TableParagraph"/>
              <w:ind w:left="264" w:right="107"/>
              <w:jc w:val="both"/>
              <w:rPr>
                <w:sz w:val="20"/>
              </w:rPr>
            </w:pPr>
            <w:r>
              <w:rPr>
                <w:sz w:val="20"/>
              </w:rPr>
              <w:t>2600</w:t>
            </w:r>
          </w:p>
        </w:tc>
        <w:tc>
          <w:tcPr>
            <w:tcW w:w="2964" w:type="dxa"/>
          </w:tcPr>
          <w:p w14:paraId="21250A70" w14:textId="77777777" w:rsidR="00CE0D94" w:rsidRDefault="00CE0D94" w:rsidP="00CD363C">
            <w:pPr>
              <w:pStyle w:val="TableParagraph"/>
              <w:ind w:left="108" w:right="107"/>
              <w:jc w:val="both"/>
              <w:rPr>
                <w:sz w:val="20"/>
              </w:rPr>
            </w:pPr>
            <w:r>
              <w:rPr>
                <w:sz w:val="20"/>
              </w:rPr>
              <w:t>Naudas līdzekļi</w:t>
            </w:r>
          </w:p>
        </w:tc>
        <w:tc>
          <w:tcPr>
            <w:tcW w:w="1569" w:type="dxa"/>
          </w:tcPr>
          <w:p w14:paraId="250E2C2D" w14:textId="77777777" w:rsidR="00CE0D94" w:rsidRDefault="00CE0D94" w:rsidP="00CD363C">
            <w:pPr>
              <w:pStyle w:val="TableParagraph"/>
              <w:ind w:right="107"/>
              <w:jc w:val="both"/>
              <w:rPr>
                <w:sz w:val="20"/>
              </w:rPr>
            </w:pPr>
            <w:r>
              <w:rPr>
                <w:sz w:val="20"/>
              </w:rPr>
              <w:t>200 000,00</w:t>
            </w:r>
          </w:p>
        </w:tc>
      </w:tr>
      <w:tr w:rsidR="00CE0D94" w14:paraId="30BB26FE" w14:textId="77777777" w:rsidTr="00FB6347">
        <w:trPr>
          <w:trHeight w:val="253"/>
        </w:trPr>
        <w:tc>
          <w:tcPr>
            <w:tcW w:w="816" w:type="dxa"/>
            <w:vMerge/>
            <w:tcBorders>
              <w:top w:val="nil"/>
            </w:tcBorders>
          </w:tcPr>
          <w:p w14:paraId="3AF49768" w14:textId="77777777" w:rsidR="00CE0D94" w:rsidRDefault="00CE0D94" w:rsidP="00CD363C">
            <w:pPr>
              <w:spacing w:after="0" w:line="240" w:lineRule="auto"/>
              <w:ind w:right="107"/>
              <w:jc w:val="both"/>
              <w:rPr>
                <w:sz w:val="2"/>
                <w:szCs w:val="2"/>
              </w:rPr>
            </w:pPr>
          </w:p>
        </w:tc>
        <w:tc>
          <w:tcPr>
            <w:tcW w:w="8810" w:type="dxa"/>
            <w:gridSpan w:val="4"/>
          </w:tcPr>
          <w:p w14:paraId="54613856" w14:textId="77777777" w:rsidR="00CE0D94" w:rsidRDefault="00CE0D94" w:rsidP="00CD363C">
            <w:pPr>
              <w:pStyle w:val="TableParagraph"/>
              <w:ind w:left="107" w:right="107"/>
              <w:jc w:val="both"/>
              <w:rPr>
                <w:b/>
                <w:sz w:val="20"/>
              </w:rPr>
            </w:pPr>
            <w:r>
              <w:rPr>
                <w:b/>
                <w:sz w:val="20"/>
              </w:rPr>
              <w:t>Procentu izdevumi</w:t>
            </w:r>
          </w:p>
        </w:tc>
      </w:tr>
      <w:tr w:rsidR="00CE0D94" w14:paraId="07818C37" w14:textId="77777777" w:rsidTr="00FB6347">
        <w:trPr>
          <w:trHeight w:val="256"/>
        </w:trPr>
        <w:tc>
          <w:tcPr>
            <w:tcW w:w="816" w:type="dxa"/>
            <w:vMerge/>
            <w:tcBorders>
              <w:top w:val="nil"/>
            </w:tcBorders>
          </w:tcPr>
          <w:p w14:paraId="16D39965" w14:textId="77777777" w:rsidR="00CE0D94" w:rsidRDefault="00CE0D94" w:rsidP="00CD363C">
            <w:pPr>
              <w:spacing w:after="0" w:line="240" w:lineRule="auto"/>
              <w:ind w:right="107"/>
              <w:jc w:val="both"/>
              <w:rPr>
                <w:sz w:val="2"/>
                <w:szCs w:val="2"/>
              </w:rPr>
            </w:pPr>
          </w:p>
        </w:tc>
        <w:tc>
          <w:tcPr>
            <w:tcW w:w="3291" w:type="dxa"/>
          </w:tcPr>
          <w:p w14:paraId="4EB0773B" w14:textId="77777777" w:rsidR="00CE0D94" w:rsidRDefault="00CE0D94" w:rsidP="00CD363C">
            <w:pPr>
              <w:pStyle w:val="TableParagraph"/>
              <w:ind w:left="107" w:right="107"/>
              <w:jc w:val="both"/>
              <w:rPr>
                <w:sz w:val="20"/>
              </w:rPr>
            </w:pPr>
            <w:r>
              <w:rPr>
                <w:sz w:val="20"/>
              </w:rPr>
              <w:t>D Procentu izdevumi</w:t>
            </w:r>
          </w:p>
        </w:tc>
        <w:tc>
          <w:tcPr>
            <w:tcW w:w="986" w:type="dxa"/>
          </w:tcPr>
          <w:p w14:paraId="62DAED78" w14:textId="77777777" w:rsidR="00CE0D94" w:rsidRDefault="00CE0D94" w:rsidP="00CD363C">
            <w:pPr>
              <w:pStyle w:val="TableParagraph"/>
              <w:ind w:left="264" w:right="107"/>
              <w:jc w:val="both"/>
              <w:rPr>
                <w:sz w:val="20"/>
              </w:rPr>
            </w:pPr>
            <w:r>
              <w:rPr>
                <w:sz w:val="20"/>
              </w:rPr>
              <w:t>8220</w:t>
            </w:r>
          </w:p>
        </w:tc>
        <w:tc>
          <w:tcPr>
            <w:tcW w:w="2964" w:type="dxa"/>
          </w:tcPr>
          <w:p w14:paraId="03D50909" w14:textId="77777777" w:rsidR="00CE0D94" w:rsidRDefault="00CE0D94" w:rsidP="00CD363C">
            <w:pPr>
              <w:pStyle w:val="TableParagraph"/>
              <w:ind w:left="108" w:right="107"/>
              <w:jc w:val="both"/>
              <w:rPr>
                <w:sz w:val="20"/>
              </w:rPr>
            </w:pPr>
            <w:r>
              <w:rPr>
                <w:sz w:val="20"/>
              </w:rPr>
              <w:t>Procentu izdevumi</w:t>
            </w:r>
          </w:p>
        </w:tc>
        <w:tc>
          <w:tcPr>
            <w:tcW w:w="1569" w:type="dxa"/>
          </w:tcPr>
          <w:p w14:paraId="1EC85C16" w14:textId="77777777" w:rsidR="00CE0D94" w:rsidRDefault="00CE0D94" w:rsidP="00CD363C">
            <w:pPr>
              <w:pStyle w:val="TableParagraph"/>
              <w:ind w:right="107"/>
              <w:jc w:val="both"/>
              <w:rPr>
                <w:sz w:val="20"/>
              </w:rPr>
            </w:pPr>
            <w:r>
              <w:rPr>
                <w:sz w:val="20"/>
              </w:rPr>
              <w:t>21 245,08</w:t>
            </w:r>
          </w:p>
        </w:tc>
      </w:tr>
      <w:tr w:rsidR="00CE0D94" w14:paraId="1E8C0A77" w14:textId="77777777" w:rsidTr="00FB6347">
        <w:trPr>
          <w:trHeight w:val="254"/>
        </w:trPr>
        <w:tc>
          <w:tcPr>
            <w:tcW w:w="816" w:type="dxa"/>
            <w:vMerge/>
            <w:tcBorders>
              <w:top w:val="nil"/>
            </w:tcBorders>
          </w:tcPr>
          <w:p w14:paraId="0FECD3C1" w14:textId="77777777" w:rsidR="00CE0D94" w:rsidRDefault="00CE0D94" w:rsidP="00CD363C">
            <w:pPr>
              <w:spacing w:after="0" w:line="240" w:lineRule="auto"/>
              <w:ind w:right="107"/>
              <w:jc w:val="both"/>
              <w:rPr>
                <w:sz w:val="2"/>
                <w:szCs w:val="2"/>
              </w:rPr>
            </w:pPr>
          </w:p>
        </w:tc>
        <w:tc>
          <w:tcPr>
            <w:tcW w:w="3291" w:type="dxa"/>
          </w:tcPr>
          <w:p w14:paraId="0B844851" w14:textId="77777777" w:rsidR="00CE0D94" w:rsidRDefault="00CE0D94" w:rsidP="00CD363C">
            <w:pPr>
              <w:pStyle w:val="TableParagraph"/>
              <w:ind w:left="107" w:right="107"/>
              <w:jc w:val="both"/>
              <w:rPr>
                <w:sz w:val="20"/>
              </w:rPr>
            </w:pPr>
            <w:r>
              <w:rPr>
                <w:sz w:val="20"/>
              </w:rPr>
              <w:t>D Pakalpojuma izmaksas</w:t>
            </w:r>
          </w:p>
        </w:tc>
        <w:tc>
          <w:tcPr>
            <w:tcW w:w="986" w:type="dxa"/>
          </w:tcPr>
          <w:p w14:paraId="6CD6FD8D" w14:textId="77777777" w:rsidR="00CE0D94" w:rsidRDefault="00CE0D94" w:rsidP="00CD363C">
            <w:pPr>
              <w:pStyle w:val="TableParagraph"/>
              <w:ind w:left="264" w:right="107"/>
              <w:jc w:val="both"/>
              <w:rPr>
                <w:sz w:val="20"/>
              </w:rPr>
            </w:pPr>
            <w:r>
              <w:rPr>
                <w:sz w:val="20"/>
              </w:rPr>
              <w:t>7000</w:t>
            </w:r>
          </w:p>
        </w:tc>
        <w:tc>
          <w:tcPr>
            <w:tcW w:w="2964" w:type="dxa"/>
          </w:tcPr>
          <w:p w14:paraId="0EC9F7EC" w14:textId="77777777" w:rsidR="00CE0D94" w:rsidRDefault="00CE0D94" w:rsidP="00CD363C">
            <w:pPr>
              <w:pStyle w:val="TableParagraph"/>
              <w:ind w:left="108" w:right="107"/>
              <w:jc w:val="both"/>
              <w:rPr>
                <w:sz w:val="20"/>
              </w:rPr>
            </w:pPr>
            <w:r>
              <w:rPr>
                <w:sz w:val="20"/>
              </w:rPr>
              <w:t>Pamatdarbības izdevumi</w:t>
            </w:r>
          </w:p>
        </w:tc>
        <w:tc>
          <w:tcPr>
            <w:tcW w:w="1569" w:type="dxa"/>
          </w:tcPr>
          <w:p w14:paraId="7538C936" w14:textId="77777777" w:rsidR="00CE0D94" w:rsidRDefault="00CE0D94" w:rsidP="00CD363C">
            <w:pPr>
              <w:pStyle w:val="TableParagraph"/>
              <w:ind w:right="107"/>
              <w:jc w:val="both"/>
              <w:rPr>
                <w:sz w:val="20"/>
              </w:rPr>
            </w:pPr>
            <w:r>
              <w:rPr>
                <w:sz w:val="20"/>
              </w:rPr>
              <w:t>12 000,00</w:t>
            </w:r>
          </w:p>
        </w:tc>
      </w:tr>
      <w:tr w:rsidR="00CE0D94" w14:paraId="77D93742" w14:textId="77777777" w:rsidTr="00FB6347">
        <w:trPr>
          <w:trHeight w:val="690"/>
        </w:trPr>
        <w:tc>
          <w:tcPr>
            <w:tcW w:w="816" w:type="dxa"/>
            <w:vMerge/>
            <w:tcBorders>
              <w:top w:val="nil"/>
            </w:tcBorders>
          </w:tcPr>
          <w:p w14:paraId="7D7A35CB" w14:textId="77777777" w:rsidR="00CE0D94" w:rsidRDefault="00CE0D94" w:rsidP="00CD363C">
            <w:pPr>
              <w:spacing w:after="0" w:line="240" w:lineRule="auto"/>
              <w:ind w:right="107"/>
              <w:jc w:val="both"/>
              <w:rPr>
                <w:sz w:val="2"/>
                <w:szCs w:val="2"/>
              </w:rPr>
            </w:pPr>
          </w:p>
        </w:tc>
        <w:tc>
          <w:tcPr>
            <w:tcW w:w="3291" w:type="dxa"/>
          </w:tcPr>
          <w:p w14:paraId="546EA049" w14:textId="77777777" w:rsidR="00CE0D94" w:rsidRDefault="00CE0D94" w:rsidP="00CD363C">
            <w:pPr>
              <w:pStyle w:val="TableParagraph"/>
              <w:ind w:right="107"/>
              <w:jc w:val="both"/>
              <w:rPr>
                <w:i/>
                <w:sz w:val="19"/>
              </w:rPr>
            </w:pPr>
          </w:p>
          <w:p w14:paraId="3307EDF5" w14:textId="77777777" w:rsidR="00CE0D94" w:rsidRDefault="00CE0D94" w:rsidP="00CD363C">
            <w:pPr>
              <w:pStyle w:val="TableParagraph"/>
              <w:ind w:left="107" w:right="107"/>
              <w:jc w:val="both"/>
              <w:rPr>
                <w:sz w:val="20"/>
              </w:rPr>
            </w:pPr>
            <w:r>
              <w:rPr>
                <w:sz w:val="20"/>
              </w:rPr>
              <w:t>K Finanšu saistības</w:t>
            </w:r>
          </w:p>
        </w:tc>
        <w:tc>
          <w:tcPr>
            <w:tcW w:w="986" w:type="dxa"/>
          </w:tcPr>
          <w:p w14:paraId="524096E3" w14:textId="77777777" w:rsidR="00CE0D94" w:rsidRDefault="00CE0D94" w:rsidP="00CD363C">
            <w:pPr>
              <w:pStyle w:val="TableParagraph"/>
              <w:ind w:right="107"/>
              <w:jc w:val="both"/>
              <w:rPr>
                <w:i/>
                <w:sz w:val="19"/>
              </w:rPr>
            </w:pPr>
          </w:p>
          <w:p w14:paraId="12E955DD" w14:textId="77777777" w:rsidR="00CE0D94" w:rsidRDefault="00CE0D94" w:rsidP="00CD363C">
            <w:pPr>
              <w:pStyle w:val="TableParagraph"/>
              <w:ind w:left="264" w:right="107"/>
              <w:jc w:val="both"/>
              <w:rPr>
                <w:sz w:val="20"/>
              </w:rPr>
            </w:pPr>
            <w:r>
              <w:rPr>
                <w:sz w:val="20"/>
              </w:rPr>
              <w:t>5310</w:t>
            </w:r>
          </w:p>
        </w:tc>
        <w:tc>
          <w:tcPr>
            <w:tcW w:w="2964" w:type="dxa"/>
          </w:tcPr>
          <w:p w14:paraId="1C8FB922" w14:textId="77777777" w:rsidR="00CE0D94" w:rsidRDefault="00CE0D94" w:rsidP="00CD363C">
            <w:pPr>
              <w:pStyle w:val="TableParagraph"/>
              <w:ind w:left="108" w:right="107"/>
              <w:jc w:val="both"/>
              <w:rPr>
                <w:sz w:val="20"/>
              </w:rPr>
            </w:pPr>
            <w:r>
              <w:rPr>
                <w:sz w:val="20"/>
              </w:rPr>
              <w:t>Īstermiņa saistības pret</w:t>
            </w:r>
          </w:p>
          <w:p w14:paraId="50BE0985"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258007B0" w14:textId="77777777" w:rsidR="00CE0D94" w:rsidRDefault="00CE0D94" w:rsidP="00CD363C">
            <w:pPr>
              <w:pStyle w:val="TableParagraph"/>
              <w:ind w:right="107"/>
              <w:jc w:val="both"/>
              <w:rPr>
                <w:i/>
                <w:sz w:val="19"/>
              </w:rPr>
            </w:pPr>
          </w:p>
          <w:p w14:paraId="3BB3B2A5" w14:textId="77777777" w:rsidR="00CE0D94" w:rsidRDefault="00CE0D94" w:rsidP="00CD363C">
            <w:pPr>
              <w:pStyle w:val="TableParagraph"/>
              <w:ind w:right="107"/>
              <w:jc w:val="both"/>
              <w:rPr>
                <w:sz w:val="20"/>
              </w:rPr>
            </w:pPr>
            <w:r>
              <w:rPr>
                <w:sz w:val="20"/>
              </w:rPr>
              <w:t>33 245,08</w:t>
            </w:r>
          </w:p>
        </w:tc>
      </w:tr>
    </w:tbl>
    <w:p w14:paraId="6329DE94" w14:textId="77777777" w:rsidR="00CE0D94" w:rsidRDefault="00CE0D94" w:rsidP="00CD363C">
      <w:pPr>
        <w:spacing w:after="0" w:line="240" w:lineRule="auto"/>
        <w:ind w:right="107"/>
        <w:jc w:val="both"/>
        <w:rPr>
          <w:sz w:val="20"/>
        </w:rPr>
        <w:sectPr w:rsidR="00CE0D94">
          <w:pgSz w:w="11910" w:h="16840"/>
          <w:pgMar w:top="840" w:right="420" w:bottom="1120" w:left="1200" w:header="0" w:footer="930" w:gutter="0"/>
          <w:cols w:space="720"/>
        </w:sectPr>
      </w:pPr>
    </w:p>
    <w:tbl>
      <w:tblPr>
        <w:tblpPr w:leftFromText="180" w:rightFromText="180" w:vertAnchor="page" w:horzAnchor="margin" w:tblpY="1096"/>
        <w:tblW w:w="962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1"/>
        <w:gridCol w:w="3291"/>
        <w:gridCol w:w="986"/>
        <w:gridCol w:w="2964"/>
        <w:gridCol w:w="1569"/>
      </w:tblGrid>
      <w:tr w:rsidR="004E2EE1" w14:paraId="6AE57568" w14:textId="77777777" w:rsidTr="004E2EE1">
        <w:trPr>
          <w:trHeight w:val="570"/>
        </w:trPr>
        <w:tc>
          <w:tcPr>
            <w:tcW w:w="811" w:type="dxa"/>
            <w:shd w:val="clear" w:color="auto" w:fill="F1F1F1"/>
          </w:tcPr>
          <w:p w14:paraId="584CBA7E" w14:textId="77777777" w:rsidR="004E2EE1" w:rsidRDefault="004E2EE1" w:rsidP="00CD363C">
            <w:pPr>
              <w:pStyle w:val="TableParagraph"/>
              <w:ind w:left="155" w:right="107"/>
              <w:jc w:val="both"/>
              <w:rPr>
                <w:b/>
                <w:sz w:val="20"/>
              </w:rPr>
            </w:pPr>
            <w:r>
              <w:rPr>
                <w:b/>
                <w:sz w:val="20"/>
              </w:rPr>
              <w:t>Gads</w:t>
            </w:r>
          </w:p>
        </w:tc>
        <w:tc>
          <w:tcPr>
            <w:tcW w:w="3291" w:type="dxa"/>
            <w:shd w:val="clear" w:color="auto" w:fill="F1F1F1"/>
          </w:tcPr>
          <w:p w14:paraId="129B4EBD" w14:textId="77777777" w:rsidR="004E2EE1" w:rsidRDefault="004E2EE1" w:rsidP="00CD363C">
            <w:pPr>
              <w:pStyle w:val="TableParagraph"/>
              <w:ind w:left="1342" w:right="107"/>
              <w:jc w:val="both"/>
              <w:rPr>
                <w:b/>
                <w:sz w:val="20"/>
              </w:rPr>
            </w:pPr>
            <w:r>
              <w:rPr>
                <w:b/>
                <w:sz w:val="20"/>
              </w:rPr>
              <w:t>Konts</w:t>
            </w:r>
          </w:p>
        </w:tc>
        <w:tc>
          <w:tcPr>
            <w:tcW w:w="986" w:type="dxa"/>
            <w:shd w:val="clear" w:color="auto" w:fill="F1F1F1"/>
          </w:tcPr>
          <w:p w14:paraId="6B286FC4" w14:textId="77777777" w:rsidR="004E2EE1" w:rsidRDefault="004E2EE1" w:rsidP="00CD363C">
            <w:pPr>
              <w:pStyle w:val="TableParagraph"/>
              <w:ind w:left="321" w:right="107" w:hanging="125"/>
              <w:jc w:val="both"/>
              <w:rPr>
                <w:b/>
                <w:sz w:val="20"/>
              </w:rPr>
            </w:pPr>
            <w:r>
              <w:rPr>
                <w:b/>
                <w:sz w:val="20"/>
              </w:rPr>
              <w:t>Konta Nr.</w:t>
            </w:r>
          </w:p>
        </w:tc>
        <w:tc>
          <w:tcPr>
            <w:tcW w:w="2964" w:type="dxa"/>
            <w:shd w:val="clear" w:color="auto" w:fill="F1F1F1"/>
          </w:tcPr>
          <w:p w14:paraId="09549A82" w14:textId="77777777" w:rsidR="004E2EE1" w:rsidRDefault="004E2EE1" w:rsidP="00CD363C">
            <w:pPr>
              <w:pStyle w:val="TableParagraph"/>
              <w:ind w:left="677" w:right="107"/>
              <w:jc w:val="both"/>
              <w:rPr>
                <w:b/>
                <w:sz w:val="20"/>
              </w:rPr>
            </w:pPr>
            <w:r>
              <w:rPr>
                <w:b/>
                <w:sz w:val="20"/>
              </w:rPr>
              <w:t>Konta nosaukums</w:t>
            </w:r>
          </w:p>
        </w:tc>
        <w:tc>
          <w:tcPr>
            <w:tcW w:w="1569" w:type="dxa"/>
            <w:shd w:val="clear" w:color="auto" w:fill="F1F1F1"/>
          </w:tcPr>
          <w:p w14:paraId="0DB81AB6" w14:textId="77777777" w:rsidR="004E2EE1" w:rsidRDefault="004E2EE1" w:rsidP="00CD363C">
            <w:pPr>
              <w:pStyle w:val="TableParagraph"/>
              <w:ind w:left="212" w:right="107" w:firstLine="218"/>
              <w:jc w:val="both"/>
              <w:rPr>
                <w:b/>
                <w:sz w:val="20"/>
              </w:rPr>
            </w:pPr>
            <w:r>
              <w:rPr>
                <w:b/>
                <w:sz w:val="20"/>
              </w:rPr>
              <w:t>Summa (tūkst. EUR)</w:t>
            </w:r>
          </w:p>
        </w:tc>
      </w:tr>
      <w:tr w:rsidR="004E2EE1" w14:paraId="270F0014" w14:textId="77777777" w:rsidTr="004E2EE1">
        <w:trPr>
          <w:trHeight w:val="253"/>
        </w:trPr>
        <w:tc>
          <w:tcPr>
            <w:tcW w:w="811" w:type="dxa"/>
            <w:vMerge w:val="restart"/>
          </w:tcPr>
          <w:p w14:paraId="7FD606F2" w14:textId="77777777" w:rsidR="004E2EE1" w:rsidRDefault="004E2EE1" w:rsidP="00CD363C">
            <w:pPr>
              <w:pStyle w:val="TableParagraph"/>
              <w:ind w:right="107"/>
              <w:jc w:val="both"/>
              <w:rPr>
                <w:sz w:val="18"/>
              </w:rPr>
            </w:pPr>
          </w:p>
        </w:tc>
        <w:tc>
          <w:tcPr>
            <w:tcW w:w="8810" w:type="dxa"/>
            <w:gridSpan w:val="4"/>
          </w:tcPr>
          <w:p w14:paraId="50D56EF8" w14:textId="77777777" w:rsidR="004E2EE1" w:rsidRDefault="004E2EE1" w:rsidP="00CD363C">
            <w:pPr>
              <w:pStyle w:val="TableParagraph"/>
              <w:ind w:left="107" w:right="107"/>
              <w:jc w:val="both"/>
              <w:rPr>
                <w:b/>
                <w:sz w:val="20"/>
              </w:rPr>
            </w:pPr>
            <w:r>
              <w:rPr>
                <w:b/>
                <w:sz w:val="20"/>
              </w:rPr>
              <w:t>Nolietojuma uzskaite</w:t>
            </w:r>
          </w:p>
        </w:tc>
      </w:tr>
      <w:tr w:rsidR="004E2EE1" w14:paraId="612C2D40" w14:textId="77777777" w:rsidTr="004E2EE1">
        <w:trPr>
          <w:trHeight w:val="256"/>
        </w:trPr>
        <w:tc>
          <w:tcPr>
            <w:tcW w:w="811" w:type="dxa"/>
            <w:vMerge/>
            <w:tcBorders>
              <w:top w:val="nil"/>
            </w:tcBorders>
          </w:tcPr>
          <w:p w14:paraId="0582CCE5" w14:textId="77777777" w:rsidR="004E2EE1" w:rsidRDefault="004E2EE1" w:rsidP="00CD363C">
            <w:pPr>
              <w:spacing w:after="0" w:line="240" w:lineRule="auto"/>
              <w:ind w:right="107"/>
              <w:jc w:val="both"/>
              <w:rPr>
                <w:sz w:val="2"/>
                <w:szCs w:val="2"/>
              </w:rPr>
            </w:pPr>
          </w:p>
        </w:tc>
        <w:tc>
          <w:tcPr>
            <w:tcW w:w="3291" w:type="dxa"/>
          </w:tcPr>
          <w:p w14:paraId="05FB2790" w14:textId="77777777" w:rsidR="004E2EE1" w:rsidRDefault="004E2EE1" w:rsidP="00CD363C">
            <w:pPr>
              <w:pStyle w:val="TableParagraph"/>
              <w:ind w:left="107" w:right="107"/>
              <w:jc w:val="both"/>
              <w:rPr>
                <w:sz w:val="20"/>
              </w:rPr>
            </w:pPr>
            <w:r>
              <w:rPr>
                <w:sz w:val="20"/>
              </w:rPr>
              <w:t>D Nolietojuma izdevumi</w:t>
            </w:r>
          </w:p>
        </w:tc>
        <w:tc>
          <w:tcPr>
            <w:tcW w:w="986" w:type="dxa"/>
          </w:tcPr>
          <w:p w14:paraId="0F2985E6" w14:textId="77777777" w:rsidR="004E2EE1" w:rsidRDefault="004E2EE1" w:rsidP="00CD363C">
            <w:pPr>
              <w:pStyle w:val="TableParagraph"/>
              <w:ind w:left="264" w:right="107"/>
              <w:jc w:val="both"/>
              <w:rPr>
                <w:sz w:val="20"/>
              </w:rPr>
            </w:pPr>
            <w:r>
              <w:rPr>
                <w:sz w:val="20"/>
              </w:rPr>
              <w:t>7000</w:t>
            </w:r>
          </w:p>
        </w:tc>
        <w:tc>
          <w:tcPr>
            <w:tcW w:w="2964" w:type="dxa"/>
          </w:tcPr>
          <w:p w14:paraId="47028014" w14:textId="77777777" w:rsidR="004E2EE1" w:rsidRDefault="004E2EE1" w:rsidP="00CD363C">
            <w:pPr>
              <w:pStyle w:val="TableParagraph"/>
              <w:ind w:left="108" w:right="107"/>
              <w:jc w:val="both"/>
              <w:rPr>
                <w:sz w:val="20"/>
              </w:rPr>
            </w:pPr>
            <w:r>
              <w:rPr>
                <w:sz w:val="20"/>
              </w:rPr>
              <w:t>Pamatdarbības izdevumi</w:t>
            </w:r>
          </w:p>
        </w:tc>
        <w:tc>
          <w:tcPr>
            <w:tcW w:w="1569" w:type="dxa"/>
          </w:tcPr>
          <w:p w14:paraId="45F84998" w14:textId="77777777" w:rsidR="004E2EE1" w:rsidRDefault="004E2EE1" w:rsidP="00CD363C">
            <w:pPr>
              <w:pStyle w:val="TableParagraph"/>
              <w:ind w:right="107"/>
              <w:jc w:val="both"/>
              <w:rPr>
                <w:sz w:val="20"/>
              </w:rPr>
            </w:pPr>
            <w:r>
              <w:rPr>
                <w:sz w:val="20"/>
              </w:rPr>
              <w:t>65 333,33</w:t>
            </w:r>
          </w:p>
        </w:tc>
      </w:tr>
      <w:tr w:rsidR="004E2EE1" w14:paraId="6CEE4EBD" w14:textId="77777777" w:rsidTr="004E2EE1">
        <w:trPr>
          <w:trHeight w:val="254"/>
        </w:trPr>
        <w:tc>
          <w:tcPr>
            <w:tcW w:w="811" w:type="dxa"/>
            <w:vMerge/>
            <w:tcBorders>
              <w:top w:val="nil"/>
            </w:tcBorders>
          </w:tcPr>
          <w:p w14:paraId="76D0D2B4" w14:textId="77777777" w:rsidR="004E2EE1" w:rsidRDefault="004E2EE1" w:rsidP="00CD363C">
            <w:pPr>
              <w:spacing w:after="0" w:line="240" w:lineRule="auto"/>
              <w:ind w:right="107"/>
              <w:jc w:val="both"/>
              <w:rPr>
                <w:sz w:val="2"/>
                <w:szCs w:val="2"/>
              </w:rPr>
            </w:pPr>
          </w:p>
        </w:tc>
        <w:tc>
          <w:tcPr>
            <w:tcW w:w="3291" w:type="dxa"/>
          </w:tcPr>
          <w:p w14:paraId="44303728" w14:textId="77777777" w:rsidR="004E2EE1" w:rsidRDefault="004E2EE1" w:rsidP="00CD363C">
            <w:pPr>
              <w:pStyle w:val="TableParagraph"/>
              <w:ind w:left="107" w:right="107"/>
              <w:jc w:val="both"/>
              <w:rPr>
                <w:sz w:val="20"/>
              </w:rPr>
            </w:pPr>
            <w:r>
              <w:rPr>
                <w:sz w:val="20"/>
              </w:rPr>
              <w:t>K Uzkrātais nolietojums</w:t>
            </w:r>
          </w:p>
        </w:tc>
        <w:tc>
          <w:tcPr>
            <w:tcW w:w="986" w:type="dxa"/>
          </w:tcPr>
          <w:p w14:paraId="08C0C570" w14:textId="77777777" w:rsidR="004E2EE1" w:rsidRDefault="004E2EE1" w:rsidP="00CD363C">
            <w:pPr>
              <w:pStyle w:val="TableParagraph"/>
              <w:ind w:left="264" w:right="107"/>
              <w:jc w:val="both"/>
              <w:rPr>
                <w:sz w:val="20"/>
              </w:rPr>
            </w:pPr>
            <w:r>
              <w:rPr>
                <w:sz w:val="20"/>
              </w:rPr>
              <w:t>1291</w:t>
            </w:r>
          </w:p>
        </w:tc>
        <w:tc>
          <w:tcPr>
            <w:tcW w:w="2964" w:type="dxa"/>
          </w:tcPr>
          <w:p w14:paraId="66630D3C" w14:textId="77777777" w:rsidR="004E2EE1" w:rsidRDefault="004E2EE1" w:rsidP="00CD363C">
            <w:pPr>
              <w:pStyle w:val="TableParagraph"/>
              <w:ind w:left="108" w:right="107"/>
              <w:jc w:val="both"/>
              <w:rPr>
                <w:sz w:val="20"/>
              </w:rPr>
            </w:pPr>
            <w:r>
              <w:rPr>
                <w:sz w:val="20"/>
              </w:rPr>
              <w:t>Būvju uzkrātais nolietojums</w:t>
            </w:r>
          </w:p>
        </w:tc>
        <w:tc>
          <w:tcPr>
            <w:tcW w:w="1569" w:type="dxa"/>
          </w:tcPr>
          <w:p w14:paraId="00FFB5CE" w14:textId="77777777" w:rsidR="004E2EE1" w:rsidRDefault="004E2EE1" w:rsidP="00CD363C">
            <w:pPr>
              <w:pStyle w:val="TableParagraph"/>
              <w:ind w:right="107"/>
              <w:jc w:val="both"/>
              <w:rPr>
                <w:sz w:val="20"/>
              </w:rPr>
            </w:pPr>
            <w:r>
              <w:rPr>
                <w:sz w:val="20"/>
              </w:rPr>
              <w:t>65 333,33</w:t>
            </w:r>
          </w:p>
        </w:tc>
      </w:tr>
      <w:tr w:rsidR="004E2EE1" w14:paraId="4B69CBBF" w14:textId="77777777" w:rsidTr="004E2EE1">
        <w:trPr>
          <w:trHeight w:val="253"/>
        </w:trPr>
        <w:tc>
          <w:tcPr>
            <w:tcW w:w="811" w:type="dxa"/>
            <w:vMerge/>
            <w:tcBorders>
              <w:top w:val="nil"/>
            </w:tcBorders>
          </w:tcPr>
          <w:p w14:paraId="0D4F9DA1" w14:textId="77777777" w:rsidR="004E2EE1" w:rsidRDefault="004E2EE1" w:rsidP="00CD363C">
            <w:pPr>
              <w:spacing w:after="0" w:line="240" w:lineRule="auto"/>
              <w:ind w:right="107"/>
              <w:jc w:val="both"/>
              <w:rPr>
                <w:sz w:val="2"/>
                <w:szCs w:val="2"/>
              </w:rPr>
            </w:pPr>
          </w:p>
        </w:tc>
        <w:tc>
          <w:tcPr>
            <w:tcW w:w="8810" w:type="dxa"/>
            <w:gridSpan w:val="4"/>
          </w:tcPr>
          <w:p w14:paraId="425ED6F8" w14:textId="77777777" w:rsidR="004E2EE1" w:rsidRDefault="004E2EE1" w:rsidP="00CD363C">
            <w:pPr>
              <w:pStyle w:val="TableParagraph"/>
              <w:ind w:left="107" w:right="107"/>
              <w:jc w:val="both"/>
              <w:rPr>
                <w:b/>
                <w:sz w:val="20"/>
              </w:rPr>
            </w:pPr>
            <w:r>
              <w:rPr>
                <w:b/>
                <w:sz w:val="20"/>
              </w:rPr>
              <w:t>Saistību īstermiņa daļas nodalīšana</w:t>
            </w:r>
          </w:p>
        </w:tc>
      </w:tr>
      <w:tr w:rsidR="004E2EE1" w14:paraId="3C483EBE" w14:textId="77777777" w:rsidTr="004E2EE1">
        <w:trPr>
          <w:trHeight w:val="690"/>
        </w:trPr>
        <w:tc>
          <w:tcPr>
            <w:tcW w:w="811" w:type="dxa"/>
            <w:vMerge/>
            <w:tcBorders>
              <w:top w:val="nil"/>
            </w:tcBorders>
          </w:tcPr>
          <w:p w14:paraId="34BA4E8E" w14:textId="77777777" w:rsidR="004E2EE1" w:rsidRDefault="004E2EE1" w:rsidP="00CD363C">
            <w:pPr>
              <w:spacing w:after="0" w:line="240" w:lineRule="auto"/>
              <w:ind w:right="107"/>
              <w:jc w:val="both"/>
              <w:rPr>
                <w:sz w:val="2"/>
                <w:szCs w:val="2"/>
              </w:rPr>
            </w:pPr>
          </w:p>
        </w:tc>
        <w:tc>
          <w:tcPr>
            <w:tcW w:w="3291" w:type="dxa"/>
          </w:tcPr>
          <w:p w14:paraId="6A647433" w14:textId="77777777" w:rsidR="004E2EE1" w:rsidRDefault="004E2EE1" w:rsidP="00CD363C">
            <w:pPr>
              <w:pStyle w:val="TableParagraph"/>
              <w:ind w:right="107"/>
              <w:jc w:val="both"/>
              <w:rPr>
                <w:i/>
                <w:sz w:val="19"/>
              </w:rPr>
            </w:pPr>
          </w:p>
          <w:p w14:paraId="2ACAC7D5" w14:textId="77777777" w:rsidR="004E2EE1" w:rsidRDefault="004E2EE1" w:rsidP="00CD363C">
            <w:pPr>
              <w:pStyle w:val="TableParagraph"/>
              <w:ind w:left="107" w:right="107"/>
              <w:jc w:val="both"/>
              <w:rPr>
                <w:sz w:val="20"/>
              </w:rPr>
            </w:pPr>
            <w:r>
              <w:rPr>
                <w:sz w:val="20"/>
              </w:rPr>
              <w:t>D Finanšu saistības</w:t>
            </w:r>
          </w:p>
        </w:tc>
        <w:tc>
          <w:tcPr>
            <w:tcW w:w="986" w:type="dxa"/>
          </w:tcPr>
          <w:p w14:paraId="40610128" w14:textId="77777777" w:rsidR="004E2EE1" w:rsidRDefault="004E2EE1" w:rsidP="00CD363C">
            <w:pPr>
              <w:pStyle w:val="TableParagraph"/>
              <w:ind w:right="107"/>
              <w:jc w:val="both"/>
              <w:rPr>
                <w:i/>
                <w:sz w:val="19"/>
              </w:rPr>
            </w:pPr>
          </w:p>
          <w:p w14:paraId="64764002" w14:textId="77777777" w:rsidR="004E2EE1" w:rsidRDefault="004E2EE1" w:rsidP="00CD363C">
            <w:pPr>
              <w:pStyle w:val="TableParagraph"/>
              <w:ind w:left="264" w:right="107"/>
              <w:jc w:val="both"/>
              <w:rPr>
                <w:sz w:val="20"/>
              </w:rPr>
            </w:pPr>
            <w:r>
              <w:rPr>
                <w:sz w:val="20"/>
              </w:rPr>
              <w:t>5130</w:t>
            </w:r>
          </w:p>
        </w:tc>
        <w:tc>
          <w:tcPr>
            <w:tcW w:w="2964" w:type="dxa"/>
          </w:tcPr>
          <w:p w14:paraId="27827CD2" w14:textId="77777777" w:rsidR="004E2EE1" w:rsidRDefault="004E2EE1" w:rsidP="00CD363C">
            <w:pPr>
              <w:pStyle w:val="TableParagraph"/>
              <w:ind w:left="108" w:right="107"/>
              <w:jc w:val="both"/>
              <w:rPr>
                <w:sz w:val="20"/>
              </w:rPr>
            </w:pPr>
            <w:r>
              <w:rPr>
                <w:sz w:val="20"/>
              </w:rPr>
              <w:t>Ilgtermiņa saistības pret</w:t>
            </w:r>
          </w:p>
          <w:p w14:paraId="53FB53F0" w14:textId="77777777" w:rsidR="004E2EE1" w:rsidRDefault="004E2EE1" w:rsidP="00CD363C">
            <w:pPr>
              <w:pStyle w:val="TableParagraph"/>
              <w:ind w:left="108" w:right="107"/>
              <w:jc w:val="both"/>
              <w:rPr>
                <w:sz w:val="20"/>
              </w:rPr>
            </w:pPr>
            <w:r>
              <w:rPr>
                <w:sz w:val="20"/>
              </w:rPr>
              <w:t>piegādātajiem un darbuzņēmējiem</w:t>
            </w:r>
          </w:p>
        </w:tc>
        <w:tc>
          <w:tcPr>
            <w:tcW w:w="1569" w:type="dxa"/>
          </w:tcPr>
          <w:p w14:paraId="6BCFFB3F" w14:textId="77777777" w:rsidR="004E2EE1" w:rsidRDefault="004E2EE1" w:rsidP="00CD363C">
            <w:pPr>
              <w:pStyle w:val="TableParagraph"/>
              <w:ind w:right="107"/>
              <w:jc w:val="both"/>
              <w:rPr>
                <w:i/>
                <w:sz w:val="19"/>
              </w:rPr>
            </w:pPr>
          </w:p>
          <w:p w14:paraId="24E690A8" w14:textId="77777777" w:rsidR="004E2EE1" w:rsidRDefault="004E2EE1" w:rsidP="00CD363C">
            <w:pPr>
              <w:pStyle w:val="TableParagraph"/>
              <w:ind w:right="107"/>
              <w:jc w:val="both"/>
              <w:rPr>
                <w:sz w:val="20"/>
              </w:rPr>
            </w:pPr>
            <w:r>
              <w:rPr>
                <w:sz w:val="20"/>
              </w:rPr>
              <w:t>166 754,92</w:t>
            </w:r>
          </w:p>
        </w:tc>
      </w:tr>
      <w:tr w:rsidR="004E2EE1" w14:paraId="37FCE84E" w14:textId="77777777" w:rsidTr="004E2EE1">
        <w:trPr>
          <w:trHeight w:val="690"/>
        </w:trPr>
        <w:tc>
          <w:tcPr>
            <w:tcW w:w="811" w:type="dxa"/>
            <w:vMerge/>
            <w:tcBorders>
              <w:top w:val="nil"/>
            </w:tcBorders>
          </w:tcPr>
          <w:p w14:paraId="3A9BE454" w14:textId="77777777" w:rsidR="004E2EE1" w:rsidRDefault="004E2EE1" w:rsidP="00CD363C">
            <w:pPr>
              <w:spacing w:after="0" w:line="240" w:lineRule="auto"/>
              <w:ind w:right="107"/>
              <w:jc w:val="both"/>
              <w:rPr>
                <w:sz w:val="2"/>
                <w:szCs w:val="2"/>
              </w:rPr>
            </w:pPr>
          </w:p>
        </w:tc>
        <w:tc>
          <w:tcPr>
            <w:tcW w:w="3291" w:type="dxa"/>
          </w:tcPr>
          <w:p w14:paraId="0993342C" w14:textId="77777777" w:rsidR="004E2EE1" w:rsidRDefault="004E2EE1" w:rsidP="00CD363C">
            <w:pPr>
              <w:pStyle w:val="TableParagraph"/>
              <w:ind w:right="107"/>
              <w:jc w:val="both"/>
              <w:rPr>
                <w:i/>
                <w:sz w:val="19"/>
              </w:rPr>
            </w:pPr>
          </w:p>
          <w:p w14:paraId="6F4544AA" w14:textId="77777777" w:rsidR="004E2EE1" w:rsidRDefault="004E2EE1" w:rsidP="00CD363C">
            <w:pPr>
              <w:pStyle w:val="TableParagraph"/>
              <w:ind w:left="107" w:right="107"/>
              <w:jc w:val="both"/>
              <w:rPr>
                <w:sz w:val="20"/>
              </w:rPr>
            </w:pPr>
            <w:r>
              <w:rPr>
                <w:sz w:val="20"/>
              </w:rPr>
              <w:t>K Finanšu saistības</w:t>
            </w:r>
          </w:p>
        </w:tc>
        <w:tc>
          <w:tcPr>
            <w:tcW w:w="986" w:type="dxa"/>
          </w:tcPr>
          <w:p w14:paraId="4F680EF0" w14:textId="77777777" w:rsidR="004E2EE1" w:rsidRDefault="004E2EE1" w:rsidP="00CD363C">
            <w:pPr>
              <w:pStyle w:val="TableParagraph"/>
              <w:ind w:right="107"/>
              <w:jc w:val="both"/>
              <w:rPr>
                <w:i/>
                <w:sz w:val="19"/>
              </w:rPr>
            </w:pPr>
          </w:p>
          <w:p w14:paraId="6611FDA7" w14:textId="77777777" w:rsidR="004E2EE1" w:rsidRDefault="004E2EE1" w:rsidP="00CD363C">
            <w:pPr>
              <w:pStyle w:val="TableParagraph"/>
              <w:ind w:left="264" w:right="107"/>
              <w:jc w:val="both"/>
              <w:rPr>
                <w:sz w:val="20"/>
              </w:rPr>
            </w:pPr>
            <w:r>
              <w:rPr>
                <w:sz w:val="20"/>
              </w:rPr>
              <w:t>5310</w:t>
            </w:r>
          </w:p>
        </w:tc>
        <w:tc>
          <w:tcPr>
            <w:tcW w:w="2964" w:type="dxa"/>
          </w:tcPr>
          <w:p w14:paraId="5B3CE228" w14:textId="77777777" w:rsidR="004E2EE1" w:rsidRDefault="004E2EE1" w:rsidP="00CD363C">
            <w:pPr>
              <w:pStyle w:val="TableParagraph"/>
              <w:ind w:left="108" w:right="107" w:firstLine="50"/>
              <w:jc w:val="both"/>
              <w:rPr>
                <w:sz w:val="20"/>
              </w:rPr>
            </w:pPr>
            <w:r>
              <w:rPr>
                <w:sz w:val="20"/>
              </w:rPr>
              <w:t>Īstermiņa saistības pret piegādātājiem un</w:t>
            </w:r>
          </w:p>
          <w:p w14:paraId="49BD075A" w14:textId="77777777" w:rsidR="004E2EE1" w:rsidRDefault="004E2EE1" w:rsidP="00CD363C">
            <w:pPr>
              <w:pStyle w:val="TableParagraph"/>
              <w:ind w:left="108" w:right="107"/>
              <w:jc w:val="both"/>
              <w:rPr>
                <w:sz w:val="20"/>
              </w:rPr>
            </w:pPr>
            <w:r>
              <w:rPr>
                <w:sz w:val="20"/>
              </w:rPr>
              <w:t>darbuzņēmējiem</w:t>
            </w:r>
          </w:p>
        </w:tc>
        <w:tc>
          <w:tcPr>
            <w:tcW w:w="1569" w:type="dxa"/>
          </w:tcPr>
          <w:p w14:paraId="73CFD3F8" w14:textId="77777777" w:rsidR="004E2EE1" w:rsidRDefault="004E2EE1" w:rsidP="00CD363C">
            <w:pPr>
              <w:pStyle w:val="TableParagraph"/>
              <w:ind w:right="107"/>
              <w:jc w:val="both"/>
              <w:rPr>
                <w:i/>
                <w:sz w:val="19"/>
              </w:rPr>
            </w:pPr>
          </w:p>
          <w:p w14:paraId="0703CDDA" w14:textId="77777777" w:rsidR="004E2EE1" w:rsidRDefault="004E2EE1" w:rsidP="00CD363C">
            <w:pPr>
              <w:pStyle w:val="TableParagraph"/>
              <w:ind w:right="107"/>
              <w:jc w:val="both"/>
              <w:rPr>
                <w:sz w:val="20"/>
              </w:rPr>
            </w:pPr>
            <w:r>
              <w:rPr>
                <w:sz w:val="20"/>
              </w:rPr>
              <w:t>166 754,92</w:t>
            </w:r>
          </w:p>
        </w:tc>
      </w:tr>
      <w:tr w:rsidR="004E2EE1" w14:paraId="6E66CA88" w14:textId="77777777" w:rsidTr="004E2EE1">
        <w:trPr>
          <w:trHeight w:val="253"/>
        </w:trPr>
        <w:tc>
          <w:tcPr>
            <w:tcW w:w="811" w:type="dxa"/>
            <w:vMerge w:val="restart"/>
          </w:tcPr>
          <w:p w14:paraId="7C68D671" w14:textId="77777777" w:rsidR="004E2EE1" w:rsidRDefault="004E2EE1" w:rsidP="00CD363C">
            <w:pPr>
              <w:pStyle w:val="TableParagraph"/>
              <w:ind w:right="107"/>
              <w:jc w:val="both"/>
              <w:rPr>
                <w:i/>
              </w:rPr>
            </w:pPr>
          </w:p>
          <w:p w14:paraId="5CF7B2A6" w14:textId="77777777" w:rsidR="004E2EE1" w:rsidRDefault="004E2EE1" w:rsidP="00CD363C">
            <w:pPr>
              <w:pStyle w:val="TableParagraph"/>
              <w:ind w:right="107"/>
              <w:jc w:val="both"/>
              <w:rPr>
                <w:i/>
              </w:rPr>
            </w:pPr>
          </w:p>
          <w:p w14:paraId="258D5F0D" w14:textId="77777777" w:rsidR="004E2EE1" w:rsidRDefault="004E2EE1" w:rsidP="00CD363C">
            <w:pPr>
              <w:pStyle w:val="TableParagraph"/>
              <w:ind w:right="107"/>
              <w:jc w:val="both"/>
              <w:rPr>
                <w:i/>
              </w:rPr>
            </w:pPr>
          </w:p>
          <w:p w14:paraId="3B8439E8" w14:textId="77777777" w:rsidR="004E2EE1" w:rsidRDefault="004E2EE1" w:rsidP="00CD363C">
            <w:pPr>
              <w:pStyle w:val="TableParagraph"/>
              <w:ind w:left="135" w:right="107"/>
              <w:jc w:val="both"/>
              <w:rPr>
                <w:b/>
                <w:sz w:val="20"/>
              </w:rPr>
            </w:pPr>
            <w:r>
              <w:rPr>
                <w:b/>
                <w:sz w:val="20"/>
              </w:rPr>
              <w:t>10</w:t>
            </w:r>
          </w:p>
        </w:tc>
        <w:tc>
          <w:tcPr>
            <w:tcW w:w="8810" w:type="dxa"/>
            <w:gridSpan w:val="4"/>
          </w:tcPr>
          <w:p w14:paraId="5AAE5E5C" w14:textId="77777777" w:rsidR="004E2EE1" w:rsidRDefault="004E2EE1" w:rsidP="00CD363C">
            <w:pPr>
              <w:pStyle w:val="TableParagraph"/>
              <w:ind w:left="107" w:right="107"/>
              <w:jc w:val="both"/>
              <w:rPr>
                <w:b/>
                <w:sz w:val="20"/>
              </w:rPr>
            </w:pPr>
            <w:r>
              <w:rPr>
                <w:b/>
                <w:sz w:val="20"/>
              </w:rPr>
              <w:t>Maksājuma veikšana</w:t>
            </w:r>
          </w:p>
        </w:tc>
      </w:tr>
      <w:tr w:rsidR="004E2EE1" w14:paraId="1873EC25" w14:textId="77777777" w:rsidTr="004E2EE1">
        <w:trPr>
          <w:trHeight w:val="690"/>
        </w:trPr>
        <w:tc>
          <w:tcPr>
            <w:tcW w:w="811" w:type="dxa"/>
            <w:vMerge/>
            <w:tcBorders>
              <w:top w:val="nil"/>
            </w:tcBorders>
          </w:tcPr>
          <w:p w14:paraId="7874BECF" w14:textId="77777777" w:rsidR="004E2EE1" w:rsidRDefault="004E2EE1" w:rsidP="00CD363C">
            <w:pPr>
              <w:spacing w:after="0" w:line="240" w:lineRule="auto"/>
              <w:ind w:right="107"/>
              <w:jc w:val="both"/>
              <w:rPr>
                <w:sz w:val="2"/>
                <w:szCs w:val="2"/>
              </w:rPr>
            </w:pPr>
          </w:p>
        </w:tc>
        <w:tc>
          <w:tcPr>
            <w:tcW w:w="3291" w:type="dxa"/>
          </w:tcPr>
          <w:p w14:paraId="31C911B2" w14:textId="77777777" w:rsidR="004E2EE1" w:rsidRDefault="004E2EE1" w:rsidP="00CD363C">
            <w:pPr>
              <w:pStyle w:val="TableParagraph"/>
              <w:ind w:right="107"/>
              <w:jc w:val="both"/>
              <w:rPr>
                <w:i/>
                <w:sz w:val="19"/>
              </w:rPr>
            </w:pPr>
          </w:p>
          <w:p w14:paraId="09B8B54E" w14:textId="77777777" w:rsidR="004E2EE1" w:rsidRDefault="004E2EE1" w:rsidP="00CD363C">
            <w:pPr>
              <w:pStyle w:val="TableParagraph"/>
              <w:ind w:left="107" w:right="107"/>
              <w:jc w:val="both"/>
              <w:rPr>
                <w:sz w:val="20"/>
              </w:rPr>
            </w:pPr>
            <w:r>
              <w:rPr>
                <w:sz w:val="20"/>
              </w:rPr>
              <w:t>D Finanšu saistības</w:t>
            </w:r>
          </w:p>
        </w:tc>
        <w:tc>
          <w:tcPr>
            <w:tcW w:w="986" w:type="dxa"/>
          </w:tcPr>
          <w:p w14:paraId="0E102A6F" w14:textId="77777777" w:rsidR="004E2EE1" w:rsidRDefault="004E2EE1" w:rsidP="00CD363C">
            <w:pPr>
              <w:pStyle w:val="TableParagraph"/>
              <w:ind w:right="107"/>
              <w:jc w:val="both"/>
              <w:rPr>
                <w:i/>
                <w:sz w:val="19"/>
              </w:rPr>
            </w:pPr>
          </w:p>
          <w:p w14:paraId="1D38A78A" w14:textId="77777777" w:rsidR="004E2EE1" w:rsidRDefault="004E2EE1" w:rsidP="00CD363C">
            <w:pPr>
              <w:pStyle w:val="TableParagraph"/>
              <w:ind w:left="264" w:right="107"/>
              <w:jc w:val="both"/>
              <w:rPr>
                <w:sz w:val="20"/>
              </w:rPr>
            </w:pPr>
            <w:r>
              <w:rPr>
                <w:sz w:val="20"/>
              </w:rPr>
              <w:t>5310</w:t>
            </w:r>
          </w:p>
        </w:tc>
        <w:tc>
          <w:tcPr>
            <w:tcW w:w="2964" w:type="dxa"/>
          </w:tcPr>
          <w:p w14:paraId="218009FD" w14:textId="77777777" w:rsidR="004E2EE1" w:rsidRDefault="004E2EE1" w:rsidP="00CD363C">
            <w:pPr>
              <w:pStyle w:val="TableParagraph"/>
              <w:ind w:left="108" w:right="107"/>
              <w:jc w:val="both"/>
              <w:rPr>
                <w:sz w:val="20"/>
              </w:rPr>
            </w:pPr>
            <w:r>
              <w:rPr>
                <w:sz w:val="20"/>
              </w:rPr>
              <w:t>Īstermiņa saistības pret piegādātājiem un</w:t>
            </w:r>
          </w:p>
          <w:p w14:paraId="480BF2DF" w14:textId="77777777" w:rsidR="004E2EE1" w:rsidRDefault="004E2EE1" w:rsidP="00CD363C">
            <w:pPr>
              <w:pStyle w:val="TableParagraph"/>
              <w:ind w:left="108" w:right="107"/>
              <w:jc w:val="both"/>
              <w:rPr>
                <w:sz w:val="20"/>
              </w:rPr>
            </w:pPr>
            <w:r>
              <w:rPr>
                <w:sz w:val="20"/>
              </w:rPr>
              <w:t>darbuzņēmējiem</w:t>
            </w:r>
          </w:p>
        </w:tc>
        <w:tc>
          <w:tcPr>
            <w:tcW w:w="1569" w:type="dxa"/>
          </w:tcPr>
          <w:p w14:paraId="0D712530" w14:textId="77777777" w:rsidR="004E2EE1" w:rsidRDefault="004E2EE1" w:rsidP="00CD363C">
            <w:pPr>
              <w:pStyle w:val="TableParagraph"/>
              <w:ind w:right="107"/>
              <w:jc w:val="both"/>
              <w:rPr>
                <w:i/>
                <w:sz w:val="19"/>
              </w:rPr>
            </w:pPr>
          </w:p>
          <w:p w14:paraId="48AC638D" w14:textId="77777777" w:rsidR="004E2EE1" w:rsidRDefault="004E2EE1" w:rsidP="00CD363C">
            <w:pPr>
              <w:pStyle w:val="TableParagraph"/>
              <w:ind w:right="107"/>
              <w:jc w:val="both"/>
              <w:rPr>
                <w:sz w:val="20"/>
              </w:rPr>
            </w:pPr>
            <w:r>
              <w:rPr>
                <w:sz w:val="20"/>
              </w:rPr>
              <w:t>200 000,00</w:t>
            </w:r>
          </w:p>
        </w:tc>
      </w:tr>
      <w:tr w:rsidR="004E2EE1" w14:paraId="4ABB5FAE" w14:textId="77777777" w:rsidTr="004E2EE1">
        <w:trPr>
          <w:trHeight w:val="253"/>
        </w:trPr>
        <w:tc>
          <w:tcPr>
            <w:tcW w:w="811" w:type="dxa"/>
            <w:vMerge/>
            <w:tcBorders>
              <w:top w:val="nil"/>
            </w:tcBorders>
          </w:tcPr>
          <w:p w14:paraId="32370BB4" w14:textId="77777777" w:rsidR="004E2EE1" w:rsidRDefault="004E2EE1" w:rsidP="00CD363C">
            <w:pPr>
              <w:spacing w:after="0" w:line="240" w:lineRule="auto"/>
              <w:ind w:right="107"/>
              <w:jc w:val="both"/>
              <w:rPr>
                <w:sz w:val="2"/>
                <w:szCs w:val="2"/>
              </w:rPr>
            </w:pPr>
          </w:p>
        </w:tc>
        <w:tc>
          <w:tcPr>
            <w:tcW w:w="3291" w:type="dxa"/>
          </w:tcPr>
          <w:p w14:paraId="04C8BE14" w14:textId="77777777" w:rsidR="004E2EE1" w:rsidRDefault="004E2EE1" w:rsidP="00CD363C">
            <w:pPr>
              <w:pStyle w:val="TableParagraph"/>
              <w:ind w:left="107" w:right="107"/>
              <w:jc w:val="both"/>
              <w:rPr>
                <w:sz w:val="20"/>
              </w:rPr>
            </w:pPr>
            <w:r>
              <w:rPr>
                <w:sz w:val="20"/>
              </w:rPr>
              <w:t>K Nauda</w:t>
            </w:r>
          </w:p>
        </w:tc>
        <w:tc>
          <w:tcPr>
            <w:tcW w:w="986" w:type="dxa"/>
          </w:tcPr>
          <w:p w14:paraId="2430B5E5" w14:textId="77777777" w:rsidR="004E2EE1" w:rsidRDefault="004E2EE1" w:rsidP="00CD363C">
            <w:pPr>
              <w:pStyle w:val="TableParagraph"/>
              <w:ind w:left="264" w:right="107"/>
              <w:jc w:val="both"/>
              <w:rPr>
                <w:sz w:val="20"/>
              </w:rPr>
            </w:pPr>
            <w:r>
              <w:rPr>
                <w:sz w:val="20"/>
              </w:rPr>
              <w:t>2600</w:t>
            </w:r>
          </w:p>
        </w:tc>
        <w:tc>
          <w:tcPr>
            <w:tcW w:w="2964" w:type="dxa"/>
          </w:tcPr>
          <w:p w14:paraId="7BBEE79B" w14:textId="77777777" w:rsidR="004E2EE1" w:rsidRDefault="004E2EE1" w:rsidP="00CD363C">
            <w:pPr>
              <w:pStyle w:val="TableParagraph"/>
              <w:ind w:left="108" w:right="107"/>
              <w:jc w:val="both"/>
              <w:rPr>
                <w:sz w:val="20"/>
              </w:rPr>
            </w:pPr>
            <w:r>
              <w:rPr>
                <w:sz w:val="20"/>
              </w:rPr>
              <w:t>Naudas līdzekļi</w:t>
            </w:r>
          </w:p>
        </w:tc>
        <w:tc>
          <w:tcPr>
            <w:tcW w:w="1569" w:type="dxa"/>
          </w:tcPr>
          <w:p w14:paraId="65C82835" w14:textId="77777777" w:rsidR="004E2EE1" w:rsidRDefault="004E2EE1" w:rsidP="00CD363C">
            <w:pPr>
              <w:pStyle w:val="TableParagraph"/>
              <w:ind w:right="107"/>
              <w:jc w:val="both"/>
              <w:rPr>
                <w:sz w:val="20"/>
              </w:rPr>
            </w:pPr>
            <w:r>
              <w:rPr>
                <w:sz w:val="20"/>
              </w:rPr>
              <w:t>200 000,00</w:t>
            </w:r>
          </w:p>
        </w:tc>
      </w:tr>
      <w:tr w:rsidR="004E2EE1" w14:paraId="6B9D3D22" w14:textId="77777777" w:rsidTr="004E2EE1">
        <w:trPr>
          <w:trHeight w:val="256"/>
        </w:trPr>
        <w:tc>
          <w:tcPr>
            <w:tcW w:w="811" w:type="dxa"/>
            <w:vMerge/>
            <w:tcBorders>
              <w:top w:val="nil"/>
            </w:tcBorders>
          </w:tcPr>
          <w:p w14:paraId="11527BAB" w14:textId="77777777" w:rsidR="004E2EE1" w:rsidRDefault="004E2EE1" w:rsidP="00CD363C">
            <w:pPr>
              <w:spacing w:after="0" w:line="240" w:lineRule="auto"/>
              <w:ind w:right="107"/>
              <w:jc w:val="both"/>
              <w:rPr>
                <w:sz w:val="2"/>
                <w:szCs w:val="2"/>
              </w:rPr>
            </w:pPr>
          </w:p>
        </w:tc>
        <w:tc>
          <w:tcPr>
            <w:tcW w:w="8810" w:type="dxa"/>
            <w:gridSpan w:val="4"/>
          </w:tcPr>
          <w:p w14:paraId="245F005A" w14:textId="77777777" w:rsidR="004E2EE1" w:rsidRDefault="004E2EE1" w:rsidP="00CD363C">
            <w:pPr>
              <w:pStyle w:val="TableParagraph"/>
              <w:ind w:left="107" w:right="107"/>
              <w:jc w:val="both"/>
              <w:rPr>
                <w:b/>
                <w:sz w:val="20"/>
              </w:rPr>
            </w:pPr>
            <w:r>
              <w:rPr>
                <w:b/>
                <w:sz w:val="20"/>
              </w:rPr>
              <w:t>Procentu izdevumi</w:t>
            </w:r>
          </w:p>
        </w:tc>
      </w:tr>
      <w:tr w:rsidR="004E2EE1" w14:paraId="2FD32EA2" w14:textId="77777777" w:rsidTr="004E2EE1">
        <w:trPr>
          <w:trHeight w:val="254"/>
        </w:trPr>
        <w:tc>
          <w:tcPr>
            <w:tcW w:w="811" w:type="dxa"/>
            <w:vMerge/>
            <w:tcBorders>
              <w:top w:val="nil"/>
            </w:tcBorders>
          </w:tcPr>
          <w:p w14:paraId="0A3F2349" w14:textId="77777777" w:rsidR="004E2EE1" w:rsidRDefault="004E2EE1" w:rsidP="00CD363C">
            <w:pPr>
              <w:spacing w:after="0" w:line="240" w:lineRule="auto"/>
              <w:ind w:right="107"/>
              <w:jc w:val="both"/>
              <w:rPr>
                <w:sz w:val="2"/>
                <w:szCs w:val="2"/>
              </w:rPr>
            </w:pPr>
          </w:p>
        </w:tc>
        <w:tc>
          <w:tcPr>
            <w:tcW w:w="3291" w:type="dxa"/>
          </w:tcPr>
          <w:p w14:paraId="33396A95" w14:textId="77777777" w:rsidR="004E2EE1" w:rsidRDefault="004E2EE1" w:rsidP="00CD363C">
            <w:pPr>
              <w:pStyle w:val="TableParagraph"/>
              <w:ind w:left="107" w:right="107"/>
              <w:jc w:val="both"/>
              <w:rPr>
                <w:sz w:val="20"/>
              </w:rPr>
            </w:pPr>
            <w:r>
              <w:rPr>
                <w:sz w:val="20"/>
              </w:rPr>
              <w:t>D Procentu izdevumi</w:t>
            </w:r>
          </w:p>
        </w:tc>
        <w:tc>
          <w:tcPr>
            <w:tcW w:w="986" w:type="dxa"/>
          </w:tcPr>
          <w:p w14:paraId="3CBA9F69" w14:textId="77777777" w:rsidR="004E2EE1" w:rsidRDefault="004E2EE1" w:rsidP="00CD363C">
            <w:pPr>
              <w:pStyle w:val="TableParagraph"/>
              <w:ind w:left="264" w:right="107"/>
              <w:jc w:val="both"/>
              <w:rPr>
                <w:sz w:val="20"/>
              </w:rPr>
            </w:pPr>
            <w:r>
              <w:rPr>
                <w:sz w:val="20"/>
              </w:rPr>
              <w:t>8220</w:t>
            </w:r>
          </w:p>
        </w:tc>
        <w:tc>
          <w:tcPr>
            <w:tcW w:w="2964" w:type="dxa"/>
          </w:tcPr>
          <w:p w14:paraId="5E824B58" w14:textId="77777777" w:rsidR="004E2EE1" w:rsidRDefault="004E2EE1" w:rsidP="00CD363C">
            <w:pPr>
              <w:pStyle w:val="TableParagraph"/>
              <w:ind w:left="108" w:right="107"/>
              <w:jc w:val="both"/>
              <w:rPr>
                <w:sz w:val="20"/>
              </w:rPr>
            </w:pPr>
            <w:r>
              <w:rPr>
                <w:sz w:val="20"/>
              </w:rPr>
              <w:t>Procentu izdevumi</w:t>
            </w:r>
          </w:p>
        </w:tc>
        <w:tc>
          <w:tcPr>
            <w:tcW w:w="1569" w:type="dxa"/>
          </w:tcPr>
          <w:p w14:paraId="479164C2" w14:textId="77777777" w:rsidR="004E2EE1" w:rsidRDefault="004E2EE1" w:rsidP="00CD363C">
            <w:pPr>
              <w:pStyle w:val="TableParagraph"/>
              <w:ind w:right="107"/>
              <w:jc w:val="both"/>
              <w:rPr>
                <w:sz w:val="20"/>
              </w:rPr>
            </w:pPr>
            <w:r>
              <w:rPr>
                <w:sz w:val="20"/>
              </w:rPr>
              <w:t>10 940,90</w:t>
            </w:r>
          </w:p>
        </w:tc>
      </w:tr>
      <w:tr w:rsidR="004E2EE1" w14:paraId="7AA9FBB3" w14:textId="77777777" w:rsidTr="004E2EE1">
        <w:trPr>
          <w:trHeight w:val="253"/>
        </w:trPr>
        <w:tc>
          <w:tcPr>
            <w:tcW w:w="811" w:type="dxa"/>
            <w:vMerge/>
            <w:tcBorders>
              <w:top w:val="nil"/>
            </w:tcBorders>
          </w:tcPr>
          <w:p w14:paraId="53B0D39E" w14:textId="77777777" w:rsidR="004E2EE1" w:rsidRDefault="004E2EE1" w:rsidP="00CD363C">
            <w:pPr>
              <w:spacing w:after="0" w:line="240" w:lineRule="auto"/>
              <w:ind w:right="107"/>
              <w:jc w:val="both"/>
              <w:rPr>
                <w:sz w:val="2"/>
                <w:szCs w:val="2"/>
              </w:rPr>
            </w:pPr>
          </w:p>
        </w:tc>
        <w:tc>
          <w:tcPr>
            <w:tcW w:w="3291" w:type="dxa"/>
          </w:tcPr>
          <w:p w14:paraId="41B33B46" w14:textId="77777777" w:rsidR="004E2EE1" w:rsidRDefault="004E2EE1" w:rsidP="00CD363C">
            <w:pPr>
              <w:pStyle w:val="TableParagraph"/>
              <w:ind w:left="107" w:right="107"/>
              <w:jc w:val="both"/>
              <w:rPr>
                <w:sz w:val="20"/>
              </w:rPr>
            </w:pPr>
            <w:r>
              <w:rPr>
                <w:sz w:val="20"/>
              </w:rPr>
              <w:t>D Pakalpojuma izmaksas</w:t>
            </w:r>
          </w:p>
        </w:tc>
        <w:tc>
          <w:tcPr>
            <w:tcW w:w="986" w:type="dxa"/>
          </w:tcPr>
          <w:p w14:paraId="13F5D555" w14:textId="77777777" w:rsidR="004E2EE1" w:rsidRDefault="004E2EE1" w:rsidP="00CD363C">
            <w:pPr>
              <w:pStyle w:val="TableParagraph"/>
              <w:ind w:left="264" w:right="107"/>
              <w:jc w:val="both"/>
              <w:rPr>
                <w:sz w:val="20"/>
              </w:rPr>
            </w:pPr>
            <w:r>
              <w:rPr>
                <w:sz w:val="20"/>
              </w:rPr>
              <w:t>7000</w:t>
            </w:r>
          </w:p>
        </w:tc>
        <w:tc>
          <w:tcPr>
            <w:tcW w:w="2964" w:type="dxa"/>
          </w:tcPr>
          <w:p w14:paraId="5905DCBE" w14:textId="77777777" w:rsidR="004E2EE1" w:rsidRDefault="004E2EE1" w:rsidP="00CD363C">
            <w:pPr>
              <w:pStyle w:val="TableParagraph"/>
              <w:ind w:left="108" w:right="107"/>
              <w:jc w:val="both"/>
              <w:rPr>
                <w:sz w:val="20"/>
              </w:rPr>
            </w:pPr>
            <w:r>
              <w:rPr>
                <w:sz w:val="20"/>
              </w:rPr>
              <w:t>Pamatdarbības izdevumi</w:t>
            </w:r>
          </w:p>
        </w:tc>
        <w:tc>
          <w:tcPr>
            <w:tcW w:w="1569" w:type="dxa"/>
          </w:tcPr>
          <w:p w14:paraId="50F24E12" w14:textId="77777777" w:rsidR="004E2EE1" w:rsidRDefault="004E2EE1" w:rsidP="00CD363C">
            <w:pPr>
              <w:pStyle w:val="TableParagraph"/>
              <w:ind w:right="107"/>
              <w:jc w:val="both"/>
              <w:rPr>
                <w:sz w:val="20"/>
              </w:rPr>
            </w:pPr>
            <w:r>
              <w:rPr>
                <w:sz w:val="20"/>
              </w:rPr>
              <w:t>12 000,00</w:t>
            </w:r>
          </w:p>
        </w:tc>
      </w:tr>
      <w:tr w:rsidR="004E2EE1" w14:paraId="12542A11" w14:textId="77777777" w:rsidTr="004E2EE1">
        <w:trPr>
          <w:trHeight w:val="690"/>
        </w:trPr>
        <w:tc>
          <w:tcPr>
            <w:tcW w:w="811" w:type="dxa"/>
            <w:vMerge/>
            <w:tcBorders>
              <w:top w:val="nil"/>
            </w:tcBorders>
          </w:tcPr>
          <w:p w14:paraId="662A0932" w14:textId="77777777" w:rsidR="004E2EE1" w:rsidRDefault="004E2EE1" w:rsidP="00CD363C">
            <w:pPr>
              <w:spacing w:after="0" w:line="240" w:lineRule="auto"/>
              <w:ind w:right="107"/>
              <w:jc w:val="both"/>
              <w:rPr>
                <w:sz w:val="2"/>
                <w:szCs w:val="2"/>
              </w:rPr>
            </w:pPr>
          </w:p>
        </w:tc>
        <w:tc>
          <w:tcPr>
            <w:tcW w:w="3291" w:type="dxa"/>
          </w:tcPr>
          <w:p w14:paraId="75AFB713" w14:textId="77777777" w:rsidR="004E2EE1" w:rsidRDefault="004E2EE1" w:rsidP="00CD363C">
            <w:pPr>
              <w:pStyle w:val="TableParagraph"/>
              <w:ind w:right="107"/>
              <w:jc w:val="both"/>
              <w:rPr>
                <w:i/>
                <w:sz w:val="19"/>
              </w:rPr>
            </w:pPr>
          </w:p>
          <w:p w14:paraId="710F5407" w14:textId="77777777" w:rsidR="004E2EE1" w:rsidRDefault="004E2EE1" w:rsidP="00CD363C">
            <w:pPr>
              <w:pStyle w:val="TableParagraph"/>
              <w:ind w:left="107" w:right="107"/>
              <w:jc w:val="both"/>
              <w:rPr>
                <w:sz w:val="20"/>
              </w:rPr>
            </w:pPr>
            <w:r>
              <w:rPr>
                <w:sz w:val="20"/>
              </w:rPr>
              <w:t>K Finanšu saistības</w:t>
            </w:r>
          </w:p>
        </w:tc>
        <w:tc>
          <w:tcPr>
            <w:tcW w:w="986" w:type="dxa"/>
          </w:tcPr>
          <w:p w14:paraId="741781C2" w14:textId="77777777" w:rsidR="004E2EE1" w:rsidRDefault="004E2EE1" w:rsidP="00CD363C">
            <w:pPr>
              <w:pStyle w:val="TableParagraph"/>
              <w:ind w:right="107"/>
              <w:jc w:val="both"/>
              <w:rPr>
                <w:i/>
                <w:sz w:val="19"/>
              </w:rPr>
            </w:pPr>
          </w:p>
          <w:p w14:paraId="44D9DB00" w14:textId="77777777" w:rsidR="004E2EE1" w:rsidRDefault="004E2EE1" w:rsidP="00CD363C">
            <w:pPr>
              <w:pStyle w:val="TableParagraph"/>
              <w:ind w:left="264" w:right="107"/>
              <w:jc w:val="both"/>
              <w:rPr>
                <w:sz w:val="20"/>
              </w:rPr>
            </w:pPr>
            <w:r>
              <w:rPr>
                <w:sz w:val="20"/>
              </w:rPr>
              <w:t>5310</w:t>
            </w:r>
          </w:p>
        </w:tc>
        <w:tc>
          <w:tcPr>
            <w:tcW w:w="2964" w:type="dxa"/>
          </w:tcPr>
          <w:p w14:paraId="74B35BA6" w14:textId="77777777" w:rsidR="004E2EE1" w:rsidRDefault="004E2EE1" w:rsidP="00CD363C">
            <w:pPr>
              <w:pStyle w:val="TableParagraph"/>
              <w:ind w:left="108" w:right="107"/>
              <w:jc w:val="both"/>
              <w:rPr>
                <w:sz w:val="20"/>
              </w:rPr>
            </w:pPr>
            <w:r>
              <w:rPr>
                <w:sz w:val="20"/>
              </w:rPr>
              <w:t>Īstermiņa saistības pret piegādātājiem un</w:t>
            </w:r>
          </w:p>
          <w:p w14:paraId="1FCFE88A" w14:textId="77777777" w:rsidR="004E2EE1" w:rsidRDefault="004E2EE1" w:rsidP="00CD363C">
            <w:pPr>
              <w:pStyle w:val="TableParagraph"/>
              <w:ind w:left="108" w:right="107"/>
              <w:jc w:val="both"/>
              <w:rPr>
                <w:sz w:val="20"/>
              </w:rPr>
            </w:pPr>
            <w:r>
              <w:rPr>
                <w:sz w:val="20"/>
              </w:rPr>
              <w:t>darbuzņēmējiem</w:t>
            </w:r>
          </w:p>
        </w:tc>
        <w:tc>
          <w:tcPr>
            <w:tcW w:w="1569" w:type="dxa"/>
          </w:tcPr>
          <w:p w14:paraId="0618CC14" w14:textId="77777777" w:rsidR="004E2EE1" w:rsidRDefault="004E2EE1" w:rsidP="00CD363C">
            <w:pPr>
              <w:pStyle w:val="TableParagraph"/>
              <w:ind w:right="107"/>
              <w:jc w:val="both"/>
              <w:rPr>
                <w:i/>
                <w:sz w:val="19"/>
              </w:rPr>
            </w:pPr>
          </w:p>
          <w:p w14:paraId="0059DBDC" w14:textId="77777777" w:rsidR="004E2EE1" w:rsidRDefault="004E2EE1" w:rsidP="00CD363C">
            <w:pPr>
              <w:pStyle w:val="TableParagraph"/>
              <w:ind w:right="107"/>
              <w:jc w:val="both"/>
              <w:rPr>
                <w:sz w:val="20"/>
              </w:rPr>
            </w:pPr>
            <w:r>
              <w:rPr>
                <w:sz w:val="20"/>
              </w:rPr>
              <w:t>22 940,90</w:t>
            </w:r>
          </w:p>
        </w:tc>
      </w:tr>
      <w:tr w:rsidR="004E2EE1" w14:paraId="1CAEF29D" w14:textId="77777777" w:rsidTr="004E2EE1">
        <w:trPr>
          <w:trHeight w:val="254"/>
        </w:trPr>
        <w:tc>
          <w:tcPr>
            <w:tcW w:w="811" w:type="dxa"/>
            <w:vMerge/>
            <w:tcBorders>
              <w:top w:val="nil"/>
            </w:tcBorders>
          </w:tcPr>
          <w:p w14:paraId="41DE88EC" w14:textId="77777777" w:rsidR="004E2EE1" w:rsidRDefault="004E2EE1" w:rsidP="00CD363C">
            <w:pPr>
              <w:spacing w:after="0" w:line="240" w:lineRule="auto"/>
              <w:ind w:right="107"/>
              <w:jc w:val="both"/>
              <w:rPr>
                <w:sz w:val="2"/>
                <w:szCs w:val="2"/>
              </w:rPr>
            </w:pPr>
          </w:p>
        </w:tc>
        <w:tc>
          <w:tcPr>
            <w:tcW w:w="8810" w:type="dxa"/>
            <w:gridSpan w:val="4"/>
          </w:tcPr>
          <w:p w14:paraId="1137972A" w14:textId="77777777" w:rsidR="004E2EE1" w:rsidRDefault="004E2EE1" w:rsidP="00CD363C">
            <w:pPr>
              <w:pStyle w:val="TableParagraph"/>
              <w:ind w:left="107" w:right="107"/>
              <w:jc w:val="both"/>
              <w:rPr>
                <w:b/>
                <w:sz w:val="20"/>
              </w:rPr>
            </w:pPr>
            <w:r>
              <w:rPr>
                <w:b/>
                <w:sz w:val="20"/>
              </w:rPr>
              <w:t>Nolietojuma uzskaite</w:t>
            </w:r>
          </w:p>
        </w:tc>
      </w:tr>
      <w:tr w:rsidR="004E2EE1" w14:paraId="1AB08F17" w14:textId="77777777" w:rsidTr="004E2EE1">
        <w:trPr>
          <w:trHeight w:val="256"/>
        </w:trPr>
        <w:tc>
          <w:tcPr>
            <w:tcW w:w="811" w:type="dxa"/>
            <w:vMerge/>
            <w:tcBorders>
              <w:top w:val="nil"/>
            </w:tcBorders>
          </w:tcPr>
          <w:p w14:paraId="7E9E2807" w14:textId="77777777" w:rsidR="004E2EE1" w:rsidRDefault="004E2EE1" w:rsidP="00CD363C">
            <w:pPr>
              <w:spacing w:after="0" w:line="240" w:lineRule="auto"/>
              <w:ind w:right="107"/>
              <w:jc w:val="both"/>
              <w:rPr>
                <w:sz w:val="2"/>
                <w:szCs w:val="2"/>
              </w:rPr>
            </w:pPr>
          </w:p>
        </w:tc>
        <w:tc>
          <w:tcPr>
            <w:tcW w:w="3291" w:type="dxa"/>
          </w:tcPr>
          <w:p w14:paraId="1472A130" w14:textId="77777777" w:rsidR="004E2EE1" w:rsidRDefault="004E2EE1" w:rsidP="00CD363C">
            <w:pPr>
              <w:pStyle w:val="TableParagraph"/>
              <w:ind w:left="107" w:right="107"/>
              <w:jc w:val="both"/>
              <w:rPr>
                <w:sz w:val="20"/>
              </w:rPr>
            </w:pPr>
            <w:r>
              <w:rPr>
                <w:sz w:val="20"/>
              </w:rPr>
              <w:t>D Nolietojuma izdevumi</w:t>
            </w:r>
          </w:p>
        </w:tc>
        <w:tc>
          <w:tcPr>
            <w:tcW w:w="986" w:type="dxa"/>
          </w:tcPr>
          <w:p w14:paraId="0C9E5FAB" w14:textId="77777777" w:rsidR="004E2EE1" w:rsidRDefault="004E2EE1" w:rsidP="00CD363C">
            <w:pPr>
              <w:pStyle w:val="TableParagraph"/>
              <w:ind w:left="264" w:right="107"/>
              <w:jc w:val="both"/>
              <w:rPr>
                <w:sz w:val="20"/>
              </w:rPr>
            </w:pPr>
            <w:r>
              <w:rPr>
                <w:sz w:val="20"/>
              </w:rPr>
              <w:t>7000</w:t>
            </w:r>
          </w:p>
        </w:tc>
        <w:tc>
          <w:tcPr>
            <w:tcW w:w="2964" w:type="dxa"/>
          </w:tcPr>
          <w:p w14:paraId="32C8E390" w14:textId="77777777" w:rsidR="004E2EE1" w:rsidRDefault="004E2EE1" w:rsidP="00CD363C">
            <w:pPr>
              <w:pStyle w:val="TableParagraph"/>
              <w:ind w:left="108" w:right="107"/>
              <w:jc w:val="both"/>
              <w:rPr>
                <w:sz w:val="20"/>
              </w:rPr>
            </w:pPr>
            <w:r>
              <w:rPr>
                <w:sz w:val="20"/>
              </w:rPr>
              <w:t>Pamatdarbības izdevumi</w:t>
            </w:r>
          </w:p>
        </w:tc>
        <w:tc>
          <w:tcPr>
            <w:tcW w:w="1569" w:type="dxa"/>
          </w:tcPr>
          <w:p w14:paraId="5FCEC6E1" w14:textId="77777777" w:rsidR="004E2EE1" w:rsidRDefault="004E2EE1" w:rsidP="00CD363C">
            <w:pPr>
              <w:pStyle w:val="TableParagraph"/>
              <w:ind w:right="107"/>
              <w:jc w:val="both"/>
              <w:rPr>
                <w:sz w:val="20"/>
              </w:rPr>
            </w:pPr>
            <w:r>
              <w:rPr>
                <w:sz w:val="20"/>
              </w:rPr>
              <w:t>65 333,33</w:t>
            </w:r>
          </w:p>
        </w:tc>
      </w:tr>
      <w:tr w:rsidR="004E2EE1" w14:paraId="2AD42592" w14:textId="77777777" w:rsidTr="004E2EE1">
        <w:trPr>
          <w:trHeight w:val="253"/>
        </w:trPr>
        <w:tc>
          <w:tcPr>
            <w:tcW w:w="811" w:type="dxa"/>
            <w:vMerge/>
            <w:tcBorders>
              <w:top w:val="nil"/>
            </w:tcBorders>
          </w:tcPr>
          <w:p w14:paraId="026E27AC" w14:textId="77777777" w:rsidR="004E2EE1" w:rsidRDefault="004E2EE1" w:rsidP="00CD363C">
            <w:pPr>
              <w:spacing w:after="0" w:line="240" w:lineRule="auto"/>
              <w:ind w:right="107"/>
              <w:jc w:val="both"/>
              <w:rPr>
                <w:sz w:val="2"/>
                <w:szCs w:val="2"/>
              </w:rPr>
            </w:pPr>
          </w:p>
        </w:tc>
        <w:tc>
          <w:tcPr>
            <w:tcW w:w="3291" w:type="dxa"/>
          </w:tcPr>
          <w:p w14:paraId="56F49B71" w14:textId="77777777" w:rsidR="004E2EE1" w:rsidRDefault="004E2EE1" w:rsidP="00CD363C">
            <w:pPr>
              <w:pStyle w:val="TableParagraph"/>
              <w:ind w:left="107" w:right="107"/>
              <w:jc w:val="both"/>
              <w:rPr>
                <w:sz w:val="20"/>
              </w:rPr>
            </w:pPr>
            <w:r>
              <w:rPr>
                <w:sz w:val="20"/>
              </w:rPr>
              <w:t>K Uzkrātais nolietojums</w:t>
            </w:r>
          </w:p>
        </w:tc>
        <w:tc>
          <w:tcPr>
            <w:tcW w:w="986" w:type="dxa"/>
          </w:tcPr>
          <w:p w14:paraId="00FC3378" w14:textId="77777777" w:rsidR="004E2EE1" w:rsidRDefault="004E2EE1" w:rsidP="00CD363C">
            <w:pPr>
              <w:pStyle w:val="TableParagraph"/>
              <w:ind w:left="264" w:right="107"/>
              <w:jc w:val="both"/>
              <w:rPr>
                <w:sz w:val="20"/>
              </w:rPr>
            </w:pPr>
            <w:r>
              <w:rPr>
                <w:sz w:val="20"/>
              </w:rPr>
              <w:t>1291</w:t>
            </w:r>
          </w:p>
        </w:tc>
        <w:tc>
          <w:tcPr>
            <w:tcW w:w="2964" w:type="dxa"/>
          </w:tcPr>
          <w:p w14:paraId="664F3EE9" w14:textId="77777777" w:rsidR="004E2EE1" w:rsidRDefault="004E2EE1" w:rsidP="00CD363C">
            <w:pPr>
              <w:pStyle w:val="TableParagraph"/>
              <w:ind w:left="108" w:right="107"/>
              <w:jc w:val="both"/>
              <w:rPr>
                <w:sz w:val="20"/>
              </w:rPr>
            </w:pPr>
            <w:r>
              <w:rPr>
                <w:sz w:val="20"/>
              </w:rPr>
              <w:t>Būvju uzkrātais nolietojums</w:t>
            </w:r>
          </w:p>
        </w:tc>
        <w:tc>
          <w:tcPr>
            <w:tcW w:w="1569" w:type="dxa"/>
          </w:tcPr>
          <w:p w14:paraId="092D52F5" w14:textId="77777777" w:rsidR="004E2EE1" w:rsidRDefault="004E2EE1" w:rsidP="00CD363C">
            <w:pPr>
              <w:pStyle w:val="TableParagraph"/>
              <w:ind w:right="107"/>
              <w:jc w:val="both"/>
              <w:rPr>
                <w:sz w:val="20"/>
              </w:rPr>
            </w:pPr>
            <w:r>
              <w:rPr>
                <w:sz w:val="20"/>
              </w:rPr>
              <w:t>65 333,33</w:t>
            </w:r>
          </w:p>
        </w:tc>
      </w:tr>
    </w:tbl>
    <w:p w14:paraId="27B21E18" w14:textId="77777777" w:rsidR="00D1005B" w:rsidRPr="00C00830" w:rsidRDefault="00C00830" w:rsidP="00CD363C">
      <w:pPr>
        <w:pStyle w:val="Pamatteksts"/>
        <w:ind w:left="218" w:right="107"/>
        <w:jc w:val="both"/>
        <w:rPr>
          <w:i/>
          <w:iCs/>
          <w:sz w:val="18"/>
          <w:szCs w:val="18"/>
        </w:rPr>
      </w:pPr>
      <w:r>
        <w:rPr>
          <w:sz w:val="24"/>
          <w:szCs w:val="24"/>
        </w:rPr>
        <w:t xml:space="preserve">                                                                                         </w:t>
      </w:r>
      <w:r w:rsidRPr="00C00830">
        <w:rPr>
          <w:i/>
          <w:iCs/>
          <w:sz w:val="18"/>
          <w:szCs w:val="18"/>
        </w:rPr>
        <w:t>5.tabula Naudas plūsmas</w:t>
      </w:r>
    </w:p>
    <w:p w14:paraId="77394034" w14:textId="77777777" w:rsidR="00C00830" w:rsidRPr="00C00830" w:rsidRDefault="00C00830" w:rsidP="00CD363C">
      <w:pPr>
        <w:pStyle w:val="Pamatteksts"/>
        <w:ind w:left="218" w:right="107"/>
        <w:jc w:val="both"/>
        <w:rPr>
          <w:i/>
          <w:iCs/>
          <w:sz w:val="20"/>
          <w:szCs w:val="20"/>
        </w:rPr>
      </w:pPr>
      <w:r w:rsidRPr="00C00830">
        <w:rPr>
          <w:noProof/>
        </w:rPr>
        <w:drawing>
          <wp:inline distT="0" distB="0" distL="0" distR="0" wp14:anchorId="77C9260B" wp14:editId="7AC572FF">
            <wp:extent cx="6658723" cy="707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80736" cy="709729"/>
                    </a:xfrm>
                    <a:prstGeom prst="rect">
                      <a:avLst/>
                    </a:prstGeom>
                    <a:noFill/>
                    <a:ln>
                      <a:noFill/>
                    </a:ln>
                  </pic:spPr>
                </pic:pic>
              </a:graphicData>
            </a:graphic>
          </wp:inline>
        </w:drawing>
      </w:r>
      <w:r w:rsidRPr="00C00830">
        <w:rPr>
          <w:sz w:val="24"/>
          <w:szCs w:val="24"/>
        </w:rPr>
        <w:t xml:space="preserve">                                                                       </w:t>
      </w:r>
      <w:r w:rsidRPr="00C00830">
        <w:rPr>
          <w:i/>
          <w:iCs/>
          <w:sz w:val="20"/>
          <w:szCs w:val="20"/>
        </w:rPr>
        <w:t>6.tabula Aprēķini pārskata gada beigās līguma darbības</w:t>
      </w:r>
      <w:r w:rsidRPr="00C00830">
        <w:rPr>
          <w:i/>
          <w:iCs/>
          <w:spacing w:val="-22"/>
          <w:sz w:val="20"/>
          <w:szCs w:val="20"/>
        </w:rPr>
        <w:t xml:space="preserve"> </w:t>
      </w:r>
      <w:r w:rsidRPr="00C00830">
        <w:rPr>
          <w:i/>
          <w:iCs/>
          <w:sz w:val="20"/>
          <w:szCs w:val="20"/>
        </w:rPr>
        <w:t>laikā</w:t>
      </w:r>
    </w:p>
    <w:p w14:paraId="6A6101A6" w14:textId="77777777" w:rsidR="00E93146" w:rsidRPr="00C00830"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i/>
          <w:iCs/>
          <w:sz w:val="20"/>
          <w:szCs w:val="20"/>
        </w:rPr>
      </w:pPr>
    </w:p>
    <w:p w14:paraId="268939C3" w14:textId="77777777" w:rsidR="00621A84" w:rsidRDefault="00C00830" w:rsidP="00CD363C">
      <w:pPr>
        <w:widowControl w:val="0"/>
        <w:tabs>
          <w:tab w:val="left" w:pos="897"/>
          <w:tab w:val="left" w:pos="898"/>
        </w:tabs>
        <w:autoSpaceDE w:val="0"/>
        <w:autoSpaceDN w:val="0"/>
        <w:spacing w:after="0" w:line="240" w:lineRule="auto"/>
        <w:ind w:right="107"/>
        <w:jc w:val="both"/>
      </w:pPr>
      <w:r w:rsidRPr="00C00830">
        <w:rPr>
          <w:noProof/>
        </w:rPr>
        <w:drawing>
          <wp:inline distT="0" distB="0" distL="0" distR="0" wp14:anchorId="03D99C59" wp14:editId="4E4FB19C">
            <wp:extent cx="679859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22810" cy="2542676"/>
                    </a:xfrm>
                    <a:prstGeom prst="rect">
                      <a:avLst/>
                    </a:prstGeom>
                    <a:noFill/>
                    <a:ln>
                      <a:noFill/>
                    </a:ln>
                  </pic:spPr>
                </pic:pic>
              </a:graphicData>
            </a:graphic>
          </wp:inline>
        </w:drawing>
      </w:r>
    </w:p>
    <w:p w14:paraId="7979BC5D" w14:textId="77777777" w:rsidR="00C00830" w:rsidRDefault="00621A84" w:rsidP="00CD363C">
      <w:pPr>
        <w:widowControl w:val="0"/>
        <w:tabs>
          <w:tab w:val="left" w:pos="270"/>
          <w:tab w:val="left" w:pos="898"/>
        </w:tabs>
        <w:autoSpaceDE w:val="0"/>
        <w:autoSpaceDN w:val="0"/>
        <w:spacing w:after="0" w:line="240" w:lineRule="auto"/>
        <w:ind w:right="107"/>
        <w:jc w:val="both"/>
        <w:rPr>
          <w:b/>
          <w:i/>
          <w:sz w:val="20"/>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iCs/>
          <w:sz w:val="24"/>
          <w:szCs w:val="24"/>
        </w:rPr>
        <w:tab/>
      </w:r>
      <w:r w:rsidR="00C00830">
        <w:t>Komentāri 5. un 6.tabulai</w:t>
      </w:r>
    </w:p>
    <w:p w14:paraId="4E3C2369" w14:textId="77777777" w:rsidR="004E2EE1" w:rsidRDefault="00C00830" w:rsidP="00CD363C">
      <w:pPr>
        <w:pStyle w:val="Sarakstarindkopa"/>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rPr>
      </w:pPr>
      <w:r w:rsidRPr="009E1809">
        <w:rPr>
          <w:rFonts w:ascii="Times New Roman" w:hAnsi="Times New Roman" w:cs="Times New Roman"/>
        </w:rPr>
        <w:t xml:space="preserve">Periodā no trešā līdz astotajam gadam aprēķinātais nolietojums atbilst sākotnēji </w:t>
      </w:r>
    </w:p>
    <w:p w14:paraId="74275513" w14:textId="77777777" w:rsidR="00C00830" w:rsidRPr="009E1809" w:rsidRDefault="004E2EE1" w:rsidP="00CD363C">
      <w:pPr>
        <w:pStyle w:val="Sarakstarindkopa"/>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rPr>
      </w:pPr>
      <w:r>
        <w:rPr>
          <w:rFonts w:ascii="Times New Roman" w:hAnsi="Times New Roman" w:cs="Times New Roman"/>
        </w:rPr>
        <w:t>i</w:t>
      </w:r>
      <w:r w:rsidR="00C00830" w:rsidRPr="009E1809">
        <w:rPr>
          <w:rFonts w:ascii="Times New Roman" w:hAnsi="Times New Roman" w:cs="Times New Roman"/>
        </w:rPr>
        <w:t>zbūvētā ceļa seguma nolietojumam. To šajā periodā pilnībā nolieto. Periodā no devītā līdz desmitajam gadam aprēķinātais nolietojums atbilst jaunās, astotajā gadā atzītās, partnerības aktīva komponentes (seguma) nolietojumam.</w:t>
      </w:r>
    </w:p>
    <w:p w14:paraId="23F7A341" w14:textId="77777777" w:rsidR="00C00830" w:rsidRPr="009E1809" w:rsidRDefault="00C00830" w:rsidP="00CD363C">
      <w:pPr>
        <w:pStyle w:val="Sarakstarindkopa"/>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rPr>
      </w:pPr>
      <w:r w:rsidRPr="009E1809">
        <w:rPr>
          <w:rFonts w:ascii="Times New Roman" w:hAnsi="Times New Roman" w:cs="Times New Roman"/>
        </w:rPr>
        <w:t>Šajos ilustratīvajos piemēros nolietojuma aprēķināšanai izmantota lineārā</w:t>
      </w:r>
      <w:r w:rsidRPr="009E1809">
        <w:rPr>
          <w:rFonts w:ascii="Times New Roman" w:hAnsi="Times New Roman" w:cs="Times New Roman"/>
          <w:spacing w:val="-4"/>
        </w:rPr>
        <w:t xml:space="preserve"> </w:t>
      </w:r>
      <w:r w:rsidRPr="009E1809">
        <w:rPr>
          <w:rFonts w:ascii="Times New Roman" w:hAnsi="Times New Roman" w:cs="Times New Roman"/>
        </w:rPr>
        <w:t>metode.</w:t>
      </w:r>
    </w:p>
    <w:p w14:paraId="6E3EB712" w14:textId="77777777" w:rsidR="00621A84" w:rsidRPr="000C00DE" w:rsidRDefault="00C00830" w:rsidP="00CD363C">
      <w:pPr>
        <w:widowControl w:val="0"/>
        <w:tabs>
          <w:tab w:val="left" w:pos="420"/>
          <w:tab w:val="left" w:pos="898"/>
        </w:tabs>
        <w:autoSpaceDE w:val="0"/>
        <w:autoSpaceDN w:val="0"/>
        <w:spacing w:after="0" w:line="240" w:lineRule="auto"/>
        <w:ind w:right="107"/>
        <w:jc w:val="both"/>
        <w:rPr>
          <w:rFonts w:ascii="Times New Roman" w:hAnsi="Times New Roman" w:cs="Times New Roman"/>
          <w:b/>
          <w:bCs/>
          <w:iCs/>
          <w:sz w:val="24"/>
          <w:szCs w:val="24"/>
        </w:rPr>
      </w:pPr>
      <w:r w:rsidRPr="00C00830">
        <w:rPr>
          <w:rFonts w:ascii="Times New Roman" w:hAnsi="Times New Roman" w:cs="Times New Roman"/>
          <w:i/>
          <w:sz w:val="18"/>
          <w:szCs w:val="18"/>
        </w:rPr>
        <w:t xml:space="preserve">                                                   7.tabula</w:t>
      </w:r>
      <w:r>
        <w:rPr>
          <w:rFonts w:ascii="Times New Roman" w:hAnsi="Times New Roman" w:cs="Times New Roman"/>
          <w:b/>
          <w:bCs/>
          <w:iCs/>
          <w:sz w:val="24"/>
          <w:szCs w:val="24"/>
        </w:rPr>
        <w:t xml:space="preserve">     </w:t>
      </w:r>
      <w:r>
        <w:rPr>
          <w:i/>
          <w:sz w:val="20"/>
        </w:rPr>
        <w:t>Pārskatā par finansiālo stāvokli uzrādāmā informācija</w:t>
      </w:r>
      <w:r>
        <w:rPr>
          <w:i/>
          <w:spacing w:val="-9"/>
          <w:sz w:val="20"/>
        </w:rPr>
        <w:t xml:space="preserve"> </w:t>
      </w:r>
      <w:r>
        <w:rPr>
          <w:i/>
          <w:sz w:val="20"/>
        </w:rPr>
        <w:t>(EUR)</w:t>
      </w:r>
    </w:p>
    <w:p w14:paraId="77023229" w14:textId="77777777" w:rsidR="00C00830" w:rsidRDefault="00812262" w:rsidP="00CD363C">
      <w:pPr>
        <w:pStyle w:val="Virsraksts7"/>
        <w:spacing w:before="0" w:line="240" w:lineRule="auto"/>
        <w:ind w:left="678" w:right="107"/>
        <w:jc w:val="both"/>
      </w:pPr>
      <w:r>
        <w:rPr>
          <w:i w:val="0"/>
          <w:sz w:val="20"/>
        </w:rPr>
        <w:t xml:space="preserve"> </w:t>
      </w:r>
      <w:r w:rsidR="00C00830" w:rsidRPr="00C00830">
        <w:rPr>
          <w:noProof/>
          <w:color w:val="000000" w:themeColor="text1"/>
        </w:rPr>
        <w:drawing>
          <wp:inline distT="0" distB="0" distL="0" distR="0" wp14:anchorId="625D9F1D" wp14:editId="3CADF586">
            <wp:extent cx="646938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8584" cy="1507091"/>
                    </a:xfrm>
                    <a:prstGeom prst="rect">
                      <a:avLst/>
                    </a:prstGeom>
                    <a:noFill/>
                    <a:ln>
                      <a:noFill/>
                    </a:ln>
                  </pic:spPr>
                </pic:pic>
              </a:graphicData>
            </a:graphic>
          </wp:inline>
        </w:drawing>
      </w:r>
      <w:r w:rsidR="00C00830" w:rsidRPr="00C00830">
        <w:t xml:space="preserve"> </w:t>
      </w:r>
      <w:r w:rsidR="00C00830">
        <w:t>Komentāri 7.tabulai</w:t>
      </w:r>
    </w:p>
    <w:p w14:paraId="2A4B3C37" w14:textId="77777777" w:rsidR="00C00830" w:rsidRDefault="00C00830" w:rsidP="00CD363C">
      <w:pPr>
        <w:pStyle w:val="Pamatteksts"/>
        <w:ind w:right="107"/>
        <w:jc w:val="both"/>
        <w:rPr>
          <w:b/>
          <w:i/>
          <w:sz w:val="20"/>
        </w:rPr>
      </w:pPr>
    </w:p>
    <w:p w14:paraId="2351E46C" w14:textId="77777777" w:rsidR="00C00830" w:rsidRPr="00C00830" w:rsidRDefault="00C00830" w:rsidP="00CD363C">
      <w:pPr>
        <w:pStyle w:val="Sarakstarindkopa"/>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sz w:val="24"/>
          <w:szCs w:val="24"/>
        </w:rPr>
      </w:pPr>
      <w:r w:rsidRPr="00C00830">
        <w:rPr>
          <w:rFonts w:ascii="Times New Roman" w:hAnsi="Times New Roman" w:cs="Times New Roman"/>
          <w:sz w:val="24"/>
          <w:szCs w:val="24"/>
        </w:rPr>
        <w:t xml:space="preserve">Piemērā seguma atjaunošana veikta astotajā gadā, kā paredzēts, kad sākotnējais ceļa segums ir pilnībā nolietots. Ja segumu atjaunotu ātrāk, sākotnējais ceļa segums nebūtu pilnībā nolietots un tas būtu jāizslēdz no uzskaites saskaņā ar </w:t>
      </w:r>
      <w:r w:rsidR="00424C78">
        <w:rPr>
          <w:rFonts w:ascii="Times New Roman" w:hAnsi="Times New Roman" w:cs="Times New Roman"/>
          <w:sz w:val="24"/>
          <w:szCs w:val="24"/>
        </w:rPr>
        <w:t>Grāmatvedības uzskaites kārtības</w:t>
      </w:r>
      <w:r w:rsidRPr="00C00830">
        <w:rPr>
          <w:rFonts w:ascii="Times New Roman" w:hAnsi="Times New Roman" w:cs="Times New Roman"/>
          <w:sz w:val="24"/>
          <w:szCs w:val="24"/>
        </w:rPr>
        <w:t xml:space="preserve"> sadaļu</w:t>
      </w:r>
      <w:r w:rsidRPr="00C00830">
        <w:rPr>
          <w:rFonts w:ascii="Times New Roman" w:hAnsi="Times New Roman" w:cs="Times New Roman"/>
          <w:color w:val="0462C1"/>
          <w:sz w:val="24"/>
          <w:szCs w:val="24"/>
        </w:rPr>
        <w:t xml:space="preserve"> </w:t>
      </w:r>
      <w:r w:rsidRPr="00C00830">
        <w:rPr>
          <w:rFonts w:ascii="Times New Roman" w:hAnsi="Times New Roman" w:cs="Times New Roman"/>
          <w:color w:val="0462C1"/>
          <w:sz w:val="24"/>
          <w:szCs w:val="24"/>
          <w:u w:val="single" w:color="0462C1"/>
        </w:rPr>
        <w:t>“</w:t>
      </w:r>
      <w:hyperlink w:anchor="_bookmark33" w:history="1">
        <w:r w:rsidRPr="00C00830">
          <w:rPr>
            <w:rFonts w:ascii="Times New Roman" w:hAnsi="Times New Roman" w:cs="Times New Roman"/>
            <w:color w:val="0462C1"/>
            <w:sz w:val="24"/>
            <w:szCs w:val="24"/>
            <w:u w:val="single" w:color="0462C1"/>
          </w:rPr>
          <w:t>Pamatlīdzekļu uzskaite</w:t>
        </w:r>
      </w:hyperlink>
      <w:r w:rsidRPr="00C00830">
        <w:rPr>
          <w:rFonts w:ascii="Times New Roman" w:hAnsi="Times New Roman" w:cs="Times New Roman"/>
          <w:color w:val="0462C1"/>
          <w:sz w:val="24"/>
          <w:szCs w:val="24"/>
          <w:u w:val="single" w:color="0462C1"/>
        </w:rPr>
        <w:t>”</w:t>
      </w:r>
      <w:r w:rsidRPr="00C00830">
        <w:rPr>
          <w:rFonts w:ascii="Times New Roman" w:hAnsi="Times New Roman" w:cs="Times New Roman"/>
          <w:color w:val="0462C1"/>
          <w:sz w:val="24"/>
          <w:szCs w:val="24"/>
        </w:rPr>
        <w:t xml:space="preserve"> </w:t>
      </w:r>
      <w:r w:rsidRPr="00C00830">
        <w:rPr>
          <w:rFonts w:ascii="Times New Roman" w:hAnsi="Times New Roman" w:cs="Times New Roman"/>
          <w:sz w:val="24"/>
          <w:szCs w:val="24"/>
        </w:rPr>
        <w:t>pirms atzīst jauno partnerības aktīva komponenti, kas izveidota, atjaunojot ceļa</w:t>
      </w:r>
      <w:r w:rsidRPr="00C00830">
        <w:rPr>
          <w:rFonts w:ascii="Times New Roman" w:hAnsi="Times New Roman" w:cs="Times New Roman"/>
          <w:spacing w:val="-4"/>
          <w:sz w:val="24"/>
          <w:szCs w:val="24"/>
        </w:rPr>
        <w:t xml:space="preserve"> </w:t>
      </w:r>
      <w:r w:rsidRPr="00C00830">
        <w:rPr>
          <w:rFonts w:ascii="Times New Roman" w:hAnsi="Times New Roman" w:cs="Times New Roman"/>
          <w:sz w:val="24"/>
          <w:szCs w:val="24"/>
        </w:rPr>
        <w:t>segumu.</w:t>
      </w:r>
    </w:p>
    <w:p w14:paraId="17B4BFEE" w14:textId="77777777" w:rsidR="00C00830" w:rsidRPr="00C00830" w:rsidRDefault="00C00830" w:rsidP="00CD363C">
      <w:pPr>
        <w:pStyle w:val="Sarakstarindkopa"/>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sz w:val="24"/>
          <w:szCs w:val="24"/>
        </w:rPr>
      </w:pPr>
      <w:r w:rsidRPr="00C00830">
        <w:rPr>
          <w:rFonts w:ascii="Times New Roman" w:hAnsi="Times New Roman" w:cs="Times New Roman"/>
          <w:sz w:val="24"/>
          <w:szCs w:val="24"/>
        </w:rPr>
        <w:t>Jauno partnerības aktīva komponenti, kas izveidota, atjaunojot ceļa segumu, atzīst astotajā gadā. Devītajā un desmitajā gadā aprēķinātais nolietojums uzrāda šīs jaunās komponentes nolietojumu (skat.</w:t>
      </w:r>
      <w:r w:rsidRPr="00C00830">
        <w:rPr>
          <w:rFonts w:ascii="Times New Roman" w:hAnsi="Times New Roman" w:cs="Times New Roman"/>
          <w:spacing w:val="-8"/>
          <w:sz w:val="24"/>
          <w:szCs w:val="24"/>
        </w:rPr>
        <w:t xml:space="preserve"> </w:t>
      </w:r>
      <w:r w:rsidRPr="00C00830">
        <w:rPr>
          <w:rFonts w:ascii="Times New Roman" w:hAnsi="Times New Roman" w:cs="Times New Roman"/>
          <w:sz w:val="24"/>
          <w:szCs w:val="24"/>
        </w:rPr>
        <w:t>8.tabulu).</w:t>
      </w:r>
    </w:p>
    <w:p w14:paraId="0C33C5E3" w14:textId="77777777" w:rsidR="00C00830" w:rsidRPr="00C00830" w:rsidRDefault="00C00830" w:rsidP="00CD363C">
      <w:pPr>
        <w:pStyle w:val="Sarakstarindkopa"/>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sz w:val="24"/>
          <w:szCs w:val="24"/>
        </w:rPr>
      </w:pPr>
      <w:r w:rsidRPr="00C00830">
        <w:rPr>
          <w:rFonts w:ascii="Times New Roman" w:hAnsi="Times New Roman" w:cs="Times New Roman"/>
          <w:sz w:val="24"/>
          <w:szCs w:val="24"/>
        </w:rPr>
        <w:t>Finanšu saistības palielinās astotajā gadā par jaunās atzītās partnerības aktīva komponentes</w:t>
      </w:r>
      <w:r w:rsidRPr="00C00830">
        <w:rPr>
          <w:rFonts w:ascii="Times New Roman" w:hAnsi="Times New Roman" w:cs="Times New Roman"/>
          <w:spacing w:val="-10"/>
          <w:sz w:val="24"/>
          <w:szCs w:val="24"/>
        </w:rPr>
        <w:t xml:space="preserve"> </w:t>
      </w:r>
      <w:r w:rsidRPr="00C00830">
        <w:rPr>
          <w:rFonts w:ascii="Times New Roman" w:hAnsi="Times New Roman" w:cs="Times New Roman"/>
          <w:sz w:val="24"/>
          <w:szCs w:val="24"/>
        </w:rPr>
        <w:t>summu.</w:t>
      </w:r>
    </w:p>
    <w:p w14:paraId="393B4053" w14:textId="77777777" w:rsidR="00812262" w:rsidRDefault="00812262" w:rsidP="00CD363C">
      <w:pPr>
        <w:widowControl w:val="0"/>
        <w:tabs>
          <w:tab w:val="left" w:pos="12758"/>
        </w:tabs>
        <w:autoSpaceDE w:val="0"/>
        <w:autoSpaceDN w:val="0"/>
        <w:spacing w:after="0" w:line="240" w:lineRule="auto"/>
        <w:ind w:left="426" w:right="107" w:hanging="142"/>
        <w:jc w:val="both"/>
        <w:rPr>
          <w:i/>
          <w:sz w:val="20"/>
        </w:rPr>
      </w:pPr>
      <w:r>
        <w:rPr>
          <w:i/>
          <w:sz w:val="20"/>
        </w:rPr>
        <w:t xml:space="preserve">                                                                                           </w:t>
      </w:r>
    </w:p>
    <w:p w14:paraId="311F8619" w14:textId="77777777" w:rsidR="009E1809" w:rsidRDefault="009E1809" w:rsidP="00CD363C">
      <w:pPr>
        <w:widowControl w:val="0"/>
        <w:tabs>
          <w:tab w:val="left" w:pos="4695"/>
          <w:tab w:val="left" w:pos="5340"/>
        </w:tabs>
        <w:autoSpaceDE w:val="0"/>
        <w:autoSpaceDN w:val="0"/>
        <w:spacing w:after="0" w:line="240" w:lineRule="auto"/>
        <w:ind w:right="107"/>
        <w:jc w:val="both"/>
        <w:rPr>
          <w:iCs/>
          <w:sz w:val="20"/>
        </w:rPr>
      </w:pPr>
      <w:r>
        <w:rPr>
          <w:iCs/>
          <w:sz w:val="20"/>
        </w:rPr>
        <w:tab/>
      </w:r>
    </w:p>
    <w:p w14:paraId="21682DAC" w14:textId="77777777" w:rsidR="00812262" w:rsidRDefault="009E1809" w:rsidP="00CD363C">
      <w:pPr>
        <w:widowControl w:val="0"/>
        <w:tabs>
          <w:tab w:val="left" w:pos="4695"/>
          <w:tab w:val="left" w:pos="5340"/>
        </w:tabs>
        <w:autoSpaceDE w:val="0"/>
        <w:autoSpaceDN w:val="0"/>
        <w:spacing w:after="0" w:line="240" w:lineRule="auto"/>
        <w:ind w:right="107"/>
        <w:jc w:val="both"/>
        <w:rPr>
          <w:i/>
          <w:sz w:val="20"/>
        </w:rPr>
      </w:pPr>
      <w:r>
        <w:rPr>
          <w:iCs/>
          <w:sz w:val="20"/>
        </w:rPr>
        <w:t xml:space="preserve">                                                                                   </w:t>
      </w:r>
      <w:r w:rsidRPr="009E1809">
        <w:rPr>
          <w:i/>
          <w:sz w:val="18"/>
          <w:szCs w:val="18"/>
        </w:rPr>
        <w:t>8.tabula</w:t>
      </w:r>
      <w:r>
        <w:rPr>
          <w:iCs/>
          <w:sz w:val="20"/>
        </w:rPr>
        <w:tab/>
      </w:r>
      <w:r>
        <w:rPr>
          <w:i/>
          <w:sz w:val="20"/>
        </w:rPr>
        <w:t>Izmaiņas finanšu saistībās</w:t>
      </w:r>
      <w:r>
        <w:rPr>
          <w:i/>
          <w:spacing w:val="-19"/>
          <w:sz w:val="20"/>
        </w:rPr>
        <w:t xml:space="preserve"> </w:t>
      </w:r>
      <w:r>
        <w:rPr>
          <w:i/>
          <w:sz w:val="20"/>
        </w:rPr>
        <w:t>(EUR</w:t>
      </w:r>
    </w:p>
    <w:p w14:paraId="34ACE8FD" w14:textId="77777777" w:rsidR="00812262" w:rsidRPr="00C00830" w:rsidRDefault="009E1809" w:rsidP="00CD363C">
      <w:pPr>
        <w:widowControl w:val="0"/>
        <w:tabs>
          <w:tab w:val="left" w:pos="12758"/>
        </w:tabs>
        <w:autoSpaceDE w:val="0"/>
        <w:autoSpaceDN w:val="0"/>
        <w:spacing w:after="0" w:line="240" w:lineRule="auto"/>
        <w:ind w:left="-142" w:right="107" w:firstLine="426"/>
        <w:jc w:val="both"/>
        <w:rPr>
          <w:iCs/>
          <w:sz w:val="20"/>
        </w:rPr>
      </w:pPr>
      <w:r w:rsidRPr="009E1809">
        <w:rPr>
          <w:noProof/>
        </w:rPr>
        <w:drawing>
          <wp:inline distT="0" distB="0" distL="0" distR="0" wp14:anchorId="78B0F549" wp14:editId="37BEE908">
            <wp:extent cx="6546850" cy="25620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99305" cy="2582590"/>
                    </a:xfrm>
                    <a:prstGeom prst="rect">
                      <a:avLst/>
                    </a:prstGeom>
                    <a:noFill/>
                    <a:ln>
                      <a:noFill/>
                    </a:ln>
                  </pic:spPr>
                </pic:pic>
              </a:graphicData>
            </a:graphic>
          </wp:inline>
        </w:drawing>
      </w:r>
    </w:p>
    <w:p w14:paraId="68731304" w14:textId="77777777" w:rsidR="009E1809" w:rsidRDefault="000C15FC" w:rsidP="00CD363C">
      <w:pPr>
        <w:pStyle w:val="Virsraksts4"/>
        <w:tabs>
          <w:tab w:val="left" w:pos="600"/>
        </w:tabs>
        <w:spacing w:before="0"/>
        <w:ind w:left="284" w:right="107" w:hanging="142"/>
        <w:jc w:val="both"/>
      </w:pPr>
      <w:r>
        <w:rPr>
          <w:color w:val="002069"/>
        </w:rPr>
        <w:t>Piemērs.</w:t>
      </w:r>
      <w:r w:rsidR="009E1809">
        <w:rPr>
          <w:color w:val="002069"/>
        </w:rPr>
        <w:t>Budžeta iestāde veic privātajam partnerim vairākus iepriekš noteiktus maksājumus un piešķir privātajam partnerim arī tiesības iekasēt samaksu par maksas ceļa</w:t>
      </w:r>
      <w:r w:rsidR="009E1809">
        <w:rPr>
          <w:color w:val="002069"/>
          <w:spacing w:val="-8"/>
        </w:rPr>
        <w:t xml:space="preserve"> </w:t>
      </w:r>
      <w:r w:rsidR="009E1809">
        <w:rPr>
          <w:color w:val="002069"/>
        </w:rPr>
        <w:t>izmantošanu</w:t>
      </w:r>
    </w:p>
    <w:p w14:paraId="21AD69E1" w14:textId="77777777" w:rsidR="009E1809" w:rsidRDefault="009E1809" w:rsidP="00CD363C">
      <w:pPr>
        <w:pStyle w:val="Virsraksts6"/>
        <w:ind w:left="118" w:right="107"/>
        <w:jc w:val="both"/>
      </w:pPr>
      <w:r>
        <w:t>Papildu nosacījumi</w:t>
      </w:r>
    </w:p>
    <w:p w14:paraId="14C3A605" w14:textId="77777777" w:rsidR="009E1809" w:rsidRPr="009E1809" w:rsidRDefault="009E1809" w:rsidP="00CD363C">
      <w:pPr>
        <w:pStyle w:val="Pamatteksts"/>
        <w:ind w:left="118" w:right="107"/>
        <w:jc w:val="both"/>
        <w:rPr>
          <w:sz w:val="24"/>
          <w:szCs w:val="24"/>
        </w:rPr>
      </w:pPr>
      <w:r w:rsidRPr="009E1809">
        <w:rPr>
          <w:sz w:val="24"/>
          <w:szCs w:val="24"/>
        </w:rPr>
        <w:t>832. Līguma nosacījumi ļauj privātajam partnerim iekasēt no autovadītājiem samaksu par ceļa izmantošanu. Privātais partneris prognozē, ka automašīnu skaits līguma darbības laikā nemainīsies un ka laika posmā no trešā</w:t>
      </w:r>
      <w:r w:rsidRPr="009E1809">
        <w:rPr>
          <w:spacing w:val="-11"/>
          <w:sz w:val="24"/>
          <w:szCs w:val="24"/>
        </w:rPr>
        <w:t xml:space="preserve"> </w:t>
      </w:r>
      <w:r w:rsidRPr="009E1809">
        <w:rPr>
          <w:sz w:val="24"/>
          <w:szCs w:val="24"/>
        </w:rPr>
        <w:t>līdz</w:t>
      </w:r>
      <w:r w:rsidRPr="009E1809">
        <w:rPr>
          <w:spacing w:val="-11"/>
          <w:sz w:val="24"/>
          <w:szCs w:val="24"/>
        </w:rPr>
        <w:t xml:space="preserve"> </w:t>
      </w:r>
      <w:r w:rsidRPr="009E1809">
        <w:rPr>
          <w:sz w:val="24"/>
          <w:szCs w:val="24"/>
        </w:rPr>
        <w:t>desmitajam</w:t>
      </w:r>
      <w:r w:rsidRPr="009E1809">
        <w:rPr>
          <w:spacing w:val="-13"/>
          <w:sz w:val="24"/>
          <w:szCs w:val="24"/>
        </w:rPr>
        <w:t xml:space="preserve"> </w:t>
      </w:r>
      <w:r w:rsidRPr="009E1809">
        <w:rPr>
          <w:sz w:val="24"/>
          <w:szCs w:val="24"/>
        </w:rPr>
        <w:t>gadam</w:t>
      </w:r>
      <w:r w:rsidRPr="009E1809">
        <w:rPr>
          <w:spacing w:val="-10"/>
          <w:sz w:val="24"/>
          <w:szCs w:val="24"/>
        </w:rPr>
        <w:t xml:space="preserve"> </w:t>
      </w:r>
      <w:r w:rsidRPr="009E1809">
        <w:rPr>
          <w:sz w:val="24"/>
          <w:szCs w:val="24"/>
        </w:rPr>
        <w:t>katru</w:t>
      </w:r>
      <w:r w:rsidRPr="009E1809">
        <w:rPr>
          <w:spacing w:val="-10"/>
          <w:sz w:val="24"/>
          <w:szCs w:val="24"/>
        </w:rPr>
        <w:t xml:space="preserve"> </w:t>
      </w:r>
      <w:r w:rsidRPr="009E1809">
        <w:rPr>
          <w:sz w:val="24"/>
          <w:szCs w:val="24"/>
        </w:rPr>
        <w:t>gadu</w:t>
      </w:r>
      <w:r w:rsidRPr="009E1809">
        <w:rPr>
          <w:spacing w:val="-8"/>
          <w:sz w:val="24"/>
          <w:szCs w:val="24"/>
        </w:rPr>
        <w:t xml:space="preserve"> </w:t>
      </w:r>
      <w:r w:rsidRPr="009E1809">
        <w:rPr>
          <w:sz w:val="24"/>
          <w:szCs w:val="24"/>
        </w:rPr>
        <w:t>varēs</w:t>
      </w:r>
      <w:r w:rsidRPr="009E1809">
        <w:rPr>
          <w:spacing w:val="-11"/>
          <w:sz w:val="24"/>
          <w:szCs w:val="24"/>
        </w:rPr>
        <w:t xml:space="preserve"> </w:t>
      </w:r>
      <w:r w:rsidRPr="009E1809">
        <w:rPr>
          <w:sz w:val="24"/>
          <w:szCs w:val="24"/>
        </w:rPr>
        <w:t>iekasēt</w:t>
      </w:r>
      <w:r w:rsidRPr="009E1809">
        <w:rPr>
          <w:spacing w:val="-10"/>
          <w:sz w:val="24"/>
          <w:szCs w:val="24"/>
        </w:rPr>
        <w:t xml:space="preserve"> </w:t>
      </w:r>
      <w:r w:rsidRPr="009E1809">
        <w:rPr>
          <w:sz w:val="24"/>
          <w:szCs w:val="24"/>
        </w:rPr>
        <w:t>ceļa</w:t>
      </w:r>
      <w:r w:rsidRPr="009E1809">
        <w:rPr>
          <w:spacing w:val="-11"/>
          <w:sz w:val="24"/>
          <w:szCs w:val="24"/>
        </w:rPr>
        <w:t xml:space="preserve"> </w:t>
      </w:r>
      <w:r w:rsidRPr="009E1809">
        <w:rPr>
          <w:sz w:val="24"/>
          <w:szCs w:val="24"/>
        </w:rPr>
        <w:t>maksu</w:t>
      </w:r>
      <w:r w:rsidRPr="009E1809">
        <w:rPr>
          <w:spacing w:val="-9"/>
          <w:sz w:val="24"/>
          <w:szCs w:val="24"/>
        </w:rPr>
        <w:t xml:space="preserve"> </w:t>
      </w:r>
      <w:r w:rsidRPr="009E1809">
        <w:rPr>
          <w:sz w:val="24"/>
          <w:szCs w:val="24"/>
        </w:rPr>
        <w:t>100</w:t>
      </w:r>
      <w:r w:rsidRPr="009E1809">
        <w:rPr>
          <w:spacing w:val="1"/>
          <w:sz w:val="24"/>
          <w:szCs w:val="24"/>
        </w:rPr>
        <w:t xml:space="preserve"> </w:t>
      </w:r>
      <w:r w:rsidRPr="009E1809">
        <w:rPr>
          <w:sz w:val="24"/>
          <w:szCs w:val="24"/>
        </w:rPr>
        <w:t>000,00</w:t>
      </w:r>
      <w:r w:rsidRPr="009E1809">
        <w:rPr>
          <w:spacing w:val="-11"/>
          <w:sz w:val="24"/>
          <w:szCs w:val="24"/>
        </w:rPr>
        <w:t xml:space="preserve"> </w:t>
      </w:r>
      <w:r w:rsidRPr="009E1809">
        <w:rPr>
          <w:sz w:val="24"/>
          <w:szCs w:val="24"/>
        </w:rPr>
        <w:t>EUR</w:t>
      </w:r>
      <w:r w:rsidRPr="009E1809">
        <w:rPr>
          <w:spacing w:val="-10"/>
          <w:sz w:val="24"/>
          <w:szCs w:val="24"/>
        </w:rPr>
        <w:t xml:space="preserve"> </w:t>
      </w:r>
      <w:r w:rsidRPr="009E1809">
        <w:rPr>
          <w:sz w:val="24"/>
          <w:szCs w:val="24"/>
        </w:rPr>
        <w:t>apmērā.</w:t>
      </w:r>
      <w:r w:rsidRPr="009E1809">
        <w:rPr>
          <w:spacing w:val="-8"/>
          <w:sz w:val="24"/>
          <w:szCs w:val="24"/>
        </w:rPr>
        <w:t xml:space="preserve"> </w:t>
      </w:r>
      <w:r w:rsidRPr="009E1809">
        <w:rPr>
          <w:sz w:val="24"/>
          <w:szCs w:val="24"/>
        </w:rPr>
        <w:t>Saskaņā</w:t>
      </w:r>
      <w:r w:rsidRPr="009E1809">
        <w:rPr>
          <w:spacing w:val="-9"/>
          <w:sz w:val="24"/>
          <w:szCs w:val="24"/>
        </w:rPr>
        <w:t xml:space="preserve"> </w:t>
      </w:r>
      <w:r w:rsidRPr="009E1809">
        <w:rPr>
          <w:sz w:val="24"/>
          <w:szCs w:val="24"/>
        </w:rPr>
        <w:t>ar</w:t>
      </w:r>
      <w:r w:rsidRPr="009E1809">
        <w:rPr>
          <w:spacing w:val="-10"/>
          <w:sz w:val="24"/>
          <w:szCs w:val="24"/>
        </w:rPr>
        <w:t xml:space="preserve"> </w:t>
      </w:r>
      <w:r w:rsidRPr="009E1809">
        <w:rPr>
          <w:sz w:val="24"/>
          <w:szCs w:val="24"/>
        </w:rPr>
        <w:t>līgumu budžeta iestādei katru gadu privātajam partnerim jāveic arī iepriekš noteikti maksājumi 100 000,00 EUR apmērā. Tiek uzskatīts, ka privātā partnera atlīdzība sastāv no tiesību iekasēt ceļa maksu patiesās vērtības un iepriekš noteiktajiem maksājumiem vienādā apmērā (t.i., 50% no katra privātajam partnerim pienākošās atlīdzības</w:t>
      </w:r>
      <w:r w:rsidRPr="009E1809">
        <w:rPr>
          <w:spacing w:val="-1"/>
          <w:sz w:val="24"/>
          <w:szCs w:val="24"/>
        </w:rPr>
        <w:t xml:space="preserve"> </w:t>
      </w:r>
      <w:r w:rsidRPr="009E1809">
        <w:rPr>
          <w:sz w:val="24"/>
          <w:szCs w:val="24"/>
        </w:rPr>
        <w:t>veida).</w:t>
      </w:r>
    </w:p>
    <w:p w14:paraId="30C4DA05" w14:textId="77777777" w:rsidR="009E1809" w:rsidRPr="009E1809" w:rsidRDefault="009E1809" w:rsidP="00CD363C">
      <w:pPr>
        <w:pStyle w:val="Pamatteksts"/>
        <w:ind w:left="118" w:right="107"/>
        <w:jc w:val="both"/>
        <w:rPr>
          <w:sz w:val="24"/>
          <w:szCs w:val="24"/>
        </w:rPr>
      </w:pPr>
      <w:r w:rsidRPr="009E1809">
        <w:rPr>
          <w:sz w:val="24"/>
          <w:szCs w:val="24"/>
        </w:rPr>
        <w:t>Budžeta  iestāde   sākotnēji   atzīst   partnerības   aktīvu   kā   pamatlīdzekli   tā   patiesajā   vērtībā   (kopā   1</w:t>
      </w:r>
      <w:r w:rsidRPr="009E1809">
        <w:rPr>
          <w:spacing w:val="-2"/>
          <w:sz w:val="24"/>
          <w:szCs w:val="24"/>
        </w:rPr>
        <w:t xml:space="preserve"> </w:t>
      </w:r>
      <w:r w:rsidRPr="009E1809">
        <w:rPr>
          <w:sz w:val="24"/>
          <w:szCs w:val="24"/>
        </w:rPr>
        <w:t>050</w:t>
      </w:r>
      <w:r w:rsidRPr="009E1809">
        <w:rPr>
          <w:spacing w:val="-2"/>
          <w:sz w:val="24"/>
          <w:szCs w:val="24"/>
        </w:rPr>
        <w:t xml:space="preserve"> </w:t>
      </w:r>
      <w:r w:rsidRPr="009E1809">
        <w:rPr>
          <w:sz w:val="24"/>
          <w:szCs w:val="24"/>
        </w:rPr>
        <w:t>000,00</w:t>
      </w:r>
      <w:r w:rsidRPr="009E1809">
        <w:rPr>
          <w:spacing w:val="-2"/>
          <w:sz w:val="24"/>
          <w:szCs w:val="24"/>
        </w:rPr>
        <w:t xml:space="preserve"> </w:t>
      </w:r>
      <w:r w:rsidRPr="009E1809">
        <w:rPr>
          <w:sz w:val="24"/>
          <w:szCs w:val="24"/>
        </w:rPr>
        <w:t>EUR,</w:t>
      </w:r>
      <w:r w:rsidRPr="009E1809">
        <w:rPr>
          <w:spacing w:val="-14"/>
          <w:sz w:val="24"/>
          <w:szCs w:val="24"/>
        </w:rPr>
        <w:t xml:space="preserve"> </w:t>
      </w:r>
      <w:r w:rsidRPr="009E1809">
        <w:rPr>
          <w:sz w:val="24"/>
          <w:szCs w:val="24"/>
        </w:rPr>
        <w:t>ko</w:t>
      </w:r>
      <w:r w:rsidRPr="009E1809">
        <w:rPr>
          <w:spacing w:val="-13"/>
          <w:sz w:val="24"/>
          <w:szCs w:val="24"/>
        </w:rPr>
        <w:t xml:space="preserve"> </w:t>
      </w:r>
      <w:r w:rsidRPr="009E1809">
        <w:rPr>
          <w:sz w:val="24"/>
          <w:szCs w:val="24"/>
        </w:rPr>
        <w:t>veido</w:t>
      </w:r>
      <w:r w:rsidRPr="009E1809">
        <w:rPr>
          <w:spacing w:val="-14"/>
          <w:sz w:val="24"/>
          <w:szCs w:val="24"/>
        </w:rPr>
        <w:t xml:space="preserve"> </w:t>
      </w:r>
      <w:r w:rsidRPr="009E1809">
        <w:rPr>
          <w:sz w:val="24"/>
          <w:szCs w:val="24"/>
        </w:rPr>
        <w:t>ceļa</w:t>
      </w:r>
      <w:r w:rsidRPr="009E1809">
        <w:rPr>
          <w:spacing w:val="-15"/>
          <w:sz w:val="24"/>
          <w:szCs w:val="24"/>
        </w:rPr>
        <w:t xml:space="preserve"> </w:t>
      </w:r>
      <w:r w:rsidRPr="009E1809">
        <w:rPr>
          <w:sz w:val="24"/>
          <w:szCs w:val="24"/>
        </w:rPr>
        <w:t>seguma</w:t>
      </w:r>
      <w:r w:rsidRPr="009E1809">
        <w:rPr>
          <w:spacing w:val="-14"/>
          <w:sz w:val="24"/>
          <w:szCs w:val="24"/>
        </w:rPr>
        <w:t xml:space="preserve"> </w:t>
      </w:r>
      <w:r w:rsidRPr="009E1809">
        <w:rPr>
          <w:sz w:val="24"/>
          <w:szCs w:val="24"/>
        </w:rPr>
        <w:t>pamata</w:t>
      </w:r>
      <w:r w:rsidRPr="009E1809">
        <w:rPr>
          <w:spacing w:val="-15"/>
          <w:sz w:val="24"/>
          <w:szCs w:val="24"/>
        </w:rPr>
        <w:t xml:space="preserve"> </w:t>
      </w:r>
      <w:r w:rsidRPr="009E1809">
        <w:rPr>
          <w:sz w:val="24"/>
          <w:szCs w:val="24"/>
        </w:rPr>
        <w:t>izbūves</w:t>
      </w:r>
      <w:r w:rsidRPr="009E1809">
        <w:rPr>
          <w:spacing w:val="-15"/>
          <w:sz w:val="24"/>
          <w:szCs w:val="24"/>
        </w:rPr>
        <w:t xml:space="preserve"> </w:t>
      </w:r>
      <w:r w:rsidRPr="009E1809">
        <w:rPr>
          <w:sz w:val="24"/>
          <w:szCs w:val="24"/>
        </w:rPr>
        <w:t>izmaksas</w:t>
      </w:r>
      <w:r w:rsidRPr="009E1809">
        <w:rPr>
          <w:spacing w:val="-14"/>
          <w:sz w:val="24"/>
          <w:szCs w:val="24"/>
        </w:rPr>
        <w:t xml:space="preserve"> </w:t>
      </w:r>
      <w:r w:rsidRPr="009E1809">
        <w:rPr>
          <w:sz w:val="24"/>
          <w:szCs w:val="24"/>
        </w:rPr>
        <w:t>940 000,00</w:t>
      </w:r>
      <w:r w:rsidRPr="009E1809">
        <w:rPr>
          <w:spacing w:val="-16"/>
          <w:sz w:val="24"/>
          <w:szCs w:val="24"/>
        </w:rPr>
        <w:t xml:space="preserve"> </w:t>
      </w:r>
      <w:r w:rsidRPr="009E1809">
        <w:rPr>
          <w:sz w:val="24"/>
          <w:szCs w:val="24"/>
        </w:rPr>
        <w:t>EUR</w:t>
      </w:r>
      <w:r w:rsidRPr="009E1809">
        <w:rPr>
          <w:spacing w:val="-15"/>
          <w:sz w:val="24"/>
          <w:szCs w:val="24"/>
        </w:rPr>
        <w:t xml:space="preserve"> </w:t>
      </w:r>
      <w:r w:rsidRPr="009E1809">
        <w:rPr>
          <w:sz w:val="24"/>
          <w:szCs w:val="24"/>
        </w:rPr>
        <w:t>apmērā</w:t>
      </w:r>
      <w:r w:rsidRPr="009E1809">
        <w:rPr>
          <w:spacing w:val="-13"/>
          <w:sz w:val="24"/>
          <w:szCs w:val="24"/>
        </w:rPr>
        <w:t xml:space="preserve"> </w:t>
      </w:r>
      <w:r w:rsidRPr="009E1809">
        <w:rPr>
          <w:sz w:val="24"/>
          <w:szCs w:val="24"/>
        </w:rPr>
        <w:t>un</w:t>
      </w:r>
      <w:r w:rsidRPr="009E1809">
        <w:rPr>
          <w:spacing w:val="-14"/>
          <w:sz w:val="24"/>
          <w:szCs w:val="24"/>
        </w:rPr>
        <w:t xml:space="preserve"> </w:t>
      </w:r>
      <w:r w:rsidRPr="009E1809">
        <w:rPr>
          <w:sz w:val="24"/>
          <w:szCs w:val="24"/>
        </w:rPr>
        <w:t>ceļa</w:t>
      </w:r>
      <w:r w:rsidRPr="009E1809">
        <w:rPr>
          <w:spacing w:val="-13"/>
          <w:sz w:val="24"/>
          <w:szCs w:val="24"/>
        </w:rPr>
        <w:t xml:space="preserve"> </w:t>
      </w:r>
      <w:r w:rsidRPr="009E1809">
        <w:rPr>
          <w:sz w:val="24"/>
          <w:szCs w:val="24"/>
        </w:rPr>
        <w:t>sākotnējā seguma slāņu būvniecības izmaksas 110 000,00 EUR). Aktīvu atzīst tā būvniecības laikā (525 000,00 EUR apmērā pirmajā gadā un 525 000,00  EUR  apmērā  ─  otrajā  gadā).  Nolietojumu  aprēķina  katru  gadu  (65 333,33 EUR gadā, ko veido ceļa seguma pamata nolietojums 47 000,00 EUR apmērā un seguma nolietojums 18 333,33 EUR</w:t>
      </w:r>
      <w:r w:rsidRPr="009E1809">
        <w:rPr>
          <w:spacing w:val="-3"/>
          <w:sz w:val="24"/>
          <w:szCs w:val="24"/>
        </w:rPr>
        <w:t xml:space="preserve"> </w:t>
      </w:r>
      <w:r w:rsidRPr="009E1809">
        <w:rPr>
          <w:sz w:val="24"/>
          <w:szCs w:val="24"/>
        </w:rPr>
        <w:t>apmērā).</w:t>
      </w:r>
    </w:p>
    <w:p w14:paraId="0AECC13E" w14:textId="77777777" w:rsidR="009E1809" w:rsidRPr="009E1809" w:rsidRDefault="009E1809" w:rsidP="00CD363C">
      <w:pPr>
        <w:pStyle w:val="Pamatteksts"/>
        <w:ind w:left="118" w:right="107"/>
        <w:jc w:val="both"/>
        <w:rPr>
          <w:sz w:val="24"/>
          <w:szCs w:val="24"/>
        </w:rPr>
      </w:pPr>
      <w:r w:rsidRPr="009E1809">
        <w:rPr>
          <w:sz w:val="24"/>
          <w:szCs w:val="24"/>
        </w:rPr>
        <w:t>Kā atlīdzību par partnerības aktīvu budžeta iestāde atzīst gan nākamo periodu ieņēmumus, kas izriet no privātajam</w:t>
      </w:r>
      <w:r w:rsidRPr="009E1809">
        <w:rPr>
          <w:spacing w:val="-7"/>
          <w:sz w:val="24"/>
          <w:szCs w:val="24"/>
        </w:rPr>
        <w:t xml:space="preserve"> </w:t>
      </w:r>
      <w:r w:rsidRPr="009E1809">
        <w:rPr>
          <w:sz w:val="24"/>
          <w:szCs w:val="24"/>
        </w:rPr>
        <w:t>partnerim</w:t>
      </w:r>
      <w:r w:rsidRPr="009E1809">
        <w:rPr>
          <w:spacing w:val="-6"/>
          <w:sz w:val="24"/>
          <w:szCs w:val="24"/>
        </w:rPr>
        <w:t xml:space="preserve"> </w:t>
      </w:r>
      <w:r w:rsidRPr="009E1809">
        <w:rPr>
          <w:sz w:val="24"/>
          <w:szCs w:val="24"/>
        </w:rPr>
        <w:t>piešķirtajām</w:t>
      </w:r>
      <w:r w:rsidRPr="009E1809">
        <w:rPr>
          <w:spacing w:val="-6"/>
          <w:sz w:val="24"/>
          <w:szCs w:val="24"/>
        </w:rPr>
        <w:t xml:space="preserve"> </w:t>
      </w:r>
      <w:r w:rsidRPr="009E1809">
        <w:rPr>
          <w:sz w:val="24"/>
          <w:szCs w:val="24"/>
        </w:rPr>
        <w:t>tiesībām</w:t>
      </w:r>
      <w:r w:rsidRPr="009E1809">
        <w:rPr>
          <w:spacing w:val="-6"/>
          <w:sz w:val="24"/>
          <w:szCs w:val="24"/>
        </w:rPr>
        <w:t xml:space="preserve"> </w:t>
      </w:r>
      <w:r w:rsidRPr="009E1809">
        <w:rPr>
          <w:sz w:val="24"/>
          <w:szCs w:val="24"/>
        </w:rPr>
        <w:t>iekasēt</w:t>
      </w:r>
      <w:r w:rsidRPr="009E1809">
        <w:rPr>
          <w:spacing w:val="-2"/>
          <w:sz w:val="24"/>
          <w:szCs w:val="24"/>
        </w:rPr>
        <w:t xml:space="preserve"> </w:t>
      </w:r>
      <w:r w:rsidRPr="009E1809">
        <w:rPr>
          <w:sz w:val="24"/>
          <w:szCs w:val="24"/>
        </w:rPr>
        <w:t>ceļa</w:t>
      </w:r>
      <w:r w:rsidRPr="009E1809">
        <w:rPr>
          <w:spacing w:val="-2"/>
          <w:sz w:val="24"/>
          <w:szCs w:val="24"/>
        </w:rPr>
        <w:t xml:space="preserve"> </w:t>
      </w:r>
      <w:r w:rsidRPr="009E1809">
        <w:rPr>
          <w:sz w:val="24"/>
          <w:szCs w:val="24"/>
        </w:rPr>
        <w:t>maksu</w:t>
      </w:r>
      <w:r w:rsidRPr="009E1809">
        <w:rPr>
          <w:spacing w:val="-2"/>
          <w:sz w:val="24"/>
          <w:szCs w:val="24"/>
        </w:rPr>
        <w:t xml:space="preserve"> </w:t>
      </w:r>
      <w:r w:rsidRPr="009E1809">
        <w:rPr>
          <w:sz w:val="24"/>
          <w:szCs w:val="24"/>
        </w:rPr>
        <w:t>100 000,00</w:t>
      </w:r>
      <w:r w:rsidRPr="009E1809">
        <w:rPr>
          <w:spacing w:val="-4"/>
          <w:sz w:val="24"/>
          <w:szCs w:val="24"/>
        </w:rPr>
        <w:t xml:space="preserve"> </w:t>
      </w:r>
      <w:r w:rsidRPr="009E1809">
        <w:rPr>
          <w:sz w:val="24"/>
          <w:szCs w:val="24"/>
        </w:rPr>
        <w:t>EUR</w:t>
      </w:r>
      <w:r w:rsidRPr="009E1809">
        <w:rPr>
          <w:spacing w:val="-4"/>
          <w:sz w:val="24"/>
          <w:szCs w:val="24"/>
        </w:rPr>
        <w:t xml:space="preserve"> </w:t>
      </w:r>
      <w:r w:rsidRPr="009E1809">
        <w:rPr>
          <w:sz w:val="24"/>
          <w:szCs w:val="24"/>
        </w:rPr>
        <w:t>apmērā</w:t>
      </w:r>
      <w:r w:rsidRPr="009E1809">
        <w:rPr>
          <w:spacing w:val="-2"/>
          <w:sz w:val="24"/>
          <w:szCs w:val="24"/>
        </w:rPr>
        <w:t xml:space="preserve"> </w:t>
      </w:r>
      <w:r w:rsidRPr="009E1809">
        <w:rPr>
          <w:sz w:val="24"/>
          <w:szCs w:val="24"/>
        </w:rPr>
        <w:t>laika</w:t>
      </w:r>
      <w:r w:rsidRPr="009E1809">
        <w:rPr>
          <w:spacing w:val="-2"/>
          <w:sz w:val="24"/>
          <w:szCs w:val="24"/>
        </w:rPr>
        <w:t xml:space="preserve"> </w:t>
      </w:r>
      <w:r w:rsidRPr="009E1809">
        <w:rPr>
          <w:sz w:val="24"/>
          <w:szCs w:val="24"/>
        </w:rPr>
        <w:t>posmā</w:t>
      </w:r>
      <w:r w:rsidRPr="009E1809">
        <w:rPr>
          <w:spacing w:val="-2"/>
          <w:sz w:val="24"/>
          <w:szCs w:val="24"/>
        </w:rPr>
        <w:t xml:space="preserve"> </w:t>
      </w:r>
      <w:r w:rsidRPr="009E1809">
        <w:rPr>
          <w:sz w:val="24"/>
          <w:szCs w:val="24"/>
        </w:rPr>
        <w:t>no</w:t>
      </w:r>
      <w:r w:rsidRPr="009E1809">
        <w:rPr>
          <w:spacing w:val="-3"/>
          <w:sz w:val="24"/>
          <w:szCs w:val="24"/>
        </w:rPr>
        <w:t xml:space="preserve"> </w:t>
      </w:r>
      <w:r w:rsidRPr="009E1809">
        <w:rPr>
          <w:sz w:val="24"/>
          <w:szCs w:val="24"/>
        </w:rPr>
        <w:t>trešā līdz</w:t>
      </w:r>
      <w:r w:rsidRPr="009E1809">
        <w:rPr>
          <w:spacing w:val="-15"/>
          <w:sz w:val="24"/>
          <w:szCs w:val="24"/>
        </w:rPr>
        <w:t xml:space="preserve"> </w:t>
      </w:r>
      <w:r w:rsidRPr="009E1809">
        <w:rPr>
          <w:sz w:val="24"/>
          <w:szCs w:val="24"/>
        </w:rPr>
        <w:t>desmitajam</w:t>
      </w:r>
      <w:r w:rsidRPr="009E1809">
        <w:rPr>
          <w:spacing w:val="-15"/>
          <w:sz w:val="24"/>
          <w:szCs w:val="24"/>
        </w:rPr>
        <w:t xml:space="preserve"> </w:t>
      </w:r>
      <w:r w:rsidRPr="009E1809">
        <w:rPr>
          <w:sz w:val="24"/>
          <w:szCs w:val="24"/>
        </w:rPr>
        <w:t>gadam,</w:t>
      </w:r>
      <w:r w:rsidRPr="009E1809">
        <w:rPr>
          <w:spacing w:val="-12"/>
          <w:sz w:val="24"/>
          <w:szCs w:val="24"/>
        </w:rPr>
        <w:t xml:space="preserve"> </w:t>
      </w:r>
      <w:r w:rsidRPr="009E1809">
        <w:rPr>
          <w:sz w:val="24"/>
          <w:szCs w:val="24"/>
        </w:rPr>
        <w:t>gan</w:t>
      </w:r>
      <w:r w:rsidRPr="009E1809">
        <w:rPr>
          <w:spacing w:val="-9"/>
          <w:sz w:val="24"/>
          <w:szCs w:val="24"/>
        </w:rPr>
        <w:t xml:space="preserve"> </w:t>
      </w:r>
      <w:r w:rsidRPr="009E1809">
        <w:rPr>
          <w:sz w:val="24"/>
          <w:szCs w:val="24"/>
        </w:rPr>
        <w:t>finanšu</w:t>
      </w:r>
      <w:r w:rsidRPr="009E1809">
        <w:rPr>
          <w:spacing w:val="-14"/>
          <w:sz w:val="24"/>
          <w:szCs w:val="24"/>
        </w:rPr>
        <w:t xml:space="preserve"> </w:t>
      </w:r>
      <w:r w:rsidRPr="009E1809">
        <w:rPr>
          <w:sz w:val="24"/>
          <w:szCs w:val="24"/>
        </w:rPr>
        <w:t>saistības</w:t>
      </w:r>
      <w:r w:rsidRPr="009E1809">
        <w:rPr>
          <w:spacing w:val="-12"/>
          <w:sz w:val="24"/>
          <w:szCs w:val="24"/>
        </w:rPr>
        <w:t xml:space="preserve"> </w:t>
      </w:r>
      <w:r w:rsidRPr="009E1809">
        <w:rPr>
          <w:sz w:val="24"/>
          <w:szCs w:val="24"/>
        </w:rPr>
        <w:t>attiecībā</w:t>
      </w:r>
      <w:r w:rsidRPr="009E1809">
        <w:rPr>
          <w:spacing w:val="-11"/>
          <w:sz w:val="24"/>
          <w:szCs w:val="24"/>
        </w:rPr>
        <w:t xml:space="preserve"> </w:t>
      </w:r>
      <w:r w:rsidRPr="009E1809">
        <w:rPr>
          <w:sz w:val="24"/>
          <w:szCs w:val="24"/>
        </w:rPr>
        <w:t>uz</w:t>
      </w:r>
      <w:r w:rsidRPr="009E1809">
        <w:rPr>
          <w:spacing w:val="-14"/>
          <w:sz w:val="24"/>
          <w:szCs w:val="24"/>
        </w:rPr>
        <w:t xml:space="preserve"> </w:t>
      </w:r>
      <w:r w:rsidRPr="009E1809">
        <w:rPr>
          <w:sz w:val="24"/>
          <w:szCs w:val="24"/>
        </w:rPr>
        <w:t>maksājumiem</w:t>
      </w:r>
      <w:r w:rsidRPr="009E1809">
        <w:rPr>
          <w:spacing w:val="-15"/>
          <w:sz w:val="24"/>
          <w:szCs w:val="24"/>
        </w:rPr>
        <w:t xml:space="preserve"> </w:t>
      </w:r>
      <w:r w:rsidRPr="009E1809">
        <w:rPr>
          <w:sz w:val="24"/>
          <w:szCs w:val="24"/>
        </w:rPr>
        <w:t>100 000,00</w:t>
      </w:r>
      <w:r w:rsidRPr="009E1809">
        <w:rPr>
          <w:spacing w:val="-14"/>
          <w:sz w:val="24"/>
          <w:szCs w:val="24"/>
        </w:rPr>
        <w:t xml:space="preserve"> </w:t>
      </w:r>
      <w:r w:rsidRPr="009E1809">
        <w:rPr>
          <w:sz w:val="24"/>
          <w:szCs w:val="24"/>
        </w:rPr>
        <w:t>EUR</w:t>
      </w:r>
      <w:r w:rsidRPr="009E1809">
        <w:rPr>
          <w:spacing w:val="-13"/>
          <w:sz w:val="24"/>
          <w:szCs w:val="24"/>
        </w:rPr>
        <w:t xml:space="preserve"> </w:t>
      </w:r>
      <w:r w:rsidRPr="009E1809">
        <w:rPr>
          <w:sz w:val="24"/>
          <w:szCs w:val="24"/>
        </w:rPr>
        <w:t>apmērā,</w:t>
      </w:r>
      <w:r w:rsidRPr="009E1809">
        <w:rPr>
          <w:spacing w:val="-12"/>
          <w:sz w:val="24"/>
          <w:szCs w:val="24"/>
        </w:rPr>
        <w:t xml:space="preserve"> </w:t>
      </w:r>
      <w:r w:rsidRPr="009E1809">
        <w:rPr>
          <w:sz w:val="24"/>
          <w:szCs w:val="24"/>
        </w:rPr>
        <w:t>kas</w:t>
      </w:r>
      <w:r w:rsidRPr="009E1809">
        <w:rPr>
          <w:spacing w:val="-13"/>
          <w:sz w:val="24"/>
          <w:szCs w:val="24"/>
        </w:rPr>
        <w:t xml:space="preserve"> </w:t>
      </w:r>
      <w:r w:rsidRPr="009E1809">
        <w:rPr>
          <w:sz w:val="24"/>
          <w:szCs w:val="24"/>
        </w:rPr>
        <w:t>veicami laika posmā no trešā līdz desmitajam gadam. Nākamo periodu ieņēmumi un finanšu saistības atzīst reizē ar aktīva</w:t>
      </w:r>
      <w:r w:rsidRPr="009E1809">
        <w:rPr>
          <w:spacing w:val="-7"/>
          <w:sz w:val="24"/>
          <w:szCs w:val="24"/>
        </w:rPr>
        <w:t xml:space="preserve"> </w:t>
      </w:r>
      <w:r w:rsidRPr="009E1809">
        <w:rPr>
          <w:sz w:val="24"/>
          <w:szCs w:val="24"/>
        </w:rPr>
        <w:t>atzīšanu</w:t>
      </w:r>
      <w:r w:rsidRPr="009E1809">
        <w:rPr>
          <w:spacing w:val="-6"/>
          <w:sz w:val="24"/>
          <w:szCs w:val="24"/>
        </w:rPr>
        <w:t xml:space="preserve"> </w:t>
      </w:r>
      <w:r w:rsidRPr="009E1809">
        <w:rPr>
          <w:sz w:val="24"/>
          <w:szCs w:val="24"/>
        </w:rPr>
        <w:t>pirmā</w:t>
      </w:r>
      <w:r w:rsidRPr="009E1809">
        <w:rPr>
          <w:spacing w:val="-6"/>
          <w:sz w:val="24"/>
          <w:szCs w:val="24"/>
        </w:rPr>
        <w:t xml:space="preserve"> </w:t>
      </w:r>
      <w:r w:rsidRPr="009E1809">
        <w:rPr>
          <w:sz w:val="24"/>
          <w:szCs w:val="24"/>
        </w:rPr>
        <w:t>gada</w:t>
      </w:r>
      <w:r w:rsidRPr="009E1809">
        <w:rPr>
          <w:spacing w:val="-6"/>
          <w:sz w:val="24"/>
          <w:szCs w:val="24"/>
        </w:rPr>
        <w:t xml:space="preserve"> </w:t>
      </w:r>
      <w:r w:rsidRPr="009E1809">
        <w:rPr>
          <w:sz w:val="24"/>
          <w:szCs w:val="24"/>
        </w:rPr>
        <w:t>beigās</w:t>
      </w:r>
      <w:r w:rsidRPr="009E1809">
        <w:rPr>
          <w:spacing w:val="-5"/>
          <w:sz w:val="24"/>
          <w:szCs w:val="24"/>
        </w:rPr>
        <w:t xml:space="preserve"> </w:t>
      </w:r>
      <w:r w:rsidRPr="009E1809">
        <w:rPr>
          <w:sz w:val="24"/>
          <w:szCs w:val="24"/>
        </w:rPr>
        <w:t>(525</w:t>
      </w:r>
      <w:r w:rsidRPr="009E1809">
        <w:rPr>
          <w:spacing w:val="-1"/>
          <w:sz w:val="24"/>
          <w:szCs w:val="24"/>
        </w:rPr>
        <w:t xml:space="preserve"> </w:t>
      </w:r>
      <w:r w:rsidRPr="009E1809">
        <w:rPr>
          <w:sz w:val="24"/>
          <w:szCs w:val="24"/>
        </w:rPr>
        <w:t>000,00</w:t>
      </w:r>
      <w:r w:rsidRPr="009E1809">
        <w:rPr>
          <w:spacing w:val="-6"/>
          <w:sz w:val="24"/>
          <w:szCs w:val="24"/>
        </w:rPr>
        <w:t xml:space="preserve"> </w:t>
      </w:r>
      <w:r w:rsidRPr="009E1809">
        <w:rPr>
          <w:sz w:val="24"/>
          <w:szCs w:val="24"/>
        </w:rPr>
        <w:t>EUR).</w:t>
      </w:r>
      <w:r w:rsidRPr="009E1809">
        <w:rPr>
          <w:spacing w:val="-10"/>
          <w:sz w:val="24"/>
          <w:szCs w:val="24"/>
        </w:rPr>
        <w:t xml:space="preserve"> </w:t>
      </w:r>
      <w:r w:rsidRPr="009E1809">
        <w:rPr>
          <w:sz w:val="24"/>
          <w:szCs w:val="24"/>
        </w:rPr>
        <w:t>Otrā</w:t>
      </w:r>
      <w:r w:rsidRPr="009E1809">
        <w:rPr>
          <w:spacing w:val="-6"/>
          <w:sz w:val="24"/>
          <w:szCs w:val="24"/>
        </w:rPr>
        <w:t xml:space="preserve"> </w:t>
      </w:r>
      <w:r w:rsidRPr="009E1809">
        <w:rPr>
          <w:sz w:val="24"/>
          <w:szCs w:val="24"/>
        </w:rPr>
        <w:t>gada</w:t>
      </w:r>
      <w:r w:rsidRPr="009E1809">
        <w:rPr>
          <w:spacing w:val="-6"/>
          <w:sz w:val="24"/>
          <w:szCs w:val="24"/>
        </w:rPr>
        <w:t xml:space="preserve"> </w:t>
      </w:r>
      <w:r w:rsidRPr="009E1809">
        <w:rPr>
          <w:sz w:val="24"/>
          <w:szCs w:val="24"/>
        </w:rPr>
        <w:t>beigās</w:t>
      </w:r>
      <w:r w:rsidRPr="009E1809">
        <w:rPr>
          <w:spacing w:val="-5"/>
          <w:sz w:val="24"/>
          <w:szCs w:val="24"/>
        </w:rPr>
        <w:t xml:space="preserve"> </w:t>
      </w:r>
      <w:r w:rsidRPr="009E1809">
        <w:rPr>
          <w:sz w:val="24"/>
          <w:szCs w:val="24"/>
        </w:rPr>
        <w:t>nākamo</w:t>
      </w:r>
      <w:r w:rsidRPr="009E1809">
        <w:rPr>
          <w:spacing w:val="-6"/>
          <w:sz w:val="24"/>
          <w:szCs w:val="24"/>
        </w:rPr>
        <w:t xml:space="preserve"> </w:t>
      </w:r>
      <w:r w:rsidRPr="009E1809">
        <w:rPr>
          <w:sz w:val="24"/>
          <w:szCs w:val="24"/>
        </w:rPr>
        <w:t>periodu</w:t>
      </w:r>
      <w:r w:rsidRPr="009E1809">
        <w:rPr>
          <w:spacing w:val="-6"/>
          <w:sz w:val="24"/>
          <w:szCs w:val="24"/>
        </w:rPr>
        <w:t xml:space="preserve"> </w:t>
      </w:r>
      <w:r w:rsidRPr="009E1809">
        <w:rPr>
          <w:sz w:val="24"/>
          <w:szCs w:val="24"/>
        </w:rPr>
        <w:t>ieņēmumi</w:t>
      </w:r>
      <w:r w:rsidRPr="009E1809">
        <w:rPr>
          <w:spacing w:val="-5"/>
          <w:sz w:val="24"/>
          <w:szCs w:val="24"/>
        </w:rPr>
        <w:t xml:space="preserve"> </w:t>
      </w:r>
      <w:r w:rsidRPr="009E1809">
        <w:rPr>
          <w:sz w:val="24"/>
          <w:szCs w:val="24"/>
        </w:rPr>
        <w:t>un</w:t>
      </w:r>
      <w:r w:rsidRPr="009E1809">
        <w:rPr>
          <w:spacing w:val="-6"/>
          <w:sz w:val="24"/>
          <w:szCs w:val="24"/>
        </w:rPr>
        <w:t xml:space="preserve"> </w:t>
      </w:r>
      <w:r w:rsidRPr="009E1809">
        <w:rPr>
          <w:sz w:val="24"/>
          <w:szCs w:val="24"/>
        </w:rPr>
        <w:t>finanšu saistības tiek palielinātas, atzīstot papildu veiktos būvniecības darbus (525 000,00 EUR) un procentu izdevumus par saistību atlikumu otrā gada</w:t>
      </w:r>
      <w:r w:rsidRPr="009E1809">
        <w:rPr>
          <w:spacing w:val="-1"/>
          <w:sz w:val="24"/>
          <w:szCs w:val="24"/>
        </w:rPr>
        <w:t xml:space="preserve"> </w:t>
      </w:r>
      <w:r w:rsidRPr="009E1809">
        <w:rPr>
          <w:sz w:val="24"/>
          <w:szCs w:val="24"/>
        </w:rPr>
        <w:t>beigās.</w:t>
      </w:r>
    </w:p>
    <w:p w14:paraId="37BE2FAE" w14:textId="77777777" w:rsidR="009E1809" w:rsidRPr="009E1809" w:rsidRDefault="000C15FC" w:rsidP="00CD363C">
      <w:pPr>
        <w:pStyle w:val="Pamatteksts"/>
        <w:ind w:left="118" w:right="107"/>
        <w:jc w:val="both"/>
        <w:rPr>
          <w:sz w:val="24"/>
          <w:szCs w:val="24"/>
        </w:rPr>
      </w:pPr>
      <w:r>
        <w:rPr>
          <w:sz w:val="24"/>
          <w:szCs w:val="24"/>
        </w:rPr>
        <w:t xml:space="preserve">833.  </w:t>
      </w:r>
      <w:r w:rsidR="009E1809" w:rsidRPr="009E1809">
        <w:rPr>
          <w:sz w:val="24"/>
          <w:szCs w:val="24"/>
        </w:rPr>
        <w:t>Budžeta iestādes pienākumi saistībā ar privātajam partnerim piešķirtajām tiesībām iekasēt ceļa maksu un iepriekš noteiktajiem maksājumiem tiek uzskatīti par diviem atsevišķiem posteņiem. Tāpēc šī līguma gadījumā ir svarīgi sadalīt budžeta iestādes privātajam partnerim maksājamo atlīdzību divās daļās ─ nākamo periodu ieņēmumos un finanšu saistībās.</w:t>
      </w:r>
    </w:p>
    <w:p w14:paraId="1637FCFB" w14:textId="77777777" w:rsidR="009E1809" w:rsidRPr="009E1809" w:rsidRDefault="000C15FC" w:rsidP="00CD363C">
      <w:pPr>
        <w:pStyle w:val="Pamatteksts"/>
        <w:ind w:left="118" w:right="107"/>
        <w:jc w:val="both"/>
        <w:rPr>
          <w:sz w:val="24"/>
          <w:szCs w:val="24"/>
        </w:rPr>
      </w:pPr>
      <w:r>
        <w:rPr>
          <w:sz w:val="24"/>
          <w:szCs w:val="24"/>
        </w:rPr>
        <w:t xml:space="preserve">834.  </w:t>
      </w:r>
      <w:r w:rsidR="009E1809" w:rsidRPr="009E1809">
        <w:rPr>
          <w:sz w:val="24"/>
          <w:szCs w:val="24"/>
        </w:rPr>
        <w:t>Nākamo periodu ieņēmumi 525 000,00 EUR apmērā (kas vienmērīgi atzīti pirmā un otrā gada beigās) samazinās laika posmā no trešā līdz desmitajam gadam, un budžeta iestāde atzīst ieņēmumus pēc tādiem pašiem principiem, jo paredzēts, ka ceļa maksa tiks vienmērīgi iekasēta visā līguma darbības laikā, sākot ar brīdi, kad aktīvs spēj sniegt saimnieciskos labumus.</w:t>
      </w:r>
    </w:p>
    <w:p w14:paraId="7CF0E9B2" w14:textId="77777777" w:rsidR="009E1809" w:rsidRPr="009E1809" w:rsidRDefault="000C15FC" w:rsidP="00CD363C">
      <w:pPr>
        <w:pStyle w:val="Pamatteksts"/>
        <w:ind w:left="118" w:right="107"/>
        <w:jc w:val="both"/>
        <w:rPr>
          <w:sz w:val="24"/>
          <w:szCs w:val="24"/>
        </w:rPr>
      </w:pPr>
      <w:r>
        <w:rPr>
          <w:sz w:val="24"/>
          <w:szCs w:val="24"/>
        </w:rPr>
        <w:t xml:space="preserve">835.  </w:t>
      </w:r>
      <w:r w:rsidR="009E1809" w:rsidRPr="009E1809">
        <w:rPr>
          <w:sz w:val="24"/>
          <w:szCs w:val="24"/>
        </w:rPr>
        <w:t>Budžeta</w:t>
      </w:r>
      <w:r w:rsidR="009E1809" w:rsidRPr="009E1809">
        <w:rPr>
          <w:spacing w:val="-7"/>
          <w:sz w:val="24"/>
          <w:szCs w:val="24"/>
        </w:rPr>
        <w:t xml:space="preserve"> </w:t>
      </w:r>
      <w:r w:rsidR="009E1809" w:rsidRPr="009E1809">
        <w:rPr>
          <w:sz w:val="24"/>
          <w:szCs w:val="24"/>
        </w:rPr>
        <w:t>iestāde</w:t>
      </w:r>
      <w:r w:rsidR="009E1809" w:rsidRPr="009E1809">
        <w:rPr>
          <w:spacing w:val="-7"/>
          <w:sz w:val="24"/>
          <w:szCs w:val="24"/>
        </w:rPr>
        <w:t xml:space="preserve"> </w:t>
      </w:r>
      <w:r w:rsidR="009E1809" w:rsidRPr="009E1809">
        <w:rPr>
          <w:sz w:val="24"/>
          <w:szCs w:val="24"/>
        </w:rPr>
        <w:t>sākotnēji</w:t>
      </w:r>
      <w:r w:rsidR="009E1809" w:rsidRPr="009E1809">
        <w:rPr>
          <w:spacing w:val="-8"/>
          <w:sz w:val="24"/>
          <w:szCs w:val="24"/>
        </w:rPr>
        <w:t xml:space="preserve"> </w:t>
      </w:r>
      <w:r w:rsidR="009E1809" w:rsidRPr="009E1809">
        <w:rPr>
          <w:sz w:val="24"/>
          <w:szCs w:val="24"/>
        </w:rPr>
        <w:t>atzīst</w:t>
      </w:r>
      <w:r w:rsidR="009E1809" w:rsidRPr="009E1809">
        <w:rPr>
          <w:spacing w:val="-6"/>
          <w:sz w:val="24"/>
          <w:szCs w:val="24"/>
        </w:rPr>
        <w:t xml:space="preserve"> </w:t>
      </w:r>
      <w:r w:rsidR="009E1809" w:rsidRPr="009E1809">
        <w:rPr>
          <w:sz w:val="24"/>
          <w:szCs w:val="24"/>
        </w:rPr>
        <w:t>finanšu</w:t>
      </w:r>
      <w:r w:rsidR="009E1809" w:rsidRPr="009E1809">
        <w:rPr>
          <w:spacing w:val="-6"/>
          <w:sz w:val="24"/>
          <w:szCs w:val="24"/>
        </w:rPr>
        <w:t xml:space="preserve"> </w:t>
      </w:r>
      <w:r w:rsidR="009E1809" w:rsidRPr="009E1809">
        <w:rPr>
          <w:sz w:val="24"/>
          <w:szCs w:val="24"/>
        </w:rPr>
        <w:t>saistības</w:t>
      </w:r>
      <w:r w:rsidR="009E1809" w:rsidRPr="009E1809">
        <w:rPr>
          <w:spacing w:val="-7"/>
          <w:sz w:val="24"/>
          <w:szCs w:val="24"/>
        </w:rPr>
        <w:t xml:space="preserve"> </w:t>
      </w:r>
      <w:r w:rsidR="009E1809" w:rsidRPr="009E1809">
        <w:rPr>
          <w:sz w:val="24"/>
          <w:szCs w:val="24"/>
        </w:rPr>
        <w:t>patiesajā</w:t>
      </w:r>
      <w:r w:rsidR="009E1809" w:rsidRPr="009E1809">
        <w:rPr>
          <w:spacing w:val="-7"/>
          <w:sz w:val="24"/>
          <w:szCs w:val="24"/>
        </w:rPr>
        <w:t xml:space="preserve"> </w:t>
      </w:r>
      <w:r w:rsidR="009E1809" w:rsidRPr="009E1809">
        <w:rPr>
          <w:sz w:val="24"/>
          <w:szCs w:val="24"/>
        </w:rPr>
        <w:t>vērtībā,</w:t>
      </w:r>
      <w:r w:rsidR="009E1809" w:rsidRPr="009E1809">
        <w:rPr>
          <w:spacing w:val="-6"/>
          <w:sz w:val="24"/>
          <w:szCs w:val="24"/>
        </w:rPr>
        <w:t xml:space="preserve"> </w:t>
      </w:r>
      <w:r w:rsidR="009E1809" w:rsidRPr="009E1809">
        <w:rPr>
          <w:sz w:val="24"/>
          <w:szCs w:val="24"/>
        </w:rPr>
        <w:t>kas</w:t>
      </w:r>
      <w:r w:rsidR="009E1809" w:rsidRPr="009E1809">
        <w:rPr>
          <w:spacing w:val="-6"/>
          <w:sz w:val="24"/>
          <w:szCs w:val="24"/>
        </w:rPr>
        <w:t xml:space="preserve"> </w:t>
      </w:r>
      <w:r w:rsidR="009E1809" w:rsidRPr="009E1809">
        <w:rPr>
          <w:sz w:val="24"/>
          <w:szCs w:val="24"/>
        </w:rPr>
        <w:t>atbilst</w:t>
      </w:r>
      <w:r w:rsidR="009E1809" w:rsidRPr="009E1809">
        <w:rPr>
          <w:spacing w:val="-5"/>
          <w:sz w:val="24"/>
          <w:szCs w:val="24"/>
        </w:rPr>
        <w:t xml:space="preserve"> </w:t>
      </w:r>
      <w:r w:rsidR="009E1809" w:rsidRPr="009E1809">
        <w:rPr>
          <w:sz w:val="24"/>
          <w:szCs w:val="24"/>
        </w:rPr>
        <w:t>pusei</w:t>
      </w:r>
      <w:r w:rsidR="009E1809" w:rsidRPr="009E1809">
        <w:rPr>
          <w:spacing w:val="-8"/>
          <w:sz w:val="24"/>
          <w:szCs w:val="24"/>
        </w:rPr>
        <w:t xml:space="preserve"> </w:t>
      </w:r>
      <w:r w:rsidR="009E1809" w:rsidRPr="009E1809">
        <w:rPr>
          <w:sz w:val="24"/>
          <w:szCs w:val="24"/>
        </w:rPr>
        <w:t>no</w:t>
      </w:r>
      <w:r w:rsidR="009E1809" w:rsidRPr="009E1809">
        <w:rPr>
          <w:spacing w:val="-7"/>
          <w:sz w:val="24"/>
          <w:szCs w:val="24"/>
        </w:rPr>
        <w:t xml:space="preserve"> </w:t>
      </w:r>
      <w:r w:rsidR="009E1809" w:rsidRPr="009E1809">
        <w:rPr>
          <w:sz w:val="24"/>
          <w:szCs w:val="24"/>
        </w:rPr>
        <w:t>aktīva</w:t>
      </w:r>
      <w:r w:rsidR="009E1809" w:rsidRPr="009E1809">
        <w:rPr>
          <w:spacing w:val="-6"/>
          <w:sz w:val="24"/>
          <w:szCs w:val="24"/>
        </w:rPr>
        <w:t xml:space="preserve"> </w:t>
      </w:r>
      <w:r w:rsidR="009E1809" w:rsidRPr="009E1809">
        <w:rPr>
          <w:sz w:val="24"/>
          <w:szCs w:val="24"/>
        </w:rPr>
        <w:t>patiesās</w:t>
      </w:r>
      <w:r w:rsidR="009E1809" w:rsidRPr="009E1809">
        <w:rPr>
          <w:spacing w:val="-7"/>
          <w:sz w:val="24"/>
          <w:szCs w:val="24"/>
        </w:rPr>
        <w:t xml:space="preserve"> </w:t>
      </w:r>
      <w:r w:rsidR="009E1809" w:rsidRPr="009E1809">
        <w:rPr>
          <w:sz w:val="24"/>
          <w:szCs w:val="24"/>
        </w:rPr>
        <w:t>vērtības (525 000,00 EUR), kas vienmērīgi atzīts pirmā un otrā gada beigās. Nākamo periodu ieņēmumus, kas izriet no privātajam partnerim piešķirtajām tiesībām iekasēt ceļa maksu, atzīst tādā apmērā, kas atbilst aktīva patiesās vērtības otrai pusei. Otrā gada beigās finanšu saistības arī tiek palielinātas par procentu izdevumiem par saistību atlikumu otrā gada beigās. Tā kā iepriekš noteikto maksājumu saistībā ar līgumu pakalpojumu komponenti summa ir zināma, budžeta iestāde var noteikt maksājuma summu, kas samazina saistības. Procentu izdevumi 6,18% apmērā tiek atzīti reizi gadā. Saistības pēc tam novērtē amortizētajā vērtībā, t.i., sākotnēji atzītajā summā, pie kuras pieskaitīti procentu izdevumi, kas aprēķināti, izmantojot efektīvās procentu likmes metodi, atskaitot atmaksātās</w:t>
      </w:r>
      <w:r w:rsidR="009E1809" w:rsidRPr="009E1809">
        <w:rPr>
          <w:spacing w:val="-8"/>
          <w:sz w:val="24"/>
          <w:szCs w:val="24"/>
        </w:rPr>
        <w:t xml:space="preserve"> </w:t>
      </w:r>
      <w:r w:rsidR="009E1809" w:rsidRPr="009E1809">
        <w:rPr>
          <w:sz w:val="24"/>
          <w:szCs w:val="24"/>
        </w:rPr>
        <w:t>summas.</w:t>
      </w:r>
    </w:p>
    <w:p w14:paraId="41423A90" w14:textId="77777777" w:rsidR="009E1809" w:rsidRPr="009E1809" w:rsidRDefault="000C15FC" w:rsidP="00CD363C">
      <w:pPr>
        <w:pStyle w:val="Pamatteksts"/>
        <w:ind w:left="118" w:right="107"/>
        <w:jc w:val="both"/>
        <w:rPr>
          <w:sz w:val="24"/>
          <w:szCs w:val="24"/>
        </w:rPr>
      </w:pPr>
      <w:r>
        <w:rPr>
          <w:sz w:val="24"/>
          <w:szCs w:val="24"/>
        </w:rPr>
        <w:t xml:space="preserve">836.  </w:t>
      </w:r>
      <w:r w:rsidR="009E1809" w:rsidRPr="009E1809">
        <w:rPr>
          <w:sz w:val="24"/>
          <w:szCs w:val="24"/>
        </w:rPr>
        <w:t>Privātā partnera atlīdzību par ceļa seguma atjaunošanu (110 000,00 EUR) vienādās daļās veido ceļa maksa, kuru privātais partneris paredz iekasēt līguma darbības laikā, un iepriekš noteiktie maksājumi (t.i., 50% no katras minētās summas). Ceļa seguma atjaunošanai nav tiešas ietekmes uz naudas plūsmu; tomēr budžeta iestāde atzīst ceļa atjaunošanas darbus kā aktīvu to uzsākšanas brīdī un, sākot ar devīto gadu, atzīst nolietojumu 110 000,00 EUR / 6 gadi = 18 333,33 EUR.</w:t>
      </w:r>
    </w:p>
    <w:p w14:paraId="24CD8B8B" w14:textId="77777777" w:rsidR="009E1809" w:rsidRDefault="000C15FC" w:rsidP="00CD363C">
      <w:pPr>
        <w:pStyle w:val="Pamatteksts"/>
        <w:ind w:left="118" w:right="107"/>
        <w:jc w:val="both"/>
      </w:pPr>
      <w:r>
        <w:rPr>
          <w:sz w:val="24"/>
          <w:szCs w:val="24"/>
        </w:rPr>
        <w:t xml:space="preserve">837.  </w:t>
      </w:r>
      <w:r w:rsidR="009E1809" w:rsidRPr="009E1809">
        <w:rPr>
          <w:sz w:val="24"/>
          <w:szCs w:val="24"/>
        </w:rPr>
        <w:t>Privātā partnera atlīdzību par ceļa uzturēšanu un ekspluatāciju (12 000,00 EUR) vienādās daļās veido ceļa maksa, kuru privātais partneris paredz iekasēt līguma darbības laikā, un iepriekš noteiktie maksājumi (t.i., 50% no katras minētās summas). Budžeta iestāde katru gadu atzīst pakalpojumu izmaksas par to atlīdzības daļu, kas attiecas uz iepriekš noteiktajiem maksājumiem (6 000,00 EUR</w:t>
      </w:r>
      <w:r w:rsidR="009E1809">
        <w:t>, t.i. 50% no 12 000,00 EUR).</w:t>
      </w:r>
    </w:p>
    <w:p w14:paraId="7C6F162E" w14:textId="77777777" w:rsidR="000C15FC" w:rsidRDefault="000C15FC" w:rsidP="00CD363C">
      <w:pPr>
        <w:pStyle w:val="Pamatteksts"/>
        <w:ind w:left="818" w:right="107"/>
        <w:jc w:val="both"/>
      </w:pPr>
      <w:r>
        <w:t>Budžeta iestādes naudas plūsmas, aprēķini un pārskatā par finansiālo stāvokli uzrādāmā informācija aplūkota 9.-13.tabulā zemāk.</w:t>
      </w:r>
    </w:p>
    <w:p w14:paraId="4CB2D5E0" w14:textId="77777777" w:rsidR="000C15FC" w:rsidRDefault="000C15FC" w:rsidP="00CD363C">
      <w:pPr>
        <w:pStyle w:val="Pamatteksts"/>
        <w:ind w:right="107"/>
        <w:jc w:val="both"/>
        <w:rPr>
          <w:sz w:val="12"/>
        </w:rPr>
      </w:pPr>
    </w:p>
    <w:p w14:paraId="03C3D343" w14:textId="77777777" w:rsidR="009E1809" w:rsidRPr="004E2EE1" w:rsidRDefault="000C15FC" w:rsidP="00CD363C">
      <w:pPr>
        <w:pStyle w:val="Virsraksts6"/>
        <w:ind w:left="118" w:right="107"/>
        <w:jc w:val="both"/>
        <w:rPr>
          <w:b w:val="0"/>
          <w:bCs w:val="0"/>
          <w:i/>
          <w:iCs/>
        </w:rPr>
      </w:pPr>
      <w:r w:rsidRPr="004E2EE1">
        <w:rPr>
          <w:b w:val="0"/>
          <w:bCs w:val="0"/>
          <w:i/>
          <w:iCs/>
        </w:rPr>
        <w:t xml:space="preserve">                                                                                 9.tabula Naudas plūsmas</w:t>
      </w:r>
    </w:p>
    <w:p w14:paraId="0A8C5F80" w14:textId="77777777" w:rsidR="00812262" w:rsidRPr="004E2EE1" w:rsidRDefault="00812262" w:rsidP="00CD363C">
      <w:pPr>
        <w:widowControl w:val="0"/>
        <w:tabs>
          <w:tab w:val="left" w:pos="12758"/>
        </w:tabs>
        <w:autoSpaceDE w:val="0"/>
        <w:autoSpaceDN w:val="0"/>
        <w:spacing w:after="0" w:line="240" w:lineRule="auto"/>
        <w:ind w:left="3104" w:right="107"/>
        <w:jc w:val="both"/>
        <w:rPr>
          <w:i/>
          <w:iCs/>
          <w:sz w:val="20"/>
        </w:rPr>
      </w:pPr>
    </w:p>
    <w:p w14:paraId="463860C8" w14:textId="77777777" w:rsidR="000C15FC" w:rsidRDefault="004E2EE1" w:rsidP="00CD363C">
      <w:pPr>
        <w:widowControl w:val="0"/>
        <w:tabs>
          <w:tab w:val="left" w:pos="12758"/>
        </w:tabs>
        <w:autoSpaceDE w:val="0"/>
        <w:autoSpaceDN w:val="0"/>
        <w:spacing w:after="0" w:line="240" w:lineRule="auto"/>
        <w:ind w:right="107"/>
        <w:jc w:val="both"/>
        <w:rPr>
          <w:i/>
          <w:sz w:val="20"/>
        </w:rPr>
      </w:pPr>
      <w:r w:rsidRPr="004E2EE1">
        <w:rPr>
          <w:noProof/>
        </w:rPr>
        <w:drawing>
          <wp:inline distT="0" distB="0" distL="0" distR="0" wp14:anchorId="31FEA6F5" wp14:editId="1157D0AF">
            <wp:extent cx="6162675" cy="8509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81107" cy="853517"/>
                    </a:xfrm>
                    <a:prstGeom prst="rect">
                      <a:avLst/>
                    </a:prstGeom>
                    <a:noFill/>
                    <a:ln>
                      <a:noFill/>
                    </a:ln>
                  </pic:spPr>
                </pic:pic>
              </a:graphicData>
            </a:graphic>
          </wp:inline>
        </w:drawing>
      </w:r>
    </w:p>
    <w:p w14:paraId="7BE5A3BB" w14:textId="77777777" w:rsidR="000C15FC" w:rsidRDefault="004E2EE1" w:rsidP="00CD363C">
      <w:pPr>
        <w:widowControl w:val="0"/>
        <w:tabs>
          <w:tab w:val="left" w:pos="12758"/>
        </w:tabs>
        <w:autoSpaceDE w:val="0"/>
        <w:autoSpaceDN w:val="0"/>
        <w:spacing w:after="0" w:line="240" w:lineRule="auto"/>
        <w:ind w:left="3104" w:right="107"/>
        <w:jc w:val="both"/>
        <w:rPr>
          <w:i/>
          <w:sz w:val="20"/>
        </w:rPr>
      </w:pPr>
      <w:r>
        <w:rPr>
          <w:i/>
          <w:sz w:val="20"/>
        </w:rPr>
        <w:t xml:space="preserve">                          </w:t>
      </w:r>
      <w:r w:rsidRPr="004E2EE1">
        <w:rPr>
          <w:i/>
          <w:sz w:val="20"/>
        </w:rPr>
        <w:t>10.tabula Aprēķini pārskata perioda beigās</w:t>
      </w:r>
    </w:p>
    <w:p w14:paraId="33C73D49" w14:textId="77777777" w:rsidR="004E2EE1" w:rsidRPr="004E2EE1" w:rsidRDefault="004E2EE1" w:rsidP="00CD363C">
      <w:pPr>
        <w:widowControl w:val="0"/>
        <w:tabs>
          <w:tab w:val="left" w:pos="12758"/>
        </w:tabs>
        <w:autoSpaceDE w:val="0"/>
        <w:autoSpaceDN w:val="0"/>
        <w:spacing w:after="0" w:line="240" w:lineRule="auto"/>
        <w:ind w:left="3104" w:right="107"/>
        <w:jc w:val="both"/>
        <w:rPr>
          <w:i/>
          <w:sz w:val="20"/>
        </w:rPr>
      </w:pPr>
    </w:p>
    <w:p w14:paraId="7D86F933" w14:textId="77777777" w:rsidR="000C15FC" w:rsidRPr="004E2EE1" w:rsidRDefault="004E2EE1" w:rsidP="00CD363C">
      <w:pPr>
        <w:widowControl w:val="0"/>
        <w:tabs>
          <w:tab w:val="left" w:pos="12758"/>
        </w:tabs>
        <w:autoSpaceDE w:val="0"/>
        <w:autoSpaceDN w:val="0"/>
        <w:spacing w:after="0" w:line="240" w:lineRule="auto"/>
        <w:ind w:left="142" w:right="107"/>
        <w:jc w:val="both"/>
        <w:rPr>
          <w:i/>
          <w:sz w:val="20"/>
        </w:rPr>
      </w:pPr>
      <w:r w:rsidRPr="004E2EE1">
        <w:rPr>
          <w:noProof/>
        </w:rPr>
        <w:drawing>
          <wp:inline distT="0" distB="0" distL="0" distR="0" wp14:anchorId="70ED8E95" wp14:editId="6483CF21">
            <wp:extent cx="6336985" cy="315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40814" cy="3154680"/>
                    </a:xfrm>
                    <a:prstGeom prst="rect">
                      <a:avLst/>
                    </a:prstGeom>
                    <a:noFill/>
                    <a:ln>
                      <a:noFill/>
                    </a:ln>
                  </pic:spPr>
                </pic:pic>
              </a:graphicData>
            </a:graphic>
          </wp:inline>
        </w:drawing>
      </w:r>
    </w:p>
    <w:p w14:paraId="3E131802" w14:textId="77777777" w:rsidR="008E7CC8" w:rsidRDefault="008E7CC8" w:rsidP="00CD363C">
      <w:pPr>
        <w:pStyle w:val="Virsraksts7"/>
        <w:spacing w:before="0" w:line="240" w:lineRule="auto"/>
        <w:ind w:left="818" w:right="107"/>
        <w:jc w:val="both"/>
      </w:pPr>
      <w:r>
        <w:t>Komentāri 9. un 10.tabulai</w:t>
      </w:r>
    </w:p>
    <w:p w14:paraId="7D8CCF94" w14:textId="77777777" w:rsidR="008E7CC8" w:rsidRDefault="008E7CC8" w:rsidP="00CD363C">
      <w:pPr>
        <w:pStyle w:val="Pamatteksts"/>
        <w:ind w:right="107"/>
        <w:jc w:val="both"/>
        <w:rPr>
          <w:b/>
          <w:i/>
          <w:sz w:val="20"/>
        </w:rPr>
      </w:pPr>
    </w:p>
    <w:p w14:paraId="1E044C37"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07" w:hanging="283"/>
        <w:contextualSpacing w:val="0"/>
        <w:jc w:val="both"/>
        <w:rPr>
          <w:rFonts w:ascii="Times New Roman" w:hAnsi="Times New Roman" w:cs="Times New Roman"/>
        </w:rPr>
      </w:pPr>
      <w:r w:rsidRPr="008E7CC8">
        <w:rPr>
          <w:rFonts w:ascii="Times New Roman" w:hAnsi="Times New Roman" w:cs="Times New Roman"/>
        </w:rPr>
        <w:t>Periodā no trešā līdz astotajam gadam aprēķinātais nolietojums atspoguļo sākotnēji uzbūvētā ceļa seguma nolietojumu. Tas šajā periodā tiek pilnībā nolietots.</w:t>
      </w:r>
    </w:p>
    <w:p w14:paraId="25EC9FBE"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07" w:hanging="283"/>
        <w:contextualSpacing w:val="0"/>
        <w:jc w:val="both"/>
        <w:rPr>
          <w:rFonts w:ascii="Times New Roman" w:hAnsi="Times New Roman" w:cs="Times New Roman"/>
        </w:rPr>
      </w:pPr>
      <w:r w:rsidRPr="008E7CC8">
        <w:rPr>
          <w:rFonts w:ascii="Times New Roman" w:hAnsi="Times New Roman" w:cs="Times New Roman"/>
        </w:rPr>
        <w:t>Periodā no devītā līdz desmitajam gadam aprēķinātais nolietojums atspoguļo jaunās, astotajā gadā atzītās, partnerības aktīva komponentes (seguma) nolietojumu.</w:t>
      </w:r>
    </w:p>
    <w:p w14:paraId="01B8F3A0"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07" w:hanging="283"/>
        <w:contextualSpacing w:val="0"/>
        <w:jc w:val="both"/>
        <w:rPr>
          <w:rFonts w:ascii="Times New Roman" w:hAnsi="Times New Roman" w:cs="Times New Roman"/>
        </w:rPr>
      </w:pPr>
      <w:r w:rsidRPr="008E7CC8">
        <w:rPr>
          <w:rFonts w:ascii="Times New Roman" w:hAnsi="Times New Roman" w:cs="Times New Roman"/>
        </w:rPr>
        <w:t>Visus ieņēmumus atzīst vienmērīgi pakalpojumu līguma darbības</w:t>
      </w:r>
      <w:r w:rsidRPr="008E7CC8">
        <w:rPr>
          <w:rFonts w:ascii="Times New Roman" w:hAnsi="Times New Roman" w:cs="Times New Roman"/>
          <w:spacing w:val="-2"/>
        </w:rPr>
        <w:t xml:space="preserve"> </w:t>
      </w:r>
      <w:r w:rsidRPr="008E7CC8">
        <w:rPr>
          <w:rFonts w:ascii="Times New Roman" w:hAnsi="Times New Roman" w:cs="Times New Roman"/>
        </w:rPr>
        <w:t>laikā.</w:t>
      </w:r>
    </w:p>
    <w:p w14:paraId="2F66EC0F" w14:textId="77777777" w:rsidR="000C15FC" w:rsidRPr="008E7CC8" w:rsidRDefault="000C15FC" w:rsidP="00CD363C">
      <w:pPr>
        <w:widowControl w:val="0"/>
        <w:tabs>
          <w:tab w:val="left" w:pos="12758"/>
        </w:tabs>
        <w:autoSpaceDE w:val="0"/>
        <w:autoSpaceDN w:val="0"/>
        <w:spacing w:after="0" w:line="240" w:lineRule="auto"/>
        <w:ind w:right="107"/>
        <w:jc w:val="both"/>
        <w:rPr>
          <w:rFonts w:ascii="Times New Roman" w:hAnsi="Times New Roman" w:cs="Times New Roman"/>
          <w:i/>
          <w:sz w:val="20"/>
        </w:rPr>
      </w:pPr>
    </w:p>
    <w:p w14:paraId="1A7AD85E" w14:textId="77777777" w:rsidR="008E7CC8" w:rsidRDefault="008E7CC8" w:rsidP="00CD363C">
      <w:pPr>
        <w:pStyle w:val="Sarakstarindkopa"/>
        <w:widowControl w:val="0"/>
        <w:tabs>
          <w:tab w:val="left" w:pos="9746"/>
        </w:tabs>
        <w:autoSpaceDE w:val="0"/>
        <w:autoSpaceDN w:val="0"/>
        <w:spacing w:after="0" w:line="240" w:lineRule="auto"/>
        <w:ind w:left="3305" w:right="107"/>
        <w:contextualSpacing w:val="0"/>
        <w:jc w:val="both"/>
        <w:rPr>
          <w:i/>
          <w:sz w:val="20"/>
        </w:rPr>
      </w:pPr>
      <w:r>
        <w:rPr>
          <w:i/>
          <w:sz w:val="20"/>
        </w:rPr>
        <w:t>11.tabula. Pārskatā par finansiālo stāvokli uzrādāmā informācija</w:t>
      </w:r>
      <w:r>
        <w:rPr>
          <w:i/>
          <w:spacing w:val="-6"/>
          <w:sz w:val="20"/>
        </w:rPr>
        <w:t xml:space="preserve"> </w:t>
      </w:r>
      <w:r>
        <w:rPr>
          <w:i/>
          <w:sz w:val="20"/>
        </w:rPr>
        <w:t>(EUR)</w:t>
      </w:r>
    </w:p>
    <w:p w14:paraId="75CB3B41" w14:textId="77777777" w:rsidR="00812262" w:rsidRPr="008E7CC8" w:rsidRDefault="00812262" w:rsidP="00CD363C">
      <w:pPr>
        <w:widowControl w:val="0"/>
        <w:tabs>
          <w:tab w:val="left" w:pos="12758"/>
        </w:tabs>
        <w:autoSpaceDE w:val="0"/>
        <w:autoSpaceDN w:val="0"/>
        <w:spacing w:after="0" w:line="240" w:lineRule="auto"/>
        <w:ind w:right="107"/>
        <w:jc w:val="both"/>
        <w:rPr>
          <w:rFonts w:ascii="Times New Roman" w:hAnsi="Times New Roman" w:cs="Times New Roman"/>
          <w:i/>
          <w:sz w:val="20"/>
        </w:rPr>
      </w:pPr>
    </w:p>
    <w:p w14:paraId="10AD13CB" w14:textId="77777777" w:rsidR="00EC22C4" w:rsidRPr="008E7CC8" w:rsidRDefault="008E7CC8" w:rsidP="00CD363C">
      <w:pPr>
        <w:spacing w:after="0" w:line="240" w:lineRule="auto"/>
        <w:ind w:right="-142"/>
        <w:jc w:val="both"/>
        <w:rPr>
          <w:rFonts w:ascii="Times New Roman" w:hAnsi="Times New Roman" w:cs="Times New Roman"/>
          <w:iCs/>
          <w:sz w:val="24"/>
          <w:szCs w:val="24"/>
        </w:rPr>
      </w:pPr>
      <w:r w:rsidRPr="008E7CC8">
        <w:rPr>
          <w:noProof/>
        </w:rPr>
        <w:drawing>
          <wp:inline distT="0" distB="0" distL="0" distR="0" wp14:anchorId="2FAE1F7F" wp14:editId="45FB244D">
            <wp:extent cx="6602730"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05801" cy="2353769"/>
                    </a:xfrm>
                    <a:prstGeom prst="rect">
                      <a:avLst/>
                    </a:prstGeom>
                    <a:noFill/>
                    <a:ln>
                      <a:noFill/>
                    </a:ln>
                  </pic:spPr>
                </pic:pic>
              </a:graphicData>
            </a:graphic>
          </wp:inline>
        </w:drawing>
      </w:r>
    </w:p>
    <w:p w14:paraId="5ADD0ADE" w14:textId="77777777" w:rsidR="008E7CC8" w:rsidRDefault="008E7CC8" w:rsidP="00CD363C">
      <w:pPr>
        <w:pStyle w:val="Virsraksts7"/>
        <w:spacing w:before="0" w:line="240" w:lineRule="auto"/>
        <w:ind w:left="818" w:right="-142"/>
        <w:jc w:val="both"/>
      </w:pPr>
      <w:r>
        <w:t>Komentāri 11.tabulai</w:t>
      </w:r>
    </w:p>
    <w:p w14:paraId="6CF6C25C" w14:textId="77777777" w:rsidR="008E7CC8" w:rsidRDefault="008E7CC8" w:rsidP="00CD363C">
      <w:pPr>
        <w:pStyle w:val="Pamatteksts"/>
        <w:ind w:right="-142"/>
        <w:jc w:val="both"/>
        <w:rPr>
          <w:b/>
          <w:i/>
          <w:sz w:val="20"/>
        </w:rPr>
      </w:pPr>
    </w:p>
    <w:p w14:paraId="518B29D9"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Šajā piemērā seguma atjaunošana veikta astotajā gadā, kā paredzēts, kad sākotnējais ceļa segums ir pilnībā nolietots. Ja segumu atjaunotu ātrāk, sākotnējais</w:t>
      </w:r>
      <w:r w:rsidRPr="008E7CC8">
        <w:rPr>
          <w:rFonts w:ascii="Times New Roman" w:hAnsi="Times New Roman" w:cs="Times New Roman"/>
          <w:spacing w:val="-8"/>
        </w:rPr>
        <w:t xml:space="preserve"> </w:t>
      </w:r>
      <w:r w:rsidRPr="008E7CC8">
        <w:rPr>
          <w:rFonts w:ascii="Times New Roman" w:hAnsi="Times New Roman" w:cs="Times New Roman"/>
        </w:rPr>
        <w:t>ceļa</w:t>
      </w:r>
      <w:r w:rsidRPr="008E7CC8">
        <w:rPr>
          <w:rFonts w:ascii="Times New Roman" w:hAnsi="Times New Roman" w:cs="Times New Roman"/>
          <w:spacing w:val="-7"/>
        </w:rPr>
        <w:t xml:space="preserve"> </w:t>
      </w:r>
      <w:r w:rsidRPr="008E7CC8">
        <w:rPr>
          <w:rFonts w:ascii="Times New Roman" w:hAnsi="Times New Roman" w:cs="Times New Roman"/>
        </w:rPr>
        <w:t>segums</w:t>
      </w:r>
      <w:r w:rsidRPr="008E7CC8">
        <w:rPr>
          <w:rFonts w:ascii="Times New Roman" w:hAnsi="Times New Roman" w:cs="Times New Roman"/>
          <w:spacing w:val="-8"/>
        </w:rPr>
        <w:t xml:space="preserve"> </w:t>
      </w:r>
      <w:r w:rsidRPr="008E7CC8">
        <w:rPr>
          <w:rFonts w:ascii="Times New Roman" w:hAnsi="Times New Roman" w:cs="Times New Roman"/>
        </w:rPr>
        <w:t>nebūtu</w:t>
      </w:r>
      <w:r w:rsidRPr="008E7CC8">
        <w:rPr>
          <w:rFonts w:ascii="Times New Roman" w:hAnsi="Times New Roman" w:cs="Times New Roman"/>
          <w:spacing w:val="-10"/>
        </w:rPr>
        <w:t xml:space="preserve"> </w:t>
      </w:r>
      <w:r w:rsidRPr="008E7CC8">
        <w:rPr>
          <w:rFonts w:ascii="Times New Roman" w:hAnsi="Times New Roman" w:cs="Times New Roman"/>
        </w:rPr>
        <w:t>pilnībā</w:t>
      </w:r>
      <w:r w:rsidRPr="008E7CC8">
        <w:rPr>
          <w:rFonts w:ascii="Times New Roman" w:hAnsi="Times New Roman" w:cs="Times New Roman"/>
          <w:spacing w:val="-7"/>
        </w:rPr>
        <w:t xml:space="preserve"> </w:t>
      </w:r>
      <w:r w:rsidRPr="008E7CC8">
        <w:rPr>
          <w:rFonts w:ascii="Times New Roman" w:hAnsi="Times New Roman" w:cs="Times New Roman"/>
        </w:rPr>
        <w:t>nolietots</w:t>
      </w:r>
      <w:r w:rsidRPr="008E7CC8">
        <w:rPr>
          <w:rFonts w:ascii="Times New Roman" w:hAnsi="Times New Roman" w:cs="Times New Roman"/>
          <w:spacing w:val="-10"/>
        </w:rPr>
        <w:t xml:space="preserve"> </w:t>
      </w:r>
      <w:r w:rsidRPr="008E7CC8">
        <w:rPr>
          <w:rFonts w:ascii="Times New Roman" w:hAnsi="Times New Roman" w:cs="Times New Roman"/>
        </w:rPr>
        <w:t>un</w:t>
      </w:r>
      <w:r w:rsidRPr="008E7CC8">
        <w:rPr>
          <w:rFonts w:ascii="Times New Roman" w:hAnsi="Times New Roman" w:cs="Times New Roman"/>
          <w:spacing w:val="-10"/>
        </w:rPr>
        <w:t xml:space="preserve"> </w:t>
      </w:r>
      <w:r w:rsidRPr="008E7CC8">
        <w:rPr>
          <w:rFonts w:ascii="Times New Roman" w:hAnsi="Times New Roman" w:cs="Times New Roman"/>
        </w:rPr>
        <w:t>to</w:t>
      </w:r>
      <w:r w:rsidRPr="008E7CC8">
        <w:rPr>
          <w:rFonts w:ascii="Times New Roman" w:hAnsi="Times New Roman" w:cs="Times New Roman"/>
          <w:spacing w:val="-12"/>
        </w:rPr>
        <w:t xml:space="preserve"> </w:t>
      </w:r>
      <w:r w:rsidRPr="008E7CC8">
        <w:rPr>
          <w:rFonts w:ascii="Times New Roman" w:hAnsi="Times New Roman" w:cs="Times New Roman"/>
        </w:rPr>
        <w:t>būtu</w:t>
      </w:r>
      <w:r w:rsidRPr="008E7CC8">
        <w:rPr>
          <w:rFonts w:ascii="Times New Roman" w:hAnsi="Times New Roman" w:cs="Times New Roman"/>
          <w:spacing w:val="-10"/>
        </w:rPr>
        <w:t xml:space="preserve"> </w:t>
      </w:r>
      <w:r w:rsidRPr="008E7CC8">
        <w:rPr>
          <w:rFonts w:ascii="Times New Roman" w:hAnsi="Times New Roman" w:cs="Times New Roman"/>
        </w:rPr>
        <w:t>jāizslēdz</w:t>
      </w:r>
      <w:r w:rsidRPr="008E7CC8">
        <w:rPr>
          <w:rFonts w:ascii="Times New Roman" w:hAnsi="Times New Roman" w:cs="Times New Roman"/>
          <w:spacing w:val="-10"/>
        </w:rPr>
        <w:t xml:space="preserve"> </w:t>
      </w:r>
      <w:r w:rsidRPr="008E7CC8">
        <w:rPr>
          <w:rFonts w:ascii="Times New Roman" w:hAnsi="Times New Roman" w:cs="Times New Roman"/>
        </w:rPr>
        <w:t>no</w:t>
      </w:r>
      <w:r w:rsidRPr="008E7CC8">
        <w:rPr>
          <w:rFonts w:ascii="Times New Roman" w:hAnsi="Times New Roman" w:cs="Times New Roman"/>
          <w:spacing w:val="-10"/>
        </w:rPr>
        <w:t xml:space="preserve"> </w:t>
      </w:r>
      <w:r w:rsidRPr="008E7CC8">
        <w:rPr>
          <w:rFonts w:ascii="Times New Roman" w:hAnsi="Times New Roman" w:cs="Times New Roman"/>
        </w:rPr>
        <w:t>uzskaites</w:t>
      </w:r>
      <w:r w:rsidRPr="008E7CC8">
        <w:rPr>
          <w:rFonts w:ascii="Times New Roman" w:hAnsi="Times New Roman" w:cs="Times New Roman"/>
          <w:spacing w:val="-9"/>
        </w:rPr>
        <w:t xml:space="preserve"> </w:t>
      </w:r>
      <w:r w:rsidRPr="008E7CC8">
        <w:rPr>
          <w:rFonts w:ascii="Times New Roman" w:hAnsi="Times New Roman" w:cs="Times New Roman"/>
        </w:rPr>
        <w:t>saskaņā</w:t>
      </w:r>
      <w:r w:rsidRPr="008E7CC8">
        <w:rPr>
          <w:rFonts w:ascii="Times New Roman" w:hAnsi="Times New Roman" w:cs="Times New Roman"/>
          <w:spacing w:val="-9"/>
        </w:rPr>
        <w:t xml:space="preserve"> </w:t>
      </w:r>
      <w:r w:rsidRPr="008E7CC8">
        <w:rPr>
          <w:rFonts w:ascii="Times New Roman" w:hAnsi="Times New Roman" w:cs="Times New Roman"/>
        </w:rPr>
        <w:t>ar</w:t>
      </w:r>
      <w:r w:rsidRPr="008E7CC8">
        <w:rPr>
          <w:rFonts w:ascii="Times New Roman" w:hAnsi="Times New Roman" w:cs="Times New Roman"/>
          <w:spacing w:val="-7"/>
        </w:rPr>
        <w:t xml:space="preserve"> </w:t>
      </w:r>
      <w:r>
        <w:rPr>
          <w:rFonts w:ascii="Times New Roman" w:hAnsi="Times New Roman" w:cs="Times New Roman"/>
        </w:rPr>
        <w:t>grāmatvedības uzskaites kārtības</w:t>
      </w:r>
      <w:r w:rsidRPr="008E7CC8">
        <w:rPr>
          <w:rFonts w:ascii="Times New Roman" w:hAnsi="Times New Roman" w:cs="Times New Roman"/>
          <w:spacing w:val="-6"/>
        </w:rPr>
        <w:t xml:space="preserve"> </w:t>
      </w:r>
      <w:r w:rsidRPr="008E7CC8">
        <w:rPr>
          <w:rFonts w:ascii="Times New Roman" w:hAnsi="Times New Roman" w:cs="Times New Roman"/>
        </w:rPr>
        <w:t>sadaļu</w:t>
      </w:r>
      <w:r w:rsidRPr="008E7CC8">
        <w:rPr>
          <w:rFonts w:ascii="Times New Roman" w:hAnsi="Times New Roman" w:cs="Times New Roman"/>
          <w:color w:val="0462C1"/>
          <w:spacing w:val="-4"/>
        </w:rPr>
        <w:t xml:space="preserve"> </w:t>
      </w:r>
      <w:r w:rsidRPr="008E7CC8">
        <w:rPr>
          <w:rFonts w:ascii="Times New Roman" w:hAnsi="Times New Roman" w:cs="Times New Roman"/>
          <w:color w:val="0462C1"/>
          <w:u w:val="single" w:color="0462C1"/>
        </w:rPr>
        <w:t>“</w:t>
      </w:r>
      <w:hyperlink w:anchor="_bookmark33" w:history="1">
        <w:r w:rsidRPr="008E7CC8">
          <w:rPr>
            <w:rFonts w:ascii="Times New Roman" w:hAnsi="Times New Roman" w:cs="Times New Roman"/>
            <w:color w:val="0462C1"/>
            <w:u w:val="single" w:color="0462C1"/>
          </w:rPr>
          <w:t>Pamatlīdzekļu</w:t>
        </w:r>
        <w:r w:rsidRPr="008E7CC8">
          <w:rPr>
            <w:rFonts w:ascii="Times New Roman" w:hAnsi="Times New Roman" w:cs="Times New Roman"/>
            <w:color w:val="0462C1"/>
            <w:spacing w:val="-7"/>
            <w:u w:val="single" w:color="0462C1"/>
          </w:rPr>
          <w:t xml:space="preserve"> </w:t>
        </w:r>
        <w:r w:rsidRPr="008E7CC8">
          <w:rPr>
            <w:rFonts w:ascii="Times New Roman" w:hAnsi="Times New Roman" w:cs="Times New Roman"/>
            <w:color w:val="0462C1"/>
            <w:u w:val="single" w:color="0462C1"/>
          </w:rPr>
          <w:t>uzskaite</w:t>
        </w:r>
      </w:hyperlink>
      <w:r w:rsidRPr="008E7CC8">
        <w:rPr>
          <w:rFonts w:ascii="Times New Roman" w:hAnsi="Times New Roman" w:cs="Times New Roman"/>
          <w:color w:val="0462C1"/>
          <w:u w:val="single" w:color="0462C1"/>
        </w:rPr>
        <w:t>”</w:t>
      </w:r>
      <w:r w:rsidRPr="008E7CC8">
        <w:rPr>
          <w:rFonts w:ascii="Times New Roman" w:hAnsi="Times New Roman" w:cs="Times New Roman"/>
          <w:color w:val="0462C1"/>
          <w:spacing w:val="-8"/>
        </w:rPr>
        <w:t xml:space="preserve"> </w:t>
      </w:r>
      <w:r w:rsidRPr="008E7CC8">
        <w:rPr>
          <w:rFonts w:ascii="Times New Roman" w:hAnsi="Times New Roman" w:cs="Times New Roman"/>
        </w:rPr>
        <w:t>pirms</w:t>
      </w:r>
      <w:r w:rsidRPr="008E7CC8">
        <w:rPr>
          <w:rFonts w:ascii="Times New Roman" w:hAnsi="Times New Roman" w:cs="Times New Roman"/>
          <w:spacing w:val="-7"/>
        </w:rPr>
        <w:t xml:space="preserve"> </w:t>
      </w:r>
      <w:r w:rsidRPr="008E7CC8">
        <w:rPr>
          <w:rFonts w:ascii="Times New Roman" w:hAnsi="Times New Roman" w:cs="Times New Roman"/>
        </w:rPr>
        <w:t>atzīst jauno partnerības aktīva komponenti, kas izveidota, atjaunojot ceļa</w:t>
      </w:r>
      <w:r w:rsidRPr="008E7CC8">
        <w:rPr>
          <w:rFonts w:ascii="Times New Roman" w:hAnsi="Times New Roman" w:cs="Times New Roman"/>
          <w:spacing w:val="-5"/>
        </w:rPr>
        <w:t xml:space="preserve"> </w:t>
      </w:r>
      <w:r w:rsidRPr="008E7CC8">
        <w:rPr>
          <w:rFonts w:ascii="Times New Roman" w:hAnsi="Times New Roman" w:cs="Times New Roman"/>
        </w:rPr>
        <w:t>segumu.</w:t>
      </w:r>
    </w:p>
    <w:p w14:paraId="62D14F5C"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Jauno partnerības aktīva komponenti, kas izveidota, atjaunojot ceļa segumu, atzīst astotajā gadā. Devītajā un desmitajā gadā aprēķinātais nolietojums atspoguļo šīs jaunās komponentes nolietojumu</w:t>
      </w:r>
      <w:r w:rsidRPr="008E7CC8">
        <w:rPr>
          <w:rFonts w:ascii="Times New Roman" w:hAnsi="Times New Roman" w:cs="Times New Roman"/>
          <w:spacing w:val="-3"/>
        </w:rPr>
        <w:t xml:space="preserve"> </w:t>
      </w:r>
      <w:r w:rsidRPr="008E7CC8">
        <w:rPr>
          <w:rFonts w:ascii="Times New Roman" w:hAnsi="Times New Roman" w:cs="Times New Roman"/>
        </w:rPr>
        <w:t>(8.tabulā).</w:t>
      </w:r>
    </w:p>
    <w:p w14:paraId="12DE5AFC"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Nākamo periodu ieņēmumi palielinās astotajā gadā par 50% no jaunās atzītās partnerības aktīva komponentes</w:t>
      </w:r>
      <w:r w:rsidRPr="008E7CC8">
        <w:rPr>
          <w:rFonts w:ascii="Times New Roman" w:hAnsi="Times New Roman" w:cs="Times New Roman"/>
          <w:spacing w:val="-21"/>
        </w:rPr>
        <w:t xml:space="preserve"> </w:t>
      </w:r>
      <w:r w:rsidRPr="008E7CC8">
        <w:rPr>
          <w:rFonts w:ascii="Times New Roman" w:hAnsi="Times New Roman" w:cs="Times New Roman"/>
        </w:rPr>
        <w:t>summas.</w:t>
      </w:r>
    </w:p>
    <w:p w14:paraId="775531DC" w14:textId="77777777" w:rsidR="008E7CC8" w:rsidRPr="008E7CC8" w:rsidRDefault="008E7CC8" w:rsidP="00CD363C">
      <w:pPr>
        <w:pStyle w:val="Sarakstarindkopa"/>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Finanšu saistības palielinās astotajā gadā par 50% no jaunās atzītās partnerības aktīva komponentes</w:t>
      </w:r>
      <w:r w:rsidRPr="008E7CC8">
        <w:rPr>
          <w:rFonts w:ascii="Times New Roman" w:hAnsi="Times New Roman" w:cs="Times New Roman"/>
          <w:spacing w:val="-10"/>
        </w:rPr>
        <w:t xml:space="preserve"> </w:t>
      </w:r>
      <w:r w:rsidRPr="008E7CC8">
        <w:rPr>
          <w:rFonts w:ascii="Times New Roman" w:hAnsi="Times New Roman" w:cs="Times New Roman"/>
        </w:rPr>
        <w:t>summas.</w:t>
      </w:r>
    </w:p>
    <w:p w14:paraId="1A66CD98"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74E9FFAE"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5002B0A5"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123F7C4A"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288FEE43"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34B44FD7"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0467BA3C"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1A603C15"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78EDB283"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51E65755"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0CB12895"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p>
    <w:p w14:paraId="036E814C" w14:textId="77777777" w:rsidR="008E7CC8" w:rsidRDefault="008E7CC8" w:rsidP="00CD363C">
      <w:pPr>
        <w:pStyle w:val="Sarakstarindkopa"/>
        <w:widowControl w:val="0"/>
        <w:tabs>
          <w:tab w:val="left" w:pos="12040"/>
        </w:tabs>
        <w:autoSpaceDE w:val="0"/>
        <w:autoSpaceDN w:val="0"/>
        <w:spacing w:after="0" w:line="240" w:lineRule="auto"/>
        <w:ind w:left="3357" w:right="-142"/>
        <w:contextualSpacing w:val="0"/>
        <w:jc w:val="both"/>
        <w:rPr>
          <w:i/>
          <w:sz w:val="20"/>
        </w:rPr>
      </w:pPr>
      <w:r>
        <w:rPr>
          <w:i/>
          <w:sz w:val="20"/>
        </w:rPr>
        <w:t>12.tabula. Izmaiņas finanšu saistībās</w:t>
      </w:r>
      <w:r>
        <w:rPr>
          <w:i/>
          <w:spacing w:val="-6"/>
          <w:sz w:val="20"/>
        </w:rPr>
        <w:t xml:space="preserve"> </w:t>
      </w:r>
      <w:r>
        <w:rPr>
          <w:i/>
          <w:sz w:val="20"/>
        </w:rPr>
        <w:t>(EUR)</w:t>
      </w:r>
    </w:p>
    <w:p w14:paraId="4162F7AF" w14:textId="77777777" w:rsidR="00015E9E" w:rsidRPr="008E7CC8" w:rsidRDefault="008E7CC8" w:rsidP="00CD363C">
      <w:pPr>
        <w:widowControl w:val="0"/>
        <w:tabs>
          <w:tab w:val="left" w:pos="898"/>
        </w:tabs>
        <w:autoSpaceDE w:val="0"/>
        <w:autoSpaceDN w:val="0"/>
        <w:spacing w:after="0" w:line="240" w:lineRule="auto"/>
        <w:ind w:right="-142"/>
        <w:jc w:val="both"/>
        <w:rPr>
          <w:rFonts w:ascii="Times New Roman" w:hAnsi="Times New Roman" w:cs="Times New Roman"/>
          <w:b/>
          <w:bCs/>
          <w:sz w:val="24"/>
          <w:szCs w:val="24"/>
        </w:rPr>
      </w:pPr>
      <w:r w:rsidRPr="008E7CC8">
        <w:rPr>
          <w:noProof/>
        </w:rPr>
        <w:drawing>
          <wp:inline distT="0" distB="0" distL="0" distR="0" wp14:anchorId="4EAC7DA8" wp14:editId="4A5D6E26">
            <wp:extent cx="6524625" cy="2283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33580" cy="2287059"/>
                    </a:xfrm>
                    <a:prstGeom prst="rect">
                      <a:avLst/>
                    </a:prstGeom>
                    <a:noFill/>
                    <a:ln>
                      <a:noFill/>
                    </a:ln>
                  </pic:spPr>
                </pic:pic>
              </a:graphicData>
            </a:graphic>
          </wp:inline>
        </w:drawing>
      </w:r>
    </w:p>
    <w:p w14:paraId="0CC4BB76" w14:textId="77777777" w:rsidR="008E7CC8" w:rsidRPr="008E7CC8" w:rsidRDefault="008E7CC8" w:rsidP="00CD363C">
      <w:pPr>
        <w:widowControl w:val="0"/>
        <w:tabs>
          <w:tab w:val="left" w:pos="10396"/>
        </w:tabs>
        <w:autoSpaceDE w:val="0"/>
        <w:autoSpaceDN w:val="0"/>
        <w:spacing w:after="0" w:line="240" w:lineRule="auto"/>
        <w:ind w:left="3104" w:right="-142"/>
        <w:jc w:val="both"/>
        <w:rPr>
          <w:i/>
          <w:sz w:val="20"/>
        </w:rPr>
      </w:pPr>
      <w:r>
        <w:rPr>
          <w:i/>
          <w:sz w:val="20"/>
        </w:rPr>
        <w:t>13.</w:t>
      </w:r>
      <w:r w:rsidRPr="008E7CC8">
        <w:rPr>
          <w:i/>
          <w:sz w:val="20"/>
        </w:rPr>
        <w:t>tabula. Izmaiņas atzītajos nākamo periodu ieņēmumos</w:t>
      </w:r>
      <w:r w:rsidRPr="008E7CC8">
        <w:rPr>
          <w:i/>
          <w:spacing w:val="-10"/>
          <w:sz w:val="20"/>
        </w:rPr>
        <w:t xml:space="preserve"> </w:t>
      </w:r>
      <w:r w:rsidRPr="008E7CC8">
        <w:rPr>
          <w:i/>
          <w:sz w:val="20"/>
        </w:rPr>
        <w:t>(EUR)</w:t>
      </w:r>
    </w:p>
    <w:p w14:paraId="72584AE5" w14:textId="77777777" w:rsidR="00312F3A" w:rsidRPr="008E7CC8" w:rsidRDefault="008E7CC8" w:rsidP="00CD363C">
      <w:pPr>
        <w:spacing w:after="0" w:line="240" w:lineRule="auto"/>
        <w:ind w:right="-142"/>
        <w:jc w:val="both"/>
        <w:rPr>
          <w:rFonts w:ascii="Times New Roman" w:hAnsi="Times New Roman" w:cs="Times New Roman"/>
          <w:b/>
          <w:bCs/>
          <w:iCs/>
          <w:sz w:val="24"/>
          <w:szCs w:val="24"/>
        </w:rPr>
      </w:pPr>
      <w:r w:rsidRPr="008E7CC8">
        <w:rPr>
          <w:noProof/>
        </w:rPr>
        <w:drawing>
          <wp:inline distT="0" distB="0" distL="0" distR="0" wp14:anchorId="7D5772A8" wp14:editId="1ED6827B">
            <wp:extent cx="6448425" cy="2167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60981" cy="2171759"/>
                    </a:xfrm>
                    <a:prstGeom prst="rect">
                      <a:avLst/>
                    </a:prstGeom>
                    <a:noFill/>
                    <a:ln>
                      <a:noFill/>
                    </a:ln>
                  </pic:spPr>
                </pic:pic>
              </a:graphicData>
            </a:graphic>
          </wp:inline>
        </w:drawing>
      </w:r>
    </w:p>
    <w:p w14:paraId="403E39C3" w14:textId="77777777" w:rsidR="008E7CC8" w:rsidRDefault="008E7CC8" w:rsidP="00CD363C">
      <w:pPr>
        <w:spacing w:after="0" w:line="240" w:lineRule="auto"/>
        <w:ind w:left="818" w:right="-142"/>
        <w:jc w:val="both"/>
        <w:rPr>
          <w:i/>
        </w:rPr>
      </w:pPr>
      <w:r>
        <w:rPr>
          <w:i/>
          <w:sz w:val="20"/>
        </w:rPr>
        <w:t xml:space="preserve">*  atzīst ieņēmumus par  iegūto  aktīvu  72  500,00  EUR  </w:t>
      </w:r>
      <w:r>
        <w:rPr>
          <w:i/>
        </w:rPr>
        <w:t>un samazina nākamo periodu ieņēmumus. Atzītie ieņēmumi ir puse no  aktīva kopsummas visā līguma laikā  580 000,00 EUR (525 000 EUR pirmajos divos gados atzītā summa plus 55 000 EUR 8.gadā, 50% no ceļa seguma atjaunošanas izdevumiem), dalīta ar 8</w:t>
      </w:r>
      <w:r>
        <w:rPr>
          <w:i/>
          <w:spacing w:val="-34"/>
        </w:rPr>
        <w:t xml:space="preserve"> </w:t>
      </w:r>
      <w:r>
        <w:rPr>
          <w:i/>
        </w:rPr>
        <w:t>gadiem.</w:t>
      </w:r>
    </w:p>
    <w:p w14:paraId="2E3AD05F" w14:textId="77777777" w:rsidR="008E7CC8" w:rsidRDefault="008E7CC8" w:rsidP="00CD363C">
      <w:pPr>
        <w:pStyle w:val="Virsraksts6"/>
        <w:ind w:left="218" w:right="-142"/>
        <w:jc w:val="both"/>
      </w:pPr>
      <w:r>
        <w:t>Desmit gadu laikā, kamēr ir spēkā publiskās un privātās partnerības līgums, budžeta iestāde veic grāmatojumus atbilstoši 14.tabulā sniegtajai informācijai.</w:t>
      </w:r>
    </w:p>
    <w:p w14:paraId="2158A0E2" w14:textId="77777777" w:rsidR="00AE546D" w:rsidRPr="008E7CC8" w:rsidRDefault="008E7CC8" w:rsidP="00CD363C">
      <w:pPr>
        <w:pStyle w:val="Pamatteksts"/>
        <w:tabs>
          <w:tab w:val="left" w:pos="5355"/>
        </w:tabs>
        <w:ind w:right="-142"/>
        <w:jc w:val="both"/>
        <w:rPr>
          <w:i/>
          <w:sz w:val="20"/>
          <w:szCs w:val="20"/>
        </w:rPr>
      </w:pPr>
      <w:r>
        <w:rPr>
          <w:iCs/>
          <w:sz w:val="24"/>
          <w:szCs w:val="24"/>
        </w:rPr>
        <w:tab/>
      </w:r>
      <w:r w:rsidRPr="008E7CC8">
        <w:rPr>
          <w:i/>
          <w:sz w:val="20"/>
          <w:szCs w:val="20"/>
        </w:rPr>
        <w:t>14.tabula Grāmatojumi</w:t>
      </w: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8"/>
        <w:gridCol w:w="2962"/>
        <w:gridCol w:w="1152"/>
        <w:gridCol w:w="3288"/>
        <w:gridCol w:w="1406"/>
      </w:tblGrid>
      <w:tr w:rsidR="008E7CC8" w14:paraId="007B9BC3" w14:textId="77777777" w:rsidTr="00FB6347">
        <w:trPr>
          <w:trHeight w:val="520"/>
        </w:trPr>
        <w:tc>
          <w:tcPr>
            <w:tcW w:w="818" w:type="dxa"/>
            <w:shd w:val="clear" w:color="auto" w:fill="F1F1F1"/>
          </w:tcPr>
          <w:p w14:paraId="6020C5CE" w14:textId="77777777" w:rsidR="008E7CC8" w:rsidRDefault="008E7CC8" w:rsidP="00CD363C">
            <w:pPr>
              <w:pStyle w:val="TableParagraph"/>
              <w:ind w:left="158" w:right="-142"/>
              <w:jc w:val="both"/>
              <w:rPr>
                <w:b/>
                <w:sz w:val="20"/>
              </w:rPr>
            </w:pPr>
            <w:r>
              <w:rPr>
                <w:b/>
                <w:sz w:val="20"/>
              </w:rPr>
              <w:t>Gads</w:t>
            </w:r>
          </w:p>
        </w:tc>
        <w:tc>
          <w:tcPr>
            <w:tcW w:w="2962" w:type="dxa"/>
            <w:shd w:val="clear" w:color="auto" w:fill="F1F1F1"/>
          </w:tcPr>
          <w:p w14:paraId="64516985" w14:textId="77777777" w:rsidR="008E7CC8" w:rsidRDefault="008E7CC8" w:rsidP="00CD363C">
            <w:pPr>
              <w:pStyle w:val="TableParagraph"/>
              <w:ind w:left="1176" w:right="-142"/>
              <w:jc w:val="both"/>
              <w:rPr>
                <w:b/>
                <w:sz w:val="20"/>
              </w:rPr>
            </w:pPr>
            <w:r>
              <w:rPr>
                <w:b/>
                <w:sz w:val="20"/>
              </w:rPr>
              <w:t>Konts</w:t>
            </w:r>
          </w:p>
        </w:tc>
        <w:tc>
          <w:tcPr>
            <w:tcW w:w="1152" w:type="dxa"/>
            <w:shd w:val="clear" w:color="auto" w:fill="F1F1F1"/>
          </w:tcPr>
          <w:p w14:paraId="2249EC8F" w14:textId="77777777" w:rsidR="008E7CC8" w:rsidRDefault="008E7CC8" w:rsidP="00CD363C">
            <w:pPr>
              <w:pStyle w:val="TableParagraph"/>
              <w:ind w:left="94" w:right="-142"/>
              <w:jc w:val="both"/>
              <w:rPr>
                <w:b/>
                <w:sz w:val="20"/>
              </w:rPr>
            </w:pPr>
            <w:r>
              <w:rPr>
                <w:b/>
                <w:sz w:val="20"/>
              </w:rPr>
              <w:t>Konta Nr.</w:t>
            </w:r>
          </w:p>
        </w:tc>
        <w:tc>
          <w:tcPr>
            <w:tcW w:w="3288" w:type="dxa"/>
            <w:shd w:val="clear" w:color="auto" w:fill="F1F1F1"/>
          </w:tcPr>
          <w:p w14:paraId="0904EA3E" w14:textId="77777777" w:rsidR="008E7CC8" w:rsidRDefault="008E7CC8" w:rsidP="00CD363C">
            <w:pPr>
              <w:pStyle w:val="TableParagraph"/>
              <w:ind w:left="838" w:right="-142"/>
              <w:jc w:val="both"/>
              <w:rPr>
                <w:b/>
                <w:sz w:val="20"/>
              </w:rPr>
            </w:pPr>
            <w:r>
              <w:rPr>
                <w:b/>
                <w:sz w:val="20"/>
              </w:rPr>
              <w:t>Konta nosaukums</w:t>
            </w:r>
          </w:p>
        </w:tc>
        <w:tc>
          <w:tcPr>
            <w:tcW w:w="1406" w:type="dxa"/>
            <w:shd w:val="clear" w:color="auto" w:fill="F1F1F1"/>
          </w:tcPr>
          <w:p w14:paraId="1C9AFA28" w14:textId="77777777" w:rsidR="008E7CC8" w:rsidRDefault="008E7CC8" w:rsidP="00CD363C">
            <w:pPr>
              <w:pStyle w:val="TableParagraph"/>
              <w:ind w:left="130" w:right="-142" w:firstLine="218"/>
              <w:jc w:val="both"/>
              <w:rPr>
                <w:b/>
                <w:sz w:val="20"/>
              </w:rPr>
            </w:pPr>
            <w:r>
              <w:rPr>
                <w:b/>
                <w:sz w:val="20"/>
              </w:rPr>
              <w:t>Summa (tūkst. EUR)</w:t>
            </w:r>
          </w:p>
        </w:tc>
      </w:tr>
      <w:tr w:rsidR="008E7CC8" w14:paraId="088C335E" w14:textId="77777777" w:rsidTr="00FB6347">
        <w:trPr>
          <w:trHeight w:val="256"/>
        </w:trPr>
        <w:tc>
          <w:tcPr>
            <w:tcW w:w="818" w:type="dxa"/>
            <w:vMerge w:val="restart"/>
          </w:tcPr>
          <w:p w14:paraId="21134968" w14:textId="77777777" w:rsidR="008E7CC8" w:rsidRDefault="008E7CC8" w:rsidP="00CD363C">
            <w:pPr>
              <w:pStyle w:val="TableParagraph"/>
              <w:ind w:right="-142"/>
              <w:jc w:val="both"/>
              <w:rPr>
                <w:i/>
              </w:rPr>
            </w:pPr>
          </w:p>
          <w:p w14:paraId="7BF3CBC8" w14:textId="77777777" w:rsidR="008E7CC8" w:rsidRDefault="008E7CC8" w:rsidP="00CD363C">
            <w:pPr>
              <w:pStyle w:val="TableParagraph"/>
              <w:ind w:right="-142"/>
              <w:jc w:val="both"/>
              <w:rPr>
                <w:i/>
              </w:rPr>
            </w:pPr>
          </w:p>
          <w:p w14:paraId="52DDBB6B" w14:textId="77777777" w:rsidR="008E7CC8" w:rsidRDefault="008E7CC8" w:rsidP="00CD363C">
            <w:pPr>
              <w:pStyle w:val="TableParagraph"/>
              <w:ind w:right="-142"/>
              <w:jc w:val="both"/>
              <w:rPr>
                <w:i/>
                <w:sz w:val="28"/>
              </w:rPr>
            </w:pPr>
          </w:p>
          <w:p w14:paraId="1F6BCE91" w14:textId="77777777" w:rsidR="008E7CC8" w:rsidRDefault="008E7CC8" w:rsidP="00CD363C">
            <w:pPr>
              <w:pStyle w:val="TableParagraph"/>
              <w:ind w:right="-142"/>
              <w:jc w:val="both"/>
              <w:rPr>
                <w:b/>
                <w:sz w:val="20"/>
              </w:rPr>
            </w:pPr>
            <w:r>
              <w:rPr>
                <w:b/>
                <w:w w:val="99"/>
                <w:sz w:val="20"/>
              </w:rPr>
              <w:t>1</w:t>
            </w:r>
          </w:p>
        </w:tc>
        <w:tc>
          <w:tcPr>
            <w:tcW w:w="8808" w:type="dxa"/>
            <w:gridSpan w:val="4"/>
          </w:tcPr>
          <w:p w14:paraId="05E04A39" w14:textId="77777777" w:rsidR="008E7CC8" w:rsidRDefault="008E7CC8" w:rsidP="00CD363C">
            <w:pPr>
              <w:pStyle w:val="TableParagraph"/>
              <w:ind w:left="105" w:right="-142"/>
              <w:jc w:val="both"/>
              <w:rPr>
                <w:b/>
                <w:sz w:val="20"/>
              </w:rPr>
            </w:pPr>
            <w:r>
              <w:rPr>
                <w:b/>
                <w:sz w:val="20"/>
              </w:rPr>
              <w:t>Partnerības aktīva daļas (segas pamata) atzīšana</w:t>
            </w:r>
          </w:p>
        </w:tc>
      </w:tr>
      <w:tr w:rsidR="008E7CC8" w14:paraId="1CD38FE1" w14:textId="77777777" w:rsidTr="00FB6347">
        <w:trPr>
          <w:trHeight w:val="458"/>
        </w:trPr>
        <w:tc>
          <w:tcPr>
            <w:tcW w:w="818" w:type="dxa"/>
            <w:vMerge/>
            <w:tcBorders>
              <w:top w:val="nil"/>
            </w:tcBorders>
          </w:tcPr>
          <w:p w14:paraId="059B5BA4" w14:textId="77777777" w:rsidR="008E7CC8" w:rsidRDefault="008E7CC8" w:rsidP="00CD363C">
            <w:pPr>
              <w:spacing w:after="0" w:line="240" w:lineRule="auto"/>
              <w:ind w:right="-142"/>
              <w:jc w:val="both"/>
              <w:rPr>
                <w:sz w:val="2"/>
                <w:szCs w:val="2"/>
              </w:rPr>
            </w:pPr>
          </w:p>
        </w:tc>
        <w:tc>
          <w:tcPr>
            <w:tcW w:w="2962" w:type="dxa"/>
          </w:tcPr>
          <w:p w14:paraId="341768C9" w14:textId="77777777" w:rsidR="008E7CC8" w:rsidRDefault="008E7CC8" w:rsidP="00CD363C">
            <w:pPr>
              <w:pStyle w:val="TableParagraph"/>
              <w:ind w:left="105" w:right="-142"/>
              <w:jc w:val="both"/>
              <w:rPr>
                <w:sz w:val="20"/>
              </w:rPr>
            </w:pPr>
            <w:r>
              <w:rPr>
                <w:sz w:val="20"/>
              </w:rPr>
              <w:t>D partnerības aktīvs - segas pamats</w:t>
            </w:r>
          </w:p>
        </w:tc>
        <w:tc>
          <w:tcPr>
            <w:tcW w:w="1152" w:type="dxa"/>
          </w:tcPr>
          <w:p w14:paraId="011BC86E" w14:textId="77777777" w:rsidR="008E7CC8" w:rsidRDefault="008E7CC8" w:rsidP="00CD363C">
            <w:pPr>
              <w:pStyle w:val="TableParagraph"/>
              <w:ind w:left="94" w:right="-142"/>
              <w:jc w:val="both"/>
              <w:rPr>
                <w:sz w:val="20"/>
              </w:rPr>
            </w:pPr>
            <w:r>
              <w:rPr>
                <w:sz w:val="20"/>
              </w:rPr>
              <w:t>1240</w:t>
            </w:r>
          </w:p>
        </w:tc>
        <w:tc>
          <w:tcPr>
            <w:tcW w:w="3288" w:type="dxa"/>
          </w:tcPr>
          <w:p w14:paraId="21E4DC89" w14:textId="77777777" w:rsidR="008E7CC8" w:rsidRDefault="008E7CC8" w:rsidP="00CD363C">
            <w:pPr>
              <w:pStyle w:val="TableParagraph"/>
              <w:ind w:left="106" w:right="-142"/>
              <w:jc w:val="both"/>
              <w:rPr>
                <w:sz w:val="20"/>
              </w:rPr>
            </w:pPr>
            <w:r>
              <w:rPr>
                <w:sz w:val="20"/>
              </w:rPr>
              <w:t>Pamatlīdzekļu izveidošana un nepabeigtā būvniecība</w:t>
            </w:r>
          </w:p>
        </w:tc>
        <w:tc>
          <w:tcPr>
            <w:tcW w:w="1406" w:type="dxa"/>
          </w:tcPr>
          <w:p w14:paraId="63ED2C91" w14:textId="77777777" w:rsidR="008E7CC8" w:rsidRDefault="008E7CC8" w:rsidP="00CD363C">
            <w:pPr>
              <w:pStyle w:val="TableParagraph"/>
              <w:ind w:right="-142"/>
              <w:jc w:val="both"/>
              <w:rPr>
                <w:sz w:val="20"/>
              </w:rPr>
            </w:pPr>
            <w:r>
              <w:rPr>
                <w:sz w:val="20"/>
              </w:rPr>
              <w:t>525 000,00</w:t>
            </w:r>
          </w:p>
        </w:tc>
      </w:tr>
      <w:tr w:rsidR="008E7CC8" w14:paraId="7BC5BB53" w14:textId="77777777" w:rsidTr="00FB6347">
        <w:trPr>
          <w:trHeight w:val="921"/>
        </w:trPr>
        <w:tc>
          <w:tcPr>
            <w:tcW w:w="818" w:type="dxa"/>
            <w:vMerge/>
            <w:tcBorders>
              <w:top w:val="nil"/>
            </w:tcBorders>
          </w:tcPr>
          <w:p w14:paraId="7B437AC2" w14:textId="77777777" w:rsidR="008E7CC8" w:rsidRDefault="008E7CC8" w:rsidP="00CD363C">
            <w:pPr>
              <w:spacing w:after="0" w:line="240" w:lineRule="auto"/>
              <w:ind w:right="-142"/>
              <w:jc w:val="both"/>
              <w:rPr>
                <w:sz w:val="2"/>
                <w:szCs w:val="2"/>
              </w:rPr>
            </w:pPr>
          </w:p>
        </w:tc>
        <w:tc>
          <w:tcPr>
            <w:tcW w:w="2962" w:type="dxa"/>
          </w:tcPr>
          <w:p w14:paraId="66C96461" w14:textId="77777777" w:rsidR="008E7CC8" w:rsidRDefault="008E7CC8" w:rsidP="00CD363C">
            <w:pPr>
              <w:pStyle w:val="TableParagraph"/>
              <w:ind w:right="-142"/>
              <w:jc w:val="both"/>
              <w:rPr>
                <w:i/>
                <w:sz w:val="29"/>
              </w:rPr>
            </w:pPr>
          </w:p>
          <w:p w14:paraId="571CB979" w14:textId="77777777" w:rsidR="008E7CC8" w:rsidRDefault="008E7CC8" w:rsidP="00CD363C">
            <w:pPr>
              <w:pStyle w:val="TableParagraph"/>
              <w:ind w:left="105" w:right="-142"/>
              <w:jc w:val="both"/>
              <w:rPr>
                <w:sz w:val="20"/>
              </w:rPr>
            </w:pPr>
            <w:r>
              <w:rPr>
                <w:sz w:val="20"/>
              </w:rPr>
              <w:t>K Finanšu saistības</w:t>
            </w:r>
          </w:p>
        </w:tc>
        <w:tc>
          <w:tcPr>
            <w:tcW w:w="1152" w:type="dxa"/>
          </w:tcPr>
          <w:p w14:paraId="040447CE" w14:textId="77777777" w:rsidR="008E7CC8" w:rsidRDefault="008E7CC8" w:rsidP="00CD363C">
            <w:pPr>
              <w:pStyle w:val="TableParagraph"/>
              <w:ind w:right="-142"/>
              <w:jc w:val="both"/>
              <w:rPr>
                <w:i/>
                <w:sz w:val="29"/>
              </w:rPr>
            </w:pPr>
          </w:p>
          <w:p w14:paraId="33434C14" w14:textId="77777777" w:rsidR="008E7CC8" w:rsidRDefault="008E7CC8" w:rsidP="00CD363C">
            <w:pPr>
              <w:pStyle w:val="TableParagraph"/>
              <w:ind w:left="94" w:right="-142"/>
              <w:jc w:val="both"/>
              <w:rPr>
                <w:sz w:val="20"/>
              </w:rPr>
            </w:pPr>
            <w:r>
              <w:rPr>
                <w:sz w:val="20"/>
              </w:rPr>
              <w:t>5130</w:t>
            </w:r>
          </w:p>
        </w:tc>
        <w:tc>
          <w:tcPr>
            <w:tcW w:w="3288" w:type="dxa"/>
          </w:tcPr>
          <w:p w14:paraId="37CA757B" w14:textId="77777777" w:rsidR="008E7CC8" w:rsidRDefault="008E7CC8" w:rsidP="00CD363C">
            <w:pPr>
              <w:pStyle w:val="TableParagraph"/>
              <w:ind w:left="106" w:right="-142"/>
              <w:jc w:val="both"/>
              <w:rPr>
                <w:sz w:val="20"/>
              </w:rPr>
            </w:pPr>
            <w:r>
              <w:rPr>
                <w:sz w:val="20"/>
              </w:rPr>
              <w:t>Ilgtermiņa saistības pret piegādātājiem un darbuzņēmējiem</w:t>
            </w:r>
          </w:p>
          <w:p w14:paraId="6D09BDD5" w14:textId="77777777" w:rsidR="008E7CC8" w:rsidRDefault="008E7CC8" w:rsidP="00CD363C">
            <w:pPr>
              <w:pStyle w:val="TableParagraph"/>
              <w:ind w:left="106" w:right="-142"/>
              <w:jc w:val="both"/>
              <w:rPr>
                <w:sz w:val="20"/>
              </w:rPr>
            </w:pPr>
            <w:r>
              <w:rPr>
                <w:sz w:val="20"/>
              </w:rPr>
              <w:t>pret piegādātājiem un darbuzņēmējiem</w:t>
            </w:r>
          </w:p>
        </w:tc>
        <w:tc>
          <w:tcPr>
            <w:tcW w:w="1406" w:type="dxa"/>
          </w:tcPr>
          <w:p w14:paraId="29C47F87" w14:textId="77777777" w:rsidR="008E7CC8" w:rsidRDefault="008E7CC8" w:rsidP="00CD363C">
            <w:pPr>
              <w:pStyle w:val="TableParagraph"/>
              <w:ind w:right="-142"/>
              <w:jc w:val="both"/>
              <w:rPr>
                <w:i/>
                <w:sz w:val="29"/>
              </w:rPr>
            </w:pPr>
          </w:p>
          <w:p w14:paraId="725D2E4A" w14:textId="77777777" w:rsidR="008E7CC8" w:rsidRDefault="008E7CC8" w:rsidP="00CD363C">
            <w:pPr>
              <w:pStyle w:val="TableParagraph"/>
              <w:ind w:right="-142"/>
              <w:jc w:val="both"/>
              <w:rPr>
                <w:sz w:val="20"/>
              </w:rPr>
            </w:pPr>
            <w:r>
              <w:rPr>
                <w:sz w:val="20"/>
              </w:rPr>
              <w:t>262 500,00</w:t>
            </w:r>
          </w:p>
        </w:tc>
      </w:tr>
      <w:tr w:rsidR="008E7CC8" w14:paraId="421B1027" w14:textId="77777777" w:rsidTr="00FB6347">
        <w:trPr>
          <w:trHeight w:val="690"/>
        </w:trPr>
        <w:tc>
          <w:tcPr>
            <w:tcW w:w="818" w:type="dxa"/>
            <w:vMerge/>
            <w:tcBorders>
              <w:top w:val="nil"/>
            </w:tcBorders>
          </w:tcPr>
          <w:p w14:paraId="6BB05576" w14:textId="77777777" w:rsidR="008E7CC8" w:rsidRDefault="008E7CC8" w:rsidP="00CD363C">
            <w:pPr>
              <w:spacing w:after="0" w:line="240" w:lineRule="auto"/>
              <w:ind w:right="-142"/>
              <w:jc w:val="both"/>
              <w:rPr>
                <w:sz w:val="2"/>
                <w:szCs w:val="2"/>
              </w:rPr>
            </w:pPr>
          </w:p>
        </w:tc>
        <w:tc>
          <w:tcPr>
            <w:tcW w:w="2962" w:type="dxa"/>
          </w:tcPr>
          <w:p w14:paraId="66CB88E0" w14:textId="77777777" w:rsidR="008E7CC8" w:rsidRDefault="008E7CC8" w:rsidP="00CD363C">
            <w:pPr>
              <w:pStyle w:val="TableParagraph"/>
              <w:ind w:right="-142"/>
              <w:jc w:val="both"/>
              <w:rPr>
                <w:i/>
                <w:sz w:val="19"/>
              </w:rPr>
            </w:pPr>
          </w:p>
          <w:p w14:paraId="294EE0B4" w14:textId="77777777" w:rsidR="008E7CC8" w:rsidRDefault="008E7CC8" w:rsidP="00CD363C">
            <w:pPr>
              <w:pStyle w:val="TableParagraph"/>
              <w:ind w:left="105" w:right="-142"/>
              <w:jc w:val="both"/>
              <w:rPr>
                <w:sz w:val="20"/>
              </w:rPr>
            </w:pPr>
            <w:r>
              <w:rPr>
                <w:sz w:val="20"/>
              </w:rPr>
              <w:t>K Saistības</w:t>
            </w:r>
          </w:p>
        </w:tc>
        <w:tc>
          <w:tcPr>
            <w:tcW w:w="1152" w:type="dxa"/>
          </w:tcPr>
          <w:p w14:paraId="520F1F5F" w14:textId="77777777" w:rsidR="008E7CC8" w:rsidRDefault="008E7CC8" w:rsidP="00CD363C">
            <w:pPr>
              <w:pStyle w:val="TableParagraph"/>
              <w:ind w:right="-142"/>
              <w:jc w:val="both"/>
              <w:rPr>
                <w:i/>
                <w:sz w:val="19"/>
              </w:rPr>
            </w:pPr>
          </w:p>
          <w:p w14:paraId="29337261" w14:textId="77777777" w:rsidR="008E7CC8" w:rsidRDefault="008E7CC8" w:rsidP="00CD363C">
            <w:pPr>
              <w:pStyle w:val="TableParagraph"/>
              <w:ind w:left="94" w:right="-142"/>
              <w:jc w:val="both"/>
              <w:rPr>
                <w:sz w:val="20"/>
              </w:rPr>
            </w:pPr>
            <w:r>
              <w:rPr>
                <w:sz w:val="20"/>
              </w:rPr>
              <w:t>5150</w:t>
            </w:r>
          </w:p>
        </w:tc>
        <w:tc>
          <w:tcPr>
            <w:tcW w:w="3288" w:type="dxa"/>
          </w:tcPr>
          <w:p w14:paraId="35B7B82C" w14:textId="77777777" w:rsidR="008E7CC8" w:rsidRDefault="008E7CC8" w:rsidP="00CD363C">
            <w:pPr>
              <w:pStyle w:val="TableParagraph"/>
              <w:ind w:left="106" w:right="-142"/>
              <w:jc w:val="both"/>
              <w:rPr>
                <w:sz w:val="20"/>
              </w:rPr>
            </w:pPr>
            <w:r>
              <w:rPr>
                <w:sz w:val="20"/>
              </w:rPr>
              <w:t>Ilgtermiņa nākamo periodu ieņēmumi un saņemtie avansa</w:t>
            </w:r>
          </w:p>
          <w:p w14:paraId="64214E04" w14:textId="77777777" w:rsidR="008E7CC8" w:rsidRDefault="008E7CC8" w:rsidP="00CD363C">
            <w:pPr>
              <w:pStyle w:val="TableParagraph"/>
              <w:ind w:left="106" w:right="-142"/>
              <w:jc w:val="both"/>
              <w:rPr>
                <w:sz w:val="20"/>
              </w:rPr>
            </w:pPr>
            <w:r>
              <w:rPr>
                <w:sz w:val="20"/>
              </w:rPr>
              <w:t>maksājumi</w:t>
            </w:r>
          </w:p>
        </w:tc>
        <w:tc>
          <w:tcPr>
            <w:tcW w:w="1406" w:type="dxa"/>
          </w:tcPr>
          <w:p w14:paraId="6CBAEE14" w14:textId="77777777" w:rsidR="008E7CC8" w:rsidRDefault="008E7CC8" w:rsidP="00CD363C">
            <w:pPr>
              <w:pStyle w:val="TableParagraph"/>
              <w:ind w:right="-142"/>
              <w:jc w:val="both"/>
              <w:rPr>
                <w:i/>
                <w:sz w:val="19"/>
              </w:rPr>
            </w:pPr>
          </w:p>
          <w:p w14:paraId="5A4C746B" w14:textId="77777777" w:rsidR="008E7CC8" w:rsidRDefault="008E7CC8" w:rsidP="00CD363C">
            <w:pPr>
              <w:pStyle w:val="TableParagraph"/>
              <w:ind w:right="-142"/>
              <w:jc w:val="both"/>
              <w:rPr>
                <w:sz w:val="20"/>
              </w:rPr>
            </w:pPr>
            <w:r>
              <w:rPr>
                <w:sz w:val="20"/>
              </w:rPr>
              <w:t>262 500,00</w:t>
            </w:r>
          </w:p>
        </w:tc>
      </w:tr>
      <w:tr w:rsidR="008E7CC8" w14:paraId="0F5FE44E" w14:textId="77777777" w:rsidTr="00FB6347">
        <w:trPr>
          <w:trHeight w:val="254"/>
        </w:trPr>
        <w:tc>
          <w:tcPr>
            <w:tcW w:w="818" w:type="dxa"/>
            <w:vMerge w:val="restart"/>
          </w:tcPr>
          <w:p w14:paraId="2347757F" w14:textId="77777777" w:rsidR="008E7CC8" w:rsidRDefault="008E7CC8" w:rsidP="00CD363C">
            <w:pPr>
              <w:pStyle w:val="TableParagraph"/>
              <w:ind w:right="-142"/>
              <w:jc w:val="both"/>
              <w:rPr>
                <w:i/>
              </w:rPr>
            </w:pPr>
          </w:p>
          <w:p w14:paraId="07734E00" w14:textId="77777777" w:rsidR="008E7CC8" w:rsidRDefault="008E7CC8" w:rsidP="00CD363C">
            <w:pPr>
              <w:pStyle w:val="TableParagraph"/>
              <w:ind w:right="-142"/>
              <w:jc w:val="both"/>
              <w:rPr>
                <w:i/>
              </w:rPr>
            </w:pPr>
          </w:p>
          <w:p w14:paraId="6D8406B3" w14:textId="77777777" w:rsidR="008E7CC8" w:rsidRDefault="008E7CC8" w:rsidP="00CD363C">
            <w:pPr>
              <w:pStyle w:val="TableParagraph"/>
              <w:ind w:right="-142"/>
              <w:jc w:val="both"/>
              <w:rPr>
                <w:i/>
              </w:rPr>
            </w:pPr>
          </w:p>
          <w:p w14:paraId="7D0203C6" w14:textId="77777777" w:rsidR="008E7CC8" w:rsidRDefault="008E7CC8" w:rsidP="00CD363C">
            <w:pPr>
              <w:pStyle w:val="TableParagraph"/>
              <w:ind w:right="-142"/>
              <w:jc w:val="both"/>
              <w:rPr>
                <w:i/>
              </w:rPr>
            </w:pPr>
          </w:p>
          <w:p w14:paraId="5157C1C8" w14:textId="77777777" w:rsidR="008E7CC8" w:rsidRDefault="008E7CC8" w:rsidP="00CD363C">
            <w:pPr>
              <w:pStyle w:val="TableParagraph"/>
              <w:ind w:right="-142"/>
              <w:jc w:val="both"/>
              <w:rPr>
                <w:i/>
              </w:rPr>
            </w:pPr>
          </w:p>
          <w:p w14:paraId="2EB2036D" w14:textId="77777777" w:rsidR="008E7CC8" w:rsidRDefault="008E7CC8" w:rsidP="00CD363C">
            <w:pPr>
              <w:pStyle w:val="TableParagraph"/>
              <w:ind w:right="-142"/>
              <w:jc w:val="both"/>
              <w:rPr>
                <w:i/>
              </w:rPr>
            </w:pPr>
          </w:p>
          <w:p w14:paraId="7E3A4A68" w14:textId="77777777" w:rsidR="008E7CC8" w:rsidRDefault="008E7CC8" w:rsidP="00CD363C">
            <w:pPr>
              <w:pStyle w:val="TableParagraph"/>
              <w:ind w:right="-142"/>
              <w:jc w:val="both"/>
              <w:rPr>
                <w:i/>
              </w:rPr>
            </w:pPr>
          </w:p>
          <w:p w14:paraId="1D456182" w14:textId="77777777" w:rsidR="008E7CC8" w:rsidRDefault="008E7CC8" w:rsidP="00CD363C">
            <w:pPr>
              <w:pStyle w:val="TableParagraph"/>
              <w:ind w:right="-142"/>
              <w:jc w:val="both"/>
              <w:rPr>
                <w:i/>
              </w:rPr>
            </w:pPr>
          </w:p>
          <w:p w14:paraId="09BA7718" w14:textId="77777777" w:rsidR="008E7CC8" w:rsidRDefault="008E7CC8" w:rsidP="00CD363C">
            <w:pPr>
              <w:pStyle w:val="TableParagraph"/>
              <w:ind w:right="-142"/>
              <w:jc w:val="both"/>
              <w:rPr>
                <w:i/>
              </w:rPr>
            </w:pPr>
          </w:p>
          <w:p w14:paraId="51779667" w14:textId="77777777" w:rsidR="008E7CC8" w:rsidRDefault="008E7CC8" w:rsidP="00CD363C">
            <w:pPr>
              <w:pStyle w:val="TableParagraph"/>
              <w:ind w:right="-142"/>
              <w:jc w:val="both"/>
              <w:rPr>
                <w:i/>
              </w:rPr>
            </w:pPr>
          </w:p>
          <w:p w14:paraId="73D1E094" w14:textId="77777777" w:rsidR="008E7CC8" w:rsidRDefault="008E7CC8" w:rsidP="00CD363C">
            <w:pPr>
              <w:pStyle w:val="TableParagraph"/>
              <w:ind w:right="-142"/>
              <w:jc w:val="both"/>
              <w:rPr>
                <w:i/>
              </w:rPr>
            </w:pPr>
          </w:p>
          <w:p w14:paraId="55A194EF" w14:textId="77777777" w:rsidR="008E7CC8" w:rsidRDefault="008E7CC8" w:rsidP="00CD363C">
            <w:pPr>
              <w:pStyle w:val="TableParagraph"/>
              <w:ind w:right="-142"/>
              <w:jc w:val="both"/>
              <w:rPr>
                <w:i/>
                <w:sz w:val="20"/>
              </w:rPr>
            </w:pPr>
          </w:p>
          <w:p w14:paraId="32DB88BD" w14:textId="77777777" w:rsidR="008E7CC8" w:rsidRDefault="008E7CC8" w:rsidP="00CD363C">
            <w:pPr>
              <w:pStyle w:val="TableParagraph"/>
              <w:ind w:right="-142"/>
              <w:jc w:val="both"/>
              <w:rPr>
                <w:b/>
                <w:sz w:val="20"/>
              </w:rPr>
            </w:pPr>
            <w:r>
              <w:rPr>
                <w:b/>
                <w:w w:val="99"/>
                <w:sz w:val="20"/>
              </w:rPr>
              <w:t>2</w:t>
            </w:r>
          </w:p>
        </w:tc>
        <w:tc>
          <w:tcPr>
            <w:tcW w:w="8808" w:type="dxa"/>
            <w:gridSpan w:val="4"/>
          </w:tcPr>
          <w:p w14:paraId="2B19946D" w14:textId="77777777" w:rsidR="008E7CC8" w:rsidRDefault="008E7CC8" w:rsidP="00CD363C">
            <w:pPr>
              <w:pStyle w:val="TableParagraph"/>
              <w:ind w:left="105" w:right="-142"/>
              <w:jc w:val="both"/>
              <w:rPr>
                <w:b/>
                <w:sz w:val="20"/>
              </w:rPr>
            </w:pPr>
            <w:r>
              <w:rPr>
                <w:b/>
                <w:sz w:val="20"/>
              </w:rPr>
              <w:t>Partnerības aktīva atlikušās daļas (segas pamata un seguma) atzīšana</w:t>
            </w:r>
          </w:p>
        </w:tc>
      </w:tr>
      <w:tr w:rsidR="008E7CC8" w14:paraId="4FD24D9B" w14:textId="77777777" w:rsidTr="00FB6347">
        <w:trPr>
          <w:trHeight w:val="461"/>
        </w:trPr>
        <w:tc>
          <w:tcPr>
            <w:tcW w:w="818" w:type="dxa"/>
            <w:vMerge/>
            <w:tcBorders>
              <w:top w:val="nil"/>
            </w:tcBorders>
          </w:tcPr>
          <w:p w14:paraId="6CC63B7B" w14:textId="77777777" w:rsidR="008E7CC8" w:rsidRDefault="008E7CC8" w:rsidP="00CD363C">
            <w:pPr>
              <w:spacing w:after="0" w:line="240" w:lineRule="auto"/>
              <w:ind w:right="-142"/>
              <w:jc w:val="both"/>
              <w:rPr>
                <w:sz w:val="2"/>
                <w:szCs w:val="2"/>
              </w:rPr>
            </w:pPr>
          </w:p>
        </w:tc>
        <w:tc>
          <w:tcPr>
            <w:tcW w:w="2962" w:type="dxa"/>
          </w:tcPr>
          <w:p w14:paraId="0BE4D1E7" w14:textId="77777777" w:rsidR="008E7CC8" w:rsidRDefault="008E7CC8" w:rsidP="00CD363C">
            <w:pPr>
              <w:pStyle w:val="TableParagraph"/>
              <w:ind w:left="105" w:right="-142"/>
              <w:jc w:val="both"/>
              <w:rPr>
                <w:sz w:val="20"/>
              </w:rPr>
            </w:pPr>
            <w:r>
              <w:rPr>
                <w:sz w:val="20"/>
              </w:rPr>
              <w:t>D partnerības aktīvs - segas</w:t>
            </w:r>
          </w:p>
          <w:p w14:paraId="645533E7" w14:textId="77777777" w:rsidR="008E7CC8" w:rsidRDefault="008E7CC8" w:rsidP="00CD363C">
            <w:pPr>
              <w:pStyle w:val="TableParagraph"/>
              <w:ind w:left="105" w:right="-142"/>
              <w:jc w:val="both"/>
              <w:rPr>
                <w:sz w:val="20"/>
              </w:rPr>
            </w:pPr>
            <w:r>
              <w:rPr>
                <w:sz w:val="20"/>
              </w:rPr>
              <w:t>pamats</w:t>
            </w:r>
          </w:p>
        </w:tc>
        <w:tc>
          <w:tcPr>
            <w:tcW w:w="1152" w:type="dxa"/>
          </w:tcPr>
          <w:p w14:paraId="33B50C78" w14:textId="77777777" w:rsidR="008E7CC8" w:rsidRDefault="008E7CC8" w:rsidP="00CD363C">
            <w:pPr>
              <w:pStyle w:val="TableParagraph"/>
              <w:ind w:left="94" w:right="-142"/>
              <w:jc w:val="both"/>
              <w:rPr>
                <w:sz w:val="20"/>
              </w:rPr>
            </w:pPr>
            <w:r>
              <w:rPr>
                <w:sz w:val="20"/>
              </w:rPr>
              <w:t>1240</w:t>
            </w:r>
          </w:p>
        </w:tc>
        <w:tc>
          <w:tcPr>
            <w:tcW w:w="3288" w:type="dxa"/>
          </w:tcPr>
          <w:p w14:paraId="43AC327B" w14:textId="77777777" w:rsidR="008E7CC8" w:rsidRDefault="008E7CC8" w:rsidP="00CD363C">
            <w:pPr>
              <w:pStyle w:val="TableParagraph"/>
              <w:ind w:left="106" w:right="-142"/>
              <w:jc w:val="both"/>
              <w:rPr>
                <w:sz w:val="20"/>
              </w:rPr>
            </w:pPr>
            <w:r>
              <w:rPr>
                <w:sz w:val="20"/>
              </w:rPr>
              <w:t>Pamatlīdzekļu izveidošana un</w:t>
            </w:r>
          </w:p>
          <w:p w14:paraId="40197F30" w14:textId="77777777" w:rsidR="008E7CC8" w:rsidRDefault="008E7CC8" w:rsidP="00CD363C">
            <w:pPr>
              <w:pStyle w:val="TableParagraph"/>
              <w:ind w:left="106" w:right="-142"/>
              <w:jc w:val="both"/>
              <w:rPr>
                <w:sz w:val="20"/>
              </w:rPr>
            </w:pPr>
            <w:r>
              <w:rPr>
                <w:sz w:val="20"/>
              </w:rPr>
              <w:t>nepabeigtā būvniecība</w:t>
            </w:r>
          </w:p>
        </w:tc>
        <w:tc>
          <w:tcPr>
            <w:tcW w:w="1406" w:type="dxa"/>
          </w:tcPr>
          <w:p w14:paraId="2D311A7F" w14:textId="77777777" w:rsidR="008E7CC8" w:rsidRDefault="008E7CC8" w:rsidP="00CD363C">
            <w:pPr>
              <w:pStyle w:val="TableParagraph"/>
              <w:ind w:right="-142"/>
              <w:jc w:val="both"/>
              <w:rPr>
                <w:sz w:val="20"/>
              </w:rPr>
            </w:pPr>
            <w:r>
              <w:rPr>
                <w:sz w:val="20"/>
              </w:rPr>
              <w:t>525 000,00</w:t>
            </w:r>
          </w:p>
        </w:tc>
      </w:tr>
      <w:tr w:rsidR="008E7CC8" w14:paraId="4E017CEE" w14:textId="77777777" w:rsidTr="00FB6347">
        <w:trPr>
          <w:trHeight w:val="918"/>
        </w:trPr>
        <w:tc>
          <w:tcPr>
            <w:tcW w:w="818" w:type="dxa"/>
            <w:vMerge/>
            <w:tcBorders>
              <w:top w:val="nil"/>
            </w:tcBorders>
          </w:tcPr>
          <w:p w14:paraId="51F81A7C" w14:textId="77777777" w:rsidR="008E7CC8" w:rsidRDefault="008E7CC8" w:rsidP="00CD363C">
            <w:pPr>
              <w:spacing w:after="0" w:line="240" w:lineRule="auto"/>
              <w:ind w:right="-142"/>
              <w:jc w:val="both"/>
              <w:rPr>
                <w:sz w:val="2"/>
                <w:szCs w:val="2"/>
              </w:rPr>
            </w:pPr>
          </w:p>
        </w:tc>
        <w:tc>
          <w:tcPr>
            <w:tcW w:w="2962" w:type="dxa"/>
          </w:tcPr>
          <w:p w14:paraId="361CE575" w14:textId="77777777" w:rsidR="008E7CC8" w:rsidRDefault="008E7CC8" w:rsidP="00CD363C">
            <w:pPr>
              <w:pStyle w:val="TableParagraph"/>
              <w:ind w:right="-142"/>
              <w:jc w:val="both"/>
              <w:rPr>
                <w:i/>
                <w:sz w:val="29"/>
              </w:rPr>
            </w:pPr>
          </w:p>
          <w:p w14:paraId="0D9B8E40" w14:textId="77777777" w:rsidR="008E7CC8" w:rsidRDefault="008E7CC8" w:rsidP="00CD363C">
            <w:pPr>
              <w:pStyle w:val="TableParagraph"/>
              <w:ind w:left="105" w:right="-142"/>
              <w:jc w:val="both"/>
              <w:rPr>
                <w:sz w:val="20"/>
              </w:rPr>
            </w:pPr>
            <w:r>
              <w:rPr>
                <w:sz w:val="20"/>
              </w:rPr>
              <w:t>K Finanšu saistības</w:t>
            </w:r>
          </w:p>
        </w:tc>
        <w:tc>
          <w:tcPr>
            <w:tcW w:w="1152" w:type="dxa"/>
          </w:tcPr>
          <w:p w14:paraId="23ACF170" w14:textId="77777777" w:rsidR="008E7CC8" w:rsidRDefault="008E7CC8" w:rsidP="00CD363C">
            <w:pPr>
              <w:pStyle w:val="TableParagraph"/>
              <w:ind w:right="-142"/>
              <w:jc w:val="both"/>
              <w:rPr>
                <w:i/>
                <w:sz w:val="29"/>
              </w:rPr>
            </w:pPr>
          </w:p>
          <w:p w14:paraId="3CB71467" w14:textId="77777777" w:rsidR="008E7CC8" w:rsidRDefault="008E7CC8" w:rsidP="00CD363C">
            <w:pPr>
              <w:pStyle w:val="TableParagraph"/>
              <w:ind w:left="94" w:right="-142"/>
              <w:jc w:val="both"/>
              <w:rPr>
                <w:sz w:val="20"/>
              </w:rPr>
            </w:pPr>
            <w:r>
              <w:rPr>
                <w:sz w:val="20"/>
              </w:rPr>
              <w:t>5130</w:t>
            </w:r>
          </w:p>
        </w:tc>
        <w:tc>
          <w:tcPr>
            <w:tcW w:w="3288" w:type="dxa"/>
          </w:tcPr>
          <w:p w14:paraId="56968E88" w14:textId="77777777" w:rsidR="008E7CC8" w:rsidRDefault="008E7CC8" w:rsidP="00CD363C">
            <w:pPr>
              <w:pStyle w:val="TableParagraph"/>
              <w:ind w:left="106" w:right="-142"/>
              <w:jc w:val="both"/>
              <w:rPr>
                <w:sz w:val="20"/>
              </w:rPr>
            </w:pPr>
            <w:r>
              <w:rPr>
                <w:sz w:val="20"/>
              </w:rPr>
              <w:t>Ilgtermiņa saistības pret piegādātājiem un darbuzņēmējiem pret piegādātājiem un</w:t>
            </w:r>
          </w:p>
          <w:p w14:paraId="68E6CC73" w14:textId="77777777" w:rsidR="008E7CC8" w:rsidRDefault="008E7CC8" w:rsidP="00CD363C">
            <w:pPr>
              <w:pStyle w:val="TableParagraph"/>
              <w:ind w:left="106" w:right="-142"/>
              <w:jc w:val="both"/>
              <w:rPr>
                <w:sz w:val="20"/>
              </w:rPr>
            </w:pPr>
            <w:r>
              <w:rPr>
                <w:sz w:val="20"/>
              </w:rPr>
              <w:t>darbuzņēmējiem</w:t>
            </w:r>
          </w:p>
        </w:tc>
        <w:tc>
          <w:tcPr>
            <w:tcW w:w="1406" w:type="dxa"/>
          </w:tcPr>
          <w:p w14:paraId="793E37D5" w14:textId="77777777" w:rsidR="008E7CC8" w:rsidRDefault="008E7CC8" w:rsidP="00CD363C">
            <w:pPr>
              <w:pStyle w:val="TableParagraph"/>
              <w:ind w:right="-142"/>
              <w:jc w:val="both"/>
              <w:rPr>
                <w:i/>
                <w:sz w:val="29"/>
              </w:rPr>
            </w:pPr>
          </w:p>
          <w:p w14:paraId="62F0E156" w14:textId="77777777" w:rsidR="008E7CC8" w:rsidRDefault="008E7CC8" w:rsidP="00CD363C">
            <w:pPr>
              <w:pStyle w:val="TableParagraph"/>
              <w:ind w:right="-142"/>
              <w:jc w:val="both"/>
              <w:rPr>
                <w:sz w:val="20"/>
              </w:rPr>
            </w:pPr>
            <w:r>
              <w:rPr>
                <w:sz w:val="20"/>
              </w:rPr>
              <w:t>262 500,00</w:t>
            </w:r>
          </w:p>
        </w:tc>
      </w:tr>
      <w:tr w:rsidR="008E7CC8" w14:paraId="6FC45676" w14:textId="77777777" w:rsidTr="00FB6347">
        <w:trPr>
          <w:trHeight w:val="690"/>
        </w:trPr>
        <w:tc>
          <w:tcPr>
            <w:tcW w:w="818" w:type="dxa"/>
            <w:vMerge/>
            <w:tcBorders>
              <w:top w:val="nil"/>
            </w:tcBorders>
          </w:tcPr>
          <w:p w14:paraId="2A228463" w14:textId="77777777" w:rsidR="008E7CC8" w:rsidRDefault="008E7CC8" w:rsidP="00CD363C">
            <w:pPr>
              <w:spacing w:after="0" w:line="240" w:lineRule="auto"/>
              <w:ind w:right="-142"/>
              <w:jc w:val="both"/>
              <w:rPr>
                <w:sz w:val="2"/>
                <w:szCs w:val="2"/>
              </w:rPr>
            </w:pPr>
          </w:p>
        </w:tc>
        <w:tc>
          <w:tcPr>
            <w:tcW w:w="2962" w:type="dxa"/>
          </w:tcPr>
          <w:p w14:paraId="093DA036" w14:textId="77777777" w:rsidR="008E7CC8" w:rsidRDefault="008E7CC8" w:rsidP="00CD363C">
            <w:pPr>
              <w:pStyle w:val="TableParagraph"/>
              <w:ind w:right="-142"/>
              <w:jc w:val="both"/>
              <w:rPr>
                <w:i/>
                <w:sz w:val="19"/>
              </w:rPr>
            </w:pPr>
          </w:p>
          <w:p w14:paraId="1C37EDB8" w14:textId="77777777" w:rsidR="008E7CC8" w:rsidRDefault="008E7CC8" w:rsidP="00CD363C">
            <w:pPr>
              <w:pStyle w:val="TableParagraph"/>
              <w:ind w:left="105" w:right="-142"/>
              <w:jc w:val="both"/>
              <w:rPr>
                <w:sz w:val="20"/>
              </w:rPr>
            </w:pPr>
            <w:r>
              <w:rPr>
                <w:sz w:val="20"/>
              </w:rPr>
              <w:t>K Saistības</w:t>
            </w:r>
          </w:p>
        </w:tc>
        <w:tc>
          <w:tcPr>
            <w:tcW w:w="1152" w:type="dxa"/>
          </w:tcPr>
          <w:p w14:paraId="28A764DE" w14:textId="77777777" w:rsidR="008E7CC8" w:rsidRDefault="008E7CC8" w:rsidP="00CD363C">
            <w:pPr>
              <w:pStyle w:val="TableParagraph"/>
              <w:ind w:right="-142"/>
              <w:jc w:val="both"/>
              <w:rPr>
                <w:i/>
                <w:sz w:val="19"/>
              </w:rPr>
            </w:pPr>
          </w:p>
          <w:p w14:paraId="38D554E4" w14:textId="77777777" w:rsidR="008E7CC8" w:rsidRDefault="008E7CC8" w:rsidP="00CD363C">
            <w:pPr>
              <w:pStyle w:val="TableParagraph"/>
              <w:ind w:left="94" w:right="-142"/>
              <w:jc w:val="both"/>
              <w:rPr>
                <w:sz w:val="20"/>
              </w:rPr>
            </w:pPr>
            <w:r>
              <w:rPr>
                <w:sz w:val="20"/>
              </w:rPr>
              <w:t>5150</w:t>
            </w:r>
          </w:p>
        </w:tc>
        <w:tc>
          <w:tcPr>
            <w:tcW w:w="3288" w:type="dxa"/>
          </w:tcPr>
          <w:p w14:paraId="6B268A2A" w14:textId="77777777" w:rsidR="008E7CC8" w:rsidRDefault="008E7CC8" w:rsidP="00CD363C">
            <w:pPr>
              <w:pStyle w:val="TableParagraph"/>
              <w:ind w:left="106" w:right="-142"/>
              <w:jc w:val="both"/>
              <w:rPr>
                <w:sz w:val="20"/>
              </w:rPr>
            </w:pPr>
            <w:r>
              <w:rPr>
                <w:sz w:val="20"/>
              </w:rPr>
              <w:t>Ilgtermiņa nākamo periodu</w:t>
            </w:r>
          </w:p>
          <w:p w14:paraId="408F5735" w14:textId="77777777" w:rsidR="008E7CC8" w:rsidRDefault="008E7CC8" w:rsidP="00CD363C">
            <w:pPr>
              <w:pStyle w:val="TableParagraph"/>
              <w:ind w:left="106" w:right="-142"/>
              <w:jc w:val="both"/>
              <w:rPr>
                <w:sz w:val="20"/>
              </w:rPr>
            </w:pPr>
            <w:r>
              <w:rPr>
                <w:sz w:val="20"/>
              </w:rPr>
              <w:t>ieņēmumi un saņemtie avansa maksājumi</w:t>
            </w:r>
          </w:p>
        </w:tc>
        <w:tc>
          <w:tcPr>
            <w:tcW w:w="1406" w:type="dxa"/>
          </w:tcPr>
          <w:p w14:paraId="56116019" w14:textId="77777777" w:rsidR="008E7CC8" w:rsidRDefault="008E7CC8" w:rsidP="00CD363C">
            <w:pPr>
              <w:pStyle w:val="TableParagraph"/>
              <w:ind w:right="-142"/>
              <w:jc w:val="both"/>
              <w:rPr>
                <w:i/>
                <w:sz w:val="19"/>
              </w:rPr>
            </w:pPr>
          </w:p>
          <w:p w14:paraId="73A082BC" w14:textId="77777777" w:rsidR="008E7CC8" w:rsidRDefault="008E7CC8" w:rsidP="00CD363C">
            <w:pPr>
              <w:pStyle w:val="TableParagraph"/>
              <w:ind w:right="-142"/>
              <w:jc w:val="both"/>
              <w:rPr>
                <w:sz w:val="20"/>
              </w:rPr>
            </w:pPr>
            <w:r>
              <w:rPr>
                <w:sz w:val="20"/>
              </w:rPr>
              <w:t>262 500,00</w:t>
            </w:r>
          </w:p>
        </w:tc>
      </w:tr>
      <w:tr w:rsidR="008E7CC8" w14:paraId="650E8B6C" w14:textId="77777777" w:rsidTr="00FB6347">
        <w:trPr>
          <w:trHeight w:val="460"/>
        </w:trPr>
        <w:tc>
          <w:tcPr>
            <w:tcW w:w="818" w:type="dxa"/>
            <w:vMerge/>
            <w:tcBorders>
              <w:top w:val="nil"/>
            </w:tcBorders>
          </w:tcPr>
          <w:p w14:paraId="5A35E9EC" w14:textId="77777777" w:rsidR="008E7CC8" w:rsidRDefault="008E7CC8" w:rsidP="00CD363C">
            <w:pPr>
              <w:spacing w:after="0" w:line="240" w:lineRule="auto"/>
              <w:ind w:right="-142"/>
              <w:jc w:val="both"/>
              <w:rPr>
                <w:sz w:val="2"/>
                <w:szCs w:val="2"/>
              </w:rPr>
            </w:pPr>
          </w:p>
        </w:tc>
        <w:tc>
          <w:tcPr>
            <w:tcW w:w="2962" w:type="dxa"/>
          </w:tcPr>
          <w:p w14:paraId="615BE2B7" w14:textId="77777777" w:rsidR="008E7CC8" w:rsidRDefault="008E7CC8" w:rsidP="00CD363C">
            <w:pPr>
              <w:pStyle w:val="TableParagraph"/>
              <w:ind w:left="105" w:right="-142"/>
              <w:jc w:val="both"/>
              <w:rPr>
                <w:sz w:val="20"/>
              </w:rPr>
            </w:pPr>
            <w:r>
              <w:rPr>
                <w:sz w:val="20"/>
              </w:rPr>
              <w:t>D Partnerības aktīvs - segas</w:t>
            </w:r>
          </w:p>
          <w:p w14:paraId="1D157A79" w14:textId="77777777" w:rsidR="008E7CC8" w:rsidRDefault="008E7CC8" w:rsidP="00CD363C">
            <w:pPr>
              <w:pStyle w:val="TableParagraph"/>
              <w:ind w:left="105" w:right="-142"/>
              <w:jc w:val="both"/>
              <w:rPr>
                <w:sz w:val="20"/>
              </w:rPr>
            </w:pPr>
            <w:r>
              <w:rPr>
                <w:sz w:val="20"/>
              </w:rPr>
              <w:t>pamats</w:t>
            </w:r>
          </w:p>
        </w:tc>
        <w:tc>
          <w:tcPr>
            <w:tcW w:w="1152" w:type="dxa"/>
          </w:tcPr>
          <w:p w14:paraId="5C082E53" w14:textId="77777777" w:rsidR="008E7CC8" w:rsidRDefault="008E7CC8" w:rsidP="00CD363C">
            <w:pPr>
              <w:pStyle w:val="TableParagraph"/>
              <w:ind w:left="94" w:right="-142"/>
              <w:jc w:val="both"/>
              <w:rPr>
                <w:sz w:val="20"/>
              </w:rPr>
            </w:pPr>
            <w:r>
              <w:rPr>
                <w:sz w:val="20"/>
              </w:rPr>
              <w:t>1213</w:t>
            </w:r>
          </w:p>
        </w:tc>
        <w:tc>
          <w:tcPr>
            <w:tcW w:w="3288" w:type="dxa"/>
          </w:tcPr>
          <w:p w14:paraId="40E61319" w14:textId="77777777" w:rsidR="008E7CC8" w:rsidRDefault="008E7CC8" w:rsidP="00CD363C">
            <w:pPr>
              <w:pStyle w:val="TableParagraph"/>
              <w:ind w:left="106" w:right="-142"/>
              <w:jc w:val="both"/>
              <w:rPr>
                <w:sz w:val="20"/>
              </w:rPr>
            </w:pPr>
            <w:r>
              <w:rPr>
                <w:sz w:val="20"/>
              </w:rPr>
              <w:t>Transporta būves</w:t>
            </w:r>
          </w:p>
        </w:tc>
        <w:tc>
          <w:tcPr>
            <w:tcW w:w="1406" w:type="dxa"/>
          </w:tcPr>
          <w:p w14:paraId="557783F7" w14:textId="77777777" w:rsidR="008E7CC8" w:rsidRDefault="008E7CC8" w:rsidP="00CD363C">
            <w:pPr>
              <w:pStyle w:val="TableParagraph"/>
              <w:ind w:right="-142"/>
              <w:jc w:val="both"/>
              <w:rPr>
                <w:sz w:val="20"/>
              </w:rPr>
            </w:pPr>
            <w:r>
              <w:rPr>
                <w:sz w:val="20"/>
              </w:rPr>
              <w:t>940 000,00</w:t>
            </w:r>
          </w:p>
        </w:tc>
      </w:tr>
      <w:tr w:rsidR="008E7CC8" w14:paraId="1C94539A" w14:textId="77777777" w:rsidTr="00FB6347">
        <w:trPr>
          <w:trHeight w:val="460"/>
        </w:trPr>
        <w:tc>
          <w:tcPr>
            <w:tcW w:w="818" w:type="dxa"/>
            <w:vMerge/>
            <w:tcBorders>
              <w:top w:val="nil"/>
            </w:tcBorders>
          </w:tcPr>
          <w:p w14:paraId="7A078F43" w14:textId="77777777" w:rsidR="008E7CC8" w:rsidRDefault="008E7CC8" w:rsidP="00CD363C">
            <w:pPr>
              <w:spacing w:after="0" w:line="240" w:lineRule="auto"/>
              <w:ind w:right="-142"/>
              <w:jc w:val="both"/>
              <w:rPr>
                <w:sz w:val="2"/>
                <w:szCs w:val="2"/>
              </w:rPr>
            </w:pPr>
          </w:p>
        </w:tc>
        <w:tc>
          <w:tcPr>
            <w:tcW w:w="2962" w:type="dxa"/>
          </w:tcPr>
          <w:p w14:paraId="0F10062A" w14:textId="77777777" w:rsidR="008E7CC8" w:rsidRDefault="008E7CC8" w:rsidP="00CD363C">
            <w:pPr>
              <w:pStyle w:val="TableParagraph"/>
              <w:ind w:left="105" w:right="-142"/>
              <w:jc w:val="both"/>
              <w:rPr>
                <w:sz w:val="20"/>
              </w:rPr>
            </w:pPr>
            <w:r>
              <w:rPr>
                <w:sz w:val="20"/>
              </w:rPr>
              <w:t>D Partnerības aktīvs - sākotnējais</w:t>
            </w:r>
          </w:p>
          <w:p w14:paraId="74C92071" w14:textId="77777777" w:rsidR="008E7CC8" w:rsidRDefault="008E7CC8" w:rsidP="00CD363C">
            <w:pPr>
              <w:pStyle w:val="TableParagraph"/>
              <w:ind w:left="105" w:right="-142"/>
              <w:jc w:val="both"/>
              <w:rPr>
                <w:sz w:val="20"/>
              </w:rPr>
            </w:pPr>
            <w:r>
              <w:rPr>
                <w:sz w:val="20"/>
              </w:rPr>
              <w:t>segums</w:t>
            </w:r>
          </w:p>
        </w:tc>
        <w:tc>
          <w:tcPr>
            <w:tcW w:w="1152" w:type="dxa"/>
          </w:tcPr>
          <w:p w14:paraId="62EE8F2D" w14:textId="77777777" w:rsidR="008E7CC8" w:rsidRDefault="008E7CC8" w:rsidP="00CD363C">
            <w:pPr>
              <w:pStyle w:val="TableParagraph"/>
              <w:ind w:left="94" w:right="-142"/>
              <w:jc w:val="both"/>
              <w:rPr>
                <w:sz w:val="20"/>
              </w:rPr>
            </w:pPr>
            <w:r>
              <w:rPr>
                <w:sz w:val="20"/>
              </w:rPr>
              <w:t>1213</w:t>
            </w:r>
          </w:p>
        </w:tc>
        <w:tc>
          <w:tcPr>
            <w:tcW w:w="3288" w:type="dxa"/>
          </w:tcPr>
          <w:p w14:paraId="74F7A290" w14:textId="77777777" w:rsidR="008E7CC8" w:rsidRDefault="008E7CC8" w:rsidP="00CD363C">
            <w:pPr>
              <w:pStyle w:val="TableParagraph"/>
              <w:ind w:left="106" w:right="-142"/>
              <w:jc w:val="both"/>
              <w:rPr>
                <w:sz w:val="20"/>
              </w:rPr>
            </w:pPr>
            <w:r>
              <w:rPr>
                <w:sz w:val="20"/>
              </w:rPr>
              <w:t>Transporta būves</w:t>
            </w:r>
          </w:p>
        </w:tc>
        <w:tc>
          <w:tcPr>
            <w:tcW w:w="1406" w:type="dxa"/>
          </w:tcPr>
          <w:p w14:paraId="5B2459C2" w14:textId="77777777" w:rsidR="008E7CC8" w:rsidRDefault="008E7CC8" w:rsidP="00CD363C">
            <w:pPr>
              <w:pStyle w:val="TableParagraph"/>
              <w:ind w:right="-142"/>
              <w:jc w:val="both"/>
              <w:rPr>
                <w:sz w:val="20"/>
              </w:rPr>
            </w:pPr>
            <w:r>
              <w:rPr>
                <w:sz w:val="20"/>
              </w:rPr>
              <w:t>110 000,00</w:t>
            </w:r>
          </w:p>
        </w:tc>
      </w:tr>
      <w:tr w:rsidR="008E7CC8" w14:paraId="55782CDD" w14:textId="77777777" w:rsidTr="00FB6347">
        <w:trPr>
          <w:trHeight w:val="457"/>
        </w:trPr>
        <w:tc>
          <w:tcPr>
            <w:tcW w:w="818" w:type="dxa"/>
            <w:vMerge/>
            <w:tcBorders>
              <w:top w:val="nil"/>
            </w:tcBorders>
          </w:tcPr>
          <w:p w14:paraId="0157F28C" w14:textId="77777777" w:rsidR="008E7CC8" w:rsidRDefault="008E7CC8" w:rsidP="00CD363C">
            <w:pPr>
              <w:spacing w:after="0" w:line="240" w:lineRule="auto"/>
              <w:ind w:right="-142"/>
              <w:jc w:val="both"/>
              <w:rPr>
                <w:sz w:val="2"/>
                <w:szCs w:val="2"/>
              </w:rPr>
            </w:pPr>
          </w:p>
        </w:tc>
        <w:tc>
          <w:tcPr>
            <w:tcW w:w="2962" w:type="dxa"/>
          </w:tcPr>
          <w:p w14:paraId="26008FCC" w14:textId="77777777" w:rsidR="008E7CC8" w:rsidRDefault="008E7CC8" w:rsidP="00CD363C">
            <w:pPr>
              <w:pStyle w:val="TableParagraph"/>
              <w:ind w:left="105" w:right="-142"/>
              <w:jc w:val="both"/>
              <w:rPr>
                <w:sz w:val="20"/>
              </w:rPr>
            </w:pPr>
            <w:r>
              <w:rPr>
                <w:sz w:val="20"/>
              </w:rPr>
              <w:t>K Partnerības aktīvs - segas pamats</w:t>
            </w:r>
          </w:p>
        </w:tc>
        <w:tc>
          <w:tcPr>
            <w:tcW w:w="1152" w:type="dxa"/>
          </w:tcPr>
          <w:p w14:paraId="7E993BA8" w14:textId="77777777" w:rsidR="008E7CC8" w:rsidRDefault="008E7CC8" w:rsidP="00CD363C">
            <w:pPr>
              <w:pStyle w:val="TableParagraph"/>
              <w:ind w:left="94" w:right="-142"/>
              <w:jc w:val="both"/>
              <w:rPr>
                <w:sz w:val="20"/>
              </w:rPr>
            </w:pPr>
            <w:r>
              <w:rPr>
                <w:sz w:val="20"/>
              </w:rPr>
              <w:t>1240</w:t>
            </w:r>
          </w:p>
        </w:tc>
        <w:tc>
          <w:tcPr>
            <w:tcW w:w="3288" w:type="dxa"/>
          </w:tcPr>
          <w:p w14:paraId="57928A5D" w14:textId="77777777" w:rsidR="008E7CC8" w:rsidRDefault="008E7CC8" w:rsidP="00CD363C">
            <w:pPr>
              <w:pStyle w:val="TableParagraph"/>
              <w:ind w:left="106" w:right="-142"/>
              <w:jc w:val="both"/>
              <w:rPr>
                <w:sz w:val="20"/>
              </w:rPr>
            </w:pPr>
            <w:r>
              <w:rPr>
                <w:sz w:val="20"/>
              </w:rPr>
              <w:t>Pamatlīdzekļu izveidošana un nepabeigtā būvniecība</w:t>
            </w:r>
          </w:p>
        </w:tc>
        <w:tc>
          <w:tcPr>
            <w:tcW w:w="1406" w:type="dxa"/>
          </w:tcPr>
          <w:p w14:paraId="2BD2EA6D" w14:textId="77777777" w:rsidR="008E7CC8" w:rsidRDefault="008E7CC8" w:rsidP="00CD363C">
            <w:pPr>
              <w:pStyle w:val="TableParagraph"/>
              <w:ind w:right="-142"/>
              <w:jc w:val="both"/>
              <w:rPr>
                <w:sz w:val="18"/>
              </w:rPr>
            </w:pPr>
            <w:r>
              <w:rPr>
                <w:sz w:val="18"/>
              </w:rPr>
              <w:t>1 050 000,00</w:t>
            </w:r>
          </w:p>
        </w:tc>
      </w:tr>
      <w:tr w:rsidR="008E7CC8" w14:paraId="1E46966C" w14:textId="77777777" w:rsidTr="00FB6347">
        <w:trPr>
          <w:trHeight w:val="256"/>
        </w:trPr>
        <w:tc>
          <w:tcPr>
            <w:tcW w:w="818" w:type="dxa"/>
            <w:vMerge/>
            <w:tcBorders>
              <w:top w:val="nil"/>
            </w:tcBorders>
          </w:tcPr>
          <w:p w14:paraId="7E5E0F3F" w14:textId="77777777" w:rsidR="008E7CC8" w:rsidRDefault="008E7CC8" w:rsidP="00CD363C">
            <w:pPr>
              <w:spacing w:after="0" w:line="240" w:lineRule="auto"/>
              <w:ind w:right="-142"/>
              <w:jc w:val="both"/>
              <w:rPr>
                <w:sz w:val="2"/>
                <w:szCs w:val="2"/>
              </w:rPr>
            </w:pPr>
          </w:p>
        </w:tc>
        <w:tc>
          <w:tcPr>
            <w:tcW w:w="8808" w:type="dxa"/>
            <w:gridSpan w:val="4"/>
          </w:tcPr>
          <w:p w14:paraId="797BD27A" w14:textId="77777777" w:rsidR="008E7CC8" w:rsidRDefault="008E7CC8" w:rsidP="00CD363C">
            <w:pPr>
              <w:pStyle w:val="TableParagraph"/>
              <w:ind w:left="105" w:right="-142"/>
              <w:jc w:val="both"/>
              <w:rPr>
                <w:b/>
                <w:sz w:val="20"/>
              </w:rPr>
            </w:pPr>
            <w:r>
              <w:rPr>
                <w:b/>
                <w:sz w:val="20"/>
              </w:rPr>
              <w:t>Procentu izdevumi</w:t>
            </w:r>
          </w:p>
        </w:tc>
      </w:tr>
      <w:tr w:rsidR="008E7CC8" w14:paraId="27FF8246" w14:textId="77777777" w:rsidTr="00FB6347">
        <w:trPr>
          <w:trHeight w:val="254"/>
        </w:trPr>
        <w:tc>
          <w:tcPr>
            <w:tcW w:w="818" w:type="dxa"/>
            <w:vMerge/>
            <w:tcBorders>
              <w:top w:val="nil"/>
            </w:tcBorders>
          </w:tcPr>
          <w:p w14:paraId="150569B4" w14:textId="77777777" w:rsidR="008E7CC8" w:rsidRDefault="008E7CC8" w:rsidP="00CD363C">
            <w:pPr>
              <w:spacing w:after="0" w:line="240" w:lineRule="auto"/>
              <w:ind w:right="-142"/>
              <w:jc w:val="both"/>
              <w:rPr>
                <w:sz w:val="2"/>
                <w:szCs w:val="2"/>
              </w:rPr>
            </w:pPr>
          </w:p>
        </w:tc>
        <w:tc>
          <w:tcPr>
            <w:tcW w:w="2962" w:type="dxa"/>
          </w:tcPr>
          <w:p w14:paraId="0BB4E846" w14:textId="77777777" w:rsidR="008E7CC8" w:rsidRDefault="008E7CC8" w:rsidP="00CD363C">
            <w:pPr>
              <w:pStyle w:val="TableParagraph"/>
              <w:ind w:left="105" w:right="-142"/>
              <w:jc w:val="both"/>
              <w:rPr>
                <w:sz w:val="20"/>
              </w:rPr>
            </w:pPr>
            <w:r>
              <w:rPr>
                <w:sz w:val="20"/>
              </w:rPr>
              <w:t>D Procentu izdevumi</w:t>
            </w:r>
          </w:p>
        </w:tc>
        <w:tc>
          <w:tcPr>
            <w:tcW w:w="1152" w:type="dxa"/>
          </w:tcPr>
          <w:p w14:paraId="363F7CA7" w14:textId="77777777" w:rsidR="008E7CC8" w:rsidRDefault="008E7CC8" w:rsidP="00CD363C">
            <w:pPr>
              <w:pStyle w:val="TableParagraph"/>
              <w:ind w:left="94" w:right="-142"/>
              <w:jc w:val="both"/>
              <w:rPr>
                <w:sz w:val="20"/>
              </w:rPr>
            </w:pPr>
            <w:r>
              <w:rPr>
                <w:sz w:val="20"/>
              </w:rPr>
              <w:t>8220</w:t>
            </w:r>
          </w:p>
        </w:tc>
        <w:tc>
          <w:tcPr>
            <w:tcW w:w="3288" w:type="dxa"/>
          </w:tcPr>
          <w:p w14:paraId="3C9DE77D" w14:textId="77777777" w:rsidR="008E7CC8" w:rsidRDefault="008E7CC8" w:rsidP="00CD363C">
            <w:pPr>
              <w:pStyle w:val="TableParagraph"/>
              <w:ind w:left="106" w:right="-142"/>
              <w:jc w:val="both"/>
              <w:rPr>
                <w:sz w:val="20"/>
              </w:rPr>
            </w:pPr>
            <w:r>
              <w:rPr>
                <w:sz w:val="20"/>
              </w:rPr>
              <w:t>Procentu izdevumi</w:t>
            </w:r>
          </w:p>
        </w:tc>
        <w:tc>
          <w:tcPr>
            <w:tcW w:w="1406" w:type="dxa"/>
          </w:tcPr>
          <w:p w14:paraId="10C67191" w14:textId="77777777" w:rsidR="008E7CC8" w:rsidRDefault="008E7CC8" w:rsidP="00CD363C">
            <w:pPr>
              <w:pStyle w:val="TableParagraph"/>
              <w:ind w:right="-142"/>
              <w:jc w:val="both"/>
              <w:rPr>
                <w:sz w:val="20"/>
              </w:rPr>
            </w:pPr>
            <w:r>
              <w:rPr>
                <w:sz w:val="20"/>
              </w:rPr>
              <w:t>16 220,50</w:t>
            </w:r>
          </w:p>
        </w:tc>
      </w:tr>
      <w:tr w:rsidR="008E7CC8" w14:paraId="2983CC94" w14:textId="77777777" w:rsidTr="00FB6347">
        <w:trPr>
          <w:trHeight w:val="460"/>
        </w:trPr>
        <w:tc>
          <w:tcPr>
            <w:tcW w:w="818" w:type="dxa"/>
            <w:vMerge/>
            <w:tcBorders>
              <w:top w:val="nil"/>
            </w:tcBorders>
          </w:tcPr>
          <w:p w14:paraId="10356C8F" w14:textId="77777777" w:rsidR="008E7CC8" w:rsidRDefault="008E7CC8" w:rsidP="00CD363C">
            <w:pPr>
              <w:spacing w:after="0" w:line="240" w:lineRule="auto"/>
              <w:ind w:right="-142"/>
              <w:jc w:val="both"/>
              <w:rPr>
                <w:sz w:val="2"/>
                <w:szCs w:val="2"/>
              </w:rPr>
            </w:pPr>
          </w:p>
        </w:tc>
        <w:tc>
          <w:tcPr>
            <w:tcW w:w="2962" w:type="dxa"/>
          </w:tcPr>
          <w:p w14:paraId="6C92551B" w14:textId="77777777" w:rsidR="008E7CC8" w:rsidRDefault="008E7CC8" w:rsidP="00CD363C">
            <w:pPr>
              <w:pStyle w:val="TableParagraph"/>
              <w:ind w:left="105" w:right="-142"/>
              <w:jc w:val="both"/>
              <w:rPr>
                <w:sz w:val="20"/>
              </w:rPr>
            </w:pPr>
            <w:r>
              <w:rPr>
                <w:sz w:val="20"/>
              </w:rPr>
              <w:t>K Finanšu saistības</w:t>
            </w:r>
          </w:p>
        </w:tc>
        <w:tc>
          <w:tcPr>
            <w:tcW w:w="1152" w:type="dxa"/>
          </w:tcPr>
          <w:p w14:paraId="44D7DEA0" w14:textId="77777777" w:rsidR="008E7CC8" w:rsidRDefault="008E7CC8" w:rsidP="00CD363C">
            <w:pPr>
              <w:pStyle w:val="TableParagraph"/>
              <w:ind w:left="94" w:right="-142"/>
              <w:jc w:val="both"/>
              <w:rPr>
                <w:sz w:val="20"/>
              </w:rPr>
            </w:pPr>
            <w:r>
              <w:rPr>
                <w:sz w:val="20"/>
              </w:rPr>
              <w:t>5310</w:t>
            </w:r>
          </w:p>
        </w:tc>
        <w:tc>
          <w:tcPr>
            <w:tcW w:w="3288" w:type="dxa"/>
          </w:tcPr>
          <w:p w14:paraId="288476AB" w14:textId="77777777" w:rsidR="008E7CC8" w:rsidRDefault="008E7CC8" w:rsidP="00CD363C">
            <w:pPr>
              <w:pStyle w:val="TableParagraph"/>
              <w:ind w:left="106" w:right="-142"/>
              <w:jc w:val="both"/>
              <w:rPr>
                <w:sz w:val="20"/>
              </w:rPr>
            </w:pPr>
            <w:r>
              <w:rPr>
                <w:sz w:val="20"/>
              </w:rPr>
              <w:t>Īstermiņa saistības pret piegādātājiem</w:t>
            </w:r>
          </w:p>
          <w:p w14:paraId="7CC95017" w14:textId="77777777" w:rsidR="008E7CC8" w:rsidRDefault="008E7CC8" w:rsidP="00CD363C">
            <w:pPr>
              <w:pStyle w:val="TableParagraph"/>
              <w:ind w:left="106" w:right="-142"/>
              <w:jc w:val="both"/>
              <w:rPr>
                <w:sz w:val="20"/>
              </w:rPr>
            </w:pPr>
            <w:r>
              <w:rPr>
                <w:sz w:val="20"/>
              </w:rPr>
              <w:t>un darbuzņēmējiem</w:t>
            </w:r>
          </w:p>
        </w:tc>
        <w:tc>
          <w:tcPr>
            <w:tcW w:w="1406" w:type="dxa"/>
          </w:tcPr>
          <w:p w14:paraId="5212779E" w14:textId="77777777" w:rsidR="008E7CC8" w:rsidRDefault="008E7CC8" w:rsidP="00CD363C">
            <w:pPr>
              <w:pStyle w:val="TableParagraph"/>
              <w:ind w:right="-142"/>
              <w:jc w:val="both"/>
              <w:rPr>
                <w:sz w:val="20"/>
              </w:rPr>
            </w:pPr>
            <w:r>
              <w:rPr>
                <w:sz w:val="20"/>
              </w:rPr>
              <w:t>16 220,50</w:t>
            </w:r>
          </w:p>
        </w:tc>
      </w:tr>
      <w:tr w:rsidR="008E7CC8" w14:paraId="50E9EAC6" w14:textId="77777777" w:rsidTr="00FB6347">
        <w:trPr>
          <w:trHeight w:val="253"/>
        </w:trPr>
        <w:tc>
          <w:tcPr>
            <w:tcW w:w="818" w:type="dxa"/>
            <w:vMerge/>
            <w:tcBorders>
              <w:top w:val="nil"/>
            </w:tcBorders>
          </w:tcPr>
          <w:p w14:paraId="404C1DFC" w14:textId="77777777" w:rsidR="008E7CC8" w:rsidRDefault="008E7CC8" w:rsidP="00CD363C">
            <w:pPr>
              <w:spacing w:after="0" w:line="240" w:lineRule="auto"/>
              <w:ind w:right="-142"/>
              <w:jc w:val="both"/>
              <w:rPr>
                <w:sz w:val="2"/>
                <w:szCs w:val="2"/>
              </w:rPr>
            </w:pPr>
          </w:p>
        </w:tc>
        <w:tc>
          <w:tcPr>
            <w:tcW w:w="8808" w:type="dxa"/>
            <w:gridSpan w:val="4"/>
          </w:tcPr>
          <w:p w14:paraId="43272CAE" w14:textId="77777777" w:rsidR="008E7CC8" w:rsidRDefault="008E7CC8" w:rsidP="00CD363C">
            <w:pPr>
              <w:pStyle w:val="TableParagraph"/>
              <w:ind w:left="105" w:right="-142"/>
              <w:jc w:val="both"/>
              <w:rPr>
                <w:b/>
                <w:sz w:val="20"/>
              </w:rPr>
            </w:pPr>
            <w:r>
              <w:rPr>
                <w:b/>
                <w:sz w:val="20"/>
              </w:rPr>
              <w:t>Finanšu saistību īstermiņa daļas nodalīšana</w:t>
            </w:r>
          </w:p>
        </w:tc>
      </w:tr>
      <w:tr w:rsidR="008E7CC8" w14:paraId="05F3D7B5" w14:textId="77777777" w:rsidTr="00FB6347">
        <w:trPr>
          <w:trHeight w:val="460"/>
        </w:trPr>
        <w:tc>
          <w:tcPr>
            <w:tcW w:w="818" w:type="dxa"/>
            <w:vMerge/>
            <w:tcBorders>
              <w:top w:val="nil"/>
            </w:tcBorders>
          </w:tcPr>
          <w:p w14:paraId="38E0866C" w14:textId="77777777" w:rsidR="008E7CC8" w:rsidRDefault="008E7CC8" w:rsidP="00CD363C">
            <w:pPr>
              <w:spacing w:after="0" w:line="240" w:lineRule="auto"/>
              <w:ind w:right="-142"/>
              <w:jc w:val="both"/>
              <w:rPr>
                <w:sz w:val="2"/>
                <w:szCs w:val="2"/>
              </w:rPr>
            </w:pPr>
          </w:p>
        </w:tc>
        <w:tc>
          <w:tcPr>
            <w:tcW w:w="2962" w:type="dxa"/>
          </w:tcPr>
          <w:p w14:paraId="1891A492" w14:textId="77777777" w:rsidR="008E7CC8" w:rsidRDefault="008E7CC8" w:rsidP="00CD363C">
            <w:pPr>
              <w:pStyle w:val="TableParagraph"/>
              <w:ind w:left="105" w:right="-142"/>
              <w:jc w:val="both"/>
              <w:rPr>
                <w:sz w:val="20"/>
              </w:rPr>
            </w:pPr>
            <w:r>
              <w:rPr>
                <w:sz w:val="20"/>
              </w:rPr>
              <w:t>D Finanšu saistības</w:t>
            </w:r>
          </w:p>
        </w:tc>
        <w:tc>
          <w:tcPr>
            <w:tcW w:w="1152" w:type="dxa"/>
          </w:tcPr>
          <w:p w14:paraId="26632585" w14:textId="77777777" w:rsidR="008E7CC8" w:rsidRDefault="008E7CC8" w:rsidP="00CD363C">
            <w:pPr>
              <w:pStyle w:val="TableParagraph"/>
              <w:ind w:left="94" w:right="-142"/>
              <w:jc w:val="both"/>
              <w:rPr>
                <w:sz w:val="20"/>
              </w:rPr>
            </w:pPr>
            <w:r>
              <w:rPr>
                <w:sz w:val="20"/>
              </w:rPr>
              <w:t>5130</w:t>
            </w:r>
          </w:p>
        </w:tc>
        <w:tc>
          <w:tcPr>
            <w:tcW w:w="3288" w:type="dxa"/>
          </w:tcPr>
          <w:p w14:paraId="44A326CC" w14:textId="77777777" w:rsidR="008E7CC8" w:rsidRDefault="008E7CC8" w:rsidP="00CD363C">
            <w:pPr>
              <w:pStyle w:val="TableParagraph"/>
              <w:ind w:left="106" w:right="-142"/>
              <w:jc w:val="both"/>
              <w:rPr>
                <w:sz w:val="20"/>
              </w:rPr>
            </w:pPr>
            <w:r>
              <w:rPr>
                <w:sz w:val="20"/>
              </w:rPr>
              <w:t>Ilgtermiņa saistības pret</w:t>
            </w:r>
          </w:p>
          <w:p w14:paraId="421444E3" w14:textId="77777777" w:rsidR="008E7CC8" w:rsidRDefault="008E7CC8" w:rsidP="00CD363C">
            <w:pPr>
              <w:pStyle w:val="TableParagraph"/>
              <w:ind w:left="106" w:right="-142"/>
              <w:jc w:val="both"/>
              <w:rPr>
                <w:sz w:val="20"/>
              </w:rPr>
            </w:pPr>
            <w:r>
              <w:rPr>
                <w:sz w:val="20"/>
              </w:rPr>
              <w:t>piegādātajiem un darbuzņēmējiem</w:t>
            </w:r>
          </w:p>
        </w:tc>
        <w:tc>
          <w:tcPr>
            <w:tcW w:w="1406" w:type="dxa"/>
          </w:tcPr>
          <w:p w14:paraId="1EA39E12" w14:textId="77777777" w:rsidR="008E7CC8" w:rsidRDefault="008E7CC8" w:rsidP="00CD363C">
            <w:pPr>
              <w:pStyle w:val="TableParagraph"/>
              <w:ind w:right="-142"/>
              <w:jc w:val="both"/>
              <w:rPr>
                <w:sz w:val="20"/>
              </w:rPr>
            </w:pPr>
            <w:r>
              <w:rPr>
                <w:sz w:val="20"/>
              </w:rPr>
              <w:t>83 779,50</w:t>
            </w:r>
          </w:p>
        </w:tc>
      </w:tr>
      <w:tr w:rsidR="008E7CC8" w14:paraId="005FAD50" w14:textId="77777777" w:rsidTr="00FB6347">
        <w:trPr>
          <w:trHeight w:val="460"/>
        </w:trPr>
        <w:tc>
          <w:tcPr>
            <w:tcW w:w="818" w:type="dxa"/>
            <w:vMerge/>
            <w:tcBorders>
              <w:top w:val="nil"/>
            </w:tcBorders>
          </w:tcPr>
          <w:p w14:paraId="76A6F2F2" w14:textId="77777777" w:rsidR="008E7CC8" w:rsidRDefault="008E7CC8" w:rsidP="00CD363C">
            <w:pPr>
              <w:spacing w:after="0" w:line="240" w:lineRule="auto"/>
              <w:ind w:right="-142"/>
              <w:jc w:val="both"/>
              <w:rPr>
                <w:sz w:val="2"/>
                <w:szCs w:val="2"/>
              </w:rPr>
            </w:pPr>
          </w:p>
        </w:tc>
        <w:tc>
          <w:tcPr>
            <w:tcW w:w="2962" w:type="dxa"/>
          </w:tcPr>
          <w:p w14:paraId="7DC336F4" w14:textId="77777777" w:rsidR="008E7CC8" w:rsidRDefault="008E7CC8" w:rsidP="00CD363C">
            <w:pPr>
              <w:pStyle w:val="TableParagraph"/>
              <w:ind w:left="105" w:right="-142"/>
              <w:jc w:val="both"/>
              <w:rPr>
                <w:sz w:val="20"/>
              </w:rPr>
            </w:pPr>
            <w:r>
              <w:rPr>
                <w:sz w:val="20"/>
              </w:rPr>
              <w:t>K Finanšu saistības</w:t>
            </w:r>
          </w:p>
        </w:tc>
        <w:tc>
          <w:tcPr>
            <w:tcW w:w="1152" w:type="dxa"/>
          </w:tcPr>
          <w:p w14:paraId="45203763" w14:textId="77777777" w:rsidR="008E7CC8" w:rsidRDefault="008E7CC8" w:rsidP="00CD363C">
            <w:pPr>
              <w:pStyle w:val="TableParagraph"/>
              <w:ind w:left="94" w:right="-142"/>
              <w:jc w:val="both"/>
              <w:rPr>
                <w:sz w:val="20"/>
              </w:rPr>
            </w:pPr>
            <w:r>
              <w:rPr>
                <w:sz w:val="20"/>
              </w:rPr>
              <w:t>5310</w:t>
            </w:r>
          </w:p>
        </w:tc>
        <w:tc>
          <w:tcPr>
            <w:tcW w:w="3288" w:type="dxa"/>
          </w:tcPr>
          <w:p w14:paraId="7FF99778" w14:textId="77777777" w:rsidR="008E7CC8" w:rsidRDefault="008E7CC8" w:rsidP="00CD363C">
            <w:pPr>
              <w:pStyle w:val="TableParagraph"/>
              <w:ind w:left="156" w:right="-142"/>
              <w:jc w:val="both"/>
              <w:rPr>
                <w:sz w:val="20"/>
              </w:rPr>
            </w:pPr>
            <w:r>
              <w:rPr>
                <w:sz w:val="20"/>
              </w:rPr>
              <w:t>Īstermiņa saistības pret</w:t>
            </w:r>
          </w:p>
          <w:p w14:paraId="2534D3E0" w14:textId="77777777" w:rsidR="008E7CC8" w:rsidRDefault="008E7CC8" w:rsidP="00CD363C">
            <w:pPr>
              <w:pStyle w:val="TableParagraph"/>
              <w:ind w:left="106" w:right="-142"/>
              <w:jc w:val="both"/>
              <w:rPr>
                <w:sz w:val="20"/>
              </w:rPr>
            </w:pPr>
            <w:r>
              <w:rPr>
                <w:sz w:val="20"/>
              </w:rPr>
              <w:t>piegādātājiem un darbuzņēmējiem</w:t>
            </w:r>
          </w:p>
        </w:tc>
        <w:tc>
          <w:tcPr>
            <w:tcW w:w="1406" w:type="dxa"/>
          </w:tcPr>
          <w:p w14:paraId="76B106D2" w14:textId="77777777" w:rsidR="008E7CC8" w:rsidRDefault="008E7CC8" w:rsidP="00CD363C">
            <w:pPr>
              <w:pStyle w:val="TableParagraph"/>
              <w:ind w:right="-142"/>
              <w:jc w:val="both"/>
              <w:rPr>
                <w:sz w:val="20"/>
              </w:rPr>
            </w:pPr>
            <w:r>
              <w:rPr>
                <w:sz w:val="20"/>
              </w:rPr>
              <w:t>83 779,50</w:t>
            </w:r>
          </w:p>
        </w:tc>
      </w:tr>
      <w:tr w:rsidR="008E7CC8" w14:paraId="3CA550AE" w14:textId="77777777" w:rsidTr="00FB6347">
        <w:trPr>
          <w:trHeight w:val="253"/>
        </w:trPr>
        <w:tc>
          <w:tcPr>
            <w:tcW w:w="818" w:type="dxa"/>
            <w:vMerge/>
            <w:tcBorders>
              <w:top w:val="nil"/>
            </w:tcBorders>
          </w:tcPr>
          <w:p w14:paraId="718895D3" w14:textId="77777777" w:rsidR="008E7CC8" w:rsidRDefault="008E7CC8" w:rsidP="00CD363C">
            <w:pPr>
              <w:spacing w:after="0" w:line="240" w:lineRule="auto"/>
              <w:ind w:right="-142"/>
              <w:jc w:val="both"/>
              <w:rPr>
                <w:sz w:val="2"/>
                <w:szCs w:val="2"/>
              </w:rPr>
            </w:pPr>
          </w:p>
        </w:tc>
        <w:tc>
          <w:tcPr>
            <w:tcW w:w="8808" w:type="dxa"/>
            <w:gridSpan w:val="4"/>
          </w:tcPr>
          <w:p w14:paraId="1FE8AF99" w14:textId="77777777" w:rsidR="008E7CC8" w:rsidRDefault="008E7CC8" w:rsidP="00CD363C">
            <w:pPr>
              <w:pStyle w:val="TableParagraph"/>
              <w:ind w:left="105" w:right="-142"/>
              <w:jc w:val="both"/>
              <w:rPr>
                <w:b/>
                <w:sz w:val="20"/>
              </w:rPr>
            </w:pPr>
            <w:r>
              <w:rPr>
                <w:b/>
                <w:sz w:val="20"/>
              </w:rPr>
              <w:t>Nākamo periodu ieņēmumu īstermiņa daļas nodalīšana</w:t>
            </w:r>
          </w:p>
        </w:tc>
      </w:tr>
      <w:tr w:rsidR="008E7CC8" w14:paraId="09E3861F" w14:textId="77777777" w:rsidTr="00FB6347">
        <w:trPr>
          <w:trHeight w:val="690"/>
        </w:trPr>
        <w:tc>
          <w:tcPr>
            <w:tcW w:w="818" w:type="dxa"/>
            <w:vMerge/>
            <w:tcBorders>
              <w:top w:val="nil"/>
            </w:tcBorders>
          </w:tcPr>
          <w:p w14:paraId="2D1503B8" w14:textId="77777777" w:rsidR="008E7CC8" w:rsidRDefault="008E7CC8" w:rsidP="00CD363C">
            <w:pPr>
              <w:spacing w:after="0" w:line="240" w:lineRule="auto"/>
              <w:ind w:right="-142"/>
              <w:jc w:val="both"/>
              <w:rPr>
                <w:sz w:val="2"/>
                <w:szCs w:val="2"/>
              </w:rPr>
            </w:pPr>
          </w:p>
        </w:tc>
        <w:tc>
          <w:tcPr>
            <w:tcW w:w="2962" w:type="dxa"/>
          </w:tcPr>
          <w:p w14:paraId="1A3C81E3" w14:textId="77777777" w:rsidR="008E7CC8" w:rsidRDefault="008E7CC8" w:rsidP="00CD363C">
            <w:pPr>
              <w:pStyle w:val="TableParagraph"/>
              <w:ind w:right="-142"/>
              <w:jc w:val="both"/>
              <w:rPr>
                <w:i/>
                <w:sz w:val="19"/>
              </w:rPr>
            </w:pPr>
          </w:p>
          <w:p w14:paraId="1E4FA55A" w14:textId="77777777" w:rsidR="008E7CC8" w:rsidRDefault="008E7CC8" w:rsidP="00CD363C">
            <w:pPr>
              <w:pStyle w:val="TableParagraph"/>
              <w:ind w:left="105" w:right="-142"/>
              <w:jc w:val="both"/>
              <w:rPr>
                <w:sz w:val="20"/>
              </w:rPr>
            </w:pPr>
            <w:r>
              <w:rPr>
                <w:sz w:val="20"/>
              </w:rPr>
              <w:t>D Saistības</w:t>
            </w:r>
          </w:p>
        </w:tc>
        <w:tc>
          <w:tcPr>
            <w:tcW w:w="1152" w:type="dxa"/>
          </w:tcPr>
          <w:p w14:paraId="708736E6" w14:textId="77777777" w:rsidR="008E7CC8" w:rsidRDefault="008E7CC8" w:rsidP="00CD363C">
            <w:pPr>
              <w:pStyle w:val="TableParagraph"/>
              <w:ind w:right="-142"/>
              <w:jc w:val="both"/>
              <w:rPr>
                <w:i/>
                <w:sz w:val="19"/>
              </w:rPr>
            </w:pPr>
          </w:p>
          <w:p w14:paraId="0E520128" w14:textId="77777777" w:rsidR="008E7CC8" w:rsidRDefault="008E7CC8" w:rsidP="00CD363C">
            <w:pPr>
              <w:pStyle w:val="TableParagraph"/>
              <w:ind w:left="94" w:right="-142"/>
              <w:jc w:val="both"/>
              <w:rPr>
                <w:sz w:val="20"/>
              </w:rPr>
            </w:pPr>
            <w:r>
              <w:rPr>
                <w:sz w:val="20"/>
              </w:rPr>
              <w:t>5150</w:t>
            </w:r>
          </w:p>
        </w:tc>
        <w:tc>
          <w:tcPr>
            <w:tcW w:w="3288" w:type="dxa"/>
          </w:tcPr>
          <w:p w14:paraId="7B0308B6" w14:textId="77777777" w:rsidR="008E7CC8" w:rsidRDefault="008E7CC8" w:rsidP="00CD363C">
            <w:pPr>
              <w:pStyle w:val="TableParagraph"/>
              <w:ind w:left="106" w:right="-142"/>
              <w:jc w:val="both"/>
              <w:rPr>
                <w:sz w:val="20"/>
              </w:rPr>
            </w:pPr>
            <w:r>
              <w:rPr>
                <w:sz w:val="20"/>
              </w:rPr>
              <w:t>Ilgtermiņa nākamo periodu ieņēmumi un saņemtie avansa</w:t>
            </w:r>
          </w:p>
          <w:p w14:paraId="3E721C43" w14:textId="77777777" w:rsidR="008E7CC8" w:rsidRDefault="008E7CC8" w:rsidP="00CD363C">
            <w:pPr>
              <w:pStyle w:val="TableParagraph"/>
              <w:ind w:left="106" w:right="-142"/>
              <w:jc w:val="both"/>
              <w:rPr>
                <w:sz w:val="20"/>
              </w:rPr>
            </w:pPr>
            <w:r>
              <w:rPr>
                <w:sz w:val="20"/>
              </w:rPr>
              <w:t>maksājumi</w:t>
            </w:r>
          </w:p>
        </w:tc>
        <w:tc>
          <w:tcPr>
            <w:tcW w:w="1406" w:type="dxa"/>
          </w:tcPr>
          <w:p w14:paraId="3AB310C7" w14:textId="77777777" w:rsidR="008E7CC8" w:rsidRDefault="008E7CC8" w:rsidP="00CD363C">
            <w:pPr>
              <w:pStyle w:val="TableParagraph"/>
              <w:ind w:right="-142"/>
              <w:jc w:val="both"/>
              <w:rPr>
                <w:i/>
                <w:sz w:val="19"/>
              </w:rPr>
            </w:pPr>
          </w:p>
          <w:p w14:paraId="0297855A" w14:textId="77777777" w:rsidR="008E7CC8" w:rsidRDefault="008E7CC8" w:rsidP="00CD363C">
            <w:pPr>
              <w:pStyle w:val="TableParagraph"/>
              <w:ind w:right="-142"/>
              <w:jc w:val="both"/>
              <w:rPr>
                <w:sz w:val="20"/>
              </w:rPr>
            </w:pPr>
            <w:r>
              <w:rPr>
                <w:sz w:val="20"/>
              </w:rPr>
              <w:t>72 500,00</w:t>
            </w:r>
          </w:p>
        </w:tc>
      </w:tr>
      <w:tr w:rsidR="008E7CC8" w14:paraId="252DB0D8" w14:textId="77777777" w:rsidTr="00FB6347">
        <w:trPr>
          <w:trHeight w:val="690"/>
        </w:trPr>
        <w:tc>
          <w:tcPr>
            <w:tcW w:w="818" w:type="dxa"/>
            <w:vMerge/>
            <w:tcBorders>
              <w:top w:val="nil"/>
            </w:tcBorders>
          </w:tcPr>
          <w:p w14:paraId="789CFE1F" w14:textId="77777777" w:rsidR="008E7CC8" w:rsidRDefault="008E7CC8" w:rsidP="00CD363C">
            <w:pPr>
              <w:spacing w:after="0" w:line="240" w:lineRule="auto"/>
              <w:ind w:right="-142"/>
              <w:jc w:val="both"/>
              <w:rPr>
                <w:sz w:val="2"/>
                <w:szCs w:val="2"/>
              </w:rPr>
            </w:pPr>
          </w:p>
        </w:tc>
        <w:tc>
          <w:tcPr>
            <w:tcW w:w="2962" w:type="dxa"/>
          </w:tcPr>
          <w:p w14:paraId="39CDD833" w14:textId="77777777" w:rsidR="008E7CC8" w:rsidRDefault="008E7CC8" w:rsidP="00CD363C">
            <w:pPr>
              <w:pStyle w:val="TableParagraph"/>
              <w:ind w:right="-142"/>
              <w:jc w:val="both"/>
              <w:rPr>
                <w:i/>
                <w:sz w:val="19"/>
              </w:rPr>
            </w:pPr>
          </w:p>
          <w:p w14:paraId="28EBEB47" w14:textId="77777777" w:rsidR="008E7CC8" w:rsidRDefault="008E7CC8" w:rsidP="00CD363C">
            <w:pPr>
              <w:pStyle w:val="TableParagraph"/>
              <w:ind w:left="105" w:right="-142"/>
              <w:jc w:val="both"/>
              <w:rPr>
                <w:sz w:val="20"/>
              </w:rPr>
            </w:pPr>
            <w:r>
              <w:rPr>
                <w:sz w:val="20"/>
              </w:rPr>
              <w:t>K Saistības</w:t>
            </w:r>
          </w:p>
        </w:tc>
        <w:tc>
          <w:tcPr>
            <w:tcW w:w="1152" w:type="dxa"/>
          </w:tcPr>
          <w:p w14:paraId="7DADD8F5" w14:textId="77777777" w:rsidR="008E7CC8" w:rsidRDefault="008E7CC8" w:rsidP="00CD363C">
            <w:pPr>
              <w:pStyle w:val="TableParagraph"/>
              <w:ind w:right="-142"/>
              <w:jc w:val="both"/>
              <w:rPr>
                <w:i/>
                <w:sz w:val="19"/>
              </w:rPr>
            </w:pPr>
          </w:p>
          <w:p w14:paraId="11692ADD" w14:textId="77777777" w:rsidR="008E7CC8" w:rsidRDefault="008E7CC8" w:rsidP="00CD363C">
            <w:pPr>
              <w:pStyle w:val="TableParagraph"/>
              <w:ind w:left="94" w:right="-142"/>
              <w:jc w:val="both"/>
              <w:rPr>
                <w:sz w:val="20"/>
              </w:rPr>
            </w:pPr>
            <w:r>
              <w:rPr>
                <w:sz w:val="20"/>
              </w:rPr>
              <w:t>5910</w:t>
            </w:r>
          </w:p>
        </w:tc>
        <w:tc>
          <w:tcPr>
            <w:tcW w:w="3288" w:type="dxa"/>
          </w:tcPr>
          <w:p w14:paraId="0A9E1D81" w14:textId="77777777" w:rsidR="008E7CC8" w:rsidRDefault="008E7CC8" w:rsidP="00CD363C">
            <w:pPr>
              <w:pStyle w:val="TableParagraph"/>
              <w:ind w:left="106" w:right="-142"/>
              <w:jc w:val="both"/>
              <w:rPr>
                <w:sz w:val="20"/>
              </w:rPr>
            </w:pPr>
            <w:r>
              <w:rPr>
                <w:sz w:val="20"/>
              </w:rPr>
              <w:t>Nākamo periodu ieņēmumi un saņemtie avansi</w:t>
            </w:r>
          </w:p>
        </w:tc>
        <w:tc>
          <w:tcPr>
            <w:tcW w:w="1406" w:type="dxa"/>
          </w:tcPr>
          <w:p w14:paraId="6EDEA0B2" w14:textId="77777777" w:rsidR="008E7CC8" w:rsidRDefault="008E7CC8" w:rsidP="00CD363C">
            <w:pPr>
              <w:pStyle w:val="TableParagraph"/>
              <w:ind w:right="-142"/>
              <w:jc w:val="both"/>
              <w:rPr>
                <w:i/>
                <w:sz w:val="19"/>
              </w:rPr>
            </w:pPr>
          </w:p>
          <w:p w14:paraId="6DC7CDC3" w14:textId="77777777" w:rsidR="008E7CC8" w:rsidRDefault="008E7CC8" w:rsidP="00CD363C">
            <w:pPr>
              <w:pStyle w:val="TableParagraph"/>
              <w:ind w:right="-142"/>
              <w:jc w:val="both"/>
              <w:rPr>
                <w:sz w:val="20"/>
              </w:rPr>
            </w:pPr>
            <w:r>
              <w:rPr>
                <w:sz w:val="20"/>
              </w:rPr>
              <w:t>72 500,00</w:t>
            </w:r>
          </w:p>
        </w:tc>
      </w:tr>
      <w:tr w:rsidR="008E7CC8" w14:paraId="4563F10D" w14:textId="77777777" w:rsidTr="00FB6347">
        <w:trPr>
          <w:trHeight w:val="254"/>
        </w:trPr>
        <w:tc>
          <w:tcPr>
            <w:tcW w:w="818" w:type="dxa"/>
            <w:vMerge w:val="restart"/>
          </w:tcPr>
          <w:p w14:paraId="64E623CF" w14:textId="77777777" w:rsidR="008E7CC8" w:rsidRDefault="008E7CC8" w:rsidP="00CD363C">
            <w:pPr>
              <w:pStyle w:val="TableParagraph"/>
              <w:ind w:right="-142"/>
              <w:jc w:val="both"/>
              <w:rPr>
                <w:i/>
                <w:sz w:val="30"/>
              </w:rPr>
            </w:pPr>
          </w:p>
          <w:p w14:paraId="6BF8B821" w14:textId="77777777" w:rsidR="008E7CC8" w:rsidRDefault="008E7CC8" w:rsidP="00CD363C">
            <w:pPr>
              <w:pStyle w:val="TableParagraph"/>
              <w:ind w:right="-142"/>
              <w:jc w:val="both"/>
              <w:rPr>
                <w:b/>
                <w:sz w:val="20"/>
              </w:rPr>
            </w:pPr>
            <w:r>
              <w:rPr>
                <w:b/>
                <w:w w:val="99"/>
                <w:sz w:val="20"/>
              </w:rPr>
              <w:t>3</w:t>
            </w:r>
          </w:p>
        </w:tc>
        <w:tc>
          <w:tcPr>
            <w:tcW w:w="8808" w:type="dxa"/>
            <w:gridSpan w:val="4"/>
          </w:tcPr>
          <w:p w14:paraId="3FBCB476" w14:textId="77777777" w:rsidR="008E7CC8" w:rsidRDefault="008E7CC8" w:rsidP="00CD363C">
            <w:pPr>
              <w:pStyle w:val="TableParagraph"/>
              <w:ind w:left="105" w:right="-142"/>
              <w:jc w:val="both"/>
              <w:rPr>
                <w:b/>
                <w:sz w:val="20"/>
              </w:rPr>
            </w:pPr>
            <w:r>
              <w:rPr>
                <w:b/>
                <w:sz w:val="20"/>
              </w:rPr>
              <w:t>Maksājuma veikšana</w:t>
            </w:r>
          </w:p>
        </w:tc>
      </w:tr>
      <w:tr w:rsidR="008E7CC8" w14:paraId="3A3BA0CB" w14:textId="77777777" w:rsidTr="00FB6347">
        <w:trPr>
          <w:trHeight w:val="461"/>
        </w:trPr>
        <w:tc>
          <w:tcPr>
            <w:tcW w:w="818" w:type="dxa"/>
            <w:vMerge/>
            <w:tcBorders>
              <w:top w:val="nil"/>
            </w:tcBorders>
          </w:tcPr>
          <w:p w14:paraId="262365ED" w14:textId="77777777" w:rsidR="008E7CC8" w:rsidRDefault="008E7CC8" w:rsidP="00CD363C">
            <w:pPr>
              <w:spacing w:after="0" w:line="240" w:lineRule="auto"/>
              <w:ind w:right="-142"/>
              <w:jc w:val="both"/>
              <w:rPr>
                <w:sz w:val="2"/>
                <w:szCs w:val="2"/>
              </w:rPr>
            </w:pPr>
          </w:p>
        </w:tc>
        <w:tc>
          <w:tcPr>
            <w:tcW w:w="2962" w:type="dxa"/>
          </w:tcPr>
          <w:p w14:paraId="370A05A5" w14:textId="77777777" w:rsidR="008E7CC8" w:rsidRDefault="008E7CC8" w:rsidP="00CD363C">
            <w:pPr>
              <w:pStyle w:val="TableParagraph"/>
              <w:ind w:left="105" w:right="-142"/>
              <w:jc w:val="both"/>
              <w:rPr>
                <w:sz w:val="20"/>
              </w:rPr>
            </w:pPr>
            <w:r>
              <w:rPr>
                <w:sz w:val="20"/>
              </w:rPr>
              <w:t>D Finanšu saistības</w:t>
            </w:r>
          </w:p>
        </w:tc>
        <w:tc>
          <w:tcPr>
            <w:tcW w:w="1152" w:type="dxa"/>
          </w:tcPr>
          <w:p w14:paraId="16876EE6" w14:textId="77777777" w:rsidR="008E7CC8" w:rsidRDefault="008E7CC8" w:rsidP="00CD363C">
            <w:pPr>
              <w:pStyle w:val="TableParagraph"/>
              <w:ind w:left="94" w:right="-142"/>
              <w:jc w:val="both"/>
              <w:rPr>
                <w:sz w:val="20"/>
              </w:rPr>
            </w:pPr>
            <w:r>
              <w:rPr>
                <w:sz w:val="20"/>
              </w:rPr>
              <w:t>5310</w:t>
            </w:r>
          </w:p>
        </w:tc>
        <w:tc>
          <w:tcPr>
            <w:tcW w:w="3288" w:type="dxa"/>
          </w:tcPr>
          <w:p w14:paraId="64B62CDE" w14:textId="77777777" w:rsidR="008E7CC8" w:rsidRDefault="008E7CC8" w:rsidP="00CD363C">
            <w:pPr>
              <w:pStyle w:val="TableParagraph"/>
              <w:ind w:left="106" w:right="-142"/>
              <w:jc w:val="both"/>
              <w:rPr>
                <w:sz w:val="20"/>
              </w:rPr>
            </w:pPr>
            <w:r>
              <w:rPr>
                <w:sz w:val="20"/>
              </w:rPr>
              <w:t>Īstermiņa saistības pret piegādātājiem</w:t>
            </w:r>
          </w:p>
          <w:p w14:paraId="3BE42D25" w14:textId="77777777" w:rsidR="008E7CC8" w:rsidRDefault="008E7CC8" w:rsidP="00CD363C">
            <w:pPr>
              <w:pStyle w:val="TableParagraph"/>
              <w:ind w:left="106" w:right="-142"/>
              <w:jc w:val="both"/>
              <w:rPr>
                <w:sz w:val="20"/>
              </w:rPr>
            </w:pPr>
            <w:r>
              <w:rPr>
                <w:sz w:val="20"/>
              </w:rPr>
              <w:t>un darbuzņēmējiem</w:t>
            </w:r>
          </w:p>
        </w:tc>
        <w:tc>
          <w:tcPr>
            <w:tcW w:w="1406" w:type="dxa"/>
          </w:tcPr>
          <w:p w14:paraId="3BA4BEE1" w14:textId="77777777" w:rsidR="008E7CC8" w:rsidRDefault="008E7CC8" w:rsidP="00CD363C">
            <w:pPr>
              <w:pStyle w:val="TableParagraph"/>
              <w:ind w:right="-142"/>
              <w:jc w:val="both"/>
              <w:rPr>
                <w:sz w:val="20"/>
              </w:rPr>
            </w:pPr>
            <w:r>
              <w:rPr>
                <w:sz w:val="20"/>
              </w:rPr>
              <w:t>100 000,00</w:t>
            </w:r>
          </w:p>
        </w:tc>
      </w:tr>
      <w:tr w:rsidR="008E7CC8" w14:paraId="19AF2884" w14:textId="77777777" w:rsidTr="00FB6347">
        <w:trPr>
          <w:trHeight w:val="253"/>
        </w:trPr>
        <w:tc>
          <w:tcPr>
            <w:tcW w:w="818" w:type="dxa"/>
            <w:vMerge/>
            <w:tcBorders>
              <w:top w:val="nil"/>
            </w:tcBorders>
          </w:tcPr>
          <w:p w14:paraId="1C946A88" w14:textId="77777777" w:rsidR="008E7CC8" w:rsidRDefault="008E7CC8" w:rsidP="00CD363C">
            <w:pPr>
              <w:spacing w:after="0" w:line="240" w:lineRule="auto"/>
              <w:ind w:right="-142"/>
              <w:jc w:val="both"/>
              <w:rPr>
                <w:sz w:val="2"/>
                <w:szCs w:val="2"/>
              </w:rPr>
            </w:pPr>
          </w:p>
        </w:tc>
        <w:tc>
          <w:tcPr>
            <w:tcW w:w="2962" w:type="dxa"/>
          </w:tcPr>
          <w:p w14:paraId="04C7B4A2" w14:textId="77777777" w:rsidR="008E7CC8" w:rsidRDefault="008E7CC8" w:rsidP="00CD363C">
            <w:pPr>
              <w:pStyle w:val="TableParagraph"/>
              <w:ind w:left="105" w:right="-142"/>
              <w:jc w:val="both"/>
              <w:rPr>
                <w:sz w:val="20"/>
              </w:rPr>
            </w:pPr>
            <w:r>
              <w:rPr>
                <w:sz w:val="20"/>
              </w:rPr>
              <w:t>K Nauda</w:t>
            </w:r>
          </w:p>
        </w:tc>
        <w:tc>
          <w:tcPr>
            <w:tcW w:w="1152" w:type="dxa"/>
          </w:tcPr>
          <w:p w14:paraId="7C695A6D" w14:textId="77777777" w:rsidR="008E7CC8" w:rsidRDefault="008E7CC8" w:rsidP="00CD363C">
            <w:pPr>
              <w:pStyle w:val="TableParagraph"/>
              <w:ind w:left="94" w:right="-142"/>
              <w:jc w:val="both"/>
              <w:rPr>
                <w:sz w:val="20"/>
              </w:rPr>
            </w:pPr>
            <w:r>
              <w:rPr>
                <w:sz w:val="20"/>
              </w:rPr>
              <w:t>2600</w:t>
            </w:r>
          </w:p>
        </w:tc>
        <w:tc>
          <w:tcPr>
            <w:tcW w:w="3288" w:type="dxa"/>
          </w:tcPr>
          <w:p w14:paraId="70BF14E9" w14:textId="77777777" w:rsidR="008E7CC8" w:rsidRDefault="008E7CC8" w:rsidP="00CD363C">
            <w:pPr>
              <w:pStyle w:val="TableParagraph"/>
              <w:ind w:left="106" w:right="-142"/>
              <w:jc w:val="both"/>
              <w:rPr>
                <w:sz w:val="20"/>
              </w:rPr>
            </w:pPr>
            <w:r>
              <w:rPr>
                <w:sz w:val="20"/>
              </w:rPr>
              <w:t>Naudas līdzekļi</w:t>
            </w:r>
          </w:p>
        </w:tc>
        <w:tc>
          <w:tcPr>
            <w:tcW w:w="1406" w:type="dxa"/>
          </w:tcPr>
          <w:p w14:paraId="6D921EA9" w14:textId="77777777" w:rsidR="008E7CC8" w:rsidRDefault="008E7CC8" w:rsidP="00CD363C">
            <w:pPr>
              <w:pStyle w:val="TableParagraph"/>
              <w:ind w:right="-142"/>
              <w:jc w:val="both"/>
              <w:rPr>
                <w:sz w:val="20"/>
              </w:rPr>
            </w:pPr>
            <w:r>
              <w:rPr>
                <w:sz w:val="20"/>
              </w:rPr>
              <w:t>100 000,00</w:t>
            </w:r>
          </w:p>
        </w:tc>
      </w:tr>
      <w:tr w:rsidR="008E7CC8" w14:paraId="5F02DF66" w14:textId="77777777" w:rsidTr="00FB6347">
        <w:trPr>
          <w:trHeight w:val="256"/>
        </w:trPr>
        <w:tc>
          <w:tcPr>
            <w:tcW w:w="818" w:type="dxa"/>
            <w:vMerge/>
            <w:tcBorders>
              <w:top w:val="nil"/>
            </w:tcBorders>
          </w:tcPr>
          <w:p w14:paraId="6FB211D0" w14:textId="77777777" w:rsidR="008E7CC8" w:rsidRDefault="008E7CC8" w:rsidP="00CD363C">
            <w:pPr>
              <w:spacing w:after="0" w:line="240" w:lineRule="auto"/>
              <w:ind w:right="-142"/>
              <w:jc w:val="both"/>
              <w:rPr>
                <w:sz w:val="2"/>
                <w:szCs w:val="2"/>
              </w:rPr>
            </w:pPr>
          </w:p>
        </w:tc>
        <w:tc>
          <w:tcPr>
            <w:tcW w:w="8808" w:type="dxa"/>
            <w:gridSpan w:val="4"/>
          </w:tcPr>
          <w:p w14:paraId="1D624BCE" w14:textId="77777777" w:rsidR="008E7CC8" w:rsidRDefault="008E7CC8" w:rsidP="00CD363C">
            <w:pPr>
              <w:pStyle w:val="TableParagraph"/>
              <w:ind w:left="105" w:right="-142"/>
              <w:jc w:val="both"/>
              <w:rPr>
                <w:b/>
                <w:sz w:val="20"/>
              </w:rPr>
            </w:pPr>
            <w:r>
              <w:rPr>
                <w:b/>
                <w:sz w:val="20"/>
              </w:rPr>
              <w:t>Procentu izdevumi</w:t>
            </w:r>
          </w:p>
        </w:tc>
      </w:tr>
      <w:tr w:rsidR="008E7CC8" w14:paraId="1EF79619" w14:textId="77777777" w:rsidTr="00FB6347">
        <w:trPr>
          <w:trHeight w:val="253"/>
        </w:trPr>
        <w:tc>
          <w:tcPr>
            <w:tcW w:w="818" w:type="dxa"/>
            <w:vMerge/>
            <w:tcBorders>
              <w:top w:val="nil"/>
            </w:tcBorders>
          </w:tcPr>
          <w:p w14:paraId="0C41236D" w14:textId="77777777" w:rsidR="008E7CC8" w:rsidRDefault="008E7CC8" w:rsidP="00CD363C">
            <w:pPr>
              <w:spacing w:after="0" w:line="240" w:lineRule="auto"/>
              <w:ind w:right="-142"/>
              <w:jc w:val="both"/>
              <w:rPr>
                <w:sz w:val="2"/>
                <w:szCs w:val="2"/>
              </w:rPr>
            </w:pPr>
          </w:p>
        </w:tc>
        <w:tc>
          <w:tcPr>
            <w:tcW w:w="2962" w:type="dxa"/>
          </w:tcPr>
          <w:p w14:paraId="39F8B822" w14:textId="77777777" w:rsidR="008E7CC8" w:rsidRDefault="008E7CC8" w:rsidP="00CD363C">
            <w:pPr>
              <w:pStyle w:val="TableParagraph"/>
              <w:ind w:left="105" w:right="-142"/>
              <w:jc w:val="both"/>
              <w:rPr>
                <w:sz w:val="20"/>
              </w:rPr>
            </w:pPr>
            <w:r>
              <w:rPr>
                <w:sz w:val="20"/>
              </w:rPr>
              <w:t>D Procentu izdevumi</w:t>
            </w:r>
          </w:p>
        </w:tc>
        <w:tc>
          <w:tcPr>
            <w:tcW w:w="1152" w:type="dxa"/>
          </w:tcPr>
          <w:p w14:paraId="15BCB849" w14:textId="77777777" w:rsidR="008E7CC8" w:rsidRDefault="008E7CC8" w:rsidP="00CD363C">
            <w:pPr>
              <w:pStyle w:val="TableParagraph"/>
              <w:ind w:left="94" w:right="-142"/>
              <w:jc w:val="both"/>
              <w:rPr>
                <w:sz w:val="20"/>
              </w:rPr>
            </w:pPr>
            <w:r>
              <w:rPr>
                <w:sz w:val="20"/>
              </w:rPr>
              <w:t>8220</w:t>
            </w:r>
          </w:p>
        </w:tc>
        <w:tc>
          <w:tcPr>
            <w:tcW w:w="3288" w:type="dxa"/>
          </w:tcPr>
          <w:p w14:paraId="03F68A63" w14:textId="77777777" w:rsidR="008E7CC8" w:rsidRDefault="008E7CC8" w:rsidP="00CD363C">
            <w:pPr>
              <w:pStyle w:val="TableParagraph"/>
              <w:ind w:left="106" w:right="-142"/>
              <w:jc w:val="both"/>
              <w:rPr>
                <w:sz w:val="20"/>
              </w:rPr>
            </w:pPr>
            <w:r>
              <w:rPr>
                <w:sz w:val="20"/>
              </w:rPr>
              <w:t>Procentu izdevumi</w:t>
            </w:r>
          </w:p>
        </w:tc>
        <w:tc>
          <w:tcPr>
            <w:tcW w:w="1406" w:type="dxa"/>
          </w:tcPr>
          <w:p w14:paraId="24279E7B" w14:textId="77777777" w:rsidR="008E7CC8" w:rsidRDefault="008E7CC8" w:rsidP="00CD363C">
            <w:pPr>
              <w:pStyle w:val="TableParagraph"/>
              <w:ind w:right="-142"/>
              <w:jc w:val="both"/>
              <w:rPr>
                <w:sz w:val="20"/>
              </w:rPr>
            </w:pPr>
            <w:r>
              <w:rPr>
                <w:sz w:val="20"/>
              </w:rPr>
              <w:t>33 443,30</w:t>
            </w:r>
          </w:p>
        </w:tc>
      </w:tr>
      <w:tr w:rsidR="008E7CC8" w14:paraId="270140FB" w14:textId="77777777" w:rsidTr="00FB6347">
        <w:trPr>
          <w:trHeight w:val="256"/>
        </w:trPr>
        <w:tc>
          <w:tcPr>
            <w:tcW w:w="818" w:type="dxa"/>
            <w:vMerge/>
            <w:tcBorders>
              <w:top w:val="nil"/>
            </w:tcBorders>
          </w:tcPr>
          <w:p w14:paraId="1B460684" w14:textId="77777777" w:rsidR="008E7CC8" w:rsidRDefault="008E7CC8" w:rsidP="00CD363C">
            <w:pPr>
              <w:spacing w:after="0" w:line="240" w:lineRule="auto"/>
              <w:ind w:right="-142"/>
              <w:jc w:val="both"/>
              <w:rPr>
                <w:sz w:val="2"/>
                <w:szCs w:val="2"/>
              </w:rPr>
            </w:pPr>
          </w:p>
        </w:tc>
        <w:tc>
          <w:tcPr>
            <w:tcW w:w="2962" w:type="dxa"/>
          </w:tcPr>
          <w:p w14:paraId="6874A9BA" w14:textId="77777777" w:rsidR="008E7CC8" w:rsidRDefault="008E7CC8" w:rsidP="00CD363C">
            <w:pPr>
              <w:pStyle w:val="TableParagraph"/>
              <w:ind w:left="105" w:right="-142"/>
              <w:jc w:val="both"/>
              <w:rPr>
                <w:sz w:val="20"/>
              </w:rPr>
            </w:pPr>
            <w:r>
              <w:rPr>
                <w:sz w:val="20"/>
              </w:rPr>
              <w:t>D Pakalpojuma izmaksas</w:t>
            </w:r>
          </w:p>
        </w:tc>
        <w:tc>
          <w:tcPr>
            <w:tcW w:w="1152" w:type="dxa"/>
          </w:tcPr>
          <w:p w14:paraId="5EA0321D" w14:textId="77777777" w:rsidR="008E7CC8" w:rsidRDefault="008E7CC8" w:rsidP="00CD363C">
            <w:pPr>
              <w:pStyle w:val="TableParagraph"/>
              <w:ind w:left="94" w:right="-142"/>
              <w:jc w:val="both"/>
              <w:rPr>
                <w:sz w:val="20"/>
              </w:rPr>
            </w:pPr>
            <w:r>
              <w:rPr>
                <w:sz w:val="20"/>
              </w:rPr>
              <w:t>7000</w:t>
            </w:r>
          </w:p>
        </w:tc>
        <w:tc>
          <w:tcPr>
            <w:tcW w:w="3288" w:type="dxa"/>
          </w:tcPr>
          <w:p w14:paraId="42AF71CE" w14:textId="77777777" w:rsidR="008E7CC8" w:rsidRDefault="008E7CC8" w:rsidP="00CD363C">
            <w:pPr>
              <w:pStyle w:val="TableParagraph"/>
              <w:ind w:left="106" w:right="-142"/>
              <w:jc w:val="both"/>
              <w:rPr>
                <w:sz w:val="20"/>
              </w:rPr>
            </w:pPr>
            <w:r>
              <w:rPr>
                <w:sz w:val="20"/>
              </w:rPr>
              <w:t>Pamatdarbības izdevumi</w:t>
            </w:r>
          </w:p>
        </w:tc>
        <w:tc>
          <w:tcPr>
            <w:tcW w:w="1406" w:type="dxa"/>
          </w:tcPr>
          <w:p w14:paraId="5FADBB8F" w14:textId="77777777" w:rsidR="008E7CC8" w:rsidRDefault="008E7CC8" w:rsidP="00CD363C">
            <w:pPr>
              <w:pStyle w:val="TableParagraph"/>
              <w:ind w:right="-142"/>
              <w:jc w:val="both"/>
              <w:rPr>
                <w:sz w:val="20"/>
              </w:rPr>
            </w:pPr>
            <w:r>
              <w:rPr>
                <w:sz w:val="20"/>
              </w:rPr>
              <w:t>6 000,00</w:t>
            </w:r>
          </w:p>
        </w:tc>
      </w:tr>
      <w:tr w:rsidR="008E7CC8" w14:paraId="4CB9E72E" w14:textId="77777777" w:rsidTr="00FB6347">
        <w:trPr>
          <w:trHeight w:val="458"/>
        </w:trPr>
        <w:tc>
          <w:tcPr>
            <w:tcW w:w="818" w:type="dxa"/>
            <w:vMerge/>
            <w:tcBorders>
              <w:top w:val="nil"/>
            </w:tcBorders>
          </w:tcPr>
          <w:p w14:paraId="7626A377" w14:textId="77777777" w:rsidR="008E7CC8" w:rsidRDefault="008E7CC8" w:rsidP="00CD363C">
            <w:pPr>
              <w:spacing w:after="0" w:line="240" w:lineRule="auto"/>
              <w:ind w:right="-142"/>
              <w:jc w:val="both"/>
              <w:rPr>
                <w:sz w:val="2"/>
                <w:szCs w:val="2"/>
              </w:rPr>
            </w:pPr>
          </w:p>
        </w:tc>
        <w:tc>
          <w:tcPr>
            <w:tcW w:w="2962" w:type="dxa"/>
          </w:tcPr>
          <w:p w14:paraId="4359F49B" w14:textId="77777777" w:rsidR="008E7CC8" w:rsidRDefault="008E7CC8" w:rsidP="00CD363C">
            <w:pPr>
              <w:pStyle w:val="TableParagraph"/>
              <w:ind w:left="105" w:right="-142"/>
              <w:jc w:val="both"/>
              <w:rPr>
                <w:sz w:val="20"/>
              </w:rPr>
            </w:pPr>
            <w:r>
              <w:rPr>
                <w:sz w:val="20"/>
              </w:rPr>
              <w:t>K Finanšu saistības</w:t>
            </w:r>
          </w:p>
        </w:tc>
        <w:tc>
          <w:tcPr>
            <w:tcW w:w="1152" w:type="dxa"/>
          </w:tcPr>
          <w:p w14:paraId="6D09B932" w14:textId="77777777" w:rsidR="008E7CC8" w:rsidRDefault="008E7CC8" w:rsidP="00CD363C">
            <w:pPr>
              <w:pStyle w:val="TableParagraph"/>
              <w:ind w:left="94" w:right="-142"/>
              <w:jc w:val="both"/>
              <w:rPr>
                <w:sz w:val="20"/>
              </w:rPr>
            </w:pPr>
            <w:r>
              <w:rPr>
                <w:sz w:val="20"/>
              </w:rPr>
              <w:t>5310</w:t>
            </w:r>
          </w:p>
        </w:tc>
        <w:tc>
          <w:tcPr>
            <w:tcW w:w="3288" w:type="dxa"/>
          </w:tcPr>
          <w:p w14:paraId="291299AB" w14:textId="77777777" w:rsidR="008E7CC8" w:rsidRDefault="008E7CC8" w:rsidP="00CD363C">
            <w:pPr>
              <w:pStyle w:val="TableParagraph"/>
              <w:ind w:left="106" w:right="-142"/>
              <w:jc w:val="both"/>
              <w:rPr>
                <w:sz w:val="20"/>
              </w:rPr>
            </w:pPr>
            <w:r>
              <w:rPr>
                <w:sz w:val="20"/>
              </w:rPr>
              <w:t>Īstermiņa saistības pret piegādātājiem un darbuzņēmējiem</w:t>
            </w:r>
          </w:p>
        </w:tc>
        <w:tc>
          <w:tcPr>
            <w:tcW w:w="1406" w:type="dxa"/>
          </w:tcPr>
          <w:p w14:paraId="499DFB2E" w14:textId="77777777" w:rsidR="008E7CC8" w:rsidRDefault="008E7CC8" w:rsidP="00CD363C">
            <w:pPr>
              <w:pStyle w:val="TableParagraph"/>
              <w:ind w:right="-142"/>
              <w:jc w:val="both"/>
              <w:rPr>
                <w:sz w:val="20"/>
              </w:rPr>
            </w:pPr>
            <w:r>
              <w:rPr>
                <w:sz w:val="20"/>
              </w:rPr>
              <w:t>39 443,30</w:t>
            </w:r>
          </w:p>
        </w:tc>
      </w:tr>
      <w:tr w:rsidR="008E7CC8" w14:paraId="6645661E" w14:textId="77777777" w:rsidTr="00FB6347">
        <w:trPr>
          <w:trHeight w:val="256"/>
        </w:trPr>
        <w:tc>
          <w:tcPr>
            <w:tcW w:w="818" w:type="dxa"/>
            <w:vMerge/>
            <w:tcBorders>
              <w:top w:val="nil"/>
            </w:tcBorders>
          </w:tcPr>
          <w:p w14:paraId="12E6B6E4" w14:textId="77777777" w:rsidR="008E7CC8" w:rsidRDefault="008E7CC8" w:rsidP="00CD363C">
            <w:pPr>
              <w:spacing w:after="0" w:line="240" w:lineRule="auto"/>
              <w:ind w:right="-142"/>
              <w:jc w:val="both"/>
              <w:rPr>
                <w:sz w:val="2"/>
                <w:szCs w:val="2"/>
              </w:rPr>
            </w:pPr>
          </w:p>
        </w:tc>
        <w:tc>
          <w:tcPr>
            <w:tcW w:w="8808" w:type="dxa"/>
            <w:gridSpan w:val="4"/>
          </w:tcPr>
          <w:p w14:paraId="380300E0" w14:textId="77777777" w:rsidR="008E7CC8" w:rsidRDefault="008E7CC8" w:rsidP="00CD363C">
            <w:pPr>
              <w:pStyle w:val="TableParagraph"/>
              <w:ind w:left="105" w:right="-142"/>
              <w:jc w:val="both"/>
              <w:rPr>
                <w:b/>
                <w:sz w:val="20"/>
              </w:rPr>
            </w:pPr>
            <w:r>
              <w:rPr>
                <w:b/>
                <w:sz w:val="20"/>
              </w:rPr>
              <w:t>Ieņēmumu atzīšana</w:t>
            </w:r>
          </w:p>
        </w:tc>
      </w:tr>
      <w:tr w:rsidR="008E7CC8" w14:paraId="2413C2E4" w14:textId="77777777" w:rsidTr="00FB6347">
        <w:trPr>
          <w:trHeight w:val="460"/>
        </w:trPr>
        <w:tc>
          <w:tcPr>
            <w:tcW w:w="818" w:type="dxa"/>
            <w:vMerge/>
            <w:tcBorders>
              <w:top w:val="nil"/>
            </w:tcBorders>
          </w:tcPr>
          <w:p w14:paraId="0F6B7773" w14:textId="77777777" w:rsidR="008E7CC8" w:rsidRDefault="008E7CC8" w:rsidP="00CD363C">
            <w:pPr>
              <w:spacing w:after="0" w:line="240" w:lineRule="auto"/>
              <w:ind w:right="-142"/>
              <w:jc w:val="both"/>
              <w:rPr>
                <w:sz w:val="2"/>
                <w:szCs w:val="2"/>
              </w:rPr>
            </w:pPr>
          </w:p>
        </w:tc>
        <w:tc>
          <w:tcPr>
            <w:tcW w:w="2962" w:type="dxa"/>
          </w:tcPr>
          <w:p w14:paraId="28D2357E" w14:textId="77777777" w:rsidR="008E7CC8" w:rsidRDefault="008E7CC8" w:rsidP="00CD363C">
            <w:pPr>
              <w:pStyle w:val="TableParagraph"/>
              <w:ind w:left="105" w:right="-142"/>
              <w:jc w:val="both"/>
              <w:rPr>
                <w:sz w:val="20"/>
              </w:rPr>
            </w:pPr>
            <w:r>
              <w:rPr>
                <w:sz w:val="20"/>
              </w:rPr>
              <w:t>D Saistības</w:t>
            </w:r>
          </w:p>
        </w:tc>
        <w:tc>
          <w:tcPr>
            <w:tcW w:w="1152" w:type="dxa"/>
          </w:tcPr>
          <w:p w14:paraId="235AFDE3" w14:textId="77777777" w:rsidR="008E7CC8" w:rsidRDefault="008E7CC8" w:rsidP="00CD363C">
            <w:pPr>
              <w:pStyle w:val="TableParagraph"/>
              <w:ind w:left="94" w:right="-142"/>
              <w:jc w:val="both"/>
              <w:rPr>
                <w:sz w:val="20"/>
              </w:rPr>
            </w:pPr>
            <w:r>
              <w:rPr>
                <w:sz w:val="20"/>
              </w:rPr>
              <w:t>5910</w:t>
            </w:r>
          </w:p>
        </w:tc>
        <w:tc>
          <w:tcPr>
            <w:tcW w:w="3288" w:type="dxa"/>
          </w:tcPr>
          <w:p w14:paraId="74CAC281" w14:textId="77777777" w:rsidR="008E7CC8" w:rsidRDefault="008E7CC8" w:rsidP="00CD363C">
            <w:pPr>
              <w:pStyle w:val="TableParagraph"/>
              <w:ind w:left="106" w:right="-142"/>
              <w:jc w:val="both"/>
              <w:rPr>
                <w:sz w:val="20"/>
              </w:rPr>
            </w:pPr>
            <w:r>
              <w:rPr>
                <w:sz w:val="20"/>
              </w:rPr>
              <w:t>Nākamo periodu ieņēmumi un</w:t>
            </w:r>
          </w:p>
          <w:p w14:paraId="2194D549" w14:textId="77777777" w:rsidR="008E7CC8" w:rsidRDefault="008E7CC8" w:rsidP="00CD363C">
            <w:pPr>
              <w:pStyle w:val="TableParagraph"/>
              <w:ind w:left="106" w:right="-142"/>
              <w:jc w:val="both"/>
              <w:rPr>
                <w:sz w:val="20"/>
              </w:rPr>
            </w:pPr>
            <w:r>
              <w:rPr>
                <w:sz w:val="20"/>
              </w:rPr>
              <w:t>saņemtie avansi</w:t>
            </w:r>
          </w:p>
        </w:tc>
        <w:tc>
          <w:tcPr>
            <w:tcW w:w="1406" w:type="dxa"/>
          </w:tcPr>
          <w:p w14:paraId="65C72643" w14:textId="77777777" w:rsidR="008E7CC8" w:rsidRDefault="008E7CC8" w:rsidP="00CD363C">
            <w:pPr>
              <w:pStyle w:val="TableParagraph"/>
              <w:ind w:right="-142"/>
              <w:jc w:val="both"/>
              <w:rPr>
                <w:sz w:val="20"/>
              </w:rPr>
            </w:pPr>
            <w:r>
              <w:rPr>
                <w:sz w:val="20"/>
              </w:rPr>
              <w:t>72 500,00</w:t>
            </w:r>
          </w:p>
        </w:tc>
      </w:tr>
    </w:tbl>
    <w:p w14:paraId="2528638C" w14:textId="77777777" w:rsidR="001B5D0F" w:rsidRDefault="001B5D0F" w:rsidP="00CD363C">
      <w:pPr>
        <w:pStyle w:val="Pamatteksts"/>
        <w:ind w:right="-142"/>
        <w:jc w:val="both"/>
        <w:rPr>
          <w:iCs/>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8"/>
        <w:gridCol w:w="2962"/>
        <w:gridCol w:w="1152"/>
        <w:gridCol w:w="3288"/>
        <w:gridCol w:w="1406"/>
      </w:tblGrid>
      <w:tr w:rsidR="008E7CC8" w14:paraId="3B347EE7" w14:textId="77777777" w:rsidTr="00FB6347">
        <w:trPr>
          <w:trHeight w:val="520"/>
        </w:trPr>
        <w:tc>
          <w:tcPr>
            <w:tcW w:w="818" w:type="dxa"/>
            <w:shd w:val="clear" w:color="auto" w:fill="F1F1F1"/>
          </w:tcPr>
          <w:p w14:paraId="197FA69D" w14:textId="77777777" w:rsidR="008E7CC8" w:rsidRDefault="008E7CC8" w:rsidP="00CD363C">
            <w:pPr>
              <w:pStyle w:val="TableParagraph"/>
              <w:ind w:left="158" w:right="-142"/>
              <w:jc w:val="both"/>
              <w:rPr>
                <w:b/>
                <w:sz w:val="20"/>
              </w:rPr>
            </w:pPr>
            <w:r>
              <w:rPr>
                <w:b/>
                <w:sz w:val="20"/>
              </w:rPr>
              <w:t>Gads</w:t>
            </w:r>
          </w:p>
        </w:tc>
        <w:tc>
          <w:tcPr>
            <w:tcW w:w="2962" w:type="dxa"/>
            <w:shd w:val="clear" w:color="auto" w:fill="F1F1F1"/>
          </w:tcPr>
          <w:p w14:paraId="512783B7" w14:textId="77777777" w:rsidR="008E7CC8" w:rsidRDefault="008E7CC8" w:rsidP="00CD363C">
            <w:pPr>
              <w:pStyle w:val="TableParagraph"/>
              <w:ind w:left="1176" w:right="-142"/>
              <w:jc w:val="both"/>
              <w:rPr>
                <w:b/>
                <w:sz w:val="20"/>
              </w:rPr>
            </w:pPr>
            <w:r>
              <w:rPr>
                <w:b/>
                <w:sz w:val="20"/>
              </w:rPr>
              <w:t>Konts</w:t>
            </w:r>
          </w:p>
        </w:tc>
        <w:tc>
          <w:tcPr>
            <w:tcW w:w="1152" w:type="dxa"/>
            <w:shd w:val="clear" w:color="auto" w:fill="F1F1F1"/>
          </w:tcPr>
          <w:p w14:paraId="73F4E389" w14:textId="77777777" w:rsidR="008E7CC8" w:rsidRDefault="008E7CC8" w:rsidP="00CD363C">
            <w:pPr>
              <w:pStyle w:val="TableParagraph"/>
              <w:ind w:left="94" w:right="-142"/>
              <w:jc w:val="both"/>
              <w:rPr>
                <w:b/>
                <w:sz w:val="20"/>
              </w:rPr>
            </w:pPr>
            <w:r>
              <w:rPr>
                <w:b/>
                <w:sz w:val="20"/>
              </w:rPr>
              <w:t>Konta Nr.</w:t>
            </w:r>
          </w:p>
        </w:tc>
        <w:tc>
          <w:tcPr>
            <w:tcW w:w="3288" w:type="dxa"/>
            <w:shd w:val="clear" w:color="auto" w:fill="F1F1F1"/>
          </w:tcPr>
          <w:p w14:paraId="14C9F9BB" w14:textId="77777777" w:rsidR="008E7CC8" w:rsidRDefault="008E7CC8" w:rsidP="00CD363C">
            <w:pPr>
              <w:pStyle w:val="TableParagraph"/>
              <w:ind w:left="838" w:right="-142"/>
              <w:jc w:val="both"/>
              <w:rPr>
                <w:b/>
                <w:sz w:val="20"/>
              </w:rPr>
            </w:pPr>
            <w:r>
              <w:rPr>
                <w:b/>
                <w:sz w:val="20"/>
              </w:rPr>
              <w:t>Konta nosaukums</w:t>
            </w:r>
          </w:p>
        </w:tc>
        <w:tc>
          <w:tcPr>
            <w:tcW w:w="1406" w:type="dxa"/>
            <w:shd w:val="clear" w:color="auto" w:fill="F1F1F1"/>
          </w:tcPr>
          <w:p w14:paraId="237E3142" w14:textId="77777777" w:rsidR="008E7CC8" w:rsidRDefault="008E7CC8" w:rsidP="00CD363C">
            <w:pPr>
              <w:pStyle w:val="TableParagraph"/>
              <w:ind w:left="130" w:right="-142" w:firstLine="218"/>
              <w:jc w:val="both"/>
              <w:rPr>
                <w:b/>
                <w:sz w:val="20"/>
              </w:rPr>
            </w:pPr>
            <w:r>
              <w:rPr>
                <w:b/>
                <w:sz w:val="20"/>
              </w:rPr>
              <w:t>Summa (tūkst. EUR)</w:t>
            </w:r>
          </w:p>
        </w:tc>
      </w:tr>
      <w:tr w:rsidR="008E7CC8" w14:paraId="5D700E18" w14:textId="77777777" w:rsidTr="00FB6347">
        <w:trPr>
          <w:trHeight w:val="256"/>
        </w:trPr>
        <w:tc>
          <w:tcPr>
            <w:tcW w:w="818" w:type="dxa"/>
            <w:vMerge w:val="restart"/>
          </w:tcPr>
          <w:p w14:paraId="67F53A29" w14:textId="77777777" w:rsidR="008E7CC8" w:rsidRDefault="008E7CC8" w:rsidP="00CD363C">
            <w:pPr>
              <w:pStyle w:val="TableParagraph"/>
              <w:ind w:right="-142"/>
              <w:jc w:val="both"/>
              <w:rPr>
                <w:sz w:val="18"/>
              </w:rPr>
            </w:pPr>
          </w:p>
        </w:tc>
        <w:tc>
          <w:tcPr>
            <w:tcW w:w="2962" w:type="dxa"/>
          </w:tcPr>
          <w:p w14:paraId="45C5135B" w14:textId="77777777" w:rsidR="008E7CC8" w:rsidRDefault="008E7CC8" w:rsidP="00CD363C">
            <w:pPr>
              <w:pStyle w:val="TableParagraph"/>
              <w:ind w:left="105" w:right="-142"/>
              <w:jc w:val="both"/>
              <w:rPr>
                <w:sz w:val="20"/>
              </w:rPr>
            </w:pPr>
            <w:r>
              <w:rPr>
                <w:sz w:val="20"/>
              </w:rPr>
              <w:t>K Ieņēmumi</w:t>
            </w:r>
          </w:p>
        </w:tc>
        <w:tc>
          <w:tcPr>
            <w:tcW w:w="1152" w:type="dxa"/>
          </w:tcPr>
          <w:p w14:paraId="34846971" w14:textId="77777777" w:rsidR="008E7CC8" w:rsidRDefault="008E7CC8" w:rsidP="00CD363C">
            <w:pPr>
              <w:pStyle w:val="TableParagraph"/>
              <w:ind w:left="94" w:right="-142"/>
              <w:jc w:val="both"/>
              <w:rPr>
                <w:sz w:val="20"/>
              </w:rPr>
            </w:pPr>
            <w:r>
              <w:rPr>
                <w:sz w:val="20"/>
              </w:rPr>
              <w:t>6000</w:t>
            </w:r>
          </w:p>
        </w:tc>
        <w:tc>
          <w:tcPr>
            <w:tcW w:w="3288" w:type="dxa"/>
          </w:tcPr>
          <w:p w14:paraId="56CDF6A8" w14:textId="77777777" w:rsidR="008E7CC8" w:rsidRDefault="008E7CC8" w:rsidP="00CD363C">
            <w:pPr>
              <w:pStyle w:val="TableParagraph"/>
              <w:ind w:left="106" w:right="-142"/>
              <w:jc w:val="both"/>
              <w:rPr>
                <w:sz w:val="20"/>
              </w:rPr>
            </w:pPr>
            <w:r>
              <w:rPr>
                <w:sz w:val="20"/>
              </w:rPr>
              <w:t>Pamatdarbības ieņēmumi</w:t>
            </w:r>
          </w:p>
        </w:tc>
        <w:tc>
          <w:tcPr>
            <w:tcW w:w="1406" w:type="dxa"/>
          </w:tcPr>
          <w:p w14:paraId="367C665F" w14:textId="77777777" w:rsidR="008E7CC8" w:rsidRDefault="008E7CC8" w:rsidP="00CD363C">
            <w:pPr>
              <w:pStyle w:val="TableParagraph"/>
              <w:ind w:right="-142"/>
              <w:jc w:val="both"/>
              <w:rPr>
                <w:sz w:val="20"/>
              </w:rPr>
            </w:pPr>
            <w:r>
              <w:rPr>
                <w:sz w:val="20"/>
              </w:rPr>
              <w:t>72 500,00</w:t>
            </w:r>
          </w:p>
        </w:tc>
      </w:tr>
      <w:tr w:rsidR="008E7CC8" w14:paraId="20693523" w14:textId="77777777" w:rsidTr="00FB6347">
        <w:trPr>
          <w:trHeight w:val="230"/>
        </w:trPr>
        <w:tc>
          <w:tcPr>
            <w:tcW w:w="818" w:type="dxa"/>
            <w:vMerge/>
            <w:tcBorders>
              <w:top w:val="nil"/>
            </w:tcBorders>
          </w:tcPr>
          <w:p w14:paraId="2ED9A8C7" w14:textId="77777777" w:rsidR="008E7CC8" w:rsidRDefault="008E7CC8" w:rsidP="00CD363C">
            <w:pPr>
              <w:spacing w:after="0" w:line="240" w:lineRule="auto"/>
              <w:ind w:right="-142"/>
              <w:jc w:val="both"/>
              <w:rPr>
                <w:sz w:val="2"/>
                <w:szCs w:val="2"/>
              </w:rPr>
            </w:pPr>
          </w:p>
        </w:tc>
        <w:tc>
          <w:tcPr>
            <w:tcW w:w="8808" w:type="dxa"/>
            <w:gridSpan w:val="4"/>
          </w:tcPr>
          <w:p w14:paraId="6F2CB002" w14:textId="77777777" w:rsidR="008E7CC8" w:rsidRDefault="008E7CC8" w:rsidP="00CD363C">
            <w:pPr>
              <w:pStyle w:val="TableParagraph"/>
              <w:ind w:left="105" w:right="-142"/>
              <w:jc w:val="both"/>
              <w:rPr>
                <w:b/>
                <w:sz w:val="20"/>
              </w:rPr>
            </w:pPr>
            <w:r>
              <w:rPr>
                <w:b/>
                <w:sz w:val="20"/>
              </w:rPr>
              <w:t>Nolietojuma uzskaite</w:t>
            </w:r>
          </w:p>
        </w:tc>
      </w:tr>
      <w:tr w:rsidR="008E7CC8" w14:paraId="75D22EBC" w14:textId="77777777" w:rsidTr="00FB6347">
        <w:trPr>
          <w:trHeight w:val="254"/>
        </w:trPr>
        <w:tc>
          <w:tcPr>
            <w:tcW w:w="818" w:type="dxa"/>
            <w:vMerge/>
            <w:tcBorders>
              <w:top w:val="nil"/>
            </w:tcBorders>
          </w:tcPr>
          <w:p w14:paraId="7F2855A7" w14:textId="77777777" w:rsidR="008E7CC8" w:rsidRDefault="008E7CC8" w:rsidP="00CD363C">
            <w:pPr>
              <w:spacing w:after="0" w:line="240" w:lineRule="auto"/>
              <w:ind w:right="-142"/>
              <w:jc w:val="both"/>
              <w:rPr>
                <w:sz w:val="2"/>
                <w:szCs w:val="2"/>
              </w:rPr>
            </w:pPr>
          </w:p>
        </w:tc>
        <w:tc>
          <w:tcPr>
            <w:tcW w:w="2962" w:type="dxa"/>
          </w:tcPr>
          <w:p w14:paraId="496AF4FC" w14:textId="77777777" w:rsidR="008E7CC8" w:rsidRDefault="008E7CC8" w:rsidP="00CD363C">
            <w:pPr>
              <w:pStyle w:val="TableParagraph"/>
              <w:ind w:left="105" w:right="-142"/>
              <w:jc w:val="both"/>
              <w:rPr>
                <w:sz w:val="20"/>
              </w:rPr>
            </w:pPr>
            <w:r>
              <w:rPr>
                <w:sz w:val="20"/>
              </w:rPr>
              <w:t>D Nolietojuma izdevumi</w:t>
            </w:r>
          </w:p>
        </w:tc>
        <w:tc>
          <w:tcPr>
            <w:tcW w:w="1152" w:type="dxa"/>
          </w:tcPr>
          <w:p w14:paraId="27453134" w14:textId="77777777" w:rsidR="008E7CC8" w:rsidRDefault="008E7CC8" w:rsidP="00CD363C">
            <w:pPr>
              <w:pStyle w:val="TableParagraph"/>
              <w:ind w:left="94" w:right="-142"/>
              <w:jc w:val="both"/>
              <w:rPr>
                <w:sz w:val="20"/>
              </w:rPr>
            </w:pPr>
            <w:r>
              <w:rPr>
                <w:sz w:val="20"/>
              </w:rPr>
              <w:t>7000</w:t>
            </w:r>
          </w:p>
        </w:tc>
        <w:tc>
          <w:tcPr>
            <w:tcW w:w="3288" w:type="dxa"/>
          </w:tcPr>
          <w:p w14:paraId="247D6093" w14:textId="77777777" w:rsidR="008E7CC8" w:rsidRDefault="008E7CC8" w:rsidP="00CD363C">
            <w:pPr>
              <w:pStyle w:val="TableParagraph"/>
              <w:ind w:left="106" w:right="-142"/>
              <w:jc w:val="both"/>
              <w:rPr>
                <w:sz w:val="20"/>
              </w:rPr>
            </w:pPr>
            <w:r>
              <w:rPr>
                <w:sz w:val="20"/>
              </w:rPr>
              <w:t>Pamatdarbības izdevumi</w:t>
            </w:r>
          </w:p>
        </w:tc>
        <w:tc>
          <w:tcPr>
            <w:tcW w:w="1406" w:type="dxa"/>
          </w:tcPr>
          <w:p w14:paraId="78EEA238" w14:textId="77777777" w:rsidR="008E7CC8" w:rsidRDefault="008E7CC8" w:rsidP="00CD363C">
            <w:pPr>
              <w:pStyle w:val="TableParagraph"/>
              <w:ind w:right="-142"/>
              <w:jc w:val="both"/>
              <w:rPr>
                <w:sz w:val="20"/>
              </w:rPr>
            </w:pPr>
            <w:r>
              <w:rPr>
                <w:sz w:val="20"/>
              </w:rPr>
              <w:t>65 333,33</w:t>
            </w:r>
          </w:p>
        </w:tc>
      </w:tr>
      <w:tr w:rsidR="008E7CC8" w14:paraId="236F5AB3" w14:textId="77777777" w:rsidTr="00FB6347">
        <w:trPr>
          <w:trHeight w:val="253"/>
        </w:trPr>
        <w:tc>
          <w:tcPr>
            <w:tcW w:w="818" w:type="dxa"/>
            <w:vMerge/>
            <w:tcBorders>
              <w:top w:val="nil"/>
            </w:tcBorders>
          </w:tcPr>
          <w:p w14:paraId="1B57CDD2" w14:textId="77777777" w:rsidR="008E7CC8" w:rsidRDefault="008E7CC8" w:rsidP="00CD363C">
            <w:pPr>
              <w:spacing w:after="0" w:line="240" w:lineRule="auto"/>
              <w:ind w:right="-142"/>
              <w:jc w:val="both"/>
              <w:rPr>
                <w:sz w:val="2"/>
                <w:szCs w:val="2"/>
              </w:rPr>
            </w:pPr>
          </w:p>
        </w:tc>
        <w:tc>
          <w:tcPr>
            <w:tcW w:w="2962" w:type="dxa"/>
          </w:tcPr>
          <w:p w14:paraId="127FBDF2" w14:textId="77777777" w:rsidR="008E7CC8" w:rsidRDefault="008E7CC8" w:rsidP="00CD363C">
            <w:pPr>
              <w:pStyle w:val="TableParagraph"/>
              <w:ind w:left="105" w:right="-142"/>
              <w:jc w:val="both"/>
              <w:rPr>
                <w:sz w:val="20"/>
              </w:rPr>
            </w:pPr>
            <w:r>
              <w:rPr>
                <w:sz w:val="20"/>
              </w:rPr>
              <w:t>K Uzkrātais nolietojums</w:t>
            </w:r>
          </w:p>
        </w:tc>
        <w:tc>
          <w:tcPr>
            <w:tcW w:w="1152" w:type="dxa"/>
          </w:tcPr>
          <w:p w14:paraId="49A6996C" w14:textId="77777777" w:rsidR="008E7CC8" w:rsidRDefault="008E7CC8" w:rsidP="00CD363C">
            <w:pPr>
              <w:pStyle w:val="TableParagraph"/>
              <w:ind w:left="94" w:right="-142"/>
              <w:jc w:val="both"/>
              <w:rPr>
                <w:sz w:val="20"/>
              </w:rPr>
            </w:pPr>
            <w:r>
              <w:rPr>
                <w:sz w:val="20"/>
              </w:rPr>
              <w:t>1291</w:t>
            </w:r>
          </w:p>
        </w:tc>
        <w:tc>
          <w:tcPr>
            <w:tcW w:w="3288" w:type="dxa"/>
          </w:tcPr>
          <w:p w14:paraId="17589A08" w14:textId="77777777" w:rsidR="008E7CC8" w:rsidRDefault="008E7CC8" w:rsidP="00CD363C">
            <w:pPr>
              <w:pStyle w:val="TableParagraph"/>
              <w:ind w:left="106" w:right="-142"/>
              <w:jc w:val="both"/>
              <w:rPr>
                <w:sz w:val="20"/>
              </w:rPr>
            </w:pPr>
            <w:r>
              <w:rPr>
                <w:sz w:val="20"/>
              </w:rPr>
              <w:t>Būvju uzkrātais nolietojums</w:t>
            </w:r>
          </w:p>
        </w:tc>
        <w:tc>
          <w:tcPr>
            <w:tcW w:w="1406" w:type="dxa"/>
          </w:tcPr>
          <w:p w14:paraId="3D19D78F" w14:textId="77777777" w:rsidR="008E7CC8" w:rsidRDefault="008E7CC8" w:rsidP="00CD363C">
            <w:pPr>
              <w:pStyle w:val="TableParagraph"/>
              <w:ind w:right="-142"/>
              <w:jc w:val="both"/>
              <w:rPr>
                <w:sz w:val="20"/>
              </w:rPr>
            </w:pPr>
            <w:r>
              <w:rPr>
                <w:sz w:val="20"/>
              </w:rPr>
              <w:t>65 333,33</w:t>
            </w:r>
          </w:p>
        </w:tc>
      </w:tr>
      <w:tr w:rsidR="008E7CC8" w14:paraId="0CD423A7" w14:textId="77777777" w:rsidTr="00FB6347">
        <w:trPr>
          <w:trHeight w:val="256"/>
        </w:trPr>
        <w:tc>
          <w:tcPr>
            <w:tcW w:w="818" w:type="dxa"/>
            <w:vMerge/>
            <w:tcBorders>
              <w:top w:val="nil"/>
            </w:tcBorders>
          </w:tcPr>
          <w:p w14:paraId="01F73F07" w14:textId="77777777" w:rsidR="008E7CC8" w:rsidRDefault="008E7CC8" w:rsidP="00CD363C">
            <w:pPr>
              <w:spacing w:after="0" w:line="240" w:lineRule="auto"/>
              <w:ind w:right="-142"/>
              <w:jc w:val="both"/>
              <w:rPr>
                <w:sz w:val="2"/>
                <w:szCs w:val="2"/>
              </w:rPr>
            </w:pPr>
          </w:p>
        </w:tc>
        <w:tc>
          <w:tcPr>
            <w:tcW w:w="8808" w:type="dxa"/>
            <w:gridSpan w:val="4"/>
          </w:tcPr>
          <w:p w14:paraId="0539934A" w14:textId="77777777" w:rsidR="008E7CC8" w:rsidRDefault="008E7CC8" w:rsidP="00CD363C">
            <w:pPr>
              <w:pStyle w:val="TableParagraph"/>
              <w:ind w:left="105" w:right="-142"/>
              <w:jc w:val="both"/>
              <w:rPr>
                <w:b/>
                <w:sz w:val="20"/>
              </w:rPr>
            </w:pPr>
            <w:r>
              <w:rPr>
                <w:b/>
                <w:sz w:val="20"/>
              </w:rPr>
              <w:t>Finanšu saistību īstermiņa daļas nodalīšana</w:t>
            </w:r>
          </w:p>
        </w:tc>
      </w:tr>
      <w:tr w:rsidR="008E7CC8" w14:paraId="4FB2F358" w14:textId="77777777" w:rsidTr="00FB6347">
        <w:trPr>
          <w:trHeight w:val="460"/>
        </w:trPr>
        <w:tc>
          <w:tcPr>
            <w:tcW w:w="818" w:type="dxa"/>
            <w:vMerge/>
            <w:tcBorders>
              <w:top w:val="nil"/>
            </w:tcBorders>
          </w:tcPr>
          <w:p w14:paraId="416876C1" w14:textId="77777777" w:rsidR="008E7CC8" w:rsidRDefault="008E7CC8" w:rsidP="00CD363C">
            <w:pPr>
              <w:spacing w:after="0" w:line="240" w:lineRule="auto"/>
              <w:ind w:right="-142"/>
              <w:jc w:val="both"/>
              <w:rPr>
                <w:sz w:val="2"/>
                <w:szCs w:val="2"/>
              </w:rPr>
            </w:pPr>
          </w:p>
        </w:tc>
        <w:tc>
          <w:tcPr>
            <w:tcW w:w="2962" w:type="dxa"/>
          </w:tcPr>
          <w:p w14:paraId="5FA0A46E" w14:textId="77777777" w:rsidR="008E7CC8" w:rsidRDefault="008E7CC8" w:rsidP="00CD363C">
            <w:pPr>
              <w:pStyle w:val="TableParagraph"/>
              <w:ind w:left="105" w:right="-142"/>
              <w:jc w:val="both"/>
              <w:rPr>
                <w:sz w:val="20"/>
              </w:rPr>
            </w:pPr>
            <w:r>
              <w:rPr>
                <w:sz w:val="20"/>
              </w:rPr>
              <w:t>D Finanšu saistības</w:t>
            </w:r>
          </w:p>
        </w:tc>
        <w:tc>
          <w:tcPr>
            <w:tcW w:w="1152" w:type="dxa"/>
          </w:tcPr>
          <w:p w14:paraId="30D0EC80" w14:textId="77777777" w:rsidR="008E7CC8" w:rsidRDefault="008E7CC8" w:rsidP="00CD363C">
            <w:pPr>
              <w:pStyle w:val="TableParagraph"/>
              <w:ind w:left="94" w:right="-142"/>
              <w:jc w:val="both"/>
              <w:rPr>
                <w:sz w:val="20"/>
              </w:rPr>
            </w:pPr>
            <w:r>
              <w:rPr>
                <w:sz w:val="20"/>
              </w:rPr>
              <w:t>5130</w:t>
            </w:r>
          </w:p>
        </w:tc>
        <w:tc>
          <w:tcPr>
            <w:tcW w:w="3288" w:type="dxa"/>
          </w:tcPr>
          <w:p w14:paraId="5A0DAA7D" w14:textId="77777777" w:rsidR="008E7CC8" w:rsidRDefault="008E7CC8" w:rsidP="00CD363C">
            <w:pPr>
              <w:pStyle w:val="TableParagraph"/>
              <w:ind w:left="106" w:right="-142"/>
              <w:jc w:val="both"/>
              <w:rPr>
                <w:sz w:val="20"/>
              </w:rPr>
            </w:pPr>
            <w:r>
              <w:rPr>
                <w:sz w:val="20"/>
              </w:rPr>
              <w:t>Ilgtermiņa saistības pret</w:t>
            </w:r>
          </w:p>
          <w:p w14:paraId="59525BE5" w14:textId="77777777" w:rsidR="008E7CC8" w:rsidRDefault="008E7CC8" w:rsidP="00CD363C">
            <w:pPr>
              <w:pStyle w:val="TableParagraph"/>
              <w:ind w:left="106" w:right="-142"/>
              <w:jc w:val="both"/>
              <w:rPr>
                <w:sz w:val="20"/>
              </w:rPr>
            </w:pPr>
            <w:r>
              <w:rPr>
                <w:sz w:val="20"/>
              </w:rPr>
              <w:t>piegādātajiem un darbuzņēmējiem</w:t>
            </w:r>
          </w:p>
        </w:tc>
        <w:tc>
          <w:tcPr>
            <w:tcW w:w="1406" w:type="dxa"/>
          </w:tcPr>
          <w:p w14:paraId="479C3BE7" w14:textId="77777777" w:rsidR="008E7CC8" w:rsidRDefault="008E7CC8" w:rsidP="00CD363C">
            <w:pPr>
              <w:pStyle w:val="TableParagraph"/>
              <w:ind w:right="-142"/>
              <w:jc w:val="both"/>
              <w:rPr>
                <w:sz w:val="20"/>
              </w:rPr>
            </w:pPr>
            <w:r>
              <w:rPr>
                <w:sz w:val="20"/>
              </w:rPr>
              <w:t>60 556,70</w:t>
            </w:r>
          </w:p>
        </w:tc>
      </w:tr>
      <w:tr w:rsidR="008E7CC8" w14:paraId="4E223424" w14:textId="77777777" w:rsidTr="00FB6347">
        <w:trPr>
          <w:trHeight w:val="460"/>
        </w:trPr>
        <w:tc>
          <w:tcPr>
            <w:tcW w:w="818" w:type="dxa"/>
            <w:vMerge/>
            <w:tcBorders>
              <w:top w:val="nil"/>
            </w:tcBorders>
          </w:tcPr>
          <w:p w14:paraId="1F2E5C6D" w14:textId="77777777" w:rsidR="008E7CC8" w:rsidRDefault="008E7CC8" w:rsidP="00CD363C">
            <w:pPr>
              <w:spacing w:after="0" w:line="240" w:lineRule="auto"/>
              <w:ind w:right="-142"/>
              <w:jc w:val="both"/>
              <w:rPr>
                <w:sz w:val="2"/>
                <w:szCs w:val="2"/>
              </w:rPr>
            </w:pPr>
          </w:p>
        </w:tc>
        <w:tc>
          <w:tcPr>
            <w:tcW w:w="2962" w:type="dxa"/>
          </w:tcPr>
          <w:p w14:paraId="509C72D3" w14:textId="77777777" w:rsidR="008E7CC8" w:rsidRDefault="008E7CC8" w:rsidP="00CD363C">
            <w:pPr>
              <w:pStyle w:val="TableParagraph"/>
              <w:ind w:left="105" w:right="-142"/>
              <w:jc w:val="both"/>
              <w:rPr>
                <w:sz w:val="20"/>
              </w:rPr>
            </w:pPr>
            <w:r>
              <w:rPr>
                <w:sz w:val="20"/>
              </w:rPr>
              <w:t>K Finanšu saistības</w:t>
            </w:r>
          </w:p>
        </w:tc>
        <w:tc>
          <w:tcPr>
            <w:tcW w:w="1152" w:type="dxa"/>
          </w:tcPr>
          <w:p w14:paraId="1CEDEF75" w14:textId="77777777" w:rsidR="008E7CC8" w:rsidRDefault="008E7CC8" w:rsidP="00CD363C">
            <w:pPr>
              <w:pStyle w:val="TableParagraph"/>
              <w:ind w:left="94" w:right="-142"/>
              <w:jc w:val="both"/>
              <w:rPr>
                <w:sz w:val="20"/>
              </w:rPr>
            </w:pPr>
            <w:r>
              <w:rPr>
                <w:sz w:val="20"/>
              </w:rPr>
              <w:t>5310</w:t>
            </w:r>
          </w:p>
        </w:tc>
        <w:tc>
          <w:tcPr>
            <w:tcW w:w="3288" w:type="dxa"/>
          </w:tcPr>
          <w:p w14:paraId="6F081712" w14:textId="77777777" w:rsidR="008E7CC8" w:rsidRDefault="008E7CC8" w:rsidP="00CD363C">
            <w:pPr>
              <w:pStyle w:val="TableParagraph"/>
              <w:ind w:left="156" w:right="-142"/>
              <w:jc w:val="both"/>
              <w:rPr>
                <w:sz w:val="20"/>
              </w:rPr>
            </w:pPr>
            <w:r>
              <w:rPr>
                <w:sz w:val="20"/>
              </w:rPr>
              <w:t>Īstermiņa saistības pret</w:t>
            </w:r>
          </w:p>
          <w:p w14:paraId="2469F6E4" w14:textId="77777777" w:rsidR="008E7CC8" w:rsidRDefault="008E7CC8" w:rsidP="00CD363C">
            <w:pPr>
              <w:pStyle w:val="TableParagraph"/>
              <w:ind w:left="106" w:right="-142"/>
              <w:jc w:val="both"/>
              <w:rPr>
                <w:sz w:val="20"/>
              </w:rPr>
            </w:pPr>
            <w:r>
              <w:rPr>
                <w:sz w:val="20"/>
              </w:rPr>
              <w:t>piegādātājiem un darbuzņēmējiem</w:t>
            </w:r>
          </w:p>
        </w:tc>
        <w:tc>
          <w:tcPr>
            <w:tcW w:w="1406" w:type="dxa"/>
          </w:tcPr>
          <w:p w14:paraId="10314B4B" w14:textId="77777777" w:rsidR="008E7CC8" w:rsidRDefault="008E7CC8" w:rsidP="00CD363C">
            <w:pPr>
              <w:pStyle w:val="TableParagraph"/>
              <w:ind w:right="-142"/>
              <w:jc w:val="both"/>
              <w:rPr>
                <w:sz w:val="20"/>
              </w:rPr>
            </w:pPr>
            <w:r>
              <w:rPr>
                <w:sz w:val="20"/>
              </w:rPr>
              <w:t>60 556,70</w:t>
            </w:r>
          </w:p>
        </w:tc>
      </w:tr>
      <w:tr w:rsidR="008E7CC8" w14:paraId="56322E2D" w14:textId="77777777" w:rsidTr="00FB6347">
        <w:trPr>
          <w:trHeight w:val="253"/>
        </w:trPr>
        <w:tc>
          <w:tcPr>
            <w:tcW w:w="818" w:type="dxa"/>
            <w:vMerge/>
            <w:tcBorders>
              <w:top w:val="nil"/>
            </w:tcBorders>
          </w:tcPr>
          <w:p w14:paraId="11373640" w14:textId="77777777" w:rsidR="008E7CC8" w:rsidRDefault="008E7CC8" w:rsidP="00CD363C">
            <w:pPr>
              <w:spacing w:after="0" w:line="240" w:lineRule="auto"/>
              <w:ind w:right="-142"/>
              <w:jc w:val="both"/>
              <w:rPr>
                <w:sz w:val="2"/>
                <w:szCs w:val="2"/>
              </w:rPr>
            </w:pPr>
          </w:p>
        </w:tc>
        <w:tc>
          <w:tcPr>
            <w:tcW w:w="8808" w:type="dxa"/>
            <w:gridSpan w:val="4"/>
          </w:tcPr>
          <w:p w14:paraId="0E2901AE" w14:textId="77777777" w:rsidR="008E7CC8" w:rsidRDefault="008E7CC8" w:rsidP="00CD363C">
            <w:pPr>
              <w:pStyle w:val="TableParagraph"/>
              <w:ind w:left="105" w:right="-142"/>
              <w:jc w:val="both"/>
              <w:rPr>
                <w:b/>
                <w:sz w:val="20"/>
              </w:rPr>
            </w:pPr>
            <w:r>
              <w:rPr>
                <w:b/>
                <w:sz w:val="20"/>
              </w:rPr>
              <w:t>Nākamo periodu ieņēmumu īstermiņa daļas nodalīšana</w:t>
            </w:r>
          </w:p>
        </w:tc>
      </w:tr>
      <w:tr w:rsidR="008E7CC8" w14:paraId="3FAB8AD4" w14:textId="77777777" w:rsidTr="00FB6347">
        <w:trPr>
          <w:trHeight w:val="690"/>
        </w:trPr>
        <w:tc>
          <w:tcPr>
            <w:tcW w:w="818" w:type="dxa"/>
            <w:vMerge/>
            <w:tcBorders>
              <w:top w:val="nil"/>
            </w:tcBorders>
          </w:tcPr>
          <w:p w14:paraId="5E225681" w14:textId="77777777" w:rsidR="008E7CC8" w:rsidRDefault="008E7CC8" w:rsidP="00CD363C">
            <w:pPr>
              <w:spacing w:after="0" w:line="240" w:lineRule="auto"/>
              <w:ind w:right="-142"/>
              <w:jc w:val="both"/>
              <w:rPr>
                <w:sz w:val="2"/>
                <w:szCs w:val="2"/>
              </w:rPr>
            </w:pPr>
          </w:p>
        </w:tc>
        <w:tc>
          <w:tcPr>
            <w:tcW w:w="2962" w:type="dxa"/>
          </w:tcPr>
          <w:p w14:paraId="665D6AC1" w14:textId="77777777" w:rsidR="008E7CC8" w:rsidRDefault="008E7CC8" w:rsidP="00CD363C">
            <w:pPr>
              <w:pStyle w:val="TableParagraph"/>
              <w:ind w:right="-142"/>
              <w:jc w:val="both"/>
              <w:rPr>
                <w:i/>
                <w:sz w:val="19"/>
              </w:rPr>
            </w:pPr>
          </w:p>
          <w:p w14:paraId="28D54A6D" w14:textId="77777777" w:rsidR="008E7CC8" w:rsidRDefault="008E7CC8" w:rsidP="00CD363C">
            <w:pPr>
              <w:pStyle w:val="TableParagraph"/>
              <w:ind w:left="105" w:right="-142"/>
              <w:jc w:val="both"/>
              <w:rPr>
                <w:sz w:val="20"/>
              </w:rPr>
            </w:pPr>
            <w:r>
              <w:rPr>
                <w:sz w:val="20"/>
              </w:rPr>
              <w:t>D Saistības</w:t>
            </w:r>
          </w:p>
        </w:tc>
        <w:tc>
          <w:tcPr>
            <w:tcW w:w="1152" w:type="dxa"/>
          </w:tcPr>
          <w:p w14:paraId="1995090C" w14:textId="77777777" w:rsidR="008E7CC8" w:rsidRDefault="008E7CC8" w:rsidP="00CD363C">
            <w:pPr>
              <w:pStyle w:val="TableParagraph"/>
              <w:ind w:right="-142"/>
              <w:jc w:val="both"/>
              <w:rPr>
                <w:i/>
                <w:sz w:val="19"/>
              </w:rPr>
            </w:pPr>
          </w:p>
          <w:p w14:paraId="0588D5D9" w14:textId="77777777" w:rsidR="008E7CC8" w:rsidRDefault="008E7CC8" w:rsidP="00CD363C">
            <w:pPr>
              <w:pStyle w:val="TableParagraph"/>
              <w:ind w:left="94" w:right="-142"/>
              <w:jc w:val="both"/>
              <w:rPr>
                <w:sz w:val="20"/>
              </w:rPr>
            </w:pPr>
            <w:r>
              <w:rPr>
                <w:sz w:val="20"/>
              </w:rPr>
              <w:t>5150</w:t>
            </w:r>
          </w:p>
        </w:tc>
        <w:tc>
          <w:tcPr>
            <w:tcW w:w="3288" w:type="dxa"/>
          </w:tcPr>
          <w:p w14:paraId="6D809A0E" w14:textId="77777777" w:rsidR="008E7CC8" w:rsidRDefault="008E7CC8" w:rsidP="00CD363C">
            <w:pPr>
              <w:pStyle w:val="TableParagraph"/>
              <w:ind w:left="106" w:right="-142"/>
              <w:jc w:val="both"/>
              <w:rPr>
                <w:sz w:val="20"/>
              </w:rPr>
            </w:pPr>
            <w:r>
              <w:rPr>
                <w:sz w:val="20"/>
              </w:rPr>
              <w:t>Ilgtermiņa nākamo periodu ieņēmumi un saņemtie avansa</w:t>
            </w:r>
          </w:p>
          <w:p w14:paraId="79A2FC13" w14:textId="77777777" w:rsidR="008E7CC8" w:rsidRDefault="008E7CC8" w:rsidP="00CD363C">
            <w:pPr>
              <w:pStyle w:val="TableParagraph"/>
              <w:ind w:left="106" w:right="-142"/>
              <w:jc w:val="both"/>
              <w:rPr>
                <w:sz w:val="20"/>
              </w:rPr>
            </w:pPr>
            <w:r>
              <w:rPr>
                <w:sz w:val="20"/>
              </w:rPr>
              <w:t>maksājumi</w:t>
            </w:r>
          </w:p>
        </w:tc>
        <w:tc>
          <w:tcPr>
            <w:tcW w:w="1406" w:type="dxa"/>
          </w:tcPr>
          <w:p w14:paraId="7CAD61CE" w14:textId="77777777" w:rsidR="008E7CC8" w:rsidRDefault="008E7CC8" w:rsidP="00CD363C">
            <w:pPr>
              <w:pStyle w:val="TableParagraph"/>
              <w:ind w:right="-142"/>
              <w:jc w:val="both"/>
              <w:rPr>
                <w:i/>
                <w:sz w:val="19"/>
              </w:rPr>
            </w:pPr>
          </w:p>
          <w:p w14:paraId="228E143F" w14:textId="77777777" w:rsidR="008E7CC8" w:rsidRDefault="008E7CC8" w:rsidP="00CD363C">
            <w:pPr>
              <w:pStyle w:val="TableParagraph"/>
              <w:ind w:right="-142"/>
              <w:jc w:val="both"/>
              <w:rPr>
                <w:sz w:val="20"/>
              </w:rPr>
            </w:pPr>
            <w:r>
              <w:rPr>
                <w:sz w:val="20"/>
              </w:rPr>
              <w:t>72 500,00</w:t>
            </w:r>
          </w:p>
        </w:tc>
      </w:tr>
      <w:tr w:rsidR="008E7CC8" w14:paraId="6BE4E867" w14:textId="77777777" w:rsidTr="00FB6347">
        <w:trPr>
          <w:trHeight w:val="457"/>
        </w:trPr>
        <w:tc>
          <w:tcPr>
            <w:tcW w:w="818" w:type="dxa"/>
            <w:vMerge/>
            <w:tcBorders>
              <w:top w:val="nil"/>
            </w:tcBorders>
          </w:tcPr>
          <w:p w14:paraId="32F9CDF8" w14:textId="77777777" w:rsidR="008E7CC8" w:rsidRDefault="008E7CC8" w:rsidP="00CD363C">
            <w:pPr>
              <w:spacing w:after="0" w:line="240" w:lineRule="auto"/>
              <w:ind w:right="-142"/>
              <w:jc w:val="both"/>
              <w:rPr>
                <w:sz w:val="2"/>
                <w:szCs w:val="2"/>
              </w:rPr>
            </w:pPr>
          </w:p>
        </w:tc>
        <w:tc>
          <w:tcPr>
            <w:tcW w:w="2962" w:type="dxa"/>
          </w:tcPr>
          <w:p w14:paraId="345F6C99" w14:textId="77777777" w:rsidR="008E7CC8" w:rsidRDefault="008E7CC8" w:rsidP="00CD363C">
            <w:pPr>
              <w:pStyle w:val="TableParagraph"/>
              <w:ind w:left="105" w:right="-142"/>
              <w:jc w:val="both"/>
              <w:rPr>
                <w:sz w:val="20"/>
              </w:rPr>
            </w:pPr>
            <w:r>
              <w:rPr>
                <w:sz w:val="20"/>
              </w:rPr>
              <w:t>K Saistības</w:t>
            </w:r>
          </w:p>
        </w:tc>
        <w:tc>
          <w:tcPr>
            <w:tcW w:w="1152" w:type="dxa"/>
          </w:tcPr>
          <w:p w14:paraId="4BD60AB0" w14:textId="77777777" w:rsidR="008E7CC8" w:rsidRDefault="008E7CC8" w:rsidP="00CD363C">
            <w:pPr>
              <w:pStyle w:val="TableParagraph"/>
              <w:ind w:left="94" w:right="-142"/>
              <w:jc w:val="both"/>
              <w:rPr>
                <w:sz w:val="20"/>
              </w:rPr>
            </w:pPr>
            <w:r>
              <w:rPr>
                <w:sz w:val="20"/>
              </w:rPr>
              <w:t>5910</w:t>
            </w:r>
          </w:p>
        </w:tc>
        <w:tc>
          <w:tcPr>
            <w:tcW w:w="3288" w:type="dxa"/>
          </w:tcPr>
          <w:p w14:paraId="6D64EB5C" w14:textId="77777777" w:rsidR="008E7CC8" w:rsidRDefault="008E7CC8" w:rsidP="00CD363C">
            <w:pPr>
              <w:pStyle w:val="TableParagraph"/>
              <w:ind w:left="106" w:right="-142"/>
              <w:jc w:val="both"/>
              <w:rPr>
                <w:sz w:val="20"/>
              </w:rPr>
            </w:pPr>
            <w:r>
              <w:rPr>
                <w:sz w:val="20"/>
              </w:rPr>
              <w:t>Nākamo periodu ieņēmumi un</w:t>
            </w:r>
          </w:p>
          <w:p w14:paraId="53A61810" w14:textId="77777777" w:rsidR="008E7CC8" w:rsidRDefault="008E7CC8" w:rsidP="00CD363C">
            <w:pPr>
              <w:pStyle w:val="TableParagraph"/>
              <w:ind w:left="106" w:right="-142"/>
              <w:jc w:val="both"/>
              <w:rPr>
                <w:sz w:val="20"/>
              </w:rPr>
            </w:pPr>
            <w:r>
              <w:rPr>
                <w:sz w:val="20"/>
              </w:rPr>
              <w:t>saņemtie avansi</w:t>
            </w:r>
          </w:p>
        </w:tc>
        <w:tc>
          <w:tcPr>
            <w:tcW w:w="1406" w:type="dxa"/>
          </w:tcPr>
          <w:p w14:paraId="25F61088" w14:textId="77777777" w:rsidR="008E7CC8" w:rsidRDefault="008E7CC8" w:rsidP="00CD363C">
            <w:pPr>
              <w:pStyle w:val="TableParagraph"/>
              <w:ind w:right="-142"/>
              <w:jc w:val="both"/>
              <w:rPr>
                <w:sz w:val="20"/>
              </w:rPr>
            </w:pPr>
            <w:r>
              <w:rPr>
                <w:sz w:val="20"/>
              </w:rPr>
              <w:t>72 500,00</w:t>
            </w:r>
          </w:p>
        </w:tc>
      </w:tr>
      <w:tr w:rsidR="008E7CC8" w14:paraId="250E0B6F" w14:textId="77777777" w:rsidTr="00FB6347">
        <w:trPr>
          <w:trHeight w:val="256"/>
        </w:trPr>
        <w:tc>
          <w:tcPr>
            <w:tcW w:w="818" w:type="dxa"/>
            <w:vMerge w:val="restart"/>
          </w:tcPr>
          <w:p w14:paraId="47B49DB2" w14:textId="77777777" w:rsidR="008E7CC8" w:rsidRDefault="008E7CC8" w:rsidP="00CD363C">
            <w:pPr>
              <w:pStyle w:val="TableParagraph"/>
              <w:ind w:right="-142"/>
              <w:jc w:val="both"/>
              <w:rPr>
                <w:i/>
              </w:rPr>
            </w:pPr>
          </w:p>
          <w:p w14:paraId="77128D41" w14:textId="77777777" w:rsidR="008E7CC8" w:rsidRDefault="008E7CC8" w:rsidP="00CD363C">
            <w:pPr>
              <w:pStyle w:val="TableParagraph"/>
              <w:ind w:right="-142"/>
              <w:jc w:val="both"/>
              <w:rPr>
                <w:i/>
              </w:rPr>
            </w:pPr>
          </w:p>
          <w:p w14:paraId="1DC1DD6B" w14:textId="77777777" w:rsidR="008E7CC8" w:rsidRDefault="008E7CC8" w:rsidP="00CD363C">
            <w:pPr>
              <w:pStyle w:val="TableParagraph"/>
              <w:ind w:right="-142"/>
              <w:jc w:val="both"/>
              <w:rPr>
                <w:i/>
              </w:rPr>
            </w:pPr>
          </w:p>
          <w:p w14:paraId="31580D71" w14:textId="77777777" w:rsidR="008E7CC8" w:rsidRDefault="008E7CC8" w:rsidP="00CD363C">
            <w:pPr>
              <w:pStyle w:val="TableParagraph"/>
              <w:ind w:right="-142"/>
              <w:jc w:val="both"/>
              <w:rPr>
                <w:i/>
              </w:rPr>
            </w:pPr>
          </w:p>
          <w:p w14:paraId="1A086B0A" w14:textId="77777777" w:rsidR="008E7CC8" w:rsidRDefault="008E7CC8" w:rsidP="00CD363C">
            <w:pPr>
              <w:pStyle w:val="TableParagraph"/>
              <w:ind w:right="-142"/>
              <w:jc w:val="both"/>
              <w:rPr>
                <w:i/>
              </w:rPr>
            </w:pPr>
          </w:p>
          <w:p w14:paraId="4FFF20F2" w14:textId="77777777" w:rsidR="008E7CC8" w:rsidRDefault="008E7CC8" w:rsidP="00CD363C">
            <w:pPr>
              <w:pStyle w:val="TableParagraph"/>
              <w:ind w:right="-142"/>
              <w:jc w:val="both"/>
              <w:rPr>
                <w:i/>
              </w:rPr>
            </w:pPr>
          </w:p>
          <w:p w14:paraId="099FB43E" w14:textId="77777777" w:rsidR="008E7CC8" w:rsidRDefault="008E7CC8" w:rsidP="00CD363C">
            <w:pPr>
              <w:pStyle w:val="TableParagraph"/>
              <w:ind w:right="-142"/>
              <w:jc w:val="both"/>
              <w:rPr>
                <w:i/>
              </w:rPr>
            </w:pPr>
          </w:p>
          <w:p w14:paraId="4ED25735" w14:textId="77777777" w:rsidR="008E7CC8" w:rsidRDefault="008E7CC8" w:rsidP="00CD363C">
            <w:pPr>
              <w:pStyle w:val="TableParagraph"/>
              <w:ind w:right="-142"/>
              <w:jc w:val="both"/>
              <w:rPr>
                <w:i/>
              </w:rPr>
            </w:pPr>
          </w:p>
          <w:p w14:paraId="76687E4B" w14:textId="77777777" w:rsidR="008E7CC8" w:rsidRDefault="008E7CC8" w:rsidP="00CD363C">
            <w:pPr>
              <w:pStyle w:val="TableParagraph"/>
              <w:ind w:right="-142"/>
              <w:jc w:val="both"/>
              <w:rPr>
                <w:i/>
                <w:sz w:val="23"/>
              </w:rPr>
            </w:pPr>
          </w:p>
          <w:p w14:paraId="21C1EE9F" w14:textId="77777777" w:rsidR="008E7CC8" w:rsidRDefault="008E7CC8" w:rsidP="00CD363C">
            <w:pPr>
              <w:pStyle w:val="TableParagraph"/>
              <w:ind w:right="-142"/>
              <w:jc w:val="both"/>
              <w:rPr>
                <w:b/>
                <w:sz w:val="20"/>
              </w:rPr>
            </w:pPr>
            <w:r>
              <w:rPr>
                <w:b/>
                <w:w w:val="99"/>
                <w:sz w:val="20"/>
              </w:rPr>
              <w:t>4</w:t>
            </w:r>
          </w:p>
        </w:tc>
        <w:tc>
          <w:tcPr>
            <w:tcW w:w="8808" w:type="dxa"/>
            <w:gridSpan w:val="4"/>
          </w:tcPr>
          <w:p w14:paraId="27EC087A" w14:textId="77777777" w:rsidR="008E7CC8" w:rsidRDefault="008E7CC8" w:rsidP="00CD363C">
            <w:pPr>
              <w:pStyle w:val="TableParagraph"/>
              <w:ind w:left="105" w:right="-142"/>
              <w:jc w:val="both"/>
              <w:rPr>
                <w:b/>
                <w:sz w:val="20"/>
              </w:rPr>
            </w:pPr>
            <w:r>
              <w:rPr>
                <w:b/>
                <w:sz w:val="20"/>
              </w:rPr>
              <w:t>Maksājuma veikšana</w:t>
            </w:r>
          </w:p>
        </w:tc>
      </w:tr>
      <w:tr w:rsidR="008E7CC8" w14:paraId="5E1075AA" w14:textId="77777777" w:rsidTr="00FB6347">
        <w:trPr>
          <w:trHeight w:val="460"/>
        </w:trPr>
        <w:tc>
          <w:tcPr>
            <w:tcW w:w="818" w:type="dxa"/>
            <w:vMerge/>
            <w:tcBorders>
              <w:top w:val="nil"/>
            </w:tcBorders>
          </w:tcPr>
          <w:p w14:paraId="26D9765F" w14:textId="77777777" w:rsidR="008E7CC8" w:rsidRDefault="008E7CC8" w:rsidP="00CD363C">
            <w:pPr>
              <w:spacing w:after="0" w:line="240" w:lineRule="auto"/>
              <w:ind w:right="-142"/>
              <w:jc w:val="both"/>
              <w:rPr>
                <w:sz w:val="2"/>
                <w:szCs w:val="2"/>
              </w:rPr>
            </w:pPr>
          </w:p>
        </w:tc>
        <w:tc>
          <w:tcPr>
            <w:tcW w:w="2962" w:type="dxa"/>
          </w:tcPr>
          <w:p w14:paraId="7F9ED434" w14:textId="77777777" w:rsidR="008E7CC8" w:rsidRDefault="008E7CC8" w:rsidP="00CD363C">
            <w:pPr>
              <w:pStyle w:val="TableParagraph"/>
              <w:ind w:left="105" w:right="-142"/>
              <w:jc w:val="both"/>
              <w:rPr>
                <w:sz w:val="20"/>
              </w:rPr>
            </w:pPr>
            <w:r>
              <w:rPr>
                <w:sz w:val="20"/>
              </w:rPr>
              <w:t>D Finanšu saistības</w:t>
            </w:r>
          </w:p>
        </w:tc>
        <w:tc>
          <w:tcPr>
            <w:tcW w:w="1152" w:type="dxa"/>
          </w:tcPr>
          <w:p w14:paraId="0B3FC9DA" w14:textId="77777777" w:rsidR="008E7CC8" w:rsidRDefault="008E7CC8" w:rsidP="00CD363C">
            <w:pPr>
              <w:pStyle w:val="TableParagraph"/>
              <w:ind w:left="94" w:right="-142"/>
              <w:jc w:val="both"/>
              <w:rPr>
                <w:sz w:val="20"/>
              </w:rPr>
            </w:pPr>
            <w:r>
              <w:rPr>
                <w:sz w:val="20"/>
              </w:rPr>
              <w:t>5310</w:t>
            </w:r>
          </w:p>
        </w:tc>
        <w:tc>
          <w:tcPr>
            <w:tcW w:w="3288" w:type="dxa"/>
          </w:tcPr>
          <w:p w14:paraId="292F6685" w14:textId="77777777" w:rsidR="008E7CC8" w:rsidRDefault="008E7CC8" w:rsidP="00CD363C">
            <w:pPr>
              <w:pStyle w:val="TableParagraph"/>
              <w:ind w:left="106" w:right="-142"/>
              <w:jc w:val="both"/>
              <w:rPr>
                <w:sz w:val="20"/>
              </w:rPr>
            </w:pPr>
            <w:r>
              <w:rPr>
                <w:sz w:val="20"/>
              </w:rPr>
              <w:t>Īstermiņa saistības pret piegādātājiem</w:t>
            </w:r>
          </w:p>
          <w:p w14:paraId="1A7CCA3F" w14:textId="77777777" w:rsidR="008E7CC8" w:rsidRDefault="008E7CC8" w:rsidP="00CD363C">
            <w:pPr>
              <w:pStyle w:val="TableParagraph"/>
              <w:ind w:left="106" w:right="-142"/>
              <w:jc w:val="both"/>
              <w:rPr>
                <w:sz w:val="20"/>
              </w:rPr>
            </w:pPr>
            <w:r>
              <w:rPr>
                <w:sz w:val="20"/>
              </w:rPr>
              <w:t>un darbuzņēmējiem</w:t>
            </w:r>
          </w:p>
        </w:tc>
        <w:tc>
          <w:tcPr>
            <w:tcW w:w="1406" w:type="dxa"/>
          </w:tcPr>
          <w:p w14:paraId="406782C4" w14:textId="77777777" w:rsidR="008E7CC8" w:rsidRDefault="008E7CC8" w:rsidP="00CD363C">
            <w:pPr>
              <w:pStyle w:val="TableParagraph"/>
              <w:ind w:right="-142"/>
              <w:jc w:val="both"/>
              <w:rPr>
                <w:sz w:val="20"/>
              </w:rPr>
            </w:pPr>
            <w:r>
              <w:rPr>
                <w:sz w:val="20"/>
              </w:rPr>
              <w:t>100 000,00</w:t>
            </w:r>
          </w:p>
        </w:tc>
      </w:tr>
      <w:tr w:rsidR="008E7CC8" w14:paraId="03BAE39F" w14:textId="77777777" w:rsidTr="00FB6347">
        <w:trPr>
          <w:trHeight w:val="254"/>
        </w:trPr>
        <w:tc>
          <w:tcPr>
            <w:tcW w:w="818" w:type="dxa"/>
            <w:vMerge/>
            <w:tcBorders>
              <w:top w:val="nil"/>
            </w:tcBorders>
          </w:tcPr>
          <w:p w14:paraId="387EDA24" w14:textId="77777777" w:rsidR="008E7CC8" w:rsidRDefault="008E7CC8" w:rsidP="00CD363C">
            <w:pPr>
              <w:spacing w:after="0" w:line="240" w:lineRule="auto"/>
              <w:ind w:right="-142"/>
              <w:jc w:val="both"/>
              <w:rPr>
                <w:sz w:val="2"/>
                <w:szCs w:val="2"/>
              </w:rPr>
            </w:pPr>
          </w:p>
        </w:tc>
        <w:tc>
          <w:tcPr>
            <w:tcW w:w="2962" w:type="dxa"/>
          </w:tcPr>
          <w:p w14:paraId="758379AE" w14:textId="77777777" w:rsidR="008E7CC8" w:rsidRDefault="008E7CC8" w:rsidP="00CD363C">
            <w:pPr>
              <w:pStyle w:val="TableParagraph"/>
              <w:ind w:left="105" w:right="-142"/>
              <w:jc w:val="both"/>
              <w:rPr>
                <w:sz w:val="20"/>
              </w:rPr>
            </w:pPr>
            <w:r>
              <w:rPr>
                <w:sz w:val="20"/>
              </w:rPr>
              <w:t>K Nauda</w:t>
            </w:r>
          </w:p>
        </w:tc>
        <w:tc>
          <w:tcPr>
            <w:tcW w:w="1152" w:type="dxa"/>
          </w:tcPr>
          <w:p w14:paraId="4FE009E9" w14:textId="77777777" w:rsidR="008E7CC8" w:rsidRDefault="008E7CC8" w:rsidP="00CD363C">
            <w:pPr>
              <w:pStyle w:val="TableParagraph"/>
              <w:ind w:left="94" w:right="-142"/>
              <w:jc w:val="both"/>
              <w:rPr>
                <w:sz w:val="20"/>
              </w:rPr>
            </w:pPr>
            <w:r>
              <w:rPr>
                <w:sz w:val="20"/>
              </w:rPr>
              <w:t>2600</w:t>
            </w:r>
          </w:p>
        </w:tc>
        <w:tc>
          <w:tcPr>
            <w:tcW w:w="3288" w:type="dxa"/>
          </w:tcPr>
          <w:p w14:paraId="60E919AB" w14:textId="77777777" w:rsidR="008E7CC8" w:rsidRDefault="008E7CC8" w:rsidP="00CD363C">
            <w:pPr>
              <w:pStyle w:val="TableParagraph"/>
              <w:ind w:left="106" w:right="-142"/>
              <w:jc w:val="both"/>
              <w:rPr>
                <w:sz w:val="20"/>
              </w:rPr>
            </w:pPr>
            <w:r>
              <w:rPr>
                <w:sz w:val="20"/>
              </w:rPr>
              <w:t>Naudas līdzekļi</w:t>
            </w:r>
          </w:p>
        </w:tc>
        <w:tc>
          <w:tcPr>
            <w:tcW w:w="1406" w:type="dxa"/>
          </w:tcPr>
          <w:p w14:paraId="698A8FC8" w14:textId="77777777" w:rsidR="008E7CC8" w:rsidRDefault="008E7CC8" w:rsidP="00CD363C">
            <w:pPr>
              <w:pStyle w:val="TableParagraph"/>
              <w:ind w:right="-142"/>
              <w:jc w:val="both"/>
              <w:rPr>
                <w:sz w:val="20"/>
              </w:rPr>
            </w:pPr>
            <w:r>
              <w:rPr>
                <w:sz w:val="20"/>
              </w:rPr>
              <w:t>100 000,00</w:t>
            </w:r>
          </w:p>
        </w:tc>
      </w:tr>
      <w:tr w:rsidR="008E7CC8" w14:paraId="3CA14098" w14:textId="77777777" w:rsidTr="00FB6347">
        <w:trPr>
          <w:trHeight w:val="253"/>
        </w:trPr>
        <w:tc>
          <w:tcPr>
            <w:tcW w:w="818" w:type="dxa"/>
            <w:vMerge/>
            <w:tcBorders>
              <w:top w:val="nil"/>
            </w:tcBorders>
          </w:tcPr>
          <w:p w14:paraId="33BAF6D2" w14:textId="77777777" w:rsidR="008E7CC8" w:rsidRDefault="008E7CC8" w:rsidP="00CD363C">
            <w:pPr>
              <w:spacing w:after="0" w:line="240" w:lineRule="auto"/>
              <w:ind w:right="-142"/>
              <w:jc w:val="both"/>
              <w:rPr>
                <w:sz w:val="2"/>
                <w:szCs w:val="2"/>
              </w:rPr>
            </w:pPr>
          </w:p>
        </w:tc>
        <w:tc>
          <w:tcPr>
            <w:tcW w:w="8808" w:type="dxa"/>
            <w:gridSpan w:val="4"/>
          </w:tcPr>
          <w:p w14:paraId="269BA8A3" w14:textId="77777777" w:rsidR="008E7CC8" w:rsidRDefault="008E7CC8" w:rsidP="00CD363C">
            <w:pPr>
              <w:pStyle w:val="TableParagraph"/>
              <w:ind w:left="105" w:right="-142"/>
              <w:jc w:val="both"/>
              <w:rPr>
                <w:b/>
                <w:sz w:val="20"/>
              </w:rPr>
            </w:pPr>
            <w:r>
              <w:rPr>
                <w:b/>
                <w:sz w:val="20"/>
              </w:rPr>
              <w:t>Procentu izdevumi</w:t>
            </w:r>
          </w:p>
        </w:tc>
      </w:tr>
      <w:tr w:rsidR="008E7CC8" w14:paraId="177042CE" w14:textId="77777777" w:rsidTr="00FB6347">
        <w:trPr>
          <w:trHeight w:val="256"/>
        </w:trPr>
        <w:tc>
          <w:tcPr>
            <w:tcW w:w="818" w:type="dxa"/>
            <w:vMerge/>
            <w:tcBorders>
              <w:top w:val="nil"/>
            </w:tcBorders>
          </w:tcPr>
          <w:p w14:paraId="1137D6B9" w14:textId="77777777" w:rsidR="008E7CC8" w:rsidRDefault="008E7CC8" w:rsidP="00CD363C">
            <w:pPr>
              <w:spacing w:after="0" w:line="240" w:lineRule="auto"/>
              <w:ind w:right="-142"/>
              <w:jc w:val="both"/>
              <w:rPr>
                <w:sz w:val="2"/>
                <w:szCs w:val="2"/>
              </w:rPr>
            </w:pPr>
          </w:p>
        </w:tc>
        <w:tc>
          <w:tcPr>
            <w:tcW w:w="2962" w:type="dxa"/>
          </w:tcPr>
          <w:p w14:paraId="26351FF8" w14:textId="77777777" w:rsidR="008E7CC8" w:rsidRDefault="008E7CC8" w:rsidP="00CD363C">
            <w:pPr>
              <w:pStyle w:val="TableParagraph"/>
              <w:ind w:left="105" w:right="-142"/>
              <w:jc w:val="both"/>
              <w:rPr>
                <w:sz w:val="20"/>
              </w:rPr>
            </w:pPr>
            <w:r>
              <w:rPr>
                <w:sz w:val="20"/>
              </w:rPr>
              <w:t>D Procentu izdevumi</w:t>
            </w:r>
          </w:p>
        </w:tc>
        <w:tc>
          <w:tcPr>
            <w:tcW w:w="1152" w:type="dxa"/>
          </w:tcPr>
          <w:p w14:paraId="5F183FBD" w14:textId="77777777" w:rsidR="008E7CC8" w:rsidRDefault="008E7CC8" w:rsidP="00CD363C">
            <w:pPr>
              <w:pStyle w:val="TableParagraph"/>
              <w:ind w:left="94" w:right="-142"/>
              <w:jc w:val="both"/>
              <w:rPr>
                <w:sz w:val="20"/>
              </w:rPr>
            </w:pPr>
            <w:r>
              <w:rPr>
                <w:sz w:val="20"/>
              </w:rPr>
              <w:t>8220</w:t>
            </w:r>
          </w:p>
        </w:tc>
        <w:tc>
          <w:tcPr>
            <w:tcW w:w="3288" w:type="dxa"/>
          </w:tcPr>
          <w:p w14:paraId="40521CE9" w14:textId="77777777" w:rsidR="008E7CC8" w:rsidRDefault="008E7CC8" w:rsidP="00CD363C">
            <w:pPr>
              <w:pStyle w:val="TableParagraph"/>
              <w:ind w:left="106" w:right="-142"/>
              <w:jc w:val="both"/>
              <w:rPr>
                <w:sz w:val="20"/>
              </w:rPr>
            </w:pPr>
            <w:r>
              <w:rPr>
                <w:sz w:val="20"/>
              </w:rPr>
              <w:t>Procentu izdevumi</w:t>
            </w:r>
          </w:p>
        </w:tc>
        <w:tc>
          <w:tcPr>
            <w:tcW w:w="1406" w:type="dxa"/>
          </w:tcPr>
          <w:p w14:paraId="292BFC06" w14:textId="77777777" w:rsidR="008E7CC8" w:rsidRDefault="008E7CC8" w:rsidP="00CD363C">
            <w:pPr>
              <w:pStyle w:val="TableParagraph"/>
              <w:ind w:right="-142"/>
              <w:jc w:val="both"/>
              <w:rPr>
                <w:sz w:val="20"/>
              </w:rPr>
            </w:pPr>
            <w:r>
              <w:rPr>
                <w:sz w:val="20"/>
              </w:rPr>
              <w:t>29 701,35</w:t>
            </w:r>
          </w:p>
        </w:tc>
      </w:tr>
      <w:tr w:rsidR="008E7CC8" w14:paraId="79759BA0" w14:textId="77777777" w:rsidTr="00FB6347">
        <w:trPr>
          <w:trHeight w:val="254"/>
        </w:trPr>
        <w:tc>
          <w:tcPr>
            <w:tcW w:w="818" w:type="dxa"/>
            <w:vMerge/>
            <w:tcBorders>
              <w:top w:val="nil"/>
            </w:tcBorders>
          </w:tcPr>
          <w:p w14:paraId="48BF9D65" w14:textId="77777777" w:rsidR="008E7CC8" w:rsidRDefault="008E7CC8" w:rsidP="00CD363C">
            <w:pPr>
              <w:spacing w:after="0" w:line="240" w:lineRule="auto"/>
              <w:ind w:right="-142"/>
              <w:jc w:val="both"/>
              <w:rPr>
                <w:sz w:val="2"/>
                <w:szCs w:val="2"/>
              </w:rPr>
            </w:pPr>
          </w:p>
        </w:tc>
        <w:tc>
          <w:tcPr>
            <w:tcW w:w="2962" w:type="dxa"/>
          </w:tcPr>
          <w:p w14:paraId="7A060D3F" w14:textId="77777777" w:rsidR="008E7CC8" w:rsidRDefault="008E7CC8" w:rsidP="00CD363C">
            <w:pPr>
              <w:pStyle w:val="TableParagraph"/>
              <w:ind w:left="105" w:right="-142"/>
              <w:jc w:val="both"/>
              <w:rPr>
                <w:sz w:val="20"/>
              </w:rPr>
            </w:pPr>
            <w:r>
              <w:rPr>
                <w:sz w:val="20"/>
              </w:rPr>
              <w:t>D Pakalpojuma izmaksas</w:t>
            </w:r>
          </w:p>
        </w:tc>
        <w:tc>
          <w:tcPr>
            <w:tcW w:w="1152" w:type="dxa"/>
          </w:tcPr>
          <w:p w14:paraId="553716C2" w14:textId="77777777" w:rsidR="008E7CC8" w:rsidRDefault="008E7CC8" w:rsidP="00CD363C">
            <w:pPr>
              <w:pStyle w:val="TableParagraph"/>
              <w:ind w:left="94" w:right="-142"/>
              <w:jc w:val="both"/>
              <w:rPr>
                <w:sz w:val="20"/>
              </w:rPr>
            </w:pPr>
            <w:r>
              <w:rPr>
                <w:sz w:val="20"/>
              </w:rPr>
              <w:t>7000</w:t>
            </w:r>
          </w:p>
        </w:tc>
        <w:tc>
          <w:tcPr>
            <w:tcW w:w="3288" w:type="dxa"/>
          </w:tcPr>
          <w:p w14:paraId="3D70E778" w14:textId="77777777" w:rsidR="008E7CC8" w:rsidRDefault="008E7CC8" w:rsidP="00CD363C">
            <w:pPr>
              <w:pStyle w:val="TableParagraph"/>
              <w:ind w:left="106" w:right="-142"/>
              <w:jc w:val="both"/>
              <w:rPr>
                <w:sz w:val="20"/>
              </w:rPr>
            </w:pPr>
            <w:r>
              <w:rPr>
                <w:sz w:val="20"/>
              </w:rPr>
              <w:t>Pamatdarbības izdevumi</w:t>
            </w:r>
          </w:p>
        </w:tc>
        <w:tc>
          <w:tcPr>
            <w:tcW w:w="1406" w:type="dxa"/>
          </w:tcPr>
          <w:p w14:paraId="2F6CBC03" w14:textId="77777777" w:rsidR="008E7CC8" w:rsidRDefault="008E7CC8" w:rsidP="00CD363C">
            <w:pPr>
              <w:pStyle w:val="TableParagraph"/>
              <w:ind w:right="-142"/>
              <w:jc w:val="both"/>
              <w:rPr>
                <w:sz w:val="20"/>
              </w:rPr>
            </w:pPr>
            <w:r>
              <w:rPr>
                <w:sz w:val="20"/>
              </w:rPr>
              <w:t>6 000,00</w:t>
            </w:r>
          </w:p>
        </w:tc>
      </w:tr>
      <w:tr w:rsidR="008E7CC8" w14:paraId="4EC801F9" w14:textId="77777777" w:rsidTr="00FB6347">
        <w:trPr>
          <w:trHeight w:val="460"/>
        </w:trPr>
        <w:tc>
          <w:tcPr>
            <w:tcW w:w="818" w:type="dxa"/>
            <w:vMerge/>
            <w:tcBorders>
              <w:top w:val="nil"/>
            </w:tcBorders>
          </w:tcPr>
          <w:p w14:paraId="2FE02F7A" w14:textId="77777777" w:rsidR="008E7CC8" w:rsidRDefault="008E7CC8" w:rsidP="00CD363C">
            <w:pPr>
              <w:spacing w:after="0" w:line="240" w:lineRule="auto"/>
              <w:ind w:right="-142"/>
              <w:jc w:val="both"/>
              <w:rPr>
                <w:sz w:val="2"/>
                <w:szCs w:val="2"/>
              </w:rPr>
            </w:pPr>
          </w:p>
        </w:tc>
        <w:tc>
          <w:tcPr>
            <w:tcW w:w="2962" w:type="dxa"/>
          </w:tcPr>
          <w:p w14:paraId="468A39F4" w14:textId="77777777" w:rsidR="008E7CC8" w:rsidRDefault="008E7CC8" w:rsidP="00CD363C">
            <w:pPr>
              <w:pStyle w:val="TableParagraph"/>
              <w:ind w:left="105" w:right="-142"/>
              <w:jc w:val="both"/>
              <w:rPr>
                <w:sz w:val="20"/>
              </w:rPr>
            </w:pPr>
            <w:r>
              <w:rPr>
                <w:sz w:val="20"/>
              </w:rPr>
              <w:t>K Finanšu saistības</w:t>
            </w:r>
          </w:p>
        </w:tc>
        <w:tc>
          <w:tcPr>
            <w:tcW w:w="1152" w:type="dxa"/>
          </w:tcPr>
          <w:p w14:paraId="3FDE2F4A" w14:textId="77777777" w:rsidR="008E7CC8" w:rsidRDefault="008E7CC8" w:rsidP="00CD363C">
            <w:pPr>
              <w:pStyle w:val="TableParagraph"/>
              <w:ind w:left="94" w:right="-142"/>
              <w:jc w:val="both"/>
              <w:rPr>
                <w:sz w:val="20"/>
              </w:rPr>
            </w:pPr>
            <w:r>
              <w:rPr>
                <w:sz w:val="20"/>
              </w:rPr>
              <w:t>5310</w:t>
            </w:r>
          </w:p>
        </w:tc>
        <w:tc>
          <w:tcPr>
            <w:tcW w:w="3288" w:type="dxa"/>
          </w:tcPr>
          <w:p w14:paraId="49C90811" w14:textId="77777777" w:rsidR="008E7CC8" w:rsidRDefault="008E7CC8" w:rsidP="00CD363C">
            <w:pPr>
              <w:pStyle w:val="TableParagraph"/>
              <w:ind w:left="106" w:right="-142"/>
              <w:jc w:val="both"/>
              <w:rPr>
                <w:sz w:val="20"/>
              </w:rPr>
            </w:pPr>
            <w:r>
              <w:rPr>
                <w:sz w:val="20"/>
              </w:rPr>
              <w:t>Īstermiņa saistības pret piegādātājiem</w:t>
            </w:r>
          </w:p>
          <w:p w14:paraId="40475A61" w14:textId="77777777" w:rsidR="008E7CC8" w:rsidRDefault="008E7CC8" w:rsidP="00CD363C">
            <w:pPr>
              <w:pStyle w:val="TableParagraph"/>
              <w:ind w:left="106" w:right="-142"/>
              <w:jc w:val="both"/>
              <w:rPr>
                <w:sz w:val="20"/>
              </w:rPr>
            </w:pPr>
            <w:r>
              <w:rPr>
                <w:sz w:val="20"/>
              </w:rPr>
              <w:t>un darbuzņēmējiem</w:t>
            </w:r>
          </w:p>
        </w:tc>
        <w:tc>
          <w:tcPr>
            <w:tcW w:w="1406" w:type="dxa"/>
          </w:tcPr>
          <w:p w14:paraId="0C630BCA" w14:textId="77777777" w:rsidR="008E7CC8" w:rsidRDefault="008E7CC8" w:rsidP="00CD363C">
            <w:pPr>
              <w:pStyle w:val="TableParagraph"/>
              <w:ind w:right="-142"/>
              <w:jc w:val="both"/>
              <w:rPr>
                <w:sz w:val="20"/>
              </w:rPr>
            </w:pPr>
            <w:r>
              <w:rPr>
                <w:sz w:val="20"/>
              </w:rPr>
              <w:t>35 701,35</w:t>
            </w:r>
          </w:p>
        </w:tc>
      </w:tr>
      <w:tr w:rsidR="008E7CC8" w14:paraId="714B3E45" w14:textId="77777777" w:rsidTr="00FB6347">
        <w:trPr>
          <w:trHeight w:val="256"/>
        </w:trPr>
        <w:tc>
          <w:tcPr>
            <w:tcW w:w="818" w:type="dxa"/>
            <w:vMerge/>
            <w:tcBorders>
              <w:top w:val="nil"/>
            </w:tcBorders>
          </w:tcPr>
          <w:p w14:paraId="6A009322" w14:textId="77777777" w:rsidR="008E7CC8" w:rsidRDefault="008E7CC8" w:rsidP="00CD363C">
            <w:pPr>
              <w:spacing w:after="0" w:line="240" w:lineRule="auto"/>
              <w:ind w:right="-142"/>
              <w:jc w:val="both"/>
              <w:rPr>
                <w:sz w:val="2"/>
                <w:szCs w:val="2"/>
              </w:rPr>
            </w:pPr>
          </w:p>
        </w:tc>
        <w:tc>
          <w:tcPr>
            <w:tcW w:w="8808" w:type="dxa"/>
            <w:gridSpan w:val="4"/>
          </w:tcPr>
          <w:p w14:paraId="33196BD9" w14:textId="77777777" w:rsidR="008E7CC8" w:rsidRDefault="008E7CC8" w:rsidP="00CD363C">
            <w:pPr>
              <w:pStyle w:val="TableParagraph"/>
              <w:ind w:left="105" w:right="-142"/>
              <w:jc w:val="both"/>
              <w:rPr>
                <w:b/>
                <w:sz w:val="20"/>
              </w:rPr>
            </w:pPr>
            <w:r>
              <w:rPr>
                <w:b/>
                <w:sz w:val="20"/>
              </w:rPr>
              <w:t>Ieņēmumu atzīšana</w:t>
            </w:r>
          </w:p>
        </w:tc>
      </w:tr>
      <w:tr w:rsidR="008E7CC8" w14:paraId="2F0F1515" w14:textId="77777777" w:rsidTr="00FB6347">
        <w:trPr>
          <w:trHeight w:val="457"/>
        </w:trPr>
        <w:tc>
          <w:tcPr>
            <w:tcW w:w="818" w:type="dxa"/>
            <w:vMerge/>
            <w:tcBorders>
              <w:top w:val="nil"/>
            </w:tcBorders>
          </w:tcPr>
          <w:p w14:paraId="6EA0C01E" w14:textId="77777777" w:rsidR="008E7CC8" w:rsidRDefault="008E7CC8" w:rsidP="00CD363C">
            <w:pPr>
              <w:spacing w:after="0" w:line="240" w:lineRule="auto"/>
              <w:ind w:right="-142"/>
              <w:jc w:val="both"/>
              <w:rPr>
                <w:sz w:val="2"/>
                <w:szCs w:val="2"/>
              </w:rPr>
            </w:pPr>
          </w:p>
        </w:tc>
        <w:tc>
          <w:tcPr>
            <w:tcW w:w="2962" w:type="dxa"/>
          </w:tcPr>
          <w:p w14:paraId="27F74433" w14:textId="77777777" w:rsidR="008E7CC8" w:rsidRDefault="008E7CC8" w:rsidP="00CD363C">
            <w:pPr>
              <w:pStyle w:val="TableParagraph"/>
              <w:ind w:left="105" w:right="-142"/>
              <w:jc w:val="both"/>
              <w:rPr>
                <w:sz w:val="20"/>
              </w:rPr>
            </w:pPr>
            <w:r>
              <w:rPr>
                <w:sz w:val="20"/>
              </w:rPr>
              <w:t>D Saistības</w:t>
            </w:r>
          </w:p>
        </w:tc>
        <w:tc>
          <w:tcPr>
            <w:tcW w:w="1152" w:type="dxa"/>
          </w:tcPr>
          <w:p w14:paraId="54001166" w14:textId="77777777" w:rsidR="008E7CC8" w:rsidRDefault="008E7CC8" w:rsidP="00CD363C">
            <w:pPr>
              <w:pStyle w:val="TableParagraph"/>
              <w:ind w:left="94" w:right="-142"/>
              <w:jc w:val="both"/>
              <w:rPr>
                <w:sz w:val="20"/>
              </w:rPr>
            </w:pPr>
            <w:r>
              <w:rPr>
                <w:sz w:val="20"/>
              </w:rPr>
              <w:t>5910</w:t>
            </w:r>
          </w:p>
        </w:tc>
        <w:tc>
          <w:tcPr>
            <w:tcW w:w="3288" w:type="dxa"/>
          </w:tcPr>
          <w:p w14:paraId="21A84ABA" w14:textId="77777777" w:rsidR="008E7CC8" w:rsidRDefault="008E7CC8" w:rsidP="00CD363C">
            <w:pPr>
              <w:pStyle w:val="TableParagraph"/>
              <w:ind w:left="106" w:right="-142"/>
              <w:jc w:val="both"/>
              <w:rPr>
                <w:sz w:val="20"/>
              </w:rPr>
            </w:pPr>
            <w:r>
              <w:rPr>
                <w:sz w:val="20"/>
              </w:rPr>
              <w:t>Nākamo periodu ieņēmumi un</w:t>
            </w:r>
          </w:p>
          <w:p w14:paraId="50477EC9" w14:textId="77777777" w:rsidR="008E7CC8" w:rsidRDefault="008E7CC8" w:rsidP="00CD363C">
            <w:pPr>
              <w:pStyle w:val="TableParagraph"/>
              <w:ind w:left="106" w:right="-142"/>
              <w:jc w:val="both"/>
              <w:rPr>
                <w:sz w:val="20"/>
              </w:rPr>
            </w:pPr>
            <w:r>
              <w:rPr>
                <w:sz w:val="20"/>
              </w:rPr>
              <w:t>saņemtie avansi</w:t>
            </w:r>
          </w:p>
        </w:tc>
        <w:tc>
          <w:tcPr>
            <w:tcW w:w="1406" w:type="dxa"/>
          </w:tcPr>
          <w:p w14:paraId="61D7CE38" w14:textId="77777777" w:rsidR="008E7CC8" w:rsidRDefault="008E7CC8" w:rsidP="00CD363C">
            <w:pPr>
              <w:pStyle w:val="TableParagraph"/>
              <w:ind w:right="-142"/>
              <w:jc w:val="both"/>
              <w:rPr>
                <w:sz w:val="20"/>
              </w:rPr>
            </w:pPr>
            <w:r>
              <w:rPr>
                <w:sz w:val="20"/>
              </w:rPr>
              <w:t>72 500,00</w:t>
            </w:r>
          </w:p>
        </w:tc>
      </w:tr>
      <w:tr w:rsidR="008E7CC8" w14:paraId="3D6282F8" w14:textId="77777777" w:rsidTr="00FB6347">
        <w:trPr>
          <w:trHeight w:val="256"/>
        </w:trPr>
        <w:tc>
          <w:tcPr>
            <w:tcW w:w="818" w:type="dxa"/>
            <w:vMerge/>
            <w:tcBorders>
              <w:top w:val="nil"/>
            </w:tcBorders>
          </w:tcPr>
          <w:p w14:paraId="70A89F31" w14:textId="77777777" w:rsidR="008E7CC8" w:rsidRDefault="008E7CC8" w:rsidP="00CD363C">
            <w:pPr>
              <w:spacing w:after="0" w:line="240" w:lineRule="auto"/>
              <w:ind w:right="-142"/>
              <w:jc w:val="both"/>
              <w:rPr>
                <w:sz w:val="2"/>
                <w:szCs w:val="2"/>
              </w:rPr>
            </w:pPr>
          </w:p>
        </w:tc>
        <w:tc>
          <w:tcPr>
            <w:tcW w:w="2962" w:type="dxa"/>
          </w:tcPr>
          <w:p w14:paraId="0FF00F78" w14:textId="77777777" w:rsidR="008E7CC8" w:rsidRDefault="008E7CC8" w:rsidP="00CD363C">
            <w:pPr>
              <w:pStyle w:val="TableParagraph"/>
              <w:ind w:left="105" w:right="-142"/>
              <w:jc w:val="both"/>
              <w:rPr>
                <w:sz w:val="20"/>
              </w:rPr>
            </w:pPr>
            <w:r>
              <w:rPr>
                <w:sz w:val="20"/>
              </w:rPr>
              <w:t>K Ieņēmumi</w:t>
            </w:r>
          </w:p>
        </w:tc>
        <w:tc>
          <w:tcPr>
            <w:tcW w:w="1152" w:type="dxa"/>
          </w:tcPr>
          <w:p w14:paraId="078E1B08" w14:textId="77777777" w:rsidR="008E7CC8" w:rsidRDefault="008E7CC8" w:rsidP="00CD363C">
            <w:pPr>
              <w:pStyle w:val="TableParagraph"/>
              <w:ind w:left="94" w:right="-142"/>
              <w:jc w:val="both"/>
              <w:rPr>
                <w:sz w:val="20"/>
              </w:rPr>
            </w:pPr>
            <w:r>
              <w:rPr>
                <w:sz w:val="20"/>
              </w:rPr>
              <w:t>6000</w:t>
            </w:r>
          </w:p>
        </w:tc>
        <w:tc>
          <w:tcPr>
            <w:tcW w:w="3288" w:type="dxa"/>
          </w:tcPr>
          <w:p w14:paraId="71AFAA5D" w14:textId="77777777" w:rsidR="008E7CC8" w:rsidRDefault="008E7CC8" w:rsidP="00CD363C">
            <w:pPr>
              <w:pStyle w:val="TableParagraph"/>
              <w:ind w:left="106" w:right="-142"/>
              <w:jc w:val="both"/>
              <w:rPr>
                <w:sz w:val="20"/>
              </w:rPr>
            </w:pPr>
            <w:r>
              <w:rPr>
                <w:sz w:val="20"/>
              </w:rPr>
              <w:t>Pamatdarbības ieņēmumi</w:t>
            </w:r>
          </w:p>
        </w:tc>
        <w:tc>
          <w:tcPr>
            <w:tcW w:w="1406" w:type="dxa"/>
          </w:tcPr>
          <w:p w14:paraId="7B27B548" w14:textId="77777777" w:rsidR="008E7CC8" w:rsidRDefault="008E7CC8" w:rsidP="00CD363C">
            <w:pPr>
              <w:pStyle w:val="TableParagraph"/>
              <w:ind w:right="-142"/>
              <w:jc w:val="both"/>
              <w:rPr>
                <w:sz w:val="20"/>
              </w:rPr>
            </w:pPr>
            <w:r>
              <w:rPr>
                <w:sz w:val="20"/>
              </w:rPr>
              <w:t>72 500,00</w:t>
            </w:r>
          </w:p>
        </w:tc>
      </w:tr>
      <w:tr w:rsidR="008E7CC8" w14:paraId="2FB12794" w14:textId="77777777" w:rsidTr="00FB6347">
        <w:trPr>
          <w:trHeight w:val="254"/>
        </w:trPr>
        <w:tc>
          <w:tcPr>
            <w:tcW w:w="818" w:type="dxa"/>
            <w:vMerge/>
            <w:tcBorders>
              <w:top w:val="nil"/>
            </w:tcBorders>
          </w:tcPr>
          <w:p w14:paraId="074728A8" w14:textId="77777777" w:rsidR="008E7CC8" w:rsidRDefault="008E7CC8" w:rsidP="00CD363C">
            <w:pPr>
              <w:spacing w:after="0" w:line="240" w:lineRule="auto"/>
              <w:ind w:right="-142"/>
              <w:jc w:val="both"/>
              <w:rPr>
                <w:sz w:val="2"/>
                <w:szCs w:val="2"/>
              </w:rPr>
            </w:pPr>
          </w:p>
        </w:tc>
        <w:tc>
          <w:tcPr>
            <w:tcW w:w="8808" w:type="dxa"/>
            <w:gridSpan w:val="4"/>
          </w:tcPr>
          <w:p w14:paraId="4FEF7039" w14:textId="77777777" w:rsidR="008E7CC8" w:rsidRDefault="008E7CC8" w:rsidP="00CD363C">
            <w:pPr>
              <w:pStyle w:val="TableParagraph"/>
              <w:ind w:left="105" w:right="-142"/>
              <w:jc w:val="both"/>
              <w:rPr>
                <w:b/>
                <w:sz w:val="20"/>
              </w:rPr>
            </w:pPr>
            <w:r>
              <w:rPr>
                <w:b/>
                <w:sz w:val="20"/>
              </w:rPr>
              <w:t>Nolietojuma uzskaite</w:t>
            </w:r>
          </w:p>
        </w:tc>
      </w:tr>
      <w:tr w:rsidR="008E7CC8" w14:paraId="6CAF44EE" w14:textId="77777777" w:rsidTr="00FB6347">
        <w:trPr>
          <w:trHeight w:val="256"/>
        </w:trPr>
        <w:tc>
          <w:tcPr>
            <w:tcW w:w="818" w:type="dxa"/>
            <w:vMerge/>
            <w:tcBorders>
              <w:top w:val="nil"/>
            </w:tcBorders>
          </w:tcPr>
          <w:p w14:paraId="3A482FAF" w14:textId="77777777" w:rsidR="008E7CC8" w:rsidRDefault="008E7CC8" w:rsidP="00CD363C">
            <w:pPr>
              <w:spacing w:after="0" w:line="240" w:lineRule="auto"/>
              <w:ind w:right="-142"/>
              <w:jc w:val="both"/>
              <w:rPr>
                <w:sz w:val="2"/>
                <w:szCs w:val="2"/>
              </w:rPr>
            </w:pPr>
          </w:p>
        </w:tc>
        <w:tc>
          <w:tcPr>
            <w:tcW w:w="2962" w:type="dxa"/>
          </w:tcPr>
          <w:p w14:paraId="7E5A1B05" w14:textId="77777777" w:rsidR="008E7CC8" w:rsidRDefault="008E7CC8" w:rsidP="00CD363C">
            <w:pPr>
              <w:pStyle w:val="TableParagraph"/>
              <w:ind w:left="105" w:right="-142"/>
              <w:jc w:val="both"/>
              <w:rPr>
                <w:sz w:val="20"/>
              </w:rPr>
            </w:pPr>
            <w:r>
              <w:rPr>
                <w:sz w:val="20"/>
              </w:rPr>
              <w:t>D Nolietojuma izdevumi</w:t>
            </w:r>
          </w:p>
        </w:tc>
        <w:tc>
          <w:tcPr>
            <w:tcW w:w="1152" w:type="dxa"/>
          </w:tcPr>
          <w:p w14:paraId="61CB95D6" w14:textId="77777777" w:rsidR="008E7CC8" w:rsidRDefault="008E7CC8" w:rsidP="00CD363C">
            <w:pPr>
              <w:pStyle w:val="TableParagraph"/>
              <w:ind w:left="94" w:right="-142"/>
              <w:jc w:val="both"/>
              <w:rPr>
                <w:sz w:val="20"/>
              </w:rPr>
            </w:pPr>
            <w:r>
              <w:rPr>
                <w:sz w:val="20"/>
              </w:rPr>
              <w:t>7000</w:t>
            </w:r>
          </w:p>
        </w:tc>
        <w:tc>
          <w:tcPr>
            <w:tcW w:w="3288" w:type="dxa"/>
          </w:tcPr>
          <w:p w14:paraId="5A4018DE" w14:textId="77777777" w:rsidR="008E7CC8" w:rsidRDefault="008E7CC8" w:rsidP="00CD363C">
            <w:pPr>
              <w:pStyle w:val="TableParagraph"/>
              <w:ind w:left="106" w:right="-142"/>
              <w:jc w:val="both"/>
              <w:rPr>
                <w:sz w:val="20"/>
              </w:rPr>
            </w:pPr>
            <w:r>
              <w:rPr>
                <w:sz w:val="20"/>
              </w:rPr>
              <w:t>Pamatdarbības izdevumi</w:t>
            </w:r>
          </w:p>
        </w:tc>
        <w:tc>
          <w:tcPr>
            <w:tcW w:w="1406" w:type="dxa"/>
          </w:tcPr>
          <w:p w14:paraId="6806EC97" w14:textId="77777777" w:rsidR="008E7CC8" w:rsidRDefault="008E7CC8" w:rsidP="00CD363C">
            <w:pPr>
              <w:pStyle w:val="TableParagraph"/>
              <w:ind w:right="-142"/>
              <w:jc w:val="both"/>
              <w:rPr>
                <w:sz w:val="20"/>
              </w:rPr>
            </w:pPr>
            <w:r>
              <w:rPr>
                <w:sz w:val="20"/>
              </w:rPr>
              <w:t>65 333,33</w:t>
            </w:r>
          </w:p>
        </w:tc>
      </w:tr>
      <w:tr w:rsidR="008E7CC8" w14:paraId="41409CFA" w14:textId="77777777" w:rsidTr="00FB6347">
        <w:trPr>
          <w:trHeight w:val="455"/>
        </w:trPr>
        <w:tc>
          <w:tcPr>
            <w:tcW w:w="818" w:type="dxa"/>
            <w:vMerge/>
            <w:tcBorders>
              <w:top w:val="nil"/>
            </w:tcBorders>
          </w:tcPr>
          <w:p w14:paraId="1AF443C4" w14:textId="77777777" w:rsidR="008E7CC8" w:rsidRDefault="008E7CC8" w:rsidP="00CD363C">
            <w:pPr>
              <w:spacing w:after="0" w:line="240" w:lineRule="auto"/>
              <w:ind w:right="-142"/>
              <w:jc w:val="both"/>
              <w:rPr>
                <w:sz w:val="2"/>
                <w:szCs w:val="2"/>
              </w:rPr>
            </w:pPr>
          </w:p>
        </w:tc>
        <w:tc>
          <w:tcPr>
            <w:tcW w:w="2962" w:type="dxa"/>
            <w:tcBorders>
              <w:bottom w:val="single" w:sz="6" w:space="0" w:color="C3C4C5"/>
            </w:tcBorders>
          </w:tcPr>
          <w:p w14:paraId="27D87FDC" w14:textId="77777777" w:rsidR="008E7CC8" w:rsidRDefault="008E7CC8" w:rsidP="00CD363C">
            <w:pPr>
              <w:pStyle w:val="TableParagraph"/>
              <w:ind w:left="105" w:right="-142"/>
              <w:jc w:val="both"/>
              <w:rPr>
                <w:sz w:val="20"/>
              </w:rPr>
            </w:pPr>
            <w:r>
              <w:rPr>
                <w:sz w:val="20"/>
              </w:rPr>
              <w:t>K Uzkrātais nolietojums</w:t>
            </w:r>
          </w:p>
        </w:tc>
        <w:tc>
          <w:tcPr>
            <w:tcW w:w="1152" w:type="dxa"/>
            <w:tcBorders>
              <w:bottom w:val="single" w:sz="6" w:space="0" w:color="C3C4C5"/>
            </w:tcBorders>
          </w:tcPr>
          <w:p w14:paraId="37ADE39A" w14:textId="77777777" w:rsidR="008E7CC8" w:rsidRDefault="008E7CC8" w:rsidP="00CD363C">
            <w:pPr>
              <w:pStyle w:val="TableParagraph"/>
              <w:ind w:left="94" w:right="-142"/>
              <w:jc w:val="both"/>
              <w:rPr>
                <w:sz w:val="20"/>
              </w:rPr>
            </w:pPr>
            <w:r>
              <w:rPr>
                <w:sz w:val="20"/>
              </w:rPr>
              <w:t>1291</w:t>
            </w:r>
          </w:p>
        </w:tc>
        <w:tc>
          <w:tcPr>
            <w:tcW w:w="3288" w:type="dxa"/>
            <w:tcBorders>
              <w:bottom w:val="single" w:sz="6" w:space="0" w:color="C3C4C5"/>
            </w:tcBorders>
          </w:tcPr>
          <w:p w14:paraId="25016C21" w14:textId="77777777" w:rsidR="008E7CC8" w:rsidRDefault="008E7CC8" w:rsidP="00CD363C">
            <w:pPr>
              <w:pStyle w:val="TableParagraph"/>
              <w:ind w:left="106" w:right="-142"/>
              <w:jc w:val="both"/>
              <w:rPr>
                <w:sz w:val="20"/>
              </w:rPr>
            </w:pPr>
            <w:r>
              <w:rPr>
                <w:sz w:val="20"/>
              </w:rPr>
              <w:t>Būvju uzkrātais nolietojums</w:t>
            </w:r>
          </w:p>
        </w:tc>
        <w:tc>
          <w:tcPr>
            <w:tcW w:w="1406" w:type="dxa"/>
            <w:tcBorders>
              <w:bottom w:val="single" w:sz="6" w:space="0" w:color="C3C4C5"/>
            </w:tcBorders>
          </w:tcPr>
          <w:p w14:paraId="429DF805" w14:textId="77777777" w:rsidR="008E7CC8" w:rsidRDefault="008E7CC8" w:rsidP="00CD363C">
            <w:pPr>
              <w:pStyle w:val="TableParagraph"/>
              <w:ind w:right="-142"/>
              <w:jc w:val="both"/>
              <w:rPr>
                <w:sz w:val="20"/>
              </w:rPr>
            </w:pPr>
            <w:r>
              <w:rPr>
                <w:sz w:val="20"/>
              </w:rPr>
              <w:t>65 333,33</w:t>
            </w:r>
          </w:p>
        </w:tc>
      </w:tr>
      <w:tr w:rsidR="008E7CC8" w14:paraId="666D7BEA" w14:textId="77777777" w:rsidTr="00FB6347">
        <w:trPr>
          <w:trHeight w:val="254"/>
        </w:trPr>
        <w:tc>
          <w:tcPr>
            <w:tcW w:w="818" w:type="dxa"/>
            <w:vMerge/>
            <w:tcBorders>
              <w:top w:val="nil"/>
            </w:tcBorders>
          </w:tcPr>
          <w:p w14:paraId="66D2EF65" w14:textId="77777777" w:rsidR="008E7CC8" w:rsidRDefault="008E7CC8" w:rsidP="00CD363C">
            <w:pPr>
              <w:spacing w:after="0" w:line="240" w:lineRule="auto"/>
              <w:ind w:right="-142"/>
              <w:jc w:val="both"/>
              <w:rPr>
                <w:sz w:val="2"/>
                <w:szCs w:val="2"/>
              </w:rPr>
            </w:pPr>
          </w:p>
        </w:tc>
        <w:tc>
          <w:tcPr>
            <w:tcW w:w="8808" w:type="dxa"/>
            <w:gridSpan w:val="4"/>
            <w:tcBorders>
              <w:top w:val="single" w:sz="6" w:space="0" w:color="C3C4C5"/>
            </w:tcBorders>
          </w:tcPr>
          <w:p w14:paraId="4536E7F5" w14:textId="77777777" w:rsidR="008E7CC8" w:rsidRDefault="008E7CC8" w:rsidP="00CD363C">
            <w:pPr>
              <w:pStyle w:val="TableParagraph"/>
              <w:ind w:left="105" w:right="-142"/>
              <w:jc w:val="both"/>
              <w:rPr>
                <w:b/>
                <w:sz w:val="20"/>
              </w:rPr>
            </w:pPr>
            <w:r>
              <w:rPr>
                <w:b/>
                <w:sz w:val="20"/>
              </w:rPr>
              <w:t>Finanšu saistību īstermiņa daļas nodalīšana</w:t>
            </w:r>
          </w:p>
        </w:tc>
      </w:tr>
      <w:tr w:rsidR="008E7CC8" w14:paraId="59358AEB" w14:textId="77777777" w:rsidTr="00FB6347">
        <w:trPr>
          <w:trHeight w:val="460"/>
        </w:trPr>
        <w:tc>
          <w:tcPr>
            <w:tcW w:w="818" w:type="dxa"/>
            <w:vMerge/>
            <w:tcBorders>
              <w:top w:val="nil"/>
            </w:tcBorders>
          </w:tcPr>
          <w:p w14:paraId="1137BF04" w14:textId="77777777" w:rsidR="008E7CC8" w:rsidRDefault="008E7CC8" w:rsidP="00CD363C">
            <w:pPr>
              <w:spacing w:after="0" w:line="240" w:lineRule="auto"/>
              <w:ind w:right="-142"/>
              <w:jc w:val="both"/>
              <w:rPr>
                <w:sz w:val="2"/>
                <w:szCs w:val="2"/>
              </w:rPr>
            </w:pPr>
          </w:p>
        </w:tc>
        <w:tc>
          <w:tcPr>
            <w:tcW w:w="2962" w:type="dxa"/>
          </w:tcPr>
          <w:p w14:paraId="22A7AB5C" w14:textId="77777777" w:rsidR="008E7CC8" w:rsidRDefault="008E7CC8" w:rsidP="00CD363C">
            <w:pPr>
              <w:pStyle w:val="TableParagraph"/>
              <w:ind w:left="105" w:right="-142"/>
              <w:jc w:val="both"/>
              <w:rPr>
                <w:sz w:val="20"/>
              </w:rPr>
            </w:pPr>
            <w:r>
              <w:rPr>
                <w:sz w:val="20"/>
              </w:rPr>
              <w:t>D Finanšu saistības</w:t>
            </w:r>
          </w:p>
        </w:tc>
        <w:tc>
          <w:tcPr>
            <w:tcW w:w="1152" w:type="dxa"/>
          </w:tcPr>
          <w:p w14:paraId="1565B706" w14:textId="77777777" w:rsidR="008E7CC8" w:rsidRDefault="008E7CC8" w:rsidP="00CD363C">
            <w:pPr>
              <w:pStyle w:val="TableParagraph"/>
              <w:ind w:left="94" w:right="-142"/>
              <w:jc w:val="both"/>
              <w:rPr>
                <w:sz w:val="20"/>
              </w:rPr>
            </w:pPr>
            <w:r>
              <w:rPr>
                <w:sz w:val="20"/>
              </w:rPr>
              <w:t>5130</w:t>
            </w:r>
          </w:p>
        </w:tc>
        <w:tc>
          <w:tcPr>
            <w:tcW w:w="3288" w:type="dxa"/>
          </w:tcPr>
          <w:p w14:paraId="7A2B2968" w14:textId="77777777" w:rsidR="008E7CC8" w:rsidRDefault="008E7CC8" w:rsidP="00CD363C">
            <w:pPr>
              <w:pStyle w:val="TableParagraph"/>
              <w:ind w:left="106" w:right="-142"/>
              <w:jc w:val="both"/>
              <w:rPr>
                <w:sz w:val="20"/>
              </w:rPr>
            </w:pPr>
            <w:r>
              <w:rPr>
                <w:sz w:val="20"/>
              </w:rPr>
              <w:t>Ilgtermiņa saistības pret</w:t>
            </w:r>
          </w:p>
          <w:p w14:paraId="64E07EE1" w14:textId="77777777" w:rsidR="008E7CC8" w:rsidRDefault="008E7CC8" w:rsidP="00CD363C">
            <w:pPr>
              <w:pStyle w:val="TableParagraph"/>
              <w:ind w:left="106" w:right="-142"/>
              <w:jc w:val="both"/>
              <w:rPr>
                <w:sz w:val="20"/>
              </w:rPr>
            </w:pPr>
            <w:r>
              <w:rPr>
                <w:sz w:val="20"/>
              </w:rPr>
              <w:t>piegādātajiem un darbuzņēmējiem</w:t>
            </w:r>
          </w:p>
        </w:tc>
        <w:tc>
          <w:tcPr>
            <w:tcW w:w="1406" w:type="dxa"/>
          </w:tcPr>
          <w:p w14:paraId="13706092" w14:textId="77777777" w:rsidR="008E7CC8" w:rsidRDefault="008E7CC8" w:rsidP="00CD363C">
            <w:pPr>
              <w:pStyle w:val="TableParagraph"/>
              <w:ind w:right="-142"/>
              <w:jc w:val="both"/>
              <w:rPr>
                <w:sz w:val="20"/>
              </w:rPr>
            </w:pPr>
            <w:r>
              <w:rPr>
                <w:sz w:val="20"/>
              </w:rPr>
              <w:t>68 271,81</w:t>
            </w:r>
          </w:p>
        </w:tc>
      </w:tr>
      <w:tr w:rsidR="008E7CC8" w14:paraId="3B96703E" w14:textId="77777777" w:rsidTr="00FB6347">
        <w:trPr>
          <w:trHeight w:val="458"/>
        </w:trPr>
        <w:tc>
          <w:tcPr>
            <w:tcW w:w="818" w:type="dxa"/>
            <w:vMerge/>
            <w:tcBorders>
              <w:top w:val="nil"/>
            </w:tcBorders>
          </w:tcPr>
          <w:p w14:paraId="761F36F4" w14:textId="77777777" w:rsidR="008E7CC8" w:rsidRDefault="008E7CC8" w:rsidP="00CD363C">
            <w:pPr>
              <w:spacing w:after="0" w:line="240" w:lineRule="auto"/>
              <w:ind w:right="-142"/>
              <w:jc w:val="both"/>
              <w:rPr>
                <w:sz w:val="2"/>
                <w:szCs w:val="2"/>
              </w:rPr>
            </w:pPr>
          </w:p>
        </w:tc>
        <w:tc>
          <w:tcPr>
            <w:tcW w:w="2962" w:type="dxa"/>
          </w:tcPr>
          <w:p w14:paraId="268C29D3" w14:textId="77777777" w:rsidR="008E7CC8" w:rsidRDefault="008E7CC8" w:rsidP="00CD363C">
            <w:pPr>
              <w:pStyle w:val="TableParagraph"/>
              <w:ind w:left="105" w:right="-142"/>
              <w:jc w:val="both"/>
              <w:rPr>
                <w:sz w:val="20"/>
              </w:rPr>
            </w:pPr>
            <w:r>
              <w:rPr>
                <w:sz w:val="20"/>
              </w:rPr>
              <w:t>K Finanšu saistības</w:t>
            </w:r>
          </w:p>
        </w:tc>
        <w:tc>
          <w:tcPr>
            <w:tcW w:w="1152" w:type="dxa"/>
          </w:tcPr>
          <w:p w14:paraId="6A2D4ECE" w14:textId="77777777" w:rsidR="008E7CC8" w:rsidRDefault="008E7CC8" w:rsidP="00CD363C">
            <w:pPr>
              <w:pStyle w:val="TableParagraph"/>
              <w:ind w:left="94" w:right="-142"/>
              <w:jc w:val="both"/>
              <w:rPr>
                <w:sz w:val="20"/>
              </w:rPr>
            </w:pPr>
            <w:r>
              <w:rPr>
                <w:sz w:val="20"/>
              </w:rPr>
              <w:t>5310</w:t>
            </w:r>
          </w:p>
        </w:tc>
        <w:tc>
          <w:tcPr>
            <w:tcW w:w="3288" w:type="dxa"/>
          </w:tcPr>
          <w:p w14:paraId="673515CB" w14:textId="77777777" w:rsidR="008E7CC8" w:rsidRDefault="008E7CC8" w:rsidP="00CD363C">
            <w:pPr>
              <w:pStyle w:val="TableParagraph"/>
              <w:ind w:left="156" w:right="-142"/>
              <w:jc w:val="both"/>
              <w:rPr>
                <w:sz w:val="20"/>
              </w:rPr>
            </w:pPr>
            <w:r>
              <w:rPr>
                <w:sz w:val="20"/>
              </w:rPr>
              <w:t>Īstermiņa saistības pret</w:t>
            </w:r>
          </w:p>
          <w:p w14:paraId="7A91E83B" w14:textId="77777777" w:rsidR="008E7CC8" w:rsidRDefault="008E7CC8" w:rsidP="00CD363C">
            <w:pPr>
              <w:pStyle w:val="TableParagraph"/>
              <w:ind w:left="106" w:right="-142"/>
              <w:jc w:val="both"/>
              <w:rPr>
                <w:sz w:val="20"/>
              </w:rPr>
            </w:pPr>
            <w:r>
              <w:rPr>
                <w:sz w:val="20"/>
              </w:rPr>
              <w:t>piegādātājiem un darbuzņēmējiem</w:t>
            </w:r>
          </w:p>
        </w:tc>
        <w:tc>
          <w:tcPr>
            <w:tcW w:w="1406" w:type="dxa"/>
          </w:tcPr>
          <w:p w14:paraId="4A871752" w14:textId="77777777" w:rsidR="008E7CC8" w:rsidRDefault="008E7CC8" w:rsidP="00CD363C">
            <w:pPr>
              <w:pStyle w:val="TableParagraph"/>
              <w:ind w:right="-142"/>
              <w:jc w:val="both"/>
              <w:rPr>
                <w:sz w:val="20"/>
              </w:rPr>
            </w:pPr>
            <w:r>
              <w:rPr>
                <w:sz w:val="20"/>
              </w:rPr>
              <w:t>68 271,81</w:t>
            </w:r>
          </w:p>
        </w:tc>
      </w:tr>
      <w:tr w:rsidR="008E7CC8" w14:paraId="048255D1" w14:textId="77777777" w:rsidTr="00FB6347">
        <w:trPr>
          <w:trHeight w:val="256"/>
        </w:trPr>
        <w:tc>
          <w:tcPr>
            <w:tcW w:w="818" w:type="dxa"/>
            <w:vMerge/>
            <w:tcBorders>
              <w:top w:val="nil"/>
            </w:tcBorders>
          </w:tcPr>
          <w:p w14:paraId="155CD0FE" w14:textId="77777777" w:rsidR="008E7CC8" w:rsidRDefault="008E7CC8" w:rsidP="00CD363C">
            <w:pPr>
              <w:spacing w:after="0" w:line="240" w:lineRule="auto"/>
              <w:ind w:right="-142"/>
              <w:jc w:val="both"/>
              <w:rPr>
                <w:sz w:val="2"/>
                <w:szCs w:val="2"/>
              </w:rPr>
            </w:pPr>
          </w:p>
        </w:tc>
        <w:tc>
          <w:tcPr>
            <w:tcW w:w="8808" w:type="dxa"/>
            <w:gridSpan w:val="4"/>
          </w:tcPr>
          <w:p w14:paraId="24CA6B47" w14:textId="77777777" w:rsidR="008E7CC8" w:rsidRDefault="008E7CC8" w:rsidP="00CD363C">
            <w:pPr>
              <w:pStyle w:val="TableParagraph"/>
              <w:ind w:left="105" w:right="-142"/>
              <w:jc w:val="both"/>
              <w:rPr>
                <w:b/>
                <w:sz w:val="20"/>
              </w:rPr>
            </w:pPr>
            <w:r>
              <w:rPr>
                <w:b/>
                <w:sz w:val="20"/>
              </w:rPr>
              <w:t>Nākamo periodu ieņēmumu īstermiņa daļas nodalīšana</w:t>
            </w:r>
          </w:p>
        </w:tc>
      </w:tr>
      <w:tr w:rsidR="008E7CC8" w14:paraId="362616E0" w14:textId="77777777" w:rsidTr="00FB6347">
        <w:trPr>
          <w:trHeight w:val="690"/>
        </w:trPr>
        <w:tc>
          <w:tcPr>
            <w:tcW w:w="818" w:type="dxa"/>
            <w:vMerge/>
            <w:tcBorders>
              <w:top w:val="nil"/>
            </w:tcBorders>
          </w:tcPr>
          <w:p w14:paraId="1722F04B" w14:textId="77777777" w:rsidR="008E7CC8" w:rsidRDefault="008E7CC8" w:rsidP="00CD363C">
            <w:pPr>
              <w:spacing w:after="0" w:line="240" w:lineRule="auto"/>
              <w:ind w:right="-142"/>
              <w:jc w:val="both"/>
              <w:rPr>
                <w:sz w:val="2"/>
                <w:szCs w:val="2"/>
              </w:rPr>
            </w:pPr>
          </w:p>
        </w:tc>
        <w:tc>
          <w:tcPr>
            <w:tcW w:w="2962" w:type="dxa"/>
          </w:tcPr>
          <w:p w14:paraId="32693E05" w14:textId="77777777" w:rsidR="008E7CC8" w:rsidRDefault="008E7CC8" w:rsidP="00CD363C">
            <w:pPr>
              <w:pStyle w:val="TableParagraph"/>
              <w:ind w:right="-142"/>
              <w:jc w:val="both"/>
              <w:rPr>
                <w:i/>
                <w:sz w:val="19"/>
              </w:rPr>
            </w:pPr>
          </w:p>
          <w:p w14:paraId="0A7D1851" w14:textId="77777777" w:rsidR="008E7CC8" w:rsidRDefault="008E7CC8" w:rsidP="00CD363C">
            <w:pPr>
              <w:pStyle w:val="TableParagraph"/>
              <w:ind w:left="105" w:right="-142"/>
              <w:jc w:val="both"/>
              <w:rPr>
                <w:sz w:val="20"/>
              </w:rPr>
            </w:pPr>
            <w:r>
              <w:rPr>
                <w:sz w:val="20"/>
              </w:rPr>
              <w:t>D Saistības</w:t>
            </w:r>
          </w:p>
        </w:tc>
        <w:tc>
          <w:tcPr>
            <w:tcW w:w="1152" w:type="dxa"/>
          </w:tcPr>
          <w:p w14:paraId="7C1A8E60" w14:textId="77777777" w:rsidR="008E7CC8" w:rsidRDefault="008E7CC8" w:rsidP="00CD363C">
            <w:pPr>
              <w:pStyle w:val="TableParagraph"/>
              <w:ind w:right="-142"/>
              <w:jc w:val="both"/>
              <w:rPr>
                <w:i/>
                <w:sz w:val="19"/>
              </w:rPr>
            </w:pPr>
          </w:p>
          <w:p w14:paraId="21D4E67F" w14:textId="77777777" w:rsidR="008E7CC8" w:rsidRDefault="008E7CC8" w:rsidP="00CD363C">
            <w:pPr>
              <w:pStyle w:val="TableParagraph"/>
              <w:ind w:left="94" w:right="-142"/>
              <w:jc w:val="both"/>
              <w:rPr>
                <w:sz w:val="20"/>
              </w:rPr>
            </w:pPr>
            <w:r>
              <w:rPr>
                <w:sz w:val="20"/>
              </w:rPr>
              <w:t>5150</w:t>
            </w:r>
          </w:p>
        </w:tc>
        <w:tc>
          <w:tcPr>
            <w:tcW w:w="3288" w:type="dxa"/>
          </w:tcPr>
          <w:p w14:paraId="7F9B6615" w14:textId="77777777" w:rsidR="008E7CC8" w:rsidRDefault="008E7CC8" w:rsidP="00CD363C">
            <w:pPr>
              <w:pStyle w:val="TableParagraph"/>
              <w:ind w:left="106" w:right="-142"/>
              <w:jc w:val="both"/>
              <w:rPr>
                <w:sz w:val="20"/>
              </w:rPr>
            </w:pPr>
            <w:r>
              <w:rPr>
                <w:sz w:val="20"/>
              </w:rPr>
              <w:t>Ilgtermiņa nākamo periodu ieņēmumi un saņemtie avansa</w:t>
            </w:r>
          </w:p>
          <w:p w14:paraId="07A82C91" w14:textId="77777777" w:rsidR="008E7CC8" w:rsidRDefault="008E7CC8" w:rsidP="00CD363C">
            <w:pPr>
              <w:pStyle w:val="TableParagraph"/>
              <w:ind w:left="106" w:right="-142"/>
              <w:jc w:val="both"/>
              <w:rPr>
                <w:sz w:val="20"/>
              </w:rPr>
            </w:pPr>
            <w:r>
              <w:rPr>
                <w:sz w:val="20"/>
              </w:rPr>
              <w:t>maksājumi</w:t>
            </w:r>
          </w:p>
        </w:tc>
        <w:tc>
          <w:tcPr>
            <w:tcW w:w="1406" w:type="dxa"/>
          </w:tcPr>
          <w:p w14:paraId="59C270BE" w14:textId="77777777" w:rsidR="008E7CC8" w:rsidRDefault="008E7CC8" w:rsidP="00CD363C">
            <w:pPr>
              <w:pStyle w:val="TableParagraph"/>
              <w:ind w:right="-142"/>
              <w:jc w:val="both"/>
              <w:rPr>
                <w:i/>
                <w:sz w:val="19"/>
              </w:rPr>
            </w:pPr>
          </w:p>
          <w:p w14:paraId="136C2076" w14:textId="77777777" w:rsidR="008E7CC8" w:rsidRDefault="008E7CC8" w:rsidP="00CD363C">
            <w:pPr>
              <w:pStyle w:val="TableParagraph"/>
              <w:ind w:right="-142"/>
              <w:jc w:val="both"/>
              <w:rPr>
                <w:sz w:val="20"/>
              </w:rPr>
            </w:pPr>
            <w:r>
              <w:rPr>
                <w:sz w:val="20"/>
              </w:rPr>
              <w:t>72 500,00</w:t>
            </w:r>
          </w:p>
        </w:tc>
      </w:tr>
      <w:tr w:rsidR="008E7CC8" w14:paraId="273252CC" w14:textId="77777777" w:rsidTr="00FB6347">
        <w:trPr>
          <w:trHeight w:val="457"/>
        </w:trPr>
        <w:tc>
          <w:tcPr>
            <w:tcW w:w="818" w:type="dxa"/>
            <w:vMerge/>
            <w:tcBorders>
              <w:top w:val="nil"/>
            </w:tcBorders>
          </w:tcPr>
          <w:p w14:paraId="6E485834" w14:textId="77777777" w:rsidR="008E7CC8" w:rsidRDefault="008E7CC8" w:rsidP="00CD363C">
            <w:pPr>
              <w:spacing w:after="0" w:line="240" w:lineRule="auto"/>
              <w:ind w:right="-142"/>
              <w:jc w:val="both"/>
              <w:rPr>
                <w:sz w:val="2"/>
                <w:szCs w:val="2"/>
              </w:rPr>
            </w:pPr>
          </w:p>
        </w:tc>
        <w:tc>
          <w:tcPr>
            <w:tcW w:w="2962" w:type="dxa"/>
          </w:tcPr>
          <w:p w14:paraId="686CB202" w14:textId="77777777" w:rsidR="008E7CC8" w:rsidRDefault="008E7CC8" w:rsidP="00CD363C">
            <w:pPr>
              <w:pStyle w:val="TableParagraph"/>
              <w:ind w:left="105" w:right="-142"/>
              <w:jc w:val="both"/>
              <w:rPr>
                <w:sz w:val="20"/>
              </w:rPr>
            </w:pPr>
            <w:r>
              <w:rPr>
                <w:sz w:val="20"/>
              </w:rPr>
              <w:t>K Saistības</w:t>
            </w:r>
          </w:p>
        </w:tc>
        <w:tc>
          <w:tcPr>
            <w:tcW w:w="1152" w:type="dxa"/>
          </w:tcPr>
          <w:p w14:paraId="2CF5DEF4" w14:textId="77777777" w:rsidR="008E7CC8" w:rsidRDefault="008E7CC8" w:rsidP="00CD363C">
            <w:pPr>
              <w:pStyle w:val="TableParagraph"/>
              <w:ind w:left="94" w:right="-142"/>
              <w:jc w:val="both"/>
              <w:rPr>
                <w:sz w:val="20"/>
              </w:rPr>
            </w:pPr>
            <w:r>
              <w:rPr>
                <w:sz w:val="20"/>
              </w:rPr>
              <w:t>5910</w:t>
            </w:r>
          </w:p>
        </w:tc>
        <w:tc>
          <w:tcPr>
            <w:tcW w:w="3288" w:type="dxa"/>
          </w:tcPr>
          <w:p w14:paraId="6F770384" w14:textId="77777777" w:rsidR="008E7CC8" w:rsidRDefault="008E7CC8" w:rsidP="00CD363C">
            <w:pPr>
              <w:pStyle w:val="TableParagraph"/>
              <w:ind w:left="106" w:right="-142"/>
              <w:jc w:val="both"/>
              <w:rPr>
                <w:sz w:val="20"/>
              </w:rPr>
            </w:pPr>
            <w:r>
              <w:rPr>
                <w:sz w:val="20"/>
              </w:rPr>
              <w:t>Nākamo periodu ieņēmumi un</w:t>
            </w:r>
          </w:p>
          <w:p w14:paraId="43CEC6BB" w14:textId="77777777" w:rsidR="008E7CC8" w:rsidRDefault="008E7CC8" w:rsidP="00CD363C">
            <w:pPr>
              <w:pStyle w:val="TableParagraph"/>
              <w:ind w:left="106" w:right="-142"/>
              <w:jc w:val="both"/>
              <w:rPr>
                <w:sz w:val="20"/>
              </w:rPr>
            </w:pPr>
            <w:r>
              <w:rPr>
                <w:sz w:val="20"/>
              </w:rPr>
              <w:t>saņemtie avansi</w:t>
            </w:r>
          </w:p>
        </w:tc>
        <w:tc>
          <w:tcPr>
            <w:tcW w:w="1406" w:type="dxa"/>
          </w:tcPr>
          <w:p w14:paraId="6EAABD70" w14:textId="77777777" w:rsidR="008E7CC8" w:rsidRDefault="008E7CC8" w:rsidP="00CD363C">
            <w:pPr>
              <w:pStyle w:val="TableParagraph"/>
              <w:ind w:right="-142"/>
              <w:jc w:val="both"/>
              <w:rPr>
                <w:sz w:val="20"/>
              </w:rPr>
            </w:pPr>
            <w:r>
              <w:rPr>
                <w:sz w:val="20"/>
              </w:rPr>
              <w:t>72 500,00</w:t>
            </w:r>
          </w:p>
        </w:tc>
      </w:tr>
      <w:tr w:rsidR="008E7CC8" w14:paraId="21E45EE9" w14:textId="77777777" w:rsidTr="00FB6347">
        <w:trPr>
          <w:trHeight w:val="256"/>
        </w:trPr>
        <w:tc>
          <w:tcPr>
            <w:tcW w:w="818" w:type="dxa"/>
            <w:vMerge w:val="restart"/>
          </w:tcPr>
          <w:p w14:paraId="509F1F2B" w14:textId="77777777" w:rsidR="008E7CC8" w:rsidRDefault="008E7CC8" w:rsidP="00CD363C">
            <w:pPr>
              <w:pStyle w:val="TableParagraph"/>
              <w:ind w:right="-142"/>
              <w:jc w:val="both"/>
              <w:rPr>
                <w:i/>
              </w:rPr>
            </w:pPr>
          </w:p>
          <w:p w14:paraId="037BA445" w14:textId="77777777" w:rsidR="008E7CC8" w:rsidRDefault="008E7CC8" w:rsidP="00CD363C">
            <w:pPr>
              <w:pStyle w:val="TableParagraph"/>
              <w:ind w:right="-142"/>
              <w:jc w:val="both"/>
              <w:rPr>
                <w:i/>
                <w:sz w:val="30"/>
              </w:rPr>
            </w:pPr>
          </w:p>
          <w:p w14:paraId="395990E8" w14:textId="77777777" w:rsidR="008E7CC8" w:rsidRDefault="008E7CC8" w:rsidP="00CD363C">
            <w:pPr>
              <w:pStyle w:val="TableParagraph"/>
              <w:ind w:right="-142"/>
              <w:jc w:val="both"/>
              <w:rPr>
                <w:b/>
                <w:sz w:val="20"/>
              </w:rPr>
            </w:pPr>
            <w:r>
              <w:rPr>
                <w:b/>
                <w:w w:val="99"/>
                <w:sz w:val="20"/>
              </w:rPr>
              <w:t>5</w:t>
            </w:r>
          </w:p>
        </w:tc>
        <w:tc>
          <w:tcPr>
            <w:tcW w:w="8808" w:type="dxa"/>
            <w:gridSpan w:val="4"/>
          </w:tcPr>
          <w:p w14:paraId="3C18E3B5" w14:textId="77777777" w:rsidR="008E7CC8" w:rsidRDefault="008E7CC8" w:rsidP="00CD363C">
            <w:pPr>
              <w:pStyle w:val="TableParagraph"/>
              <w:ind w:left="105" w:right="-142"/>
              <w:jc w:val="both"/>
              <w:rPr>
                <w:b/>
                <w:sz w:val="20"/>
              </w:rPr>
            </w:pPr>
            <w:r>
              <w:rPr>
                <w:b/>
                <w:sz w:val="20"/>
              </w:rPr>
              <w:t>Maksājuma veikšana</w:t>
            </w:r>
          </w:p>
        </w:tc>
      </w:tr>
      <w:tr w:rsidR="008E7CC8" w14:paraId="11F8E806" w14:textId="77777777" w:rsidTr="00FB6347">
        <w:trPr>
          <w:trHeight w:val="460"/>
        </w:trPr>
        <w:tc>
          <w:tcPr>
            <w:tcW w:w="818" w:type="dxa"/>
            <w:vMerge/>
            <w:tcBorders>
              <w:top w:val="nil"/>
            </w:tcBorders>
          </w:tcPr>
          <w:p w14:paraId="5119E769" w14:textId="77777777" w:rsidR="008E7CC8" w:rsidRDefault="008E7CC8" w:rsidP="00CD363C">
            <w:pPr>
              <w:spacing w:after="0" w:line="240" w:lineRule="auto"/>
              <w:ind w:right="-142"/>
              <w:jc w:val="both"/>
              <w:rPr>
                <w:sz w:val="2"/>
                <w:szCs w:val="2"/>
              </w:rPr>
            </w:pPr>
          </w:p>
        </w:tc>
        <w:tc>
          <w:tcPr>
            <w:tcW w:w="2962" w:type="dxa"/>
          </w:tcPr>
          <w:p w14:paraId="69CF8E05" w14:textId="77777777" w:rsidR="008E7CC8" w:rsidRDefault="008E7CC8" w:rsidP="00CD363C">
            <w:pPr>
              <w:pStyle w:val="TableParagraph"/>
              <w:ind w:left="105" w:right="-142"/>
              <w:jc w:val="both"/>
              <w:rPr>
                <w:sz w:val="20"/>
              </w:rPr>
            </w:pPr>
            <w:r>
              <w:rPr>
                <w:sz w:val="20"/>
              </w:rPr>
              <w:t>D Finanšu saistības</w:t>
            </w:r>
          </w:p>
        </w:tc>
        <w:tc>
          <w:tcPr>
            <w:tcW w:w="1152" w:type="dxa"/>
          </w:tcPr>
          <w:p w14:paraId="5A883EB7" w14:textId="77777777" w:rsidR="008E7CC8" w:rsidRDefault="008E7CC8" w:rsidP="00CD363C">
            <w:pPr>
              <w:pStyle w:val="TableParagraph"/>
              <w:ind w:left="94" w:right="-142"/>
              <w:jc w:val="both"/>
              <w:rPr>
                <w:sz w:val="20"/>
              </w:rPr>
            </w:pPr>
            <w:r>
              <w:rPr>
                <w:sz w:val="20"/>
              </w:rPr>
              <w:t>5310</w:t>
            </w:r>
          </w:p>
        </w:tc>
        <w:tc>
          <w:tcPr>
            <w:tcW w:w="3288" w:type="dxa"/>
          </w:tcPr>
          <w:p w14:paraId="37DAD7B6" w14:textId="77777777" w:rsidR="008E7CC8" w:rsidRDefault="008E7CC8" w:rsidP="00CD363C">
            <w:pPr>
              <w:pStyle w:val="TableParagraph"/>
              <w:ind w:left="106" w:right="-142"/>
              <w:jc w:val="both"/>
              <w:rPr>
                <w:sz w:val="20"/>
              </w:rPr>
            </w:pPr>
            <w:r>
              <w:rPr>
                <w:sz w:val="20"/>
              </w:rPr>
              <w:t>Īstermiņa saistības pret piegādātājiem</w:t>
            </w:r>
          </w:p>
          <w:p w14:paraId="619223CD" w14:textId="77777777" w:rsidR="008E7CC8" w:rsidRDefault="008E7CC8" w:rsidP="00CD363C">
            <w:pPr>
              <w:pStyle w:val="TableParagraph"/>
              <w:ind w:left="106" w:right="-142"/>
              <w:jc w:val="both"/>
              <w:rPr>
                <w:sz w:val="20"/>
              </w:rPr>
            </w:pPr>
            <w:r>
              <w:rPr>
                <w:sz w:val="20"/>
              </w:rPr>
              <w:t>un darbuzņēmējiem</w:t>
            </w:r>
          </w:p>
        </w:tc>
        <w:tc>
          <w:tcPr>
            <w:tcW w:w="1406" w:type="dxa"/>
          </w:tcPr>
          <w:p w14:paraId="3E7462A3" w14:textId="77777777" w:rsidR="008E7CC8" w:rsidRDefault="008E7CC8" w:rsidP="00CD363C">
            <w:pPr>
              <w:pStyle w:val="TableParagraph"/>
              <w:ind w:right="-142"/>
              <w:jc w:val="both"/>
              <w:rPr>
                <w:sz w:val="20"/>
              </w:rPr>
            </w:pPr>
            <w:r>
              <w:rPr>
                <w:sz w:val="20"/>
              </w:rPr>
              <w:t>100 000,00</w:t>
            </w:r>
          </w:p>
        </w:tc>
      </w:tr>
      <w:tr w:rsidR="008E7CC8" w14:paraId="5D157ABD" w14:textId="77777777" w:rsidTr="00FB6347">
        <w:trPr>
          <w:trHeight w:val="253"/>
        </w:trPr>
        <w:tc>
          <w:tcPr>
            <w:tcW w:w="818" w:type="dxa"/>
            <w:vMerge/>
            <w:tcBorders>
              <w:top w:val="nil"/>
            </w:tcBorders>
          </w:tcPr>
          <w:p w14:paraId="14E9FBBC" w14:textId="77777777" w:rsidR="008E7CC8" w:rsidRDefault="008E7CC8" w:rsidP="00CD363C">
            <w:pPr>
              <w:spacing w:after="0" w:line="240" w:lineRule="auto"/>
              <w:ind w:right="-142"/>
              <w:jc w:val="both"/>
              <w:rPr>
                <w:sz w:val="2"/>
                <w:szCs w:val="2"/>
              </w:rPr>
            </w:pPr>
          </w:p>
        </w:tc>
        <w:tc>
          <w:tcPr>
            <w:tcW w:w="2962" w:type="dxa"/>
          </w:tcPr>
          <w:p w14:paraId="6F6B0EB2" w14:textId="77777777" w:rsidR="008E7CC8" w:rsidRDefault="008E7CC8" w:rsidP="00CD363C">
            <w:pPr>
              <w:pStyle w:val="TableParagraph"/>
              <w:ind w:left="105" w:right="-142"/>
              <w:jc w:val="both"/>
              <w:rPr>
                <w:sz w:val="20"/>
              </w:rPr>
            </w:pPr>
            <w:r>
              <w:rPr>
                <w:sz w:val="20"/>
              </w:rPr>
              <w:t>K Nauda</w:t>
            </w:r>
          </w:p>
        </w:tc>
        <w:tc>
          <w:tcPr>
            <w:tcW w:w="1152" w:type="dxa"/>
          </w:tcPr>
          <w:p w14:paraId="791FB3BA" w14:textId="77777777" w:rsidR="008E7CC8" w:rsidRDefault="008E7CC8" w:rsidP="00CD363C">
            <w:pPr>
              <w:pStyle w:val="TableParagraph"/>
              <w:ind w:left="94" w:right="-142"/>
              <w:jc w:val="both"/>
              <w:rPr>
                <w:sz w:val="20"/>
              </w:rPr>
            </w:pPr>
            <w:r>
              <w:rPr>
                <w:sz w:val="20"/>
              </w:rPr>
              <w:t>2600</w:t>
            </w:r>
          </w:p>
        </w:tc>
        <w:tc>
          <w:tcPr>
            <w:tcW w:w="3288" w:type="dxa"/>
          </w:tcPr>
          <w:p w14:paraId="503EEA85" w14:textId="77777777" w:rsidR="008E7CC8" w:rsidRDefault="008E7CC8" w:rsidP="00CD363C">
            <w:pPr>
              <w:pStyle w:val="TableParagraph"/>
              <w:ind w:left="106" w:right="-142"/>
              <w:jc w:val="both"/>
              <w:rPr>
                <w:sz w:val="20"/>
              </w:rPr>
            </w:pPr>
            <w:r>
              <w:rPr>
                <w:sz w:val="20"/>
              </w:rPr>
              <w:t>Naudas līdzekļi</w:t>
            </w:r>
          </w:p>
        </w:tc>
        <w:tc>
          <w:tcPr>
            <w:tcW w:w="1406" w:type="dxa"/>
          </w:tcPr>
          <w:p w14:paraId="18B7C536" w14:textId="77777777" w:rsidR="008E7CC8" w:rsidRDefault="008E7CC8" w:rsidP="00CD363C">
            <w:pPr>
              <w:pStyle w:val="TableParagraph"/>
              <w:ind w:right="-142"/>
              <w:jc w:val="both"/>
              <w:rPr>
                <w:sz w:val="20"/>
              </w:rPr>
            </w:pPr>
            <w:r>
              <w:rPr>
                <w:sz w:val="20"/>
              </w:rPr>
              <w:t>100 000,00</w:t>
            </w:r>
          </w:p>
        </w:tc>
      </w:tr>
      <w:tr w:rsidR="008E7CC8" w14:paraId="243EEB01" w14:textId="77777777" w:rsidTr="00FB6347">
        <w:trPr>
          <w:trHeight w:val="254"/>
        </w:trPr>
        <w:tc>
          <w:tcPr>
            <w:tcW w:w="818" w:type="dxa"/>
            <w:vMerge/>
            <w:tcBorders>
              <w:top w:val="nil"/>
            </w:tcBorders>
          </w:tcPr>
          <w:p w14:paraId="1C128180" w14:textId="77777777" w:rsidR="008E7CC8" w:rsidRDefault="008E7CC8" w:rsidP="00CD363C">
            <w:pPr>
              <w:spacing w:after="0" w:line="240" w:lineRule="auto"/>
              <w:ind w:right="-142"/>
              <w:jc w:val="both"/>
              <w:rPr>
                <w:sz w:val="2"/>
                <w:szCs w:val="2"/>
              </w:rPr>
            </w:pPr>
          </w:p>
        </w:tc>
        <w:tc>
          <w:tcPr>
            <w:tcW w:w="8808" w:type="dxa"/>
            <w:gridSpan w:val="4"/>
          </w:tcPr>
          <w:p w14:paraId="0CFEC101" w14:textId="77777777" w:rsidR="008E7CC8" w:rsidRDefault="008E7CC8" w:rsidP="00CD363C">
            <w:pPr>
              <w:pStyle w:val="TableParagraph"/>
              <w:ind w:left="105" w:right="-142"/>
              <w:jc w:val="both"/>
              <w:rPr>
                <w:b/>
                <w:sz w:val="20"/>
              </w:rPr>
            </w:pPr>
            <w:r>
              <w:rPr>
                <w:b/>
                <w:sz w:val="20"/>
              </w:rPr>
              <w:t>Procentu izdevumi</w:t>
            </w:r>
          </w:p>
        </w:tc>
      </w:tr>
      <w:tr w:rsidR="008E7CC8" w14:paraId="796C3AD6" w14:textId="77777777" w:rsidTr="00FB6347">
        <w:trPr>
          <w:trHeight w:val="256"/>
        </w:trPr>
        <w:tc>
          <w:tcPr>
            <w:tcW w:w="818" w:type="dxa"/>
            <w:vMerge/>
            <w:tcBorders>
              <w:top w:val="nil"/>
            </w:tcBorders>
          </w:tcPr>
          <w:p w14:paraId="1CCA3C37" w14:textId="77777777" w:rsidR="008E7CC8" w:rsidRDefault="008E7CC8" w:rsidP="00CD363C">
            <w:pPr>
              <w:spacing w:after="0" w:line="240" w:lineRule="auto"/>
              <w:ind w:right="-142"/>
              <w:jc w:val="both"/>
              <w:rPr>
                <w:sz w:val="2"/>
                <w:szCs w:val="2"/>
              </w:rPr>
            </w:pPr>
          </w:p>
        </w:tc>
        <w:tc>
          <w:tcPr>
            <w:tcW w:w="2962" w:type="dxa"/>
          </w:tcPr>
          <w:p w14:paraId="1574BBF6" w14:textId="77777777" w:rsidR="008E7CC8" w:rsidRDefault="008E7CC8" w:rsidP="00CD363C">
            <w:pPr>
              <w:pStyle w:val="TableParagraph"/>
              <w:ind w:left="105" w:right="-142"/>
              <w:jc w:val="both"/>
              <w:rPr>
                <w:sz w:val="20"/>
              </w:rPr>
            </w:pPr>
            <w:r>
              <w:rPr>
                <w:sz w:val="20"/>
              </w:rPr>
              <w:t>D Procentu izdevumi</w:t>
            </w:r>
          </w:p>
        </w:tc>
        <w:tc>
          <w:tcPr>
            <w:tcW w:w="1152" w:type="dxa"/>
          </w:tcPr>
          <w:p w14:paraId="3A5B85C3" w14:textId="77777777" w:rsidR="008E7CC8" w:rsidRDefault="008E7CC8" w:rsidP="00CD363C">
            <w:pPr>
              <w:pStyle w:val="TableParagraph"/>
              <w:ind w:left="94" w:right="-142"/>
              <w:jc w:val="both"/>
              <w:rPr>
                <w:sz w:val="20"/>
              </w:rPr>
            </w:pPr>
            <w:r>
              <w:rPr>
                <w:sz w:val="20"/>
              </w:rPr>
              <w:t>8220</w:t>
            </w:r>
          </w:p>
        </w:tc>
        <w:tc>
          <w:tcPr>
            <w:tcW w:w="3288" w:type="dxa"/>
          </w:tcPr>
          <w:p w14:paraId="642768EC" w14:textId="77777777" w:rsidR="008E7CC8" w:rsidRDefault="008E7CC8" w:rsidP="00CD363C">
            <w:pPr>
              <w:pStyle w:val="TableParagraph"/>
              <w:ind w:left="106" w:right="-142"/>
              <w:jc w:val="both"/>
              <w:rPr>
                <w:sz w:val="20"/>
              </w:rPr>
            </w:pPr>
            <w:r>
              <w:rPr>
                <w:sz w:val="20"/>
              </w:rPr>
              <w:t>Procentu izdevumi</w:t>
            </w:r>
          </w:p>
        </w:tc>
        <w:tc>
          <w:tcPr>
            <w:tcW w:w="1406" w:type="dxa"/>
          </w:tcPr>
          <w:p w14:paraId="56F112D4" w14:textId="77777777" w:rsidR="008E7CC8" w:rsidRDefault="008E7CC8" w:rsidP="00CD363C">
            <w:pPr>
              <w:pStyle w:val="TableParagraph"/>
              <w:ind w:right="-142"/>
              <w:jc w:val="both"/>
              <w:rPr>
                <w:sz w:val="20"/>
              </w:rPr>
            </w:pPr>
            <w:r>
              <w:rPr>
                <w:sz w:val="20"/>
              </w:rPr>
              <w:t>25 728,19</w:t>
            </w:r>
          </w:p>
        </w:tc>
      </w:tr>
      <w:tr w:rsidR="008E7CC8" w14:paraId="1711C971" w14:textId="77777777" w:rsidTr="00FB6347">
        <w:trPr>
          <w:trHeight w:val="253"/>
        </w:trPr>
        <w:tc>
          <w:tcPr>
            <w:tcW w:w="818" w:type="dxa"/>
            <w:vMerge/>
            <w:tcBorders>
              <w:top w:val="nil"/>
            </w:tcBorders>
          </w:tcPr>
          <w:p w14:paraId="481A0C31" w14:textId="77777777" w:rsidR="008E7CC8" w:rsidRDefault="008E7CC8" w:rsidP="00CD363C">
            <w:pPr>
              <w:spacing w:after="0" w:line="240" w:lineRule="auto"/>
              <w:ind w:right="-142"/>
              <w:jc w:val="both"/>
              <w:rPr>
                <w:sz w:val="2"/>
                <w:szCs w:val="2"/>
              </w:rPr>
            </w:pPr>
          </w:p>
        </w:tc>
        <w:tc>
          <w:tcPr>
            <w:tcW w:w="2962" w:type="dxa"/>
          </w:tcPr>
          <w:p w14:paraId="2A5295BC" w14:textId="77777777" w:rsidR="008E7CC8" w:rsidRDefault="008E7CC8" w:rsidP="00CD363C">
            <w:pPr>
              <w:pStyle w:val="TableParagraph"/>
              <w:ind w:left="105" w:right="-142"/>
              <w:jc w:val="both"/>
              <w:rPr>
                <w:sz w:val="20"/>
              </w:rPr>
            </w:pPr>
            <w:r>
              <w:rPr>
                <w:sz w:val="20"/>
              </w:rPr>
              <w:t>D Pakalpojuma izmaksas</w:t>
            </w:r>
          </w:p>
        </w:tc>
        <w:tc>
          <w:tcPr>
            <w:tcW w:w="1152" w:type="dxa"/>
          </w:tcPr>
          <w:p w14:paraId="3D471049" w14:textId="77777777" w:rsidR="008E7CC8" w:rsidRDefault="008E7CC8" w:rsidP="00CD363C">
            <w:pPr>
              <w:pStyle w:val="TableParagraph"/>
              <w:ind w:left="94" w:right="-142"/>
              <w:jc w:val="both"/>
              <w:rPr>
                <w:sz w:val="20"/>
              </w:rPr>
            </w:pPr>
            <w:r>
              <w:rPr>
                <w:sz w:val="20"/>
              </w:rPr>
              <w:t>7000</w:t>
            </w:r>
          </w:p>
        </w:tc>
        <w:tc>
          <w:tcPr>
            <w:tcW w:w="3288" w:type="dxa"/>
          </w:tcPr>
          <w:p w14:paraId="6A4882D4" w14:textId="77777777" w:rsidR="008E7CC8" w:rsidRDefault="008E7CC8" w:rsidP="00CD363C">
            <w:pPr>
              <w:pStyle w:val="TableParagraph"/>
              <w:ind w:left="106" w:right="-142"/>
              <w:jc w:val="both"/>
              <w:rPr>
                <w:sz w:val="20"/>
              </w:rPr>
            </w:pPr>
            <w:r>
              <w:rPr>
                <w:sz w:val="20"/>
              </w:rPr>
              <w:t>Pamatdarbības izdevumi</w:t>
            </w:r>
          </w:p>
        </w:tc>
        <w:tc>
          <w:tcPr>
            <w:tcW w:w="1406" w:type="dxa"/>
          </w:tcPr>
          <w:p w14:paraId="7ACFF5B3" w14:textId="77777777" w:rsidR="008E7CC8" w:rsidRDefault="008E7CC8" w:rsidP="00CD363C">
            <w:pPr>
              <w:pStyle w:val="TableParagraph"/>
              <w:ind w:right="-142"/>
              <w:jc w:val="both"/>
              <w:rPr>
                <w:sz w:val="20"/>
              </w:rPr>
            </w:pPr>
            <w:r>
              <w:rPr>
                <w:sz w:val="20"/>
              </w:rPr>
              <w:t>6 000,00</w:t>
            </w:r>
          </w:p>
        </w:tc>
      </w:tr>
      <w:tr w:rsidR="008E7CC8" w14:paraId="11A8467A" w14:textId="77777777" w:rsidTr="00FB6347">
        <w:trPr>
          <w:trHeight w:val="460"/>
        </w:trPr>
        <w:tc>
          <w:tcPr>
            <w:tcW w:w="818" w:type="dxa"/>
            <w:vMerge/>
            <w:tcBorders>
              <w:top w:val="nil"/>
            </w:tcBorders>
          </w:tcPr>
          <w:p w14:paraId="2069BFCE" w14:textId="77777777" w:rsidR="008E7CC8" w:rsidRDefault="008E7CC8" w:rsidP="00CD363C">
            <w:pPr>
              <w:spacing w:after="0" w:line="240" w:lineRule="auto"/>
              <w:ind w:right="-142"/>
              <w:jc w:val="both"/>
              <w:rPr>
                <w:sz w:val="2"/>
                <w:szCs w:val="2"/>
              </w:rPr>
            </w:pPr>
          </w:p>
        </w:tc>
        <w:tc>
          <w:tcPr>
            <w:tcW w:w="2962" w:type="dxa"/>
          </w:tcPr>
          <w:p w14:paraId="13F00DD1" w14:textId="77777777" w:rsidR="008E7CC8" w:rsidRDefault="008E7CC8" w:rsidP="00CD363C">
            <w:pPr>
              <w:pStyle w:val="TableParagraph"/>
              <w:ind w:left="105" w:right="-142"/>
              <w:jc w:val="both"/>
              <w:rPr>
                <w:sz w:val="20"/>
              </w:rPr>
            </w:pPr>
            <w:r>
              <w:rPr>
                <w:sz w:val="20"/>
              </w:rPr>
              <w:t>K Finanšu saistības</w:t>
            </w:r>
          </w:p>
        </w:tc>
        <w:tc>
          <w:tcPr>
            <w:tcW w:w="1152" w:type="dxa"/>
          </w:tcPr>
          <w:p w14:paraId="7B4EC571" w14:textId="77777777" w:rsidR="008E7CC8" w:rsidRDefault="008E7CC8" w:rsidP="00CD363C">
            <w:pPr>
              <w:pStyle w:val="TableParagraph"/>
              <w:ind w:left="94" w:right="-142"/>
              <w:jc w:val="both"/>
              <w:rPr>
                <w:sz w:val="20"/>
              </w:rPr>
            </w:pPr>
            <w:r>
              <w:rPr>
                <w:sz w:val="20"/>
              </w:rPr>
              <w:t>5310</w:t>
            </w:r>
          </w:p>
        </w:tc>
        <w:tc>
          <w:tcPr>
            <w:tcW w:w="3288" w:type="dxa"/>
          </w:tcPr>
          <w:p w14:paraId="17F97AF0" w14:textId="77777777" w:rsidR="008E7CC8" w:rsidRDefault="008E7CC8" w:rsidP="00CD363C">
            <w:pPr>
              <w:pStyle w:val="TableParagraph"/>
              <w:ind w:left="106" w:right="-142"/>
              <w:jc w:val="both"/>
              <w:rPr>
                <w:sz w:val="20"/>
              </w:rPr>
            </w:pPr>
            <w:r>
              <w:rPr>
                <w:sz w:val="20"/>
              </w:rPr>
              <w:t>Īstermiņa saistības pret piegādātājiem</w:t>
            </w:r>
          </w:p>
          <w:p w14:paraId="58EDF877" w14:textId="77777777" w:rsidR="008E7CC8" w:rsidRDefault="008E7CC8" w:rsidP="00CD363C">
            <w:pPr>
              <w:pStyle w:val="TableParagraph"/>
              <w:ind w:left="106" w:right="-142"/>
              <w:jc w:val="both"/>
              <w:rPr>
                <w:sz w:val="20"/>
              </w:rPr>
            </w:pPr>
            <w:r>
              <w:rPr>
                <w:sz w:val="20"/>
              </w:rPr>
              <w:t>un darbuzņēmējiem</w:t>
            </w:r>
          </w:p>
        </w:tc>
        <w:tc>
          <w:tcPr>
            <w:tcW w:w="1406" w:type="dxa"/>
          </w:tcPr>
          <w:p w14:paraId="3C61DEAC" w14:textId="77777777" w:rsidR="008E7CC8" w:rsidRDefault="008E7CC8" w:rsidP="00CD363C">
            <w:pPr>
              <w:pStyle w:val="TableParagraph"/>
              <w:ind w:right="-142"/>
              <w:jc w:val="both"/>
              <w:rPr>
                <w:sz w:val="20"/>
              </w:rPr>
            </w:pPr>
            <w:r>
              <w:rPr>
                <w:sz w:val="20"/>
              </w:rPr>
              <w:t>31 728,19</w:t>
            </w:r>
          </w:p>
        </w:tc>
      </w:tr>
      <w:tr w:rsidR="008E7CC8" w14:paraId="066913B5" w14:textId="77777777" w:rsidTr="00FB6347">
        <w:trPr>
          <w:trHeight w:val="254"/>
        </w:trPr>
        <w:tc>
          <w:tcPr>
            <w:tcW w:w="818" w:type="dxa"/>
            <w:vMerge/>
            <w:tcBorders>
              <w:top w:val="nil"/>
            </w:tcBorders>
          </w:tcPr>
          <w:p w14:paraId="7FA46F90" w14:textId="77777777" w:rsidR="008E7CC8" w:rsidRDefault="008E7CC8" w:rsidP="00CD363C">
            <w:pPr>
              <w:spacing w:after="0" w:line="240" w:lineRule="auto"/>
              <w:ind w:right="-142"/>
              <w:jc w:val="both"/>
              <w:rPr>
                <w:sz w:val="2"/>
                <w:szCs w:val="2"/>
              </w:rPr>
            </w:pPr>
          </w:p>
        </w:tc>
        <w:tc>
          <w:tcPr>
            <w:tcW w:w="8808" w:type="dxa"/>
            <w:gridSpan w:val="4"/>
          </w:tcPr>
          <w:p w14:paraId="6258DED2" w14:textId="77777777" w:rsidR="008E7CC8" w:rsidRDefault="008E7CC8" w:rsidP="00CD363C">
            <w:pPr>
              <w:pStyle w:val="TableParagraph"/>
              <w:ind w:left="105" w:right="-142"/>
              <w:jc w:val="both"/>
              <w:rPr>
                <w:b/>
                <w:sz w:val="20"/>
              </w:rPr>
            </w:pPr>
            <w:r>
              <w:rPr>
                <w:b/>
                <w:sz w:val="20"/>
              </w:rPr>
              <w:t>Ieņēmumu atzīšana</w:t>
            </w:r>
          </w:p>
        </w:tc>
      </w:tr>
      <w:tr w:rsidR="008E7CC8" w14:paraId="05274AE5" w14:textId="77777777" w:rsidTr="00FB6347">
        <w:trPr>
          <w:trHeight w:val="460"/>
        </w:trPr>
        <w:tc>
          <w:tcPr>
            <w:tcW w:w="818" w:type="dxa"/>
            <w:vMerge/>
            <w:tcBorders>
              <w:top w:val="nil"/>
            </w:tcBorders>
          </w:tcPr>
          <w:p w14:paraId="0825AC12" w14:textId="77777777" w:rsidR="008E7CC8" w:rsidRDefault="008E7CC8" w:rsidP="00CD363C">
            <w:pPr>
              <w:spacing w:after="0" w:line="240" w:lineRule="auto"/>
              <w:ind w:right="-142"/>
              <w:jc w:val="both"/>
              <w:rPr>
                <w:sz w:val="2"/>
                <w:szCs w:val="2"/>
              </w:rPr>
            </w:pPr>
          </w:p>
        </w:tc>
        <w:tc>
          <w:tcPr>
            <w:tcW w:w="2962" w:type="dxa"/>
          </w:tcPr>
          <w:p w14:paraId="2846F38D" w14:textId="77777777" w:rsidR="008E7CC8" w:rsidRDefault="008E7CC8" w:rsidP="00CD363C">
            <w:pPr>
              <w:pStyle w:val="TableParagraph"/>
              <w:ind w:left="105" w:right="-142"/>
              <w:jc w:val="both"/>
              <w:rPr>
                <w:sz w:val="20"/>
              </w:rPr>
            </w:pPr>
            <w:r>
              <w:rPr>
                <w:sz w:val="20"/>
              </w:rPr>
              <w:t>D Saistības</w:t>
            </w:r>
          </w:p>
        </w:tc>
        <w:tc>
          <w:tcPr>
            <w:tcW w:w="1152" w:type="dxa"/>
          </w:tcPr>
          <w:p w14:paraId="44FA26DD" w14:textId="77777777" w:rsidR="008E7CC8" w:rsidRDefault="008E7CC8" w:rsidP="00CD363C">
            <w:pPr>
              <w:pStyle w:val="TableParagraph"/>
              <w:ind w:left="94" w:right="-142"/>
              <w:jc w:val="both"/>
              <w:rPr>
                <w:sz w:val="20"/>
              </w:rPr>
            </w:pPr>
            <w:r>
              <w:rPr>
                <w:sz w:val="20"/>
              </w:rPr>
              <w:t>5910</w:t>
            </w:r>
          </w:p>
        </w:tc>
        <w:tc>
          <w:tcPr>
            <w:tcW w:w="3288" w:type="dxa"/>
          </w:tcPr>
          <w:p w14:paraId="4BB1C06E" w14:textId="77777777" w:rsidR="008E7CC8" w:rsidRDefault="008E7CC8" w:rsidP="00CD363C">
            <w:pPr>
              <w:pStyle w:val="TableParagraph"/>
              <w:ind w:left="106" w:right="-142"/>
              <w:jc w:val="both"/>
              <w:rPr>
                <w:sz w:val="20"/>
              </w:rPr>
            </w:pPr>
            <w:r>
              <w:rPr>
                <w:sz w:val="20"/>
              </w:rPr>
              <w:t>Nākamo periodu ieņēmumi un</w:t>
            </w:r>
          </w:p>
          <w:p w14:paraId="7D30151F" w14:textId="77777777" w:rsidR="008E7CC8" w:rsidRDefault="008E7CC8" w:rsidP="00CD363C">
            <w:pPr>
              <w:pStyle w:val="TableParagraph"/>
              <w:ind w:left="106" w:right="-142"/>
              <w:jc w:val="both"/>
              <w:rPr>
                <w:sz w:val="20"/>
              </w:rPr>
            </w:pPr>
            <w:r>
              <w:rPr>
                <w:sz w:val="20"/>
              </w:rPr>
              <w:t>saņemtie avansi</w:t>
            </w:r>
          </w:p>
        </w:tc>
        <w:tc>
          <w:tcPr>
            <w:tcW w:w="1406" w:type="dxa"/>
          </w:tcPr>
          <w:p w14:paraId="38A74C4F" w14:textId="77777777" w:rsidR="008E7CC8" w:rsidRDefault="008E7CC8" w:rsidP="00CD363C">
            <w:pPr>
              <w:pStyle w:val="TableParagraph"/>
              <w:ind w:right="-142"/>
              <w:jc w:val="both"/>
              <w:rPr>
                <w:sz w:val="20"/>
              </w:rPr>
            </w:pPr>
            <w:r>
              <w:rPr>
                <w:sz w:val="20"/>
              </w:rPr>
              <w:t>72 500,00</w:t>
            </w:r>
          </w:p>
        </w:tc>
      </w:tr>
      <w:tr w:rsidR="008E7CC8" w14:paraId="42C31E53" w14:textId="77777777" w:rsidTr="00FB6347">
        <w:trPr>
          <w:trHeight w:val="256"/>
        </w:trPr>
        <w:tc>
          <w:tcPr>
            <w:tcW w:w="818" w:type="dxa"/>
            <w:vMerge/>
            <w:tcBorders>
              <w:top w:val="nil"/>
            </w:tcBorders>
          </w:tcPr>
          <w:p w14:paraId="4F70DEA6" w14:textId="77777777" w:rsidR="008E7CC8" w:rsidRDefault="008E7CC8" w:rsidP="00CD363C">
            <w:pPr>
              <w:spacing w:after="0" w:line="240" w:lineRule="auto"/>
              <w:ind w:right="-142"/>
              <w:jc w:val="both"/>
              <w:rPr>
                <w:sz w:val="2"/>
                <w:szCs w:val="2"/>
              </w:rPr>
            </w:pPr>
          </w:p>
        </w:tc>
        <w:tc>
          <w:tcPr>
            <w:tcW w:w="2962" w:type="dxa"/>
          </w:tcPr>
          <w:p w14:paraId="381A6DA2" w14:textId="77777777" w:rsidR="008E7CC8" w:rsidRDefault="008E7CC8" w:rsidP="00CD363C">
            <w:pPr>
              <w:pStyle w:val="TableParagraph"/>
              <w:ind w:left="105" w:right="-142"/>
              <w:jc w:val="both"/>
              <w:rPr>
                <w:sz w:val="20"/>
              </w:rPr>
            </w:pPr>
            <w:r>
              <w:rPr>
                <w:sz w:val="20"/>
              </w:rPr>
              <w:t>K Ieņēmumi</w:t>
            </w:r>
          </w:p>
        </w:tc>
        <w:tc>
          <w:tcPr>
            <w:tcW w:w="1152" w:type="dxa"/>
          </w:tcPr>
          <w:p w14:paraId="68ECA5D5" w14:textId="77777777" w:rsidR="008E7CC8" w:rsidRDefault="008E7CC8" w:rsidP="00CD363C">
            <w:pPr>
              <w:pStyle w:val="TableParagraph"/>
              <w:ind w:left="94" w:right="-142"/>
              <w:jc w:val="both"/>
              <w:rPr>
                <w:sz w:val="20"/>
              </w:rPr>
            </w:pPr>
            <w:r>
              <w:rPr>
                <w:sz w:val="20"/>
              </w:rPr>
              <w:t>6000</w:t>
            </w:r>
          </w:p>
        </w:tc>
        <w:tc>
          <w:tcPr>
            <w:tcW w:w="3288" w:type="dxa"/>
          </w:tcPr>
          <w:p w14:paraId="59A2CF3E" w14:textId="77777777" w:rsidR="008E7CC8" w:rsidRDefault="008E7CC8" w:rsidP="00CD363C">
            <w:pPr>
              <w:pStyle w:val="TableParagraph"/>
              <w:ind w:left="106" w:right="-142"/>
              <w:jc w:val="both"/>
              <w:rPr>
                <w:sz w:val="20"/>
              </w:rPr>
            </w:pPr>
            <w:r>
              <w:rPr>
                <w:sz w:val="20"/>
              </w:rPr>
              <w:t>Pamatdarbības ieņēmumi</w:t>
            </w:r>
          </w:p>
        </w:tc>
        <w:tc>
          <w:tcPr>
            <w:tcW w:w="1406" w:type="dxa"/>
          </w:tcPr>
          <w:p w14:paraId="55F568D2" w14:textId="77777777" w:rsidR="008E7CC8" w:rsidRDefault="008E7CC8" w:rsidP="00CD363C">
            <w:pPr>
              <w:pStyle w:val="TableParagraph"/>
              <w:ind w:right="-142"/>
              <w:jc w:val="both"/>
              <w:rPr>
                <w:sz w:val="20"/>
              </w:rPr>
            </w:pPr>
            <w:r>
              <w:rPr>
                <w:sz w:val="20"/>
              </w:rPr>
              <w:t>72 500,00</w:t>
            </w:r>
          </w:p>
        </w:tc>
      </w:tr>
      <w:tr w:rsidR="008E7CC8" w14:paraId="5E4B1199" w14:textId="77777777" w:rsidTr="00FB6347">
        <w:trPr>
          <w:trHeight w:val="253"/>
        </w:trPr>
        <w:tc>
          <w:tcPr>
            <w:tcW w:w="818" w:type="dxa"/>
            <w:vMerge/>
            <w:tcBorders>
              <w:top w:val="nil"/>
            </w:tcBorders>
          </w:tcPr>
          <w:p w14:paraId="526F2E6B" w14:textId="77777777" w:rsidR="008E7CC8" w:rsidRDefault="008E7CC8" w:rsidP="00CD363C">
            <w:pPr>
              <w:spacing w:after="0" w:line="240" w:lineRule="auto"/>
              <w:ind w:right="-142"/>
              <w:jc w:val="both"/>
              <w:rPr>
                <w:sz w:val="2"/>
                <w:szCs w:val="2"/>
              </w:rPr>
            </w:pPr>
          </w:p>
        </w:tc>
        <w:tc>
          <w:tcPr>
            <w:tcW w:w="8808" w:type="dxa"/>
            <w:gridSpan w:val="4"/>
          </w:tcPr>
          <w:p w14:paraId="0E5497AA" w14:textId="77777777" w:rsidR="008E7CC8" w:rsidRDefault="008E7CC8" w:rsidP="00CD363C">
            <w:pPr>
              <w:pStyle w:val="TableParagraph"/>
              <w:ind w:left="105" w:right="-142"/>
              <w:jc w:val="both"/>
              <w:rPr>
                <w:b/>
                <w:sz w:val="20"/>
              </w:rPr>
            </w:pPr>
            <w:r>
              <w:rPr>
                <w:b/>
                <w:sz w:val="20"/>
              </w:rPr>
              <w:t>Nolietojuma uzskaite</w:t>
            </w:r>
          </w:p>
        </w:tc>
      </w:tr>
    </w:tbl>
    <w:p w14:paraId="00EF074F" w14:textId="77777777" w:rsidR="008E7CC8" w:rsidRPr="008E7CC8" w:rsidRDefault="008E7CC8" w:rsidP="00CD363C">
      <w:pPr>
        <w:pStyle w:val="Pamatteksts"/>
        <w:ind w:right="-142"/>
        <w:jc w:val="both"/>
        <w:rPr>
          <w:iCs/>
        </w:rPr>
      </w:pPr>
    </w:p>
    <w:tbl>
      <w:tblPr>
        <w:tblW w:w="9626" w:type="dxa"/>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8"/>
        <w:gridCol w:w="2962"/>
        <w:gridCol w:w="1152"/>
        <w:gridCol w:w="3288"/>
        <w:gridCol w:w="1406"/>
      </w:tblGrid>
      <w:tr w:rsidR="00DD2050" w14:paraId="20F0D572" w14:textId="77777777" w:rsidTr="00DD2050">
        <w:trPr>
          <w:trHeight w:val="520"/>
        </w:trPr>
        <w:tc>
          <w:tcPr>
            <w:tcW w:w="818" w:type="dxa"/>
            <w:shd w:val="clear" w:color="auto" w:fill="F1F1F1"/>
          </w:tcPr>
          <w:p w14:paraId="6CF80450" w14:textId="77777777" w:rsidR="00DD2050" w:rsidRDefault="00DD2050" w:rsidP="00CD363C">
            <w:pPr>
              <w:pStyle w:val="TableParagraph"/>
              <w:ind w:left="158" w:right="-142"/>
              <w:jc w:val="both"/>
              <w:rPr>
                <w:b/>
                <w:sz w:val="20"/>
              </w:rPr>
            </w:pPr>
            <w:r>
              <w:rPr>
                <w:b/>
                <w:sz w:val="20"/>
              </w:rPr>
              <w:t>Gads</w:t>
            </w:r>
          </w:p>
        </w:tc>
        <w:tc>
          <w:tcPr>
            <w:tcW w:w="2962" w:type="dxa"/>
            <w:shd w:val="clear" w:color="auto" w:fill="F1F1F1"/>
          </w:tcPr>
          <w:p w14:paraId="01CA6E20" w14:textId="77777777" w:rsidR="00DD2050" w:rsidRDefault="00DD2050" w:rsidP="00CD363C">
            <w:pPr>
              <w:pStyle w:val="TableParagraph"/>
              <w:ind w:left="1176" w:right="-142"/>
              <w:jc w:val="both"/>
              <w:rPr>
                <w:b/>
                <w:sz w:val="20"/>
              </w:rPr>
            </w:pPr>
            <w:r>
              <w:rPr>
                <w:b/>
                <w:sz w:val="20"/>
              </w:rPr>
              <w:t>Konts</w:t>
            </w:r>
          </w:p>
        </w:tc>
        <w:tc>
          <w:tcPr>
            <w:tcW w:w="1152" w:type="dxa"/>
            <w:shd w:val="clear" w:color="auto" w:fill="F1F1F1"/>
          </w:tcPr>
          <w:p w14:paraId="4DEF606C" w14:textId="77777777" w:rsidR="00DD2050" w:rsidRDefault="00DD2050" w:rsidP="00CD363C">
            <w:pPr>
              <w:pStyle w:val="TableParagraph"/>
              <w:ind w:left="113" w:right="-142"/>
              <w:jc w:val="both"/>
              <w:rPr>
                <w:b/>
                <w:sz w:val="20"/>
              </w:rPr>
            </w:pPr>
            <w:r>
              <w:rPr>
                <w:b/>
                <w:sz w:val="20"/>
              </w:rPr>
              <w:t>Konta Nr.</w:t>
            </w:r>
          </w:p>
        </w:tc>
        <w:tc>
          <w:tcPr>
            <w:tcW w:w="3288" w:type="dxa"/>
            <w:shd w:val="clear" w:color="auto" w:fill="F1F1F1"/>
          </w:tcPr>
          <w:p w14:paraId="7352DBD0" w14:textId="77777777" w:rsidR="00DD2050" w:rsidRDefault="00DD2050" w:rsidP="00CD363C">
            <w:pPr>
              <w:pStyle w:val="TableParagraph"/>
              <w:ind w:left="838" w:right="-142"/>
              <w:jc w:val="both"/>
              <w:rPr>
                <w:b/>
                <w:sz w:val="20"/>
              </w:rPr>
            </w:pPr>
            <w:r>
              <w:rPr>
                <w:b/>
                <w:sz w:val="20"/>
              </w:rPr>
              <w:t>Konta nosaukums</w:t>
            </w:r>
          </w:p>
        </w:tc>
        <w:tc>
          <w:tcPr>
            <w:tcW w:w="1406" w:type="dxa"/>
            <w:shd w:val="clear" w:color="auto" w:fill="F1F1F1"/>
          </w:tcPr>
          <w:p w14:paraId="4CC79D78" w14:textId="77777777" w:rsidR="00DD2050" w:rsidRDefault="00DD2050" w:rsidP="00CD363C">
            <w:pPr>
              <w:pStyle w:val="TableParagraph"/>
              <w:ind w:left="130" w:right="-142" w:firstLine="218"/>
              <w:jc w:val="both"/>
              <w:rPr>
                <w:b/>
                <w:sz w:val="20"/>
              </w:rPr>
            </w:pPr>
            <w:r>
              <w:rPr>
                <w:b/>
                <w:sz w:val="20"/>
              </w:rPr>
              <w:t>Summa (tūkst. EUR)</w:t>
            </w:r>
          </w:p>
        </w:tc>
      </w:tr>
      <w:tr w:rsidR="00DD2050" w14:paraId="6A03DE8C" w14:textId="77777777" w:rsidTr="00DD2050">
        <w:trPr>
          <w:trHeight w:val="256"/>
        </w:trPr>
        <w:tc>
          <w:tcPr>
            <w:tcW w:w="818" w:type="dxa"/>
            <w:vMerge w:val="restart"/>
          </w:tcPr>
          <w:p w14:paraId="52392984" w14:textId="77777777" w:rsidR="00DD2050" w:rsidRDefault="00DD2050" w:rsidP="00CD363C">
            <w:pPr>
              <w:pStyle w:val="TableParagraph"/>
              <w:ind w:right="-142"/>
              <w:jc w:val="both"/>
              <w:rPr>
                <w:sz w:val="18"/>
              </w:rPr>
            </w:pPr>
          </w:p>
        </w:tc>
        <w:tc>
          <w:tcPr>
            <w:tcW w:w="2962" w:type="dxa"/>
          </w:tcPr>
          <w:p w14:paraId="75FA8225" w14:textId="77777777" w:rsidR="00DD2050" w:rsidRDefault="00DD2050" w:rsidP="00CD363C">
            <w:pPr>
              <w:pStyle w:val="TableParagraph"/>
              <w:ind w:left="105" w:right="-142"/>
              <w:jc w:val="both"/>
              <w:rPr>
                <w:sz w:val="20"/>
              </w:rPr>
            </w:pPr>
            <w:r>
              <w:rPr>
                <w:sz w:val="20"/>
              </w:rPr>
              <w:t>D Nolietojuma izdevumi</w:t>
            </w:r>
          </w:p>
        </w:tc>
        <w:tc>
          <w:tcPr>
            <w:tcW w:w="1152" w:type="dxa"/>
          </w:tcPr>
          <w:p w14:paraId="265FB370" w14:textId="77777777" w:rsidR="00DD2050" w:rsidRDefault="00DD2050" w:rsidP="00CD363C">
            <w:pPr>
              <w:pStyle w:val="TableParagraph"/>
              <w:ind w:left="346" w:right="-142"/>
              <w:jc w:val="both"/>
              <w:rPr>
                <w:sz w:val="20"/>
              </w:rPr>
            </w:pPr>
            <w:r>
              <w:rPr>
                <w:sz w:val="20"/>
              </w:rPr>
              <w:t>7000</w:t>
            </w:r>
          </w:p>
        </w:tc>
        <w:tc>
          <w:tcPr>
            <w:tcW w:w="3288" w:type="dxa"/>
          </w:tcPr>
          <w:p w14:paraId="40739C0A" w14:textId="77777777" w:rsidR="00DD2050" w:rsidRDefault="00DD2050" w:rsidP="00CD363C">
            <w:pPr>
              <w:pStyle w:val="TableParagraph"/>
              <w:ind w:left="106" w:right="-142"/>
              <w:jc w:val="both"/>
              <w:rPr>
                <w:sz w:val="20"/>
              </w:rPr>
            </w:pPr>
            <w:r>
              <w:rPr>
                <w:sz w:val="20"/>
              </w:rPr>
              <w:t>Pamatdarbības izdevumi</w:t>
            </w:r>
          </w:p>
        </w:tc>
        <w:tc>
          <w:tcPr>
            <w:tcW w:w="1406" w:type="dxa"/>
          </w:tcPr>
          <w:p w14:paraId="2E3608FF" w14:textId="77777777" w:rsidR="00DD2050" w:rsidRDefault="00DD2050" w:rsidP="00CD363C">
            <w:pPr>
              <w:pStyle w:val="TableParagraph"/>
              <w:ind w:right="-142"/>
              <w:jc w:val="both"/>
              <w:rPr>
                <w:sz w:val="20"/>
              </w:rPr>
            </w:pPr>
            <w:r>
              <w:rPr>
                <w:sz w:val="20"/>
              </w:rPr>
              <w:t>65 333,33</w:t>
            </w:r>
          </w:p>
        </w:tc>
      </w:tr>
      <w:tr w:rsidR="00DD2050" w14:paraId="356FB6B8" w14:textId="77777777" w:rsidTr="00DD2050">
        <w:trPr>
          <w:trHeight w:val="254"/>
        </w:trPr>
        <w:tc>
          <w:tcPr>
            <w:tcW w:w="818" w:type="dxa"/>
            <w:vMerge/>
            <w:tcBorders>
              <w:top w:val="nil"/>
            </w:tcBorders>
          </w:tcPr>
          <w:p w14:paraId="317D9EBD" w14:textId="77777777" w:rsidR="00DD2050" w:rsidRDefault="00DD2050" w:rsidP="00CD363C">
            <w:pPr>
              <w:spacing w:after="0" w:line="240" w:lineRule="auto"/>
              <w:ind w:right="-142"/>
              <w:jc w:val="both"/>
              <w:rPr>
                <w:sz w:val="2"/>
                <w:szCs w:val="2"/>
              </w:rPr>
            </w:pPr>
          </w:p>
        </w:tc>
        <w:tc>
          <w:tcPr>
            <w:tcW w:w="2962" w:type="dxa"/>
          </w:tcPr>
          <w:p w14:paraId="3B3F987E" w14:textId="77777777" w:rsidR="00DD2050" w:rsidRDefault="00DD2050" w:rsidP="00CD363C">
            <w:pPr>
              <w:pStyle w:val="TableParagraph"/>
              <w:ind w:left="105" w:right="-142"/>
              <w:jc w:val="both"/>
              <w:rPr>
                <w:sz w:val="20"/>
              </w:rPr>
            </w:pPr>
            <w:r>
              <w:rPr>
                <w:sz w:val="20"/>
              </w:rPr>
              <w:t>K Uzkrātais nolietojums</w:t>
            </w:r>
          </w:p>
        </w:tc>
        <w:tc>
          <w:tcPr>
            <w:tcW w:w="1152" w:type="dxa"/>
          </w:tcPr>
          <w:p w14:paraId="11C9FFD4" w14:textId="77777777" w:rsidR="00DD2050" w:rsidRDefault="00DD2050" w:rsidP="00CD363C">
            <w:pPr>
              <w:pStyle w:val="TableParagraph"/>
              <w:ind w:left="346" w:right="-142"/>
              <w:jc w:val="both"/>
              <w:rPr>
                <w:sz w:val="20"/>
              </w:rPr>
            </w:pPr>
            <w:r>
              <w:rPr>
                <w:sz w:val="20"/>
              </w:rPr>
              <w:t>1291</w:t>
            </w:r>
          </w:p>
        </w:tc>
        <w:tc>
          <w:tcPr>
            <w:tcW w:w="3288" w:type="dxa"/>
          </w:tcPr>
          <w:p w14:paraId="0D682AA1"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70382852" w14:textId="77777777" w:rsidR="00DD2050" w:rsidRDefault="00DD2050" w:rsidP="00CD363C">
            <w:pPr>
              <w:pStyle w:val="TableParagraph"/>
              <w:ind w:right="-142"/>
              <w:jc w:val="both"/>
              <w:rPr>
                <w:sz w:val="20"/>
              </w:rPr>
            </w:pPr>
            <w:r>
              <w:rPr>
                <w:sz w:val="20"/>
              </w:rPr>
              <w:t>65 333,33</w:t>
            </w:r>
          </w:p>
        </w:tc>
      </w:tr>
      <w:tr w:rsidR="00DD2050" w14:paraId="778925A4" w14:textId="77777777" w:rsidTr="00DD2050">
        <w:trPr>
          <w:trHeight w:val="256"/>
        </w:trPr>
        <w:tc>
          <w:tcPr>
            <w:tcW w:w="818" w:type="dxa"/>
            <w:vMerge/>
            <w:tcBorders>
              <w:top w:val="nil"/>
            </w:tcBorders>
          </w:tcPr>
          <w:p w14:paraId="19C17E19" w14:textId="77777777" w:rsidR="00DD2050" w:rsidRDefault="00DD2050" w:rsidP="00CD363C">
            <w:pPr>
              <w:spacing w:after="0" w:line="240" w:lineRule="auto"/>
              <w:ind w:right="-142"/>
              <w:jc w:val="both"/>
              <w:rPr>
                <w:sz w:val="2"/>
                <w:szCs w:val="2"/>
              </w:rPr>
            </w:pPr>
          </w:p>
        </w:tc>
        <w:tc>
          <w:tcPr>
            <w:tcW w:w="8808" w:type="dxa"/>
            <w:gridSpan w:val="4"/>
          </w:tcPr>
          <w:p w14:paraId="2F0F42F9"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137DC442" w14:textId="77777777" w:rsidTr="00DD2050">
        <w:trPr>
          <w:trHeight w:val="458"/>
        </w:trPr>
        <w:tc>
          <w:tcPr>
            <w:tcW w:w="818" w:type="dxa"/>
            <w:vMerge/>
            <w:tcBorders>
              <w:top w:val="nil"/>
            </w:tcBorders>
          </w:tcPr>
          <w:p w14:paraId="637606F4" w14:textId="77777777" w:rsidR="00DD2050" w:rsidRDefault="00DD2050" w:rsidP="00CD363C">
            <w:pPr>
              <w:spacing w:after="0" w:line="240" w:lineRule="auto"/>
              <w:ind w:right="-142"/>
              <w:jc w:val="both"/>
              <w:rPr>
                <w:sz w:val="2"/>
                <w:szCs w:val="2"/>
              </w:rPr>
            </w:pPr>
          </w:p>
        </w:tc>
        <w:tc>
          <w:tcPr>
            <w:tcW w:w="2962" w:type="dxa"/>
          </w:tcPr>
          <w:p w14:paraId="41F59A94" w14:textId="77777777" w:rsidR="00DD2050" w:rsidRDefault="00DD2050" w:rsidP="00CD363C">
            <w:pPr>
              <w:pStyle w:val="TableParagraph"/>
              <w:ind w:left="105" w:right="-142"/>
              <w:jc w:val="both"/>
              <w:rPr>
                <w:sz w:val="20"/>
              </w:rPr>
            </w:pPr>
            <w:r>
              <w:rPr>
                <w:sz w:val="20"/>
              </w:rPr>
              <w:t>D Finanšu saistības</w:t>
            </w:r>
          </w:p>
        </w:tc>
        <w:tc>
          <w:tcPr>
            <w:tcW w:w="1152" w:type="dxa"/>
          </w:tcPr>
          <w:p w14:paraId="0637F4BD" w14:textId="77777777" w:rsidR="00DD2050" w:rsidRDefault="00DD2050" w:rsidP="00CD363C">
            <w:pPr>
              <w:pStyle w:val="TableParagraph"/>
              <w:ind w:left="346" w:right="-142"/>
              <w:jc w:val="both"/>
              <w:rPr>
                <w:sz w:val="20"/>
              </w:rPr>
            </w:pPr>
            <w:r>
              <w:rPr>
                <w:sz w:val="20"/>
              </w:rPr>
              <w:t>5130</w:t>
            </w:r>
          </w:p>
        </w:tc>
        <w:tc>
          <w:tcPr>
            <w:tcW w:w="3288" w:type="dxa"/>
          </w:tcPr>
          <w:p w14:paraId="2BB4A963" w14:textId="77777777" w:rsidR="00DD2050" w:rsidRDefault="00DD2050" w:rsidP="00CD363C">
            <w:pPr>
              <w:pStyle w:val="TableParagraph"/>
              <w:ind w:left="106" w:right="-142"/>
              <w:jc w:val="both"/>
              <w:rPr>
                <w:sz w:val="20"/>
              </w:rPr>
            </w:pPr>
            <w:r>
              <w:rPr>
                <w:sz w:val="20"/>
              </w:rPr>
              <w:t>Ilgtermiņa saistības pret</w:t>
            </w:r>
          </w:p>
          <w:p w14:paraId="4CD313AE"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58A6D672" w14:textId="77777777" w:rsidR="00DD2050" w:rsidRDefault="00DD2050" w:rsidP="00CD363C">
            <w:pPr>
              <w:pStyle w:val="TableParagraph"/>
              <w:ind w:right="-142"/>
              <w:jc w:val="both"/>
              <w:rPr>
                <w:sz w:val="20"/>
              </w:rPr>
            </w:pPr>
            <w:r>
              <w:rPr>
                <w:sz w:val="20"/>
              </w:rPr>
              <w:t>72 490,49</w:t>
            </w:r>
          </w:p>
        </w:tc>
      </w:tr>
      <w:tr w:rsidR="00DD2050" w14:paraId="4905B200" w14:textId="77777777" w:rsidTr="00DD2050">
        <w:trPr>
          <w:trHeight w:val="460"/>
        </w:trPr>
        <w:tc>
          <w:tcPr>
            <w:tcW w:w="818" w:type="dxa"/>
            <w:vMerge/>
            <w:tcBorders>
              <w:top w:val="nil"/>
            </w:tcBorders>
          </w:tcPr>
          <w:p w14:paraId="5ADEE095" w14:textId="77777777" w:rsidR="00DD2050" w:rsidRDefault="00DD2050" w:rsidP="00CD363C">
            <w:pPr>
              <w:spacing w:after="0" w:line="240" w:lineRule="auto"/>
              <w:ind w:right="-142"/>
              <w:jc w:val="both"/>
              <w:rPr>
                <w:sz w:val="2"/>
                <w:szCs w:val="2"/>
              </w:rPr>
            </w:pPr>
          </w:p>
        </w:tc>
        <w:tc>
          <w:tcPr>
            <w:tcW w:w="2962" w:type="dxa"/>
          </w:tcPr>
          <w:p w14:paraId="335A8E58" w14:textId="77777777" w:rsidR="00DD2050" w:rsidRDefault="00DD2050" w:rsidP="00CD363C">
            <w:pPr>
              <w:pStyle w:val="TableParagraph"/>
              <w:ind w:left="105" w:right="-142"/>
              <w:jc w:val="both"/>
              <w:rPr>
                <w:sz w:val="20"/>
              </w:rPr>
            </w:pPr>
            <w:r>
              <w:rPr>
                <w:sz w:val="20"/>
              </w:rPr>
              <w:t>K Finanšu saistības</w:t>
            </w:r>
          </w:p>
        </w:tc>
        <w:tc>
          <w:tcPr>
            <w:tcW w:w="1152" w:type="dxa"/>
          </w:tcPr>
          <w:p w14:paraId="3413941F" w14:textId="77777777" w:rsidR="00DD2050" w:rsidRDefault="00DD2050" w:rsidP="00CD363C">
            <w:pPr>
              <w:pStyle w:val="TableParagraph"/>
              <w:ind w:left="346" w:right="-142"/>
              <w:jc w:val="both"/>
              <w:rPr>
                <w:sz w:val="20"/>
              </w:rPr>
            </w:pPr>
            <w:r>
              <w:rPr>
                <w:sz w:val="20"/>
              </w:rPr>
              <w:t>5310</w:t>
            </w:r>
          </w:p>
        </w:tc>
        <w:tc>
          <w:tcPr>
            <w:tcW w:w="3288" w:type="dxa"/>
          </w:tcPr>
          <w:p w14:paraId="6E262E0B" w14:textId="77777777" w:rsidR="00DD2050" w:rsidRDefault="00DD2050" w:rsidP="00CD363C">
            <w:pPr>
              <w:pStyle w:val="TableParagraph"/>
              <w:ind w:left="156" w:right="-142"/>
              <w:jc w:val="both"/>
              <w:rPr>
                <w:sz w:val="20"/>
              </w:rPr>
            </w:pPr>
            <w:r>
              <w:rPr>
                <w:sz w:val="20"/>
              </w:rPr>
              <w:t>Īstermiņa saistības pret</w:t>
            </w:r>
          </w:p>
          <w:p w14:paraId="49C15275"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18853317" w14:textId="77777777" w:rsidR="00DD2050" w:rsidRDefault="00DD2050" w:rsidP="00CD363C">
            <w:pPr>
              <w:pStyle w:val="TableParagraph"/>
              <w:ind w:right="-142"/>
              <w:jc w:val="both"/>
              <w:rPr>
                <w:sz w:val="20"/>
              </w:rPr>
            </w:pPr>
            <w:r>
              <w:rPr>
                <w:sz w:val="20"/>
              </w:rPr>
              <w:t>72 490,49</w:t>
            </w:r>
          </w:p>
        </w:tc>
      </w:tr>
      <w:tr w:rsidR="00DD2050" w14:paraId="0570A1E8" w14:textId="77777777" w:rsidTr="00DD2050">
        <w:trPr>
          <w:trHeight w:val="256"/>
        </w:trPr>
        <w:tc>
          <w:tcPr>
            <w:tcW w:w="818" w:type="dxa"/>
            <w:vMerge/>
            <w:tcBorders>
              <w:top w:val="nil"/>
            </w:tcBorders>
          </w:tcPr>
          <w:p w14:paraId="7A8A9020" w14:textId="77777777" w:rsidR="00DD2050" w:rsidRDefault="00DD2050" w:rsidP="00CD363C">
            <w:pPr>
              <w:spacing w:after="0" w:line="240" w:lineRule="auto"/>
              <w:ind w:right="-142"/>
              <w:jc w:val="both"/>
              <w:rPr>
                <w:sz w:val="2"/>
                <w:szCs w:val="2"/>
              </w:rPr>
            </w:pPr>
          </w:p>
        </w:tc>
        <w:tc>
          <w:tcPr>
            <w:tcW w:w="8808" w:type="dxa"/>
            <w:gridSpan w:val="4"/>
          </w:tcPr>
          <w:p w14:paraId="30C80B92"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4CB8D928" w14:textId="77777777" w:rsidTr="00DD2050">
        <w:trPr>
          <w:trHeight w:val="688"/>
        </w:trPr>
        <w:tc>
          <w:tcPr>
            <w:tcW w:w="818" w:type="dxa"/>
            <w:vMerge/>
            <w:tcBorders>
              <w:top w:val="nil"/>
            </w:tcBorders>
          </w:tcPr>
          <w:p w14:paraId="4CFFE7CB" w14:textId="77777777" w:rsidR="00DD2050" w:rsidRDefault="00DD2050" w:rsidP="00CD363C">
            <w:pPr>
              <w:spacing w:after="0" w:line="240" w:lineRule="auto"/>
              <w:ind w:right="-142"/>
              <w:jc w:val="both"/>
              <w:rPr>
                <w:sz w:val="2"/>
                <w:szCs w:val="2"/>
              </w:rPr>
            </w:pPr>
          </w:p>
        </w:tc>
        <w:tc>
          <w:tcPr>
            <w:tcW w:w="2962" w:type="dxa"/>
          </w:tcPr>
          <w:p w14:paraId="106C3E86" w14:textId="77777777" w:rsidR="00DD2050" w:rsidRDefault="00DD2050" w:rsidP="00CD363C">
            <w:pPr>
              <w:pStyle w:val="TableParagraph"/>
              <w:ind w:right="-142"/>
              <w:jc w:val="both"/>
              <w:rPr>
                <w:i/>
                <w:sz w:val="18"/>
              </w:rPr>
            </w:pPr>
          </w:p>
          <w:p w14:paraId="23A7641D" w14:textId="77777777" w:rsidR="00DD2050" w:rsidRDefault="00DD2050" w:rsidP="00CD363C">
            <w:pPr>
              <w:pStyle w:val="TableParagraph"/>
              <w:ind w:left="105" w:right="-142"/>
              <w:jc w:val="both"/>
              <w:rPr>
                <w:sz w:val="20"/>
              </w:rPr>
            </w:pPr>
            <w:r>
              <w:rPr>
                <w:sz w:val="20"/>
              </w:rPr>
              <w:t>D Saistības</w:t>
            </w:r>
          </w:p>
        </w:tc>
        <w:tc>
          <w:tcPr>
            <w:tcW w:w="1152" w:type="dxa"/>
          </w:tcPr>
          <w:p w14:paraId="67B8604F" w14:textId="77777777" w:rsidR="00DD2050" w:rsidRDefault="00DD2050" w:rsidP="00CD363C">
            <w:pPr>
              <w:pStyle w:val="TableParagraph"/>
              <w:ind w:right="-142"/>
              <w:jc w:val="both"/>
              <w:rPr>
                <w:i/>
                <w:sz w:val="18"/>
              </w:rPr>
            </w:pPr>
          </w:p>
          <w:p w14:paraId="2753A43F" w14:textId="77777777" w:rsidR="00DD2050" w:rsidRDefault="00DD2050" w:rsidP="00CD363C">
            <w:pPr>
              <w:pStyle w:val="TableParagraph"/>
              <w:ind w:left="108" w:right="-142"/>
              <w:jc w:val="both"/>
              <w:rPr>
                <w:sz w:val="20"/>
              </w:rPr>
            </w:pPr>
            <w:r>
              <w:rPr>
                <w:sz w:val="20"/>
              </w:rPr>
              <w:t>5150</w:t>
            </w:r>
          </w:p>
        </w:tc>
        <w:tc>
          <w:tcPr>
            <w:tcW w:w="3288" w:type="dxa"/>
          </w:tcPr>
          <w:p w14:paraId="4ED0CDCB" w14:textId="77777777" w:rsidR="00DD2050" w:rsidRDefault="00DD2050" w:rsidP="00CD363C">
            <w:pPr>
              <w:pStyle w:val="TableParagraph"/>
              <w:ind w:left="106" w:right="-142"/>
              <w:jc w:val="both"/>
              <w:rPr>
                <w:sz w:val="20"/>
              </w:rPr>
            </w:pPr>
            <w:r>
              <w:rPr>
                <w:sz w:val="20"/>
              </w:rPr>
              <w:t>Ilgtermiņa nākamo periodu ieņēmumi un saņemtie avansa</w:t>
            </w:r>
          </w:p>
          <w:p w14:paraId="3B73B478" w14:textId="77777777" w:rsidR="00DD2050" w:rsidRDefault="00DD2050" w:rsidP="00CD363C">
            <w:pPr>
              <w:pStyle w:val="TableParagraph"/>
              <w:ind w:left="106" w:right="-142"/>
              <w:jc w:val="both"/>
              <w:rPr>
                <w:sz w:val="20"/>
              </w:rPr>
            </w:pPr>
            <w:r>
              <w:rPr>
                <w:sz w:val="20"/>
              </w:rPr>
              <w:t>maksājumi</w:t>
            </w:r>
          </w:p>
        </w:tc>
        <w:tc>
          <w:tcPr>
            <w:tcW w:w="1406" w:type="dxa"/>
          </w:tcPr>
          <w:p w14:paraId="60DF439F" w14:textId="77777777" w:rsidR="00DD2050" w:rsidRDefault="00DD2050" w:rsidP="00CD363C">
            <w:pPr>
              <w:pStyle w:val="TableParagraph"/>
              <w:ind w:right="-142"/>
              <w:jc w:val="both"/>
              <w:rPr>
                <w:i/>
                <w:sz w:val="18"/>
              </w:rPr>
            </w:pPr>
          </w:p>
          <w:p w14:paraId="70321768" w14:textId="77777777" w:rsidR="00DD2050" w:rsidRDefault="00DD2050" w:rsidP="00CD363C">
            <w:pPr>
              <w:pStyle w:val="TableParagraph"/>
              <w:ind w:right="-142"/>
              <w:jc w:val="both"/>
              <w:rPr>
                <w:sz w:val="20"/>
              </w:rPr>
            </w:pPr>
            <w:r>
              <w:rPr>
                <w:sz w:val="20"/>
              </w:rPr>
              <w:t>72 500,00</w:t>
            </w:r>
          </w:p>
        </w:tc>
      </w:tr>
      <w:tr w:rsidR="00DD2050" w14:paraId="4F15A8AF" w14:textId="77777777" w:rsidTr="00DD2050">
        <w:trPr>
          <w:trHeight w:val="460"/>
        </w:trPr>
        <w:tc>
          <w:tcPr>
            <w:tcW w:w="818" w:type="dxa"/>
            <w:vMerge/>
            <w:tcBorders>
              <w:top w:val="nil"/>
            </w:tcBorders>
          </w:tcPr>
          <w:p w14:paraId="6A6FAE6B" w14:textId="77777777" w:rsidR="00DD2050" w:rsidRDefault="00DD2050" w:rsidP="00CD363C">
            <w:pPr>
              <w:spacing w:after="0" w:line="240" w:lineRule="auto"/>
              <w:ind w:right="-142"/>
              <w:jc w:val="both"/>
              <w:rPr>
                <w:sz w:val="2"/>
                <w:szCs w:val="2"/>
              </w:rPr>
            </w:pPr>
          </w:p>
        </w:tc>
        <w:tc>
          <w:tcPr>
            <w:tcW w:w="2962" w:type="dxa"/>
          </w:tcPr>
          <w:p w14:paraId="5983255F" w14:textId="77777777" w:rsidR="00DD2050" w:rsidRDefault="00DD2050" w:rsidP="00CD363C">
            <w:pPr>
              <w:pStyle w:val="TableParagraph"/>
              <w:ind w:left="105" w:right="-142"/>
              <w:jc w:val="both"/>
              <w:rPr>
                <w:sz w:val="20"/>
              </w:rPr>
            </w:pPr>
            <w:r>
              <w:rPr>
                <w:sz w:val="20"/>
              </w:rPr>
              <w:t>K Saistības</w:t>
            </w:r>
          </w:p>
        </w:tc>
        <w:tc>
          <w:tcPr>
            <w:tcW w:w="1152" w:type="dxa"/>
          </w:tcPr>
          <w:p w14:paraId="173D99F0" w14:textId="77777777" w:rsidR="00DD2050" w:rsidRDefault="00DD2050" w:rsidP="00CD363C">
            <w:pPr>
              <w:pStyle w:val="TableParagraph"/>
              <w:ind w:left="108" w:right="-142"/>
              <w:jc w:val="both"/>
              <w:rPr>
                <w:sz w:val="20"/>
              </w:rPr>
            </w:pPr>
            <w:r>
              <w:rPr>
                <w:sz w:val="20"/>
              </w:rPr>
              <w:t>5910</w:t>
            </w:r>
          </w:p>
        </w:tc>
        <w:tc>
          <w:tcPr>
            <w:tcW w:w="3288" w:type="dxa"/>
          </w:tcPr>
          <w:p w14:paraId="3147394C" w14:textId="77777777" w:rsidR="00DD2050" w:rsidRDefault="00DD2050" w:rsidP="00CD363C">
            <w:pPr>
              <w:pStyle w:val="TableParagraph"/>
              <w:ind w:left="106" w:right="-142"/>
              <w:jc w:val="both"/>
              <w:rPr>
                <w:sz w:val="20"/>
              </w:rPr>
            </w:pPr>
            <w:r>
              <w:rPr>
                <w:sz w:val="20"/>
              </w:rPr>
              <w:t>Nākamo periodu ieņēmumi un</w:t>
            </w:r>
          </w:p>
          <w:p w14:paraId="146DD96D" w14:textId="77777777" w:rsidR="00DD2050" w:rsidRDefault="00DD2050" w:rsidP="00CD363C">
            <w:pPr>
              <w:pStyle w:val="TableParagraph"/>
              <w:ind w:left="106" w:right="-142"/>
              <w:jc w:val="both"/>
              <w:rPr>
                <w:sz w:val="20"/>
              </w:rPr>
            </w:pPr>
            <w:r>
              <w:rPr>
                <w:sz w:val="20"/>
              </w:rPr>
              <w:t>saņemtie avansi</w:t>
            </w:r>
          </w:p>
        </w:tc>
        <w:tc>
          <w:tcPr>
            <w:tcW w:w="1406" w:type="dxa"/>
          </w:tcPr>
          <w:p w14:paraId="553AE2A5" w14:textId="77777777" w:rsidR="00DD2050" w:rsidRDefault="00DD2050" w:rsidP="00CD363C">
            <w:pPr>
              <w:pStyle w:val="TableParagraph"/>
              <w:ind w:right="-142"/>
              <w:jc w:val="both"/>
              <w:rPr>
                <w:sz w:val="20"/>
              </w:rPr>
            </w:pPr>
            <w:r>
              <w:rPr>
                <w:sz w:val="20"/>
              </w:rPr>
              <w:t>72 500,00</w:t>
            </w:r>
          </w:p>
        </w:tc>
      </w:tr>
      <w:tr w:rsidR="00DD2050" w14:paraId="1F28C4F5" w14:textId="77777777" w:rsidTr="00DD2050">
        <w:trPr>
          <w:trHeight w:val="253"/>
        </w:trPr>
        <w:tc>
          <w:tcPr>
            <w:tcW w:w="818" w:type="dxa"/>
            <w:vMerge w:val="restart"/>
          </w:tcPr>
          <w:p w14:paraId="0CF52C20" w14:textId="77777777" w:rsidR="00DD2050" w:rsidRDefault="00DD2050" w:rsidP="00CD363C">
            <w:pPr>
              <w:pStyle w:val="TableParagraph"/>
              <w:ind w:right="-142"/>
              <w:jc w:val="both"/>
              <w:rPr>
                <w:i/>
              </w:rPr>
            </w:pPr>
          </w:p>
          <w:p w14:paraId="34AA8657" w14:textId="77777777" w:rsidR="00DD2050" w:rsidRDefault="00DD2050" w:rsidP="00CD363C">
            <w:pPr>
              <w:pStyle w:val="TableParagraph"/>
              <w:ind w:right="-142"/>
              <w:jc w:val="both"/>
              <w:rPr>
                <w:i/>
              </w:rPr>
            </w:pPr>
          </w:p>
          <w:p w14:paraId="0CF092B9" w14:textId="77777777" w:rsidR="00DD2050" w:rsidRDefault="00DD2050" w:rsidP="00CD363C">
            <w:pPr>
              <w:pStyle w:val="TableParagraph"/>
              <w:ind w:right="-142"/>
              <w:jc w:val="both"/>
              <w:rPr>
                <w:i/>
              </w:rPr>
            </w:pPr>
          </w:p>
          <w:p w14:paraId="043971E4" w14:textId="77777777" w:rsidR="00DD2050" w:rsidRDefault="00DD2050" w:rsidP="00CD363C">
            <w:pPr>
              <w:pStyle w:val="TableParagraph"/>
              <w:ind w:right="-142"/>
              <w:jc w:val="both"/>
              <w:rPr>
                <w:i/>
              </w:rPr>
            </w:pPr>
          </w:p>
          <w:p w14:paraId="2AD2F186" w14:textId="77777777" w:rsidR="00DD2050" w:rsidRDefault="00DD2050" w:rsidP="00CD363C">
            <w:pPr>
              <w:pStyle w:val="TableParagraph"/>
              <w:ind w:right="-142"/>
              <w:jc w:val="both"/>
              <w:rPr>
                <w:i/>
              </w:rPr>
            </w:pPr>
          </w:p>
          <w:p w14:paraId="79887645" w14:textId="77777777" w:rsidR="00DD2050" w:rsidRDefault="00DD2050" w:rsidP="00CD363C">
            <w:pPr>
              <w:pStyle w:val="TableParagraph"/>
              <w:ind w:right="-142"/>
              <w:jc w:val="both"/>
              <w:rPr>
                <w:b/>
                <w:sz w:val="20"/>
              </w:rPr>
            </w:pPr>
            <w:r>
              <w:rPr>
                <w:b/>
                <w:w w:val="99"/>
                <w:sz w:val="20"/>
              </w:rPr>
              <w:t>6</w:t>
            </w:r>
          </w:p>
        </w:tc>
        <w:tc>
          <w:tcPr>
            <w:tcW w:w="8808" w:type="dxa"/>
            <w:gridSpan w:val="4"/>
          </w:tcPr>
          <w:p w14:paraId="032E380C" w14:textId="77777777" w:rsidR="00DD2050" w:rsidRDefault="00DD2050" w:rsidP="00CD363C">
            <w:pPr>
              <w:pStyle w:val="TableParagraph"/>
              <w:ind w:left="105" w:right="-142"/>
              <w:jc w:val="both"/>
              <w:rPr>
                <w:b/>
                <w:sz w:val="20"/>
              </w:rPr>
            </w:pPr>
            <w:r>
              <w:rPr>
                <w:b/>
                <w:sz w:val="20"/>
              </w:rPr>
              <w:t>Maksājuma veikšana</w:t>
            </w:r>
          </w:p>
        </w:tc>
      </w:tr>
      <w:tr w:rsidR="00DD2050" w14:paraId="2318EF9E" w14:textId="77777777" w:rsidTr="00DD2050">
        <w:trPr>
          <w:trHeight w:val="460"/>
        </w:trPr>
        <w:tc>
          <w:tcPr>
            <w:tcW w:w="818" w:type="dxa"/>
            <w:vMerge/>
            <w:tcBorders>
              <w:top w:val="nil"/>
            </w:tcBorders>
          </w:tcPr>
          <w:p w14:paraId="7A189F01" w14:textId="77777777" w:rsidR="00DD2050" w:rsidRDefault="00DD2050" w:rsidP="00CD363C">
            <w:pPr>
              <w:spacing w:after="0" w:line="240" w:lineRule="auto"/>
              <w:ind w:right="-142"/>
              <w:jc w:val="both"/>
              <w:rPr>
                <w:sz w:val="2"/>
                <w:szCs w:val="2"/>
              </w:rPr>
            </w:pPr>
          </w:p>
        </w:tc>
        <w:tc>
          <w:tcPr>
            <w:tcW w:w="2962" w:type="dxa"/>
          </w:tcPr>
          <w:p w14:paraId="1D98DC75" w14:textId="77777777" w:rsidR="00DD2050" w:rsidRDefault="00DD2050" w:rsidP="00CD363C">
            <w:pPr>
              <w:pStyle w:val="TableParagraph"/>
              <w:ind w:left="105" w:right="-142"/>
              <w:jc w:val="both"/>
              <w:rPr>
                <w:sz w:val="20"/>
              </w:rPr>
            </w:pPr>
            <w:r>
              <w:rPr>
                <w:sz w:val="20"/>
              </w:rPr>
              <w:t>D Finanšu saistības</w:t>
            </w:r>
          </w:p>
        </w:tc>
        <w:tc>
          <w:tcPr>
            <w:tcW w:w="1152" w:type="dxa"/>
          </w:tcPr>
          <w:p w14:paraId="0C4E27FC" w14:textId="77777777" w:rsidR="00DD2050" w:rsidRDefault="00DD2050" w:rsidP="00CD363C">
            <w:pPr>
              <w:pStyle w:val="TableParagraph"/>
              <w:ind w:left="346" w:right="-142"/>
              <w:jc w:val="both"/>
              <w:rPr>
                <w:sz w:val="20"/>
              </w:rPr>
            </w:pPr>
            <w:r>
              <w:rPr>
                <w:sz w:val="20"/>
              </w:rPr>
              <w:t>5310</w:t>
            </w:r>
          </w:p>
        </w:tc>
        <w:tc>
          <w:tcPr>
            <w:tcW w:w="3288" w:type="dxa"/>
          </w:tcPr>
          <w:p w14:paraId="2D6099DB" w14:textId="77777777" w:rsidR="00DD2050" w:rsidRDefault="00DD2050" w:rsidP="00CD363C">
            <w:pPr>
              <w:pStyle w:val="TableParagraph"/>
              <w:ind w:left="106" w:right="-142"/>
              <w:jc w:val="both"/>
              <w:rPr>
                <w:sz w:val="20"/>
              </w:rPr>
            </w:pPr>
            <w:r>
              <w:rPr>
                <w:sz w:val="20"/>
              </w:rPr>
              <w:t>Īstermiņa saistības pret piegādātājiem</w:t>
            </w:r>
          </w:p>
          <w:p w14:paraId="6DFB3FF2" w14:textId="77777777" w:rsidR="00DD2050" w:rsidRDefault="00DD2050" w:rsidP="00CD363C">
            <w:pPr>
              <w:pStyle w:val="TableParagraph"/>
              <w:ind w:left="106" w:right="-142"/>
              <w:jc w:val="both"/>
              <w:rPr>
                <w:sz w:val="20"/>
              </w:rPr>
            </w:pPr>
            <w:r>
              <w:rPr>
                <w:sz w:val="20"/>
              </w:rPr>
              <w:t>un darbuzņēmējiem</w:t>
            </w:r>
          </w:p>
        </w:tc>
        <w:tc>
          <w:tcPr>
            <w:tcW w:w="1406" w:type="dxa"/>
          </w:tcPr>
          <w:p w14:paraId="5AD11B80" w14:textId="77777777" w:rsidR="00DD2050" w:rsidRDefault="00DD2050" w:rsidP="00CD363C">
            <w:pPr>
              <w:pStyle w:val="TableParagraph"/>
              <w:ind w:right="-142"/>
              <w:jc w:val="both"/>
              <w:rPr>
                <w:sz w:val="20"/>
              </w:rPr>
            </w:pPr>
            <w:r>
              <w:rPr>
                <w:sz w:val="20"/>
              </w:rPr>
              <w:t>100 000,00</w:t>
            </w:r>
          </w:p>
        </w:tc>
      </w:tr>
      <w:tr w:rsidR="00DD2050" w14:paraId="42ACF1C9" w14:textId="77777777" w:rsidTr="00DD2050">
        <w:trPr>
          <w:trHeight w:val="256"/>
        </w:trPr>
        <w:tc>
          <w:tcPr>
            <w:tcW w:w="818" w:type="dxa"/>
            <w:vMerge/>
            <w:tcBorders>
              <w:top w:val="nil"/>
            </w:tcBorders>
          </w:tcPr>
          <w:p w14:paraId="0EAD4C61" w14:textId="77777777" w:rsidR="00DD2050" w:rsidRDefault="00DD2050" w:rsidP="00CD363C">
            <w:pPr>
              <w:spacing w:after="0" w:line="240" w:lineRule="auto"/>
              <w:ind w:right="-142"/>
              <w:jc w:val="both"/>
              <w:rPr>
                <w:sz w:val="2"/>
                <w:szCs w:val="2"/>
              </w:rPr>
            </w:pPr>
          </w:p>
        </w:tc>
        <w:tc>
          <w:tcPr>
            <w:tcW w:w="2962" w:type="dxa"/>
          </w:tcPr>
          <w:p w14:paraId="2957DFC2" w14:textId="77777777" w:rsidR="00DD2050" w:rsidRDefault="00DD2050" w:rsidP="00CD363C">
            <w:pPr>
              <w:pStyle w:val="TableParagraph"/>
              <w:ind w:left="105" w:right="-142"/>
              <w:jc w:val="both"/>
              <w:rPr>
                <w:sz w:val="20"/>
              </w:rPr>
            </w:pPr>
            <w:r>
              <w:rPr>
                <w:sz w:val="20"/>
              </w:rPr>
              <w:t>K Nauda</w:t>
            </w:r>
          </w:p>
        </w:tc>
        <w:tc>
          <w:tcPr>
            <w:tcW w:w="1152" w:type="dxa"/>
          </w:tcPr>
          <w:p w14:paraId="2B2FE9FF" w14:textId="77777777" w:rsidR="00DD2050" w:rsidRDefault="00DD2050" w:rsidP="00CD363C">
            <w:pPr>
              <w:pStyle w:val="TableParagraph"/>
              <w:ind w:left="346" w:right="-142"/>
              <w:jc w:val="both"/>
              <w:rPr>
                <w:sz w:val="20"/>
              </w:rPr>
            </w:pPr>
            <w:r>
              <w:rPr>
                <w:sz w:val="20"/>
              </w:rPr>
              <w:t>2600</w:t>
            </w:r>
          </w:p>
        </w:tc>
        <w:tc>
          <w:tcPr>
            <w:tcW w:w="3288" w:type="dxa"/>
          </w:tcPr>
          <w:p w14:paraId="6830B147" w14:textId="77777777" w:rsidR="00DD2050" w:rsidRDefault="00DD2050" w:rsidP="00CD363C">
            <w:pPr>
              <w:pStyle w:val="TableParagraph"/>
              <w:ind w:left="106" w:right="-142"/>
              <w:jc w:val="both"/>
              <w:rPr>
                <w:sz w:val="20"/>
              </w:rPr>
            </w:pPr>
            <w:r>
              <w:rPr>
                <w:sz w:val="20"/>
              </w:rPr>
              <w:t>Naudas līdzekļi</w:t>
            </w:r>
          </w:p>
        </w:tc>
        <w:tc>
          <w:tcPr>
            <w:tcW w:w="1406" w:type="dxa"/>
          </w:tcPr>
          <w:p w14:paraId="2F0DE23C" w14:textId="77777777" w:rsidR="00DD2050" w:rsidRDefault="00DD2050" w:rsidP="00CD363C">
            <w:pPr>
              <w:pStyle w:val="TableParagraph"/>
              <w:ind w:right="-142"/>
              <w:jc w:val="both"/>
              <w:rPr>
                <w:sz w:val="20"/>
              </w:rPr>
            </w:pPr>
            <w:r>
              <w:rPr>
                <w:sz w:val="20"/>
              </w:rPr>
              <w:t>100 000,00</w:t>
            </w:r>
          </w:p>
        </w:tc>
      </w:tr>
      <w:tr w:rsidR="00DD2050" w14:paraId="1446EC44" w14:textId="77777777" w:rsidTr="00DD2050">
        <w:trPr>
          <w:trHeight w:val="254"/>
        </w:trPr>
        <w:tc>
          <w:tcPr>
            <w:tcW w:w="818" w:type="dxa"/>
            <w:vMerge/>
            <w:tcBorders>
              <w:top w:val="nil"/>
            </w:tcBorders>
          </w:tcPr>
          <w:p w14:paraId="7FC48BA0" w14:textId="77777777" w:rsidR="00DD2050" w:rsidRDefault="00DD2050" w:rsidP="00CD363C">
            <w:pPr>
              <w:spacing w:after="0" w:line="240" w:lineRule="auto"/>
              <w:ind w:right="-142"/>
              <w:jc w:val="both"/>
              <w:rPr>
                <w:sz w:val="2"/>
                <w:szCs w:val="2"/>
              </w:rPr>
            </w:pPr>
          </w:p>
        </w:tc>
        <w:tc>
          <w:tcPr>
            <w:tcW w:w="8808" w:type="dxa"/>
            <w:gridSpan w:val="4"/>
          </w:tcPr>
          <w:p w14:paraId="322D70A3" w14:textId="77777777" w:rsidR="00DD2050" w:rsidRDefault="00DD2050" w:rsidP="00CD363C">
            <w:pPr>
              <w:pStyle w:val="TableParagraph"/>
              <w:ind w:left="105" w:right="-142"/>
              <w:jc w:val="both"/>
              <w:rPr>
                <w:b/>
                <w:sz w:val="20"/>
              </w:rPr>
            </w:pPr>
            <w:r>
              <w:rPr>
                <w:b/>
                <w:sz w:val="20"/>
              </w:rPr>
              <w:t>Procentu izdevumi</w:t>
            </w:r>
          </w:p>
        </w:tc>
      </w:tr>
      <w:tr w:rsidR="00DD2050" w14:paraId="1962C294" w14:textId="77777777" w:rsidTr="00DD2050">
        <w:trPr>
          <w:trHeight w:val="253"/>
        </w:trPr>
        <w:tc>
          <w:tcPr>
            <w:tcW w:w="818" w:type="dxa"/>
            <w:vMerge/>
            <w:tcBorders>
              <w:top w:val="nil"/>
            </w:tcBorders>
          </w:tcPr>
          <w:p w14:paraId="7FE2B861" w14:textId="77777777" w:rsidR="00DD2050" w:rsidRDefault="00DD2050" w:rsidP="00CD363C">
            <w:pPr>
              <w:spacing w:after="0" w:line="240" w:lineRule="auto"/>
              <w:ind w:right="-142"/>
              <w:jc w:val="both"/>
              <w:rPr>
                <w:sz w:val="2"/>
                <w:szCs w:val="2"/>
              </w:rPr>
            </w:pPr>
          </w:p>
        </w:tc>
        <w:tc>
          <w:tcPr>
            <w:tcW w:w="2962" w:type="dxa"/>
          </w:tcPr>
          <w:p w14:paraId="37C84C9D" w14:textId="77777777" w:rsidR="00DD2050" w:rsidRDefault="00DD2050" w:rsidP="00CD363C">
            <w:pPr>
              <w:pStyle w:val="TableParagraph"/>
              <w:ind w:left="105" w:right="-142"/>
              <w:jc w:val="both"/>
              <w:rPr>
                <w:sz w:val="20"/>
              </w:rPr>
            </w:pPr>
            <w:r>
              <w:rPr>
                <w:sz w:val="20"/>
              </w:rPr>
              <w:t>D Procentu izdevumi</w:t>
            </w:r>
          </w:p>
        </w:tc>
        <w:tc>
          <w:tcPr>
            <w:tcW w:w="1152" w:type="dxa"/>
          </w:tcPr>
          <w:p w14:paraId="1A2FE1C1" w14:textId="77777777" w:rsidR="00DD2050" w:rsidRDefault="00DD2050" w:rsidP="00CD363C">
            <w:pPr>
              <w:pStyle w:val="TableParagraph"/>
              <w:ind w:left="346" w:right="-142"/>
              <w:jc w:val="both"/>
              <w:rPr>
                <w:sz w:val="20"/>
              </w:rPr>
            </w:pPr>
            <w:r>
              <w:rPr>
                <w:sz w:val="20"/>
              </w:rPr>
              <w:t>8220</w:t>
            </w:r>
          </w:p>
        </w:tc>
        <w:tc>
          <w:tcPr>
            <w:tcW w:w="3288" w:type="dxa"/>
          </w:tcPr>
          <w:p w14:paraId="39F45DDD" w14:textId="77777777" w:rsidR="00DD2050" w:rsidRDefault="00DD2050" w:rsidP="00CD363C">
            <w:pPr>
              <w:pStyle w:val="TableParagraph"/>
              <w:ind w:left="106" w:right="-142"/>
              <w:jc w:val="both"/>
              <w:rPr>
                <w:sz w:val="20"/>
              </w:rPr>
            </w:pPr>
            <w:r>
              <w:rPr>
                <w:sz w:val="20"/>
              </w:rPr>
              <w:t>Procentu izdevumi</w:t>
            </w:r>
          </w:p>
        </w:tc>
        <w:tc>
          <w:tcPr>
            <w:tcW w:w="1406" w:type="dxa"/>
          </w:tcPr>
          <w:p w14:paraId="6EC1BC54" w14:textId="77777777" w:rsidR="00DD2050" w:rsidRDefault="00DD2050" w:rsidP="00CD363C">
            <w:pPr>
              <w:pStyle w:val="TableParagraph"/>
              <w:ind w:right="-142"/>
              <w:jc w:val="both"/>
              <w:rPr>
                <w:sz w:val="20"/>
              </w:rPr>
            </w:pPr>
            <w:r>
              <w:rPr>
                <w:sz w:val="20"/>
              </w:rPr>
              <w:t>21 509,51</w:t>
            </w:r>
          </w:p>
        </w:tc>
      </w:tr>
      <w:tr w:rsidR="00DD2050" w14:paraId="3DE7D02C" w14:textId="77777777" w:rsidTr="00DD2050">
        <w:trPr>
          <w:trHeight w:val="256"/>
        </w:trPr>
        <w:tc>
          <w:tcPr>
            <w:tcW w:w="818" w:type="dxa"/>
            <w:vMerge/>
            <w:tcBorders>
              <w:top w:val="nil"/>
            </w:tcBorders>
          </w:tcPr>
          <w:p w14:paraId="7CCF5625" w14:textId="77777777" w:rsidR="00DD2050" w:rsidRDefault="00DD2050" w:rsidP="00CD363C">
            <w:pPr>
              <w:spacing w:after="0" w:line="240" w:lineRule="auto"/>
              <w:ind w:right="-142"/>
              <w:jc w:val="both"/>
              <w:rPr>
                <w:sz w:val="2"/>
                <w:szCs w:val="2"/>
              </w:rPr>
            </w:pPr>
          </w:p>
        </w:tc>
        <w:tc>
          <w:tcPr>
            <w:tcW w:w="2962" w:type="dxa"/>
          </w:tcPr>
          <w:p w14:paraId="3928B3FD" w14:textId="77777777" w:rsidR="00DD2050" w:rsidRDefault="00DD2050" w:rsidP="00CD363C">
            <w:pPr>
              <w:pStyle w:val="TableParagraph"/>
              <w:ind w:left="105" w:right="-142"/>
              <w:jc w:val="both"/>
              <w:rPr>
                <w:sz w:val="20"/>
              </w:rPr>
            </w:pPr>
            <w:r>
              <w:rPr>
                <w:sz w:val="20"/>
              </w:rPr>
              <w:t>D Pakalpojuma izmaksas</w:t>
            </w:r>
          </w:p>
        </w:tc>
        <w:tc>
          <w:tcPr>
            <w:tcW w:w="1152" w:type="dxa"/>
          </w:tcPr>
          <w:p w14:paraId="698DD623" w14:textId="77777777" w:rsidR="00DD2050" w:rsidRDefault="00DD2050" w:rsidP="00CD363C">
            <w:pPr>
              <w:pStyle w:val="TableParagraph"/>
              <w:ind w:left="346" w:right="-142"/>
              <w:jc w:val="both"/>
              <w:rPr>
                <w:sz w:val="20"/>
              </w:rPr>
            </w:pPr>
            <w:r>
              <w:rPr>
                <w:sz w:val="20"/>
              </w:rPr>
              <w:t>7000</w:t>
            </w:r>
          </w:p>
        </w:tc>
        <w:tc>
          <w:tcPr>
            <w:tcW w:w="3288" w:type="dxa"/>
          </w:tcPr>
          <w:p w14:paraId="015CE5C5" w14:textId="77777777" w:rsidR="00DD2050" w:rsidRDefault="00DD2050" w:rsidP="00CD363C">
            <w:pPr>
              <w:pStyle w:val="TableParagraph"/>
              <w:ind w:left="106" w:right="-142"/>
              <w:jc w:val="both"/>
              <w:rPr>
                <w:sz w:val="20"/>
              </w:rPr>
            </w:pPr>
            <w:r>
              <w:rPr>
                <w:sz w:val="20"/>
              </w:rPr>
              <w:t>Pamatdarbības izdevumi</w:t>
            </w:r>
          </w:p>
        </w:tc>
        <w:tc>
          <w:tcPr>
            <w:tcW w:w="1406" w:type="dxa"/>
          </w:tcPr>
          <w:p w14:paraId="63E75D01" w14:textId="77777777" w:rsidR="00DD2050" w:rsidRDefault="00DD2050" w:rsidP="00CD363C">
            <w:pPr>
              <w:pStyle w:val="TableParagraph"/>
              <w:ind w:right="-142"/>
              <w:jc w:val="both"/>
              <w:rPr>
                <w:sz w:val="20"/>
              </w:rPr>
            </w:pPr>
            <w:r>
              <w:rPr>
                <w:sz w:val="20"/>
              </w:rPr>
              <w:t>6 000,00</w:t>
            </w:r>
          </w:p>
        </w:tc>
      </w:tr>
      <w:tr w:rsidR="00DD2050" w14:paraId="317CDF22" w14:textId="77777777" w:rsidTr="00DD2050">
        <w:trPr>
          <w:trHeight w:val="460"/>
        </w:trPr>
        <w:tc>
          <w:tcPr>
            <w:tcW w:w="818" w:type="dxa"/>
            <w:vMerge/>
            <w:tcBorders>
              <w:top w:val="nil"/>
            </w:tcBorders>
          </w:tcPr>
          <w:p w14:paraId="012A0101" w14:textId="77777777" w:rsidR="00DD2050" w:rsidRDefault="00DD2050" w:rsidP="00CD363C">
            <w:pPr>
              <w:spacing w:after="0" w:line="240" w:lineRule="auto"/>
              <w:ind w:right="-142"/>
              <w:jc w:val="both"/>
              <w:rPr>
                <w:sz w:val="2"/>
                <w:szCs w:val="2"/>
              </w:rPr>
            </w:pPr>
          </w:p>
        </w:tc>
        <w:tc>
          <w:tcPr>
            <w:tcW w:w="2962" w:type="dxa"/>
          </w:tcPr>
          <w:p w14:paraId="43752EBF" w14:textId="77777777" w:rsidR="00DD2050" w:rsidRDefault="00DD2050" w:rsidP="00CD363C">
            <w:pPr>
              <w:pStyle w:val="TableParagraph"/>
              <w:ind w:left="105" w:right="-142"/>
              <w:jc w:val="both"/>
              <w:rPr>
                <w:sz w:val="20"/>
              </w:rPr>
            </w:pPr>
            <w:r>
              <w:rPr>
                <w:sz w:val="20"/>
              </w:rPr>
              <w:t>K Finanšu saistības</w:t>
            </w:r>
          </w:p>
        </w:tc>
        <w:tc>
          <w:tcPr>
            <w:tcW w:w="1152" w:type="dxa"/>
          </w:tcPr>
          <w:p w14:paraId="018F35C0" w14:textId="77777777" w:rsidR="00DD2050" w:rsidRDefault="00DD2050" w:rsidP="00CD363C">
            <w:pPr>
              <w:pStyle w:val="TableParagraph"/>
              <w:ind w:left="346" w:right="-142"/>
              <w:jc w:val="both"/>
              <w:rPr>
                <w:sz w:val="20"/>
              </w:rPr>
            </w:pPr>
            <w:r>
              <w:rPr>
                <w:sz w:val="20"/>
              </w:rPr>
              <w:t>5310</w:t>
            </w:r>
          </w:p>
        </w:tc>
        <w:tc>
          <w:tcPr>
            <w:tcW w:w="3288" w:type="dxa"/>
          </w:tcPr>
          <w:p w14:paraId="6E0DB5F4" w14:textId="77777777" w:rsidR="00DD2050" w:rsidRDefault="00DD2050" w:rsidP="00CD363C">
            <w:pPr>
              <w:pStyle w:val="TableParagraph"/>
              <w:ind w:left="106" w:right="-142"/>
              <w:jc w:val="both"/>
              <w:rPr>
                <w:sz w:val="20"/>
              </w:rPr>
            </w:pPr>
            <w:r>
              <w:rPr>
                <w:sz w:val="20"/>
              </w:rPr>
              <w:t>Īstermiņa saistības pret piegādātājiem</w:t>
            </w:r>
          </w:p>
          <w:p w14:paraId="1F0A3C1E" w14:textId="77777777" w:rsidR="00DD2050" w:rsidRDefault="00DD2050" w:rsidP="00CD363C">
            <w:pPr>
              <w:pStyle w:val="TableParagraph"/>
              <w:ind w:left="106" w:right="-142"/>
              <w:jc w:val="both"/>
              <w:rPr>
                <w:sz w:val="20"/>
              </w:rPr>
            </w:pPr>
            <w:r>
              <w:rPr>
                <w:sz w:val="20"/>
              </w:rPr>
              <w:t>un darbuzņēmējiem</w:t>
            </w:r>
          </w:p>
        </w:tc>
        <w:tc>
          <w:tcPr>
            <w:tcW w:w="1406" w:type="dxa"/>
          </w:tcPr>
          <w:p w14:paraId="66B10E42" w14:textId="77777777" w:rsidR="00DD2050" w:rsidRDefault="00DD2050" w:rsidP="00CD363C">
            <w:pPr>
              <w:pStyle w:val="TableParagraph"/>
              <w:ind w:right="-142"/>
              <w:jc w:val="both"/>
              <w:rPr>
                <w:sz w:val="20"/>
              </w:rPr>
            </w:pPr>
            <w:r>
              <w:rPr>
                <w:sz w:val="20"/>
              </w:rPr>
              <w:t>27 509,51</w:t>
            </w:r>
          </w:p>
        </w:tc>
      </w:tr>
      <w:tr w:rsidR="00DD2050" w14:paraId="265EF54D" w14:textId="77777777" w:rsidTr="00DD2050">
        <w:trPr>
          <w:trHeight w:val="253"/>
        </w:trPr>
        <w:tc>
          <w:tcPr>
            <w:tcW w:w="818" w:type="dxa"/>
            <w:vMerge/>
            <w:tcBorders>
              <w:top w:val="nil"/>
            </w:tcBorders>
          </w:tcPr>
          <w:p w14:paraId="1E88D712" w14:textId="77777777" w:rsidR="00DD2050" w:rsidRDefault="00DD2050" w:rsidP="00CD363C">
            <w:pPr>
              <w:spacing w:after="0" w:line="240" w:lineRule="auto"/>
              <w:ind w:right="-142"/>
              <w:jc w:val="both"/>
              <w:rPr>
                <w:sz w:val="2"/>
                <w:szCs w:val="2"/>
              </w:rPr>
            </w:pPr>
          </w:p>
        </w:tc>
        <w:tc>
          <w:tcPr>
            <w:tcW w:w="8808" w:type="dxa"/>
            <w:gridSpan w:val="4"/>
          </w:tcPr>
          <w:p w14:paraId="02AF9E77" w14:textId="77777777" w:rsidR="00DD2050" w:rsidRDefault="00DD2050" w:rsidP="00CD363C">
            <w:pPr>
              <w:pStyle w:val="TableParagraph"/>
              <w:ind w:left="105" w:right="-142"/>
              <w:jc w:val="both"/>
              <w:rPr>
                <w:b/>
                <w:sz w:val="20"/>
              </w:rPr>
            </w:pPr>
            <w:r>
              <w:rPr>
                <w:b/>
                <w:sz w:val="20"/>
              </w:rPr>
              <w:t>Ieņēmumu atzīšana</w:t>
            </w:r>
          </w:p>
        </w:tc>
      </w:tr>
      <w:tr w:rsidR="00DD2050" w14:paraId="42E94AC4" w14:textId="77777777" w:rsidTr="00DD2050">
        <w:trPr>
          <w:trHeight w:val="460"/>
        </w:trPr>
        <w:tc>
          <w:tcPr>
            <w:tcW w:w="818" w:type="dxa"/>
            <w:vMerge/>
            <w:tcBorders>
              <w:top w:val="nil"/>
            </w:tcBorders>
          </w:tcPr>
          <w:p w14:paraId="23F55C0D" w14:textId="77777777" w:rsidR="00DD2050" w:rsidRDefault="00DD2050" w:rsidP="00CD363C">
            <w:pPr>
              <w:spacing w:after="0" w:line="240" w:lineRule="auto"/>
              <w:ind w:right="-142"/>
              <w:jc w:val="both"/>
              <w:rPr>
                <w:sz w:val="2"/>
                <w:szCs w:val="2"/>
              </w:rPr>
            </w:pPr>
          </w:p>
        </w:tc>
        <w:tc>
          <w:tcPr>
            <w:tcW w:w="2962" w:type="dxa"/>
          </w:tcPr>
          <w:p w14:paraId="16D9175F" w14:textId="77777777" w:rsidR="00DD2050" w:rsidRDefault="00DD2050" w:rsidP="00CD363C">
            <w:pPr>
              <w:pStyle w:val="TableParagraph"/>
              <w:ind w:left="105" w:right="-142"/>
              <w:jc w:val="both"/>
              <w:rPr>
                <w:sz w:val="20"/>
              </w:rPr>
            </w:pPr>
            <w:r>
              <w:rPr>
                <w:sz w:val="20"/>
              </w:rPr>
              <w:t>D Saistības</w:t>
            </w:r>
          </w:p>
        </w:tc>
        <w:tc>
          <w:tcPr>
            <w:tcW w:w="1152" w:type="dxa"/>
          </w:tcPr>
          <w:p w14:paraId="21625747" w14:textId="77777777" w:rsidR="00DD2050" w:rsidRDefault="00DD2050" w:rsidP="00CD363C">
            <w:pPr>
              <w:pStyle w:val="TableParagraph"/>
              <w:ind w:left="346" w:right="-142"/>
              <w:jc w:val="both"/>
              <w:rPr>
                <w:sz w:val="20"/>
              </w:rPr>
            </w:pPr>
            <w:r>
              <w:rPr>
                <w:sz w:val="20"/>
              </w:rPr>
              <w:t>5910</w:t>
            </w:r>
          </w:p>
        </w:tc>
        <w:tc>
          <w:tcPr>
            <w:tcW w:w="3288" w:type="dxa"/>
          </w:tcPr>
          <w:p w14:paraId="54BB085F" w14:textId="77777777" w:rsidR="00DD2050" w:rsidRDefault="00DD2050" w:rsidP="00CD363C">
            <w:pPr>
              <w:pStyle w:val="TableParagraph"/>
              <w:ind w:left="106" w:right="-142"/>
              <w:jc w:val="both"/>
              <w:rPr>
                <w:sz w:val="20"/>
              </w:rPr>
            </w:pPr>
            <w:r>
              <w:rPr>
                <w:sz w:val="20"/>
              </w:rPr>
              <w:t>Nākamo periodu ieņēmumi un</w:t>
            </w:r>
          </w:p>
          <w:p w14:paraId="263D0C97" w14:textId="77777777" w:rsidR="00DD2050" w:rsidRDefault="00DD2050" w:rsidP="00CD363C">
            <w:pPr>
              <w:pStyle w:val="TableParagraph"/>
              <w:ind w:left="106" w:right="-142"/>
              <w:jc w:val="both"/>
              <w:rPr>
                <w:sz w:val="20"/>
              </w:rPr>
            </w:pPr>
            <w:r>
              <w:rPr>
                <w:sz w:val="20"/>
              </w:rPr>
              <w:t>saņemtie avansi</w:t>
            </w:r>
          </w:p>
        </w:tc>
        <w:tc>
          <w:tcPr>
            <w:tcW w:w="1406" w:type="dxa"/>
          </w:tcPr>
          <w:p w14:paraId="0F18BBCC" w14:textId="77777777" w:rsidR="00DD2050" w:rsidRDefault="00DD2050" w:rsidP="00CD363C">
            <w:pPr>
              <w:pStyle w:val="TableParagraph"/>
              <w:ind w:right="-142"/>
              <w:jc w:val="both"/>
              <w:rPr>
                <w:sz w:val="20"/>
              </w:rPr>
            </w:pPr>
            <w:r>
              <w:rPr>
                <w:sz w:val="20"/>
              </w:rPr>
              <w:t>72 500,00</w:t>
            </w:r>
          </w:p>
        </w:tc>
      </w:tr>
      <w:tr w:rsidR="00DD2050" w14:paraId="593F389D" w14:textId="77777777" w:rsidTr="00DD2050">
        <w:trPr>
          <w:trHeight w:val="253"/>
        </w:trPr>
        <w:tc>
          <w:tcPr>
            <w:tcW w:w="818" w:type="dxa"/>
            <w:vMerge/>
            <w:tcBorders>
              <w:top w:val="nil"/>
            </w:tcBorders>
          </w:tcPr>
          <w:p w14:paraId="0AE609E3" w14:textId="77777777" w:rsidR="00DD2050" w:rsidRDefault="00DD2050" w:rsidP="00CD363C">
            <w:pPr>
              <w:spacing w:after="0" w:line="240" w:lineRule="auto"/>
              <w:ind w:right="-142"/>
              <w:jc w:val="both"/>
              <w:rPr>
                <w:sz w:val="2"/>
                <w:szCs w:val="2"/>
              </w:rPr>
            </w:pPr>
          </w:p>
        </w:tc>
        <w:tc>
          <w:tcPr>
            <w:tcW w:w="2962" w:type="dxa"/>
          </w:tcPr>
          <w:p w14:paraId="36160449" w14:textId="77777777" w:rsidR="00DD2050" w:rsidRDefault="00DD2050" w:rsidP="00CD363C">
            <w:pPr>
              <w:pStyle w:val="TableParagraph"/>
              <w:ind w:left="105" w:right="-142"/>
              <w:jc w:val="both"/>
              <w:rPr>
                <w:sz w:val="20"/>
              </w:rPr>
            </w:pPr>
            <w:r>
              <w:rPr>
                <w:sz w:val="20"/>
              </w:rPr>
              <w:t>K Ieņēmumi</w:t>
            </w:r>
          </w:p>
        </w:tc>
        <w:tc>
          <w:tcPr>
            <w:tcW w:w="1152" w:type="dxa"/>
          </w:tcPr>
          <w:p w14:paraId="05AF2E8D" w14:textId="77777777" w:rsidR="00DD2050" w:rsidRDefault="00DD2050" w:rsidP="00CD363C">
            <w:pPr>
              <w:pStyle w:val="TableParagraph"/>
              <w:ind w:left="346" w:right="-142"/>
              <w:jc w:val="both"/>
              <w:rPr>
                <w:sz w:val="20"/>
              </w:rPr>
            </w:pPr>
            <w:r>
              <w:rPr>
                <w:sz w:val="20"/>
              </w:rPr>
              <w:t>6000</w:t>
            </w:r>
          </w:p>
        </w:tc>
        <w:tc>
          <w:tcPr>
            <w:tcW w:w="3288" w:type="dxa"/>
          </w:tcPr>
          <w:p w14:paraId="2C999C62" w14:textId="77777777" w:rsidR="00DD2050" w:rsidRDefault="00DD2050" w:rsidP="00CD363C">
            <w:pPr>
              <w:pStyle w:val="TableParagraph"/>
              <w:ind w:left="106" w:right="-142"/>
              <w:jc w:val="both"/>
              <w:rPr>
                <w:sz w:val="20"/>
              </w:rPr>
            </w:pPr>
            <w:r>
              <w:rPr>
                <w:sz w:val="20"/>
              </w:rPr>
              <w:t>Pamatdarbības ieņēmumi</w:t>
            </w:r>
          </w:p>
        </w:tc>
        <w:tc>
          <w:tcPr>
            <w:tcW w:w="1406" w:type="dxa"/>
          </w:tcPr>
          <w:p w14:paraId="1C11282E" w14:textId="77777777" w:rsidR="00DD2050" w:rsidRDefault="00DD2050" w:rsidP="00CD363C">
            <w:pPr>
              <w:pStyle w:val="TableParagraph"/>
              <w:ind w:right="-142"/>
              <w:jc w:val="both"/>
              <w:rPr>
                <w:sz w:val="20"/>
              </w:rPr>
            </w:pPr>
            <w:r>
              <w:rPr>
                <w:sz w:val="20"/>
              </w:rPr>
              <w:t>72 500,00</w:t>
            </w:r>
          </w:p>
        </w:tc>
      </w:tr>
      <w:tr w:rsidR="00DD2050" w14:paraId="604C7EA3" w14:textId="77777777" w:rsidTr="00DD2050">
        <w:trPr>
          <w:trHeight w:val="256"/>
        </w:trPr>
        <w:tc>
          <w:tcPr>
            <w:tcW w:w="818" w:type="dxa"/>
            <w:vMerge/>
            <w:tcBorders>
              <w:top w:val="nil"/>
            </w:tcBorders>
          </w:tcPr>
          <w:p w14:paraId="696BB8F2" w14:textId="77777777" w:rsidR="00DD2050" w:rsidRDefault="00DD2050" w:rsidP="00CD363C">
            <w:pPr>
              <w:spacing w:after="0" w:line="240" w:lineRule="auto"/>
              <w:ind w:right="-142"/>
              <w:jc w:val="both"/>
              <w:rPr>
                <w:sz w:val="2"/>
                <w:szCs w:val="2"/>
              </w:rPr>
            </w:pPr>
          </w:p>
        </w:tc>
        <w:tc>
          <w:tcPr>
            <w:tcW w:w="8808" w:type="dxa"/>
            <w:gridSpan w:val="4"/>
          </w:tcPr>
          <w:p w14:paraId="64A31AEA" w14:textId="77777777" w:rsidR="00DD2050" w:rsidRDefault="00DD2050" w:rsidP="00CD363C">
            <w:pPr>
              <w:pStyle w:val="TableParagraph"/>
              <w:ind w:left="105" w:right="-142"/>
              <w:jc w:val="both"/>
              <w:rPr>
                <w:b/>
                <w:sz w:val="20"/>
              </w:rPr>
            </w:pPr>
            <w:r>
              <w:rPr>
                <w:b/>
                <w:sz w:val="20"/>
              </w:rPr>
              <w:t>Nolietojuma uzskaite</w:t>
            </w:r>
          </w:p>
        </w:tc>
      </w:tr>
      <w:tr w:rsidR="00DD2050" w14:paraId="1D03EF19" w14:textId="77777777" w:rsidTr="00DD2050">
        <w:trPr>
          <w:trHeight w:val="253"/>
        </w:trPr>
        <w:tc>
          <w:tcPr>
            <w:tcW w:w="818" w:type="dxa"/>
            <w:vMerge/>
            <w:tcBorders>
              <w:top w:val="nil"/>
            </w:tcBorders>
          </w:tcPr>
          <w:p w14:paraId="71A3282D" w14:textId="77777777" w:rsidR="00DD2050" w:rsidRDefault="00DD2050" w:rsidP="00CD363C">
            <w:pPr>
              <w:spacing w:after="0" w:line="240" w:lineRule="auto"/>
              <w:ind w:right="-142"/>
              <w:jc w:val="both"/>
              <w:rPr>
                <w:sz w:val="2"/>
                <w:szCs w:val="2"/>
              </w:rPr>
            </w:pPr>
          </w:p>
        </w:tc>
        <w:tc>
          <w:tcPr>
            <w:tcW w:w="2962" w:type="dxa"/>
          </w:tcPr>
          <w:p w14:paraId="1B4934F2" w14:textId="77777777" w:rsidR="00DD2050" w:rsidRDefault="00DD2050" w:rsidP="00CD363C">
            <w:pPr>
              <w:pStyle w:val="TableParagraph"/>
              <w:ind w:left="105" w:right="-142"/>
              <w:jc w:val="both"/>
              <w:rPr>
                <w:sz w:val="20"/>
              </w:rPr>
            </w:pPr>
            <w:r>
              <w:rPr>
                <w:sz w:val="20"/>
              </w:rPr>
              <w:t>D Nolietojuma izdevumi</w:t>
            </w:r>
          </w:p>
        </w:tc>
        <w:tc>
          <w:tcPr>
            <w:tcW w:w="1152" w:type="dxa"/>
          </w:tcPr>
          <w:p w14:paraId="6280DF49" w14:textId="77777777" w:rsidR="00DD2050" w:rsidRDefault="00DD2050" w:rsidP="00CD363C">
            <w:pPr>
              <w:pStyle w:val="TableParagraph"/>
              <w:ind w:left="346" w:right="-142"/>
              <w:jc w:val="both"/>
              <w:rPr>
                <w:sz w:val="20"/>
              </w:rPr>
            </w:pPr>
            <w:r>
              <w:rPr>
                <w:sz w:val="20"/>
              </w:rPr>
              <w:t>7000</w:t>
            </w:r>
          </w:p>
        </w:tc>
        <w:tc>
          <w:tcPr>
            <w:tcW w:w="3288" w:type="dxa"/>
          </w:tcPr>
          <w:p w14:paraId="0502D647" w14:textId="77777777" w:rsidR="00DD2050" w:rsidRDefault="00DD2050" w:rsidP="00CD363C">
            <w:pPr>
              <w:pStyle w:val="TableParagraph"/>
              <w:ind w:left="106" w:right="-142"/>
              <w:jc w:val="both"/>
              <w:rPr>
                <w:sz w:val="20"/>
              </w:rPr>
            </w:pPr>
            <w:r>
              <w:rPr>
                <w:sz w:val="20"/>
              </w:rPr>
              <w:t>Pamatdarbības izdevumi</w:t>
            </w:r>
          </w:p>
        </w:tc>
        <w:tc>
          <w:tcPr>
            <w:tcW w:w="1406" w:type="dxa"/>
          </w:tcPr>
          <w:p w14:paraId="58E324B4" w14:textId="77777777" w:rsidR="00DD2050" w:rsidRDefault="00DD2050" w:rsidP="00CD363C">
            <w:pPr>
              <w:pStyle w:val="TableParagraph"/>
              <w:ind w:right="-142"/>
              <w:jc w:val="both"/>
              <w:rPr>
                <w:sz w:val="20"/>
              </w:rPr>
            </w:pPr>
            <w:r>
              <w:rPr>
                <w:sz w:val="20"/>
              </w:rPr>
              <w:t>65 333,33</w:t>
            </w:r>
          </w:p>
        </w:tc>
      </w:tr>
      <w:tr w:rsidR="00DD2050" w14:paraId="4E3E5D3A" w14:textId="77777777" w:rsidTr="00DD2050">
        <w:trPr>
          <w:trHeight w:val="256"/>
        </w:trPr>
        <w:tc>
          <w:tcPr>
            <w:tcW w:w="818" w:type="dxa"/>
            <w:vMerge/>
            <w:tcBorders>
              <w:top w:val="nil"/>
            </w:tcBorders>
          </w:tcPr>
          <w:p w14:paraId="3AF86687" w14:textId="77777777" w:rsidR="00DD2050" w:rsidRDefault="00DD2050" w:rsidP="00CD363C">
            <w:pPr>
              <w:spacing w:after="0" w:line="240" w:lineRule="auto"/>
              <w:ind w:right="-142"/>
              <w:jc w:val="both"/>
              <w:rPr>
                <w:sz w:val="2"/>
                <w:szCs w:val="2"/>
              </w:rPr>
            </w:pPr>
          </w:p>
        </w:tc>
        <w:tc>
          <w:tcPr>
            <w:tcW w:w="2962" w:type="dxa"/>
          </w:tcPr>
          <w:p w14:paraId="668217B7" w14:textId="77777777" w:rsidR="00DD2050" w:rsidRDefault="00DD2050" w:rsidP="00CD363C">
            <w:pPr>
              <w:pStyle w:val="TableParagraph"/>
              <w:ind w:left="105" w:right="-142"/>
              <w:jc w:val="both"/>
              <w:rPr>
                <w:sz w:val="20"/>
              </w:rPr>
            </w:pPr>
            <w:r>
              <w:rPr>
                <w:sz w:val="20"/>
              </w:rPr>
              <w:t>K Uzkrātais nolietojums</w:t>
            </w:r>
          </w:p>
        </w:tc>
        <w:tc>
          <w:tcPr>
            <w:tcW w:w="1152" w:type="dxa"/>
          </w:tcPr>
          <w:p w14:paraId="27D4BD0B" w14:textId="77777777" w:rsidR="00DD2050" w:rsidRDefault="00DD2050" w:rsidP="00CD363C">
            <w:pPr>
              <w:pStyle w:val="TableParagraph"/>
              <w:ind w:left="346" w:right="-142"/>
              <w:jc w:val="both"/>
              <w:rPr>
                <w:sz w:val="20"/>
              </w:rPr>
            </w:pPr>
            <w:r>
              <w:rPr>
                <w:sz w:val="20"/>
              </w:rPr>
              <w:t>1291</w:t>
            </w:r>
          </w:p>
        </w:tc>
        <w:tc>
          <w:tcPr>
            <w:tcW w:w="3288" w:type="dxa"/>
          </w:tcPr>
          <w:p w14:paraId="2765289D"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6ED3CBCD" w14:textId="77777777" w:rsidR="00DD2050" w:rsidRDefault="00DD2050" w:rsidP="00CD363C">
            <w:pPr>
              <w:pStyle w:val="TableParagraph"/>
              <w:ind w:right="-142"/>
              <w:jc w:val="both"/>
              <w:rPr>
                <w:sz w:val="20"/>
              </w:rPr>
            </w:pPr>
            <w:r>
              <w:rPr>
                <w:sz w:val="20"/>
              </w:rPr>
              <w:t>65 333,33</w:t>
            </w:r>
          </w:p>
        </w:tc>
      </w:tr>
      <w:tr w:rsidR="00DD2050" w14:paraId="3ACDF62F" w14:textId="77777777" w:rsidTr="00DD2050">
        <w:trPr>
          <w:trHeight w:val="254"/>
        </w:trPr>
        <w:tc>
          <w:tcPr>
            <w:tcW w:w="818" w:type="dxa"/>
            <w:vMerge/>
            <w:tcBorders>
              <w:top w:val="nil"/>
            </w:tcBorders>
          </w:tcPr>
          <w:p w14:paraId="498B4752" w14:textId="77777777" w:rsidR="00DD2050" w:rsidRDefault="00DD2050" w:rsidP="00CD363C">
            <w:pPr>
              <w:spacing w:after="0" w:line="240" w:lineRule="auto"/>
              <w:ind w:right="-142"/>
              <w:jc w:val="both"/>
              <w:rPr>
                <w:sz w:val="2"/>
                <w:szCs w:val="2"/>
              </w:rPr>
            </w:pPr>
          </w:p>
        </w:tc>
        <w:tc>
          <w:tcPr>
            <w:tcW w:w="8808" w:type="dxa"/>
            <w:gridSpan w:val="4"/>
          </w:tcPr>
          <w:p w14:paraId="7F3BF90A"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6BE796D4" w14:textId="77777777" w:rsidTr="00DD2050">
        <w:trPr>
          <w:trHeight w:val="564"/>
        </w:trPr>
        <w:tc>
          <w:tcPr>
            <w:tcW w:w="818" w:type="dxa"/>
            <w:vMerge/>
            <w:tcBorders>
              <w:top w:val="nil"/>
            </w:tcBorders>
          </w:tcPr>
          <w:p w14:paraId="0A6A452A" w14:textId="77777777" w:rsidR="00DD2050" w:rsidRDefault="00DD2050" w:rsidP="00CD363C">
            <w:pPr>
              <w:spacing w:after="0" w:line="240" w:lineRule="auto"/>
              <w:ind w:right="-142"/>
              <w:jc w:val="both"/>
              <w:rPr>
                <w:sz w:val="2"/>
                <w:szCs w:val="2"/>
              </w:rPr>
            </w:pPr>
          </w:p>
        </w:tc>
        <w:tc>
          <w:tcPr>
            <w:tcW w:w="2962" w:type="dxa"/>
          </w:tcPr>
          <w:p w14:paraId="29EC18CD" w14:textId="77777777" w:rsidR="00DD2050" w:rsidRDefault="00DD2050" w:rsidP="00CD363C">
            <w:pPr>
              <w:pStyle w:val="TableParagraph"/>
              <w:ind w:left="105" w:right="-142"/>
              <w:jc w:val="both"/>
              <w:rPr>
                <w:sz w:val="20"/>
              </w:rPr>
            </w:pPr>
            <w:r>
              <w:rPr>
                <w:sz w:val="20"/>
              </w:rPr>
              <w:t>D Finanšu saistības</w:t>
            </w:r>
          </w:p>
        </w:tc>
        <w:tc>
          <w:tcPr>
            <w:tcW w:w="1152" w:type="dxa"/>
          </w:tcPr>
          <w:p w14:paraId="61804152" w14:textId="77777777" w:rsidR="00DD2050" w:rsidRDefault="00DD2050" w:rsidP="00CD363C">
            <w:pPr>
              <w:pStyle w:val="TableParagraph"/>
              <w:ind w:left="346" w:right="-142"/>
              <w:jc w:val="both"/>
              <w:rPr>
                <w:sz w:val="20"/>
              </w:rPr>
            </w:pPr>
            <w:r>
              <w:rPr>
                <w:sz w:val="20"/>
              </w:rPr>
              <w:t>5130</w:t>
            </w:r>
          </w:p>
        </w:tc>
        <w:tc>
          <w:tcPr>
            <w:tcW w:w="3288" w:type="dxa"/>
          </w:tcPr>
          <w:p w14:paraId="1056C042" w14:textId="77777777" w:rsidR="00DD2050" w:rsidRDefault="00DD2050" w:rsidP="00CD363C">
            <w:pPr>
              <w:pStyle w:val="TableParagraph"/>
              <w:ind w:left="106" w:right="-142"/>
              <w:jc w:val="both"/>
              <w:rPr>
                <w:sz w:val="20"/>
              </w:rPr>
            </w:pPr>
            <w:r>
              <w:rPr>
                <w:sz w:val="20"/>
              </w:rPr>
              <w:t>Ilgtermiņa saistības pret piegādātajiem un darbuzņēmējiem</w:t>
            </w:r>
          </w:p>
        </w:tc>
        <w:tc>
          <w:tcPr>
            <w:tcW w:w="1406" w:type="dxa"/>
          </w:tcPr>
          <w:p w14:paraId="6B1A52CE" w14:textId="77777777" w:rsidR="00DD2050" w:rsidRDefault="00DD2050" w:rsidP="00CD363C">
            <w:pPr>
              <w:pStyle w:val="TableParagraph"/>
              <w:ind w:right="-142"/>
              <w:jc w:val="both"/>
              <w:rPr>
                <w:sz w:val="20"/>
              </w:rPr>
            </w:pPr>
            <w:r>
              <w:rPr>
                <w:sz w:val="20"/>
              </w:rPr>
              <w:t>76 969,85</w:t>
            </w:r>
          </w:p>
        </w:tc>
      </w:tr>
      <w:tr w:rsidR="00DD2050" w14:paraId="6AEB1C0E" w14:textId="77777777" w:rsidTr="00DD2050">
        <w:trPr>
          <w:trHeight w:val="565"/>
        </w:trPr>
        <w:tc>
          <w:tcPr>
            <w:tcW w:w="818" w:type="dxa"/>
            <w:vMerge/>
            <w:tcBorders>
              <w:top w:val="nil"/>
            </w:tcBorders>
          </w:tcPr>
          <w:p w14:paraId="2E9235BB" w14:textId="77777777" w:rsidR="00DD2050" w:rsidRDefault="00DD2050" w:rsidP="00CD363C">
            <w:pPr>
              <w:spacing w:after="0" w:line="240" w:lineRule="auto"/>
              <w:ind w:right="-142"/>
              <w:jc w:val="both"/>
              <w:rPr>
                <w:sz w:val="2"/>
                <w:szCs w:val="2"/>
              </w:rPr>
            </w:pPr>
          </w:p>
        </w:tc>
        <w:tc>
          <w:tcPr>
            <w:tcW w:w="2962" w:type="dxa"/>
          </w:tcPr>
          <w:p w14:paraId="3A24245F" w14:textId="77777777" w:rsidR="00DD2050" w:rsidRDefault="00DD2050" w:rsidP="00CD363C">
            <w:pPr>
              <w:pStyle w:val="TableParagraph"/>
              <w:ind w:left="105" w:right="-142"/>
              <w:jc w:val="both"/>
              <w:rPr>
                <w:sz w:val="20"/>
              </w:rPr>
            </w:pPr>
            <w:r>
              <w:rPr>
                <w:sz w:val="20"/>
              </w:rPr>
              <w:t>K Finanšu saistības</w:t>
            </w:r>
          </w:p>
        </w:tc>
        <w:tc>
          <w:tcPr>
            <w:tcW w:w="1152" w:type="dxa"/>
          </w:tcPr>
          <w:p w14:paraId="17941766" w14:textId="77777777" w:rsidR="00DD2050" w:rsidRDefault="00DD2050" w:rsidP="00CD363C">
            <w:pPr>
              <w:pStyle w:val="TableParagraph"/>
              <w:ind w:left="346" w:right="-142"/>
              <w:jc w:val="both"/>
              <w:rPr>
                <w:sz w:val="20"/>
              </w:rPr>
            </w:pPr>
            <w:r>
              <w:rPr>
                <w:sz w:val="20"/>
              </w:rPr>
              <w:t>5310</w:t>
            </w:r>
          </w:p>
        </w:tc>
        <w:tc>
          <w:tcPr>
            <w:tcW w:w="3288" w:type="dxa"/>
          </w:tcPr>
          <w:p w14:paraId="27525117" w14:textId="77777777" w:rsidR="00DD2050" w:rsidRDefault="00DD2050" w:rsidP="00CD363C">
            <w:pPr>
              <w:pStyle w:val="TableParagraph"/>
              <w:ind w:left="106" w:right="-142" w:firstLine="50"/>
              <w:jc w:val="both"/>
              <w:rPr>
                <w:sz w:val="20"/>
              </w:rPr>
            </w:pPr>
            <w:r>
              <w:rPr>
                <w:sz w:val="20"/>
              </w:rPr>
              <w:t>Īstermiņa saistības pret piegādātājiem un darbuzņēmējiem</w:t>
            </w:r>
          </w:p>
        </w:tc>
        <w:tc>
          <w:tcPr>
            <w:tcW w:w="1406" w:type="dxa"/>
          </w:tcPr>
          <w:p w14:paraId="1BFD9934" w14:textId="77777777" w:rsidR="00DD2050" w:rsidRDefault="00DD2050" w:rsidP="00CD363C">
            <w:pPr>
              <w:pStyle w:val="TableParagraph"/>
              <w:ind w:right="-142"/>
              <w:jc w:val="both"/>
              <w:rPr>
                <w:sz w:val="20"/>
              </w:rPr>
            </w:pPr>
            <w:r>
              <w:rPr>
                <w:sz w:val="20"/>
              </w:rPr>
              <w:t>76 969,85</w:t>
            </w:r>
          </w:p>
        </w:tc>
      </w:tr>
      <w:tr w:rsidR="00DD2050" w14:paraId="70FA23B2" w14:textId="77777777" w:rsidTr="00DD2050">
        <w:trPr>
          <w:trHeight w:val="254"/>
        </w:trPr>
        <w:tc>
          <w:tcPr>
            <w:tcW w:w="818" w:type="dxa"/>
            <w:vMerge/>
            <w:tcBorders>
              <w:top w:val="nil"/>
            </w:tcBorders>
          </w:tcPr>
          <w:p w14:paraId="58A03FD1" w14:textId="77777777" w:rsidR="00DD2050" w:rsidRDefault="00DD2050" w:rsidP="00CD363C">
            <w:pPr>
              <w:spacing w:after="0" w:line="240" w:lineRule="auto"/>
              <w:ind w:right="-142"/>
              <w:jc w:val="both"/>
              <w:rPr>
                <w:sz w:val="2"/>
                <w:szCs w:val="2"/>
              </w:rPr>
            </w:pPr>
          </w:p>
        </w:tc>
        <w:tc>
          <w:tcPr>
            <w:tcW w:w="8808" w:type="dxa"/>
            <w:gridSpan w:val="4"/>
          </w:tcPr>
          <w:p w14:paraId="16BD2326"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20098DED" w14:textId="77777777" w:rsidTr="00DD2050">
        <w:trPr>
          <w:trHeight w:val="690"/>
        </w:trPr>
        <w:tc>
          <w:tcPr>
            <w:tcW w:w="818" w:type="dxa"/>
            <w:vMerge/>
            <w:tcBorders>
              <w:top w:val="nil"/>
            </w:tcBorders>
          </w:tcPr>
          <w:p w14:paraId="47385B06" w14:textId="77777777" w:rsidR="00DD2050" w:rsidRDefault="00DD2050" w:rsidP="00CD363C">
            <w:pPr>
              <w:spacing w:after="0" w:line="240" w:lineRule="auto"/>
              <w:ind w:right="-142"/>
              <w:jc w:val="both"/>
              <w:rPr>
                <w:sz w:val="2"/>
                <w:szCs w:val="2"/>
              </w:rPr>
            </w:pPr>
          </w:p>
        </w:tc>
        <w:tc>
          <w:tcPr>
            <w:tcW w:w="2962" w:type="dxa"/>
          </w:tcPr>
          <w:p w14:paraId="5808DCA8" w14:textId="77777777" w:rsidR="00DD2050" w:rsidRDefault="00DD2050" w:rsidP="00CD363C">
            <w:pPr>
              <w:pStyle w:val="TableParagraph"/>
              <w:ind w:right="-142"/>
              <w:jc w:val="both"/>
              <w:rPr>
                <w:i/>
                <w:sz w:val="19"/>
              </w:rPr>
            </w:pPr>
          </w:p>
          <w:p w14:paraId="6705ECF3" w14:textId="77777777" w:rsidR="00DD2050" w:rsidRDefault="00DD2050" w:rsidP="00CD363C">
            <w:pPr>
              <w:pStyle w:val="TableParagraph"/>
              <w:ind w:left="105" w:right="-142"/>
              <w:jc w:val="both"/>
              <w:rPr>
                <w:sz w:val="20"/>
              </w:rPr>
            </w:pPr>
            <w:r>
              <w:rPr>
                <w:sz w:val="20"/>
              </w:rPr>
              <w:t>D Saistības</w:t>
            </w:r>
          </w:p>
        </w:tc>
        <w:tc>
          <w:tcPr>
            <w:tcW w:w="1152" w:type="dxa"/>
          </w:tcPr>
          <w:p w14:paraId="696010E6" w14:textId="77777777" w:rsidR="00DD2050" w:rsidRDefault="00DD2050" w:rsidP="00CD363C">
            <w:pPr>
              <w:pStyle w:val="TableParagraph"/>
              <w:ind w:right="-142"/>
              <w:jc w:val="both"/>
              <w:rPr>
                <w:i/>
                <w:sz w:val="19"/>
              </w:rPr>
            </w:pPr>
          </w:p>
          <w:p w14:paraId="2575339A" w14:textId="77777777" w:rsidR="00DD2050" w:rsidRDefault="00DD2050" w:rsidP="00CD363C">
            <w:pPr>
              <w:pStyle w:val="TableParagraph"/>
              <w:ind w:left="346" w:right="-142"/>
              <w:jc w:val="both"/>
              <w:rPr>
                <w:sz w:val="20"/>
              </w:rPr>
            </w:pPr>
            <w:r>
              <w:rPr>
                <w:sz w:val="20"/>
              </w:rPr>
              <w:t>5150</w:t>
            </w:r>
          </w:p>
        </w:tc>
        <w:tc>
          <w:tcPr>
            <w:tcW w:w="3288" w:type="dxa"/>
          </w:tcPr>
          <w:p w14:paraId="1C4971F1" w14:textId="77777777" w:rsidR="00DD2050" w:rsidRDefault="00DD2050" w:rsidP="00CD363C">
            <w:pPr>
              <w:pStyle w:val="TableParagraph"/>
              <w:ind w:left="106" w:right="-142"/>
              <w:jc w:val="both"/>
              <w:rPr>
                <w:sz w:val="20"/>
              </w:rPr>
            </w:pPr>
            <w:r>
              <w:rPr>
                <w:sz w:val="20"/>
              </w:rPr>
              <w:t>Ilgtermiņa nākamo periodu ieņēmumi un saņemtie avansa</w:t>
            </w:r>
          </w:p>
          <w:p w14:paraId="48A4D99B" w14:textId="77777777" w:rsidR="00DD2050" w:rsidRDefault="00DD2050" w:rsidP="00CD363C">
            <w:pPr>
              <w:pStyle w:val="TableParagraph"/>
              <w:ind w:left="106" w:right="-142"/>
              <w:jc w:val="both"/>
              <w:rPr>
                <w:sz w:val="20"/>
              </w:rPr>
            </w:pPr>
            <w:r>
              <w:rPr>
                <w:sz w:val="20"/>
              </w:rPr>
              <w:t>maksājumi</w:t>
            </w:r>
          </w:p>
        </w:tc>
        <w:tc>
          <w:tcPr>
            <w:tcW w:w="1406" w:type="dxa"/>
          </w:tcPr>
          <w:p w14:paraId="773CEBD8" w14:textId="77777777" w:rsidR="00DD2050" w:rsidRDefault="00DD2050" w:rsidP="00CD363C">
            <w:pPr>
              <w:pStyle w:val="TableParagraph"/>
              <w:ind w:right="-142"/>
              <w:jc w:val="both"/>
              <w:rPr>
                <w:i/>
                <w:sz w:val="19"/>
              </w:rPr>
            </w:pPr>
          </w:p>
          <w:p w14:paraId="7730A3D1" w14:textId="77777777" w:rsidR="00DD2050" w:rsidRDefault="00DD2050" w:rsidP="00CD363C">
            <w:pPr>
              <w:pStyle w:val="TableParagraph"/>
              <w:ind w:right="-142"/>
              <w:jc w:val="both"/>
              <w:rPr>
                <w:sz w:val="20"/>
              </w:rPr>
            </w:pPr>
            <w:r>
              <w:rPr>
                <w:sz w:val="20"/>
              </w:rPr>
              <w:t>72 500,00</w:t>
            </w:r>
          </w:p>
        </w:tc>
      </w:tr>
      <w:tr w:rsidR="00DD2050" w14:paraId="0489975A" w14:textId="77777777" w:rsidTr="00DD2050">
        <w:trPr>
          <w:trHeight w:val="460"/>
        </w:trPr>
        <w:tc>
          <w:tcPr>
            <w:tcW w:w="818" w:type="dxa"/>
            <w:vMerge/>
            <w:tcBorders>
              <w:top w:val="nil"/>
            </w:tcBorders>
          </w:tcPr>
          <w:p w14:paraId="29968076" w14:textId="77777777" w:rsidR="00DD2050" w:rsidRDefault="00DD2050" w:rsidP="00CD363C">
            <w:pPr>
              <w:spacing w:after="0" w:line="240" w:lineRule="auto"/>
              <w:ind w:right="-142"/>
              <w:jc w:val="both"/>
              <w:rPr>
                <w:sz w:val="2"/>
                <w:szCs w:val="2"/>
              </w:rPr>
            </w:pPr>
          </w:p>
        </w:tc>
        <w:tc>
          <w:tcPr>
            <w:tcW w:w="2962" w:type="dxa"/>
          </w:tcPr>
          <w:p w14:paraId="0DCAEDA9" w14:textId="77777777" w:rsidR="00DD2050" w:rsidRDefault="00DD2050" w:rsidP="00CD363C">
            <w:pPr>
              <w:pStyle w:val="TableParagraph"/>
              <w:ind w:left="105" w:right="-142"/>
              <w:jc w:val="both"/>
              <w:rPr>
                <w:sz w:val="20"/>
              </w:rPr>
            </w:pPr>
            <w:r>
              <w:rPr>
                <w:sz w:val="20"/>
              </w:rPr>
              <w:t>K Saistības</w:t>
            </w:r>
          </w:p>
        </w:tc>
        <w:tc>
          <w:tcPr>
            <w:tcW w:w="1152" w:type="dxa"/>
          </w:tcPr>
          <w:p w14:paraId="3D0C281D" w14:textId="77777777" w:rsidR="00DD2050" w:rsidRDefault="00DD2050" w:rsidP="00CD363C">
            <w:pPr>
              <w:pStyle w:val="TableParagraph"/>
              <w:ind w:left="346" w:right="-142"/>
              <w:jc w:val="both"/>
              <w:rPr>
                <w:sz w:val="20"/>
              </w:rPr>
            </w:pPr>
            <w:r>
              <w:rPr>
                <w:sz w:val="20"/>
              </w:rPr>
              <w:t>5910</w:t>
            </w:r>
          </w:p>
        </w:tc>
        <w:tc>
          <w:tcPr>
            <w:tcW w:w="3288" w:type="dxa"/>
          </w:tcPr>
          <w:p w14:paraId="166BB176" w14:textId="77777777" w:rsidR="00DD2050" w:rsidRDefault="00DD2050" w:rsidP="00CD363C">
            <w:pPr>
              <w:pStyle w:val="TableParagraph"/>
              <w:ind w:left="106" w:right="-142"/>
              <w:jc w:val="both"/>
              <w:rPr>
                <w:sz w:val="20"/>
              </w:rPr>
            </w:pPr>
            <w:r>
              <w:rPr>
                <w:sz w:val="20"/>
              </w:rPr>
              <w:t>Nākamo periodu ieņēmumi un</w:t>
            </w:r>
          </w:p>
          <w:p w14:paraId="3C83B5F0" w14:textId="77777777" w:rsidR="00DD2050" w:rsidRDefault="00DD2050" w:rsidP="00CD363C">
            <w:pPr>
              <w:pStyle w:val="TableParagraph"/>
              <w:ind w:left="106" w:right="-142"/>
              <w:jc w:val="both"/>
              <w:rPr>
                <w:sz w:val="20"/>
              </w:rPr>
            </w:pPr>
            <w:r>
              <w:rPr>
                <w:sz w:val="20"/>
              </w:rPr>
              <w:t>saņemtie avansi</w:t>
            </w:r>
          </w:p>
        </w:tc>
        <w:tc>
          <w:tcPr>
            <w:tcW w:w="1406" w:type="dxa"/>
          </w:tcPr>
          <w:p w14:paraId="23E78943" w14:textId="77777777" w:rsidR="00DD2050" w:rsidRDefault="00DD2050" w:rsidP="00CD363C">
            <w:pPr>
              <w:pStyle w:val="TableParagraph"/>
              <w:ind w:right="-142"/>
              <w:jc w:val="both"/>
              <w:rPr>
                <w:sz w:val="20"/>
              </w:rPr>
            </w:pPr>
            <w:r>
              <w:rPr>
                <w:sz w:val="20"/>
              </w:rPr>
              <w:t>72 500,00</w:t>
            </w:r>
          </w:p>
        </w:tc>
      </w:tr>
      <w:tr w:rsidR="00DD2050" w14:paraId="1655547B" w14:textId="77777777" w:rsidTr="00DD2050">
        <w:trPr>
          <w:trHeight w:val="254"/>
        </w:trPr>
        <w:tc>
          <w:tcPr>
            <w:tcW w:w="818" w:type="dxa"/>
            <w:vMerge w:val="restart"/>
          </w:tcPr>
          <w:p w14:paraId="2D7FFA2A" w14:textId="77777777" w:rsidR="00DD2050" w:rsidRDefault="00DD2050" w:rsidP="00CD363C">
            <w:pPr>
              <w:pStyle w:val="TableParagraph"/>
              <w:ind w:right="-142"/>
              <w:jc w:val="both"/>
              <w:rPr>
                <w:i/>
              </w:rPr>
            </w:pPr>
          </w:p>
          <w:p w14:paraId="21ACE604" w14:textId="77777777" w:rsidR="00DD2050" w:rsidRDefault="00DD2050" w:rsidP="00CD363C">
            <w:pPr>
              <w:pStyle w:val="TableParagraph"/>
              <w:ind w:right="-142"/>
              <w:jc w:val="both"/>
              <w:rPr>
                <w:i/>
              </w:rPr>
            </w:pPr>
          </w:p>
          <w:p w14:paraId="0100E93F" w14:textId="77777777" w:rsidR="00DD2050" w:rsidRDefault="00DD2050" w:rsidP="00CD363C">
            <w:pPr>
              <w:pStyle w:val="TableParagraph"/>
              <w:ind w:right="-142"/>
              <w:jc w:val="both"/>
              <w:rPr>
                <w:i/>
                <w:sz w:val="31"/>
              </w:rPr>
            </w:pPr>
          </w:p>
          <w:p w14:paraId="1B00B56F" w14:textId="77777777" w:rsidR="00DD2050" w:rsidRDefault="00DD2050" w:rsidP="00CD363C">
            <w:pPr>
              <w:pStyle w:val="TableParagraph"/>
              <w:ind w:right="-142"/>
              <w:jc w:val="both"/>
              <w:rPr>
                <w:b/>
                <w:sz w:val="20"/>
              </w:rPr>
            </w:pPr>
            <w:r>
              <w:rPr>
                <w:b/>
                <w:w w:val="99"/>
                <w:sz w:val="20"/>
              </w:rPr>
              <w:t>7</w:t>
            </w:r>
          </w:p>
        </w:tc>
        <w:tc>
          <w:tcPr>
            <w:tcW w:w="8808" w:type="dxa"/>
            <w:gridSpan w:val="4"/>
          </w:tcPr>
          <w:p w14:paraId="053D28DD" w14:textId="77777777" w:rsidR="00DD2050" w:rsidRDefault="00DD2050" w:rsidP="00CD363C">
            <w:pPr>
              <w:pStyle w:val="TableParagraph"/>
              <w:ind w:left="105" w:right="-142"/>
              <w:jc w:val="both"/>
              <w:rPr>
                <w:b/>
                <w:sz w:val="20"/>
              </w:rPr>
            </w:pPr>
            <w:r>
              <w:rPr>
                <w:b/>
                <w:sz w:val="20"/>
              </w:rPr>
              <w:t>Maksājuma veikšana</w:t>
            </w:r>
          </w:p>
        </w:tc>
      </w:tr>
      <w:tr w:rsidR="00DD2050" w14:paraId="27E96DE6" w14:textId="77777777" w:rsidTr="00DD2050">
        <w:trPr>
          <w:trHeight w:val="460"/>
        </w:trPr>
        <w:tc>
          <w:tcPr>
            <w:tcW w:w="818" w:type="dxa"/>
            <w:vMerge/>
            <w:tcBorders>
              <w:top w:val="nil"/>
            </w:tcBorders>
          </w:tcPr>
          <w:p w14:paraId="6296B8A1" w14:textId="77777777" w:rsidR="00DD2050" w:rsidRDefault="00DD2050" w:rsidP="00CD363C">
            <w:pPr>
              <w:spacing w:after="0" w:line="240" w:lineRule="auto"/>
              <w:ind w:right="-142"/>
              <w:jc w:val="both"/>
              <w:rPr>
                <w:sz w:val="2"/>
                <w:szCs w:val="2"/>
              </w:rPr>
            </w:pPr>
          </w:p>
        </w:tc>
        <w:tc>
          <w:tcPr>
            <w:tcW w:w="2962" w:type="dxa"/>
          </w:tcPr>
          <w:p w14:paraId="4B35D4B0" w14:textId="77777777" w:rsidR="00DD2050" w:rsidRDefault="00DD2050" w:rsidP="00CD363C">
            <w:pPr>
              <w:pStyle w:val="TableParagraph"/>
              <w:ind w:left="105" w:right="-142"/>
              <w:jc w:val="both"/>
              <w:rPr>
                <w:sz w:val="20"/>
              </w:rPr>
            </w:pPr>
            <w:r>
              <w:rPr>
                <w:sz w:val="20"/>
              </w:rPr>
              <w:t>D Finanšu saistības</w:t>
            </w:r>
          </w:p>
        </w:tc>
        <w:tc>
          <w:tcPr>
            <w:tcW w:w="1152" w:type="dxa"/>
          </w:tcPr>
          <w:p w14:paraId="6B2D3E26" w14:textId="77777777" w:rsidR="00DD2050" w:rsidRDefault="00DD2050" w:rsidP="00CD363C">
            <w:pPr>
              <w:pStyle w:val="TableParagraph"/>
              <w:ind w:left="346" w:right="-142"/>
              <w:jc w:val="both"/>
              <w:rPr>
                <w:sz w:val="20"/>
              </w:rPr>
            </w:pPr>
            <w:r>
              <w:rPr>
                <w:sz w:val="20"/>
              </w:rPr>
              <w:t>5310</w:t>
            </w:r>
          </w:p>
        </w:tc>
        <w:tc>
          <w:tcPr>
            <w:tcW w:w="3288" w:type="dxa"/>
          </w:tcPr>
          <w:p w14:paraId="41B62C52" w14:textId="77777777" w:rsidR="00DD2050" w:rsidRDefault="00DD2050" w:rsidP="00CD363C">
            <w:pPr>
              <w:pStyle w:val="TableParagraph"/>
              <w:ind w:left="106" w:right="-142"/>
              <w:jc w:val="both"/>
              <w:rPr>
                <w:sz w:val="20"/>
              </w:rPr>
            </w:pPr>
            <w:r>
              <w:rPr>
                <w:sz w:val="20"/>
              </w:rPr>
              <w:t>Īstermiņa saistības pret piegādātājiem</w:t>
            </w:r>
          </w:p>
          <w:p w14:paraId="04CF0AA7" w14:textId="77777777" w:rsidR="00DD2050" w:rsidRDefault="00DD2050" w:rsidP="00CD363C">
            <w:pPr>
              <w:pStyle w:val="TableParagraph"/>
              <w:ind w:left="106" w:right="-142"/>
              <w:jc w:val="both"/>
              <w:rPr>
                <w:sz w:val="20"/>
              </w:rPr>
            </w:pPr>
            <w:r>
              <w:rPr>
                <w:sz w:val="20"/>
              </w:rPr>
              <w:t>un darbuzņēmējiem</w:t>
            </w:r>
          </w:p>
        </w:tc>
        <w:tc>
          <w:tcPr>
            <w:tcW w:w="1406" w:type="dxa"/>
          </w:tcPr>
          <w:p w14:paraId="15D85960" w14:textId="77777777" w:rsidR="00DD2050" w:rsidRDefault="00DD2050" w:rsidP="00CD363C">
            <w:pPr>
              <w:pStyle w:val="TableParagraph"/>
              <w:ind w:right="-142"/>
              <w:jc w:val="both"/>
              <w:rPr>
                <w:sz w:val="20"/>
              </w:rPr>
            </w:pPr>
            <w:r>
              <w:rPr>
                <w:sz w:val="20"/>
              </w:rPr>
              <w:t>100 000,00</w:t>
            </w:r>
          </w:p>
        </w:tc>
      </w:tr>
      <w:tr w:rsidR="00DD2050" w14:paraId="6BE7FD11" w14:textId="77777777" w:rsidTr="00DD2050">
        <w:trPr>
          <w:trHeight w:val="254"/>
        </w:trPr>
        <w:tc>
          <w:tcPr>
            <w:tcW w:w="818" w:type="dxa"/>
            <w:vMerge/>
            <w:tcBorders>
              <w:top w:val="nil"/>
            </w:tcBorders>
          </w:tcPr>
          <w:p w14:paraId="4129E8F8" w14:textId="77777777" w:rsidR="00DD2050" w:rsidRDefault="00DD2050" w:rsidP="00CD363C">
            <w:pPr>
              <w:spacing w:after="0" w:line="240" w:lineRule="auto"/>
              <w:ind w:right="-142"/>
              <w:jc w:val="both"/>
              <w:rPr>
                <w:sz w:val="2"/>
                <w:szCs w:val="2"/>
              </w:rPr>
            </w:pPr>
          </w:p>
        </w:tc>
        <w:tc>
          <w:tcPr>
            <w:tcW w:w="2962" w:type="dxa"/>
          </w:tcPr>
          <w:p w14:paraId="7FDB58D1" w14:textId="77777777" w:rsidR="00DD2050" w:rsidRDefault="00DD2050" w:rsidP="00CD363C">
            <w:pPr>
              <w:pStyle w:val="TableParagraph"/>
              <w:ind w:left="105" w:right="-142"/>
              <w:jc w:val="both"/>
              <w:rPr>
                <w:sz w:val="20"/>
              </w:rPr>
            </w:pPr>
            <w:r>
              <w:rPr>
                <w:sz w:val="20"/>
              </w:rPr>
              <w:t>K Nauda</w:t>
            </w:r>
          </w:p>
        </w:tc>
        <w:tc>
          <w:tcPr>
            <w:tcW w:w="1152" w:type="dxa"/>
          </w:tcPr>
          <w:p w14:paraId="1CEB4B41" w14:textId="77777777" w:rsidR="00DD2050" w:rsidRDefault="00DD2050" w:rsidP="00CD363C">
            <w:pPr>
              <w:pStyle w:val="TableParagraph"/>
              <w:ind w:left="346" w:right="-142"/>
              <w:jc w:val="both"/>
              <w:rPr>
                <w:sz w:val="20"/>
              </w:rPr>
            </w:pPr>
            <w:r>
              <w:rPr>
                <w:sz w:val="20"/>
              </w:rPr>
              <w:t>2600</w:t>
            </w:r>
          </w:p>
        </w:tc>
        <w:tc>
          <w:tcPr>
            <w:tcW w:w="3288" w:type="dxa"/>
          </w:tcPr>
          <w:p w14:paraId="09B2C3E0" w14:textId="77777777" w:rsidR="00DD2050" w:rsidRDefault="00DD2050" w:rsidP="00CD363C">
            <w:pPr>
              <w:pStyle w:val="TableParagraph"/>
              <w:ind w:left="106" w:right="-142"/>
              <w:jc w:val="both"/>
              <w:rPr>
                <w:sz w:val="20"/>
              </w:rPr>
            </w:pPr>
            <w:r>
              <w:rPr>
                <w:sz w:val="20"/>
              </w:rPr>
              <w:t>Naudas līdzekļi</w:t>
            </w:r>
          </w:p>
        </w:tc>
        <w:tc>
          <w:tcPr>
            <w:tcW w:w="1406" w:type="dxa"/>
          </w:tcPr>
          <w:p w14:paraId="2A1111E3" w14:textId="77777777" w:rsidR="00DD2050" w:rsidRDefault="00DD2050" w:rsidP="00CD363C">
            <w:pPr>
              <w:pStyle w:val="TableParagraph"/>
              <w:ind w:right="-142"/>
              <w:jc w:val="both"/>
              <w:rPr>
                <w:sz w:val="20"/>
              </w:rPr>
            </w:pPr>
            <w:r>
              <w:rPr>
                <w:sz w:val="20"/>
              </w:rPr>
              <w:t>100 000,00</w:t>
            </w:r>
          </w:p>
        </w:tc>
      </w:tr>
      <w:tr w:rsidR="00DD2050" w14:paraId="4130DD99" w14:textId="77777777" w:rsidTr="00DD2050">
        <w:trPr>
          <w:trHeight w:val="256"/>
        </w:trPr>
        <w:tc>
          <w:tcPr>
            <w:tcW w:w="818" w:type="dxa"/>
            <w:vMerge/>
            <w:tcBorders>
              <w:top w:val="nil"/>
            </w:tcBorders>
          </w:tcPr>
          <w:p w14:paraId="3DE45995" w14:textId="77777777" w:rsidR="00DD2050" w:rsidRDefault="00DD2050" w:rsidP="00CD363C">
            <w:pPr>
              <w:spacing w:after="0" w:line="240" w:lineRule="auto"/>
              <w:ind w:right="-142"/>
              <w:jc w:val="both"/>
              <w:rPr>
                <w:sz w:val="2"/>
                <w:szCs w:val="2"/>
              </w:rPr>
            </w:pPr>
          </w:p>
        </w:tc>
        <w:tc>
          <w:tcPr>
            <w:tcW w:w="8808" w:type="dxa"/>
            <w:gridSpan w:val="4"/>
          </w:tcPr>
          <w:p w14:paraId="7C4D6BE3" w14:textId="77777777" w:rsidR="00DD2050" w:rsidRDefault="00DD2050" w:rsidP="00CD363C">
            <w:pPr>
              <w:pStyle w:val="TableParagraph"/>
              <w:ind w:left="105" w:right="-142"/>
              <w:jc w:val="both"/>
              <w:rPr>
                <w:b/>
                <w:sz w:val="20"/>
              </w:rPr>
            </w:pPr>
            <w:r>
              <w:rPr>
                <w:b/>
                <w:sz w:val="20"/>
              </w:rPr>
              <w:t>Procentu izdevumi</w:t>
            </w:r>
          </w:p>
        </w:tc>
      </w:tr>
      <w:tr w:rsidR="00DD2050" w14:paraId="5BED5723" w14:textId="77777777" w:rsidTr="00DD2050">
        <w:trPr>
          <w:trHeight w:val="253"/>
        </w:trPr>
        <w:tc>
          <w:tcPr>
            <w:tcW w:w="818" w:type="dxa"/>
            <w:vMerge/>
            <w:tcBorders>
              <w:top w:val="nil"/>
            </w:tcBorders>
          </w:tcPr>
          <w:p w14:paraId="0AB2136C" w14:textId="77777777" w:rsidR="00DD2050" w:rsidRDefault="00DD2050" w:rsidP="00CD363C">
            <w:pPr>
              <w:spacing w:after="0" w:line="240" w:lineRule="auto"/>
              <w:ind w:right="-142"/>
              <w:jc w:val="both"/>
              <w:rPr>
                <w:sz w:val="2"/>
                <w:szCs w:val="2"/>
              </w:rPr>
            </w:pPr>
          </w:p>
        </w:tc>
        <w:tc>
          <w:tcPr>
            <w:tcW w:w="2962" w:type="dxa"/>
          </w:tcPr>
          <w:p w14:paraId="6C9FCBBB" w14:textId="77777777" w:rsidR="00DD2050" w:rsidRDefault="00DD2050" w:rsidP="00CD363C">
            <w:pPr>
              <w:pStyle w:val="TableParagraph"/>
              <w:ind w:left="105" w:right="-142"/>
              <w:jc w:val="both"/>
              <w:rPr>
                <w:sz w:val="20"/>
              </w:rPr>
            </w:pPr>
            <w:r>
              <w:rPr>
                <w:sz w:val="20"/>
              </w:rPr>
              <w:t>D Procentu izdevumi</w:t>
            </w:r>
          </w:p>
        </w:tc>
        <w:tc>
          <w:tcPr>
            <w:tcW w:w="1152" w:type="dxa"/>
          </w:tcPr>
          <w:p w14:paraId="4957B94C" w14:textId="77777777" w:rsidR="00DD2050" w:rsidRDefault="00DD2050" w:rsidP="00CD363C">
            <w:pPr>
              <w:pStyle w:val="TableParagraph"/>
              <w:ind w:left="346" w:right="-142"/>
              <w:jc w:val="both"/>
              <w:rPr>
                <w:sz w:val="20"/>
              </w:rPr>
            </w:pPr>
            <w:r>
              <w:rPr>
                <w:sz w:val="20"/>
              </w:rPr>
              <w:t>8220</w:t>
            </w:r>
          </w:p>
        </w:tc>
        <w:tc>
          <w:tcPr>
            <w:tcW w:w="3288" w:type="dxa"/>
          </w:tcPr>
          <w:p w14:paraId="456C75E5" w14:textId="77777777" w:rsidR="00DD2050" w:rsidRDefault="00DD2050" w:rsidP="00CD363C">
            <w:pPr>
              <w:pStyle w:val="TableParagraph"/>
              <w:ind w:left="106" w:right="-142"/>
              <w:jc w:val="both"/>
              <w:rPr>
                <w:sz w:val="20"/>
              </w:rPr>
            </w:pPr>
            <w:r>
              <w:rPr>
                <w:sz w:val="20"/>
              </w:rPr>
              <w:t>Procentu izdevumi</w:t>
            </w:r>
          </w:p>
        </w:tc>
        <w:tc>
          <w:tcPr>
            <w:tcW w:w="1406" w:type="dxa"/>
          </w:tcPr>
          <w:p w14:paraId="6CF3B17F" w14:textId="77777777" w:rsidR="00DD2050" w:rsidRDefault="00DD2050" w:rsidP="00CD363C">
            <w:pPr>
              <w:pStyle w:val="TableParagraph"/>
              <w:ind w:right="-142"/>
              <w:jc w:val="both"/>
              <w:rPr>
                <w:sz w:val="20"/>
              </w:rPr>
            </w:pPr>
            <w:r>
              <w:rPr>
                <w:sz w:val="20"/>
              </w:rPr>
              <w:t>17 030,15</w:t>
            </w:r>
          </w:p>
        </w:tc>
      </w:tr>
      <w:tr w:rsidR="00DD2050" w14:paraId="6628BE3E" w14:textId="77777777" w:rsidTr="00DD2050">
        <w:trPr>
          <w:trHeight w:val="256"/>
        </w:trPr>
        <w:tc>
          <w:tcPr>
            <w:tcW w:w="818" w:type="dxa"/>
            <w:vMerge/>
            <w:tcBorders>
              <w:top w:val="nil"/>
            </w:tcBorders>
          </w:tcPr>
          <w:p w14:paraId="3B34B940" w14:textId="77777777" w:rsidR="00DD2050" w:rsidRDefault="00DD2050" w:rsidP="00CD363C">
            <w:pPr>
              <w:spacing w:after="0" w:line="240" w:lineRule="auto"/>
              <w:ind w:right="-142"/>
              <w:jc w:val="both"/>
              <w:rPr>
                <w:sz w:val="2"/>
                <w:szCs w:val="2"/>
              </w:rPr>
            </w:pPr>
          </w:p>
        </w:tc>
        <w:tc>
          <w:tcPr>
            <w:tcW w:w="2962" w:type="dxa"/>
          </w:tcPr>
          <w:p w14:paraId="70B3966D" w14:textId="77777777" w:rsidR="00DD2050" w:rsidRDefault="00DD2050" w:rsidP="00CD363C">
            <w:pPr>
              <w:pStyle w:val="TableParagraph"/>
              <w:ind w:left="105" w:right="-142"/>
              <w:jc w:val="both"/>
              <w:rPr>
                <w:sz w:val="20"/>
              </w:rPr>
            </w:pPr>
            <w:r>
              <w:rPr>
                <w:sz w:val="20"/>
              </w:rPr>
              <w:t>D Pakalpojuma izmaksas</w:t>
            </w:r>
          </w:p>
        </w:tc>
        <w:tc>
          <w:tcPr>
            <w:tcW w:w="1152" w:type="dxa"/>
          </w:tcPr>
          <w:p w14:paraId="349ECD0F" w14:textId="77777777" w:rsidR="00DD2050" w:rsidRDefault="00DD2050" w:rsidP="00CD363C">
            <w:pPr>
              <w:pStyle w:val="TableParagraph"/>
              <w:ind w:left="346" w:right="-142"/>
              <w:jc w:val="both"/>
              <w:rPr>
                <w:sz w:val="20"/>
              </w:rPr>
            </w:pPr>
            <w:r>
              <w:rPr>
                <w:sz w:val="20"/>
              </w:rPr>
              <w:t>7000</w:t>
            </w:r>
          </w:p>
        </w:tc>
        <w:tc>
          <w:tcPr>
            <w:tcW w:w="3288" w:type="dxa"/>
          </w:tcPr>
          <w:p w14:paraId="4B2D7CDC" w14:textId="77777777" w:rsidR="00DD2050" w:rsidRDefault="00DD2050" w:rsidP="00CD363C">
            <w:pPr>
              <w:pStyle w:val="TableParagraph"/>
              <w:ind w:left="106" w:right="-142"/>
              <w:jc w:val="both"/>
              <w:rPr>
                <w:sz w:val="20"/>
              </w:rPr>
            </w:pPr>
            <w:r>
              <w:rPr>
                <w:sz w:val="20"/>
              </w:rPr>
              <w:t>Pamatdarbības izdevumi</w:t>
            </w:r>
          </w:p>
        </w:tc>
        <w:tc>
          <w:tcPr>
            <w:tcW w:w="1406" w:type="dxa"/>
          </w:tcPr>
          <w:p w14:paraId="2B1BD78B" w14:textId="77777777" w:rsidR="00DD2050" w:rsidRDefault="00DD2050" w:rsidP="00CD363C">
            <w:pPr>
              <w:pStyle w:val="TableParagraph"/>
              <w:ind w:right="-142"/>
              <w:jc w:val="both"/>
              <w:rPr>
                <w:sz w:val="20"/>
              </w:rPr>
            </w:pPr>
            <w:r>
              <w:rPr>
                <w:sz w:val="20"/>
              </w:rPr>
              <w:t>6 000,00</w:t>
            </w:r>
          </w:p>
        </w:tc>
      </w:tr>
      <w:tr w:rsidR="00DD2050" w14:paraId="5D5A4E4E" w14:textId="77777777" w:rsidTr="00DD2050">
        <w:trPr>
          <w:trHeight w:val="457"/>
        </w:trPr>
        <w:tc>
          <w:tcPr>
            <w:tcW w:w="818" w:type="dxa"/>
            <w:vMerge/>
            <w:tcBorders>
              <w:top w:val="nil"/>
            </w:tcBorders>
          </w:tcPr>
          <w:p w14:paraId="44174D0E" w14:textId="77777777" w:rsidR="00DD2050" w:rsidRDefault="00DD2050" w:rsidP="00CD363C">
            <w:pPr>
              <w:spacing w:after="0" w:line="240" w:lineRule="auto"/>
              <w:ind w:right="-142"/>
              <w:jc w:val="both"/>
              <w:rPr>
                <w:sz w:val="2"/>
                <w:szCs w:val="2"/>
              </w:rPr>
            </w:pPr>
          </w:p>
        </w:tc>
        <w:tc>
          <w:tcPr>
            <w:tcW w:w="2962" w:type="dxa"/>
          </w:tcPr>
          <w:p w14:paraId="4CF3E794" w14:textId="77777777" w:rsidR="00DD2050" w:rsidRDefault="00DD2050" w:rsidP="00CD363C">
            <w:pPr>
              <w:pStyle w:val="TableParagraph"/>
              <w:ind w:left="105" w:right="-142"/>
              <w:jc w:val="both"/>
              <w:rPr>
                <w:sz w:val="20"/>
              </w:rPr>
            </w:pPr>
            <w:r>
              <w:rPr>
                <w:sz w:val="20"/>
              </w:rPr>
              <w:t>K Finanšu saistības</w:t>
            </w:r>
          </w:p>
        </w:tc>
        <w:tc>
          <w:tcPr>
            <w:tcW w:w="1152" w:type="dxa"/>
          </w:tcPr>
          <w:p w14:paraId="4407FC45" w14:textId="77777777" w:rsidR="00DD2050" w:rsidRDefault="00DD2050" w:rsidP="00CD363C">
            <w:pPr>
              <w:pStyle w:val="TableParagraph"/>
              <w:ind w:left="346" w:right="-142"/>
              <w:jc w:val="both"/>
              <w:rPr>
                <w:sz w:val="20"/>
              </w:rPr>
            </w:pPr>
            <w:r>
              <w:rPr>
                <w:sz w:val="20"/>
              </w:rPr>
              <w:t>5310</w:t>
            </w:r>
          </w:p>
        </w:tc>
        <w:tc>
          <w:tcPr>
            <w:tcW w:w="3288" w:type="dxa"/>
          </w:tcPr>
          <w:p w14:paraId="0165C54D" w14:textId="77777777" w:rsidR="00DD2050" w:rsidRDefault="00DD2050" w:rsidP="00CD363C">
            <w:pPr>
              <w:pStyle w:val="TableParagraph"/>
              <w:ind w:left="106" w:right="-142"/>
              <w:jc w:val="both"/>
              <w:rPr>
                <w:sz w:val="20"/>
              </w:rPr>
            </w:pPr>
            <w:r>
              <w:rPr>
                <w:sz w:val="20"/>
              </w:rPr>
              <w:t>Īstermiņa saistības pret piegādātājiem</w:t>
            </w:r>
          </w:p>
          <w:p w14:paraId="384ED378" w14:textId="77777777" w:rsidR="00DD2050" w:rsidRDefault="00DD2050" w:rsidP="00CD363C">
            <w:pPr>
              <w:pStyle w:val="TableParagraph"/>
              <w:ind w:left="106" w:right="-142"/>
              <w:jc w:val="both"/>
              <w:rPr>
                <w:sz w:val="20"/>
              </w:rPr>
            </w:pPr>
            <w:r>
              <w:rPr>
                <w:sz w:val="20"/>
              </w:rPr>
              <w:t>un darbuzņēmējiem</w:t>
            </w:r>
          </w:p>
        </w:tc>
        <w:tc>
          <w:tcPr>
            <w:tcW w:w="1406" w:type="dxa"/>
          </w:tcPr>
          <w:p w14:paraId="43137AC9" w14:textId="77777777" w:rsidR="00DD2050" w:rsidRDefault="00DD2050" w:rsidP="00CD363C">
            <w:pPr>
              <w:pStyle w:val="TableParagraph"/>
              <w:ind w:right="-142"/>
              <w:jc w:val="both"/>
              <w:rPr>
                <w:sz w:val="20"/>
              </w:rPr>
            </w:pPr>
            <w:r>
              <w:rPr>
                <w:sz w:val="20"/>
              </w:rPr>
              <w:t>23 030,15</w:t>
            </w:r>
          </w:p>
        </w:tc>
      </w:tr>
      <w:tr w:rsidR="00DD2050" w14:paraId="4E76FB4C" w14:textId="77777777" w:rsidTr="00DD2050">
        <w:trPr>
          <w:trHeight w:val="256"/>
        </w:trPr>
        <w:tc>
          <w:tcPr>
            <w:tcW w:w="818" w:type="dxa"/>
            <w:vMerge/>
            <w:tcBorders>
              <w:top w:val="nil"/>
            </w:tcBorders>
          </w:tcPr>
          <w:p w14:paraId="6C7AE5A4" w14:textId="77777777" w:rsidR="00DD2050" w:rsidRDefault="00DD2050" w:rsidP="00CD363C">
            <w:pPr>
              <w:spacing w:after="0" w:line="240" w:lineRule="auto"/>
              <w:ind w:right="-142"/>
              <w:jc w:val="both"/>
              <w:rPr>
                <w:sz w:val="2"/>
                <w:szCs w:val="2"/>
              </w:rPr>
            </w:pPr>
          </w:p>
        </w:tc>
        <w:tc>
          <w:tcPr>
            <w:tcW w:w="8808" w:type="dxa"/>
            <w:gridSpan w:val="4"/>
          </w:tcPr>
          <w:p w14:paraId="41C8C694" w14:textId="77777777" w:rsidR="00DD2050" w:rsidRDefault="00DD2050" w:rsidP="00CD363C">
            <w:pPr>
              <w:pStyle w:val="TableParagraph"/>
              <w:ind w:left="105" w:right="-142"/>
              <w:jc w:val="both"/>
              <w:rPr>
                <w:b/>
                <w:sz w:val="20"/>
              </w:rPr>
            </w:pPr>
            <w:r>
              <w:rPr>
                <w:b/>
                <w:sz w:val="20"/>
              </w:rPr>
              <w:t>Ieņēmumu atzīšana</w:t>
            </w:r>
          </w:p>
        </w:tc>
      </w:tr>
      <w:tr w:rsidR="00DD2050" w14:paraId="56EAE82B" w14:textId="77777777" w:rsidTr="00DD2050">
        <w:trPr>
          <w:trHeight w:val="460"/>
        </w:trPr>
        <w:tc>
          <w:tcPr>
            <w:tcW w:w="818" w:type="dxa"/>
            <w:vMerge/>
            <w:tcBorders>
              <w:top w:val="nil"/>
            </w:tcBorders>
          </w:tcPr>
          <w:p w14:paraId="45938327" w14:textId="77777777" w:rsidR="00DD2050" w:rsidRDefault="00DD2050" w:rsidP="00CD363C">
            <w:pPr>
              <w:spacing w:after="0" w:line="240" w:lineRule="auto"/>
              <w:ind w:right="-142"/>
              <w:jc w:val="both"/>
              <w:rPr>
                <w:sz w:val="2"/>
                <w:szCs w:val="2"/>
              </w:rPr>
            </w:pPr>
          </w:p>
        </w:tc>
        <w:tc>
          <w:tcPr>
            <w:tcW w:w="2962" w:type="dxa"/>
          </w:tcPr>
          <w:p w14:paraId="471B4243" w14:textId="77777777" w:rsidR="00DD2050" w:rsidRDefault="00DD2050" w:rsidP="00CD363C">
            <w:pPr>
              <w:pStyle w:val="TableParagraph"/>
              <w:ind w:left="105" w:right="-142"/>
              <w:jc w:val="both"/>
              <w:rPr>
                <w:sz w:val="20"/>
              </w:rPr>
            </w:pPr>
            <w:r>
              <w:rPr>
                <w:sz w:val="20"/>
              </w:rPr>
              <w:t>D Saistības</w:t>
            </w:r>
          </w:p>
        </w:tc>
        <w:tc>
          <w:tcPr>
            <w:tcW w:w="1152" w:type="dxa"/>
          </w:tcPr>
          <w:p w14:paraId="7BC9EF09" w14:textId="77777777" w:rsidR="00DD2050" w:rsidRDefault="00DD2050" w:rsidP="00CD363C">
            <w:pPr>
              <w:pStyle w:val="TableParagraph"/>
              <w:ind w:left="346" w:right="-142"/>
              <w:jc w:val="both"/>
              <w:rPr>
                <w:sz w:val="20"/>
              </w:rPr>
            </w:pPr>
            <w:r>
              <w:rPr>
                <w:sz w:val="20"/>
              </w:rPr>
              <w:t>5130</w:t>
            </w:r>
          </w:p>
        </w:tc>
        <w:tc>
          <w:tcPr>
            <w:tcW w:w="3288" w:type="dxa"/>
          </w:tcPr>
          <w:p w14:paraId="0CE41F4A" w14:textId="77777777" w:rsidR="00DD2050" w:rsidRDefault="00DD2050" w:rsidP="00CD363C">
            <w:pPr>
              <w:pStyle w:val="TableParagraph"/>
              <w:ind w:left="106" w:right="-142"/>
              <w:jc w:val="both"/>
              <w:rPr>
                <w:sz w:val="20"/>
              </w:rPr>
            </w:pPr>
            <w:r>
              <w:rPr>
                <w:sz w:val="20"/>
              </w:rPr>
              <w:t>Ilgtermiņa saistības pret</w:t>
            </w:r>
          </w:p>
          <w:p w14:paraId="26910678"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24B1DFFE" w14:textId="77777777" w:rsidR="00DD2050" w:rsidRDefault="00DD2050" w:rsidP="00CD363C">
            <w:pPr>
              <w:pStyle w:val="TableParagraph"/>
              <w:ind w:right="-142"/>
              <w:jc w:val="both"/>
              <w:rPr>
                <w:sz w:val="20"/>
              </w:rPr>
            </w:pPr>
            <w:r>
              <w:rPr>
                <w:sz w:val="20"/>
              </w:rPr>
              <w:t>72 500,00</w:t>
            </w:r>
          </w:p>
        </w:tc>
      </w:tr>
      <w:tr w:rsidR="00DD2050" w14:paraId="1A234CE4" w14:textId="77777777" w:rsidTr="00DD2050">
        <w:trPr>
          <w:trHeight w:val="254"/>
        </w:trPr>
        <w:tc>
          <w:tcPr>
            <w:tcW w:w="818" w:type="dxa"/>
            <w:vMerge/>
            <w:tcBorders>
              <w:top w:val="nil"/>
            </w:tcBorders>
          </w:tcPr>
          <w:p w14:paraId="0CD98BBF" w14:textId="77777777" w:rsidR="00DD2050" w:rsidRDefault="00DD2050" w:rsidP="00CD363C">
            <w:pPr>
              <w:spacing w:after="0" w:line="240" w:lineRule="auto"/>
              <w:ind w:right="-142"/>
              <w:jc w:val="both"/>
              <w:rPr>
                <w:sz w:val="2"/>
                <w:szCs w:val="2"/>
              </w:rPr>
            </w:pPr>
          </w:p>
        </w:tc>
        <w:tc>
          <w:tcPr>
            <w:tcW w:w="2962" w:type="dxa"/>
          </w:tcPr>
          <w:p w14:paraId="10D2D4DD" w14:textId="77777777" w:rsidR="00DD2050" w:rsidRDefault="00DD2050" w:rsidP="00CD363C">
            <w:pPr>
              <w:pStyle w:val="TableParagraph"/>
              <w:ind w:left="105" w:right="-142"/>
              <w:jc w:val="both"/>
              <w:rPr>
                <w:sz w:val="20"/>
              </w:rPr>
            </w:pPr>
            <w:r>
              <w:rPr>
                <w:sz w:val="20"/>
              </w:rPr>
              <w:t>K Ieņēmumi</w:t>
            </w:r>
          </w:p>
        </w:tc>
        <w:tc>
          <w:tcPr>
            <w:tcW w:w="1152" w:type="dxa"/>
          </w:tcPr>
          <w:p w14:paraId="033CD7CA" w14:textId="77777777" w:rsidR="00DD2050" w:rsidRDefault="00DD2050" w:rsidP="00CD363C">
            <w:pPr>
              <w:pStyle w:val="TableParagraph"/>
              <w:ind w:left="346" w:right="-142"/>
              <w:jc w:val="both"/>
              <w:rPr>
                <w:sz w:val="20"/>
              </w:rPr>
            </w:pPr>
            <w:r>
              <w:rPr>
                <w:sz w:val="20"/>
              </w:rPr>
              <w:t>6000</w:t>
            </w:r>
          </w:p>
        </w:tc>
        <w:tc>
          <w:tcPr>
            <w:tcW w:w="3288" w:type="dxa"/>
          </w:tcPr>
          <w:p w14:paraId="502F0805" w14:textId="77777777" w:rsidR="00DD2050" w:rsidRDefault="00DD2050" w:rsidP="00CD363C">
            <w:pPr>
              <w:pStyle w:val="TableParagraph"/>
              <w:ind w:left="106" w:right="-142"/>
              <w:jc w:val="both"/>
              <w:rPr>
                <w:sz w:val="20"/>
              </w:rPr>
            </w:pPr>
            <w:r>
              <w:rPr>
                <w:sz w:val="20"/>
              </w:rPr>
              <w:t>Pamatdarbības ieņēmumi</w:t>
            </w:r>
          </w:p>
        </w:tc>
        <w:tc>
          <w:tcPr>
            <w:tcW w:w="1406" w:type="dxa"/>
          </w:tcPr>
          <w:p w14:paraId="37538508" w14:textId="77777777" w:rsidR="00DD2050" w:rsidRDefault="00DD2050" w:rsidP="00CD363C">
            <w:pPr>
              <w:pStyle w:val="TableParagraph"/>
              <w:ind w:right="-142"/>
              <w:jc w:val="both"/>
              <w:rPr>
                <w:sz w:val="20"/>
              </w:rPr>
            </w:pPr>
            <w:r>
              <w:rPr>
                <w:sz w:val="20"/>
              </w:rPr>
              <w:t>72 500,00</w:t>
            </w:r>
          </w:p>
        </w:tc>
      </w:tr>
      <w:tr w:rsidR="00DD2050" w14:paraId="4C75CAB5" w14:textId="77777777" w:rsidTr="00DD2050">
        <w:trPr>
          <w:trHeight w:val="253"/>
        </w:trPr>
        <w:tc>
          <w:tcPr>
            <w:tcW w:w="818" w:type="dxa"/>
            <w:vMerge/>
            <w:tcBorders>
              <w:top w:val="nil"/>
            </w:tcBorders>
          </w:tcPr>
          <w:p w14:paraId="57497728" w14:textId="77777777" w:rsidR="00DD2050" w:rsidRDefault="00DD2050" w:rsidP="00CD363C">
            <w:pPr>
              <w:spacing w:after="0" w:line="240" w:lineRule="auto"/>
              <w:ind w:right="-142"/>
              <w:jc w:val="both"/>
              <w:rPr>
                <w:sz w:val="2"/>
                <w:szCs w:val="2"/>
              </w:rPr>
            </w:pPr>
          </w:p>
        </w:tc>
        <w:tc>
          <w:tcPr>
            <w:tcW w:w="8808" w:type="dxa"/>
            <w:gridSpan w:val="4"/>
          </w:tcPr>
          <w:p w14:paraId="386D1971" w14:textId="77777777" w:rsidR="00DD2050" w:rsidRDefault="00DD2050" w:rsidP="00CD363C">
            <w:pPr>
              <w:pStyle w:val="TableParagraph"/>
              <w:ind w:left="105" w:right="-142"/>
              <w:jc w:val="both"/>
              <w:rPr>
                <w:b/>
                <w:sz w:val="20"/>
              </w:rPr>
            </w:pPr>
            <w:r>
              <w:rPr>
                <w:b/>
                <w:sz w:val="20"/>
              </w:rPr>
              <w:t>Nolietojuma uzskaite</w:t>
            </w:r>
          </w:p>
        </w:tc>
      </w:tr>
      <w:tr w:rsidR="00DD2050" w14:paraId="4A52CBF8" w14:textId="77777777" w:rsidTr="00DD2050">
        <w:trPr>
          <w:trHeight w:val="256"/>
        </w:trPr>
        <w:tc>
          <w:tcPr>
            <w:tcW w:w="818" w:type="dxa"/>
            <w:vMerge/>
            <w:tcBorders>
              <w:top w:val="nil"/>
            </w:tcBorders>
          </w:tcPr>
          <w:p w14:paraId="5DEE669B" w14:textId="77777777" w:rsidR="00DD2050" w:rsidRDefault="00DD2050" w:rsidP="00CD363C">
            <w:pPr>
              <w:spacing w:after="0" w:line="240" w:lineRule="auto"/>
              <w:ind w:right="-142"/>
              <w:jc w:val="both"/>
              <w:rPr>
                <w:sz w:val="2"/>
                <w:szCs w:val="2"/>
              </w:rPr>
            </w:pPr>
          </w:p>
        </w:tc>
        <w:tc>
          <w:tcPr>
            <w:tcW w:w="2962" w:type="dxa"/>
          </w:tcPr>
          <w:p w14:paraId="1DE334E2" w14:textId="77777777" w:rsidR="00DD2050" w:rsidRDefault="00DD2050" w:rsidP="00CD363C">
            <w:pPr>
              <w:pStyle w:val="TableParagraph"/>
              <w:ind w:left="105" w:right="-142"/>
              <w:jc w:val="both"/>
              <w:rPr>
                <w:sz w:val="20"/>
              </w:rPr>
            </w:pPr>
            <w:r>
              <w:rPr>
                <w:sz w:val="20"/>
              </w:rPr>
              <w:t>D Nolietojuma izdevumi</w:t>
            </w:r>
          </w:p>
        </w:tc>
        <w:tc>
          <w:tcPr>
            <w:tcW w:w="1152" w:type="dxa"/>
          </w:tcPr>
          <w:p w14:paraId="30707D25" w14:textId="77777777" w:rsidR="00DD2050" w:rsidRDefault="00DD2050" w:rsidP="00CD363C">
            <w:pPr>
              <w:pStyle w:val="TableParagraph"/>
              <w:ind w:left="346" w:right="-142"/>
              <w:jc w:val="both"/>
              <w:rPr>
                <w:sz w:val="20"/>
              </w:rPr>
            </w:pPr>
            <w:r>
              <w:rPr>
                <w:sz w:val="20"/>
              </w:rPr>
              <w:t>7000</w:t>
            </w:r>
          </w:p>
        </w:tc>
        <w:tc>
          <w:tcPr>
            <w:tcW w:w="3288" w:type="dxa"/>
          </w:tcPr>
          <w:p w14:paraId="667DD360" w14:textId="77777777" w:rsidR="00DD2050" w:rsidRDefault="00DD2050" w:rsidP="00CD363C">
            <w:pPr>
              <w:pStyle w:val="TableParagraph"/>
              <w:ind w:left="106" w:right="-142"/>
              <w:jc w:val="both"/>
              <w:rPr>
                <w:sz w:val="20"/>
              </w:rPr>
            </w:pPr>
            <w:r>
              <w:rPr>
                <w:sz w:val="20"/>
              </w:rPr>
              <w:t>Pamatdarbības izdevumi</w:t>
            </w:r>
          </w:p>
        </w:tc>
        <w:tc>
          <w:tcPr>
            <w:tcW w:w="1406" w:type="dxa"/>
          </w:tcPr>
          <w:p w14:paraId="0422E90A" w14:textId="77777777" w:rsidR="00DD2050" w:rsidRDefault="00DD2050" w:rsidP="00CD363C">
            <w:pPr>
              <w:pStyle w:val="TableParagraph"/>
              <w:ind w:right="-142"/>
              <w:jc w:val="both"/>
              <w:rPr>
                <w:sz w:val="20"/>
              </w:rPr>
            </w:pPr>
            <w:r>
              <w:rPr>
                <w:sz w:val="20"/>
              </w:rPr>
              <w:t>65 333,33</w:t>
            </w:r>
          </w:p>
        </w:tc>
      </w:tr>
      <w:tr w:rsidR="00DD2050" w14:paraId="70EB49F5" w14:textId="77777777" w:rsidTr="00DD2050">
        <w:trPr>
          <w:trHeight w:val="253"/>
        </w:trPr>
        <w:tc>
          <w:tcPr>
            <w:tcW w:w="818" w:type="dxa"/>
            <w:vMerge/>
            <w:tcBorders>
              <w:top w:val="nil"/>
            </w:tcBorders>
          </w:tcPr>
          <w:p w14:paraId="6567D0CB" w14:textId="77777777" w:rsidR="00DD2050" w:rsidRDefault="00DD2050" w:rsidP="00CD363C">
            <w:pPr>
              <w:spacing w:after="0" w:line="240" w:lineRule="auto"/>
              <w:ind w:right="-142"/>
              <w:jc w:val="both"/>
              <w:rPr>
                <w:sz w:val="2"/>
                <w:szCs w:val="2"/>
              </w:rPr>
            </w:pPr>
          </w:p>
        </w:tc>
        <w:tc>
          <w:tcPr>
            <w:tcW w:w="2962" w:type="dxa"/>
          </w:tcPr>
          <w:p w14:paraId="5AC1E492" w14:textId="77777777" w:rsidR="00DD2050" w:rsidRDefault="00DD2050" w:rsidP="00CD363C">
            <w:pPr>
              <w:pStyle w:val="TableParagraph"/>
              <w:ind w:left="105" w:right="-142"/>
              <w:jc w:val="both"/>
              <w:rPr>
                <w:sz w:val="20"/>
              </w:rPr>
            </w:pPr>
            <w:r>
              <w:rPr>
                <w:sz w:val="20"/>
              </w:rPr>
              <w:t>K Uzkrātais nolietojums</w:t>
            </w:r>
          </w:p>
        </w:tc>
        <w:tc>
          <w:tcPr>
            <w:tcW w:w="1152" w:type="dxa"/>
          </w:tcPr>
          <w:p w14:paraId="5B6A934C" w14:textId="77777777" w:rsidR="00DD2050" w:rsidRDefault="00DD2050" w:rsidP="00CD363C">
            <w:pPr>
              <w:pStyle w:val="TableParagraph"/>
              <w:ind w:left="346" w:right="-142"/>
              <w:jc w:val="both"/>
              <w:rPr>
                <w:sz w:val="20"/>
              </w:rPr>
            </w:pPr>
            <w:r>
              <w:rPr>
                <w:sz w:val="20"/>
              </w:rPr>
              <w:t>1291</w:t>
            </w:r>
          </w:p>
        </w:tc>
        <w:tc>
          <w:tcPr>
            <w:tcW w:w="3288" w:type="dxa"/>
          </w:tcPr>
          <w:p w14:paraId="22A1B7C8"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31144016" w14:textId="77777777" w:rsidR="00DD2050" w:rsidRDefault="00DD2050" w:rsidP="00CD363C">
            <w:pPr>
              <w:pStyle w:val="TableParagraph"/>
              <w:ind w:right="-142"/>
              <w:jc w:val="both"/>
              <w:rPr>
                <w:sz w:val="20"/>
              </w:rPr>
            </w:pPr>
            <w:r>
              <w:rPr>
                <w:sz w:val="20"/>
              </w:rPr>
              <w:t>65 333,33</w:t>
            </w:r>
          </w:p>
        </w:tc>
      </w:tr>
      <w:tr w:rsidR="00DD2050" w14:paraId="4C507F53" w14:textId="77777777" w:rsidTr="00DD2050">
        <w:trPr>
          <w:trHeight w:val="520"/>
        </w:trPr>
        <w:tc>
          <w:tcPr>
            <w:tcW w:w="818" w:type="dxa"/>
            <w:shd w:val="clear" w:color="auto" w:fill="F1F1F1"/>
          </w:tcPr>
          <w:p w14:paraId="0D811E2A" w14:textId="77777777" w:rsidR="00DD2050" w:rsidRDefault="00DD2050" w:rsidP="00CD363C">
            <w:pPr>
              <w:pStyle w:val="TableParagraph"/>
              <w:ind w:left="158" w:right="-142"/>
              <w:jc w:val="both"/>
              <w:rPr>
                <w:b/>
                <w:sz w:val="20"/>
              </w:rPr>
            </w:pPr>
            <w:r>
              <w:rPr>
                <w:b/>
                <w:sz w:val="20"/>
              </w:rPr>
              <w:t>Gads</w:t>
            </w:r>
          </w:p>
        </w:tc>
        <w:tc>
          <w:tcPr>
            <w:tcW w:w="2962" w:type="dxa"/>
            <w:shd w:val="clear" w:color="auto" w:fill="F1F1F1"/>
          </w:tcPr>
          <w:p w14:paraId="2D6EE2F0" w14:textId="77777777" w:rsidR="00DD2050" w:rsidRDefault="00DD2050" w:rsidP="00CD363C">
            <w:pPr>
              <w:pStyle w:val="TableParagraph"/>
              <w:ind w:left="1176" w:right="-142"/>
              <w:jc w:val="both"/>
              <w:rPr>
                <w:b/>
                <w:sz w:val="20"/>
              </w:rPr>
            </w:pPr>
            <w:r>
              <w:rPr>
                <w:b/>
                <w:sz w:val="20"/>
              </w:rPr>
              <w:t>Konts</w:t>
            </w:r>
          </w:p>
        </w:tc>
        <w:tc>
          <w:tcPr>
            <w:tcW w:w="1152" w:type="dxa"/>
            <w:shd w:val="clear" w:color="auto" w:fill="F1F1F1"/>
          </w:tcPr>
          <w:p w14:paraId="1204D513" w14:textId="77777777" w:rsidR="00DD2050" w:rsidRDefault="00DD2050" w:rsidP="00CD363C">
            <w:pPr>
              <w:pStyle w:val="TableParagraph"/>
              <w:ind w:left="94" w:right="-142"/>
              <w:jc w:val="both"/>
              <w:rPr>
                <w:b/>
                <w:sz w:val="20"/>
              </w:rPr>
            </w:pPr>
            <w:r>
              <w:rPr>
                <w:b/>
                <w:sz w:val="20"/>
              </w:rPr>
              <w:t>Konta Nr.</w:t>
            </w:r>
          </w:p>
        </w:tc>
        <w:tc>
          <w:tcPr>
            <w:tcW w:w="3288" w:type="dxa"/>
            <w:shd w:val="clear" w:color="auto" w:fill="F1F1F1"/>
          </w:tcPr>
          <w:p w14:paraId="5E6F031B" w14:textId="77777777" w:rsidR="00DD2050" w:rsidRDefault="00DD2050" w:rsidP="00CD363C">
            <w:pPr>
              <w:pStyle w:val="TableParagraph"/>
              <w:ind w:left="838" w:right="-142"/>
              <w:jc w:val="both"/>
              <w:rPr>
                <w:b/>
                <w:sz w:val="20"/>
              </w:rPr>
            </w:pPr>
            <w:r>
              <w:rPr>
                <w:b/>
                <w:sz w:val="20"/>
              </w:rPr>
              <w:t>Konta nosaukums</w:t>
            </w:r>
          </w:p>
        </w:tc>
        <w:tc>
          <w:tcPr>
            <w:tcW w:w="1406" w:type="dxa"/>
            <w:shd w:val="clear" w:color="auto" w:fill="F1F1F1"/>
          </w:tcPr>
          <w:p w14:paraId="63D70E67" w14:textId="77777777" w:rsidR="00DD2050" w:rsidRDefault="00DD2050" w:rsidP="00CD363C">
            <w:pPr>
              <w:pStyle w:val="TableParagraph"/>
              <w:ind w:left="130" w:right="-142" w:firstLine="218"/>
              <w:jc w:val="both"/>
              <w:rPr>
                <w:b/>
                <w:sz w:val="20"/>
              </w:rPr>
            </w:pPr>
            <w:r>
              <w:rPr>
                <w:b/>
                <w:sz w:val="20"/>
              </w:rPr>
              <w:t>Summa (tūkst. EUR)</w:t>
            </w:r>
          </w:p>
        </w:tc>
      </w:tr>
      <w:tr w:rsidR="00DD2050" w14:paraId="3D26BEAC" w14:textId="77777777" w:rsidTr="00DD2050">
        <w:trPr>
          <w:trHeight w:val="256"/>
        </w:trPr>
        <w:tc>
          <w:tcPr>
            <w:tcW w:w="818" w:type="dxa"/>
            <w:vMerge w:val="restart"/>
          </w:tcPr>
          <w:p w14:paraId="4731814C" w14:textId="77777777" w:rsidR="00DD2050" w:rsidRDefault="00DD2050" w:rsidP="00CD363C">
            <w:pPr>
              <w:pStyle w:val="TableParagraph"/>
              <w:ind w:right="-142"/>
              <w:jc w:val="both"/>
              <w:rPr>
                <w:sz w:val="18"/>
              </w:rPr>
            </w:pPr>
          </w:p>
        </w:tc>
        <w:tc>
          <w:tcPr>
            <w:tcW w:w="8808" w:type="dxa"/>
            <w:gridSpan w:val="4"/>
          </w:tcPr>
          <w:p w14:paraId="513A1AE6"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3B0ED189" w14:textId="77777777" w:rsidTr="00DD2050">
        <w:trPr>
          <w:trHeight w:val="458"/>
        </w:trPr>
        <w:tc>
          <w:tcPr>
            <w:tcW w:w="818" w:type="dxa"/>
            <w:vMerge/>
            <w:tcBorders>
              <w:top w:val="nil"/>
            </w:tcBorders>
          </w:tcPr>
          <w:p w14:paraId="126DB384" w14:textId="77777777" w:rsidR="00DD2050" w:rsidRDefault="00DD2050" w:rsidP="00CD363C">
            <w:pPr>
              <w:spacing w:after="0" w:line="240" w:lineRule="auto"/>
              <w:ind w:right="-142"/>
              <w:jc w:val="both"/>
              <w:rPr>
                <w:sz w:val="2"/>
                <w:szCs w:val="2"/>
              </w:rPr>
            </w:pPr>
          </w:p>
        </w:tc>
        <w:tc>
          <w:tcPr>
            <w:tcW w:w="2962" w:type="dxa"/>
          </w:tcPr>
          <w:p w14:paraId="158C7911" w14:textId="77777777" w:rsidR="00DD2050" w:rsidRDefault="00DD2050" w:rsidP="00CD363C">
            <w:pPr>
              <w:pStyle w:val="TableParagraph"/>
              <w:ind w:left="105" w:right="-142"/>
              <w:jc w:val="both"/>
              <w:rPr>
                <w:sz w:val="20"/>
              </w:rPr>
            </w:pPr>
            <w:r>
              <w:rPr>
                <w:sz w:val="20"/>
              </w:rPr>
              <w:t>D Finanšu saistības</w:t>
            </w:r>
          </w:p>
        </w:tc>
        <w:tc>
          <w:tcPr>
            <w:tcW w:w="1152" w:type="dxa"/>
          </w:tcPr>
          <w:p w14:paraId="490D37CC" w14:textId="77777777" w:rsidR="00DD2050" w:rsidRDefault="00DD2050" w:rsidP="00CD363C">
            <w:pPr>
              <w:pStyle w:val="TableParagraph"/>
              <w:ind w:left="94" w:right="-142"/>
              <w:jc w:val="both"/>
              <w:rPr>
                <w:sz w:val="20"/>
              </w:rPr>
            </w:pPr>
            <w:r>
              <w:rPr>
                <w:sz w:val="20"/>
              </w:rPr>
              <w:t>5130</w:t>
            </w:r>
          </w:p>
        </w:tc>
        <w:tc>
          <w:tcPr>
            <w:tcW w:w="3288" w:type="dxa"/>
          </w:tcPr>
          <w:p w14:paraId="1B2276E9" w14:textId="77777777" w:rsidR="00DD2050" w:rsidRDefault="00DD2050" w:rsidP="00CD363C">
            <w:pPr>
              <w:pStyle w:val="TableParagraph"/>
              <w:ind w:left="106" w:right="-142"/>
              <w:jc w:val="both"/>
              <w:rPr>
                <w:sz w:val="20"/>
              </w:rPr>
            </w:pPr>
            <w:r>
              <w:rPr>
                <w:sz w:val="20"/>
              </w:rPr>
              <w:t>Ilgtermiņa saistības pret</w:t>
            </w:r>
          </w:p>
          <w:p w14:paraId="14388E68"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58BBE360" w14:textId="77777777" w:rsidR="00DD2050" w:rsidRDefault="00DD2050" w:rsidP="00CD363C">
            <w:pPr>
              <w:pStyle w:val="TableParagraph"/>
              <w:ind w:right="-142"/>
              <w:jc w:val="both"/>
              <w:rPr>
                <w:sz w:val="20"/>
              </w:rPr>
            </w:pPr>
            <w:r>
              <w:rPr>
                <w:sz w:val="20"/>
              </w:rPr>
              <w:t>81 726,00</w:t>
            </w:r>
          </w:p>
        </w:tc>
      </w:tr>
      <w:tr w:rsidR="00DD2050" w14:paraId="434AFA6A" w14:textId="77777777" w:rsidTr="00DD2050">
        <w:trPr>
          <w:trHeight w:val="690"/>
        </w:trPr>
        <w:tc>
          <w:tcPr>
            <w:tcW w:w="818" w:type="dxa"/>
            <w:vMerge/>
            <w:tcBorders>
              <w:top w:val="nil"/>
            </w:tcBorders>
          </w:tcPr>
          <w:p w14:paraId="428951AE" w14:textId="77777777" w:rsidR="00DD2050" w:rsidRDefault="00DD2050" w:rsidP="00CD363C">
            <w:pPr>
              <w:spacing w:after="0" w:line="240" w:lineRule="auto"/>
              <w:ind w:right="-142"/>
              <w:jc w:val="both"/>
              <w:rPr>
                <w:sz w:val="2"/>
                <w:szCs w:val="2"/>
              </w:rPr>
            </w:pPr>
          </w:p>
        </w:tc>
        <w:tc>
          <w:tcPr>
            <w:tcW w:w="2962" w:type="dxa"/>
          </w:tcPr>
          <w:p w14:paraId="290F630B" w14:textId="77777777" w:rsidR="00DD2050" w:rsidRDefault="00DD2050" w:rsidP="00CD363C">
            <w:pPr>
              <w:pStyle w:val="TableParagraph"/>
              <w:ind w:right="-142"/>
              <w:jc w:val="both"/>
              <w:rPr>
                <w:i/>
                <w:sz w:val="19"/>
              </w:rPr>
            </w:pPr>
          </w:p>
          <w:p w14:paraId="4E5766E0" w14:textId="77777777" w:rsidR="00DD2050" w:rsidRDefault="00DD2050" w:rsidP="00CD363C">
            <w:pPr>
              <w:pStyle w:val="TableParagraph"/>
              <w:ind w:left="105" w:right="-142"/>
              <w:jc w:val="both"/>
              <w:rPr>
                <w:sz w:val="20"/>
              </w:rPr>
            </w:pPr>
            <w:r>
              <w:rPr>
                <w:sz w:val="20"/>
              </w:rPr>
              <w:t>K Finanšu saistības</w:t>
            </w:r>
          </w:p>
        </w:tc>
        <w:tc>
          <w:tcPr>
            <w:tcW w:w="1152" w:type="dxa"/>
          </w:tcPr>
          <w:p w14:paraId="0A127CF7" w14:textId="77777777" w:rsidR="00DD2050" w:rsidRDefault="00DD2050" w:rsidP="00CD363C">
            <w:pPr>
              <w:pStyle w:val="TableParagraph"/>
              <w:ind w:right="-142"/>
              <w:jc w:val="both"/>
              <w:rPr>
                <w:i/>
                <w:sz w:val="19"/>
              </w:rPr>
            </w:pPr>
          </w:p>
          <w:p w14:paraId="0250BE31" w14:textId="77777777" w:rsidR="00DD2050" w:rsidRDefault="00DD2050" w:rsidP="00CD363C">
            <w:pPr>
              <w:pStyle w:val="TableParagraph"/>
              <w:ind w:left="94" w:right="-142"/>
              <w:jc w:val="both"/>
              <w:rPr>
                <w:sz w:val="20"/>
              </w:rPr>
            </w:pPr>
            <w:r>
              <w:rPr>
                <w:sz w:val="20"/>
              </w:rPr>
              <w:t>5310</w:t>
            </w:r>
          </w:p>
        </w:tc>
        <w:tc>
          <w:tcPr>
            <w:tcW w:w="3288" w:type="dxa"/>
          </w:tcPr>
          <w:p w14:paraId="6E9D0297" w14:textId="77777777" w:rsidR="00DD2050" w:rsidRDefault="00DD2050" w:rsidP="00CD363C">
            <w:pPr>
              <w:pStyle w:val="TableParagraph"/>
              <w:ind w:left="106" w:right="-142" w:firstLine="50"/>
              <w:jc w:val="both"/>
              <w:rPr>
                <w:sz w:val="20"/>
              </w:rPr>
            </w:pPr>
            <w:r>
              <w:rPr>
                <w:sz w:val="20"/>
              </w:rPr>
              <w:t>Īstermiņa saistības pret piegādātājiem un darbuzņēmējiem</w:t>
            </w:r>
          </w:p>
        </w:tc>
        <w:tc>
          <w:tcPr>
            <w:tcW w:w="1406" w:type="dxa"/>
          </w:tcPr>
          <w:p w14:paraId="18793BD1" w14:textId="77777777" w:rsidR="00DD2050" w:rsidRDefault="00DD2050" w:rsidP="00CD363C">
            <w:pPr>
              <w:pStyle w:val="TableParagraph"/>
              <w:ind w:right="-142"/>
              <w:jc w:val="both"/>
              <w:rPr>
                <w:i/>
                <w:sz w:val="19"/>
              </w:rPr>
            </w:pPr>
          </w:p>
          <w:p w14:paraId="7DF88D20" w14:textId="77777777" w:rsidR="00DD2050" w:rsidRDefault="00DD2050" w:rsidP="00CD363C">
            <w:pPr>
              <w:pStyle w:val="TableParagraph"/>
              <w:ind w:right="-142"/>
              <w:jc w:val="both"/>
              <w:rPr>
                <w:sz w:val="20"/>
              </w:rPr>
            </w:pPr>
            <w:r>
              <w:rPr>
                <w:sz w:val="20"/>
              </w:rPr>
              <w:t>81 726,00</w:t>
            </w:r>
          </w:p>
        </w:tc>
      </w:tr>
      <w:tr w:rsidR="00DD2050" w14:paraId="62B6678E" w14:textId="77777777" w:rsidTr="00DD2050">
        <w:trPr>
          <w:trHeight w:val="256"/>
        </w:trPr>
        <w:tc>
          <w:tcPr>
            <w:tcW w:w="818" w:type="dxa"/>
            <w:vMerge/>
            <w:tcBorders>
              <w:top w:val="nil"/>
            </w:tcBorders>
          </w:tcPr>
          <w:p w14:paraId="2E757CAA" w14:textId="77777777" w:rsidR="00DD2050" w:rsidRDefault="00DD2050" w:rsidP="00CD363C">
            <w:pPr>
              <w:spacing w:after="0" w:line="240" w:lineRule="auto"/>
              <w:ind w:right="-142"/>
              <w:jc w:val="both"/>
              <w:rPr>
                <w:sz w:val="2"/>
                <w:szCs w:val="2"/>
              </w:rPr>
            </w:pPr>
          </w:p>
        </w:tc>
        <w:tc>
          <w:tcPr>
            <w:tcW w:w="8808" w:type="dxa"/>
            <w:gridSpan w:val="4"/>
          </w:tcPr>
          <w:p w14:paraId="6C3C5C86"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7A5B5FD2" w14:textId="77777777" w:rsidTr="00DD2050">
        <w:trPr>
          <w:trHeight w:val="688"/>
        </w:trPr>
        <w:tc>
          <w:tcPr>
            <w:tcW w:w="818" w:type="dxa"/>
            <w:vMerge/>
            <w:tcBorders>
              <w:top w:val="nil"/>
            </w:tcBorders>
          </w:tcPr>
          <w:p w14:paraId="0AAF9B90" w14:textId="77777777" w:rsidR="00DD2050" w:rsidRDefault="00DD2050" w:rsidP="00CD363C">
            <w:pPr>
              <w:spacing w:after="0" w:line="240" w:lineRule="auto"/>
              <w:ind w:right="-142"/>
              <w:jc w:val="both"/>
              <w:rPr>
                <w:sz w:val="2"/>
                <w:szCs w:val="2"/>
              </w:rPr>
            </w:pPr>
          </w:p>
        </w:tc>
        <w:tc>
          <w:tcPr>
            <w:tcW w:w="2962" w:type="dxa"/>
          </w:tcPr>
          <w:p w14:paraId="0DEFA926" w14:textId="77777777" w:rsidR="00DD2050" w:rsidRDefault="00DD2050" w:rsidP="00CD363C">
            <w:pPr>
              <w:pStyle w:val="TableParagraph"/>
              <w:ind w:right="-142"/>
              <w:jc w:val="both"/>
              <w:rPr>
                <w:i/>
                <w:sz w:val="18"/>
              </w:rPr>
            </w:pPr>
          </w:p>
          <w:p w14:paraId="3E38D55F" w14:textId="77777777" w:rsidR="00DD2050" w:rsidRDefault="00DD2050" w:rsidP="00CD363C">
            <w:pPr>
              <w:pStyle w:val="TableParagraph"/>
              <w:ind w:left="105" w:right="-142"/>
              <w:jc w:val="both"/>
              <w:rPr>
                <w:sz w:val="20"/>
              </w:rPr>
            </w:pPr>
            <w:r>
              <w:rPr>
                <w:sz w:val="20"/>
              </w:rPr>
              <w:t>D Saistības</w:t>
            </w:r>
          </w:p>
        </w:tc>
        <w:tc>
          <w:tcPr>
            <w:tcW w:w="1152" w:type="dxa"/>
          </w:tcPr>
          <w:p w14:paraId="255E6AB1" w14:textId="77777777" w:rsidR="00DD2050" w:rsidRDefault="00DD2050" w:rsidP="00CD363C">
            <w:pPr>
              <w:pStyle w:val="TableParagraph"/>
              <w:ind w:right="-142"/>
              <w:jc w:val="both"/>
              <w:rPr>
                <w:i/>
                <w:sz w:val="18"/>
              </w:rPr>
            </w:pPr>
          </w:p>
          <w:p w14:paraId="322FBF39" w14:textId="77777777" w:rsidR="00DD2050" w:rsidRDefault="00DD2050" w:rsidP="00CD363C">
            <w:pPr>
              <w:pStyle w:val="TableParagraph"/>
              <w:ind w:left="94" w:right="-142"/>
              <w:jc w:val="both"/>
              <w:rPr>
                <w:sz w:val="20"/>
              </w:rPr>
            </w:pPr>
            <w:r>
              <w:rPr>
                <w:sz w:val="20"/>
              </w:rPr>
              <w:t>5150</w:t>
            </w:r>
          </w:p>
        </w:tc>
        <w:tc>
          <w:tcPr>
            <w:tcW w:w="3288" w:type="dxa"/>
          </w:tcPr>
          <w:p w14:paraId="6CC7CD03" w14:textId="77777777" w:rsidR="00DD2050" w:rsidRDefault="00DD2050" w:rsidP="00CD363C">
            <w:pPr>
              <w:pStyle w:val="TableParagraph"/>
              <w:ind w:left="106" w:right="-142"/>
              <w:jc w:val="both"/>
              <w:rPr>
                <w:sz w:val="20"/>
              </w:rPr>
            </w:pPr>
            <w:r>
              <w:rPr>
                <w:sz w:val="20"/>
              </w:rPr>
              <w:t>Ilgtermiņa nākamo periodu ieņēmumi un saņemtie avansa</w:t>
            </w:r>
          </w:p>
          <w:p w14:paraId="4810EE17" w14:textId="77777777" w:rsidR="00DD2050" w:rsidRDefault="00DD2050" w:rsidP="00CD363C">
            <w:pPr>
              <w:pStyle w:val="TableParagraph"/>
              <w:ind w:left="106" w:right="-142"/>
              <w:jc w:val="both"/>
              <w:rPr>
                <w:sz w:val="20"/>
              </w:rPr>
            </w:pPr>
            <w:r>
              <w:rPr>
                <w:sz w:val="20"/>
              </w:rPr>
              <w:t>maksājumi</w:t>
            </w:r>
          </w:p>
        </w:tc>
        <w:tc>
          <w:tcPr>
            <w:tcW w:w="1406" w:type="dxa"/>
          </w:tcPr>
          <w:p w14:paraId="4C8AC7E3" w14:textId="77777777" w:rsidR="00DD2050" w:rsidRDefault="00DD2050" w:rsidP="00CD363C">
            <w:pPr>
              <w:pStyle w:val="TableParagraph"/>
              <w:ind w:right="-142"/>
              <w:jc w:val="both"/>
              <w:rPr>
                <w:i/>
                <w:sz w:val="18"/>
              </w:rPr>
            </w:pPr>
          </w:p>
          <w:p w14:paraId="03234003" w14:textId="77777777" w:rsidR="00DD2050" w:rsidRDefault="00DD2050" w:rsidP="00CD363C">
            <w:pPr>
              <w:pStyle w:val="TableParagraph"/>
              <w:ind w:right="-142"/>
              <w:jc w:val="both"/>
              <w:rPr>
                <w:sz w:val="20"/>
              </w:rPr>
            </w:pPr>
            <w:r>
              <w:rPr>
                <w:sz w:val="20"/>
              </w:rPr>
              <w:t>72 500,00</w:t>
            </w:r>
          </w:p>
        </w:tc>
      </w:tr>
      <w:tr w:rsidR="00DD2050" w14:paraId="57B4AACF" w14:textId="77777777" w:rsidTr="00DD2050">
        <w:trPr>
          <w:trHeight w:val="460"/>
        </w:trPr>
        <w:tc>
          <w:tcPr>
            <w:tcW w:w="818" w:type="dxa"/>
            <w:vMerge/>
            <w:tcBorders>
              <w:top w:val="nil"/>
            </w:tcBorders>
          </w:tcPr>
          <w:p w14:paraId="1E77E5FE" w14:textId="77777777" w:rsidR="00DD2050" w:rsidRDefault="00DD2050" w:rsidP="00CD363C">
            <w:pPr>
              <w:spacing w:after="0" w:line="240" w:lineRule="auto"/>
              <w:ind w:right="-142"/>
              <w:jc w:val="both"/>
              <w:rPr>
                <w:sz w:val="2"/>
                <w:szCs w:val="2"/>
              </w:rPr>
            </w:pPr>
          </w:p>
        </w:tc>
        <w:tc>
          <w:tcPr>
            <w:tcW w:w="2962" w:type="dxa"/>
          </w:tcPr>
          <w:p w14:paraId="78BEFEA3" w14:textId="77777777" w:rsidR="00DD2050" w:rsidRDefault="00DD2050" w:rsidP="00CD363C">
            <w:pPr>
              <w:pStyle w:val="TableParagraph"/>
              <w:ind w:left="105" w:right="-142"/>
              <w:jc w:val="both"/>
              <w:rPr>
                <w:sz w:val="20"/>
              </w:rPr>
            </w:pPr>
            <w:r>
              <w:rPr>
                <w:sz w:val="20"/>
              </w:rPr>
              <w:t>K Saistības</w:t>
            </w:r>
          </w:p>
        </w:tc>
        <w:tc>
          <w:tcPr>
            <w:tcW w:w="1152" w:type="dxa"/>
          </w:tcPr>
          <w:p w14:paraId="523BAA5A" w14:textId="77777777" w:rsidR="00DD2050" w:rsidRDefault="00DD2050" w:rsidP="00CD363C">
            <w:pPr>
              <w:pStyle w:val="TableParagraph"/>
              <w:ind w:left="94" w:right="-142"/>
              <w:jc w:val="both"/>
              <w:rPr>
                <w:sz w:val="20"/>
              </w:rPr>
            </w:pPr>
            <w:r>
              <w:rPr>
                <w:sz w:val="20"/>
              </w:rPr>
              <w:t>5910</w:t>
            </w:r>
          </w:p>
        </w:tc>
        <w:tc>
          <w:tcPr>
            <w:tcW w:w="3288" w:type="dxa"/>
          </w:tcPr>
          <w:p w14:paraId="56031157" w14:textId="77777777" w:rsidR="00DD2050" w:rsidRDefault="00DD2050" w:rsidP="00CD363C">
            <w:pPr>
              <w:pStyle w:val="TableParagraph"/>
              <w:ind w:left="106" w:right="-142"/>
              <w:jc w:val="both"/>
              <w:rPr>
                <w:sz w:val="20"/>
              </w:rPr>
            </w:pPr>
            <w:r>
              <w:rPr>
                <w:sz w:val="20"/>
              </w:rPr>
              <w:t>Nākamo periodu ieņēmumi un</w:t>
            </w:r>
          </w:p>
          <w:p w14:paraId="4EBD1DDB" w14:textId="77777777" w:rsidR="00DD2050" w:rsidRDefault="00DD2050" w:rsidP="00CD363C">
            <w:pPr>
              <w:pStyle w:val="TableParagraph"/>
              <w:ind w:left="106" w:right="-142"/>
              <w:jc w:val="both"/>
              <w:rPr>
                <w:sz w:val="20"/>
              </w:rPr>
            </w:pPr>
            <w:r>
              <w:rPr>
                <w:sz w:val="20"/>
              </w:rPr>
              <w:t>saņemtie avansi</w:t>
            </w:r>
          </w:p>
        </w:tc>
        <w:tc>
          <w:tcPr>
            <w:tcW w:w="1406" w:type="dxa"/>
          </w:tcPr>
          <w:p w14:paraId="482F3FF0" w14:textId="77777777" w:rsidR="00DD2050" w:rsidRDefault="00DD2050" w:rsidP="00CD363C">
            <w:pPr>
              <w:pStyle w:val="TableParagraph"/>
              <w:ind w:right="-142"/>
              <w:jc w:val="both"/>
              <w:rPr>
                <w:sz w:val="20"/>
              </w:rPr>
            </w:pPr>
            <w:r>
              <w:rPr>
                <w:sz w:val="20"/>
              </w:rPr>
              <w:t>72 500,00</w:t>
            </w:r>
          </w:p>
        </w:tc>
      </w:tr>
      <w:tr w:rsidR="00DD2050" w14:paraId="125253FD" w14:textId="77777777" w:rsidTr="00DD2050">
        <w:trPr>
          <w:trHeight w:val="253"/>
        </w:trPr>
        <w:tc>
          <w:tcPr>
            <w:tcW w:w="818" w:type="dxa"/>
            <w:vMerge w:val="restart"/>
          </w:tcPr>
          <w:p w14:paraId="4909B21F" w14:textId="77777777" w:rsidR="00DD2050" w:rsidRDefault="00DD2050" w:rsidP="00CD363C">
            <w:pPr>
              <w:pStyle w:val="TableParagraph"/>
              <w:ind w:right="-142"/>
              <w:jc w:val="both"/>
              <w:rPr>
                <w:i/>
              </w:rPr>
            </w:pPr>
          </w:p>
          <w:p w14:paraId="140330D2" w14:textId="77777777" w:rsidR="00DD2050" w:rsidRDefault="00DD2050" w:rsidP="00CD363C">
            <w:pPr>
              <w:pStyle w:val="TableParagraph"/>
              <w:ind w:right="-142"/>
              <w:jc w:val="both"/>
              <w:rPr>
                <w:i/>
              </w:rPr>
            </w:pPr>
          </w:p>
          <w:p w14:paraId="5974AECC" w14:textId="77777777" w:rsidR="00DD2050" w:rsidRDefault="00DD2050" w:rsidP="00CD363C">
            <w:pPr>
              <w:pStyle w:val="TableParagraph"/>
              <w:ind w:right="-142"/>
              <w:jc w:val="both"/>
              <w:rPr>
                <w:i/>
              </w:rPr>
            </w:pPr>
          </w:p>
          <w:p w14:paraId="6C629F06" w14:textId="77777777" w:rsidR="00DD2050" w:rsidRDefault="00DD2050" w:rsidP="00CD363C">
            <w:pPr>
              <w:pStyle w:val="TableParagraph"/>
              <w:ind w:right="-142"/>
              <w:jc w:val="both"/>
              <w:rPr>
                <w:i/>
              </w:rPr>
            </w:pPr>
          </w:p>
          <w:p w14:paraId="1E7B9DFF" w14:textId="77777777" w:rsidR="00DD2050" w:rsidRDefault="00DD2050" w:rsidP="00CD363C">
            <w:pPr>
              <w:pStyle w:val="TableParagraph"/>
              <w:ind w:right="-142"/>
              <w:jc w:val="both"/>
              <w:rPr>
                <w:i/>
              </w:rPr>
            </w:pPr>
          </w:p>
          <w:p w14:paraId="0768FA02" w14:textId="77777777" w:rsidR="00DD2050" w:rsidRDefault="00DD2050" w:rsidP="00CD363C">
            <w:pPr>
              <w:pStyle w:val="TableParagraph"/>
              <w:ind w:right="-142"/>
              <w:jc w:val="both"/>
              <w:rPr>
                <w:i/>
              </w:rPr>
            </w:pPr>
          </w:p>
          <w:p w14:paraId="614BE54F" w14:textId="77777777" w:rsidR="00DD2050" w:rsidRDefault="00DD2050" w:rsidP="00CD363C">
            <w:pPr>
              <w:pStyle w:val="TableParagraph"/>
              <w:ind w:right="-142"/>
              <w:jc w:val="both"/>
              <w:rPr>
                <w:i/>
              </w:rPr>
            </w:pPr>
          </w:p>
          <w:p w14:paraId="37A8E596" w14:textId="77777777" w:rsidR="00DD2050" w:rsidRDefault="00DD2050" w:rsidP="00CD363C">
            <w:pPr>
              <w:pStyle w:val="TableParagraph"/>
              <w:ind w:right="-142"/>
              <w:jc w:val="both"/>
              <w:rPr>
                <w:i/>
              </w:rPr>
            </w:pPr>
          </w:p>
          <w:p w14:paraId="657C75D2" w14:textId="77777777" w:rsidR="00DD2050" w:rsidRDefault="00DD2050" w:rsidP="00CD363C">
            <w:pPr>
              <w:pStyle w:val="TableParagraph"/>
              <w:ind w:right="-142"/>
              <w:jc w:val="both"/>
              <w:rPr>
                <w:i/>
              </w:rPr>
            </w:pPr>
          </w:p>
          <w:p w14:paraId="72C0DA52" w14:textId="77777777" w:rsidR="00DD2050" w:rsidRDefault="00DD2050" w:rsidP="00CD363C">
            <w:pPr>
              <w:pStyle w:val="TableParagraph"/>
              <w:ind w:right="-142"/>
              <w:jc w:val="both"/>
              <w:rPr>
                <w:i/>
              </w:rPr>
            </w:pPr>
          </w:p>
          <w:p w14:paraId="6B845E3E" w14:textId="77777777" w:rsidR="00DD2050" w:rsidRDefault="00DD2050" w:rsidP="00CD363C">
            <w:pPr>
              <w:pStyle w:val="TableParagraph"/>
              <w:ind w:right="-142"/>
              <w:jc w:val="both"/>
              <w:rPr>
                <w:i/>
              </w:rPr>
            </w:pPr>
          </w:p>
          <w:p w14:paraId="50206470" w14:textId="77777777" w:rsidR="00DD2050" w:rsidRDefault="00DD2050" w:rsidP="00CD363C">
            <w:pPr>
              <w:pStyle w:val="TableParagraph"/>
              <w:ind w:right="-142"/>
              <w:jc w:val="both"/>
              <w:rPr>
                <w:i/>
              </w:rPr>
            </w:pPr>
          </w:p>
          <w:p w14:paraId="05B9F688" w14:textId="77777777" w:rsidR="00DD2050" w:rsidRDefault="00DD2050" w:rsidP="00CD363C">
            <w:pPr>
              <w:pStyle w:val="TableParagraph"/>
              <w:ind w:right="-142"/>
              <w:jc w:val="both"/>
              <w:rPr>
                <w:i/>
              </w:rPr>
            </w:pPr>
          </w:p>
          <w:p w14:paraId="4A336AB7" w14:textId="77777777" w:rsidR="00DD2050" w:rsidRDefault="00DD2050" w:rsidP="00CD363C">
            <w:pPr>
              <w:pStyle w:val="TableParagraph"/>
              <w:ind w:right="-142"/>
              <w:jc w:val="both"/>
              <w:rPr>
                <w:i/>
              </w:rPr>
            </w:pPr>
          </w:p>
          <w:p w14:paraId="3191C7DF" w14:textId="77777777" w:rsidR="00DD2050" w:rsidRDefault="00DD2050" w:rsidP="00CD363C">
            <w:pPr>
              <w:pStyle w:val="TableParagraph"/>
              <w:ind w:right="-142"/>
              <w:jc w:val="both"/>
              <w:rPr>
                <w:i/>
                <w:sz w:val="19"/>
              </w:rPr>
            </w:pPr>
          </w:p>
          <w:p w14:paraId="40AD843D" w14:textId="77777777" w:rsidR="00DD2050" w:rsidRDefault="00DD2050" w:rsidP="00CD363C">
            <w:pPr>
              <w:pStyle w:val="TableParagraph"/>
              <w:ind w:right="-142"/>
              <w:jc w:val="both"/>
              <w:rPr>
                <w:b/>
                <w:sz w:val="20"/>
              </w:rPr>
            </w:pPr>
            <w:r>
              <w:rPr>
                <w:b/>
                <w:w w:val="99"/>
                <w:sz w:val="20"/>
              </w:rPr>
              <w:t>8</w:t>
            </w:r>
          </w:p>
        </w:tc>
        <w:tc>
          <w:tcPr>
            <w:tcW w:w="8808" w:type="dxa"/>
            <w:gridSpan w:val="4"/>
          </w:tcPr>
          <w:p w14:paraId="5BB6E3E9" w14:textId="77777777" w:rsidR="00DD2050" w:rsidRDefault="00DD2050" w:rsidP="00CD363C">
            <w:pPr>
              <w:pStyle w:val="TableParagraph"/>
              <w:ind w:left="105" w:right="-142"/>
              <w:jc w:val="both"/>
              <w:rPr>
                <w:b/>
                <w:sz w:val="20"/>
              </w:rPr>
            </w:pPr>
            <w:r>
              <w:rPr>
                <w:b/>
                <w:sz w:val="20"/>
              </w:rPr>
              <w:t>Seguma atjaunošanas komponentes atzīšana (seguma maiņa)</w:t>
            </w:r>
          </w:p>
        </w:tc>
      </w:tr>
      <w:tr w:rsidR="00DD2050" w14:paraId="129FE816" w14:textId="77777777" w:rsidTr="00DD2050">
        <w:trPr>
          <w:trHeight w:val="460"/>
        </w:trPr>
        <w:tc>
          <w:tcPr>
            <w:tcW w:w="818" w:type="dxa"/>
            <w:vMerge/>
            <w:tcBorders>
              <w:top w:val="nil"/>
            </w:tcBorders>
          </w:tcPr>
          <w:p w14:paraId="7B6CCB6D" w14:textId="77777777" w:rsidR="00DD2050" w:rsidRDefault="00DD2050" w:rsidP="00CD363C">
            <w:pPr>
              <w:spacing w:after="0" w:line="240" w:lineRule="auto"/>
              <w:ind w:right="-142"/>
              <w:jc w:val="both"/>
              <w:rPr>
                <w:sz w:val="2"/>
                <w:szCs w:val="2"/>
              </w:rPr>
            </w:pPr>
          </w:p>
        </w:tc>
        <w:tc>
          <w:tcPr>
            <w:tcW w:w="2962" w:type="dxa"/>
          </w:tcPr>
          <w:p w14:paraId="17C50F7C" w14:textId="77777777" w:rsidR="00DD2050" w:rsidRDefault="00DD2050" w:rsidP="00CD363C">
            <w:pPr>
              <w:pStyle w:val="TableParagraph"/>
              <w:ind w:left="105" w:right="-142"/>
              <w:jc w:val="both"/>
              <w:rPr>
                <w:sz w:val="20"/>
              </w:rPr>
            </w:pPr>
            <w:r>
              <w:rPr>
                <w:sz w:val="20"/>
              </w:rPr>
              <w:t>D Partnerības aktīvs - seguma</w:t>
            </w:r>
          </w:p>
          <w:p w14:paraId="7DEFB753" w14:textId="77777777" w:rsidR="00DD2050" w:rsidRDefault="00DD2050" w:rsidP="00CD363C">
            <w:pPr>
              <w:pStyle w:val="TableParagraph"/>
              <w:ind w:left="105" w:right="-142"/>
              <w:jc w:val="both"/>
              <w:rPr>
                <w:sz w:val="20"/>
              </w:rPr>
            </w:pPr>
            <w:r>
              <w:rPr>
                <w:sz w:val="20"/>
              </w:rPr>
              <w:t>maiņa</w:t>
            </w:r>
          </w:p>
        </w:tc>
        <w:tc>
          <w:tcPr>
            <w:tcW w:w="1152" w:type="dxa"/>
          </w:tcPr>
          <w:p w14:paraId="7058DC97" w14:textId="77777777" w:rsidR="00DD2050" w:rsidRDefault="00DD2050" w:rsidP="00CD363C">
            <w:pPr>
              <w:pStyle w:val="TableParagraph"/>
              <w:ind w:left="94" w:right="-142"/>
              <w:jc w:val="both"/>
              <w:rPr>
                <w:sz w:val="20"/>
              </w:rPr>
            </w:pPr>
            <w:r>
              <w:rPr>
                <w:sz w:val="20"/>
              </w:rPr>
              <w:t>1213</w:t>
            </w:r>
          </w:p>
        </w:tc>
        <w:tc>
          <w:tcPr>
            <w:tcW w:w="3288" w:type="dxa"/>
          </w:tcPr>
          <w:p w14:paraId="1C138D5C" w14:textId="77777777" w:rsidR="00DD2050" w:rsidRDefault="00DD2050" w:rsidP="00CD363C">
            <w:pPr>
              <w:pStyle w:val="TableParagraph"/>
              <w:ind w:left="106" w:right="-142"/>
              <w:jc w:val="both"/>
              <w:rPr>
                <w:sz w:val="20"/>
              </w:rPr>
            </w:pPr>
            <w:r>
              <w:rPr>
                <w:sz w:val="20"/>
              </w:rPr>
              <w:t>Transporta būves</w:t>
            </w:r>
          </w:p>
        </w:tc>
        <w:tc>
          <w:tcPr>
            <w:tcW w:w="1406" w:type="dxa"/>
          </w:tcPr>
          <w:p w14:paraId="3522C9AE" w14:textId="77777777" w:rsidR="00DD2050" w:rsidRDefault="00DD2050" w:rsidP="00CD363C">
            <w:pPr>
              <w:pStyle w:val="TableParagraph"/>
              <w:ind w:right="-142"/>
              <w:jc w:val="both"/>
              <w:rPr>
                <w:sz w:val="20"/>
              </w:rPr>
            </w:pPr>
            <w:r>
              <w:rPr>
                <w:sz w:val="20"/>
              </w:rPr>
              <w:t>110 000,00</w:t>
            </w:r>
          </w:p>
        </w:tc>
      </w:tr>
      <w:tr w:rsidR="00DD2050" w14:paraId="591C34B3" w14:textId="77777777" w:rsidTr="00DD2050">
        <w:trPr>
          <w:trHeight w:val="460"/>
        </w:trPr>
        <w:tc>
          <w:tcPr>
            <w:tcW w:w="818" w:type="dxa"/>
            <w:vMerge/>
            <w:tcBorders>
              <w:top w:val="nil"/>
            </w:tcBorders>
          </w:tcPr>
          <w:p w14:paraId="1B975F99" w14:textId="77777777" w:rsidR="00DD2050" w:rsidRDefault="00DD2050" w:rsidP="00CD363C">
            <w:pPr>
              <w:spacing w:after="0" w:line="240" w:lineRule="auto"/>
              <w:ind w:right="-142"/>
              <w:jc w:val="both"/>
              <w:rPr>
                <w:sz w:val="2"/>
                <w:szCs w:val="2"/>
              </w:rPr>
            </w:pPr>
          </w:p>
        </w:tc>
        <w:tc>
          <w:tcPr>
            <w:tcW w:w="2962" w:type="dxa"/>
          </w:tcPr>
          <w:p w14:paraId="193B2EA0" w14:textId="77777777" w:rsidR="00DD2050" w:rsidRDefault="00DD2050" w:rsidP="00CD363C">
            <w:pPr>
              <w:pStyle w:val="TableParagraph"/>
              <w:ind w:left="105" w:right="-142"/>
              <w:jc w:val="both"/>
              <w:rPr>
                <w:sz w:val="20"/>
              </w:rPr>
            </w:pPr>
            <w:r>
              <w:rPr>
                <w:sz w:val="20"/>
              </w:rPr>
              <w:t>K Finanšu saistības</w:t>
            </w:r>
          </w:p>
        </w:tc>
        <w:tc>
          <w:tcPr>
            <w:tcW w:w="1152" w:type="dxa"/>
          </w:tcPr>
          <w:p w14:paraId="0E7872E4" w14:textId="77777777" w:rsidR="00DD2050" w:rsidRDefault="00DD2050" w:rsidP="00CD363C">
            <w:pPr>
              <w:pStyle w:val="TableParagraph"/>
              <w:ind w:left="94" w:right="-142"/>
              <w:jc w:val="both"/>
              <w:rPr>
                <w:sz w:val="20"/>
              </w:rPr>
            </w:pPr>
            <w:r>
              <w:rPr>
                <w:sz w:val="20"/>
              </w:rPr>
              <w:t>5130</w:t>
            </w:r>
          </w:p>
        </w:tc>
        <w:tc>
          <w:tcPr>
            <w:tcW w:w="3288" w:type="dxa"/>
          </w:tcPr>
          <w:p w14:paraId="3DDC423C" w14:textId="77777777" w:rsidR="00DD2050" w:rsidRDefault="00DD2050" w:rsidP="00CD363C">
            <w:pPr>
              <w:pStyle w:val="TableParagraph"/>
              <w:ind w:left="106" w:right="-142"/>
              <w:jc w:val="both"/>
              <w:rPr>
                <w:sz w:val="20"/>
              </w:rPr>
            </w:pPr>
            <w:r>
              <w:rPr>
                <w:sz w:val="20"/>
              </w:rPr>
              <w:t>Ilgtermiņa saistības pret</w:t>
            </w:r>
          </w:p>
          <w:p w14:paraId="45E5D47C"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1D1566FA" w14:textId="77777777" w:rsidR="00DD2050" w:rsidRDefault="00DD2050" w:rsidP="00CD363C">
            <w:pPr>
              <w:pStyle w:val="TableParagraph"/>
              <w:ind w:right="-142"/>
              <w:jc w:val="both"/>
              <w:rPr>
                <w:sz w:val="20"/>
              </w:rPr>
            </w:pPr>
            <w:r>
              <w:rPr>
                <w:sz w:val="20"/>
              </w:rPr>
              <w:t>55 000,00</w:t>
            </w:r>
          </w:p>
        </w:tc>
      </w:tr>
      <w:tr w:rsidR="00DD2050" w14:paraId="628C189F" w14:textId="77777777" w:rsidTr="00DD2050">
        <w:trPr>
          <w:trHeight w:val="691"/>
        </w:trPr>
        <w:tc>
          <w:tcPr>
            <w:tcW w:w="818" w:type="dxa"/>
            <w:vMerge/>
            <w:tcBorders>
              <w:top w:val="nil"/>
            </w:tcBorders>
          </w:tcPr>
          <w:p w14:paraId="2A1E937E" w14:textId="77777777" w:rsidR="00DD2050" w:rsidRDefault="00DD2050" w:rsidP="00CD363C">
            <w:pPr>
              <w:spacing w:after="0" w:line="240" w:lineRule="auto"/>
              <w:ind w:right="-142"/>
              <w:jc w:val="both"/>
              <w:rPr>
                <w:sz w:val="2"/>
                <w:szCs w:val="2"/>
              </w:rPr>
            </w:pPr>
          </w:p>
        </w:tc>
        <w:tc>
          <w:tcPr>
            <w:tcW w:w="2962" w:type="dxa"/>
          </w:tcPr>
          <w:p w14:paraId="720D01CB" w14:textId="77777777" w:rsidR="00DD2050" w:rsidRDefault="00DD2050" w:rsidP="00CD363C">
            <w:pPr>
              <w:pStyle w:val="TableParagraph"/>
              <w:ind w:right="-142"/>
              <w:jc w:val="both"/>
              <w:rPr>
                <w:i/>
                <w:sz w:val="19"/>
              </w:rPr>
            </w:pPr>
          </w:p>
          <w:p w14:paraId="780AAB59" w14:textId="77777777" w:rsidR="00DD2050" w:rsidRDefault="00DD2050" w:rsidP="00CD363C">
            <w:pPr>
              <w:pStyle w:val="TableParagraph"/>
              <w:ind w:left="105" w:right="-142"/>
              <w:jc w:val="both"/>
              <w:rPr>
                <w:sz w:val="20"/>
              </w:rPr>
            </w:pPr>
            <w:r>
              <w:rPr>
                <w:sz w:val="20"/>
              </w:rPr>
              <w:t>K Saistības</w:t>
            </w:r>
          </w:p>
        </w:tc>
        <w:tc>
          <w:tcPr>
            <w:tcW w:w="1152" w:type="dxa"/>
          </w:tcPr>
          <w:p w14:paraId="4C5C7708" w14:textId="77777777" w:rsidR="00DD2050" w:rsidRDefault="00DD2050" w:rsidP="00CD363C">
            <w:pPr>
              <w:pStyle w:val="TableParagraph"/>
              <w:ind w:right="-142"/>
              <w:jc w:val="both"/>
              <w:rPr>
                <w:i/>
                <w:sz w:val="19"/>
              </w:rPr>
            </w:pPr>
          </w:p>
          <w:p w14:paraId="124F57EF" w14:textId="77777777" w:rsidR="00DD2050" w:rsidRDefault="00DD2050" w:rsidP="00CD363C">
            <w:pPr>
              <w:pStyle w:val="TableParagraph"/>
              <w:ind w:left="94" w:right="-142"/>
              <w:jc w:val="both"/>
              <w:rPr>
                <w:sz w:val="20"/>
              </w:rPr>
            </w:pPr>
            <w:r>
              <w:rPr>
                <w:sz w:val="20"/>
              </w:rPr>
              <w:t>5150</w:t>
            </w:r>
          </w:p>
        </w:tc>
        <w:tc>
          <w:tcPr>
            <w:tcW w:w="3288" w:type="dxa"/>
          </w:tcPr>
          <w:p w14:paraId="08ED2021" w14:textId="77777777" w:rsidR="00DD2050" w:rsidRDefault="00DD2050" w:rsidP="00CD363C">
            <w:pPr>
              <w:pStyle w:val="TableParagraph"/>
              <w:ind w:left="106" w:right="-142"/>
              <w:jc w:val="both"/>
              <w:rPr>
                <w:sz w:val="20"/>
              </w:rPr>
            </w:pPr>
            <w:r>
              <w:rPr>
                <w:sz w:val="20"/>
              </w:rPr>
              <w:t>Ilgtermiņa nākamo periodu ieņēmumi un saņemtie avansa</w:t>
            </w:r>
          </w:p>
          <w:p w14:paraId="0BF63D3A" w14:textId="77777777" w:rsidR="00DD2050" w:rsidRDefault="00DD2050" w:rsidP="00CD363C">
            <w:pPr>
              <w:pStyle w:val="TableParagraph"/>
              <w:ind w:left="106" w:right="-142"/>
              <w:jc w:val="both"/>
              <w:rPr>
                <w:sz w:val="20"/>
              </w:rPr>
            </w:pPr>
            <w:r>
              <w:rPr>
                <w:sz w:val="20"/>
              </w:rPr>
              <w:t>maksājumi</w:t>
            </w:r>
          </w:p>
        </w:tc>
        <w:tc>
          <w:tcPr>
            <w:tcW w:w="1406" w:type="dxa"/>
          </w:tcPr>
          <w:p w14:paraId="00978622" w14:textId="77777777" w:rsidR="00DD2050" w:rsidRDefault="00DD2050" w:rsidP="00CD363C">
            <w:pPr>
              <w:pStyle w:val="TableParagraph"/>
              <w:ind w:right="-142"/>
              <w:jc w:val="both"/>
              <w:rPr>
                <w:i/>
                <w:sz w:val="19"/>
              </w:rPr>
            </w:pPr>
          </w:p>
          <w:p w14:paraId="50017255" w14:textId="77777777" w:rsidR="00DD2050" w:rsidRDefault="00DD2050" w:rsidP="00CD363C">
            <w:pPr>
              <w:pStyle w:val="TableParagraph"/>
              <w:ind w:right="-142"/>
              <w:jc w:val="both"/>
              <w:rPr>
                <w:sz w:val="20"/>
              </w:rPr>
            </w:pPr>
            <w:r>
              <w:rPr>
                <w:sz w:val="20"/>
              </w:rPr>
              <w:t>55 000,00</w:t>
            </w:r>
          </w:p>
        </w:tc>
      </w:tr>
      <w:tr w:rsidR="00DD2050" w14:paraId="5F4E3925" w14:textId="77777777" w:rsidTr="00DD2050">
        <w:trPr>
          <w:trHeight w:val="253"/>
        </w:trPr>
        <w:tc>
          <w:tcPr>
            <w:tcW w:w="818" w:type="dxa"/>
            <w:vMerge/>
            <w:tcBorders>
              <w:top w:val="nil"/>
            </w:tcBorders>
          </w:tcPr>
          <w:p w14:paraId="339966BA" w14:textId="77777777" w:rsidR="00DD2050" w:rsidRDefault="00DD2050" w:rsidP="00CD363C">
            <w:pPr>
              <w:spacing w:after="0" w:line="240" w:lineRule="auto"/>
              <w:ind w:right="-142"/>
              <w:jc w:val="both"/>
              <w:rPr>
                <w:sz w:val="2"/>
                <w:szCs w:val="2"/>
              </w:rPr>
            </w:pPr>
          </w:p>
        </w:tc>
        <w:tc>
          <w:tcPr>
            <w:tcW w:w="8808" w:type="dxa"/>
            <w:gridSpan w:val="4"/>
          </w:tcPr>
          <w:p w14:paraId="1F06B4AE" w14:textId="77777777" w:rsidR="00DD2050" w:rsidRDefault="00DD2050" w:rsidP="00CD363C">
            <w:pPr>
              <w:pStyle w:val="TableParagraph"/>
              <w:ind w:left="105" w:right="-142"/>
              <w:jc w:val="both"/>
              <w:rPr>
                <w:b/>
                <w:sz w:val="20"/>
              </w:rPr>
            </w:pPr>
            <w:r>
              <w:rPr>
                <w:b/>
                <w:sz w:val="20"/>
              </w:rPr>
              <w:t>Maksājuma veikšana</w:t>
            </w:r>
          </w:p>
        </w:tc>
      </w:tr>
      <w:tr w:rsidR="00DD2050" w14:paraId="69575C00" w14:textId="77777777" w:rsidTr="00DD2050">
        <w:trPr>
          <w:trHeight w:val="460"/>
        </w:trPr>
        <w:tc>
          <w:tcPr>
            <w:tcW w:w="818" w:type="dxa"/>
            <w:vMerge/>
            <w:tcBorders>
              <w:top w:val="nil"/>
            </w:tcBorders>
          </w:tcPr>
          <w:p w14:paraId="56F33AA6" w14:textId="77777777" w:rsidR="00DD2050" w:rsidRDefault="00DD2050" w:rsidP="00CD363C">
            <w:pPr>
              <w:spacing w:after="0" w:line="240" w:lineRule="auto"/>
              <w:ind w:right="-142"/>
              <w:jc w:val="both"/>
              <w:rPr>
                <w:sz w:val="2"/>
                <w:szCs w:val="2"/>
              </w:rPr>
            </w:pPr>
          </w:p>
        </w:tc>
        <w:tc>
          <w:tcPr>
            <w:tcW w:w="2962" w:type="dxa"/>
          </w:tcPr>
          <w:p w14:paraId="4C1DD5F5" w14:textId="77777777" w:rsidR="00DD2050" w:rsidRDefault="00DD2050" w:rsidP="00CD363C">
            <w:pPr>
              <w:pStyle w:val="TableParagraph"/>
              <w:ind w:left="105" w:right="-142"/>
              <w:jc w:val="both"/>
              <w:rPr>
                <w:sz w:val="20"/>
              </w:rPr>
            </w:pPr>
            <w:r>
              <w:rPr>
                <w:sz w:val="20"/>
              </w:rPr>
              <w:t>D Finanšu saistības</w:t>
            </w:r>
          </w:p>
        </w:tc>
        <w:tc>
          <w:tcPr>
            <w:tcW w:w="1152" w:type="dxa"/>
          </w:tcPr>
          <w:p w14:paraId="2FA6082C" w14:textId="77777777" w:rsidR="00DD2050" w:rsidRDefault="00DD2050" w:rsidP="00CD363C">
            <w:pPr>
              <w:pStyle w:val="TableParagraph"/>
              <w:ind w:left="94" w:right="-142"/>
              <w:jc w:val="both"/>
              <w:rPr>
                <w:sz w:val="20"/>
              </w:rPr>
            </w:pPr>
            <w:r>
              <w:rPr>
                <w:sz w:val="20"/>
              </w:rPr>
              <w:t>5310</w:t>
            </w:r>
          </w:p>
        </w:tc>
        <w:tc>
          <w:tcPr>
            <w:tcW w:w="3288" w:type="dxa"/>
          </w:tcPr>
          <w:p w14:paraId="0F94569B" w14:textId="77777777" w:rsidR="00DD2050" w:rsidRDefault="00DD2050" w:rsidP="00CD363C">
            <w:pPr>
              <w:pStyle w:val="TableParagraph"/>
              <w:ind w:left="106" w:right="-142"/>
              <w:jc w:val="both"/>
              <w:rPr>
                <w:sz w:val="20"/>
              </w:rPr>
            </w:pPr>
            <w:r>
              <w:rPr>
                <w:sz w:val="20"/>
              </w:rPr>
              <w:t>Īstermiņa saistības pret piegādātājiem</w:t>
            </w:r>
          </w:p>
          <w:p w14:paraId="48CB2AE3" w14:textId="77777777" w:rsidR="00DD2050" w:rsidRDefault="00DD2050" w:rsidP="00CD363C">
            <w:pPr>
              <w:pStyle w:val="TableParagraph"/>
              <w:ind w:left="106" w:right="-142"/>
              <w:jc w:val="both"/>
              <w:rPr>
                <w:sz w:val="20"/>
              </w:rPr>
            </w:pPr>
            <w:r>
              <w:rPr>
                <w:sz w:val="20"/>
              </w:rPr>
              <w:t>un darbuzņēmējiem</w:t>
            </w:r>
          </w:p>
        </w:tc>
        <w:tc>
          <w:tcPr>
            <w:tcW w:w="1406" w:type="dxa"/>
          </w:tcPr>
          <w:p w14:paraId="3539113F" w14:textId="77777777" w:rsidR="00DD2050" w:rsidRDefault="00DD2050" w:rsidP="00CD363C">
            <w:pPr>
              <w:pStyle w:val="TableParagraph"/>
              <w:ind w:right="-142"/>
              <w:jc w:val="both"/>
              <w:rPr>
                <w:sz w:val="20"/>
              </w:rPr>
            </w:pPr>
            <w:r>
              <w:rPr>
                <w:sz w:val="20"/>
              </w:rPr>
              <w:t>100 000,00</w:t>
            </w:r>
          </w:p>
        </w:tc>
      </w:tr>
      <w:tr w:rsidR="00DD2050" w14:paraId="0E492044" w14:textId="77777777" w:rsidTr="00DD2050">
        <w:trPr>
          <w:trHeight w:val="253"/>
        </w:trPr>
        <w:tc>
          <w:tcPr>
            <w:tcW w:w="818" w:type="dxa"/>
            <w:vMerge/>
            <w:tcBorders>
              <w:top w:val="nil"/>
            </w:tcBorders>
          </w:tcPr>
          <w:p w14:paraId="57715C17" w14:textId="77777777" w:rsidR="00DD2050" w:rsidRDefault="00DD2050" w:rsidP="00CD363C">
            <w:pPr>
              <w:spacing w:after="0" w:line="240" w:lineRule="auto"/>
              <w:ind w:right="-142"/>
              <w:jc w:val="both"/>
              <w:rPr>
                <w:sz w:val="2"/>
                <w:szCs w:val="2"/>
              </w:rPr>
            </w:pPr>
          </w:p>
        </w:tc>
        <w:tc>
          <w:tcPr>
            <w:tcW w:w="2962" w:type="dxa"/>
          </w:tcPr>
          <w:p w14:paraId="32E6D45E" w14:textId="77777777" w:rsidR="00DD2050" w:rsidRDefault="00DD2050" w:rsidP="00CD363C">
            <w:pPr>
              <w:pStyle w:val="TableParagraph"/>
              <w:ind w:left="105" w:right="-142"/>
              <w:jc w:val="both"/>
              <w:rPr>
                <w:sz w:val="20"/>
              </w:rPr>
            </w:pPr>
            <w:r>
              <w:rPr>
                <w:sz w:val="20"/>
              </w:rPr>
              <w:t>K Nauda</w:t>
            </w:r>
          </w:p>
        </w:tc>
        <w:tc>
          <w:tcPr>
            <w:tcW w:w="1152" w:type="dxa"/>
          </w:tcPr>
          <w:p w14:paraId="5C6DF735" w14:textId="77777777" w:rsidR="00DD2050" w:rsidRDefault="00DD2050" w:rsidP="00CD363C">
            <w:pPr>
              <w:pStyle w:val="TableParagraph"/>
              <w:ind w:left="94" w:right="-142"/>
              <w:jc w:val="both"/>
              <w:rPr>
                <w:sz w:val="20"/>
              </w:rPr>
            </w:pPr>
            <w:r>
              <w:rPr>
                <w:sz w:val="20"/>
              </w:rPr>
              <w:t>2600</w:t>
            </w:r>
          </w:p>
        </w:tc>
        <w:tc>
          <w:tcPr>
            <w:tcW w:w="3288" w:type="dxa"/>
          </w:tcPr>
          <w:p w14:paraId="01B19D06" w14:textId="77777777" w:rsidR="00DD2050" w:rsidRDefault="00DD2050" w:rsidP="00CD363C">
            <w:pPr>
              <w:pStyle w:val="TableParagraph"/>
              <w:ind w:left="106" w:right="-142"/>
              <w:jc w:val="both"/>
              <w:rPr>
                <w:sz w:val="20"/>
              </w:rPr>
            </w:pPr>
            <w:r>
              <w:rPr>
                <w:sz w:val="20"/>
              </w:rPr>
              <w:t>Naudas līdzekļi</w:t>
            </w:r>
          </w:p>
        </w:tc>
        <w:tc>
          <w:tcPr>
            <w:tcW w:w="1406" w:type="dxa"/>
          </w:tcPr>
          <w:p w14:paraId="15E1B0D2" w14:textId="77777777" w:rsidR="00DD2050" w:rsidRDefault="00DD2050" w:rsidP="00CD363C">
            <w:pPr>
              <w:pStyle w:val="TableParagraph"/>
              <w:ind w:right="-142"/>
              <w:jc w:val="both"/>
              <w:rPr>
                <w:sz w:val="20"/>
              </w:rPr>
            </w:pPr>
            <w:r>
              <w:rPr>
                <w:sz w:val="20"/>
              </w:rPr>
              <w:t>100 000,00</w:t>
            </w:r>
          </w:p>
        </w:tc>
      </w:tr>
      <w:tr w:rsidR="00DD2050" w14:paraId="522BAF07" w14:textId="77777777" w:rsidTr="00DD2050">
        <w:trPr>
          <w:trHeight w:val="256"/>
        </w:trPr>
        <w:tc>
          <w:tcPr>
            <w:tcW w:w="818" w:type="dxa"/>
            <w:vMerge/>
            <w:tcBorders>
              <w:top w:val="nil"/>
            </w:tcBorders>
          </w:tcPr>
          <w:p w14:paraId="26678F1F" w14:textId="77777777" w:rsidR="00DD2050" w:rsidRDefault="00DD2050" w:rsidP="00CD363C">
            <w:pPr>
              <w:spacing w:after="0" w:line="240" w:lineRule="auto"/>
              <w:ind w:right="-142"/>
              <w:jc w:val="both"/>
              <w:rPr>
                <w:sz w:val="2"/>
                <w:szCs w:val="2"/>
              </w:rPr>
            </w:pPr>
          </w:p>
        </w:tc>
        <w:tc>
          <w:tcPr>
            <w:tcW w:w="8808" w:type="dxa"/>
            <w:gridSpan w:val="4"/>
          </w:tcPr>
          <w:p w14:paraId="6DEA5780" w14:textId="77777777" w:rsidR="00DD2050" w:rsidRDefault="00DD2050" w:rsidP="00CD363C">
            <w:pPr>
              <w:pStyle w:val="TableParagraph"/>
              <w:ind w:left="105" w:right="-142"/>
              <w:jc w:val="both"/>
              <w:rPr>
                <w:b/>
                <w:sz w:val="20"/>
              </w:rPr>
            </w:pPr>
            <w:r>
              <w:rPr>
                <w:b/>
                <w:sz w:val="20"/>
              </w:rPr>
              <w:t>Procentu izdevumi</w:t>
            </w:r>
          </w:p>
        </w:tc>
      </w:tr>
      <w:tr w:rsidR="00DD2050" w14:paraId="26A3A727" w14:textId="77777777" w:rsidTr="00DD2050">
        <w:trPr>
          <w:trHeight w:val="253"/>
        </w:trPr>
        <w:tc>
          <w:tcPr>
            <w:tcW w:w="818" w:type="dxa"/>
            <w:vMerge/>
            <w:tcBorders>
              <w:top w:val="nil"/>
            </w:tcBorders>
          </w:tcPr>
          <w:p w14:paraId="70E67E2D" w14:textId="77777777" w:rsidR="00DD2050" w:rsidRDefault="00DD2050" w:rsidP="00CD363C">
            <w:pPr>
              <w:spacing w:after="0" w:line="240" w:lineRule="auto"/>
              <w:ind w:right="-142"/>
              <w:jc w:val="both"/>
              <w:rPr>
                <w:sz w:val="2"/>
                <w:szCs w:val="2"/>
              </w:rPr>
            </w:pPr>
          </w:p>
        </w:tc>
        <w:tc>
          <w:tcPr>
            <w:tcW w:w="2962" w:type="dxa"/>
          </w:tcPr>
          <w:p w14:paraId="55836DFF" w14:textId="77777777" w:rsidR="00DD2050" w:rsidRDefault="00DD2050" w:rsidP="00CD363C">
            <w:pPr>
              <w:pStyle w:val="TableParagraph"/>
              <w:ind w:left="105" w:right="-142"/>
              <w:jc w:val="both"/>
              <w:rPr>
                <w:sz w:val="20"/>
              </w:rPr>
            </w:pPr>
            <w:r>
              <w:rPr>
                <w:sz w:val="20"/>
              </w:rPr>
              <w:t>D Procentu izdevumi</w:t>
            </w:r>
          </w:p>
        </w:tc>
        <w:tc>
          <w:tcPr>
            <w:tcW w:w="1152" w:type="dxa"/>
          </w:tcPr>
          <w:p w14:paraId="2E1FADF9" w14:textId="77777777" w:rsidR="00DD2050" w:rsidRDefault="00DD2050" w:rsidP="00CD363C">
            <w:pPr>
              <w:pStyle w:val="TableParagraph"/>
              <w:ind w:left="94" w:right="-142"/>
              <w:jc w:val="both"/>
              <w:rPr>
                <w:sz w:val="20"/>
              </w:rPr>
            </w:pPr>
            <w:r>
              <w:rPr>
                <w:sz w:val="20"/>
              </w:rPr>
              <w:t>8220</w:t>
            </w:r>
          </w:p>
        </w:tc>
        <w:tc>
          <w:tcPr>
            <w:tcW w:w="3288" w:type="dxa"/>
          </w:tcPr>
          <w:p w14:paraId="1061F73C" w14:textId="77777777" w:rsidR="00DD2050" w:rsidRDefault="00DD2050" w:rsidP="00CD363C">
            <w:pPr>
              <w:pStyle w:val="TableParagraph"/>
              <w:ind w:left="106" w:right="-142"/>
              <w:jc w:val="both"/>
              <w:rPr>
                <w:sz w:val="20"/>
              </w:rPr>
            </w:pPr>
            <w:r>
              <w:rPr>
                <w:sz w:val="20"/>
              </w:rPr>
              <w:t>Procentu izdevumi</w:t>
            </w:r>
          </w:p>
        </w:tc>
        <w:tc>
          <w:tcPr>
            <w:tcW w:w="1406" w:type="dxa"/>
          </w:tcPr>
          <w:p w14:paraId="1956811B" w14:textId="77777777" w:rsidR="00DD2050" w:rsidRDefault="00DD2050" w:rsidP="00CD363C">
            <w:pPr>
              <w:pStyle w:val="TableParagraph"/>
              <w:ind w:right="-142"/>
              <w:jc w:val="both"/>
              <w:rPr>
                <w:sz w:val="20"/>
              </w:rPr>
            </w:pPr>
            <w:r>
              <w:rPr>
                <w:sz w:val="20"/>
              </w:rPr>
              <w:t>12 274,00</w:t>
            </w:r>
          </w:p>
        </w:tc>
      </w:tr>
      <w:tr w:rsidR="00DD2050" w14:paraId="6A557C11" w14:textId="77777777" w:rsidTr="00DD2050">
        <w:trPr>
          <w:trHeight w:val="256"/>
        </w:trPr>
        <w:tc>
          <w:tcPr>
            <w:tcW w:w="818" w:type="dxa"/>
            <w:vMerge/>
            <w:tcBorders>
              <w:top w:val="nil"/>
            </w:tcBorders>
          </w:tcPr>
          <w:p w14:paraId="6F503B70" w14:textId="77777777" w:rsidR="00DD2050" w:rsidRDefault="00DD2050" w:rsidP="00CD363C">
            <w:pPr>
              <w:spacing w:after="0" w:line="240" w:lineRule="auto"/>
              <w:ind w:right="-142"/>
              <w:jc w:val="both"/>
              <w:rPr>
                <w:sz w:val="2"/>
                <w:szCs w:val="2"/>
              </w:rPr>
            </w:pPr>
          </w:p>
        </w:tc>
        <w:tc>
          <w:tcPr>
            <w:tcW w:w="2962" w:type="dxa"/>
          </w:tcPr>
          <w:p w14:paraId="74052155" w14:textId="77777777" w:rsidR="00DD2050" w:rsidRDefault="00DD2050" w:rsidP="00CD363C">
            <w:pPr>
              <w:pStyle w:val="TableParagraph"/>
              <w:ind w:left="105" w:right="-142"/>
              <w:jc w:val="both"/>
              <w:rPr>
                <w:sz w:val="20"/>
              </w:rPr>
            </w:pPr>
            <w:r>
              <w:rPr>
                <w:sz w:val="20"/>
              </w:rPr>
              <w:t>D Pakalpojuma izmaksas</w:t>
            </w:r>
          </w:p>
        </w:tc>
        <w:tc>
          <w:tcPr>
            <w:tcW w:w="1152" w:type="dxa"/>
          </w:tcPr>
          <w:p w14:paraId="03DCBE95" w14:textId="77777777" w:rsidR="00DD2050" w:rsidRDefault="00DD2050" w:rsidP="00CD363C">
            <w:pPr>
              <w:pStyle w:val="TableParagraph"/>
              <w:ind w:left="94" w:right="-142"/>
              <w:jc w:val="both"/>
              <w:rPr>
                <w:sz w:val="20"/>
              </w:rPr>
            </w:pPr>
            <w:r>
              <w:rPr>
                <w:sz w:val="20"/>
              </w:rPr>
              <w:t>7000</w:t>
            </w:r>
          </w:p>
        </w:tc>
        <w:tc>
          <w:tcPr>
            <w:tcW w:w="3288" w:type="dxa"/>
          </w:tcPr>
          <w:p w14:paraId="4688019E" w14:textId="77777777" w:rsidR="00DD2050" w:rsidRDefault="00DD2050" w:rsidP="00CD363C">
            <w:pPr>
              <w:pStyle w:val="TableParagraph"/>
              <w:ind w:left="106" w:right="-142"/>
              <w:jc w:val="both"/>
              <w:rPr>
                <w:sz w:val="20"/>
              </w:rPr>
            </w:pPr>
            <w:r>
              <w:rPr>
                <w:sz w:val="20"/>
              </w:rPr>
              <w:t>Pamatdarbības izdevumi</w:t>
            </w:r>
          </w:p>
        </w:tc>
        <w:tc>
          <w:tcPr>
            <w:tcW w:w="1406" w:type="dxa"/>
          </w:tcPr>
          <w:p w14:paraId="6AB2D9AC" w14:textId="77777777" w:rsidR="00DD2050" w:rsidRDefault="00DD2050" w:rsidP="00CD363C">
            <w:pPr>
              <w:pStyle w:val="TableParagraph"/>
              <w:ind w:right="-142"/>
              <w:jc w:val="both"/>
              <w:rPr>
                <w:sz w:val="20"/>
              </w:rPr>
            </w:pPr>
            <w:r>
              <w:rPr>
                <w:sz w:val="20"/>
              </w:rPr>
              <w:t>6 000,00</w:t>
            </w:r>
          </w:p>
        </w:tc>
      </w:tr>
      <w:tr w:rsidR="00DD2050" w14:paraId="2D57E072" w14:textId="77777777" w:rsidTr="00DD2050">
        <w:trPr>
          <w:trHeight w:val="457"/>
        </w:trPr>
        <w:tc>
          <w:tcPr>
            <w:tcW w:w="818" w:type="dxa"/>
            <w:vMerge/>
            <w:tcBorders>
              <w:top w:val="nil"/>
            </w:tcBorders>
          </w:tcPr>
          <w:p w14:paraId="6C85772F" w14:textId="77777777" w:rsidR="00DD2050" w:rsidRDefault="00DD2050" w:rsidP="00CD363C">
            <w:pPr>
              <w:spacing w:after="0" w:line="240" w:lineRule="auto"/>
              <w:ind w:right="-142"/>
              <w:jc w:val="both"/>
              <w:rPr>
                <w:sz w:val="2"/>
                <w:szCs w:val="2"/>
              </w:rPr>
            </w:pPr>
          </w:p>
        </w:tc>
        <w:tc>
          <w:tcPr>
            <w:tcW w:w="2962" w:type="dxa"/>
          </w:tcPr>
          <w:p w14:paraId="573A2C33" w14:textId="77777777" w:rsidR="00DD2050" w:rsidRDefault="00DD2050" w:rsidP="00CD363C">
            <w:pPr>
              <w:pStyle w:val="TableParagraph"/>
              <w:ind w:left="105" w:right="-142"/>
              <w:jc w:val="both"/>
              <w:rPr>
                <w:sz w:val="20"/>
              </w:rPr>
            </w:pPr>
            <w:r>
              <w:rPr>
                <w:sz w:val="20"/>
              </w:rPr>
              <w:t>K Finanšu saistības</w:t>
            </w:r>
          </w:p>
        </w:tc>
        <w:tc>
          <w:tcPr>
            <w:tcW w:w="1152" w:type="dxa"/>
          </w:tcPr>
          <w:p w14:paraId="6DBE908B" w14:textId="77777777" w:rsidR="00DD2050" w:rsidRDefault="00DD2050" w:rsidP="00CD363C">
            <w:pPr>
              <w:pStyle w:val="TableParagraph"/>
              <w:ind w:left="94" w:right="-142"/>
              <w:jc w:val="both"/>
              <w:rPr>
                <w:sz w:val="20"/>
              </w:rPr>
            </w:pPr>
            <w:r>
              <w:rPr>
                <w:sz w:val="20"/>
              </w:rPr>
              <w:t>5310</w:t>
            </w:r>
          </w:p>
        </w:tc>
        <w:tc>
          <w:tcPr>
            <w:tcW w:w="3288" w:type="dxa"/>
          </w:tcPr>
          <w:p w14:paraId="42BC138A" w14:textId="77777777" w:rsidR="00DD2050" w:rsidRDefault="00DD2050" w:rsidP="00CD363C">
            <w:pPr>
              <w:pStyle w:val="TableParagraph"/>
              <w:ind w:left="106" w:right="-142"/>
              <w:jc w:val="both"/>
              <w:rPr>
                <w:sz w:val="20"/>
              </w:rPr>
            </w:pPr>
            <w:r>
              <w:rPr>
                <w:sz w:val="20"/>
              </w:rPr>
              <w:t>Īstermiņa saistības pret piegādātājiem</w:t>
            </w:r>
          </w:p>
          <w:p w14:paraId="44467677" w14:textId="77777777" w:rsidR="00DD2050" w:rsidRDefault="00DD2050" w:rsidP="00CD363C">
            <w:pPr>
              <w:pStyle w:val="TableParagraph"/>
              <w:ind w:left="106" w:right="-142"/>
              <w:jc w:val="both"/>
              <w:rPr>
                <w:sz w:val="20"/>
              </w:rPr>
            </w:pPr>
            <w:r>
              <w:rPr>
                <w:sz w:val="20"/>
              </w:rPr>
              <w:t>un darbuzņēmējiem</w:t>
            </w:r>
          </w:p>
        </w:tc>
        <w:tc>
          <w:tcPr>
            <w:tcW w:w="1406" w:type="dxa"/>
          </w:tcPr>
          <w:p w14:paraId="5E3B8B32" w14:textId="77777777" w:rsidR="00DD2050" w:rsidRDefault="00DD2050" w:rsidP="00CD363C">
            <w:pPr>
              <w:pStyle w:val="TableParagraph"/>
              <w:ind w:right="-142"/>
              <w:jc w:val="both"/>
              <w:rPr>
                <w:sz w:val="20"/>
              </w:rPr>
            </w:pPr>
            <w:r>
              <w:rPr>
                <w:sz w:val="20"/>
              </w:rPr>
              <w:t>18 274,00</w:t>
            </w:r>
          </w:p>
        </w:tc>
      </w:tr>
      <w:tr w:rsidR="00DD2050" w14:paraId="3A3FB02B" w14:textId="77777777" w:rsidTr="00DD2050">
        <w:trPr>
          <w:trHeight w:val="256"/>
        </w:trPr>
        <w:tc>
          <w:tcPr>
            <w:tcW w:w="818" w:type="dxa"/>
            <w:vMerge/>
            <w:tcBorders>
              <w:top w:val="nil"/>
            </w:tcBorders>
          </w:tcPr>
          <w:p w14:paraId="1F4A42BE" w14:textId="77777777" w:rsidR="00DD2050" w:rsidRDefault="00DD2050" w:rsidP="00CD363C">
            <w:pPr>
              <w:spacing w:after="0" w:line="240" w:lineRule="auto"/>
              <w:ind w:right="-142"/>
              <w:jc w:val="both"/>
              <w:rPr>
                <w:sz w:val="2"/>
                <w:szCs w:val="2"/>
              </w:rPr>
            </w:pPr>
          </w:p>
        </w:tc>
        <w:tc>
          <w:tcPr>
            <w:tcW w:w="8808" w:type="dxa"/>
            <w:gridSpan w:val="4"/>
          </w:tcPr>
          <w:p w14:paraId="7EEF37E1" w14:textId="77777777" w:rsidR="00DD2050" w:rsidRDefault="00DD2050" w:rsidP="00CD363C">
            <w:pPr>
              <w:pStyle w:val="TableParagraph"/>
              <w:ind w:left="105" w:right="-142"/>
              <w:jc w:val="both"/>
              <w:rPr>
                <w:b/>
                <w:sz w:val="20"/>
              </w:rPr>
            </w:pPr>
            <w:r>
              <w:rPr>
                <w:b/>
                <w:sz w:val="20"/>
              </w:rPr>
              <w:t>Ieņēmumu atzīšana</w:t>
            </w:r>
          </w:p>
        </w:tc>
      </w:tr>
      <w:tr w:rsidR="00DD2050" w14:paraId="77C7BC7A" w14:textId="77777777" w:rsidTr="00DD2050">
        <w:trPr>
          <w:trHeight w:val="460"/>
        </w:trPr>
        <w:tc>
          <w:tcPr>
            <w:tcW w:w="818" w:type="dxa"/>
            <w:vMerge/>
            <w:tcBorders>
              <w:top w:val="nil"/>
            </w:tcBorders>
          </w:tcPr>
          <w:p w14:paraId="38563E29" w14:textId="77777777" w:rsidR="00DD2050" w:rsidRDefault="00DD2050" w:rsidP="00CD363C">
            <w:pPr>
              <w:spacing w:after="0" w:line="240" w:lineRule="auto"/>
              <w:ind w:right="-142"/>
              <w:jc w:val="both"/>
              <w:rPr>
                <w:sz w:val="2"/>
                <w:szCs w:val="2"/>
              </w:rPr>
            </w:pPr>
          </w:p>
        </w:tc>
        <w:tc>
          <w:tcPr>
            <w:tcW w:w="2962" w:type="dxa"/>
          </w:tcPr>
          <w:p w14:paraId="5F9B6AE2" w14:textId="77777777" w:rsidR="00DD2050" w:rsidRDefault="00DD2050" w:rsidP="00CD363C">
            <w:pPr>
              <w:pStyle w:val="TableParagraph"/>
              <w:ind w:left="105" w:right="-142"/>
              <w:jc w:val="both"/>
              <w:rPr>
                <w:sz w:val="20"/>
              </w:rPr>
            </w:pPr>
            <w:r>
              <w:rPr>
                <w:sz w:val="20"/>
              </w:rPr>
              <w:t>D Saistības</w:t>
            </w:r>
          </w:p>
        </w:tc>
        <w:tc>
          <w:tcPr>
            <w:tcW w:w="1152" w:type="dxa"/>
          </w:tcPr>
          <w:p w14:paraId="68603E96" w14:textId="77777777" w:rsidR="00DD2050" w:rsidRDefault="00DD2050" w:rsidP="00CD363C">
            <w:pPr>
              <w:pStyle w:val="TableParagraph"/>
              <w:ind w:left="94" w:right="-142"/>
              <w:jc w:val="both"/>
              <w:rPr>
                <w:sz w:val="20"/>
              </w:rPr>
            </w:pPr>
            <w:r>
              <w:rPr>
                <w:sz w:val="20"/>
              </w:rPr>
              <w:t>5910</w:t>
            </w:r>
          </w:p>
        </w:tc>
        <w:tc>
          <w:tcPr>
            <w:tcW w:w="3288" w:type="dxa"/>
          </w:tcPr>
          <w:p w14:paraId="4F4DDC34" w14:textId="77777777" w:rsidR="00DD2050" w:rsidRDefault="00DD2050" w:rsidP="00CD363C">
            <w:pPr>
              <w:pStyle w:val="TableParagraph"/>
              <w:ind w:left="106" w:right="-142"/>
              <w:jc w:val="both"/>
              <w:rPr>
                <w:sz w:val="20"/>
              </w:rPr>
            </w:pPr>
            <w:r>
              <w:rPr>
                <w:sz w:val="20"/>
              </w:rPr>
              <w:t>Nākamo periodu ieņēmumi un</w:t>
            </w:r>
          </w:p>
          <w:p w14:paraId="79059D50" w14:textId="77777777" w:rsidR="00DD2050" w:rsidRDefault="00DD2050" w:rsidP="00CD363C">
            <w:pPr>
              <w:pStyle w:val="TableParagraph"/>
              <w:ind w:left="106" w:right="-142"/>
              <w:jc w:val="both"/>
              <w:rPr>
                <w:sz w:val="20"/>
              </w:rPr>
            </w:pPr>
            <w:r>
              <w:rPr>
                <w:sz w:val="20"/>
              </w:rPr>
              <w:t>saņemtie avansi</w:t>
            </w:r>
          </w:p>
        </w:tc>
        <w:tc>
          <w:tcPr>
            <w:tcW w:w="1406" w:type="dxa"/>
          </w:tcPr>
          <w:p w14:paraId="677111E0" w14:textId="77777777" w:rsidR="00DD2050" w:rsidRDefault="00DD2050" w:rsidP="00CD363C">
            <w:pPr>
              <w:pStyle w:val="TableParagraph"/>
              <w:ind w:right="-142"/>
              <w:jc w:val="both"/>
              <w:rPr>
                <w:sz w:val="20"/>
              </w:rPr>
            </w:pPr>
            <w:r>
              <w:rPr>
                <w:sz w:val="20"/>
              </w:rPr>
              <w:t>72 500,00</w:t>
            </w:r>
          </w:p>
        </w:tc>
      </w:tr>
      <w:tr w:rsidR="00DD2050" w14:paraId="330D8F1D" w14:textId="77777777" w:rsidTr="00DD2050">
        <w:trPr>
          <w:trHeight w:val="254"/>
        </w:trPr>
        <w:tc>
          <w:tcPr>
            <w:tcW w:w="818" w:type="dxa"/>
            <w:vMerge/>
            <w:tcBorders>
              <w:top w:val="nil"/>
            </w:tcBorders>
          </w:tcPr>
          <w:p w14:paraId="4496890F" w14:textId="77777777" w:rsidR="00DD2050" w:rsidRDefault="00DD2050" w:rsidP="00CD363C">
            <w:pPr>
              <w:spacing w:after="0" w:line="240" w:lineRule="auto"/>
              <w:ind w:right="-142"/>
              <w:jc w:val="both"/>
              <w:rPr>
                <w:sz w:val="2"/>
                <w:szCs w:val="2"/>
              </w:rPr>
            </w:pPr>
          </w:p>
        </w:tc>
        <w:tc>
          <w:tcPr>
            <w:tcW w:w="2962" w:type="dxa"/>
          </w:tcPr>
          <w:p w14:paraId="5E14DE49" w14:textId="77777777" w:rsidR="00DD2050" w:rsidRDefault="00DD2050" w:rsidP="00CD363C">
            <w:pPr>
              <w:pStyle w:val="TableParagraph"/>
              <w:ind w:left="105" w:right="-142"/>
              <w:jc w:val="both"/>
              <w:rPr>
                <w:sz w:val="20"/>
              </w:rPr>
            </w:pPr>
            <w:r>
              <w:rPr>
                <w:sz w:val="20"/>
              </w:rPr>
              <w:t>K Ieņēmumi</w:t>
            </w:r>
          </w:p>
        </w:tc>
        <w:tc>
          <w:tcPr>
            <w:tcW w:w="1152" w:type="dxa"/>
          </w:tcPr>
          <w:p w14:paraId="61A08E8E" w14:textId="77777777" w:rsidR="00DD2050" w:rsidRDefault="00DD2050" w:rsidP="00CD363C">
            <w:pPr>
              <w:pStyle w:val="TableParagraph"/>
              <w:ind w:left="94" w:right="-142"/>
              <w:jc w:val="both"/>
              <w:rPr>
                <w:sz w:val="20"/>
              </w:rPr>
            </w:pPr>
            <w:r>
              <w:rPr>
                <w:sz w:val="20"/>
              </w:rPr>
              <w:t>6000</w:t>
            </w:r>
          </w:p>
        </w:tc>
        <w:tc>
          <w:tcPr>
            <w:tcW w:w="3288" w:type="dxa"/>
          </w:tcPr>
          <w:p w14:paraId="6789B6F9" w14:textId="77777777" w:rsidR="00DD2050" w:rsidRDefault="00DD2050" w:rsidP="00CD363C">
            <w:pPr>
              <w:pStyle w:val="TableParagraph"/>
              <w:ind w:left="106" w:right="-142"/>
              <w:jc w:val="both"/>
              <w:rPr>
                <w:sz w:val="20"/>
              </w:rPr>
            </w:pPr>
            <w:r>
              <w:rPr>
                <w:sz w:val="20"/>
              </w:rPr>
              <w:t>Pamatdarbības ieņēmumi</w:t>
            </w:r>
          </w:p>
        </w:tc>
        <w:tc>
          <w:tcPr>
            <w:tcW w:w="1406" w:type="dxa"/>
          </w:tcPr>
          <w:p w14:paraId="293D630C" w14:textId="77777777" w:rsidR="00DD2050" w:rsidRDefault="00DD2050" w:rsidP="00CD363C">
            <w:pPr>
              <w:pStyle w:val="TableParagraph"/>
              <w:ind w:right="-142"/>
              <w:jc w:val="both"/>
              <w:rPr>
                <w:sz w:val="20"/>
              </w:rPr>
            </w:pPr>
            <w:r>
              <w:rPr>
                <w:sz w:val="20"/>
              </w:rPr>
              <w:t>72 500,00</w:t>
            </w:r>
          </w:p>
        </w:tc>
      </w:tr>
      <w:tr w:rsidR="00DD2050" w14:paraId="013F3F7B" w14:textId="77777777" w:rsidTr="00DD2050">
        <w:trPr>
          <w:trHeight w:val="253"/>
        </w:trPr>
        <w:tc>
          <w:tcPr>
            <w:tcW w:w="818" w:type="dxa"/>
            <w:vMerge/>
            <w:tcBorders>
              <w:top w:val="nil"/>
            </w:tcBorders>
          </w:tcPr>
          <w:p w14:paraId="2A381784" w14:textId="77777777" w:rsidR="00DD2050" w:rsidRDefault="00DD2050" w:rsidP="00CD363C">
            <w:pPr>
              <w:spacing w:after="0" w:line="240" w:lineRule="auto"/>
              <w:ind w:right="-142"/>
              <w:jc w:val="both"/>
              <w:rPr>
                <w:sz w:val="2"/>
                <w:szCs w:val="2"/>
              </w:rPr>
            </w:pPr>
          </w:p>
        </w:tc>
        <w:tc>
          <w:tcPr>
            <w:tcW w:w="8808" w:type="dxa"/>
            <w:gridSpan w:val="4"/>
          </w:tcPr>
          <w:p w14:paraId="44EADD79" w14:textId="77777777" w:rsidR="00DD2050" w:rsidRDefault="00DD2050" w:rsidP="00CD363C">
            <w:pPr>
              <w:pStyle w:val="TableParagraph"/>
              <w:ind w:left="105" w:right="-142"/>
              <w:jc w:val="both"/>
              <w:rPr>
                <w:b/>
                <w:sz w:val="20"/>
              </w:rPr>
            </w:pPr>
            <w:r>
              <w:rPr>
                <w:b/>
                <w:sz w:val="20"/>
              </w:rPr>
              <w:t>Nolietojuma uzskaite</w:t>
            </w:r>
          </w:p>
        </w:tc>
      </w:tr>
      <w:tr w:rsidR="00DD2050" w14:paraId="5A09746D" w14:textId="77777777" w:rsidTr="00DD2050">
        <w:trPr>
          <w:trHeight w:val="256"/>
        </w:trPr>
        <w:tc>
          <w:tcPr>
            <w:tcW w:w="818" w:type="dxa"/>
            <w:vMerge/>
            <w:tcBorders>
              <w:top w:val="nil"/>
            </w:tcBorders>
          </w:tcPr>
          <w:p w14:paraId="727300F6" w14:textId="77777777" w:rsidR="00DD2050" w:rsidRDefault="00DD2050" w:rsidP="00CD363C">
            <w:pPr>
              <w:spacing w:after="0" w:line="240" w:lineRule="auto"/>
              <w:ind w:right="-142"/>
              <w:jc w:val="both"/>
              <w:rPr>
                <w:sz w:val="2"/>
                <w:szCs w:val="2"/>
              </w:rPr>
            </w:pPr>
          </w:p>
        </w:tc>
        <w:tc>
          <w:tcPr>
            <w:tcW w:w="2962" w:type="dxa"/>
          </w:tcPr>
          <w:p w14:paraId="40F8CECF" w14:textId="77777777" w:rsidR="00DD2050" w:rsidRDefault="00DD2050" w:rsidP="00CD363C">
            <w:pPr>
              <w:pStyle w:val="TableParagraph"/>
              <w:ind w:left="105" w:right="-142"/>
              <w:jc w:val="both"/>
              <w:rPr>
                <w:sz w:val="20"/>
              </w:rPr>
            </w:pPr>
            <w:r>
              <w:rPr>
                <w:sz w:val="20"/>
              </w:rPr>
              <w:t>D Nolietojuma izdevumi</w:t>
            </w:r>
          </w:p>
        </w:tc>
        <w:tc>
          <w:tcPr>
            <w:tcW w:w="1152" w:type="dxa"/>
          </w:tcPr>
          <w:p w14:paraId="2422C0BB" w14:textId="77777777" w:rsidR="00DD2050" w:rsidRDefault="00DD2050" w:rsidP="00CD363C">
            <w:pPr>
              <w:pStyle w:val="TableParagraph"/>
              <w:ind w:left="94" w:right="-142"/>
              <w:jc w:val="both"/>
              <w:rPr>
                <w:sz w:val="20"/>
              </w:rPr>
            </w:pPr>
            <w:r>
              <w:rPr>
                <w:sz w:val="20"/>
              </w:rPr>
              <w:t>7000</w:t>
            </w:r>
          </w:p>
        </w:tc>
        <w:tc>
          <w:tcPr>
            <w:tcW w:w="3288" w:type="dxa"/>
          </w:tcPr>
          <w:p w14:paraId="64487E21" w14:textId="77777777" w:rsidR="00DD2050" w:rsidRDefault="00DD2050" w:rsidP="00CD363C">
            <w:pPr>
              <w:pStyle w:val="TableParagraph"/>
              <w:ind w:left="106" w:right="-142"/>
              <w:jc w:val="both"/>
              <w:rPr>
                <w:sz w:val="20"/>
              </w:rPr>
            </w:pPr>
            <w:r>
              <w:rPr>
                <w:sz w:val="20"/>
              </w:rPr>
              <w:t>Pamatdarbības izdevumi</w:t>
            </w:r>
          </w:p>
        </w:tc>
        <w:tc>
          <w:tcPr>
            <w:tcW w:w="1406" w:type="dxa"/>
          </w:tcPr>
          <w:p w14:paraId="4C1B9AAB" w14:textId="77777777" w:rsidR="00DD2050" w:rsidRDefault="00DD2050" w:rsidP="00CD363C">
            <w:pPr>
              <w:pStyle w:val="TableParagraph"/>
              <w:ind w:right="-142"/>
              <w:jc w:val="both"/>
              <w:rPr>
                <w:sz w:val="20"/>
              </w:rPr>
            </w:pPr>
            <w:r>
              <w:rPr>
                <w:sz w:val="20"/>
              </w:rPr>
              <w:t>65 333,33</w:t>
            </w:r>
          </w:p>
        </w:tc>
      </w:tr>
      <w:tr w:rsidR="00DD2050" w14:paraId="116D44BA" w14:textId="77777777" w:rsidTr="00DD2050">
        <w:trPr>
          <w:trHeight w:val="254"/>
        </w:trPr>
        <w:tc>
          <w:tcPr>
            <w:tcW w:w="818" w:type="dxa"/>
            <w:vMerge/>
            <w:tcBorders>
              <w:top w:val="nil"/>
            </w:tcBorders>
          </w:tcPr>
          <w:p w14:paraId="37C45F6D" w14:textId="77777777" w:rsidR="00DD2050" w:rsidRDefault="00DD2050" w:rsidP="00CD363C">
            <w:pPr>
              <w:spacing w:after="0" w:line="240" w:lineRule="auto"/>
              <w:ind w:right="-142"/>
              <w:jc w:val="both"/>
              <w:rPr>
                <w:sz w:val="2"/>
                <w:szCs w:val="2"/>
              </w:rPr>
            </w:pPr>
          </w:p>
        </w:tc>
        <w:tc>
          <w:tcPr>
            <w:tcW w:w="2962" w:type="dxa"/>
          </w:tcPr>
          <w:p w14:paraId="038DACAC" w14:textId="77777777" w:rsidR="00DD2050" w:rsidRDefault="00DD2050" w:rsidP="00CD363C">
            <w:pPr>
              <w:pStyle w:val="TableParagraph"/>
              <w:ind w:left="105" w:right="-142"/>
              <w:jc w:val="both"/>
              <w:rPr>
                <w:sz w:val="20"/>
              </w:rPr>
            </w:pPr>
            <w:r>
              <w:rPr>
                <w:sz w:val="20"/>
              </w:rPr>
              <w:t>K Uzkrātais nolietojums</w:t>
            </w:r>
          </w:p>
        </w:tc>
        <w:tc>
          <w:tcPr>
            <w:tcW w:w="1152" w:type="dxa"/>
          </w:tcPr>
          <w:p w14:paraId="6D25EE51" w14:textId="77777777" w:rsidR="00DD2050" w:rsidRDefault="00DD2050" w:rsidP="00CD363C">
            <w:pPr>
              <w:pStyle w:val="TableParagraph"/>
              <w:ind w:left="94" w:right="-142"/>
              <w:jc w:val="both"/>
              <w:rPr>
                <w:sz w:val="20"/>
              </w:rPr>
            </w:pPr>
            <w:r>
              <w:rPr>
                <w:sz w:val="20"/>
              </w:rPr>
              <w:t>1291</w:t>
            </w:r>
          </w:p>
        </w:tc>
        <w:tc>
          <w:tcPr>
            <w:tcW w:w="3288" w:type="dxa"/>
          </w:tcPr>
          <w:p w14:paraId="63347D3A"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6FB5182C" w14:textId="77777777" w:rsidR="00DD2050" w:rsidRDefault="00DD2050" w:rsidP="00CD363C">
            <w:pPr>
              <w:pStyle w:val="TableParagraph"/>
              <w:ind w:right="-142"/>
              <w:jc w:val="both"/>
              <w:rPr>
                <w:sz w:val="20"/>
              </w:rPr>
            </w:pPr>
            <w:r>
              <w:rPr>
                <w:sz w:val="20"/>
              </w:rPr>
              <w:t>65 333,33</w:t>
            </w:r>
          </w:p>
        </w:tc>
      </w:tr>
      <w:tr w:rsidR="00DD2050" w14:paraId="4F76314C" w14:textId="77777777" w:rsidTr="00DD2050">
        <w:trPr>
          <w:trHeight w:val="256"/>
        </w:trPr>
        <w:tc>
          <w:tcPr>
            <w:tcW w:w="818" w:type="dxa"/>
            <w:vMerge/>
            <w:tcBorders>
              <w:top w:val="nil"/>
            </w:tcBorders>
          </w:tcPr>
          <w:p w14:paraId="27F2470C" w14:textId="77777777" w:rsidR="00DD2050" w:rsidRDefault="00DD2050" w:rsidP="00CD363C">
            <w:pPr>
              <w:spacing w:after="0" w:line="240" w:lineRule="auto"/>
              <w:ind w:right="-142"/>
              <w:jc w:val="both"/>
              <w:rPr>
                <w:sz w:val="2"/>
                <w:szCs w:val="2"/>
              </w:rPr>
            </w:pPr>
          </w:p>
        </w:tc>
        <w:tc>
          <w:tcPr>
            <w:tcW w:w="8808" w:type="dxa"/>
            <w:gridSpan w:val="4"/>
          </w:tcPr>
          <w:p w14:paraId="149C6909"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0C1E258A" w14:textId="77777777" w:rsidTr="00DD2050">
        <w:trPr>
          <w:trHeight w:val="460"/>
        </w:trPr>
        <w:tc>
          <w:tcPr>
            <w:tcW w:w="818" w:type="dxa"/>
            <w:vMerge/>
            <w:tcBorders>
              <w:top w:val="nil"/>
            </w:tcBorders>
          </w:tcPr>
          <w:p w14:paraId="044DFED7" w14:textId="77777777" w:rsidR="00DD2050" w:rsidRDefault="00DD2050" w:rsidP="00CD363C">
            <w:pPr>
              <w:spacing w:after="0" w:line="240" w:lineRule="auto"/>
              <w:ind w:right="-142"/>
              <w:jc w:val="both"/>
              <w:rPr>
                <w:sz w:val="2"/>
                <w:szCs w:val="2"/>
              </w:rPr>
            </w:pPr>
          </w:p>
        </w:tc>
        <w:tc>
          <w:tcPr>
            <w:tcW w:w="2962" w:type="dxa"/>
          </w:tcPr>
          <w:p w14:paraId="3F36237F" w14:textId="77777777" w:rsidR="00DD2050" w:rsidRDefault="00DD2050" w:rsidP="00CD363C">
            <w:pPr>
              <w:pStyle w:val="TableParagraph"/>
              <w:ind w:left="105" w:right="-142"/>
              <w:jc w:val="both"/>
              <w:rPr>
                <w:sz w:val="20"/>
              </w:rPr>
            </w:pPr>
            <w:r>
              <w:rPr>
                <w:sz w:val="20"/>
              </w:rPr>
              <w:t>D Finanšu saistības</w:t>
            </w:r>
          </w:p>
        </w:tc>
        <w:tc>
          <w:tcPr>
            <w:tcW w:w="1152" w:type="dxa"/>
          </w:tcPr>
          <w:p w14:paraId="1AFC8B1E" w14:textId="77777777" w:rsidR="00DD2050" w:rsidRDefault="00DD2050" w:rsidP="00CD363C">
            <w:pPr>
              <w:pStyle w:val="TableParagraph"/>
              <w:ind w:left="94" w:right="-142"/>
              <w:jc w:val="both"/>
              <w:rPr>
                <w:sz w:val="20"/>
              </w:rPr>
            </w:pPr>
            <w:r>
              <w:rPr>
                <w:sz w:val="20"/>
              </w:rPr>
              <w:t>5130</w:t>
            </w:r>
          </w:p>
        </w:tc>
        <w:tc>
          <w:tcPr>
            <w:tcW w:w="3288" w:type="dxa"/>
          </w:tcPr>
          <w:p w14:paraId="6571B86A" w14:textId="77777777" w:rsidR="00DD2050" w:rsidRDefault="00DD2050" w:rsidP="00CD363C">
            <w:pPr>
              <w:pStyle w:val="TableParagraph"/>
              <w:ind w:left="106" w:right="-142"/>
              <w:jc w:val="both"/>
              <w:rPr>
                <w:sz w:val="20"/>
              </w:rPr>
            </w:pPr>
            <w:r>
              <w:rPr>
                <w:sz w:val="20"/>
              </w:rPr>
              <w:t>Ilgtermiņa saistības pret</w:t>
            </w:r>
          </w:p>
          <w:p w14:paraId="56BCB564"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208792F9" w14:textId="77777777" w:rsidR="00DD2050" w:rsidRDefault="00DD2050" w:rsidP="00CD363C">
            <w:pPr>
              <w:pStyle w:val="TableParagraph"/>
              <w:ind w:right="-142"/>
              <w:jc w:val="both"/>
              <w:rPr>
                <w:sz w:val="20"/>
              </w:rPr>
            </w:pPr>
            <w:r>
              <w:rPr>
                <w:sz w:val="20"/>
              </w:rPr>
              <w:t>83 377,46</w:t>
            </w:r>
          </w:p>
        </w:tc>
      </w:tr>
      <w:tr w:rsidR="00DD2050" w14:paraId="397DD9CA" w14:textId="77777777" w:rsidTr="00DD2050">
        <w:trPr>
          <w:trHeight w:val="457"/>
        </w:trPr>
        <w:tc>
          <w:tcPr>
            <w:tcW w:w="818" w:type="dxa"/>
            <w:vMerge/>
            <w:tcBorders>
              <w:top w:val="nil"/>
            </w:tcBorders>
          </w:tcPr>
          <w:p w14:paraId="7B92D2C1" w14:textId="77777777" w:rsidR="00DD2050" w:rsidRDefault="00DD2050" w:rsidP="00CD363C">
            <w:pPr>
              <w:spacing w:after="0" w:line="240" w:lineRule="auto"/>
              <w:ind w:right="-142"/>
              <w:jc w:val="both"/>
              <w:rPr>
                <w:sz w:val="2"/>
                <w:szCs w:val="2"/>
              </w:rPr>
            </w:pPr>
          </w:p>
        </w:tc>
        <w:tc>
          <w:tcPr>
            <w:tcW w:w="2962" w:type="dxa"/>
          </w:tcPr>
          <w:p w14:paraId="4AAC3C16" w14:textId="77777777" w:rsidR="00DD2050" w:rsidRDefault="00DD2050" w:rsidP="00CD363C">
            <w:pPr>
              <w:pStyle w:val="TableParagraph"/>
              <w:ind w:left="105" w:right="-142"/>
              <w:jc w:val="both"/>
              <w:rPr>
                <w:sz w:val="20"/>
              </w:rPr>
            </w:pPr>
            <w:r>
              <w:rPr>
                <w:sz w:val="20"/>
              </w:rPr>
              <w:t>K Finanšu saistības</w:t>
            </w:r>
          </w:p>
        </w:tc>
        <w:tc>
          <w:tcPr>
            <w:tcW w:w="1152" w:type="dxa"/>
          </w:tcPr>
          <w:p w14:paraId="4C89E924" w14:textId="77777777" w:rsidR="00DD2050" w:rsidRDefault="00DD2050" w:rsidP="00CD363C">
            <w:pPr>
              <w:pStyle w:val="TableParagraph"/>
              <w:ind w:left="94" w:right="-142"/>
              <w:jc w:val="both"/>
              <w:rPr>
                <w:sz w:val="20"/>
              </w:rPr>
            </w:pPr>
            <w:r>
              <w:rPr>
                <w:sz w:val="20"/>
              </w:rPr>
              <w:t>5310</w:t>
            </w:r>
          </w:p>
        </w:tc>
        <w:tc>
          <w:tcPr>
            <w:tcW w:w="3288" w:type="dxa"/>
          </w:tcPr>
          <w:p w14:paraId="61C1D90D" w14:textId="77777777" w:rsidR="00DD2050" w:rsidRDefault="00DD2050" w:rsidP="00CD363C">
            <w:pPr>
              <w:pStyle w:val="TableParagraph"/>
              <w:ind w:left="156" w:right="-142"/>
              <w:jc w:val="both"/>
              <w:rPr>
                <w:sz w:val="20"/>
              </w:rPr>
            </w:pPr>
            <w:r>
              <w:rPr>
                <w:sz w:val="20"/>
              </w:rPr>
              <w:t>Īstermiņa saistības pret</w:t>
            </w:r>
          </w:p>
          <w:p w14:paraId="64B0B2CB"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69C8053D" w14:textId="77777777" w:rsidR="00DD2050" w:rsidRDefault="00DD2050" w:rsidP="00CD363C">
            <w:pPr>
              <w:pStyle w:val="TableParagraph"/>
              <w:ind w:right="-142"/>
              <w:jc w:val="both"/>
              <w:rPr>
                <w:sz w:val="20"/>
              </w:rPr>
            </w:pPr>
            <w:r>
              <w:rPr>
                <w:sz w:val="20"/>
              </w:rPr>
              <w:t>83 377,46</w:t>
            </w:r>
          </w:p>
        </w:tc>
      </w:tr>
      <w:tr w:rsidR="00DD2050" w14:paraId="374763CD" w14:textId="77777777" w:rsidTr="00DD2050">
        <w:trPr>
          <w:trHeight w:val="256"/>
        </w:trPr>
        <w:tc>
          <w:tcPr>
            <w:tcW w:w="818" w:type="dxa"/>
            <w:vMerge/>
            <w:tcBorders>
              <w:top w:val="nil"/>
            </w:tcBorders>
          </w:tcPr>
          <w:p w14:paraId="2C18F20D" w14:textId="77777777" w:rsidR="00DD2050" w:rsidRDefault="00DD2050" w:rsidP="00CD363C">
            <w:pPr>
              <w:spacing w:after="0" w:line="240" w:lineRule="auto"/>
              <w:ind w:right="-142"/>
              <w:jc w:val="both"/>
              <w:rPr>
                <w:sz w:val="2"/>
                <w:szCs w:val="2"/>
              </w:rPr>
            </w:pPr>
          </w:p>
        </w:tc>
        <w:tc>
          <w:tcPr>
            <w:tcW w:w="8808" w:type="dxa"/>
            <w:gridSpan w:val="4"/>
          </w:tcPr>
          <w:p w14:paraId="540AA421"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58614230" w14:textId="77777777" w:rsidTr="00DD2050">
        <w:trPr>
          <w:trHeight w:val="688"/>
        </w:trPr>
        <w:tc>
          <w:tcPr>
            <w:tcW w:w="818" w:type="dxa"/>
            <w:vMerge/>
            <w:tcBorders>
              <w:top w:val="nil"/>
            </w:tcBorders>
          </w:tcPr>
          <w:p w14:paraId="48CC72D5" w14:textId="77777777" w:rsidR="00DD2050" w:rsidRDefault="00DD2050" w:rsidP="00CD363C">
            <w:pPr>
              <w:spacing w:after="0" w:line="240" w:lineRule="auto"/>
              <w:ind w:right="-142"/>
              <w:jc w:val="both"/>
              <w:rPr>
                <w:sz w:val="2"/>
                <w:szCs w:val="2"/>
              </w:rPr>
            </w:pPr>
          </w:p>
        </w:tc>
        <w:tc>
          <w:tcPr>
            <w:tcW w:w="2962" w:type="dxa"/>
          </w:tcPr>
          <w:p w14:paraId="665E3A88" w14:textId="77777777" w:rsidR="00DD2050" w:rsidRDefault="00DD2050" w:rsidP="00CD363C">
            <w:pPr>
              <w:pStyle w:val="TableParagraph"/>
              <w:ind w:right="-142"/>
              <w:jc w:val="both"/>
              <w:rPr>
                <w:i/>
                <w:sz w:val="19"/>
              </w:rPr>
            </w:pPr>
          </w:p>
          <w:p w14:paraId="47F8557D" w14:textId="77777777" w:rsidR="00DD2050" w:rsidRDefault="00DD2050" w:rsidP="00CD363C">
            <w:pPr>
              <w:pStyle w:val="TableParagraph"/>
              <w:ind w:left="105" w:right="-142"/>
              <w:jc w:val="both"/>
              <w:rPr>
                <w:sz w:val="20"/>
              </w:rPr>
            </w:pPr>
            <w:r>
              <w:rPr>
                <w:sz w:val="20"/>
              </w:rPr>
              <w:t>D Saistības</w:t>
            </w:r>
          </w:p>
        </w:tc>
        <w:tc>
          <w:tcPr>
            <w:tcW w:w="1152" w:type="dxa"/>
          </w:tcPr>
          <w:p w14:paraId="1CF46D56" w14:textId="77777777" w:rsidR="00DD2050" w:rsidRDefault="00DD2050" w:rsidP="00CD363C">
            <w:pPr>
              <w:pStyle w:val="TableParagraph"/>
              <w:ind w:right="-142"/>
              <w:jc w:val="both"/>
              <w:rPr>
                <w:i/>
                <w:sz w:val="19"/>
              </w:rPr>
            </w:pPr>
          </w:p>
          <w:p w14:paraId="6813364F" w14:textId="77777777" w:rsidR="00DD2050" w:rsidRDefault="00DD2050" w:rsidP="00CD363C">
            <w:pPr>
              <w:pStyle w:val="TableParagraph"/>
              <w:ind w:left="94" w:right="-142"/>
              <w:jc w:val="both"/>
              <w:rPr>
                <w:sz w:val="20"/>
              </w:rPr>
            </w:pPr>
            <w:r>
              <w:rPr>
                <w:sz w:val="20"/>
              </w:rPr>
              <w:t>5150</w:t>
            </w:r>
          </w:p>
        </w:tc>
        <w:tc>
          <w:tcPr>
            <w:tcW w:w="3288" w:type="dxa"/>
          </w:tcPr>
          <w:p w14:paraId="44176C23" w14:textId="77777777" w:rsidR="00DD2050" w:rsidRDefault="00DD2050" w:rsidP="00CD363C">
            <w:pPr>
              <w:pStyle w:val="TableParagraph"/>
              <w:ind w:left="106" w:right="-142"/>
              <w:jc w:val="both"/>
              <w:rPr>
                <w:sz w:val="20"/>
              </w:rPr>
            </w:pPr>
            <w:r>
              <w:rPr>
                <w:sz w:val="20"/>
              </w:rPr>
              <w:t>Ilgtermiņa nākamo periodu</w:t>
            </w:r>
          </w:p>
          <w:p w14:paraId="519C42B8" w14:textId="77777777" w:rsidR="00DD2050" w:rsidRDefault="00DD2050" w:rsidP="00CD363C">
            <w:pPr>
              <w:pStyle w:val="TableParagraph"/>
              <w:ind w:left="106" w:right="-142"/>
              <w:jc w:val="both"/>
              <w:rPr>
                <w:sz w:val="20"/>
              </w:rPr>
            </w:pPr>
            <w:r>
              <w:rPr>
                <w:sz w:val="20"/>
              </w:rPr>
              <w:t>ieņēmumi un saņemtie avansa maksājumi</w:t>
            </w:r>
          </w:p>
        </w:tc>
        <w:tc>
          <w:tcPr>
            <w:tcW w:w="1406" w:type="dxa"/>
          </w:tcPr>
          <w:p w14:paraId="72B87C09" w14:textId="77777777" w:rsidR="00DD2050" w:rsidRDefault="00DD2050" w:rsidP="00CD363C">
            <w:pPr>
              <w:pStyle w:val="TableParagraph"/>
              <w:ind w:right="-142"/>
              <w:jc w:val="both"/>
              <w:rPr>
                <w:i/>
                <w:sz w:val="19"/>
              </w:rPr>
            </w:pPr>
          </w:p>
          <w:p w14:paraId="2A7B5464" w14:textId="77777777" w:rsidR="00DD2050" w:rsidRDefault="00DD2050" w:rsidP="00CD363C">
            <w:pPr>
              <w:pStyle w:val="TableParagraph"/>
              <w:ind w:right="-142"/>
              <w:jc w:val="both"/>
              <w:rPr>
                <w:sz w:val="20"/>
              </w:rPr>
            </w:pPr>
            <w:r>
              <w:rPr>
                <w:sz w:val="20"/>
              </w:rPr>
              <w:t>72 500,00</w:t>
            </w:r>
          </w:p>
        </w:tc>
      </w:tr>
      <w:tr w:rsidR="00DD2050" w14:paraId="49A7B08A" w14:textId="77777777" w:rsidTr="00DD2050">
        <w:trPr>
          <w:trHeight w:val="460"/>
        </w:trPr>
        <w:tc>
          <w:tcPr>
            <w:tcW w:w="818" w:type="dxa"/>
            <w:vMerge/>
            <w:tcBorders>
              <w:top w:val="nil"/>
            </w:tcBorders>
          </w:tcPr>
          <w:p w14:paraId="26351EAE" w14:textId="77777777" w:rsidR="00DD2050" w:rsidRDefault="00DD2050" w:rsidP="00CD363C">
            <w:pPr>
              <w:spacing w:after="0" w:line="240" w:lineRule="auto"/>
              <w:ind w:right="-142"/>
              <w:jc w:val="both"/>
              <w:rPr>
                <w:sz w:val="2"/>
                <w:szCs w:val="2"/>
              </w:rPr>
            </w:pPr>
          </w:p>
        </w:tc>
        <w:tc>
          <w:tcPr>
            <w:tcW w:w="2962" w:type="dxa"/>
          </w:tcPr>
          <w:p w14:paraId="5EE6BA9F" w14:textId="77777777" w:rsidR="00DD2050" w:rsidRDefault="00DD2050" w:rsidP="00CD363C">
            <w:pPr>
              <w:pStyle w:val="TableParagraph"/>
              <w:ind w:left="105" w:right="-142"/>
              <w:jc w:val="both"/>
              <w:rPr>
                <w:sz w:val="20"/>
              </w:rPr>
            </w:pPr>
            <w:r>
              <w:rPr>
                <w:sz w:val="20"/>
              </w:rPr>
              <w:t>K Saistības</w:t>
            </w:r>
          </w:p>
        </w:tc>
        <w:tc>
          <w:tcPr>
            <w:tcW w:w="1152" w:type="dxa"/>
          </w:tcPr>
          <w:p w14:paraId="5492558E" w14:textId="77777777" w:rsidR="00DD2050" w:rsidRDefault="00DD2050" w:rsidP="00CD363C">
            <w:pPr>
              <w:pStyle w:val="TableParagraph"/>
              <w:ind w:left="94" w:right="-142"/>
              <w:jc w:val="both"/>
              <w:rPr>
                <w:sz w:val="20"/>
              </w:rPr>
            </w:pPr>
            <w:r>
              <w:rPr>
                <w:sz w:val="20"/>
              </w:rPr>
              <w:t>5910</w:t>
            </w:r>
          </w:p>
        </w:tc>
        <w:tc>
          <w:tcPr>
            <w:tcW w:w="3288" w:type="dxa"/>
          </w:tcPr>
          <w:p w14:paraId="0CE902BA" w14:textId="77777777" w:rsidR="00DD2050" w:rsidRDefault="00DD2050" w:rsidP="00CD363C">
            <w:pPr>
              <w:pStyle w:val="TableParagraph"/>
              <w:ind w:left="106" w:right="-142"/>
              <w:jc w:val="both"/>
              <w:rPr>
                <w:sz w:val="20"/>
              </w:rPr>
            </w:pPr>
            <w:r>
              <w:rPr>
                <w:sz w:val="20"/>
              </w:rPr>
              <w:t>Nākamo periodu ieņēmumi un</w:t>
            </w:r>
          </w:p>
          <w:p w14:paraId="621A60C0" w14:textId="77777777" w:rsidR="00DD2050" w:rsidRDefault="00DD2050" w:rsidP="00CD363C">
            <w:pPr>
              <w:pStyle w:val="TableParagraph"/>
              <w:ind w:left="106" w:right="-142"/>
              <w:jc w:val="both"/>
              <w:rPr>
                <w:sz w:val="20"/>
              </w:rPr>
            </w:pPr>
            <w:r>
              <w:rPr>
                <w:sz w:val="20"/>
              </w:rPr>
              <w:t>saņemtie avansi</w:t>
            </w:r>
          </w:p>
        </w:tc>
        <w:tc>
          <w:tcPr>
            <w:tcW w:w="1406" w:type="dxa"/>
          </w:tcPr>
          <w:p w14:paraId="28FE9505" w14:textId="77777777" w:rsidR="00DD2050" w:rsidRDefault="00DD2050" w:rsidP="00CD363C">
            <w:pPr>
              <w:pStyle w:val="TableParagraph"/>
              <w:ind w:right="-142"/>
              <w:jc w:val="both"/>
              <w:rPr>
                <w:sz w:val="20"/>
              </w:rPr>
            </w:pPr>
            <w:r>
              <w:rPr>
                <w:sz w:val="20"/>
              </w:rPr>
              <w:t>72 500,00</w:t>
            </w:r>
          </w:p>
        </w:tc>
      </w:tr>
      <w:tr w:rsidR="00DD2050" w14:paraId="4B80D582" w14:textId="77777777" w:rsidTr="00DD2050">
        <w:trPr>
          <w:trHeight w:val="256"/>
        </w:trPr>
        <w:tc>
          <w:tcPr>
            <w:tcW w:w="818" w:type="dxa"/>
            <w:vMerge/>
            <w:tcBorders>
              <w:top w:val="nil"/>
            </w:tcBorders>
          </w:tcPr>
          <w:p w14:paraId="412C822A" w14:textId="77777777" w:rsidR="00DD2050" w:rsidRDefault="00DD2050" w:rsidP="00CD363C">
            <w:pPr>
              <w:spacing w:after="0" w:line="240" w:lineRule="auto"/>
              <w:ind w:right="-142"/>
              <w:jc w:val="both"/>
              <w:rPr>
                <w:sz w:val="2"/>
                <w:szCs w:val="2"/>
              </w:rPr>
            </w:pPr>
          </w:p>
        </w:tc>
        <w:tc>
          <w:tcPr>
            <w:tcW w:w="8808" w:type="dxa"/>
            <w:gridSpan w:val="4"/>
          </w:tcPr>
          <w:p w14:paraId="638A4B8A" w14:textId="77777777" w:rsidR="00DD2050" w:rsidRDefault="00DD2050" w:rsidP="00CD363C">
            <w:pPr>
              <w:pStyle w:val="TableParagraph"/>
              <w:ind w:left="105" w:right="-142"/>
              <w:jc w:val="both"/>
              <w:rPr>
                <w:b/>
                <w:sz w:val="20"/>
              </w:rPr>
            </w:pPr>
            <w:r>
              <w:rPr>
                <w:b/>
                <w:sz w:val="20"/>
              </w:rPr>
              <w:t>Maksājuma veikšana</w:t>
            </w:r>
          </w:p>
        </w:tc>
      </w:tr>
      <w:tr w:rsidR="00DD2050" w14:paraId="084861EB" w14:textId="77777777" w:rsidTr="00DD2050">
        <w:trPr>
          <w:trHeight w:val="458"/>
        </w:trPr>
        <w:tc>
          <w:tcPr>
            <w:tcW w:w="818" w:type="dxa"/>
            <w:vMerge/>
            <w:tcBorders>
              <w:top w:val="nil"/>
            </w:tcBorders>
          </w:tcPr>
          <w:p w14:paraId="288BB70B" w14:textId="77777777" w:rsidR="00DD2050" w:rsidRDefault="00DD2050" w:rsidP="00CD363C">
            <w:pPr>
              <w:spacing w:after="0" w:line="240" w:lineRule="auto"/>
              <w:ind w:right="-142"/>
              <w:jc w:val="both"/>
              <w:rPr>
                <w:sz w:val="2"/>
                <w:szCs w:val="2"/>
              </w:rPr>
            </w:pPr>
          </w:p>
        </w:tc>
        <w:tc>
          <w:tcPr>
            <w:tcW w:w="2962" w:type="dxa"/>
          </w:tcPr>
          <w:p w14:paraId="12F9DA2B" w14:textId="77777777" w:rsidR="00DD2050" w:rsidRDefault="00DD2050" w:rsidP="00CD363C">
            <w:pPr>
              <w:pStyle w:val="TableParagraph"/>
              <w:ind w:left="105" w:right="-142"/>
              <w:jc w:val="both"/>
              <w:rPr>
                <w:sz w:val="20"/>
              </w:rPr>
            </w:pPr>
            <w:r>
              <w:rPr>
                <w:sz w:val="20"/>
              </w:rPr>
              <w:t>D Finanšu saistības</w:t>
            </w:r>
          </w:p>
        </w:tc>
        <w:tc>
          <w:tcPr>
            <w:tcW w:w="1152" w:type="dxa"/>
          </w:tcPr>
          <w:p w14:paraId="16336DCE" w14:textId="77777777" w:rsidR="00DD2050" w:rsidRDefault="00DD2050" w:rsidP="00CD363C">
            <w:pPr>
              <w:pStyle w:val="TableParagraph"/>
              <w:ind w:left="94" w:right="-142"/>
              <w:jc w:val="both"/>
              <w:rPr>
                <w:sz w:val="20"/>
              </w:rPr>
            </w:pPr>
            <w:r>
              <w:rPr>
                <w:sz w:val="20"/>
              </w:rPr>
              <w:t>5310</w:t>
            </w:r>
          </w:p>
        </w:tc>
        <w:tc>
          <w:tcPr>
            <w:tcW w:w="3288" w:type="dxa"/>
          </w:tcPr>
          <w:p w14:paraId="4E082491" w14:textId="77777777" w:rsidR="00DD2050" w:rsidRDefault="00DD2050" w:rsidP="00CD363C">
            <w:pPr>
              <w:pStyle w:val="TableParagraph"/>
              <w:ind w:left="106" w:right="-142"/>
              <w:jc w:val="both"/>
              <w:rPr>
                <w:sz w:val="20"/>
              </w:rPr>
            </w:pPr>
            <w:r>
              <w:rPr>
                <w:sz w:val="20"/>
              </w:rPr>
              <w:t>Īstermiņa saistības pret piegādātājiem</w:t>
            </w:r>
          </w:p>
          <w:p w14:paraId="296FB960" w14:textId="77777777" w:rsidR="00DD2050" w:rsidRDefault="00DD2050" w:rsidP="00CD363C">
            <w:pPr>
              <w:pStyle w:val="TableParagraph"/>
              <w:ind w:left="106" w:right="-142"/>
              <w:jc w:val="both"/>
              <w:rPr>
                <w:sz w:val="20"/>
              </w:rPr>
            </w:pPr>
            <w:r>
              <w:rPr>
                <w:sz w:val="20"/>
              </w:rPr>
              <w:t>un darbuzņēmējiem</w:t>
            </w:r>
          </w:p>
        </w:tc>
        <w:tc>
          <w:tcPr>
            <w:tcW w:w="1406" w:type="dxa"/>
          </w:tcPr>
          <w:p w14:paraId="3E276487" w14:textId="77777777" w:rsidR="00DD2050" w:rsidRDefault="00DD2050" w:rsidP="00CD363C">
            <w:pPr>
              <w:pStyle w:val="TableParagraph"/>
              <w:ind w:right="-142"/>
              <w:jc w:val="both"/>
              <w:rPr>
                <w:sz w:val="20"/>
              </w:rPr>
            </w:pPr>
            <w:r>
              <w:rPr>
                <w:sz w:val="20"/>
              </w:rPr>
              <w:t>100 000,00</w:t>
            </w:r>
          </w:p>
        </w:tc>
      </w:tr>
      <w:tr w:rsidR="00DD2050" w14:paraId="2EFD17F4" w14:textId="77777777" w:rsidTr="00DD2050">
        <w:trPr>
          <w:trHeight w:val="256"/>
        </w:trPr>
        <w:tc>
          <w:tcPr>
            <w:tcW w:w="818" w:type="dxa"/>
            <w:vMerge/>
            <w:tcBorders>
              <w:top w:val="nil"/>
            </w:tcBorders>
          </w:tcPr>
          <w:p w14:paraId="5BE123CD" w14:textId="77777777" w:rsidR="00DD2050" w:rsidRDefault="00DD2050" w:rsidP="00CD363C">
            <w:pPr>
              <w:spacing w:after="0" w:line="240" w:lineRule="auto"/>
              <w:ind w:right="-142"/>
              <w:jc w:val="both"/>
              <w:rPr>
                <w:sz w:val="2"/>
                <w:szCs w:val="2"/>
              </w:rPr>
            </w:pPr>
          </w:p>
        </w:tc>
        <w:tc>
          <w:tcPr>
            <w:tcW w:w="2962" w:type="dxa"/>
          </w:tcPr>
          <w:p w14:paraId="6727487C" w14:textId="77777777" w:rsidR="00DD2050" w:rsidRDefault="00DD2050" w:rsidP="00CD363C">
            <w:pPr>
              <w:pStyle w:val="TableParagraph"/>
              <w:ind w:left="105" w:right="-142"/>
              <w:jc w:val="both"/>
              <w:rPr>
                <w:sz w:val="20"/>
              </w:rPr>
            </w:pPr>
            <w:r>
              <w:rPr>
                <w:sz w:val="20"/>
              </w:rPr>
              <w:t>K Nauda</w:t>
            </w:r>
          </w:p>
        </w:tc>
        <w:tc>
          <w:tcPr>
            <w:tcW w:w="1152" w:type="dxa"/>
          </w:tcPr>
          <w:p w14:paraId="6914B528" w14:textId="77777777" w:rsidR="00DD2050" w:rsidRDefault="00DD2050" w:rsidP="00CD363C">
            <w:pPr>
              <w:pStyle w:val="TableParagraph"/>
              <w:ind w:left="94" w:right="-142"/>
              <w:jc w:val="both"/>
              <w:rPr>
                <w:sz w:val="20"/>
              </w:rPr>
            </w:pPr>
            <w:r>
              <w:rPr>
                <w:sz w:val="20"/>
              </w:rPr>
              <w:t>2600</w:t>
            </w:r>
          </w:p>
        </w:tc>
        <w:tc>
          <w:tcPr>
            <w:tcW w:w="3288" w:type="dxa"/>
          </w:tcPr>
          <w:p w14:paraId="5A769FE3" w14:textId="77777777" w:rsidR="00DD2050" w:rsidRDefault="00DD2050" w:rsidP="00CD363C">
            <w:pPr>
              <w:pStyle w:val="TableParagraph"/>
              <w:ind w:left="106" w:right="-142"/>
              <w:jc w:val="both"/>
              <w:rPr>
                <w:sz w:val="20"/>
              </w:rPr>
            </w:pPr>
            <w:r>
              <w:rPr>
                <w:sz w:val="20"/>
              </w:rPr>
              <w:t>Naudas līdzekļi</w:t>
            </w:r>
          </w:p>
        </w:tc>
        <w:tc>
          <w:tcPr>
            <w:tcW w:w="1406" w:type="dxa"/>
          </w:tcPr>
          <w:p w14:paraId="13E0B7EF" w14:textId="77777777" w:rsidR="00DD2050" w:rsidRDefault="00DD2050" w:rsidP="00CD363C">
            <w:pPr>
              <w:pStyle w:val="TableParagraph"/>
              <w:ind w:right="-142"/>
              <w:jc w:val="both"/>
              <w:rPr>
                <w:sz w:val="20"/>
              </w:rPr>
            </w:pPr>
            <w:r>
              <w:rPr>
                <w:sz w:val="20"/>
              </w:rPr>
              <w:t>100 000,00</w:t>
            </w:r>
          </w:p>
        </w:tc>
      </w:tr>
      <w:tr w:rsidR="00DD2050" w14:paraId="2E1C72D1" w14:textId="77777777" w:rsidTr="00DD2050">
        <w:trPr>
          <w:trHeight w:val="254"/>
        </w:trPr>
        <w:tc>
          <w:tcPr>
            <w:tcW w:w="818" w:type="dxa"/>
            <w:vMerge/>
            <w:tcBorders>
              <w:top w:val="nil"/>
            </w:tcBorders>
          </w:tcPr>
          <w:p w14:paraId="3E8CB419" w14:textId="77777777" w:rsidR="00DD2050" w:rsidRDefault="00DD2050" w:rsidP="00CD363C">
            <w:pPr>
              <w:spacing w:after="0" w:line="240" w:lineRule="auto"/>
              <w:ind w:right="-142"/>
              <w:jc w:val="both"/>
              <w:rPr>
                <w:sz w:val="2"/>
                <w:szCs w:val="2"/>
              </w:rPr>
            </w:pPr>
          </w:p>
        </w:tc>
        <w:tc>
          <w:tcPr>
            <w:tcW w:w="8808" w:type="dxa"/>
            <w:gridSpan w:val="4"/>
          </w:tcPr>
          <w:p w14:paraId="36E5EF5C" w14:textId="77777777" w:rsidR="00DD2050" w:rsidRDefault="00DD2050" w:rsidP="00CD363C">
            <w:pPr>
              <w:pStyle w:val="TableParagraph"/>
              <w:ind w:left="105" w:right="-142"/>
              <w:jc w:val="both"/>
              <w:rPr>
                <w:b/>
                <w:sz w:val="20"/>
              </w:rPr>
            </w:pPr>
            <w:r>
              <w:rPr>
                <w:b/>
                <w:sz w:val="20"/>
              </w:rPr>
              <w:t>Procentu izdevumi</w:t>
            </w:r>
          </w:p>
        </w:tc>
      </w:tr>
      <w:tr w:rsidR="00DD2050" w14:paraId="03C85D8F" w14:textId="77777777" w:rsidTr="00DD2050">
        <w:trPr>
          <w:trHeight w:val="256"/>
        </w:trPr>
        <w:tc>
          <w:tcPr>
            <w:tcW w:w="818" w:type="dxa"/>
            <w:vMerge/>
            <w:tcBorders>
              <w:top w:val="nil"/>
            </w:tcBorders>
          </w:tcPr>
          <w:p w14:paraId="146D7FF7" w14:textId="77777777" w:rsidR="00DD2050" w:rsidRDefault="00DD2050" w:rsidP="00CD363C">
            <w:pPr>
              <w:spacing w:after="0" w:line="240" w:lineRule="auto"/>
              <w:ind w:right="-142"/>
              <w:jc w:val="both"/>
              <w:rPr>
                <w:sz w:val="2"/>
                <w:szCs w:val="2"/>
              </w:rPr>
            </w:pPr>
          </w:p>
        </w:tc>
        <w:tc>
          <w:tcPr>
            <w:tcW w:w="2962" w:type="dxa"/>
          </w:tcPr>
          <w:p w14:paraId="47D2D782" w14:textId="77777777" w:rsidR="00DD2050" w:rsidRDefault="00DD2050" w:rsidP="00CD363C">
            <w:pPr>
              <w:pStyle w:val="TableParagraph"/>
              <w:ind w:left="105" w:right="-142"/>
              <w:jc w:val="both"/>
              <w:rPr>
                <w:sz w:val="20"/>
              </w:rPr>
            </w:pPr>
            <w:r>
              <w:rPr>
                <w:sz w:val="20"/>
              </w:rPr>
              <w:t>D Procentu izdevumi</w:t>
            </w:r>
          </w:p>
        </w:tc>
        <w:tc>
          <w:tcPr>
            <w:tcW w:w="1152" w:type="dxa"/>
          </w:tcPr>
          <w:p w14:paraId="7EA27994" w14:textId="77777777" w:rsidR="00DD2050" w:rsidRDefault="00DD2050" w:rsidP="00CD363C">
            <w:pPr>
              <w:pStyle w:val="TableParagraph"/>
              <w:ind w:left="94" w:right="-142"/>
              <w:jc w:val="both"/>
              <w:rPr>
                <w:sz w:val="20"/>
              </w:rPr>
            </w:pPr>
            <w:r>
              <w:rPr>
                <w:sz w:val="20"/>
              </w:rPr>
              <w:t>8220</w:t>
            </w:r>
          </w:p>
        </w:tc>
        <w:tc>
          <w:tcPr>
            <w:tcW w:w="3288" w:type="dxa"/>
          </w:tcPr>
          <w:p w14:paraId="3A1F1D6D" w14:textId="77777777" w:rsidR="00DD2050" w:rsidRDefault="00DD2050" w:rsidP="00CD363C">
            <w:pPr>
              <w:pStyle w:val="TableParagraph"/>
              <w:ind w:left="106" w:right="-142"/>
              <w:jc w:val="both"/>
              <w:rPr>
                <w:sz w:val="20"/>
              </w:rPr>
            </w:pPr>
            <w:r>
              <w:rPr>
                <w:sz w:val="20"/>
              </w:rPr>
              <w:t>Procentu izdevumi</w:t>
            </w:r>
          </w:p>
        </w:tc>
        <w:tc>
          <w:tcPr>
            <w:tcW w:w="1406" w:type="dxa"/>
          </w:tcPr>
          <w:p w14:paraId="56B89F69" w14:textId="77777777" w:rsidR="00DD2050" w:rsidRDefault="00DD2050" w:rsidP="00CD363C">
            <w:pPr>
              <w:pStyle w:val="TableParagraph"/>
              <w:ind w:right="-142"/>
              <w:jc w:val="both"/>
              <w:rPr>
                <w:sz w:val="20"/>
              </w:rPr>
            </w:pPr>
            <w:r>
              <w:rPr>
                <w:sz w:val="20"/>
              </w:rPr>
              <w:t>10 622,54</w:t>
            </w:r>
          </w:p>
        </w:tc>
      </w:tr>
      <w:tr w:rsidR="00DD2050" w14:paraId="318E4247" w14:textId="77777777" w:rsidTr="00DD2050">
        <w:trPr>
          <w:trHeight w:val="253"/>
        </w:trPr>
        <w:tc>
          <w:tcPr>
            <w:tcW w:w="818" w:type="dxa"/>
            <w:vMerge/>
            <w:tcBorders>
              <w:top w:val="nil"/>
            </w:tcBorders>
          </w:tcPr>
          <w:p w14:paraId="38B9E555" w14:textId="77777777" w:rsidR="00DD2050" w:rsidRDefault="00DD2050" w:rsidP="00CD363C">
            <w:pPr>
              <w:spacing w:after="0" w:line="240" w:lineRule="auto"/>
              <w:ind w:right="-142"/>
              <w:jc w:val="both"/>
              <w:rPr>
                <w:sz w:val="2"/>
                <w:szCs w:val="2"/>
              </w:rPr>
            </w:pPr>
          </w:p>
        </w:tc>
        <w:tc>
          <w:tcPr>
            <w:tcW w:w="2962" w:type="dxa"/>
          </w:tcPr>
          <w:p w14:paraId="4E9FB210" w14:textId="77777777" w:rsidR="00DD2050" w:rsidRDefault="00DD2050" w:rsidP="00CD363C">
            <w:pPr>
              <w:pStyle w:val="TableParagraph"/>
              <w:ind w:left="105" w:right="-142"/>
              <w:jc w:val="both"/>
              <w:rPr>
                <w:sz w:val="20"/>
              </w:rPr>
            </w:pPr>
            <w:r>
              <w:rPr>
                <w:sz w:val="20"/>
              </w:rPr>
              <w:t>D Pakalpojuma izmaksas</w:t>
            </w:r>
          </w:p>
        </w:tc>
        <w:tc>
          <w:tcPr>
            <w:tcW w:w="1152" w:type="dxa"/>
          </w:tcPr>
          <w:p w14:paraId="5F7EF4E4" w14:textId="77777777" w:rsidR="00DD2050" w:rsidRDefault="00DD2050" w:rsidP="00CD363C">
            <w:pPr>
              <w:pStyle w:val="TableParagraph"/>
              <w:ind w:left="94" w:right="-142"/>
              <w:jc w:val="both"/>
              <w:rPr>
                <w:sz w:val="20"/>
              </w:rPr>
            </w:pPr>
            <w:r>
              <w:rPr>
                <w:sz w:val="20"/>
              </w:rPr>
              <w:t>7000</w:t>
            </w:r>
          </w:p>
        </w:tc>
        <w:tc>
          <w:tcPr>
            <w:tcW w:w="3288" w:type="dxa"/>
          </w:tcPr>
          <w:p w14:paraId="2485A9F1" w14:textId="77777777" w:rsidR="00DD2050" w:rsidRDefault="00DD2050" w:rsidP="00CD363C">
            <w:pPr>
              <w:pStyle w:val="TableParagraph"/>
              <w:ind w:left="106" w:right="-142"/>
              <w:jc w:val="both"/>
              <w:rPr>
                <w:sz w:val="20"/>
              </w:rPr>
            </w:pPr>
            <w:r>
              <w:rPr>
                <w:sz w:val="20"/>
              </w:rPr>
              <w:t>Pamatdarbības izdevumi</w:t>
            </w:r>
          </w:p>
        </w:tc>
        <w:tc>
          <w:tcPr>
            <w:tcW w:w="1406" w:type="dxa"/>
          </w:tcPr>
          <w:p w14:paraId="36D55798" w14:textId="77777777" w:rsidR="00DD2050" w:rsidRDefault="00DD2050" w:rsidP="00CD363C">
            <w:pPr>
              <w:pStyle w:val="TableParagraph"/>
              <w:ind w:right="-142"/>
              <w:jc w:val="both"/>
              <w:rPr>
                <w:sz w:val="20"/>
              </w:rPr>
            </w:pPr>
            <w:r>
              <w:rPr>
                <w:sz w:val="20"/>
              </w:rPr>
              <w:t>6 000,00</w:t>
            </w:r>
          </w:p>
        </w:tc>
      </w:tr>
      <w:tr w:rsidR="00DD2050" w14:paraId="13B8CC42" w14:textId="77777777" w:rsidTr="00DD2050">
        <w:trPr>
          <w:trHeight w:val="460"/>
        </w:trPr>
        <w:tc>
          <w:tcPr>
            <w:tcW w:w="818" w:type="dxa"/>
            <w:vMerge/>
            <w:tcBorders>
              <w:top w:val="nil"/>
            </w:tcBorders>
          </w:tcPr>
          <w:p w14:paraId="39917263" w14:textId="77777777" w:rsidR="00DD2050" w:rsidRDefault="00DD2050" w:rsidP="00CD363C">
            <w:pPr>
              <w:spacing w:after="0" w:line="240" w:lineRule="auto"/>
              <w:ind w:right="-142"/>
              <w:jc w:val="both"/>
              <w:rPr>
                <w:sz w:val="2"/>
                <w:szCs w:val="2"/>
              </w:rPr>
            </w:pPr>
          </w:p>
        </w:tc>
        <w:tc>
          <w:tcPr>
            <w:tcW w:w="2962" w:type="dxa"/>
          </w:tcPr>
          <w:p w14:paraId="1BDE1C94" w14:textId="77777777" w:rsidR="00DD2050" w:rsidRDefault="00DD2050" w:rsidP="00CD363C">
            <w:pPr>
              <w:pStyle w:val="TableParagraph"/>
              <w:ind w:left="105" w:right="-142"/>
              <w:jc w:val="both"/>
              <w:rPr>
                <w:sz w:val="20"/>
              </w:rPr>
            </w:pPr>
            <w:r>
              <w:rPr>
                <w:sz w:val="20"/>
              </w:rPr>
              <w:t>K Finanšu saistības</w:t>
            </w:r>
          </w:p>
        </w:tc>
        <w:tc>
          <w:tcPr>
            <w:tcW w:w="1152" w:type="dxa"/>
          </w:tcPr>
          <w:p w14:paraId="32FB20B9" w14:textId="77777777" w:rsidR="00DD2050" w:rsidRDefault="00DD2050" w:rsidP="00CD363C">
            <w:pPr>
              <w:pStyle w:val="TableParagraph"/>
              <w:ind w:left="94" w:right="-142"/>
              <w:jc w:val="both"/>
              <w:rPr>
                <w:sz w:val="20"/>
              </w:rPr>
            </w:pPr>
            <w:r>
              <w:rPr>
                <w:sz w:val="20"/>
              </w:rPr>
              <w:t>5310</w:t>
            </w:r>
          </w:p>
        </w:tc>
        <w:tc>
          <w:tcPr>
            <w:tcW w:w="3288" w:type="dxa"/>
          </w:tcPr>
          <w:p w14:paraId="67233392" w14:textId="77777777" w:rsidR="00DD2050" w:rsidRDefault="00DD2050" w:rsidP="00CD363C">
            <w:pPr>
              <w:pStyle w:val="TableParagraph"/>
              <w:ind w:left="106" w:right="-142"/>
              <w:jc w:val="both"/>
              <w:rPr>
                <w:sz w:val="20"/>
              </w:rPr>
            </w:pPr>
            <w:r>
              <w:rPr>
                <w:sz w:val="20"/>
              </w:rPr>
              <w:t>Īstermiņa saistības pret piegādātājiem</w:t>
            </w:r>
          </w:p>
          <w:p w14:paraId="4C7E4420" w14:textId="77777777" w:rsidR="00DD2050" w:rsidRDefault="00DD2050" w:rsidP="00CD363C">
            <w:pPr>
              <w:pStyle w:val="TableParagraph"/>
              <w:ind w:left="106" w:right="-142"/>
              <w:jc w:val="both"/>
              <w:rPr>
                <w:sz w:val="20"/>
              </w:rPr>
            </w:pPr>
            <w:r>
              <w:rPr>
                <w:sz w:val="20"/>
              </w:rPr>
              <w:t>un darbuzņēmējiem</w:t>
            </w:r>
          </w:p>
        </w:tc>
        <w:tc>
          <w:tcPr>
            <w:tcW w:w="1406" w:type="dxa"/>
          </w:tcPr>
          <w:p w14:paraId="23086288" w14:textId="77777777" w:rsidR="00DD2050" w:rsidRDefault="00DD2050" w:rsidP="00CD363C">
            <w:pPr>
              <w:pStyle w:val="TableParagraph"/>
              <w:ind w:right="-142"/>
              <w:jc w:val="both"/>
              <w:rPr>
                <w:sz w:val="20"/>
              </w:rPr>
            </w:pPr>
            <w:r>
              <w:rPr>
                <w:sz w:val="20"/>
              </w:rPr>
              <w:t>16 622,54</w:t>
            </w:r>
          </w:p>
        </w:tc>
      </w:tr>
      <w:tr w:rsidR="00DD2050" w14:paraId="4A8A0580" w14:textId="77777777" w:rsidTr="00DD2050">
        <w:trPr>
          <w:trHeight w:val="256"/>
        </w:trPr>
        <w:tc>
          <w:tcPr>
            <w:tcW w:w="818" w:type="dxa"/>
            <w:vMerge/>
            <w:tcBorders>
              <w:top w:val="nil"/>
            </w:tcBorders>
          </w:tcPr>
          <w:p w14:paraId="3380B314" w14:textId="77777777" w:rsidR="00DD2050" w:rsidRDefault="00DD2050" w:rsidP="00CD363C">
            <w:pPr>
              <w:spacing w:after="0" w:line="240" w:lineRule="auto"/>
              <w:ind w:right="-142"/>
              <w:jc w:val="both"/>
              <w:rPr>
                <w:sz w:val="2"/>
                <w:szCs w:val="2"/>
              </w:rPr>
            </w:pPr>
          </w:p>
        </w:tc>
        <w:tc>
          <w:tcPr>
            <w:tcW w:w="8808" w:type="dxa"/>
            <w:gridSpan w:val="4"/>
          </w:tcPr>
          <w:p w14:paraId="6B62DB75" w14:textId="77777777" w:rsidR="00DD2050" w:rsidRDefault="00DD2050" w:rsidP="00CD363C">
            <w:pPr>
              <w:pStyle w:val="TableParagraph"/>
              <w:ind w:left="105" w:right="-142"/>
              <w:jc w:val="both"/>
              <w:rPr>
                <w:b/>
                <w:sz w:val="20"/>
              </w:rPr>
            </w:pPr>
            <w:r>
              <w:rPr>
                <w:b/>
                <w:sz w:val="20"/>
              </w:rPr>
              <w:t>Ieņēmumu atzīšana</w:t>
            </w:r>
          </w:p>
        </w:tc>
      </w:tr>
      <w:tr w:rsidR="00DD2050" w14:paraId="5EE90363" w14:textId="77777777" w:rsidTr="00DD2050">
        <w:trPr>
          <w:trHeight w:val="520"/>
        </w:trPr>
        <w:tc>
          <w:tcPr>
            <w:tcW w:w="818" w:type="dxa"/>
            <w:shd w:val="clear" w:color="auto" w:fill="F1F1F1"/>
          </w:tcPr>
          <w:p w14:paraId="2C01CBDA" w14:textId="77777777" w:rsidR="00DD2050" w:rsidRDefault="00DD2050" w:rsidP="00CD363C">
            <w:pPr>
              <w:pStyle w:val="TableParagraph"/>
              <w:ind w:left="158" w:right="-142"/>
              <w:jc w:val="both"/>
              <w:rPr>
                <w:b/>
                <w:sz w:val="20"/>
              </w:rPr>
            </w:pPr>
            <w:r>
              <w:rPr>
                <w:b/>
                <w:sz w:val="20"/>
              </w:rPr>
              <w:t>Gads</w:t>
            </w:r>
          </w:p>
        </w:tc>
        <w:tc>
          <w:tcPr>
            <w:tcW w:w="2962" w:type="dxa"/>
            <w:shd w:val="clear" w:color="auto" w:fill="F1F1F1"/>
          </w:tcPr>
          <w:p w14:paraId="5BF6478E" w14:textId="77777777" w:rsidR="00DD2050" w:rsidRDefault="00DD2050" w:rsidP="00CD363C">
            <w:pPr>
              <w:pStyle w:val="TableParagraph"/>
              <w:ind w:left="1176" w:right="-142"/>
              <w:jc w:val="both"/>
              <w:rPr>
                <w:b/>
                <w:sz w:val="20"/>
              </w:rPr>
            </w:pPr>
            <w:r>
              <w:rPr>
                <w:b/>
                <w:sz w:val="20"/>
              </w:rPr>
              <w:t>Konts</w:t>
            </w:r>
          </w:p>
        </w:tc>
        <w:tc>
          <w:tcPr>
            <w:tcW w:w="1152" w:type="dxa"/>
            <w:shd w:val="clear" w:color="auto" w:fill="F1F1F1"/>
          </w:tcPr>
          <w:p w14:paraId="1223F8DE" w14:textId="77777777" w:rsidR="00DD2050" w:rsidRDefault="00DD2050" w:rsidP="00CD363C">
            <w:pPr>
              <w:pStyle w:val="TableParagraph"/>
              <w:ind w:left="94" w:right="-142"/>
              <w:jc w:val="both"/>
              <w:rPr>
                <w:b/>
                <w:sz w:val="20"/>
              </w:rPr>
            </w:pPr>
            <w:r>
              <w:rPr>
                <w:b/>
                <w:sz w:val="20"/>
              </w:rPr>
              <w:t>Konta Nr.</w:t>
            </w:r>
          </w:p>
        </w:tc>
        <w:tc>
          <w:tcPr>
            <w:tcW w:w="3288" w:type="dxa"/>
            <w:shd w:val="clear" w:color="auto" w:fill="F1F1F1"/>
          </w:tcPr>
          <w:p w14:paraId="090F0DCE" w14:textId="77777777" w:rsidR="00DD2050" w:rsidRDefault="00DD2050" w:rsidP="00CD363C">
            <w:pPr>
              <w:pStyle w:val="TableParagraph"/>
              <w:ind w:left="838" w:right="-142"/>
              <w:jc w:val="both"/>
              <w:rPr>
                <w:b/>
                <w:sz w:val="20"/>
              </w:rPr>
            </w:pPr>
            <w:r>
              <w:rPr>
                <w:b/>
                <w:sz w:val="20"/>
              </w:rPr>
              <w:t>Konta nosaukums</w:t>
            </w:r>
          </w:p>
        </w:tc>
        <w:tc>
          <w:tcPr>
            <w:tcW w:w="1406" w:type="dxa"/>
            <w:shd w:val="clear" w:color="auto" w:fill="F1F1F1"/>
          </w:tcPr>
          <w:p w14:paraId="2191514F" w14:textId="77777777" w:rsidR="00DD2050" w:rsidRDefault="00DD2050" w:rsidP="00CD363C">
            <w:pPr>
              <w:pStyle w:val="TableParagraph"/>
              <w:ind w:left="130" w:right="-142" w:firstLine="218"/>
              <w:jc w:val="both"/>
              <w:rPr>
                <w:b/>
                <w:sz w:val="20"/>
              </w:rPr>
            </w:pPr>
            <w:r>
              <w:rPr>
                <w:b/>
                <w:sz w:val="20"/>
              </w:rPr>
              <w:t>Summa (tūkst. EUR)</w:t>
            </w:r>
          </w:p>
        </w:tc>
      </w:tr>
      <w:tr w:rsidR="00DD2050" w14:paraId="1DCE7191" w14:textId="77777777" w:rsidTr="00DD2050">
        <w:trPr>
          <w:trHeight w:val="460"/>
        </w:trPr>
        <w:tc>
          <w:tcPr>
            <w:tcW w:w="818" w:type="dxa"/>
            <w:vMerge w:val="restart"/>
          </w:tcPr>
          <w:p w14:paraId="2C33D5F1" w14:textId="77777777" w:rsidR="00DD2050" w:rsidRDefault="00DD2050" w:rsidP="00CD363C">
            <w:pPr>
              <w:pStyle w:val="TableParagraph"/>
              <w:ind w:right="-142"/>
              <w:jc w:val="both"/>
              <w:rPr>
                <w:sz w:val="18"/>
              </w:rPr>
            </w:pPr>
          </w:p>
        </w:tc>
        <w:tc>
          <w:tcPr>
            <w:tcW w:w="2962" w:type="dxa"/>
          </w:tcPr>
          <w:p w14:paraId="5BA34462" w14:textId="77777777" w:rsidR="00DD2050" w:rsidRDefault="00DD2050" w:rsidP="00CD363C">
            <w:pPr>
              <w:pStyle w:val="TableParagraph"/>
              <w:ind w:left="105" w:right="-142"/>
              <w:jc w:val="both"/>
              <w:rPr>
                <w:sz w:val="20"/>
              </w:rPr>
            </w:pPr>
            <w:r>
              <w:rPr>
                <w:sz w:val="20"/>
              </w:rPr>
              <w:t>D Saistības</w:t>
            </w:r>
          </w:p>
        </w:tc>
        <w:tc>
          <w:tcPr>
            <w:tcW w:w="1152" w:type="dxa"/>
          </w:tcPr>
          <w:p w14:paraId="21834888" w14:textId="77777777" w:rsidR="00DD2050" w:rsidRDefault="00DD2050" w:rsidP="00CD363C">
            <w:pPr>
              <w:pStyle w:val="TableParagraph"/>
              <w:ind w:left="94" w:right="-142"/>
              <w:jc w:val="both"/>
              <w:rPr>
                <w:sz w:val="20"/>
              </w:rPr>
            </w:pPr>
            <w:r>
              <w:rPr>
                <w:sz w:val="20"/>
              </w:rPr>
              <w:t>5910</w:t>
            </w:r>
          </w:p>
        </w:tc>
        <w:tc>
          <w:tcPr>
            <w:tcW w:w="3288" w:type="dxa"/>
          </w:tcPr>
          <w:p w14:paraId="44825695" w14:textId="77777777" w:rsidR="00DD2050" w:rsidRDefault="00DD2050" w:rsidP="00CD363C">
            <w:pPr>
              <w:pStyle w:val="TableParagraph"/>
              <w:ind w:left="106" w:right="-142"/>
              <w:jc w:val="both"/>
              <w:rPr>
                <w:sz w:val="20"/>
              </w:rPr>
            </w:pPr>
            <w:r>
              <w:rPr>
                <w:sz w:val="20"/>
              </w:rPr>
              <w:t>Nākamo periodu ieņēmumi un</w:t>
            </w:r>
          </w:p>
          <w:p w14:paraId="57406F6A" w14:textId="77777777" w:rsidR="00DD2050" w:rsidRDefault="00DD2050" w:rsidP="00CD363C">
            <w:pPr>
              <w:pStyle w:val="TableParagraph"/>
              <w:ind w:left="106" w:right="-142"/>
              <w:jc w:val="both"/>
              <w:rPr>
                <w:sz w:val="20"/>
              </w:rPr>
            </w:pPr>
            <w:r>
              <w:rPr>
                <w:sz w:val="20"/>
              </w:rPr>
              <w:t>saņemtie avansi</w:t>
            </w:r>
          </w:p>
        </w:tc>
        <w:tc>
          <w:tcPr>
            <w:tcW w:w="1406" w:type="dxa"/>
          </w:tcPr>
          <w:p w14:paraId="5DFF14D1" w14:textId="77777777" w:rsidR="00DD2050" w:rsidRDefault="00DD2050" w:rsidP="00CD363C">
            <w:pPr>
              <w:pStyle w:val="TableParagraph"/>
              <w:ind w:right="-142"/>
              <w:jc w:val="both"/>
              <w:rPr>
                <w:sz w:val="20"/>
              </w:rPr>
            </w:pPr>
            <w:r>
              <w:rPr>
                <w:sz w:val="20"/>
              </w:rPr>
              <w:t>72 500,00</w:t>
            </w:r>
          </w:p>
        </w:tc>
      </w:tr>
      <w:tr w:rsidR="00DD2050" w14:paraId="1A913619" w14:textId="77777777" w:rsidTr="00DD2050">
        <w:trPr>
          <w:trHeight w:val="254"/>
        </w:trPr>
        <w:tc>
          <w:tcPr>
            <w:tcW w:w="818" w:type="dxa"/>
            <w:vMerge/>
            <w:tcBorders>
              <w:top w:val="nil"/>
            </w:tcBorders>
          </w:tcPr>
          <w:p w14:paraId="13E780C6" w14:textId="77777777" w:rsidR="00DD2050" w:rsidRDefault="00DD2050" w:rsidP="00CD363C">
            <w:pPr>
              <w:spacing w:after="0" w:line="240" w:lineRule="auto"/>
              <w:ind w:right="-142"/>
              <w:jc w:val="both"/>
              <w:rPr>
                <w:sz w:val="2"/>
                <w:szCs w:val="2"/>
              </w:rPr>
            </w:pPr>
          </w:p>
        </w:tc>
        <w:tc>
          <w:tcPr>
            <w:tcW w:w="2962" w:type="dxa"/>
          </w:tcPr>
          <w:p w14:paraId="3343EF24" w14:textId="77777777" w:rsidR="00DD2050" w:rsidRDefault="00DD2050" w:rsidP="00CD363C">
            <w:pPr>
              <w:pStyle w:val="TableParagraph"/>
              <w:ind w:left="105" w:right="-142"/>
              <w:jc w:val="both"/>
              <w:rPr>
                <w:sz w:val="20"/>
              </w:rPr>
            </w:pPr>
            <w:r>
              <w:rPr>
                <w:sz w:val="20"/>
              </w:rPr>
              <w:t>K Ieņēmumi</w:t>
            </w:r>
          </w:p>
        </w:tc>
        <w:tc>
          <w:tcPr>
            <w:tcW w:w="1152" w:type="dxa"/>
          </w:tcPr>
          <w:p w14:paraId="503A0F4B" w14:textId="77777777" w:rsidR="00DD2050" w:rsidRDefault="00DD2050" w:rsidP="00CD363C">
            <w:pPr>
              <w:pStyle w:val="TableParagraph"/>
              <w:ind w:left="94" w:right="-142"/>
              <w:jc w:val="both"/>
              <w:rPr>
                <w:sz w:val="20"/>
              </w:rPr>
            </w:pPr>
            <w:r>
              <w:rPr>
                <w:sz w:val="20"/>
              </w:rPr>
              <w:t>6000</w:t>
            </w:r>
          </w:p>
        </w:tc>
        <w:tc>
          <w:tcPr>
            <w:tcW w:w="3288" w:type="dxa"/>
          </w:tcPr>
          <w:p w14:paraId="5E699A91" w14:textId="77777777" w:rsidR="00DD2050" w:rsidRDefault="00DD2050" w:rsidP="00CD363C">
            <w:pPr>
              <w:pStyle w:val="TableParagraph"/>
              <w:ind w:left="106" w:right="-142"/>
              <w:jc w:val="both"/>
              <w:rPr>
                <w:sz w:val="20"/>
              </w:rPr>
            </w:pPr>
            <w:r>
              <w:rPr>
                <w:sz w:val="20"/>
              </w:rPr>
              <w:t>Pamatdarbības ieņēmumi</w:t>
            </w:r>
          </w:p>
        </w:tc>
        <w:tc>
          <w:tcPr>
            <w:tcW w:w="1406" w:type="dxa"/>
          </w:tcPr>
          <w:p w14:paraId="145BA337" w14:textId="77777777" w:rsidR="00DD2050" w:rsidRDefault="00DD2050" w:rsidP="00CD363C">
            <w:pPr>
              <w:pStyle w:val="TableParagraph"/>
              <w:ind w:right="-142"/>
              <w:jc w:val="both"/>
              <w:rPr>
                <w:sz w:val="20"/>
              </w:rPr>
            </w:pPr>
            <w:r>
              <w:rPr>
                <w:sz w:val="20"/>
              </w:rPr>
              <w:t>72 500,00</w:t>
            </w:r>
          </w:p>
        </w:tc>
      </w:tr>
      <w:tr w:rsidR="00DD2050" w14:paraId="6F4E72C9" w14:textId="77777777" w:rsidTr="00DD2050">
        <w:trPr>
          <w:trHeight w:val="256"/>
        </w:trPr>
        <w:tc>
          <w:tcPr>
            <w:tcW w:w="818" w:type="dxa"/>
            <w:vMerge/>
            <w:tcBorders>
              <w:top w:val="nil"/>
            </w:tcBorders>
          </w:tcPr>
          <w:p w14:paraId="4FD50AA3" w14:textId="77777777" w:rsidR="00DD2050" w:rsidRDefault="00DD2050" w:rsidP="00CD363C">
            <w:pPr>
              <w:spacing w:after="0" w:line="240" w:lineRule="auto"/>
              <w:ind w:right="-142"/>
              <w:jc w:val="both"/>
              <w:rPr>
                <w:sz w:val="2"/>
                <w:szCs w:val="2"/>
              </w:rPr>
            </w:pPr>
          </w:p>
        </w:tc>
        <w:tc>
          <w:tcPr>
            <w:tcW w:w="8808" w:type="dxa"/>
            <w:gridSpan w:val="4"/>
          </w:tcPr>
          <w:p w14:paraId="3B05F9D7" w14:textId="77777777" w:rsidR="00DD2050" w:rsidRDefault="00DD2050" w:rsidP="00CD363C">
            <w:pPr>
              <w:pStyle w:val="TableParagraph"/>
              <w:ind w:left="105" w:right="-142"/>
              <w:jc w:val="both"/>
              <w:rPr>
                <w:b/>
                <w:sz w:val="20"/>
              </w:rPr>
            </w:pPr>
            <w:r>
              <w:rPr>
                <w:b/>
                <w:sz w:val="20"/>
              </w:rPr>
              <w:t>Nolietojuma uzskaite</w:t>
            </w:r>
          </w:p>
        </w:tc>
      </w:tr>
      <w:tr w:rsidR="00DD2050" w14:paraId="7DB2A391" w14:textId="77777777" w:rsidTr="00DD2050">
        <w:trPr>
          <w:trHeight w:val="254"/>
        </w:trPr>
        <w:tc>
          <w:tcPr>
            <w:tcW w:w="818" w:type="dxa"/>
            <w:vMerge/>
            <w:tcBorders>
              <w:top w:val="nil"/>
            </w:tcBorders>
          </w:tcPr>
          <w:p w14:paraId="2F968660" w14:textId="77777777" w:rsidR="00DD2050" w:rsidRDefault="00DD2050" w:rsidP="00CD363C">
            <w:pPr>
              <w:spacing w:after="0" w:line="240" w:lineRule="auto"/>
              <w:ind w:right="-142"/>
              <w:jc w:val="both"/>
              <w:rPr>
                <w:sz w:val="2"/>
                <w:szCs w:val="2"/>
              </w:rPr>
            </w:pPr>
          </w:p>
        </w:tc>
        <w:tc>
          <w:tcPr>
            <w:tcW w:w="2962" w:type="dxa"/>
          </w:tcPr>
          <w:p w14:paraId="3CADE65E" w14:textId="77777777" w:rsidR="00DD2050" w:rsidRDefault="00DD2050" w:rsidP="00CD363C">
            <w:pPr>
              <w:pStyle w:val="TableParagraph"/>
              <w:ind w:left="105" w:right="-142"/>
              <w:jc w:val="both"/>
              <w:rPr>
                <w:sz w:val="20"/>
              </w:rPr>
            </w:pPr>
            <w:r>
              <w:rPr>
                <w:sz w:val="20"/>
              </w:rPr>
              <w:t>D Nolietojuma izdevumi</w:t>
            </w:r>
          </w:p>
        </w:tc>
        <w:tc>
          <w:tcPr>
            <w:tcW w:w="1152" w:type="dxa"/>
          </w:tcPr>
          <w:p w14:paraId="766B87A6" w14:textId="77777777" w:rsidR="00DD2050" w:rsidRDefault="00DD2050" w:rsidP="00CD363C">
            <w:pPr>
              <w:pStyle w:val="TableParagraph"/>
              <w:ind w:left="94" w:right="-142"/>
              <w:jc w:val="both"/>
              <w:rPr>
                <w:sz w:val="20"/>
              </w:rPr>
            </w:pPr>
            <w:r>
              <w:rPr>
                <w:sz w:val="20"/>
              </w:rPr>
              <w:t>7000</w:t>
            </w:r>
          </w:p>
        </w:tc>
        <w:tc>
          <w:tcPr>
            <w:tcW w:w="3288" w:type="dxa"/>
          </w:tcPr>
          <w:p w14:paraId="163FF3E7" w14:textId="77777777" w:rsidR="00DD2050" w:rsidRDefault="00DD2050" w:rsidP="00CD363C">
            <w:pPr>
              <w:pStyle w:val="TableParagraph"/>
              <w:ind w:left="106" w:right="-142"/>
              <w:jc w:val="both"/>
              <w:rPr>
                <w:sz w:val="20"/>
              </w:rPr>
            </w:pPr>
            <w:r>
              <w:rPr>
                <w:sz w:val="20"/>
              </w:rPr>
              <w:t>Pamatdarbības izdevumi</w:t>
            </w:r>
          </w:p>
        </w:tc>
        <w:tc>
          <w:tcPr>
            <w:tcW w:w="1406" w:type="dxa"/>
          </w:tcPr>
          <w:p w14:paraId="2E7C9D7D" w14:textId="77777777" w:rsidR="00DD2050" w:rsidRDefault="00DD2050" w:rsidP="00CD363C">
            <w:pPr>
              <w:pStyle w:val="TableParagraph"/>
              <w:ind w:right="-142"/>
              <w:jc w:val="both"/>
              <w:rPr>
                <w:sz w:val="20"/>
              </w:rPr>
            </w:pPr>
            <w:r>
              <w:rPr>
                <w:sz w:val="20"/>
              </w:rPr>
              <w:t>65 333,33</w:t>
            </w:r>
          </w:p>
        </w:tc>
      </w:tr>
      <w:tr w:rsidR="00DD2050" w14:paraId="737A9ED4" w14:textId="77777777" w:rsidTr="00DD2050">
        <w:trPr>
          <w:trHeight w:val="256"/>
        </w:trPr>
        <w:tc>
          <w:tcPr>
            <w:tcW w:w="818" w:type="dxa"/>
            <w:vMerge/>
            <w:tcBorders>
              <w:top w:val="nil"/>
            </w:tcBorders>
          </w:tcPr>
          <w:p w14:paraId="4939E5BD" w14:textId="77777777" w:rsidR="00DD2050" w:rsidRDefault="00DD2050" w:rsidP="00CD363C">
            <w:pPr>
              <w:spacing w:after="0" w:line="240" w:lineRule="auto"/>
              <w:ind w:right="-142"/>
              <w:jc w:val="both"/>
              <w:rPr>
                <w:sz w:val="2"/>
                <w:szCs w:val="2"/>
              </w:rPr>
            </w:pPr>
          </w:p>
        </w:tc>
        <w:tc>
          <w:tcPr>
            <w:tcW w:w="2962" w:type="dxa"/>
          </w:tcPr>
          <w:p w14:paraId="4D2F6B6F" w14:textId="77777777" w:rsidR="00DD2050" w:rsidRDefault="00DD2050" w:rsidP="00CD363C">
            <w:pPr>
              <w:pStyle w:val="TableParagraph"/>
              <w:ind w:left="105" w:right="-142"/>
              <w:jc w:val="both"/>
              <w:rPr>
                <w:sz w:val="20"/>
              </w:rPr>
            </w:pPr>
            <w:r>
              <w:rPr>
                <w:sz w:val="20"/>
              </w:rPr>
              <w:t>K Uzkrātais nolietojums</w:t>
            </w:r>
          </w:p>
        </w:tc>
        <w:tc>
          <w:tcPr>
            <w:tcW w:w="1152" w:type="dxa"/>
          </w:tcPr>
          <w:p w14:paraId="2F39711E" w14:textId="77777777" w:rsidR="00DD2050" w:rsidRDefault="00DD2050" w:rsidP="00CD363C">
            <w:pPr>
              <w:pStyle w:val="TableParagraph"/>
              <w:ind w:left="94" w:right="-142"/>
              <w:jc w:val="both"/>
              <w:rPr>
                <w:sz w:val="20"/>
              </w:rPr>
            </w:pPr>
            <w:r>
              <w:rPr>
                <w:sz w:val="20"/>
              </w:rPr>
              <w:t>1291</w:t>
            </w:r>
          </w:p>
        </w:tc>
        <w:tc>
          <w:tcPr>
            <w:tcW w:w="3288" w:type="dxa"/>
          </w:tcPr>
          <w:p w14:paraId="49B56609"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4F1854D0" w14:textId="77777777" w:rsidR="00DD2050" w:rsidRDefault="00DD2050" w:rsidP="00CD363C">
            <w:pPr>
              <w:pStyle w:val="TableParagraph"/>
              <w:ind w:right="-142"/>
              <w:jc w:val="both"/>
              <w:rPr>
                <w:sz w:val="20"/>
              </w:rPr>
            </w:pPr>
            <w:r>
              <w:rPr>
                <w:sz w:val="20"/>
              </w:rPr>
              <w:t>65 333,33</w:t>
            </w:r>
          </w:p>
        </w:tc>
      </w:tr>
      <w:tr w:rsidR="00DD2050" w14:paraId="1610FC9B" w14:textId="77777777" w:rsidTr="00DD2050">
        <w:trPr>
          <w:trHeight w:val="254"/>
        </w:trPr>
        <w:tc>
          <w:tcPr>
            <w:tcW w:w="818" w:type="dxa"/>
            <w:vMerge/>
            <w:tcBorders>
              <w:top w:val="nil"/>
            </w:tcBorders>
          </w:tcPr>
          <w:p w14:paraId="422C211A" w14:textId="77777777" w:rsidR="00DD2050" w:rsidRDefault="00DD2050" w:rsidP="00CD363C">
            <w:pPr>
              <w:spacing w:after="0" w:line="240" w:lineRule="auto"/>
              <w:ind w:right="-142"/>
              <w:jc w:val="both"/>
              <w:rPr>
                <w:sz w:val="2"/>
                <w:szCs w:val="2"/>
              </w:rPr>
            </w:pPr>
          </w:p>
        </w:tc>
        <w:tc>
          <w:tcPr>
            <w:tcW w:w="8808" w:type="dxa"/>
            <w:gridSpan w:val="4"/>
          </w:tcPr>
          <w:p w14:paraId="31FEC67A"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6864AE9E" w14:textId="77777777" w:rsidTr="00DD2050">
        <w:trPr>
          <w:trHeight w:val="460"/>
        </w:trPr>
        <w:tc>
          <w:tcPr>
            <w:tcW w:w="818" w:type="dxa"/>
            <w:vMerge/>
            <w:tcBorders>
              <w:top w:val="nil"/>
            </w:tcBorders>
          </w:tcPr>
          <w:p w14:paraId="24B78853" w14:textId="77777777" w:rsidR="00DD2050" w:rsidRDefault="00DD2050" w:rsidP="00CD363C">
            <w:pPr>
              <w:spacing w:after="0" w:line="240" w:lineRule="auto"/>
              <w:ind w:right="-142"/>
              <w:jc w:val="both"/>
              <w:rPr>
                <w:sz w:val="2"/>
                <w:szCs w:val="2"/>
              </w:rPr>
            </w:pPr>
          </w:p>
        </w:tc>
        <w:tc>
          <w:tcPr>
            <w:tcW w:w="2962" w:type="dxa"/>
          </w:tcPr>
          <w:p w14:paraId="2FF58C9A" w14:textId="77777777" w:rsidR="00DD2050" w:rsidRDefault="00DD2050" w:rsidP="00CD363C">
            <w:pPr>
              <w:pStyle w:val="TableParagraph"/>
              <w:ind w:left="105" w:right="-142"/>
              <w:jc w:val="both"/>
              <w:rPr>
                <w:sz w:val="20"/>
              </w:rPr>
            </w:pPr>
            <w:r>
              <w:rPr>
                <w:sz w:val="20"/>
              </w:rPr>
              <w:t>D Finanšu saistības</w:t>
            </w:r>
          </w:p>
        </w:tc>
        <w:tc>
          <w:tcPr>
            <w:tcW w:w="1152" w:type="dxa"/>
          </w:tcPr>
          <w:p w14:paraId="7A1FCF7A" w14:textId="77777777" w:rsidR="00DD2050" w:rsidRDefault="00DD2050" w:rsidP="00CD363C">
            <w:pPr>
              <w:pStyle w:val="TableParagraph"/>
              <w:ind w:left="94" w:right="-142"/>
              <w:jc w:val="both"/>
              <w:rPr>
                <w:sz w:val="20"/>
              </w:rPr>
            </w:pPr>
            <w:r>
              <w:rPr>
                <w:sz w:val="20"/>
              </w:rPr>
              <w:t>5130</w:t>
            </w:r>
          </w:p>
        </w:tc>
        <w:tc>
          <w:tcPr>
            <w:tcW w:w="3288" w:type="dxa"/>
          </w:tcPr>
          <w:p w14:paraId="31676BDD" w14:textId="77777777" w:rsidR="00DD2050" w:rsidRDefault="00DD2050" w:rsidP="00CD363C">
            <w:pPr>
              <w:pStyle w:val="TableParagraph"/>
              <w:ind w:left="106" w:right="-142"/>
              <w:jc w:val="both"/>
              <w:rPr>
                <w:sz w:val="20"/>
              </w:rPr>
            </w:pPr>
            <w:r>
              <w:rPr>
                <w:sz w:val="20"/>
              </w:rPr>
              <w:t>Ilgtermiņa saistības pret</w:t>
            </w:r>
          </w:p>
          <w:p w14:paraId="67A1D087"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45C9C3AD" w14:textId="77777777" w:rsidR="00DD2050" w:rsidRDefault="00DD2050" w:rsidP="00CD363C">
            <w:pPr>
              <w:pStyle w:val="TableParagraph"/>
              <w:ind w:right="-142"/>
              <w:jc w:val="both"/>
              <w:rPr>
                <w:sz w:val="20"/>
              </w:rPr>
            </w:pPr>
            <w:r>
              <w:rPr>
                <w:sz w:val="20"/>
              </w:rPr>
              <w:t>88 529,55</w:t>
            </w:r>
          </w:p>
        </w:tc>
      </w:tr>
      <w:tr w:rsidR="00DD2050" w14:paraId="4951ECD5" w14:textId="77777777" w:rsidTr="00DD2050">
        <w:trPr>
          <w:trHeight w:val="460"/>
        </w:trPr>
        <w:tc>
          <w:tcPr>
            <w:tcW w:w="818" w:type="dxa"/>
            <w:vMerge/>
            <w:tcBorders>
              <w:top w:val="nil"/>
            </w:tcBorders>
          </w:tcPr>
          <w:p w14:paraId="798BDD61" w14:textId="77777777" w:rsidR="00DD2050" w:rsidRDefault="00DD2050" w:rsidP="00CD363C">
            <w:pPr>
              <w:spacing w:after="0" w:line="240" w:lineRule="auto"/>
              <w:ind w:right="-142"/>
              <w:jc w:val="both"/>
              <w:rPr>
                <w:sz w:val="2"/>
                <w:szCs w:val="2"/>
              </w:rPr>
            </w:pPr>
          </w:p>
        </w:tc>
        <w:tc>
          <w:tcPr>
            <w:tcW w:w="2962" w:type="dxa"/>
          </w:tcPr>
          <w:p w14:paraId="05B8C75B" w14:textId="77777777" w:rsidR="00DD2050" w:rsidRDefault="00DD2050" w:rsidP="00CD363C">
            <w:pPr>
              <w:pStyle w:val="TableParagraph"/>
              <w:ind w:left="105" w:right="-142"/>
              <w:jc w:val="both"/>
              <w:rPr>
                <w:sz w:val="20"/>
              </w:rPr>
            </w:pPr>
            <w:r>
              <w:rPr>
                <w:sz w:val="20"/>
              </w:rPr>
              <w:t>K Finanšu saistības</w:t>
            </w:r>
          </w:p>
        </w:tc>
        <w:tc>
          <w:tcPr>
            <w:tcW w:w="1152" w:type="dxa"/>
          </w:tcPr>
          <w:p w14:paraId="1CC49DF1" w14:textId="77777777" w:rsidR="00DD2050" w:rsidRDefault="00DD2050" w:rsidP="00CD363C">
            <w:pPr>
              <w:pStyle w:val="TableParagraph"/>
              <w:ind w:left="94" w:right="-142"/>
              <w:jc w:val="both"/>
              <w:rPr>
                <w:sz w:val="20"/>
              </w:rPr>
            </w:pPr>
            <w:r>
              <w:rPr>
                <w:sz w:val="20"/>
              </w:rPr>
              <w:t>5310</w:t>
            </w:r>
          </w:p>
        </w:tc>
        <w:tc>
          <w:tcPr>
            <w:tcW w:w="3288" w:type="dxa"/>
          </w:tcPr>
          <w:p w14:paraId="3DEBDCA6" w14:textId="77777777" w:rsidR="00DD2050" w:rsidRDefault="00DD2050" w:rsidP="00CD363C">
            <w:pPr>
              <w:pStyle w:val="TableParagraph"/>
              <w:ind w:left="156" w:right="-142"/>
              <w:jc w:val="both"/>
              <w:rPr>
                <w:sz w:val="20"/>
              </w:rPr>
            </w:pPr>
            <w:r>
              <w:rPr>
                <w:sz w:val="20"/>
              </w:rPr>
              <w:t>Īstermiņa saistības pret</w:t>
            </w:r>
          </w:p>
          <w:p w14:paraId="1C7CABB1"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75D3618A" w14:textId="77777777" w:rsidR="00DD2050" w:rsidRDefault="00DD2050" w:rsidP="00CD363C">
            <w:pPr>
              <w:pStyle w:val="TableParagraph"/>
              <w:ind w:right="-142"/>
              <w:jc w:val="both"/>
              <w:rPr>
                <w:sz w:val="20"/>
              </w:rPr>
            </w:pPr>
            <w:r>
              <w:rPr>
                <w:sz w:val="20"/>
              </w:rPr>
              <w:t>88 529,55</w:t>
            </w:r>
          </w:p>
        </w:tc>
      </w:tr>
      <w:tr w:rsidR="00DD2050" w14:paraId="74C0B239" w14:textId="77777777" w:rsidTr="00DD2050">
        <w:trPr>
          <w:trHeight w:val="253"/>
        </w:trPr>
        <w:tc>
          <w:tcPr>
            <w:tcW w:w="818" w:type="dxa"/>
            <w:vMerge/>
            <w:tcBorders>
              <w:top w:val="nil"/>
            </w:tcBorders>
          </w:tcPr>
          <w:p w14:paraId="66F79166" w14:textId="77777777" w:rsidR="00DD2050" w:rsidRDefault="00DD2050" w:rsidP="00CD363C">
            <w:pPr>
              <w:spacing w:after="0" w:line="240" w:lineRule="auto"/>
              <w:ind w:right="-142"/>
              <w:jc w:val="both"/>
              <w:rPr>
                <w:sz w:val="2"/>
                <w:szCs w:val="2"/>
              </w:rPr>
            </w:pPr>
          </w:p>
        </w:tc>
        <w:tc>
          <w:tcPr>
            <w:tcW w:w="8808" w:type="dxa"/>
            <w:gridSpan w:val="4"/>
          </w:tcPr>
          <w:p w14:paraId="4291F715"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57DF6F61" w14:textId="77777777" w:rsidTr="00DD2050">
        <w:trPr>
          <w:trHeight w:val="690"/>
        </w:trPr>
        <w:tc>
          <w:tcPr>
            <w:tcW w:w="818" w:type="dxa"/>
            <w:vMerge/>
            <w:tcBorders>
              <w:top w:val="nil"/>
            </w:tcBorders>
          </w:tcPr>
          <w:p w14:paraId="1F822D7E" w14:textId="77777777" w:rsidR="00DD2050" w:rsidRDefault="00DD2050" w:rsidP="00CD363C">
            <w:pPr>
              <w:spacing w:after="0" w:line="240" w:lineRule="auto"/>
              <w:ind w:right="-142"/>
              <w:jc w:val="both"/>
              <w:rPr>
                <w:sz w:val="2"/>
                <w:szCs w:val="2"/>
              </w:rPr>
            </w:pPr>
          </w:p>
        </w:tc>
        <w:tc>
          <w:tcPr>
            <w:tcW w:w="2962" w:type="dxa"/>
          </w:tcPr>
          <w:p w14:paraId="60180D1E" w14:textId="77777777" w:rsidR="00DD2050" w:rsidRDefault="00DD2050" w:rsidP="00CD363C">
            <w:pPr>
              <w:pStyle w:val="TableParagraph"/>
              <w:ind w:right="-142"/>
              <w:jc w:val="both"/>
              <w:rPr>
                <w:i/>
                <w:sz w:val="19"/>
              </w:rPr>
            </w:pPr>
          </w:p>
          <w:p w14:paraId="15BC29A4" w14:textId="77777777" w:rsidR="00DD2050" w:rsidRDefault="00DD2050" w:rsidP="00CD363C">
            <w:pPr>
              <w:pStyle w:val="TableParagraph"/>
              <w:ind w:left="105" w:right="-142"/>
              <w:jc w:val="both"/>
              <w:rPr>
                <w:sz w:val="20"/>
              </w:rPr>
            </w:pPr>
            <w:r>
              <w:rPr>
                <w:sz w:val="20"/>
              </w:rPr>
              <w:t>D Saistības</w:t>
            </w:r>
          </w:p>
        </w:tc>
        <w:tc>
          <w:tcPr>
            <w:tcW w:w="1152" w:type="dxa"/>
          </w:tcPr>
          <w:p w14:paraId="6E964813" w14:textId="77777777" w:rsidR="00DD2050" w:rsidRDefault="00DD2050" w:rsidP="00CD363C">
            <w:pPr>
              <w:pStyle w:val="TableParagraph"/>
              <w:ind w:right="-142"/>
              <w:jc w:val="both"/>
              <w:rPr>
                <w:i/>
                <w:sz w:val="19"/>
              </w:rPr>
            </w:pPr>
          </w:p>
          <w:p w14:paraId="1657F665" w14:textId="77777777" w:rsidR="00DD2050" w:rsidRDefault="00DD2050" w:rsidP="00CD363C">
            <w:pPr>
              <w:pStyle w:val="TableParagraph"/>
              <w:ind w:left="94" w:right="-142"/>
              <w:jc w:val="both"/>
              <w:rPr>
                <w:sz w:val="20"/>
              </w:rPr>
            </w:pPr>
            <w:r>
              <w:rPr>
                <w:sz w:val="20"/>
              </w:rPr>
              <w:t>5150</w:t>
            </w:r>
          </w:p>
        </w:tc>
        <w:tc>
          <w:tcPr>
            <w:tcW w:w="3288" w:type="dxa"/>
          </w:tcPr>
          <w:p w14:paraId="47942CF9" w14:textId="77777777" w:rsidR="00DD2050" w:rsidRDefault="00DD2050" w:rsidP="00CD363C">
            <w:pPr>
              <w:pStyle w:val="TableParagraph"/>
              <w:ind w:left="106" w:right="-142"/>
              <w:jc w:val="both"/>
              <w:rPr>
                <w:sz w:val="20"/>
              </w:rPr>
            </w:pPr>
            <w:r>
              <w:rPr>
                <w:sz w:val="20"/>
              </w:rPr>
              <w:t>Ilgtermiņa nākamo periodu</w:t>
            </w:r>
          </w:p>
          <w:p w14:paraId="1A8E33B6" w14:textId="77777777" w:rsidR="00DD2050" w:rsidRDefault="00DD2050" w:rsidP="00CD363C">
            <w:pPr>
              <w:pStyle w:val="TableParagraph"/>
              <w:ind w:left="106" w:right="-142"/>
              <w:jc w:val="both"/>
              <w:rPr>
                <w:sz w:val="20"/>
              </w:rPr>
            </w:pPr>
            <w:r>
              <w:rPr>
                <w:sz w:val="20"/>
              </w:rPr>
              <w:t>ieņēmumi un saņemtie avansa maksājumi</w:t>
            </w:r>
          </w:p>
        </w:tc>
        <w:tc>
          <w:tcPr>
            <w:tcW w:w="1406" w:type="dxa"/>
          </w:tcPr>
          <w:p w14:paraId="5C628C21" w14:textId="77777777" w:rsidR="00DD2050" w:rsidRDefault="00DD2050" w:rsidP="00CD363C">
            <w:pPr>
              <w:pStyle w:val="TableParagraph"/>
              <w:ind w:right="-142"/>
              <w:jc w:val="both"/>
              <w:rPr>
                <w:i/>
                <w:sz w:val="19"/>
              </w:rPr>
            </w:pPr>
          </w:p>
          <w:p w14:paraId="4BA6C4F9" w14:textId="77777777" w:rsidR="00DD2050" w:rsidRDefault="00DD2050" w:rsidP="00CD363C">
            <w:pPr>
              <w:pStyle w:val="TableParagraph"/>
              <w:ind w:right="-142"/>
              <w:jc w:val="both"/>
              <w:rPr>
                <w:sz w:val="20"/>
              </w:rPr>
            </w:pPr>
            <w:r>
              <w:rPr>
                <w:sz w:val="20"/>
              </w:rPr>
              <w:t>72 500,00</w:t>
            </w:r>
          </w:p>
        </w:tc>
      </w:tr>
      <w:tr w:rsidR="00DD2050" w14:paraId="2952601C" w14:textId="77777777" w:rsidTr="00DD2050">
        <w:trPr>
          <w:trHeight w:val="460"/>
        </w:trPr>
        <w:tc>
          <w:tcPr>
            <w:tcW w:w="818" w:type="dxa"/>
            <w:vMerge/>
            <w:tcBorders>
              <w:top w:val="nil"/>
            </w:tcBorders>
          </w:tcPr>
          <w:p w14:paraId="31C0BDCC" w14:textId="77777777" w:rsidR="00DD2050" w:rsidRDefault="00DD2050" w:rsidP="00CD363C">
            <w:pPr>
              <w:spacing w:after="0" w:line="240" w:lineRule="auto"/>
              <w:ind w:right="-142"/>
              <w:jc w:val="both"/>
              <w:rPr>
                <w:sz w:val="2"/>
                <w:szCs w:val="2"/>
              </w:rPr>
            </w:pPr>
          </w:p>
        </w:tc>
        <w:tc>
          <w:tcPr>
            <w:tcW w:w="2962" w:type="dxa"/>
          </w:tcPr>
          <w:p w14:paraId="4A3E019E" w14:textId="77777777" w:rsidR="00DD2050" w:rsidRDefault="00DD2050" w:rsidP="00CD363C">
            <w:pPr>
              <w:pStyle w:val="TableParagraph"/>
              <w:ind w:left="105" w:right="-142"/>
              <w:jc w:val="both"/>
              <w:rPr>
                <w:sz w:val="20"/>
              </w:rPr>
            </w:pPr>
            <w:r>
              <w:rPr>
                <w:sz w:val="20"/>
              </w:rPr>
              <w:t>K Saistības</w:t>
            </w:r>
          </w:p>
        </w:tc>
        <w:tc>
          <w:tcPr>
            <w:tcW w:w="1152" w:type="dxa"/>
          </w:tcPr>
          <w:p w14:paraId="47D0E151" w14:textId="77777777" w:rsidR="00DD2050" w:rsidRDefault="00DD2050" w:rsidP="00CD363C">
            <w:pPr>
              <w:pStyle w:val="TableParagraph"/>
              <w:ind w:left="94" w:right="-142"/>
              <w:jc w:val="both"/>
              <w:rPr>
                <w:sz w:val="20"/>
              </w:rPr>
            </w:pPr>
            <w:r>
              <w:rPr>
                <w:sz w:val="20"/>
              </w:rPr>
              <w:t>5910</w:t>
            </w:r>
          </w:p>
        </w:tc>
        <w:tc>
          <w:tcPr>
            <w:tcW w:w="3288" w:type="dxa"/>
          </w:tcPr>
          <w:p w14:paraId="3360AEE0" w14:textId="77777777" w:rsidR="00DD2050" w:rsidRDefault="00DD2050" w:rsidP="00CD363C">
            <w:pPr>
              <w:pStyle w:val="TableParagraph"/>
              <w:ind w:left="106" w:right="-142"/>
              <w:jc w:val="both"/>
              <w:rPr>
                <w:sz w:val="20"/>
              </w:rPr>
            </w:pPr>
            <w:r>
              <w:rPr>
                <w:sz w:val="20"/>
              </w:rPr>
              <w:t>Nākamo periodu ieņēmumi un</w:t>
            </w:r>
          </w:p>
          <w:p w14:paraId="1F21A809" w14:textId="77777777" w:rsidR="00DD2050" w:rsidRDefault="00DD2050" w:rsidP="00CD363C">
            <w:pPr>
              <w:pStyle w:val="TableParagraph"/>
              <w:ind w:left="106" w:right="-142"/>
              <w:jc w:val="both"/>
              <w:rPr>
                <w:sz w:val="20"/>
              </w:rPr>
            </w:pPr>
            <w:r>
              <w:rPr>
                <w:sz w:val="20"/>
              </w:rPr>
              <w:t>saņemtie avansi</w:t>
            </w:r>
          </w:p>
        </w:tc>
        <w:tc>
          <w:tcPr>
            <w:tcW w:w="1406" w:type="dxa"/>
          </w:tcPr>
          <w:p w14:paraId="693820E2" w14:textId="77777777" w:rsidR="00DD2050" w:rsidRDefault="00DD2050" w:rsidP="00CD363C">
            <w:pPr>
              <w:pStyle w:val="TableParagraph"/>
              <w:ind w:right="-142"/>
              <w:jc w:val="both"/>
              <w:rPr>
                <w:sz w:val="20"/>
              </w:rPr>
            </w:pPr>
            <w:r>
              <w:rPr>
                <w:sz w:val="20"/>
              </w:rPr>
              <w:t>72 500,00</w:t>
            </w:r>
          </w:p>
        </w:tc>
      </w:tr>
      <w:tr w:rsidR="00DD2050" w14:paraId="5F0BC4AC" w14:textId="77777777" w:rsidTr="00DD2050">
        <w:trPr>
          <w:trHeight w:val="254"/>
        </w:trPr>
        <w:tc>
          <w:tcPr>
            <w:tcW w:w="818" w:type="dxa"/>
            <w:vMerge w:val="restart"/>
          </w:tcPr>
          <w:p w14:paraId="583DDC20" w14:textId="77777777" w:rsidR="00DD2050" w:rsidRDefault="00DD2050" w:rsidP="00CD363C">
            <w:pPr>
              <w:pStyle w:val="TableParagraph"/>
              <w:ind w:right="-142"/>
              <w:jc w:val="both"/>
              <w:rPr>
                <w:i/>
                <w:sz w:val="19"/>
              </w:rPr>
            </w:pPr>
          </w:p>
          <w:p w14:paraId="58329C2D" w14:textId="77777777" w:rsidR="00DD2050" w:rsidRDefault="00DD2050" w:rsidP="00CD363C">
            <w:pPr>
              <w:pStyle w:val="TableParagraph"/>
              <w:ind w:left="262" w:right="-142"/>
              <w:jc w:val="both"/>
              <w:rPr>
                <w:b/>
                <w:sz w:val="20"/>
              </w:rPr>
            </w:pPr>
            <w:r>
              <w:rPr>
                <w:b/>
                <w:sz w:val="20"/>
              </w:rPr>
              <w:t>10</w:t>
            </w:r>
          </w:p>
        </w:tc>
        <w:tc>
          <w:tcPr>
            <w:tcW w:w="8808" w:type="dxa"/>
            <w:gridSpan w:val="4"/>
          </w:tcPr>
          <w:p w14:paraId="289E6169" w14:textId="77777777" w:rsidR="00DD2050" w:rsidRDefault="00DD2050" w:rsidP="00CD363C">
            <w:pPr>
              <w:pStyle w:val="TableParagraph"/>
              <w:ind w:left="105" w:right="-142"/>
              <w:jc w:val="both"/>
              <w:rPr>
                <w:b/>
                <w:sz w:val="20"/>
              </w:rPr>
            </w:pPr>
            <w:r>
              <w:rPr>
                <w:b/>
                <w:sz w:val="20"/>
              </w:rPr>
              <w:t>Maksājuma veikšana</w:t>
            </w:r>
          </w:p>
        </w:tc>
      </w:tr>
      <w:tr w:rsidR="00DD2050" w14:paraId="25523BC4" w14:textId="77777777" w:rsidTr="00DD2050">
        <w:trPr>
          <w:trHeight w:val="460"/>
        </w:trPr>
        <w:tc>
          <w:tcPr>
            <w:tcW w:w="818" w:type="dxa"/>
            <w:vMerge/>
            <w:tcBorders>
              <w:top w:val="nil"/>
            </w:tcBorders>
          </w:tcPr>
          <w:p w14:paraId="6184D7EB" w14:textId="77777777" w:rsidR="00DD2050" w:rsidRDefault="00DD2050" w:rsidP="00CD363C">
            <w:pPr>
              <w:spacing w:after="0" w:line="240" w:lineRule="auto"/>
              <w:ind w:right="-142"/>
              <w:jc w:val="both"/>
              <w:rPr>
                <w:sz w:val="2"/>
                <w:szCs w:val="2"/>
              </w:rPr>
            </w:pPr>
          </w:p>
        </w:tc>
        <w:tc>
          <w:tcPr>
            <w:tcW w:w="2962" w:type="dxa"/>
          </w:tcPr>
          <w:p w14:paraId="405C3F9E" w14:textId="77777777" w:rsidR="00DD2050" w:rsidRDefault="00DD2050" w:rsidP="00CD363C">
            <w:pPr>
              <w:pStyle w:val="TableParagraph"/>
              <w:ind w:left="105" w:right="-142"/>
              <w:jc w:val="both"/>
              <w:rPr>
                <w:sz w:val="20"/>
              </w:rPr>
            </w:pPr>
            <w:r>
              <w:rPr>
                <w:sz w:val="20"/>
              </w:rPr>
              <w:t>D Finanšu saistības</w:t>
            </w:r>
          </w:p>
        </w:tc>
        <w:tc>
          <w:tcPr>
            <w:tcW w:w="1152" w:type="dxa"/>
          </w:tcPr>
          <w:p w14:paraId="2E0163CC" w14:textId="77777777" w:rsidR="00DD2050" w:rsidRDefault="00DD2050" w:rsidP="00CD363C">
            <w:pPr>
              <w:pStyle w:val="TableParagraph"/>
              <w:ind w:left="94" w:right="-142"/>
              <w:jc w:val="both"/>
              <w:rPr>
                <w:sz w:val="20"/>
              </w:rPr>
            </w:pPr>
            <w:r>
              <w:rPr>
                <w:sz w:val="20"/>
              </w:rPr>
              <w:t>5310</w:t>
            </w:r>
          </w:p>
        </w:tc>
        <w:tc>
          <w:tcPr>
            <w:tcW w:w="3288" w:type="dxa"/>
          </w:tcPr>
          <w:p w14:paraId="065E42F5" w14:textId="77777777" w:rsidR="00DD2050" w:rsidRDefault="00DD2050" w:rsidP="00CD363C">
            <w:pPr>
              <w:pStyle w:val="TableParagraph"/>
              <w:ind w:left="106" w:right="-142"/>
              <w:jc w:val="both"/>
              <w:rPr>
                <w:sz w:val="20"/>
              </w:rPr>
            </w:pPr>
            <w:r>
              <w:rPr>
                <w:sz w:val="20"/>
              </w:rPr>
              <w:t>Īstermiņa saistības pret piegādātājiem</w:t>
            </w:r>
          </w:p>
          <w:p w14:paraId="693B6D2B" w14:textId="77777777" w:rsidR="00DD2050" w:rsidRDefault="00DD2050" w:rsidP="00CD363C">
            <w:pPr>
              <w:pStyle w:val="TableParagraph"/>
              <w:ind w:left="106" w:right="-142"/>
              <w:jc w:val="both"/>
              <w:rPr>
                <w:sz w:val="20"/>
              </w:rPr>
            </w:pPr>
            <w:r>
              <w:rPr>
                <w:sz w:val="20"/>
              </w:rPr>
              <w:t>un darbuzņēmējiem</w:t>
            </w:r>
          </w:p>
        </w:tc>
        <w:tc>
          <w:tcPr>
            <w:tcW w:w="1406" w:type="dxa"/>
          </w:tcPr>
          <w:p w14:paraId="27D8055B" w14:textId="77777777" w:rsidR="00DD2050" w:rsidRDefault="00DD2050" w:rsidP="00CD363C">
            <w:pPr>
              <w:pStyle w:val="TableParagraph"/>
              <w:ind w:right="-142"/>
              <w:jc w:val="both"/>
              <w:rPr>
                <w:sz w:val="20"/>
              </w:rPr>
            </w:pPr>
            <w:r>
              <w:rPr>
                <w:sz w:val="20"/>
              </w:rPr>
              <w:t>100 000,00</w:t>
            </w:r>
          </w:p>
        </w:tc>
      </w:tr>
      <w:tr w:rsidR="00DD2050" w14:paraId="1707DE55" w14:textId="77777777" w:rsidTr="00DD2050">
        <w:trPr>
          <w:trHeight w:val="254"/>
        </w:trPr>
        <w:tc>
          <w:tcPr>
            <w:tcW w:w="818" w:type="dxa"/>
            <w:vMerge/>
            <w:tcBorders>
              <w:top w:val="nil"/>
            </w:tcBorders>
          </w:tcPr>
          <w:p w14:paraId="5ECBA186" w14:textId="77777777" w:rsidR="00DD2050" w:rsidRDefault="00DD2050" w:rsidP="00CD363C">
            <w:pPr>
              <w:spacing w:after="0" w:line="240" w:lineRule="auto"/>
              <w:ind w:right="-142"/>
              <w:jc w:val="both"/>
              <w:rPr>
                <w:sz w:val="2"/>
                <w:szCs w:val="2"/>
              </w:rPr>
            </w:pPr>
          </w:p>
        </w:tc>
        <w:tc>
          <w:tcPr>
            <w:tcW w:w="2962" w:type="dxa"/>
          </w:tcPr>
          <w:p w14:paraId="45006AEB" w14:textId="77777777" w:rsidR="00DD2050" w:rsidRDefault="00DD2050" w:rsidP="00CD363C">
            <w:pPr>
              <w:pStyle w:val="TableParagraph"/>
              <w:ind w:left="105" w:right="-142"/>
              <w:jc w:val="both"/>
              <w:rPr>
                <w:sz w:val="20"/>
              </w:rPr>
            </w:pPr>
            <w:r>
              <w:rPr>
                <w:sz w:val="20"/>
              </w:rPr>
              <w:t>K Nauda</w:t>
            </w:r>
          </w:p>
        </w:tc>
        <w:tc>
          <w:tcPr>
            <w:tcW w:w="1152" w:type="dxa"/>
          </w:tcPr>
          <w:p w14:paraId="3C12A006" w14:textId="77777777" w:rsidR="00DD2050" w:rsidRDefault="00DD2050" w:rsidP="00CD363C">
            <w:pPr>
              <w:pStyle w:val="TableParagraph"/>
              <w:ind w:left="94" w:right="-142"/>
              <w:jc w:val="both"/>
              <w:rPr>
                <w:sz w:val="20"/>
              </w:rPr>
            </w:pPr>
            <w:r>
              <w:rPr>
                <w:sz w:val="20"/>
              </w:rPr>
              <w:t>2600</w:t>
            </w:r>
          </w:p>
        </w:tc>
        <w:tc>
          <w:tcPr>
            <w:tcW w:w="3288" w:type="dxa"/>
          </w:tcPr>
          <w:p w14:paraId="3191DA2D" w14:textId="77777777" w:rsidR="00DD2050" w:rsidRDefault="00DD2050" w:rsidP="00CD363C">
            <w:pPr>
              <w:pStyle w:val="TableParagraph"/>
              <w:ind w:left="106" w:right="-142"/>
              <w:jc w:val="both"/>
              <w:rPr>
                <w:sz w:val="20"/>
              </w:rPr>
            </w:pPr>
            <w:r>
              <w:rPr>
                <w:sz w:val="20"/>
              </w:rPr>
              <w:t>Naudas līdzekļi</w:t>
            </w:r>
          </w:p>
        </w:tc>
        <w:tc>
          <w:tcPr>
            <w:tcW w:w="1406" w:type="dxa"/>
          </w:tcPr>
          <w:p w14:paraId="436BBB93" w14:textId="77777777" w:rsidR="00DD2050" w:rsidRDefault="00DD2050" w:rsidP="00CD363C">
            <w:pPr>
              <w:pStyle w:val="TableParagraph"/>
              <w:ind w:right="-142"/>
              <w:jc w:val="both"/>
              <w:rPr>
                <w:sz w:val="20"/>
              </w:rPr>
            </w:pPr>
            <w:r>
              <w:rPr>
                <w:sz w:val="20"/>
              </w:rPr>
              <w:t>100 000,00</w:t>
            </w:r>
          </w:p>
        </w:tc>
      </w:tr>
      <w:tr w:rsidR="00DD2050" w14:paraId="5B29A2EE" w14:textId="77777777" w:rsidTr="00DD2050">
        <w:trPr>
          <w:trHeight w:val="256"/>
        </w:trPr>
        <w:tc>
          <w:tcPr>
            <w:tcW w:w="818" w:type="dxa"/>
            <w:vMerge/>
            <w:tcBorders>
              <w:top w:val="nil"/>
            </w:tcBorders>
          </w:tcPr>
          <w:p w14:paraId="23E913E2" w14:textId="77777777" w:rsidR="00DD2050" w:rsidRDefault="00DD2050" w:rsidP="00CD363C">
            <w:pPr>
              <w:spacing w:after="0" w:line="240" w:lineRule="auto"/>
              <w:ind w:right="-142"/>
              <w:jc w:val="both"/>
              <w:rPr>
                <w:sz w:val="2"/>
                <w:szCs w:val="2"/>
              </w:rPr>
            </w:pPr>
          </w:p>
        </w:tc>
        <w:tc>
          <w:tcPr>
            <w:tcW w:w="8808" w:type="dxa"/>
            <w:gridSpan w:val="4"/>
          </w:tcPr>
          <w:p w14:paraId="3FAC9700" w14:textId="77777777" w:rsidR="00DD2050" w:rsidRDefault="00DD2050" w:rsidP="00CD363C">
            <w:pPr>
              <w:pStyle w:val="TableParagraph"/>
              <w:ind w:left="105" w:right="-142"/>
              <w:jc w:val="both"/>
              <w:rPr>
                <w:b/>
                <w:sz w:val="20"/>
              </w:rPr>
            </w:pPr>
            <w:r>
              <w:rPr>
                <w:b/>
                <w:sz w:val="20"/>
              </w:rPr>
              <w:t>Procentu izdevumi</w:t>
            </w:r>
          </w:p>
        </w:tc>
      </w:tr>
      <w:tr w:rsidR="00DD2050" w14:paraId="5527FC53" w14:textId="77777777" w:rsidTr="00DD2050">
        <w:trPr>
          <w:trHeight w:val="253"/>
        </w:trPr>
        <w:tc>
          <w:tcPr>
            <w:tcW w:w="818" w:type="dxa"/>
            <w:vMerge/>
            <w:tcBorders>
              <w:top w:val="nil"/>
            </w:tcBorders>
          </w:tcPr>
          <w:p w14:paraId="675C6CAF" w14:textId="77777777" w:rsidR="00DD2050" w:rsidRDefault="00DD2050" w:rsidP="00CD363C">
            <w:pPr>
              <w:spacing w:after="0" w:line="240" w:lineRule="auto"/>
              <w:ind w:right="-142"/>
              <w:jc w:val="both"/>
              <w:rPr>
                <w:sz w:val="2"/>
                <w:szCs w:val="2"/>
              </w:rPr>
            </w:pPr>
          </w:p>
        </w:tc>
        <w:tc>
          <w:tcPr>
            <w:tcW w:w="2962" w:type="dxa"/>
          </w:tcPr>
          <w:p w14:paraId="5FC268D0" w14:textId="77777777" w:rsidR="00DD2050" w:rsidRDefault="00DD2050" w:rsidP="00CD363C">
            <w:pPr>
              <w:pStyle w:val="TableParagraph"/>
              <w:ind w:left="105" w:right="-142"/>
              <w:jc w:val="both"/>
              <w:rPr>
                <w:sz w:val="20"/>
              </w:rPr>
            </w:pPr>
            <w:r>
              <w:rPr>
                <w:sz w:val="20"/>
              </w:rPr>
              <w:t>D Procentu izdevumi</w:t>
            </w:r>
          </w:p>
        </w:tc>
        <w:tc>
          <w:tcPr>
            <w:tcW w:w="1152" w:type="dxa"/>
          </w:tcPr>
          <w:p w14:paraId="403BDB57" w14:textId="77777777" w:rsidR="00DD2050" w:rsidRDefault="00DD2050" w:rsidP="00CD363C">
            <w:pPr>
              <w:pStyle w:val="TableParagraph"/>
              <w:ind w:left="94" w:right="-142"/>
              <w:jc w:val="both"/>
              <w:rPr>
                <w:sz w:val="20"/>
              </w:rPr>
            </w:pPr>
            <w:r>
              <w:rPr>
                <w:sz w:val="20"/>
              </w:rPr>
              <w:t>8220</w:t>
            </w:r>
          </w:p>
        </w:tc>
        <w:tc>
          <w:tcPr>
            <w:tcW w:w="3288" w:type="dxa"/>
          </w:tcPr>
          <w:p w14:paraId="535A6209" w14:textId="77777777" w:rsidR="00DD2050" w:rsidRDefault="00DD2050" w:rsidP="00CD363C">
            <w:pPr>
              <w:pStyle w:val="TableParagraph"/>
              <w:ind w:left="106" w:right="-142"/>
              <w:jc w:val="both"/>
              <w:rPr>
                <w:sz w:val="20"/>
              </w:rPr>
            </w:pPr>
            <w:r>
              <w:rPr>
                <w:sz w:val="20"/>
              </w:rPr>
              <w:t>Procentu izdevumi</w:t>
            </w:r>
          </w:p>
        </w:tc>
        <w:tc>
          <w:tcPr>
            <w:tcW w:w="1406" w:type="dxa"/>
          </w:tcPr>
          <w:p w14:paraId="4D6FCD68" w14:textId="77777777" w:rsidR="00DD2050" w:rsidRDefault="00DD2050" w:rsidP="00CD363C">
            <w:pPr>
              <w:pStyle w:val="TableParagraph"/>
              <w:ind w:right="-142"/>
              <w:jc w:val="both"/>
              <w:rPr>
                <w:sz w:val="20"/>
              </w:rPr>
            </w:pPr>
            <w:r>
              <w:rPr>
                <w:sz w:val="20"/>
              </w:rPr>
              <w:t>5 470,45</w:t>
            </w:r>
          </w:p>
        </w:tc>
      </w:tr>
      <w:tr w:rsidR="00DD2050" w14:paraId="6AA65865" w14:textId="77777777" w:rsidTr="00DD2050">
        <w:trPr>
          <w:trHeight w:val="256"/>
        </w:trPr>
        <w:tc>
          <w:tcPr>
            <w:tcW w:w="818" w:type="dxa"/>
            <w:vMerge/>
            <w:tcBorders>
              <w:top w:val="nil"/>
            </w:tcBorders>
          </w:tcPr>
          <w:p w14:paraId="7A07EB6B" w14:textId="77777777" w:rsidR="00DD2050" w:rsidRDefault="00DD2050" w:rsidP="00CD363C">
            <w:pPr>
              <w:spacing w:after="0" w:line="240" w:lineRule="auto"/>
              <w:ind w:right="-142"/>
              <w:jc w:val="both"/>
              <w:rPr>
                <w:sz w:val="2"/>
                <w:szCs w:val="2"/>
              </w:rPr>
            </w:pPr>
          </w:p>
        </w:tc>
        <w:tc>
          <w:tcPr>
            <w:tcW w:w="2962" w:type="dxa"/>
          </w:tcPr>
          <w:p w14:paraId="1CDF5DF6" w14:textId="77777777" w:rsidR="00DD2050" w:rsidRDefault="00DD2050" w:rsidP="00CD363C">
            <w:pPr>
              <w:pStyle w:val="TableParagraph"/>
              <w:ind w:left="105" w:right="-142"/>
              <w:jc w:val="both"/>
              <w:rPr>
                <w:sz w:val="20"/>
              </w:rPr>
            </w:pPr>
            <w:r>
              <w:rPr>
                <w:sz w:val="20"/>
              </w:rPr>
              <w:t>D Pakalpojuma izmaksas</w:t>
            </w:r>
          </w:p>
        </w:tc>
        <w:tc>
          <w:tcPr>
            <w:tcW w:w="1152" w:type="dxa"/>
          </w:tcPr>
          <w:p w14:paraId="40246409" w14:textId="77777777" w:rsidR="00DD2050" w:rsidRDefault="00DD2050" w:rsidP="00CD363C">
            <w:pPr>
              <w:pStyle w:val="TableParagraph"/>
              <w:ind w:left="94" w:right="-142"/>
              <w:jc w:val="both"/>
              <w:rPr>
                <w:sz w:val="20"/>
              </w:rPr>
            </w:pPr>
            <w:r>
              <w:rPr>
                <w:sz w:val="20"/>
              </w:rPr>
              <w:t>7000</w:t>
            </w:r>
          </w:p>
        </w:tc>
        <w:tc>
          <w:tcPr>
            <w:tcW w:w="3288" w:type="dxa"/>
          </w:tcPr>
          <w:p w14:paraId="4F1E738D" w14:textId="77777777" w:rsidR="00DD2050" w:rsidRDefault="00DD2050" w:rsidP="00CD363C">
            <w:pPr>
              <w:pStyle w:val="TableParagraph"/>
              <w:ind w:left="106" w:right="-142"/>
              <w:jc w:val="both"/>
              <w:rPr>
                <w:sz w:val="20"/>
              </w:rPr>
            </w:pPr>
            <w:r>
              <w:rPr>
                <w:sz w:val="20"/>
              </w:rPr>
              <w:t>Pamatdarbības izdevumi</w:t>
            </w:r>
          </w:p>
        </w:tc>
        <w:tc>
          <w:tcPr>
            <w:tcW w:w="1406" w:type="dxa"/>
          </w:tcPr>
          <w:p w14:paraId="5E43D099" w14:textId="77777777" w:rsidR="00DD2050" w:rsidRDefault="00DD2050" w:rsidP="00CD363C">
            <w:pPr>
              <w:pStyle w:val="TableParagraph"/>
              <w:ind w:right="-142"/>
              <w:jc w:val="both"/>
              <w:rPr>
                <w:sz w:val="20"/>
              </w:rPr>
            </w:pPr>
            <w:r>
              <w:rPr>
                <w:sz w:val="20"/>
              </w:rPr>
              <w:t>6 000,00</w:t>
            </w:r>
          </w:p>
        </w:tc>
      </w:tr>
      <w:tr w:rsidR="00DD2050" w14:paraId="405B7544" w14:textId="77777777" w:rsidTr="00DD2050">
        <w:trPr>
          <w:trHeight w:val="457"/>
        </w:trPr>
        <w:tc>
          <w:tcPr>
            <w:tcW w:w="818" w:type="dxa"/>
            <w:vMerge/>
            <w:tcBorders>
              <w:top w:val="nil"/>
            </w:tcBorders>
          </w:tcPr>
          <w:p w14:paraId="0A99FA3B" w14:textId="77777777" w:rsidR="00DD2050" w:rsidRDefault="00DD2050" w:rsidP="00CD363C">
            <w:pPr>
              <w:spacing w:after="0" w:line="240" w:lineRule="auto"/>
              <w:ind w:right="-142"/>
              <w:jc w:val="both"/>
              <w:rPr>
                <w:sz w:val="2"/>
                <w:szCs w:val="2"/>
              </w:rPr>
            </w:pPr>
          </w:p>
        </w:tc>
        <w:tc>
          <w:tcPr>
            <w:tcW w:w="2962" w:type="dxa"/>
          </w:tcPr>
          <w:p w14:paraId="50214D40" w14:textId="77777777" w:rsidR="00DD2050" w:rsidRDefault="00DD2050" w:rsidP="00CD363C">
            <w:pPr>
              <w:pStyle w:val="TableParagraph"/>
              <w:ind w:left="105" w:right="-142"/>
              <w:jc w:val="both"/>
              <w:rPr>
                <w:sz w:val="20"/>
              </w:rPr>
            </w:pPr>
            <w:r>
              <w:rPr>
                <w:sz w:val="20"/>
              </w:rPr>
              <w:t>K Finanšu saistības</w:t>
            </w:r>
          </w:p>
        </w:tc>
        <w:tc>
          <w:tcPr>
            <w:tcW w:w="1152" w:type="dxa"/>
          </w:tcPr>
          <w:p w14:paraId="289D6359" w14:textId="77777777" w:rsidR="00DD2050" w:rsidRDefault="00DD2050" w:rsidP="00CD363C">
            <w:pPr>
              <w:pStyle w:val="TableParagraph"/>
              <w:ind w:left="94" w:right="-142"/>
              <w:jc w:val="both"/>
              <w:rPr>
                <w:sz w:val="20"/>
              </w:rPr>
            </w:pPr>
            <w:r>
              <w:rPr>
                <w:sz w:val="20"/>
              </w:rPr>
              <w:t>5310</w:t>
            </w:r>
          </w:p>
        </w:tc>
        <w:tc>
          <w:tcPr>
            <w:tcW w:w="3288" w:type="dxa"/>
          </w:tcPr>
          <w:p w14:paraId="38F911AB" w14:textId="77777777" w:rsidR="00DD2050" w:rsidRDefault="00DD2050" w:rsidP="00CD363C">
            <w:pPr>
              <w:pStyle w:val="TableParagraph"/>
              <w:ind w:left="106" w:right="-142"/>
              <w:jc w:val="both"/>
              <w:rPr>
                <w:sz w:val="20"/>
              </w:rPr>
            </w:pPr>
            <w:r>
              <w:rPr>
                <w:sz w:val="20"/>
              </w:rPr>
              <w:t>Īstermiņa saistības pret piegādātājiem</w:t>
            </w:r>
          </w:p>
          <w:p w14:paraId="462799C6" w14:textId="77777777" w:rsidR="00DD2050" w:rsidRDefault="00DD2050" w:rsidP="00CD363C">
            <w:pPr>
              <w:pStyle w:val="TableParagraph"/>
              <w:ind w:left="106" w:right="-142"/>
              <w:jc w:val="both"/>
              <w:rPr>
                <w:sz w:val="20"/>
              </w:rPr>
            </w:pPr>
            <w:r>
              <w:rPr>
                <w:sz w:val="20"/>
              </w:rPr>
              <w:t>un darbuzņēmējiem</w:t>
            </w:r>
          </w:p>
        </w:tc>
        <w:tc>
          <w:tcPr>
            <w:tcW w:w="1406" w:type="dxa"/>
          </w:tcPr>
          <w:p w14:paraId="784313CC" w14:textId="77777777" w:rsidR="00DD2050" w:rsidRDefault="00DD2050" w:rsidP="00CD363C">
            <w:pPr>
              <w:pStyle w:val="TableParagraph"/>
              <w:ind w:right="-142"/>
              <w:jc w:val="both"/>
              <w:rPr>
                <w:sz w:val="20"/>
              </w:rPr>
            </w:pPr>
            <w:r>
              <w:rPr>
                <w:sz w:val="20"/>
              </w:rPr>
              <w:t>11 470,45</w:t>
            </w:r>
          </w:p>
        </w:tc>
      </w:tr>
      <w:tr w:rsidR="00DD2050" w14:paraId="07DA991C" w14:textId="77777777" w:rsidTr="00DD2050">
        <w:trPr>
          <w:trHeight w:val="256"/>
        </w:trPr>
        <w:tc>
          <w:tcPr>
            <w:tcW w:w="818" w:type="dxa"/>
            <w:vMerge/>
            <w:tcBorders>
              <w:top w:val="nil"/>
            </w:tcBorders>
          </w:tcPr>
          <w:p w14:paraId="0FAE8ACC" w14:textId="77777777" w:rsidR="00DD2050" w:rsidRDefault="00DD2050" w:rsidP="00CD363C">
            <w:pPr>
              <w:spacing w:after="0" w:line="240" w:lineRule="auto"/>
              <w:ind w:right="-142"/>
              <w:jc w:val="both"/>
              <w:rPr>
                <w:sz w:val="2"/>
                <w:szCs w:val="2"/>
              </w:rPr>
            </w:pPr>
          </w:p>
        </w:tc>
        <w:tc>
          <w:tcPr>
            <w:tcW w:w="8808" w:type="dxa"/>
            <w:gridSpan w:val="4"/>
          </w:tcPr>
          <w:p w14:paraId="360F6676" w14:textId="77777777" w:rsidR="00DD2050" w:rsidRDefault="00DD2050" w:rsidP="00CD363C">
            <w:pPr>
              <w:pStyle w:val="TableParagraph"/>
              <w:ind w:left="105" w:right="-142"/>
              <w:jc w:val="both"/>
              <w:rPr>
                <w:b/>
                <w:sz w:val="20"/>
              </w:rPr>
            </w:pPr>
            <w:r>
              <w:rPr>
                <w:b/>
                <w:sz w:val="20"/>
              </w:rPr>
              <w:t>Ieņēmumu atzīšana</w:t>
            </w:r>
          </w:p>
        </w:tc>
      </w:tr>
      <w:tr w:rsidR="00DD2050" w14:paraId="2CDBC289" w14:textId="77777777" w:rsidTr="00DD2050">
        <w:trPr>
          <w:trHeight w:val="460"/>
        </w:trPr>
        <w:tc>
          <w:tcPr>
            <w:tcW w:w="818" w:type="dxa"/>
            <w:vMerge/>
            <w:tcBorders>
              <w:top w:val="nil"/>
            </w:tcBorders>
          </w:tcPr>
          <w:p w14:paraId="68306B49" w14:textId="77777777" w:rsidR="00DD2050" w:rsidRDefault="00DD2050" w:rsidP="00CD363C">
            <w:pPr>
              <w:spacing w:after="0" w:line="240" w:lineRule="auto"/>
              <w:ind w:right="-142"/>
              <w:jc w:val="both"/>
              <w:rPr>
                <w:sz w:val="2"/>
                <w:szCs w:val="2"/>
              </w:rPr>
            </w:pPr>
          </w:p>
        </w:tc>
        <w:tc>
          <w:tcPr>
            <w:tcW w:w="2962" w:type="dxa"/>
          </w:tcPr>
          <w:p w14:paraId="2490BE7E" w14:textId="77777777" w:rsidR="00DD2050" w:rsidRDefault="00DD2050" w:rsidP="00CD363C">
            <w:pPr>
              <w:pStyle w:val="TableParagraph"/>
              <w:ind w:left="105" w:right="-142"/>
              <w:jc w:val="both"/>
              <w:rPr>
                <w:sz w:val="20"/>
              </w:rPr>
            </w:pPr>
            <w:r>
              <w:rPr>
                <w:sz w:val="20"/>
              </w:rPr>
              <w:t>D Saistības</w:t>
            </w:r>
          </w:p>
        </w:tc>
        <w:tc>
          <w:tcPr>
            <w:tcW w:w="1152" w:type="dxa"/>
          </w:tcPr>
          <w:p w14:paraId="5FE89B9F" w14:textId="77777777" w:rsidR="00DD2050" w:rsidRDefault="00DD2050" w:rsidP="00CD363C">
            <w:pPr>
              <w:pStyle w:val="TableParagraph"/>
              <w:ind w:left="94" w:right="-142"/>
              <w:jc w:val="both"/>
              <w:rPr>
                <w:sz w:val="20"/>
              </w:rPr>
            </w:pPr>
            <w:r>
              <w:rPr>
                <w:sz w:val="20"/>
              </w:rPr>
              <w:t>5910</w:t>
            </w:r>
          </w:p>
        </w:tc>
        <w:tc>
          <w:tcPr>
            <w:tcW w:w="3288" w:type="dxa"/>
          </w:tcPr>
          <w:p w14:paraId="79A71746" w14:textId="77777777" w:rsidR="00DD2050" w:rsidRDefault="00DD2050" w:rsidP="00CD363C">
            <w:pPr>
              <w:pStyle w:val="TableParagraph"/>
              <w:ind w:left="106" w:right="-142"/>
              <w:jc w:val="both"/>
              <w:rPr>
                <w:sz w:val="20"/>
              </w:rPr>
            </w:pPr>
            <w:r>
              <w:rPr>
                <w:sz w:val="20"/>
              </w:rPr>
              <w:t>Nākamo periodu ieņēmumi un</w:t>
            </w:r>
          </w:p>
          <w:p w14:paraId="1A34C394" w14:textId="77777777" w:rsidR="00DD2050" w:rsidRDefault="00DD2050" w:rsidP="00CD363C">
            <w:pPr>
              <w:pStyle w:val="TableParagraph"/>
              <w:ind w:left="106" w:right="-142"/>
              <w:jc w:val="both"/>
              <w:rPr>
                <w:sz w:val="20"/>
              </w:rPr>
            </w:pPr>
            <w:r>
              <w:rPr>
                <w:sz w:val="20"/>
              </w:rPr>
              <w:t>saņemtie avansi</w:t>
            </w:r>
          </w:p>
        </w:tc>
        <w:tc>
          <w:tcPr>
            <w:tcW w:w="1406" w:type="dxa"/>
          </w:tcPr>
          <w:p w14:paraId="753FD503" w14:textId="77777777" w:rsidR="00DD2050" w:rsidRDefault="00DD2050" w:rsidP="00CD363C">
            <w:pPr>
              <w:pStyle w:val="TableParagraph"/>
              <w:ind w:right="-142"/>
              <w:jc w:val="both"/>
              <w:rPr>
                <w:sz w:val="20"/>
              </w:rPr>
            </w:pPr>
            <w:r>
              <w:rPr>
                <w:sz w:val="20"/>
              </w:rPr>
              <w:t>72 500,00</w:t>
            </w:r>
          </w:p>
        </w:tc>
      </w:tr>
      <w:tr w:rsidR="00DD2050" w14:paraId="575554C6" w14:textId="77777777" w:rsidTr="00DD2050">
        <w:trPr>
          <w:trHeight w:val="254"/>
        </w:trPr>
        <w:tc>
          <w:tcPr>
            <w:tcW w:w="818" w:type="dxa"/>
            <w:vMerge/>
            <w:tcBorders>
              <w:top w:val="nil"/>
            </w:tcBorders>
          </w:tcPr>
          <w:p w14:paraId="05C2D1B9" w14:textId="77777777" w:rsidR="00DD2050" w:rsidRDefault="00DD2050" w:rsidP="00CD363C">
            <w:pPr>
              <w:spacing w:after="0" w:line="240" w:lineRule="auto"/>
              <w:ind w:right="-142"/>
              <w:jc w:val="both"/>
              <w:rPr>
                <w:sz w:val="2"/>
                <w:szCs w:val="2"/>
              </w:rPr>
            </w:pPr>
          </w:p>
        </w:tc>
        <w:tc>
          <w:tcPr>
            <w:tcW w:w="2962" w:type="dxa"/>
          </w:tcPr>
          <w:p w14:paraId="1DF4526B" w14:textId="77777777" w:rsidR="00DD2050" w:rsidRDefault="00DD2050" w:rsidP="00CD363C">
            <w:pPr>
              <w:pStyle w:val="TableParagraph"/>
              <w:ind w:left="105" w:right="-142"/>
              <w:jc w:val="both"/>
              <w:rPr>
                <w:sz w:val="20"/>
              </w:rPr>
            </w:pPr>
            <w:r>
              <w:rPr>
                <w:sz w:val="20"/>
              </w:rPr>
              <w:t>K Ieņēmumi</w:t>
            </w:r>
          </w:p>
        </w:tc>
        <w:tc>
          <w:tcPr>
            <w:tcW w:w="1152" w:type="dxa"/>
          </w:tcPr>
          <w:p w14:paraId="410A8CCA" w14:textId="77777777" w:rsidR="00DD2050" w:rsidRDefault="00DD2050" w:rsidP="00CD363C">
            <w:pPr>
              <w:pStyle w:val="TableParagraph"/>
              <w:ind w:left="94" w:right="-142"/>
              <w:jc w:val="both"/>
              <w:rPr>
                <w:sz w:val="20"/>
              </w:rPr>
            </w:pPr>
            <w:r>
              <w:rPr>
                <w:sz w:val="20"/>
              </w:rPr>
              <w:t>6000</w:t>
            </w:r>
          </w:p>
        </w:tc>
        <w:tc>
          <w:tcPr>
            <w:tcW w:w="3288" w:type="dxa"/>
          </w:tcPr>
          <w:p w14:paraId="4CC80AE2" w14:textId="77777777" w:rsidR="00DD2050" w:rsidRDefault="00DD2050" w:rsidP="00CD363C">
            <w:pPr>
              <w:pStyle w:val="TableParagraph"/>
              <w:ind w:left="106" w:right="-142"/>
              <w:jc w:val="both"/>
              <w:rPr>
                <w:sz w:val="20"/>
              </w:rPr>
            </w:pPr>
            <w:r>
              <w:rPr>
                <w:sz w:val="20"/>
              </w:rPr>
              <w:t>Pamatdarbības ieņēmumi</w:t>
            </w:r>
          </w:p>
        </w:tc>
        <w:tc>
          <w:tcPr>
            <w:tcW w:w="1406" w:type="dxa"/>
          </w:tcPr>
          <w:p w14:paraId="3156505A" w14:textId="77777777" w:rsidR="00DD2050" w:rsidRDefault="00DD2050" w:rsidP="00CD363C">
            <w:pPr>
              <w:pStyle w:val="TableParagraph"/>
              <w:ind w:right="-142"/>
              <w:jc w:val="both"/>
              <w:rPr>
                <w:sz w:val="20"/>
              </w:rPr>
            </w:pPr>
            <w:r>
              <w:rPr>
                <w:sz w:val="20"/>
              </w:rPr>
              <w:t>72 500,00</w:t>
            </w:r>
          </w:p>
        </w:tc>
      </w:tr>
      <w:tr w:rsidR="00DD2050" w14:paraId="24380439" w14:textId="77777777" w:rsidTr="00DD2050">
        <w:trPr>
          <w:trHeight w:val="253"/>
        </w:trPr>
        <w:tc>
          <w:tcPr>
            <w:tcW w:w="818" w:type="dxa"/>
            <w:vMerge/>
            <w:tcBorders>
              <w:top w:val="nil"/>
            </w:tcBorders>
          </w:tcPr>
          <w:p w14:paraId="7FA22617" w14:textId="77777777" w:rsidR="00DD2050" w:rsidRDefault="00DD2050" w:rsidP="00CD363C">
            <w:pPr>
              <w:spacing w:after="0" w:line="240" w:lineRule="auto"/>
              <w:ind w:right="-142"/>
              <w:jc w:val="both"/>
              <w:rPr>
                <w:sz w:val="2"/>
                <w:szCs w:val="2"/>
              </w:rPr>
            </w:pPr>
          </w:p>
        </w:tc>
        <w:tc>
          <w:tcPr>
            <w:tcW w:w="8808" w:type="dxa"/>
            <w:gridSpan w:val="4"/>
          </w:tcPr>
          <w:p w14:paraId="0A9C2B5B" w14:textId="77777777" w:rsidR="00DD2050" w:rsidRDefault="00DD2050" w:rsidP="00CD363C">
            <w:pPr>
              <w:pStyle w:val="TableParagraph"/>
              <w:ind w:left="105" w:right="-142"/>
              <w:jc w:val="both"/>
              <w:rPr>
                <w:b/>
                <w:sz w:val="20"/>
              </w:rPr>
            </w:pPr>
            <w:r>
              <w:rPr>
                <w:b/>
                <w:sz w:val="20"/>
              </w:rPr>
              <w:t>Nolietojuma uzskaite</w:t>
            </w:r>
          </w:p>
        </w:tc>
      </w:tr>
      <w:tr w:rsidR="00DD2050" w14:paraId="24D970E6" w14:textId="77777777" w:rsidTr="00DD2050">
        <w:trPr>
          <w:trHeight w:val="256"/>
        </w:trPr>
        <w:tc>
          <w:tcPr>
            <w:tcW w:w="818" w:type="dxa"/>
            <w:vMerge/>
            <w:tcBorders>
              <w:top w:val="nil"/>
            </w:tcBorders>
          </w:tcPr>
          <w:p w14:paraId="1406C119" w14:textId="77777777" w:rsidR="00DD2050" w:rsidRDefault="00DD2050" w:rsidP="00CD363C">
            <w:pPr>
              <w:spacing w:after="0" w:line="240" w:lineRule="auto"/>
              <w:ind w:right="-142"/>
              <w:jc w:val="both"/>
              <w:rPr>
                <w:sz w:val="2"/>
                <w:szCs w:val="2"/>
              </w:rPr>
            </w:pPr>
          </w:p>
        </w:tc>
        <w:tc>
          <w:tcPr>
            <w:tcW w:w="2962" w:type="dxa"/>
          </w:tcPr>
          <w:p w14:paraId="622A8D02" w14:textId="77777777" w:rsidR="00DD2050" w:rsidRDefault="00DD2050" w:rsidP="00CD363C">
            <w:pPr>
              <w:pStyle w:val="TableParagraph"/>
              <w:ind w:left="105" w:right="-142"/>
              <w:jc w:val="both"/>
              <w:rPr>
                <w:sz w:val="20"/>
              </w:rPr>
            </w:pPr>
            <w:r>
              <w:rPr>
                <w:sz w:val="20"/>
              </w:rPr>
              <w:t>D Nolietojuma izdevumi</w:t>
            </w:r>
          </w:p>
        </w:tc>
        <w:tc>
          <w:tcPr>
            <w:tcW w:w="1152" w:type="dxa"/>
          </w:tcPr>
          <w:p w14:paraId="15707705" w14:textId="77777777" w:rsidR="00DD2050" w:rsidRDefault="00DD2050" w:rsidP="00CD363C">
            <w:pPr>
              <w:pStyle w:val="TableParagraph"/>
              <w:ind w:left="94" w:right="-142"/>
              <w:jc w:val="both"/>
              <w:rPr>
                <w:sz w:val="20"/>
              </w:rPr>
            </w:pPr>
            <w:r>
              <w:rPr>
                <w:sz w:val="20"/>
              </w:rPr>
              <w:t>7000</w:t>
            </w:r>
          </w:p>
        </w:tc>
        <w:tc>
          <w:tcPr>
            <w:tcW w:w="3288" w:type="dxa"/>
          </w:tcPr>
          <w:p w14:paraId="1692C6DF" w14:textId="77777777" w:rsidR="00DD2050" w:rsidRDefault="00DD2050" w:rsidP="00CD363C">
            <w:pPr>
              <w:pStyle w:val="TableParagraph"/>
              <w:ind w:left="106" w:right="-142"/>
              <w:jc w:val="both"/>
              <w:rPr>
                <w:sz w:val="20"/>
              </w:rPr>
            </w:pPr>
            <w:r>
              <w:rPr>
                <w:sz w:val="20"/>
              </w:rPr>
              <w:t>Pamatdarbības izdevumi</w:t>
            </w:r>
          </w:p>
        </w:tc>
        <w:tc>
          <w:tcPr>
            <w:tcW w:w="1406" w:type="dxa"/>
          </w:tcPr>
          <w:p w14:paraId="17E41A80" w14:textId="77777777" w:rsidR="00DD2050" w:rsidRDefault="00DD2050" w:rsidP="00CD363C">
            <w:pPr>
              <w:pStyle w:val="TableParagraph"/>
              <w:ind w:right="-142"/>
              <w:jc w:val="both"/>
              <w:rPr>
                <w:sz w:val="20"/>
              </w:rPr>
            </w:pPr>
            <w:r>
              <w:rPr>
                <w:sz w:val="20"/>
              </w:rPr>
              <w:t>65 333,33</w:t>
            </w:r>
          </w:p>
        </w:tc>
      </w:tr>
      <w:tr w:rsidR="00DD2050" w14:paraId="47731748" w14:textId="77777777" w:rsidTr="00DD2050">
        <w:trPr>
          <w:trHeight w:val="253"/>
        </w:trPr>
        <w:tc>
          <w:tcPr>
            <w:tcW w:w="818" w:type="dxa"/>
            <w:vMerge/>
            <w:tcBorders>
              <w:top w:val="nil"/>
            </w:tcBorders>
          </w:tcPr>
          <w:p w14:paraId="44CCFD93" w14:textId="77777777" w:rsidR="00DD2050" w:rsidRDefault="00DD2050" w:rsidP="00CD363C">
            <w:pPr>
              <w:spacing w:after="0" w:line="240" w:lineRule="auto"/>
              <w:ind w:right="-142"/>
              <w:jc w:val="both"/>
              <w:rPr>
                <w:sz w:val="2"/>
                <w:szCs w:val="2"/>
              </w:rPr>
            </w:pPr>
          </w:p>
        </w:tc>
        <w:tc>
          <w:tcPr>
            <w:tcW w:w="2962" w:type="dxa"/>
          </w:tcPr>
          <w:p w14:paraId="0728B7F6" w14:textId="77777777" w:rsidR="00DD2050" w:rsidRDefault="00DD2050" w:rsidP="00CD363C">
            <w:pPr>
              <w:pStyle w:val="TableParagraph"/>
              <w:ind w:left="105" w:right="-142"/>
              <w:jc w:val="both"/>
              <w:rPr>
                <w:sz w:val="20"/>
              </w:rPr>
            </w:pPr>
            <w:r>
              <w:rPr>
                <w:sz w:val="20"/>
              </w:rPr>
              <w:t>K Uzkrātais nolietojums</w:t>
            </w:r>
          </w:p>
        </w:tc>
        <w:tc>
          <w:tcPr>
            <w:tcW w:w="1152" w:type="dxa"/>
          </w:tcPr>
          <w:p w14:paraId="40261DC0" w14:textId="77777777" w:rsidR="00DD2050" w:rsidRDefault="00DD2050" w:rsidP="00CD363C">
            <w:pPr>
              <w:pStyle w:val="TableParagraph"/>
              <w:ind w:left="94" w:right="-142"/>
              <w:jc w:val="both"/>
              <w:rPr>
                <w:sz w:val="20"/>
              </w:rPr>
            </w:pPr>
            <w:r>
              <w:rPr>
                <w:sz w:val="20"/>
              </w:rPr>
              <w:t>1291</w:t>
            </w:r>
          </w:p>
        </w:tc>
        <w:tc>
          <w:tcPr>
            <w:tcW w:w="3288" w:type="dxa"/>
          </w:tcPr>
          <w:p w14:paraId="1150303C"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4C572D56" w14:textId="77777777" w:rsidR="00DD2050" w:rsidRDefault="00DD2050" w:rsidP="00CD363C">
            <w:pPr>
              <w:pStyle w:val="TableParagraph"/>
              <w:ind w:right="-142"/>
              <w:jc w:val="both"/>
              <w:rPr>
                <w:sz w:val="20"/>
              </w:rPr>
            </w:pPr>
            <w:r>
              <w:rPr>
                <w:sz w:val="20"/>
              </w:rPr>
              <w:t>65 333,33</w:t>
            </w:r>
          </w:p>
        </w:tc>
      </w:tr>
    </w:tbl>
    <w:p w14:paraId="2550F33C" w14:textId="77777777" w:rsidR="00D4205D" w:rsidRPr="008E7CC8" w:rsidRDefault="00D4205D" w:rsidP="00CD363C">
      <w:pPr>
        <w:pStyle w:val="Sarakstarindkopa"/>
        <w:tabs>
          <w:tab w:val="left" w:pos="300"/>
        </w:tabs>
        <w:spacing w:after="0" w:line="240" w:lineRule="auto"/>
        <w:ind w:left="0" w:right="-142" w:hanging="142"/>
        <w:jc w:val="both"/>
        <w:rPr>
          <w:rFonts w:ascii="Times New Roman" w:hAnsi="Times New Roman" w:cs="Times New Roman"/>
          <w:sz w:val="24"/>
          <w:szCs w:val="24"/>
        </w:rPr>
      </w:pPr>
    </w:p>
    <w:p w14:paraId="2D90029D" w14:textId="77777777" w:rsidR="00D4205D" w:rsidRPr="00DD2050" w:rsidRDefault="00DD2050" w:rsidP="00CD363C">
      <w:pPr>
        <w:spacing w:after="0" w:line="240" w:lineRule="auto"/>
        <w:ind w:right="124"/>
        <w:jc w:val="center"/>
        <w:rPr>
          <w:rFonts w:ascii="Times New Roman" w:hAnsi="Times New Roman" w:cs="Times New Roman"/>
          <w:b/>
          <w:bCs/>
          <w:sz w:val="28"/>
          <w:szCs w:val="28"/>
        </w:rPr>
      </w:pPr>
      <w:r w:rsidRPr="00DD2050">
        <w:rPr>
          <w:rFonts w:ascii="Times New Roman" w:hAnsi="Times New Roman" w:cs="Times New Roman"/>
          <w:b/>
          <w:bCs/>
          <w:sz w:val="28"/>
          <w:szCs w:val="28"/>
        </w:rPr>
        <w:t>20. Noma</w:t>
      </w:r>
      <w:r>
        <w:rPr>
          <w:rFonts w:ascii="Times New Roman" w:hAnsi="Times New Roman" w:cs="Times New Roman"/>
          <w:b/>
          <w:bCs/>
          <w:sz w:val="28"/>
          <w:szCs w:val="28"/>
        </w:rPr>
        <w:t>s uzskaite</w:t>
      </w:r>
    </w:p>
    <w:p w14:paraId="08C11542" w14:textId="77777777" w:rsidR="00DD2050" w:rsidRDefault="00DD2050" w:rsidP="00CD363C">
      <w:pPr>
        <w:spacing w:after="0" w:line="240" w:lineRule="auto"/>
        <w:ind w:right="124"/>
        <w:jc w:val="both"/>
        <w:rPr>
          <w:rFonts w:ascii="Times New Roman" w:hAnsi="Times New Roman" w:cs="Times New Roman"/>
          <w:b/>
          <w:bCs/>
          <w:sz w:val="24"/>
          <w:szCs w:val="24"/>
        </w:rPr>
      </w:pPr>
      <w:r w:rsidRPr="00DD2050">
        <w:rPr>
          <w:rFonts w:ascii="Times New Roman" w:hAnsi="Times New Roman" w:cs="Times New Roman"/>
          <w:b/>
          <w:bCs/>
          <w:sz w:val="24"/>
          <w:szCs w:val="24"/>
        </w:rPr>
        <w:t>20.1. Nomas klasifikācija</w:t>
      </w:r>
    </w:p>
    <w:p w14:paraId="72593EBE" w14:textId="77777777" w:rsidR="00DD2050" w:rsidRPr="00591186" w:rsidRDefault="00DD2050" w:rsidP="00CD363C">
      <w:pPr>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838.   Nomu</w:t>
      </w:r>
      <w:r w:rsidRPr="00591186">
        <w:rPr>
          <w:rFonts w:ascii="Times New Roman" w:hAnsi="Times New Roman" w:cs="Times New Roman"/>
          <w:spacing w:val="-14"/>
          <w:sz w:val="24"/>
          <w:szCs w:val="24"/>
        </w:rPr>
        <w:t xml:space="preserve"> </w:t>
      </w:r>
      <w:r w:rsidRPr="00591186">
        <w:rPr>
          <w:rFonts w:ascii="Times New Roman" w:hAnsi="Times New Roman" w:cs="Times New Roman"/>
          <w:sz w:val="24"/>
          <w:szCs w:val="24"/>
        </w:rPr>
        <w:t>klasificē</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atbilstoši</w:t>
      </w:r>
      <w:r w:rsidRPr="00591186">
        <w:rPr>
          <w:rFonts w:ascii="Times New Roman" w:hAnsi="Times New Roman" w:cs="Times New Roman"/>
          <w:spacing w:val="-14"/>
          <w:sz w:val="24"/>
          <w:szCs w:val="24"/>
        </w:rPr>
        <w:t xml:space="preserve"> </w:t>
      </w:r>
      <w:r w:rsidRPr="00591186">
        <w:rPr>
          <w:rFonts w:ascii="Times New Roman" w:hAnsi="Times New Roman" w:cs="Times New Roman"/>
          <w:sz w:val="24"/>
          <w:szCs w:val="24"/>
        </w:rPr>
        <w:t>iznomātā</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aktīva</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īpašuma</w:t>
      </w:r>
      <w:r w:rsidRPr="00591186">
        <w:rPr>
          <w:rFonts w:ascii="Times New Roman" w:hAnsi="Times New Roman" w:cs="Times New Roman"/>
          <w:spacing w:val="-15"/>
          <w:sz w:val="24"/>
          <w:szCs w:val="24"/>
        </w:rPr>
        <w:t xml:space="preserve"> </w:t>
      </w:r>
      <w:r w:rsidRPr="00591186">
        <w:rPr>
          <w:rFonts w:ascii="Times New Roman" w:hAnsi="Times New Roman" w:cs="Times New Roman"/>
          <w:sz w:val="24"/>
          <w:szCs w:val="24"/>
        </w:rPr>
        <w:t>tiesībām</w:t>
      </w:r>
      <w:r w:rsidRPr="00591186">
        <w:rPr>
          <w:rFonts w:ascii="Times New Roman" w:hAnsi="Times New Roman" w:cs="Times New Roman"/>
          <w:spacing w:val="-19"/>
          <w:sz w:val="24"/>
          <w:szCs w:val="24"/>
        </w:rPr>
        <w:t xml:space="preserve"> </w:t>
      </w:r>
      <w:r w:rsidRPr="00591186">
        <w:rPr>
          <w:rFonts w:ascii="Times New Roman" w:hAnsi="Times New Roman" w:cs="Times New Roman"/>
          <w:sz w:val="24"/>
          <w:szCs w:val="24"/>
        </w:rPr>
        <w:t>raksturīgo</w:t>
      </w:r>
      <w:r w:rsidRPr="00591186">
        <w:rPr>
          <w:rFonts w:ascii="Times New Roman" w:hAnsi="Times New Roman" w:cs="Times New Roman"/>
          <w:spacing w:val="-12"/>
          <w:sz w:val="24"/>
          <w:szCs w:val="24"/>
        </w:rPr>
        <w:t xml:space="preserve"> </w:t>
      </w:r>
      <w:r w:rsidRPr="00591186">
        <w:rPr>
          <w:rFonts w:ascii="Times New Roman" w:hAnsi="Times New Roman" w:cs="Times New Roman"/>
          <w:sz w:val="24"/>
          <w:szCs w:val="24"/>
        </w:rPr>
        <w:t>risku</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un</w:t>
      </w:r>
      <w:r w:rsidRPr="00591186">
        <w:rPr>
          <w:rFonts w:ascii="Times New Roman" w:hAnsi="Times New Roman" w:cs="Times New Roman"/>
          <w:spacing w:val="-18"/>
          <w:sz w:val="24"/>
          <w:szCs w:val="24"/>
        </w:rPr>
        <w:t xml:space="preserve"> </w:t>
      </w:r>
      <w:r w:rsidRPr="00591186">
        <w:rPr>
          <w:rFonts w:ascii="Times New Roman" w:hAnsi="Times New Roman" w:cs="Times New Roman"/>
          <w:sz w:val="24"/>
          <w:szCs w:val="24"/>
        </w:rPr>
        <w:t>atlīdzības</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sadalījumam starp iznomātāju un</w:t>
      </w:r>
      <w:r w:rsidRPr="00591186">
        <w:rPr>
          <w:rFonts w:ascii="Times New Roman" w:hAnsi="Times New Roman" w:cs="Times New Roman"/>
          <w:spacing w:val="-1"/>
          <w:sz w:val="24"/>
          <w:szCs w:val="24"/>
        </w:rPr>
        <w:t xml:space="preserve"> </w:t>
      </w:r>
      <w:r w:rsidRPr="00591186">
        <w:rPr>
          <w:rFonts w:ascii="Times New Roman" w:hAnsi="Times New Roman" w:cs="Times New Roman"/>
          <w:sz w:val="24"/>
          <w:szCs w:val="24"/>
        </w:rPr>
        <w:t>nomnieku:</w:t>
      </w:r>
    </w:p>
    <w:p w14:paraId="64C900F2" w14:textId="77777777" w:rsidR="00DD2050" w:rsidRPr="00591186" w:rsidRDefault="00DD2050" w:rsidP="00CD363C">
      <w:pPr>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 xml:space="preserve">838.1.  riski ietver iespējamos dīkstāves vai tehnoloģiskās novecošanās dēļ radītos zaudējumus vai mainīgo </w:t>
      </w:r>
      <w:r w:rsidR="00F97FA7" w:rsidRPr="00591186">
        <w:rPr>
          <w:rFonts w:ascii="Times New Roman" w:hAnsi="Times New Roman" w:cs="Times New Roman"/>
          <w:sz w:val="24"/>
          <w:szCs w:val="24"/>
        </w:rPr>
        <w:t xml:space="preserve">  </w:t>
      </w:r>
      <w:r w:rsidRPr="00591186">
        <w:rPr>
          <w:rFonts w:ascii="Times New Roman" w:hAnsi="Times New Roman" w:cs="Times New Roman"/>
          <w:sz w:val="24"/>
          <w:szCs w:val="24"/>
        </w:rPr>
        <w:t>ekonomisko apstākļu ietekmes radītās iespējamās vērtības izmaiņas</w:t>
      </w:r>
    </w:p>
    <w:p w14:paraId="0E3642EC" w14:textId="77777777" w:rsidR="00DD2050" w:rsidRPr="00591186" w:rsidRDefault="00DD2050" w:rsidP="00CD363C">
      <w:pPr>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 xml:space="preserve">838.2.   atlīdzība ietver ieguvumu attiecībā uz aktīva saimniecisko labumu nesošām darbībām tā saimnieciskās izmantošanas laikā, kā arī ieņēmumus no aktīva vērtības pieauguma vai aktīva atsavināšanas </w:t>
      </w:r>
      <w:r w:rsidRPr="00C27326">
        <w:rPr>
          <w:rFonts w:ascii="Times New Roman" w:hAnsi="Times New Roman" w:cs="Times New Roman"/>
          <w:sz w:val="24"/>
          <w:szCs w:val="24"/>
        </w:rPr>
        <w:t xml:space="preserve">nomas termiņa beigās. </w:t>
      </w:r>
      <w:r w:rsidR="00C27326" w:rsidRPr="00C27326">
        <w:rPr>
          <w:rFonts w:ascii="Times New Roman" w:hAnsi="Times New Roman" w:cs="Times New Roman"/>
          <w:sz w:val="24"/>
          <w:szCs w:val="24"/>
        </w:rPr>
        <w:t>20.5</w:t>
      </w:r>
      <w:r w:rsidRPr="00C27326">
        <w:rPr>
          <w:rFonts w:ascii="Times New Roman" w:hAnsi="Times New Roman" w:cs="Times New Roman"/>
          <w:sz w:val="24"/>
          <w:szCs w:val="24"/>
        </w:rPr>
        <w:t xml:space="preserve">.apakšnodaļā </w:t>
      </w:r>
      <w:r w:rsidRPr="00C27326">
        <w:rPr>
          <w:rFonts w:ascii="Times New Roman" w:hAnsi="Times New Roman" w:cs="Times New Roman"/>
          <w:color w:val="0462C1"/>
          <w:sz w:val="24"/>
          <w:szCs w:val="24"/>
          <w:u w:val="single" w:color="0462C1"/>
        </w:rPr>
        <w:t>“</w:t>
      </w:r>
      <w:hyperlink w:anchor="_bookmark324" w:history="1">
        <w:r w:rsidR="00C27326">
          <w:rPr>
            <w:rFonts w:ascii="Times New Roman" w:hAnsi="Times New Roman" w:cs="Times New Roman"/>
            <w:color w:val="0462C1"/>
            <w:sz w:val="24"/>
            <w:szCs w:val="24"/>
            <w:u w:val="single" w:color="0462C1"/>
          </w:rPr>
          <w:t>20.5.1</w:t>
        </w:r>
        <w:r w:rsidRPr="00591186">
          <w:rPr>
            <w:rFonts w:ascii="Times New Roman" w:hAnsi="Times New Roman" w:cs="Times New Roman"/>
            <w:color w:val="0462C1"/>
            <w:sz w:val="24"/>
            <w:szCs w:val="24"/>
            <w:u w:val="single" w:color="0462C1"/>
          </w:rPr>
          <w:t>. Piemērs - Atšķirība starp lietderīgās</w:t>
        </w:r>
      </w:hyperlink>
      <w:r w:rsidRPr="00591186">
        <w:rPr>
          <w:rFonts w:ascii="Times New Roman" w:hAnsi="Times New Roman" w:cs="Times New Roman"/>
          <w:color w:val="0462C1"/>
          <w:sz w:val="24"/>
          <w:szCs w:val="24"/>
        </w:rPr>
        <w:t xml:space="preserve"> </w:t>
      </w:r>
      <w:hyperlink w:anchor="_bookmark324" w:history="1">
        <w:r w:rsidRPr="00591186">
          <w:rPr>
            <w:rFonts w:ascii="Times New Roman" w:hAnsi="Times New Roman" w:cs="Times New Roman"/>
            <w:color w:val="0462C1"/>
            <w:sz w:val="24"/>
            <w:szCs w:val="24"/>
            <w:u w:val="single" w:color="0462C1"/>
          </w:rPr>
          <w:t>lietošanas laiku un saimnieciskās izmantošanas laiku</w:t>
        </w:r>
      </w:hyperlink>
      <w:r w:rsidRPr="00591186">
        <w:rPr>
          <w:rFonts w:ascii="Times New Roman" w:hAnsi="Times New Roman" w:cs="Times New Roman"/>
          <w:color w:val="0462C1"/>
          <w:sz w:val="24"/>
          <w:szCs w:val="24"/>
          <w:u w:val="single" w:color="0462C1"/>
        </w:rPr>
        <w:t>”</w:t>
      </w:r>
      <w:r w:rsidRPr="00591186">
        <w:rPr>
          <w:rFonts w:ascii="Times New Roman" w:hAnsi="Times New Roman" w:cs="Times New Roman"/>
          <w:color w:val="0462C1"/>
          <w:sz w:val="24"/>
          <w:szCs w:val="24"/>
        </w:rPr>
        <w:t xml:space="preserve"> </w:t>
      </w:r>
      <w:r w:rsidRPr="00591186">
        <w:rPr>
          <w:rFonts w:ascii="Times New Roman" w:hAnsi="Times New Roman" w:cs="Times New Roman"/>
          <w:sz w:val="24"/>
          <w:szCs w:val="24"/>
        </w:rPr>
        <w:t>sniegts skaidrojums atšķirībai starp lietderīgās lietošanas laiku un saimnieciskās izmantošanas laiku.</w:t>
      </w:r>
    </w:p>
    <w:p w14:paraId="52B206A4" w14:textId="77777777" w:rsidR="00F97FA7" w:rsidRPr="00591186" w:rsidRDefault="00F97FA7" w:rsidP="00CD363C">
      <w:pPr>
        <w:widowControl w:val="0"/>
        <w:tabs>
          <w:tab w:val="left" w:pos="898"/>
        </w:tabs>
        <w:autoSpaceDE w:val="0"/>
        <w:autoSpaceDN w:val="0"/>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839.  Nomu</w:t>
      </w:r>
      <w:r w:rsidRPr="00591186">
        <w:rPr>
          <w:rFonts w:ascii="Times New Roman" w:hAnsi="Times New Roman" w:cs="Times New Roman"/>
          <w:spacing w:val="-2"/>
          <w:sz w:val="24"/>
          <w:szCs w:val="24"/>
        </w:rPr>
        <w:t xml:space="preserve"> </w:t>
      </w:r>
      <w:r w:rsidRPr="00591186">
        <w:rPr>
          <w:rFonts w:ascii="Times New Roman" w:hAnsi="Times New Roman" w:cs="Times New Roman"/>
          <w:sz w:val="24"/>
          <w:szCs w:val="24"/>
        </w:rPr>
        <w:t>klasificē</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nomas</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uzsākšanas</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datumā</w:t>
      </w:r>
      <w:r w:rsidRPr="00591186">
        <w:rPr>
          <w:rFonts w:ascii="Times New Roman" w:hAnsi="Times New Roman" w:cs="Times New Roman"/>
          <w:spacing w:val="-2"/>
          <w:sz w:val="24"/>
          <w:szCs w:val="24"/>
        </w:rPr>
        <w:t xml:space="preserve"> </w:t>
      </w:r>
      <w:r w:rsidRPr="00591186">
        <w:rPr>
          <w:rFonts w:ascii="Times New Roman" w:hAnsi="Times New Roman" w:cs="Times New Roman"/>
          <w:sz w:val="24"/>
          <w:szCs w:val="24"/>
        </w:rPr>
        <w:t>–</w:t>
      </w:r>
      <w:r w:rsidRPr="00591186">
        <w:rPr>
          <w:rFonts w:ascii="Times New Roman" w:hAnsi="Times New Roman" w:cs="Times New Roman"/>
          <w:spacing w:val="-5"/>
          <w:sz w:val="24"/>
          <w:szCs w:val="24"/>
        </w:rPr>
        <w:t xml:space="preserve"> </w:t>
      </w:r>
      <w:r w:rsidRPr="00591186">
        <w:rPr>
          <w:rFonts w:ascii="Times New Roman" w:hAnsi="Times New Roman" w:cs="Times New Roman"/>
          <w:sz w:val="24"/>
          <w:szCs w:val="24"/>
        </w:rPr>
        <w:t>nomas</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līguma</w:t>
      </w:r>
      <w:r w:rsidRPr="00591186">
        <w:rPr>
          <w:rFonts w:ascii="Times New Roman" w:hAnsi="Times New Roman" w:cs="Times New Roman"/>
          <w:spacing w:val="-2"/>
          <w:sz w:val="24"/>
          <w:szCs w:val="24"/>
        </w:rPr>
        <w:t xml:space="preserve"> </w:t>
      </w:r>
      <w:r w:rsidRPr="00591186">
        <w:rPr>
          <w:rFonts w:ascii="Times New Roman" w:hAnsi="Times New Roman" w:cs="Times New Roman"/>
          <w:sz w:val="24"/>
          <w:szCs w:val="24"/>
        </w:rPr>
        <w:t>vai</w:t>
      </w:r>
      <w:r w:rsidRPr="00591186">
        <w:rPr>
          <w:rFonts w:ascii="Times New Roman" w:hAnsi="Times New Roman" w:cs="Times New Roman"/>
          <w:spacing w:val="-3"/>
          <w:sz w:val="24"/>
          <w:szCs w:val="24"/>
        </w:rPr>
        <w:t xml:space="preserve"> </w:t>
      </w:r>
      <w:r w:rsidRPr="00591186">
        <w:rPr>
          <w:rFonts w:ascii="Times New Roman" w:hAnsi="Times New Roman" w:cs="Times New Roman"/>
          <w:sz w:val="24"/>
          <w:szCs w:val="24"/>
        </w:rPr>
        <w:t>cita</w:t>
      </w:r>
      <w:r w:rsidRPr="00591186">
        <w:rPr>
          <w:rFonts w:ascii="Times New Roman" w:hAnsi="Times New Roman" w:cs="Times New Roman"/>
          <w:spacing w:val="-7"/>
          <w:sz w:val="24"/>
          <w:szCs w:val="24"/>
        </w:rPr>
        <w:t xml:space="preserve"> </w:t>
      </w:r>
      <w:r w:rsidRPr="00591186">
        <w:rPr>
          <w:rFonts w:ascii="Times New Roman" w:hAnsi="Times New Roman" w:cs="Times New Roman"/>
          <w:sz w:val="24"/>
          <w:szCs w:val="24"/>
        </w:rPr>
        <w:t>tiesību</w:t>
      </w:r>
      <w:r w:rsidRPr="00591186">
        <w:rPr>
          <w:rFonts w:ascii="Times New Roman" w:hAnsi="Times New Roman" w:cs="Times New Roman"/>
          <w:spacing w:val="-5"/>
          <w:sz w:val="24"/>
          <w:szCs w:val="24"/>
        </w:rPr>
        <w:t xml:space="preserve"> </w:t>
      </w:r>
      <w:r w:rsidRPr="00591186">
        <w:rPr>
          <w:rFonts w:ascii="Times New Roman" w:hAnsi="Times New Roman" w:cs="Times New Roman"/>
          <w:sz w:val="24"/>
          <w:szCs w:val="24"/>
        </w:rPr>
        <w:t>akta</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parakstīšanas</w:t>
      </w:r>
      <w:r w:rsidRPr="00591186">
        <w:rPr>
          <w:rFonts w:ascii="Times New Roman" w:hAnsi="Times New Roman" w:cs="Times New Roman"/>
          <w:spacing w:val="-3"/>
          <w:sz w:val="24"/>
          <w:szCs w:val="24"/>
        </w:rPr>
        <w:t xml:space="preserve"> </w:t>
      </w:r>
      <w:r w:rsidRPr="00591186">
        <w:rPr>
          <w:rFonts w:ascii="Times New Roman" w:hAnsi="Times New Roman" w:cs="Times New Roman"/>
          <w:sz w:val="24"/>
          <w:szCs w:val="24"/>
        </w:rPr>
        <w:t>datumā, ņemot vērā līdz nomas termiņa sākumam veiktos grozījumus līgumā. Šajā datumā nomu klasificē kā operatīvo vai finanšu nomu.</w:t>
      </w:r>
    </w:p>
    <w:p w14:paraId="12B5902E" w14:textId="77777777" w:rsidR="00F97FA7" w:rsidRPr="00591186" w:rsidRDefault="00F97FA7" w:rsidP="00CD363C">
      <w:pPr>
        <w:widowControl w:val="0"/>
        <w:tabs>
          <w:tab w:val="left" w:pos="897"/>
          <w:tab w:val="left" w:pos="898"/>
        </w:tabs>
        <w:autoSpaceDE w:val="0"/>
        <w:autoSpaceDN w:val="0"/>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840.  Nomu klasificē kā finanšu nomu,</w:t>
      </w:r>
      <w:r w:rsidRPr="00591186">
        <w:rPr>
          <w:rFonts w:ascii="Times New Roman" w:hAnsi="Times New Roman" w:cs="Times New Roman"/>
          <w:spacing w:val="-1"/>
          <w:sz w:val="24"/>
          <w:szCs w:val="24"/>
        </w:rPr>
        <w:t xml:space="preserve"> </w:t>
      </w:r>
      <w:r w:rsidRPr="00591186">
        <w:rPr>
          <w:rFonts w:ascii="Times New Roman" w:hAnsi="Times New Roman" w:cs="Times New Roman"/>
          <w:sz w:val="24"/>
          <w:szCs w:val="24"/>
        </w:rPr>
        <w:t xml:space="preserve">ja:               </w:t>
      </w:r>
    </w:p>
    <w:p w14:paraId="5A68FCF1" w14:textId="77777777" w:rsidR="00F97FA7" w:rsidRPr="00591186" w:rsidRDefault="00F97FA7" w:rsidP="00CD363C">
      <w:pPr>
        <w:widowControl w:val="0"/>
        <w:tabs>
          <w:tab w:val="left" w:pos="897"/>
          <w:tab w:val="left" w:pos="898"/>
        </w:tabs>
        <w:autoSpaceDE w:val="0"/>
        <w:autoSpaceDN w:val="0"/>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 xml:space="preserve">840.1.   ar to pēc būtības nodod nomniekam </w:t>
      </w:r>
      <w:r w:rsidRPr="00591186">
        <w:rPr>
          <w:rFonts w:ascii="Times New Roman" w:hAnsi="Times New Roman" w:cs="Times New Roman"/>
          <w:b/>
          <w:sz w:val="24"/>
          <w:szCs w:val="24"/>
        </w:rPr>
        <w:t>visus īpašuma tiesībām raksturīgos riskus un atlīdzības,</w:t>
      </w:r>
    </w:p>
    <w:p w14:paraId="08BC874A" w14:textId="77777777" w:rsidR="00F97FA7" w:rsidRPr="00591186" w:rsidRDefault="00F97FA7" w:rsidP="00CD363C">
      <w:pPr>
        <w:pStyle w:val="Pamatteksts"/>
        <w:ind w:left="-142" w:right="124"/>
        <w:jc w:val="both"/>
        <w:rPr>
          <w:b/>
          <w:sz w:val="24"/>
          <w:szCs w:val="24"/>
        </w:rPr>
      </w:pPr>
      <w:r w:rsidRPr="00591186">
        <w:rPr>
          <w:sz w:val="24"/>
          <w:szCs w:val="24"/>
        </w:rPr>
        <w:t xml:space="preserve">neņemot vērā īpašuma tiesību nodošanu, </w:t>
      </w:r>
      <w:r w:rsidRPr="00591186">
        <w:rPr>
          <w:b/>
          <w:sz w:val="24"/>
          <w:szCs w:val="24"/>
        </w:rPr>
        <w:t>un</w:t>
      </w:r>
    </w:p>
    <w:p w14:paraId="439EDE46" w14:textId="77777777" w:rsidR="00F97FA7" w:rsidRPr="00C050E6" w:rsidRDefault="00F97FA7" w:rsidP="00CD363C">
      <w:pPr>
        <w:pStyle w:val="Pamatteksts"/>
        <w:ind w:right="124"/>
        <w:jc w:val="both"/>
      </w:pPr>
      <w:r w:rsidRPr="00C050E6">
        <w:t xml:space="preserve">840.2.  tā atbilst vismaz vienam no normatīvajos aktos noteiktajiem finanšu  nomas  kritērijiem (skat. </w:t>
      </w:r>
      <w:hyperlink w:anchor="_bookmark314" w:history="1">
        <w:r w:rsidR="00C050E6" w:rsidRPr="00C050E6">
          <w:rPr>
            <w:color w:val="0462C1"/>
            <w:u w:val="single" w:color="0462C1"/>
          </w:rPr>
          <w:t>844</w:t>
        </w:r>
      </w:hyperlink>
      <w:r w:rsidRPr="00C050E6">
        <w:rPr>
          <w:color w:val="0462C1"/>
          <w:u w:val="single" w:color="0462C1"/>
        </w:rPr>
        <w:t>.</w:t>
      </w:r>
      <w:r w:rsidRPr="00C050E6">
        <w:rPr>
          <w:color w:val="0462C1"/>
          <w:spacing w:val="-1"/>
          <w:u w:val="single" w:color="0462C1"/>
        </w:rPr>
        <w:t xml:space="preserve"> </w:t>
      </w:r>
      <w:r w:rsidRPr="00C050E6">
        <w:t>punktu).</w:t>
      </w:r>
    </w:p>
    <w:p w14:paraId="40C20CB4" w14:textId="77777777" w:rsidR="00F97FA7" w:rsidRPr="00C050E6" w:rsidRDefault="00F97FA7" w:rsidP="00CD363C">
      <w:pPr>
        <w:widowControl w:val="0"/>
        <w:tabs>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841.  Nomu klasificē kā operatīvo nomu, ja tās ietvaros nomniekam pēc būtības netiek nodoti visi īpašuma tiesībām raksturīgie riski un atlīdzības, neņemot vērā īpašuma tiesību</w:t>
      </w:r>
      <w:r w:rsidRPr="00C050E6">
        <w:rPr>
          <w:rFonts w:ascii="Times New Roman" w:hAnsi="Times New Roman" w:cs="Times New Roman"/>
          <w:spacing w:val="-10"/>
        </w:rPr>
        <w:t xml:space="preserve"> </w:t>
      </w:r>
      <w:r w:rsidRPr="00C050E6">
        <w:rPr>
          <w:rFonts w:ascii="Times New Roman" w:hAnsi="Times New Roman" w:cs="Times New Roman"/>
        </w:rPr>
        <w:t>nodošanu.</w:t>
      </w:r>
    </w:p>
    <w:p w14:paraId="6F6E3718" w14:textId="77777777" w:rsidR="00F97FA7" w:rsidRPr="00C050E6" w:rsidRDefault="00F97FA7"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842.  Būtiskākās finanšu nomas un operatīvās nomas pazīmes uzrādītas</w:t>
      </w:r>
      <w:r w:rsidRPr="00C050E6">
        <w:rPr>
          <w:rFonts w:ascii="Times New Roman" w:hAnsi="Times New Roman" w:cs="Times New Roman"/>
          <w:spacing w:val="-1"/>
        </w:rPr>
        <w:t xml:space="preserve"> </w:t>
      </w:r>
      <w:r w:rsidRPr="00C050E6">
        <w:rPr>
          <w:rFonts w:ascii="Times New Roman" w:hAnsi="Times New Roman" w:cs="Times New Roman"/>
        </w:rPr>
        <w:t>2.attēlā.</w:t>
      </w:r>
    </w:p>
    <w:p w14:paraId="72448E86" w14:textId="77777777" w:rsidR="00F97FA7" w:rsidRPr="00C050E6" w:rsidRDefault="00F97FA7" w:rsidP="00CD363C">
      <w:pPr>
        <w:widowControl w:val="0"/>
        <w:tabs>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843.  Nomas klasifikāciju par operatīvo vai finanšu nomu nosaka darījuma būtība, nevis līguma juridiskā forma.</w:t>
      </w:r>
    </w:p>
    <w:p w14:paraId="4B1C9FCB" w14:textId="77777777" w:rsidR="00F97FA7" w:rsidRPr="00C050E6" w:rsidRDefault="00F97FA7" w:rsidP="00CD363C">
      <w:pPr>
        <w:widowControl w:val="0"/>
        <w:tabs>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w:t>
      </w:r>
      <w:r w:rsidR="00591186" w:rsidRPr="00C050E6">
        <w:rPr>
          <w:rFonts w:ascii="Times New Roman" w:hAnsi="Times New Roman" w:cs="Times New Roman"/>
        </w:rPr>
        <w:t xml:space="preserve">4. </w:t>
      </w:r>
      <w:r w:rsidRPr="00C050E6">
        <w:rPr>
          <w:rFonts w:ascii="Times New Roman" w:hAnsi="Times New Roman" w:cs="Times New Roman"/>
        </w:rPr>
        <w:t>Budžeta iestāde izvērtē un nomu klasificē kā finanšu nomu, ja ar to pēc būtības nodod nomniekam</w:t>
      </w:r>
      <w:r w:rsidRPr="00C050E6">
        <w:rPr>
          <w:rFonts w:ascii="Times New Roman" w:hAnsi="Times New Roman" w:cs="Times New Roman"/>
          <w:u w:val="single"/>
        </w:rPr>
        <w:t xml:space="preserve"> visus īpašuma tiesībām raksturīgos riskus un atlīdzības</w:t>
      </w:r>
      <w:r w:rsidRPr="00C050E6">
        <w:rPr>
          <w:rFonts w:ascii="Times New Roman" w:hAnsi="Times New Roman" w:cs="Times New Roman"/>
        </w:rPr>
        <w:t>, neņemot vērā īpašuma tiesību nodošanu, kā arī budžeta iestāde izvērtē, vai finanšu noma atbilst vismaz vienam no šādiem</w:t>
      </w:r>
      <w:r w:rsidRPr="00C050E6">
        <w:rPr>
          <w:rFonts w:ascii="Times New Roman" w:hAnsi="Times New Roman" w:cs="Times New Roman"/>
          <w:spacing w:val="-21"/>
        </w:rPr>
        <w:t xml:space="preserve"> </w:t>
      </w:r>
      <w:r w:rsidRPr="00C050E6">
        <w:rPr>
          <w:rFonts w:ascii="Times New Roman" w:hAnsi="Times New Roman" w:cs="Times New Roman"/>
        </w:rPr>
        <w:t>nosacījumiem:</w:t>
      </w:r>
    </w:p>
    <w:p w14:paraId="242B04FE" w14:textId="77777777" w:rsidR="00F97FA7" w:rsidRPr="00C050E6" w:rsidRDefault="00F97FA7" w:rsidP="00CD363C">
      <w:pPr>
        <w:pStyle w:val="Sarakstarindkopa"/>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nomātā aktīva īpašuma tiesības tiks nodotas nomniekam līdz nomas termiņa</w:t>
      </w:r>
      <w:r w:rsidRPr="00C050E6">
        <w:rPr>
          <w:rFonts w:ascii="Times New Roman" w:hAnsi="Times New Roman" w:cs="Times New Roman"/>
          <w:spacing w:val="-13"/>
        </w:rPr>
        <w:t xml:space="preserve"> </w:t>
      </w:r>
      <w:r w:rsidRPr="00C050E6">
        <w:rPr>
          <w:rFonts w:ascii="Times New Roman" w:hAnsi="Times New Roman" w:cs="Times New Roman"/>
        </w:rPr>
        <w:t>beigām;</w:t>
      </w:r>
    </w:p>
    <w:p w14:paraId="216B3A60" w14:textId="77777777" w:rsidR="00F97FA7" w:rsidRPr="00C050E6" w:rsidRDefault="00F97FA7" w:rsidP="00CD363C">
      <w:pPr>
        <w:pStyle w:val="Sarakstarindkopa"/>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nomniekam ir iespēja nopirkt aktīvu par cenu, kas datumā, kad šo iespēju varēs izmantot, būtu pietiekami zemāka par aktīva patieso vērtību, lai nomas uzsākšanas datumā pastāvētu pamatota noteiktība, ka nomnieks šo iespēju</w:t>
      </w:r>
      <w:r w:rsidRPr="00C050E6">
        <w:rPr>
          <w:rFonts w:ascii="Times New Roman" w:hAnsi="Times New Roman" w:cs="Times New Roman"/>
          <w:spacing w:val="-6"/>
        </w:rPr>
        <w:t xml:space="preserve"> </w:t>
      </w:r>
      <w:r w:rsidRPr="00C050E6">
        <w:rPr>
          <w:rFonts w:ascii="Times New Roman" w:hAnsi="Times New Roman" w:cs="Times New Roman"/>
        </w:rPr>
        <w:t>izmantos;</w:t>
      </w:r>
    </w:p>
    <w:p w14:paraId="29AB2DE6" w14:textId="77777777" w:rsidR="00F97FA7" w:rsidRPr="00C050E6" w:rsidRDefault="00F97FA7" w:rsidP="00CD363C">
      <w:pPr>
        <w:pStyle w:val="Sarakstarindkopa"/>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nomas termiņš ir vismaz 75 procenti no aktīva saimnieciskās izmantošanas laika, kurā viens vai vairāki</w:t>
      </w:r>
      <w:r w:rsidRPr="00C050E6">
        <w:rPr>
          <w:rFonts w:ascii="Times New Roman" w:hAnsi="Times New Roman" w:cs="Times New Roman"/>
          <w:spacing w:val="-7"/>
        </w:rPr>
        <w:t xml:space="preserve"> </w:t>
      </w:r>
      <w:r w:rsidRPr="00C050E6">
        <w:rPr>
          <w:rFonts w:ascii="Times New Roman" w:hAnsi="Times New Roman" w:cs="Times New Roman"/>
        </w:rPr>
        <w:t>lietotāji</w:t>
      </w:r>
      <w:r w:rsidRPr="00C050E6">
        <w:rPr>
          <w:rFonts w:ascii="Times New Roman" w:hAnsi="Times New Roman" w:cs="Times New Roman"/>
          <w:spacing w:val="-9"/>
        </w:rPr>
        <w:t xml:space="preserve"> </w:t>
      </w:r>
      <w:r w:rsidRPr="00C050E6">
        <w:rPr>
          <w:rFonts w:ascii="Times New Roman" w:hAnsi="Times New Roman" w:cs="Times New Roman"/>
        </w:rPr>
        <w:t>no</w:t>
      </w:r>
      <w:r w:rsidRPr="00C050E6">
        <w:rPr>
          <w:rFonts w:ascii="Times New Roman" w:hAnsi="Times New Roman" w:cs="Times New Roman"/>
          <w:spacing w:val="-7"/>
        </w:rPr>
        <w:t xml:space="preserve"> </w:t>
      </w:r>
      <w:r w:rsidRPr="00C050E6">
        <w:rPr>
          <w:rFonts w:ascii="Times New Roman" w:hAnsi="Times New Roman" w:cs="Times New Roman"/>
        </w:rPr>
        <w:t>aktīva</w:t>
      </w:r>
      <w:r w:rsidRPr="00C050E6">
        <w:rPr>
          <w:rFonts w:ascii="Times New Roman" w:hAnsi="Times New Roman" w:cs="Times New Roman"/>
          <w:spacing w:val="-7"/>
        </w:rPr>
        <w:t xml:space="preserve"> </w:t>
      </w:r>
      <w:r w:rsidRPr="00C050E6">
        <w:rPr>
          <w:rFonts w:ascii="Times New Roman" w:hAnsi="Times New Roman" w:cs="Times New Roman"/>
        </w:rPr>
        <w:t>var</w:t>
      </w:r>
      <w:r w:rsidRPr="00C050E6">
        <w:rPr>
          <w:rFonts w:ascii="Times New Roman" w:hAnsi="Times New Roman" w:cs="Times New Roman"/>
          <w:spacing w:val="-7"/>
        </w:rPr>
        <w:t xml:space="preserve"> </w:t>
      </w:r>
      <w:r w:rsidRPr="00C050E6">
        <w:rPr>
          <w:rFonts w:ascii="Times New Roman" w:hAnsi="Times New Roman" w:cs="Times New Roman"/>
        </w:rPr>
        <w:t>gūt</w:t>
      </w:r>
      <w:r w:rsidRPr="00C050E6">
        <w:rPr>
          <w:rFonts w:ascii="Times New Roman" w:hAnsi="Times New Roman" w:cs="Times New Roman"/>
          <w:spacing w:val="-6"/>
        </w:rPr>
        <w:t xml:space="preserve"> </w:t>
      </w:r>
      <w:r w:rsidRPr="00C050E6">
        <w:rPr>
          <w:rFonts w:ascii="Times New Roman" w:hAnsi="Times New Roman" w:cs="Times New Roman"/>
        </w:rPr>
        <w:t>saimnieciskos</w:t>
      </w:r>
      <w:r w:rsidRPr="00C050E6">
        <w:rPr>
          <w:rFonts w:ascii="Times New Roman" w:hAnsi="Times New Roman" w:cs="Times New Roman"/>
          <w:spacing w:val="-9"/>
        </w:rPr>
        <w:t xml:space="preserve"> </w:t>
      </w:r>
      <w:r w:rsidRPr="00C050E6">
        <w:rPr>
          <w:rFonts w:ascii="Times New Roman" w:hAnsi="Times New Roman" w:cs="Times New Roman"/>
        </w:rPr>
        <w:t>labumus</w:t>
      </w:r>
      <w:r w:rsidRPr="00C050E6">
        <w:rPr>
          <w:rFonts w:ascii="Times New Roman" w:hAnsi="Times New Roman" w:cs="Times New Roman"/>
          <w:spacing w:val="-6"/>
        </w:rPr>
        <w:t xml:space="preserve"> </w:t>
      </w:r>
      <w:r w:rsidRPr="00C050E6">
        <w:rPr>
          <w:rFonts w:ascii="Times New Roman" w:hAnsi="Times New Roman" w:cs="Times New Roman"/>
        </w:rPr>
        <w:t>vai</w:t>
      </w:r>
      <w:r w:rsidRPr="00C050E6">
        <w:rPr>
          <w:rFonts w:ascii="Times New Roman" w:hAnsi="Times New Roman" w:cs="Times New Roman"/>
          <w:spacing w:val="-6"/>
        </w:rPr>
        <w:t xml:space="preserve"> </w:t>
      </w:r>
      <w:r w:rsidRPr="00C050E6">
        <w:rPr>
          <w:rFonts w:ascii="Times New Roman" w:hAnsi="Times New Roman" w:cs="Times New Roman"/>
        </w:rPr>
        <w:t>to</w:t>
      </w:r>
      <w:r w:rsidRPr="00C050E6">
        <w:rPr>
          <w:rFonts w:ascii="Times New Roman" w:hAnsi="Times New Roman" w:cs="Times New Roman"/>
          <w:spacing w:val="-10"/>
        </w:rPr>
        <w:t xml:space="preserve"> </w:t>
      </w:r>
      <w:r w:rsidRPr="00C050E6">
        <w:rPr>
          <w:rFonts w:ascii="Times New Roman" w:hAnsi="Times New Roman" w:cs="Times New Roman"/>
        </w:rPr>
        <w:t>izmantot</w:t>
      </w:r>
      <w:r w:rsidRPr="00C050E6">
        <w:rPr>
          <w:rFonts w:ascii="Times New Roman" w:hAnsi="Times New Roman" w:cs="Times New Roman"/>
          <w:spacing w:val="-7"/>
        </w:rPr>
        <w:t xml:space="preserve"> </w:t>
      </w:r>
      <w:r w:rsidRPr="00C050E6">
        <w:rPr>
          <w:rFonts w:ascii="Times New Roman" w:hAnsi="Times New Roman" w:cs="Times New Roman"/>
        </w:rPr>
        <w:t>funkciju</w:t>
      </w:r>
      <w:r w:rsidRPr="00C050E6">
        <w:rPr>
          <w:rFonts w:ascii="Times New Roman" w:hAnsi="Times New Roman" w:cs="Times New Roman"/>
          <w:spacing w:val="-7"/>
        </w:rPr>
        <w:t xml:space="preserve"> </w:t>
      </w:r>
      <w:r w:rsidRPr="00C050E6">
        <w:rPr>
          <w:rFonts w:ascii="Times New Roman" w:hAnsi="Times New Roman" w:cs="Times New Roman"/>
        </w:rPr>
        <w:t>izpildei</w:t>
      </w:r>
      <w:r w:rsidRPr="00C050E6">
        <w:rPr>
          <w:rFonts w:ascii="Times New Roman" w:hAnsi="Times New Roman" w:cs="Times New Roman"/>
          <w:spacing w:val="-8"/>
        </w:rPr>
        <w:t xml:space="preserve"> </w:t>
      </w:r>
      <w:r w:rsidRPr="00C050E6">
        <w:rPr>
          <w:rFonts w:ascii="Times New Roman" w:hAnsi="Times New Roman" w:cs="Times New Roman"/>
        </w:rPr>
        <w:t>arī</w:t>
      </w:r>
      <w:r w:rsidRPr="00C050E6">
        <w:rPr>
          <w:rFonts w:ascii="Times New Roman" w:hAnsi="Times New Roman" w:cs="Times New Roman"/>
          <w:spacing w:val="-6"/>
        </w:rPr>
        <w:t xml:space="preserve"> </w:t>
      </w:r>
      <w:r w:rsidRPr="00C050E6">
        <w:rPr>
          <w:rFonts w:ascii="Times New Roman" w:hAnsi="Times New Roman" w:cs="Times New Roman"/>
        </w:rPr>
        <w:t>tad, ja īpašuma tiesības netiek</w:t>
      </w:r>
      <w:r w:rsidRPr="00C050E6">
        <w:rPr>
          <w:rFonts w:ascii="Times New Roman" w:hAnsi="Times New Roman" w:cs="Times New Roman"/>
          <w:spacing w:val="-3"/>
        </w:rPr>
        <w:t xml:space="preserve"> </w:t>
      </w:r>
      <w:r w:rsidRPr="00C050E6">
        <w:rPr>
          <w:rFonts w:ascii="Times New Roman" w:hAnsi="Times New Roman" w:cs="Times New Roman"/>
        </w:rPr>
        <w:t>nodotas;</w:t>
      </w:r>
    </w:p>
    <w:p w14:paraId="270C8CCD" w14:textId="77777777" w:rsidR="00F97FA7" w:rsidRPr="00C050E6" w:rsidRDefault="00F97FA7" w:rsidP="00CD363C">
      <w:pPr>
        <w:pStyle w:val="Sarakstarindkopa"/>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minimālo nomas maksājumu pašreizējā vērtība nomas uzsākšanas datumā ir vismaz 90 procenti no iznomātā aktīva patiesās</w:t>
      </w:r>
      <w:r w:rsidRPr="00C050E6">
        <w:rPr>
          <w:rFonts w:ascii="Times New Roman" w:hAnsi="Times New Roman" w:cs="Times New Roman"/>
          <w:spacing w:val="-3"/>
        </w:rPr>
        <w:t xml:space="preserve"> </w:t>
      </w:r>
      <w:r w:rsidRPr="00C050E6">
        <w:rPr>
          <w:rFonts w:ascii="Times New Roman" w:hAnsi="Times New Roman" w:cs="Times New Roman"/>
        </w:rPr>
        <w:t>vērtības;</w:t>
      </w:r>
    </w:p>
    <w:p w14:paraId="27824973" w14:textId="77777777" w:rsidR="00F97FA7" w:rsidRPr="00C050E6" w:rsidRDefault="00F97FA7" w:rsidP="00CD363C">
      <w:pPr>
        <w:pStyle w:val="Sarakstarindkopa"/>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iznomātie aktīvi ir tik specifiski, ka, būtiski nepārveidojot, tos var lietot tikai</w:t>
      </w:r>
      <w:r w:rsidRPr="00C050E6">
        <w:rPr>
          <w:rFonts w:ascii="Times New Roman" w:hAnsi="Times New Roman" w:cs="Times New Roman"/>
          <w:spacing w:val="-21"/>
        </w:rPr>
        <w:t xml:space="preserve"> </w:t>
      </w:r>
      <w:r w:rsidRPr="00C050E6">
        <w:rPr>
          <w:rFonts w:ascii="Times New Roman" w:hAnsi="Times New Roman" w:cs="Times New Roman"/>
        </w:rPr>
        <w:t>nomnieks.</w:t>
      </w:r>
    </w:p>
    <w:p w14:paraId="4C48845D" w14:textId="77777777" w:rsidR="00F97FA7" w:rsidRPr="00C050E6" w:rsidRDefault="00F97FA7" w:rsidP="00CD363C">
      <w:pPr>
        <w:spacing w:after="0" w:line="240" w:lineRule="auto"/>
        <w:ind w:left="-142" w:right="124"/>
        <w:jc w:val="both"/>
        <w:rPr>
          <w:rFonts w:ascii="Times New Roman" w:hAnsi="Times New Roman" w:cs="Times New Roman"/>
        </w:rPr>
      </w:pPr>
    </w:p>
    <w:p w14:paraId="150AB77C" w14:textId="77777777" w:rsidR="00591186" w:rsidRPr="00C050E6" w:rsidRDefault="00591186" w:rsidP="00CD363C">
      <w:pPr>
        <w:pStyle w:val="Pamatteksts"/>
        <w:ind w:right="124"/>
        <w:jc w:val="both"/>
        <w:rPr>
          <w:sz w:val="30"/>
        </w:rPr>
      </w:pPr>
    </w:p>
    <w:p w14:paraId="572DBF67" w14:textId="77777777" w:rsidR="00591186" w:rsidRPr="00C050E6" w:rsidRDefault="00591186" w:rsidP="00CD363C">
      <w:pPr>
        <w:spacing w:after="0" w:line="240" w:lineRule="auto"/>
        <w:ind w:left="2130" w:right="124"/>
        <w:jc w:val="both"/>
        <w:rPr>
          <w:rFonts w:ascii="Times New Roman" w:hAnsi="Times New Roman" w:cs="Times New Roman"/>
          <w:b/>
          <w:sz w:val="23"/>
        </w:rPr>
      </w:pPr>
      <w:r w:rsidRPr="00C050E6">
        <w:rPr>
          <w:rFonts w:ascii="Times New Roman" w:hAnsi="Times New Roman" w:cs="Times New Roman"/>
          <w:b/>
          <w:sz w:val="23"/>
        </w:rPr>
        <w:t>Finanšu noma vai operatīvā noma?</w:t>
      </w:r>
    </w:p>
    <w:p w14:paraId="1114A478" w14:textId="77777777" w:rsidR="00DD2050" w:rsidRPr="00DD2050" w:rsidRDefault="00591186" w:rsidP="00CD363C">
      <w:pPr>
        <w:spacing w:after="0" w:line="240" w:lineRule="auto"/>
        <w:ind w:left="-142" w:right="124"/>
        <w:jc w:val="both"/>
        <w:rPr>
          <w:rFonts w:ascii="Times New Roman" w:hAnsi="Times New Roman" w:cs="Times New Roman"/>
          <w:b/>
          <w:bCs/>
          <w:sz w:val="24"/>
          <w:szCs w:val="24"/>
        </w:rPr>
      </w:pPr>
      <w:r w:rsidRPr="00C050E6">
        <w:rPr>
          <w:rFonts w:ascii="Times New Roman" w:hAnsi="Times New Roman" w:cs="Times New Roman"/>
          <w:noProof/>
        </w:rPr>
        <w:drawing>
          <wp:inline distT="0" distB="0" distL="0" distR="0" wp14:anchorId="26586E72" wp14:editId="2991C303">
            <wp:extent cx="6591136" cy="3467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10024" cy="3477036"/>
                    </a:xfrm>
                    <a:prstGeom prst="rect">
                      <a:avLst/>
                    </a:prstGeom>
                    <a:noFill/>
                    <a:ln>
                      <a:noFill/>
                    </a:ln>
                  </pic:spPr>
                </pic:pic>
              </a:graphicData>
            </a:graphic>
          </wp:inline>
        </w:drawing>
      </w:r>
    </w:p>
    <w:p w14:paraId="5FF63F19" w14:textId="77777777" w:rsidR="00DD2050" w:rsidRPr="00591186" w:rsidRDefault="00591186" w:rsidP="00CD363C">
      <w:pPr>
        <w:tabs>
          <w:tab w:val="left" w:pos="5670"/>
        </w:tabs>
        <w:spacing w:after="0" w:line="240" w:lineRule="auto"/>
        <w:ind w:right="124"/>
        <w:jc w:val="both"/>
        <w:rPr>
          <w:rFonts w:ascii="Times New Roman" w:hAnsi="Times New Roman" w:cs="Times New Roman"/>
          <w:i/>
          <w:iCs/>
          <w:sz w:val="24"/>
          <w:szCs w:val="24"/>
        </w:rPr>
      </w:pPr>
      <w:r>
        <w:rPr>
          <w:rFonts w:ascii="Times New Roman" w:hAnsi="Times New Roman" w:cs="Times New Roman"/>
          <w:b/>
          <w:bCs/>
          <w:sz w:val="24"/>
          <w:szCs w:val="24"/>
        </w:rPr>
        <w:tab/>
      </w:r>
      <w:r w:rsidRPr="00591186">
        <w:rPr>
          <w:rFonts w:ascii="Times New Roman" w:hAnsi="Times New Roman" w:cs="Times New Roman"/>
          <w:i/>
          <w:iCs/>
          <w:sz w:val="24"/>
          <w:szCs w:val="24"/>
        </w:rPr>
        <w:t>2.attēls Nomas klasifikācija</w:t>
      </w:r>
    </w:p>
    <w:p w14:paraId="04DF8212" w14:textId="77777777" w:rsidR="00C050E6" w:rsidRPr="00FB6347"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i/>
          <w:sz w:val="24"/>
          <w:szCs w:val="24"/>
        </w:rPr>
      </w:pPr>
      <w:r w:rsidRPr="00FB6347">
        <w:rPr>
          <w:rFonts w:ascii="Times New Roman" w:hAnsi="Times New Roman" w:cs="Times New Roman"/>
          <w:sz w:val="24"/>
          <w:szCs w:val="24"/>
        </w:rPr>
        <w:t>845.  Nomu</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klasificē</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par</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operatīvo</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nomu,</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ja</w:t>
      </w:r>
      <w:r w:rsidRPr="00FB6347">
        <w:rPr>
          <w:rFonts w:ascii="Times New Roman" w:hAnsi="Times New Roman" w:cs="Times New Roman"/>
          <w:spacing w:val="-3"/>
          <w:sz w:val="24"/>
          <w:szCs w:val="24"/>
        </w:rPr>
        <w:t xml:space="preserve"> </w:t>
      </w:r>
      <w:r w:rsidRPr="00FB6347">
        <w:rPr>
          <w:rFonts w:ascii="Times New Roman" w:hAnsi="Times New Roman" w:cs="Times New Roman"/>
          <w:sz w:val="24"/>
          <w:szCs w:val="24"/>
        </w:rPr>
        <w:t>pastāv</w:t>
      </w:r>
      <w:r w:rsidRPr="00FB6347">
        <w:rPr>
          <w:rFonts w:ascii="Times New Roman" w:hAnsi="Times New Roman" w:cs="Times New Roman"/>
          <w:spacing w:val="-8"/>
          <w:sz w:val="24"/>
          <w:szCs w:val="24"/>
        </w:rPr>
        <w:t xml:space="preserve"> </w:t>
      </w:r>
      <w:r w:rsidRPr="00FB6347">
        <w:rPr>
          <w:rFonts w:ascii="Times New Roman" w:hAnsi="Times New Roman" w:cs="Times New Roman"/>
          <w:sz w:val="24"/>
          <w:szCs w:val="24"/>
        </w:rPr>
        <w:t>pazīmes,</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kas</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liecina,</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ka</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nomas</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ietvaros</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pēc</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būtības</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visi īpašuma</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tiesībām</w:t>
      </w:r>
      <w:r w:rsidRPr="00FB6347">
        <w:rPr>
          <w:rFonts w:ascii="Times New Roman" w:hAnsi="Times New Roman" w:cs="Times New Roman"/>
          <w:spacing w:val="-8"/>
          <w:sz w:val="24"/>
          <w:szCs w:val="24"/>
        </w:rPr>
        <w:t xml:space="preserve"> </w:t>
      </w:r>
      <w:r w:rsidRPr="00FB6347">
        <w:rPr>
          <w:rFonts w:ascii="Times New Roman" w:hAnsi="Times New Roman" w:cs="Times New Roman"/>
          <w:sz w:val="24"/>
          <w:szCs w:val="24"/>
        </w:rPr>
        <w:t>raksturīgie</w:t>
      </w:r>
      <w:r w:rsidRPr="00FB6347">
        <w:rPr>
          <w:rFonts w:ascii="Times New Roman" w:hAnsi="Times New Roman" w:cs="Times New Roman"/>
          <w:spacing w:val="-4"/>
          <w:sz w:val="24"/>
          <w:szCs w:val="24"/>
        </w:rPr>
        <w:t xml:space="preserve"> </w:t>
      </w:r>
      <w:r w:rsidRPr="00FB6347">
        <w:rPr>
          <w:rFonts w:ascii="Times New Roman" w:hAnsi="Times New Roman" w:cs="Times New Roman"/>
          <w:sz w:val="24"/>
          <w:szCs w:val="24"/>
        </w:rPr>
        <w:t>riski</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un</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atlīdzības</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netiek</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nodoti</w:t>
      </w:r>
      <w:r w:rsidRPr="00FB6347">
        <w:rPr>
          <w:rFonts w:ascii="Times New Roman" w:hAnsi="Times New Roman" w:cs="Times New Roman"/>
          <w:spacing w:val="-4"/>
          <w:sz w:val="24"/>
          <w:szCs w:val="24"/>
        </w:rPr>
        <w:t xml:space="preserve"> </w:t>
      </w:r>
      <w:r w:rsidRPr="00FB6347">
        <w:rPr>
          <w:rFonts w:ascii="Times New Roman" w:hAnsi="Times New Roman" w:cs="Times New Roman"/>
          <w:sz w:val="24"/>
          <w:szCs w:val="24"/>
        </w:rPr>
        <w:t>nomniekam</w:t>
      </w:r>
      <w:r w:rsidRPr="00FB6347">
        <w:rPr>
          <w:rFonts w:ascii="Times New Roman" w:hAnsi="Times New Roman" w:cs="Times New Roman"/>
          <w:i/>
          <w:sz w:val="24"/>
          <w:szCs w:val="24"/>
        </w:rPr>
        <w:t>.</w:t>
      </w:r>
      <w:r w:rsidRPr="00FB6347">
        <w:rPr>
          <w:rFonts w:ascii="Times New Roman" w:hAnsi="Times New Roman" w:cs="Times New Roman"/>
          <w:i/>
          <w:spacing w:val="-5"/>
          <w:sz w:val="24"/>
          <w:szCs w:val="24"/>
        </w:rPr>
        <w:t xml:space="preserve"> </w:t>
      </w:r>
      <w:r w:rsidRPr="00FB6347">
        <w:rPr>
          <w:rFonts w:ascii="Times New Roman" w:hAnsi="Times New Roman" w:cs="Times New Roman"/>
          <w:i/>
          <w:sz w:val="24"/>
          <w:szCs w:val="24"/>
        </w:rPr>
        <w:t>Piemēram,</w:t>
      </w:r>
      <w:r w:rsidRPr="00FB6347">
        <w:rPr>
          <w:rFonts w:ascii="Times New Roman" w:hAnsi="Times New Roman" w:cs="Times New Roman"/>
          <w:i/>
          <w:spacing w:val="-5"/>
          <w:sz w:val="24"/>
          <w:szCs w:val="24"/>
        </w:rPr>
        <w:t xml:space="preserve"> </w:t>
      </w:r>
      <w:r w:rsidRPr="00FB6347">
        <w:rPr>
          <w:rFonts w:ascii="Times New Roman" w:hAnsi="Times New Roman" w:cs="Times New Roman"/>
          <w:i/>
          <w:sz w:val="24"/>
          <w:szCs w:val="24"/>
        </w:rPr>
        <w:t>budžeta</w:t>
      </w:r>
      <w:r w:rsidRPr="00FB6347">
        <w:rPr>
          <w:rFonts w:ascii="Times New Roman" w:hAnsi="Times New Roman" w:cs="Times New Roman"/>
          <w:i/>
          <w:spacing w:val="-7"/>
          <w:sz w:val="24"/>
          <w:szCs w:val="24"/>
        </w:rPr>
        <w:t xml:space="preserve"> </w:t>
      </w:r>
      <w:r w:rsidRPr="00FB6347">
        <w:rPr>
          <w:rFonts w:ascii="Times New Roman" w:hAnsi="Times New Roman" w:cs="Times New Roman"/>
          <w:i/>
          <w:sz w:val="24"/>
          <w:szCs w:val="24"/>
        </w:rPr>
        <w:t>iestāde nodod nomā ēku un, pat ja nomas līgumā noteiktā minimālo nomas maksājumu pašreizējā vērtība nomas uzsākšanas datumā ir vairāk kā 90% (vai izpildās kāds cits kritērijs), budžeta iestāde izvērtē, vai nomas ietvaros tiek nodoti visi riski un atlīdzības nomniekam. Gadījumā, ja noma atbilst tikai kādam no iepriekšminētajiem finanšu nomas kritērijiem, tomēr pēc būtības visi īpašuma tiesībām raksturīgie riski un atlīdzības netiek nodoti nomniekam, budžeta iestāde klasificē nomu kā operatīvo nomu. Piemēram, ja iznomātājam joprojām paliek saistības attiecībā uz iznomātā aktīva uzturēšanu vai</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arī</w:t>
      </w:r>
      <w:r w:rsidRPr="00FB6347">
        <w:rPr>
          <w:rFonts w:ascii="Times New Roman" w:hAnsi="Times New Roman" w:cs="Times New Roman"/>
          <w:i/>
          <w:spacing w:val="-15"/>
          <w:sz w:val="24"/>
          <w:szCs w:val="24"/>
        </w:rPr>
        <w:t xml:space="preserve"> </w:t>
      </w:r>
      <w:r w:rsidRPr="00FB6347">
        <w:rPr>
          <w:rFonts w:ascii="Times New Roman" w:hAnsi="Times New Roman" w:cs="Times New Roman"/>
          <w:i/>
          <w:sz w:val="24"/>
          <w:szCs w:val="24"/>
        </w:rPr>
        <w:t>nomnieks</w:t>
      </w:r>
      <w:r w:rsidRPr="00FB6347">
        <w:rPr>
          <w:rFonts w:ascii="Times New Roman" w:hAnsi="Times New Roman" w:cs="Times New Roman"/>
          <w:i/>
          <w:spacing w:val="-14"/>
          <w:sz w:val="24"/>
          <w:szCs w:val="24"/>
        </w:rPr>
        <w:t xml:space="preserve"> </w:t>
      </w:r>
      <w:r w:rsidRPr="00FB6347">
        <w:rPr>
          <w:rFonts w:ascii="Times New Roman" w:hAnsi="Times New Roman" w:cs="Times New Roman"/>
          <w:i/>
          <w:sz w:val="24"/>
          <w:szCs w:val="24"/>
        </w:rPr>
        <w:t>nav</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tiesīgs</w:t>
      </w:r>
      <w:r w:rsidRPr="00FB6347">
        <w:rPr>
          <w:rFonts w:ascii="Times New Roman" w:hAnsi="Times New Roman" w:cs="Times New Roman"/>
          <w:i/>
          <w:spacing w:val="-15"/>
          <w:sz w:val="24"/>
          <w:szCs w:val="24"/>
        </w:rPr>
        <w:t xml:space="preserve"> </w:t>
      </w:r>
      <w:r w:rsidRPr="00FB6347">
        <w:rPr>
          <w:rFonts w:ascii="Times New Roman" w:hAnsi="Times New Roman" w:cs="Times New Roman"/>
          <w:i/>
          <w:sz w:val="24"/>
          <w:szCs w:val="24"/>
        </w:rPr>
        <w:t>veikt</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jebkādus</w:t>
      </w:r>
      <w:r w:rsidRPr="00FB6347">
        <w:rPr>
          <w:rFonts w:ascii="Times New Roman" w:hAnsi="Times New Roman" w:cs="Times New Roman"/>
          <w:i/>
          <w:spacing w:val="-14"/>
          <w:sz w:val="24"/>
          <w:szCs w:val="24"/>
        </w:rPr>
        <w:t xml:space="preserve"> </w:t>
      </w:r>
      <w:r w:rsidRPr="00FB6347">
        <w:rPr>
          <w:rFonts w:ascii="Times New Roman" w:hAnsi="Times New Roman" w:cs="Times New Roman"/>
          <w:i/>
          <w:sz w:val="24"/>
          <w:szCs w:val="24"/>
        </w:rPr>
        <w:t>civiltiesiskus</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darījumus</w:t>
      </w:r>
      <w:r w:rsidRPr="00FB6347">
        <w:rPr>
          <w:rFonts w:ascii="Times New Roman" w:hAnsi="Times New Roman" w:cs="Times New Roman"/>
          <w:i/>
          <w:spacing w:val="-15"/>
          <w:sz w:val="24"/>
          <w:szCs w:val="24"/>
        </w:rPr>
        <w:t xml:space="preserve"> </w:t>
      </w:r>
      <w:r w:rsidRPr="00FB6347">
        <w:rPr>
          <w:rFonts w:ascii="Times New Roman" w:hAnsi="Times New Roman" w:cs="Times New Roman"/>
          <w:i/>
          <w:sz w:val="24"/>
          <w:szCs w:val="24"/>
        </w:rPr>
        <w:t>ar</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nomāto</w:t>
      </w:r>
      <w:r w:rsidRPr="00FB6347">
        <w:rPr>
          <w:rFonts w:ascii="Times New Roman" w:hAnsi="Times New Roman" w:cs="Times New Roman"/>
          <w:i/>
          <w:spacing w:val="-17"/>
          <w:sz w:val="24"/>
          <w:szCs w:val="24"/>
        </w:rPr>
        <w:t xml:space="preserve"> </w:t>
      </w:r>
      <w:r w:rsidRPr="00FB6347">
        <w:rPr>
          <w:rFonts w:ascii="Times New Roman" w:hAnsi="Times New Roman" w:cs="Times New Roman"/>
          <w:i/>
          <w:sz w:val="24"/>
          <w:szCs w:val="24"/>
        </w:rPr>
        <w:t>aktīvu,</w:t>
      </w:r>
      <w:r w:rsidRPr="00FB6347">
        <w:rPr>
          <w:rFonts w:ascii="Times New Roman" w:hAnsi="Times New Roman" w:cs="Times New Roman"/>
          <w:i/>
          <w:spacing w:val="-14"/>
          <w:sz w:val="24"/>
          <w:szCs w:val="24"/>
        </w:rPr>
        <w:t xml:space="preserve"> </w:t>
      </w:r>
      <w:r w:rsidRPr="00FB6347">
        <w:rPr>
          <w:rFonts w:ascii="Times New Roman" w:hAnsi="Times New Roman" w:cs="Times New Roman"/>
          <w:i/>
          <w:sz w:val="24"/>
          <w:szCs w:val="24"/>
        </w:rPr>
        <w:t>tad</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tiek</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uzskatīts, ka pēc būtības visi īpašuma tiesībām raksturīgie riski un/vai atlīdzības netiek nodotas un šāda noma tiek klasificēta kā operatīvā</w:t>
      </w:r>
      <w:r w:rsidRPr="00FB6347">
        <w:rPr>
          <w:rFonts w:ascii="Times New Roman" w:hAnsi="Times New Roman" w:cs="Times New Roman"/>
          <w:i/>
          <w:spacing w:val="-3"/>
          <w:sz w:val="24"/>
          <w:szCs w:val="24"/>
        </w:rPr>
        <w:t xml:space="preserve"> </w:t>
      </w:r>
      <w:r w:rsidRPr="00FB6347">
        <w:rPr>
          <w:rFonts w:ascii="Times New Roman" w:hAnsi="Times New Roman" w:cs="Times New Roman"/>
          <w:i/>
          <w:sz w:val="24"/>
          <w:szCs w:val="24"/>
        </w:rPr>
        <w:t>noma.</w:t>
      </w:r>
    </w:p>
    <w:p w14:paraId="0D8D93CE" w14:textId="77777777" w:rsidR="00C050E6" w:rsidRPr="00FB6347"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846.  Ja nomas laikā nomnieks un iznomātājs vienojas grozīt nomas noteikumus tādā veidā, ka nomu klasificētu citādi, ja grozītie noteikumi būtu bijuši spēkā nomas uzsākšanas datumā, tad pārskatītais līgums tiek uzskatīts par jaunu līgumu tā termiņa laikā. Savukārt, ja nomas laikā konstatē aplēšu izmaiņas (</w:t>
      </w:r>
      <w:r w:rsidRPr="00FB6347">
        <w:rPr>
          <w:rFonts w:ascii="Times New Roman" w:hAnsi="Times New Roman" w:cs="Times New Roman"/>
          <w:i/>
          <w:sz w:val="24"/>
          <w:szCs w:val="24"/>
        </w:rPr>
        <w:t>piemēram, lietderīgā lietošanas laika aplēses vai iznomātā aktīva atlikušās vērtības aplēses)</w:t>
      </w:r>
      <w:r w:rsidRPr="00FB6347">
        <w:rPr>
          <w:rFonts w:ascii="Times New Roman" w:hAnsi="Times New Roman" w:cs="Times New Roman"/>
          <w:i/>
          <w:spacing w:val="-18"/>
          <w:sz w:val="24"/>
          <w:szCs w:val="24"/>
        </w:rPr>
        <w:t xml:space="preserve"> </w:t>
      </w:r>
      <w:r w:rsidRPr="00FB6347">
        <w:rPr>
          <w:rFonts w:ascii="Times New Roman" w:hAnsi="Times New Roman" w:cs="Times New Roman"/>
          <w:sz w:val="24"/>
          <w:szCs w:val="24"/>
        </w:rPr>
        <w:t>vai</w:t>
      </w:r>
      <w:r w:rsidRPr="00FB6347">
        <w:rPr>
          <w:rFonts w:ascii="Times New Roman" w:hAnsi="Times New Roman" w:cs="Times New Roman"/>
          <w:spacing w:val="-15"/>
          <w:sz w:val="24"/>
          <w:szCs w:val="24"/>
        </w:rPr>
        <w:t xml:space="preserve"> </w:t>
      </w:r>
      <w:r w:rsidRPr="00FB6347">
        <w:rPr>
          <w:rFonts w:ascii="Times New Roman" w:hAnsi="Times New Roman" w:cs="Times New Roman"/>
          <w:sz w:val="24"/>
          <w:szCs w:val="24"/>
        </w:rPr>
        <w:t>apstākļu</w:t>
      </w:r>
      <w:r w:rsidRPr="00FB6347">
        <w:rPr>
          <w:rFonts w:ascii="Times New Roman" w:hAnsi="Times New Roman" w:cs="Times New Roman"/>
          <w:spacing w:val="-17"/>
          <w:sz w:val="24"/>
          <w:szCs w:val="24"/>
        </w:rPr>
        <w:t xml:space="preserve"> </w:t>
      </w:r>
      <w:r w:rsidRPr="00FB6347">
        <w:rPr>
          <w:rFonts w:ascii="Times New Roman" w:hAnsi="Times New Roman" w:cs="Times New Roman"/>
          <w:sz w:val="24"/>
          <w:szCs w:val="24"/>
        </w:rPr>
        <w:t>izmaiņas</w:t>
      </w:r>
      <w:r w:rsidRPr="00FB6347">
        <w:rPr>
          <w:rFonts w:ascii="Times New Roman" w:hAnsi="Times New Roman" w:cs="Times New Roman"/>
          <w:spacing w:val="-15"/>
          <w:sz w:val="24"/>
          <w:szCs w:val="24"/>
        </w:rPr>
        <w:t xml:space="preserve"> </w:t>
      </w:r>
      <w:r w:rsidRPr="00FB6347">
        <w:rPr>
          <w:rFonts w:ascii="Times New Roman" w:hAnsi="Times New Roman" w:cs="Times New Roman"/>
          <w:sz w:val="24"/>
          <w:szCs w:val="24"/>
        </w:rPr>
        <w:t>(</w:t>
      </w:r>
      <w:r w:rsidRPr="00FB6347">
        <w:rPr>
          <w:rFonts w:ascii="Times New Roman" w:hAnsi="Times New Roman" w:cs="Times New Roman"/>
          <w:i/>
          <w:sz w:val="24"/>
          <w:szCs w:val="24"/>
        </w:rPr>
        <w:t>piemēram,</w:t>
      </w:r>
      <w:r w:rsidRPr="00FB6347">
        <w:rPr>
          <w:rFonts w:ascii="Times New Roman" w:hAnsi="Times New Roman" w:cs="Times New Roman"/>
          <w:i/>
          <w:spacing w:val="-17"/>
          <w:sz w:val="24"/>
          <w:szCs w:val="24"/>
        </w:rPr>
        <w:t xml:space="preserve"> </w:t>
      </w:r>
      <w:r w:rsidRPr="00FB6347">
        <w:rPr>
          <w:rFonts w:ascii="Times New Roman" w:hAnsi="Times New Roman" w:cs="Times New Roman"/>
          <w:i/>
          <w:sz w:val="24"/>
          <w:szCs w:val="24"/>
        </w:rPr>
        <w:t>nomnieka</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saistību</w:t>
      </w:r>
      <w:r w:rsidRPr="00FB6347">
        <w:rPr>
          <w:rFonts w:ascii="Times New Roman" w:hAnsi="Times New Roman" w:cs="Times New Roman"/>
          <w:i/>
          <w:spacing w:val="-17"/>
          <w:sz w:val="24"/>
          <w:szCs w:val="24"/>
        </w:rPr>
        <w:t xml:space="preserve"> </w:t>
      </w:r>
      <w:r w:rsidRPr="00FB6347">
        <w:rPr>
          <w:rFonts w:ascii="Times New Roman" w:hAnsi="Times New Roman" w:cs="Times New Roman"/>
          <w:i/>
          <w:sz w:val="24"/>
          <w:szCs w:val="24"/>
        </w:rPr>
        <w:t>neizpilde</w:t>
      </w:r>
      <w:r w:rsidRPr="00FB6347">
        <w:rPr>
          <w:rFonts w:ascii="Times New Roman" w:hAnsi="Times New Roman" w:cs="Times New Roman"/>
          <w:sz w:val="24"/>
          <w:szCs w:val="24"/>
        </w:rPr>
        <w:t>),</w:t>
      </w:r>
      <w:r w:rsidRPr="00FB6347">
        <w:rPr>
          <w:rFonts w:ascii="Times New Roman" w:hAnsi="Times New Roman" w:cs="Times New Roman"/>
          <w:spacing w:val="-16"/>
          <w:sz w:val="24"/>
          <w:szCs w:val="24"/>
        </w:rPr>
        <w:t xml:space="preserve"> </w:t>
      </w:r>
      <w:r w:rsidRPr="00FB6347">
        <w:rPr>
          <w:rFonts w:ascii="Times New Roman" w:hAnsi="Times New Roman" w:cs="Times New Roman"/>
          <w:sz w:val="24"/>
          <w:szCs w:val="24"/>
        </w:rPr>
        <w:t>uzskaites</w:t>
      </w:r>
      <w:r w:rsidRPr="00FB6347">
        <w:rPr>
          <w:rFonts w:ascii="Times New Roman" w:hAnsi="Times New Roman" w:cs="Times New Roman"/>
          <w:spacing w:val="-16"/>
          <w:sz w:val="24"/>
          <w:szCs w:val="24"/>
        </w:rPr>
        <w:t xml:space="preserve"> </w:t>
      </w:r>
      <w:r w:rsidRPr="00FB6347">
        <w:rPr>
          <w:rFonts w:ascii="Times New Roman" w:hAnsi="Times New Roman" w:cs="Times New Roman"/>
          <w:sz w:val="24"/>
          <w:szCs w:val="24"/>
        </w:rPr>
        <w:t>nolūkā</w:t>
      </w:r>
      <w:r w:rsidRPr="00FB6347">
        <w:rPr>
          <w:rFonts w:ascii="Times New Roman" w:hAnsi="Times New Roman" w:cs="Times New Roman"/>
          <w:spacing w:val="-18"/>
          <w:sz w:val="24"/>
          <w:szCs w:val="24"/>
        </w:rPr>
        <w:t xml:space="preserve"> </w:t>
      </w:r>
      <w:r w:rsidRPr="00FB6347">
        <w:rPr>
          <w:rFonts w:ascii="Times New Roman" w:hAnsi="Times New Roman" w:cs="Times New Roman"/>
          <w:sz w:val="24"/>
          <w:szCs w:val="24"/>
        </w:rPr>
        <w:t>jaunu</w:t>
      </w:r>
      <w:r w:rsidRPr="00FB6347">
        <w:rPr>
          <w:rFonts w:ascii="Times New Roman" w:hAnsi="Times New Roman" w:cs="Times New Roman"/>
          <w:spacing w:val="-15"/>
          <w:sz w:val="24"/>
          <w:szCs w:val="24"/>
        </w:rPr>
        <w:t xml:space="preserve"> </w:t>
      </w:r>
      <w:r w:rsidRPr="00FB6347">
        <w:rPr>
          <w:rFonts w:ascii="Times New Roman" w:hAnsi="Times New Roman" w:cs="Times New Roman"/>
          <w:sz w:val="24"/>
          <w:szCs w:val="24"/>
        </w:rPr>
        <w:t>nomas klasifikāciju</w:t>
      </w:r>
      <w:r w:rsidRPr="00FB6347">
        <w:rPr>
          <w:rFonts w:ascii="Times New Roman" w:hAnsi="Times New Roman" w:cs="Times New Roman"/>
          <w:spacing w:val="-1"/>
          <w:sz w:val="24"/>
          <w:szCs w:val="24"/>
        </w:rPr>
        <w:t xml:space="preserve"> </w:t>
      </w:r>
      <w:r w:rsidRPr="00FB6347">
        <w:rPr>
          <w:rFonts w:ascii="Times New Roman" w:hAnsi="Times New Roman" w:cs="Times New Roman"/>
          <w:sz w:val="24"/>
          <w:szCs w:val="24"/>
        </w:rPr>
        <w:t>neveic</w:t>
      </w:r>
    </w:p>
    <w:p w14:paraId="0B6C0035" w14:textId="77777777" w:rsidR="00893AB9" w:rsidRDefault="00C050E6"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 xml:space="preserve">847.  Ja nomas līgums ietver gan zemes, gan būvju nomu, nomu klasificē atsevišķi šādā kārtībā:     </w:t>
      </w:r>
    </w:p>
    <w:p w14:paraId="4950B7D6" w14:textId="77777777" w:rsidR="00C050E6" w:rsidRPr="00FB6347" w:rsidRDefault="00C050E6"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 xml:space="preserve">                847.1. būvju nomu klasificē saskaņā ar nomas</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kritērijiem;</w:t>
      </w:r>
    </w:p>
    <w:p w14:paraId="38A96AA1" w14:textId="77777777" w:rsidR="00C050E6" w:rsidRPr="00FB6347" w:rsidRDefault="00893AB9" w:rsidP="00CD363C">
      <w:pPr>
        <w:pStyle w:val="Pamatteksts"/>
        <w:ind w:right="124"/>
        <w:jc w:val="both"/>
        <w:rPr>
          <w:sz w:val="24"/>
          <w:szCs w:val="24"/>
        </w:rPr>
      </w:pPr>
      <w:r>
        <w:rPr>
          <w:sz w:val="24"/>
          <w:szCs w:val="24"/>
        </w:rPr>
        <w:t xml:space="preserve">                </w:t>
      </w:r>
      <w:r w:rsidR="00C050E6" w:rsidRPr="00FB6347">
        <w:rPr>
          <w:sz w:val="24"/>
          <w:szCs w:val="24"/>
        </w:rPr>
        <w:t>847.2. zemes nomai veic sekojošu izvērtējumu:</w:t>
      </w:r>
    </w:p>
    <w:p w14:paraId="566C6CD1" w14:textId="77777777" w:rsidR="00C050E6" w:rsidRPr="00FB6347" w:rsidRDefault="00870ECE" w:rsidP="00CD363C">
      <w:pPr>
        <w:pStyle w:val="Pamatteksts"/>
        <w:ind w:left="1658" w:right="124"/>
        <w:jc w:val="both"/>
        <w:rPr>
          <w:sz w:val="24"/>
          <w:szCs w:val="24"/>
        </w:rPr>
      </w:pPr>
      <w:r>
        <w:rPr>
          <w:noProof/>
          <w:sz w:val="24"/>
          <w:szCs w:val="24"/>
        </w:rPr>
        <mc:AlternateContent>
          <mc:Choice Requires="wpg">
            <w:drawing>
              <wp:anchor distT="0" distB="0" distL="114300" distR="114300" simplePos="0" relativeHeight="251696128" behindDoc="0" locked="0" layoutInCell="1" allowOverlap="1" wp14:anchorId="57F31B63" wp14:editId="246E81E1">
                <wp:simplePos x="0" y="0"/>
                <wp:positionH relativeFrom="page">
                  <wp:posOffset>1584960</wp:posOffset>
                </wp:positionH>
                <wp:positionV relativeFrom="paragraph">
                  <wp:posOffset>124460</wp:posOffset>
                </wp:positionV>
                <wp:extent cx="115570" cy="293370"/>
                <wp:effectExtent l="3810" t="0" r="4445" b="0"/>
                <wp:wrapNone/>
                <wp:docPr id="70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293370"/>
                          <a:chOff x="2496" y="196"/>
                          <a:chExt cx="182" cy="462"/>
                        </a:xfrm>
                      </wpg:grpSpPr>
                      <pic:pic xmlns:pic="http://schemas.openxmlformats.org/drawingml/2006/picture">
                        <pic:nvPicPr>
                          <pic:cNvPr id="706"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17" y="196"/>
                            <a:ext cx="16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96" y="448"/>
                            <a:ext cx="182"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2F2A87" id="Group 114" o:spid="_x0000_s1026" style="position:absolute;margin-left:124.8pt;margin-top:9.8pt;width:9.1pt;height:23.1pt;z-index:251696128;mso-position-horizontal-relative:page" coordorigin="2496,196" coordsize="18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">
                <v:shape id="Picture 115" o:spid="_x0000_s1027" type="#_x0000_t75" style="position:absolute;left:2517;top:196;width:16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">
                  <v:imagedata r:id="rId69" o:title=""/>
                </v:shape>
                <v:shape id="Picture 116" o:spid="_x0000_s1028" type="#_x0000_t75" style="position:absolute;left:2496;top:448;width:182;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">
                  <v:imagedata r:id="rId70" o:title=""/>
                </v:shape>
                <w10:wrap anchorx="page"/>
              </v:group>
            </w:pict>
          </mc:Fallback>
        </mc:AlternateContent>
      </w:r>
      <w:r w:rsidR="00C050E6" w:rsidRPr="00FB6347">
        <w:rPr>
          <w:sz w:val="24"/>
          <w:szCs w:val="24"/>
        </w:rPr>
        <w:t>aprēķina līgumā noteiktos minimālos nomas maksājumus;</w:t>
      </w:r>
    </w:p>
    <w:p w14:paraId="18976EF6" w14:textId="77777777" w:rsidR="00C050E6" w:rsidRPr="00FB6347" w:rsidRDefault="00C050E6" w:rsidP="00CD363C">
      <w:pPr>
        <w:pStyle w:val="Pamatteksts"/>
        <w:ind w:left="1658" w:right="124"/>
        <w:jc w:val="both"/>
        <w:rPr>
          <w:sz w:val="24"/>
          <w:szCs w:val="24"/>
        </w:rPr>
      </w:pPr>
      <w:r w:rsidRPr="00FB6347">
        <w:rPr>
          <w:sz w:val="24"/>
          <w:szCs w:val="24"/>
        </w:rPr>
        <w:t>minimālo nomas maksājumu summu sadala proporcionāli zemes un būvju patiesajai vērtībai nomas uzsākšanas datumā;</w:t>
      </w:r>
    </w:p>
    <w:p w14:paraId="04888F77" w14:textId="77777777" w:rsidR="00C050E6" w:rsidRPr="00FB6347" w:rsidRDefault="00C050E6" w:rsidP="00CD363C">
      <w:pPr>
        <w:pStyle w:val="Pamatteksts"/>
        <w:ind w:left="1658" w:right="124" w:hanging="358"/>
        <w:jc w:val="both"/>
        <w:rPr>
          <w:sz w:val="24"/>
          <w:szCs w:val="24"/>
        </w:rPr>
      </w:pPr>
      <w:r w:rsidRPr="00FB6347">
        <w:rPr>
          <w:noProof/>
          <w:position w:val="-4"/>
          <w:sz w:val="24"/>
          <w:szCs w:val="24"/>
        </w:rPr>
        <w:drawing>
          <wp:inline distT="0" distB="0" distL="0" distR="0" wp14:anchorId="3E795135" wp14:editId="4F2D2822">
            <wp:extent cx="112014" cy="133350"/>
            <wp:effectExtent l="0" t="0" r="0" b="0"/>
            <wp:docPr id="705"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405.png"/>
                    <pic:cNvPicPr/>
                  </pic:nvPicPr>
                  <pic:blipFill>
                    <a:blip r:embed="rId71" cstate="print"/>
                    <a:stretch>
                      <a:fillRect/>
                    </a:stretch>
                  </pic:blipFill>
                  <pic:spPr>
                    <a:xfrm>
                      <a:off x="0" y="0"/>
                      <a:ext cx="112014" cy="133350"/>
                    </a:xfrm>
                    <a:prstGeom prst="rect">
                      <a:avLst/>
                    </a:prstGeom>
                  </pic:spPr>
                </pic:pic>
              </a:graphicData>
            </a:graphic>
          </wp:inline>
        </w:drawing>
      </w:r>
      <w:r w:rsidRPr="00FB6347">
        <w:rPr>
          <w:sz w:val="24"/>
          <w:szCs w:val="24"/>
        </w:rPr>
        <w:t xml:space="preserve">   </w:t>
      </w:r>
      <w:r w:rsidRPr="00FB6347">
        <w:rPr>
          <w:spacing w:val="-19"/>
          <w:sz w:val="24"/>
          <w:szCs w:val="24"/>
        </w:rPr>
        <w:t xml:space="preserve"> </w:t>
      </w:r>
      <w:r w:rsidRPr="00FB6347">
        <w:rPr>
          <w:sz w:val="24"/>
          <w:szCs w:val="24"/>
        </w:rPr>
        <w:t>diskontē zemes un būvju minimālo nomas maksājumu proporcionāli attiecināto daļu, piemērojot nomas līgumā ietverto procentu</w:t>
      </w:r>
      <w:r w:rsidRPr="00FB6347">
        <w:rPr>
          <w:spacing w:val="-4"/>
          <w:sz w:val="24"/>
          <w:szCs w:val="24"/>
        </w:rPr>
        <w:t xml:space="preserve"> </w:t>
      </w:r>
      <w:r w:rsidRPr="00FB6347">
        <w:rPr>
          <w:sz w:val="24"/>
          <w:szCs w:val="24"/>
        </w:rPr>
        <w:t>likmi;</w:t>
      </w:r>
    </w:p>
    <w:p w14:paraId="05F46F46" w14:textId="77777777" w:rsidR="00C050E6" w:rsidRPr="00FB6347" w:rsidRDefault="00C050E6" w:rsidP="00CD363C">
      <w:pPr>
        <w:pStyle w:val="Pamatteksts"/>
        <w:ind w:left="1658" w:right="124" w:hanging="363"/>
        <w:jc w:val="both"/>
        <w:rPr>
          <w:sz w:val="24"/>
          <w:szCs w:val="24"/>
        </w:rPr>
      </w:pPr>
      <w:r w:rsidRPr="00FB6347">
        <w:rPr>
          <w:noProof/>
          <w:position w:val="-4"/>
          <w:sz w:val="24"/>
          <w:szCs w:val="24"/>
        </w:rPr>
        <w:drawing>
          <wp:inline distT="0" distB="0" distL="0" distR="0" wp14:anchorId="12697DF1" wp14:editId="74113501">
            <wp:extent cx="115061" cy="133350"/>
            <wp:effectExtent l="0" t="0" r="0" b="0"/>
            <wp:docPr id="707"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6.png"/>
                    <pic:cNvPicPr/>
                  </pic:nvPicPr>
                  <pic:blipFill>
                    <a:blip r:embed="rId72" cstate="print"/>
                    <a:stretch>
                      <a:fillRect/>
                    </a:stretch>
                  </pic:blipFill>
                  <pic:spPr>
                    <a:xfrm>
                      <a:off x="0" y="0"/>
                      <a:ext cx="115061" cy="133350"/>
                    </a:xfrm>
                    <a:prstGeom prst="rect">
                      <a:avLst/>
                    </a:prstGeom>
                  </pic:spPr>
                </pic:pic>
              </a:graphicData>
            </a:graphic>
          </wp:inline>
        </w:drawing>
      </w:r>
      <w:r w:rsidRPr="00FB6347">
        <w:rPr>
          <w:sz w:val="24"/>
          <w:szCs w:val="24"/>
        </w:rPr>
        <w:t xml:space="preserve">   </w:t>
      </w:r>
      <w:r w:rsidRPr="00FB6347">
        <w:rPr>
          <w:spacing w:val="-19"/>
          <w:sz w:val="24"/>
          <w:szCs w:val="24"/>
        </w:rPr>
        <w:t xml:space="preserve"> </w:t>
      </w:r>
      <w:r w:rsidRPr="00FB6347">
        <w:rPr>
          <w:sz w:val="24"/>
          <w:szCs w:val="24"/>
        </w:rPr>
        <w:t>salīdzina zemes proporcionāli sadalīto minimālo nomas maksājumu diskontēto vērtību (zemes vērtība) ar līguma kopējo minimālo nomas maksājumu diskontēto vērtību (līguma vērtība) un</w:t>
      </w:r>
      <w:r w:rsidRPr="00FB6347">
        <w:rPr>
          <w:spacing w:val="-4"/>
          <w:sz w:val="24"/>
          <w:szCs w:val="24"/>
        </w:rPr>
        <w:t xml:space="preserve"> </w:t>
      </w:r>
      <w:r w:rsidRPr="00FB6347">
        <w:rPr>
          <w:sz w:val="24"/>
          <w:szCs w:val="24"/>
        </w:rPr>
        <w:t>ja:</w:t>
      </w:r>
    </w:p>
    <w:p w14:paraId="0D5D75E6" w14:textId="77777777" w:rsidR="00C050E6" w:rsidRPr="00FB6347" w:rsidRDefault="00C050E6" w:rsidP="00CD363C">
      <w:pPr>
        <w:pStyle w:val="Sarakstarindkopa"/>
        <w:widowControl w:val="0"/>
        <w:numPr>
          <w:ilvl w:val="0"/>
          <w:numId w:val="26"/>
        </w:numPr>
        <w:tabs>
          <w:tab w:val="left" w:pos="1734"/>
        </w:tabs>
        <w:autoSpaceDE w:val="0"/>
        <w:autoSpaceDN w:val="0"/>
        <w:spacing w:after="0" w:line="240" w:lineRule="auto"/>
        <w:ind w:right="124"/>
        <w:contextualSpacing w:val="0"/>
        <w:jc w:val="both"/>
        <w:rPr>
          <w:rFonts w:ascii="Times New Roman" w:hAnsi="Times New Roman" w:cs="Times New Roman"/>
          <w:sz w:val="24"/>
          <w:szCs w:val="24"/>
        </w:rPr>
      </w:pPr>
      <w:r w:rsidRPr="00FB6347">
        <w:rPr>
          <w:rFonts w:ascii="Times New Roman" w:hAnsi="Times New Roman" w:cs="Times New Roman"/>
          <w:sz w:val="24"/>
          <w:szCs w:val="24"/>
        </w:rPr>
        <w:t>zemes vērtība ir mazāka par 10 procentiem no līguma vērtības, zemes nomu klasificē tāpat kā būvju</w:t>
      </w:r>
      <w:r w:rsidRPr="00FB6347">
        <w:rPr>
          <w:rFonts w:ascii="Times New Roman" w:hAnsi="Times New Roman" w:cs="Times New Roman"/>
          <w:spacing w:val="-1"/>
          <w:sz w:val="24"/>
          <w:szCs w:val="24"/>
        </w:rPr>
        <w:t xml:space="preserve"> </w:t>
      </w:r>
      <w:r w:rsidRPr="00FB6347">
        <w:rPr>
          <w:rFonts w:ascii="Times New Roman" w:hAnsi="Times New Roman" w:cs="Times New Roman"/>
          <w:sz w:val="24"/>
          <w:szCs w:val="24"/>
        </w:rPr>
        <w:t>nomu;</w:t>
      </w:r>
    </w:p>
    <w:p w14:paraId="5580A523" w14:textId="77777777" w:rsidR="00C050E6" w:rsidRPr="00FB6347" w:rsidRDefault="00C050E6" w:rsidP="00CD363C">
      <w:pPr>
        <w:pStyle w:val="Sarakstarindkopa"/>
        <w:widowControl w:val="0"/>
        <w:numPr>
          <w:ilvl w:val="0"/>
          <w:numId w:val="26"/>
        </w:numPr>
        <w:tabs>
          <w:tab w:val="left" w:pos="1734"/>
        </w:tabs>
        <w:autoSpaceDE w:val="0"/>
        <w:autoSpaceDN w:val="0"/>
        <w:spacing w:after="0" w:line="240" w:lineRule="auto"/>
        <w:ind w:right="124"/>
        <w:contextualSpacing w:val="0"/>
        <w:jc w:val="both"/>
        <w:rPr>
          <w:rFonts w:ascii="Times New Roman" w:hAnsi="Times New Roman" w:cs="Times New Roman"/>
          <w:sz w:val="24"/>
          <w:szCs w:val="24"/>
        </w:rPr>
      </w:pPr>
      <w:r w:rsidRPr="00FB6347">
        <w:rPr>
          <w:rFonts w:ascii="Times New Roman" w:hAnsi="Times New Roman" w:cs="Times New Roman"/>
          <w:sz w:val="24"/>
          <w:szCs w:val="24"/>
        </w:rPr>
        <w:t>zemes vērtība ir lielāka par 10 procentiem no līguma vērtības, zemes nomu klasificē, izvērtējot</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finanšu</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nomas</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kritērijus.</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Šīs</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sadaļas</w:t>
      </w:r>
      <w:r w:rsidRPr="00FB6347">
        <w:rPr>
          <w:rFonts w:ascii="Times New Roman" w:hAnsi="Times New Roman" w:cs="Times New Roman"/>
          <w:color w:val="0462C1"/>
          <w:spacing w:val="-7"/>
          <w:sz w:val="24"/>
          <w:szCs w:val="24"/>
        </w:rPr>
        <w:t xml:space="preserve"> </w:t>
      </w:r>
      <w:hyperlink w:anchor="_bookmark314" w:history="1">
        <w:r w:rsidRPr="00FB6347">
          <w:rPr>
            <w:rFonts w:ascii="Times New Roman" w:hAnsi="Times New Roman" w:cs="Times New Roman"/>
            <w:color w:val="0462C1"/>
            <w:sz w:val="24"/>
            <w:szCs w:val="24"/>
            <w:u w:val="single" w:color="0462C1"/>
          </w:rPr>
          <w:t>7.7</w:t>
        </w:r>
      </w:hyperlink>
      <w:r w:rsidRPr="00FB6347">
        <w:rPr>
          <w:rFonts w:ascii="Times New Roman" w:hAnsi="Times New Roman" w:cs="Times New Roman"/>
          <w:color w:val="0462C1"/>
          <w:sz w:val="24"/>
          <w:szCs w:val="24"/>
          <w:u w:val="single" w:color="0462C1"/>
        </w:rPr>
        <w:t>.</w:t>
      </w:r>
      <w:r w:rsidRPr="00FB6347">
        <w:rPr>
          <w:rFonts w:ascii="Times New Roman" w:hAnsi="Times New Roman" w:cs="Times New Roman"/>
          <w:color w:val="0462C1"/>
          <w:spacing w:val="-10"/>
          <w:sz w:val="24"/>
          <w:szCs w:val="24"/>
        </w:rPr>
        <w:t xml:space="preserve"> </w:t>
      </w:r>
      <w:r w:rsidRPr="00FB6347">
        <w:rPr>
          <w:rFonts w:ascii="Times New Roman" w:hAnsi="Times New Roman" w:cs="Times New Roman"/>
          <w:sz w:val="24"/>
          <w:szCs w:val="24"/>
        </w:rPr>
        <w:t>apakšpunktā</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minētā</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kritērija</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izvērtēšanai par zemes saimnieciskās izmantošanas laiku pieņem būvju saimnieciskās izmantošanas laiku.</w:t>
      </w:r>
    </w:p>
    <w:p w14:paraId="434C0C7A" w14:textId="77777777" w:rsidR="00D4205D" w:rsidRPr="00FB6347" w:rsidRDefault="00D4205D" w:rsidP="00CD363C">
      <w:pPr>
        <w:spacing w:after="0" w:line="240" w:lineRule="auto"/>
        <w:ind w:right="124"/>
        <w:jc w:val="both"/>
        <w:rPr>
          <w:rFonts w:ascii="Times New Roman" w:hAnsi="Times New Roman" w:cs="Times New Roman"/>
          <w:b/>
          <w:sz w:val="24"/>
          <w:szCs w:val="24"/>
        </w:rPr>
      </w:pPr>
    </w:p>
    <w:p w14:paraId="57877937" w14:textId="77777777" w:rsidR="00D4205D" w:rsidRPr="00FB6347" w:rsidRDefault="00C050E6" w:rsidP="00CD363C">
      <w:pPr>
        <w:spacing w:after="0" w:line="240" w:lineRule="auto"/>
        <w:ind w:right="124"/>
        <w:jc w:val="both"/>
        <w:rPr>
          <w:rFonts w:ascii="Times New Roman" w:hAnsi="Times New Roman" w:cs="Times New Roman"/>
          <w:b/>
          <w:bCs/>
          <w:sz w:val="24"/>
          <w:szCs w:val="24"/>
        </w:rPr>
      </w:pPr>
      <w:r w:rsidRPr="00FB6347">
        <w:rPr>
          <w:rFonts w:ascii="Times New Roman" w:hAnsi="Times New Roman" w:cs="Times New Roman"/>
          <w:b/>
          <w:bCs/>
          <w:sz w:val="24"/>
          <w:szCs w:val="24"/>
        </w:rPr>
        <w:t>20.2. Finanšu nomas uzskaite</w:t>
      </w:r>
    </w:p>
    <w:p w14:paraId="0342051B" w14:textId="77777777" w:rsidR="00C050E6" w:rsidRPr="00FB6347"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848.   Ja nomu klasificē par finanšu nomu, iznomātājs un nomnieks nomas uzsākšanas datumā attiecīgi nosaka nomas termiņa sākumā atzīstamos aktīvus, saistības, ieņēmumus,</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izdevumus.</w:t>
      </w:r>
    </w:p>
    <w:p w14:paraId="16CA9349" w14:textId="77777777" w:rsidR="00C050E6" w:rsidRPr="00FB6347" w:rsidRDefault="00C050E6" w:rsidP="00CD363C">
      <w:pPr>
        <w:pStyle w:val="Virsraksts4"/>
        <w:spacing w:before="0"/>
        <w:ind w:left="218" w:right="124"/>
        <w:jc w:val="both"/>
      </w:pPr>
      <w:r w:rsidRPr="00FB6347">
        <w:rPr>
          <w:color w:val="002069"/>
        </w:rPr>
        <w:t>Finanšu nomas uzskaite no nomnieka puses</w:t>
      </w:r>
    </w:p>
    <w:p w14:paraId="74810D05" w14:textId="77777777" w:rsidR="00D4205D" w:rsidRPr="00FB6347" w:rsidRDefault="00D4205D" w:rsidP="00CD363C">
      <w:pPr>
        <w:spacing w:after="0" w:line="240" w:lineRule="auto"/>
        <w:ind w:right="124"/>
        <w:jc w:val="both"/>
        <w:rPr>
          <w:rFonts w:ascii="Times New Roman" w:hAnsi="Times New Roman" w:cs="Times New Roman"/>
          <w:sz w:val="24"/>
          <w:szCs w:val="24"/>
        </w:rPr>
      </w:pPr>
    </w:p>
    <w:p w14:paraId="15DD5DD3" w14:textId="77777777" w:rsidR="00C050E6"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849.  Lai gan nomas līguma juridiskā forma nosaka, ka nomnieks nevar iegūt nomātā aktīva īpašuma tiesības, finanšu nomas būtība paredz, ka nomnieks no nomātā aktīva lietošanas iegūst saimniecisko labumu lielākajā daļā šī aktīva saimnieciskās izmantošanas laika, apmaiņā pret to uzņemoties pienākumu maksāt par šīm tiesībām summu, kas ir aptuveni vienāda ar aktīva patieso vērtību nomas uzsākšanas brīdī, kā arī maksu par finansējuma izmantošanu (finansēšanas</w:t>
      </w:r>
      <w:r w:rsidRPr="00FB6347">
        <w:rPr>
          <w:rFonts w:ascii="Times New Roman" w:hAnsi="Times New Roman" w:cs="Times New Roman"/>
          <w:spacing w:val="-12"/>
          <w:sz w:val="24"/>
          <w:szCs w:val="24"/>
        </w:rPr>
        <w:t xml:space="preserve"> </w:t>
      </w:r>
      <w:r w:rsidRPr="00FB6347">
        <w:rPr>
          <w:rFonts w:ascii="Times New Roman" w:hAnsi="Times New Roman" w:cs="Times New Roman"/>
          <w:sz w:val="24"/>
          <w:szCs w:val="24"/>
        </w:rPr>
        <w:t>izdevumus).</w:t>
      </w:r>
    </w:p>
    <w:p w14:paraId="6865156E"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850.  Nomas termiņa sākumā budžeta iestāde (nomnieks) atzīst iegādātos aktīvus un attiecīgās finanšu nomas saistības. Nomas saistības tiek sadalītas īstermiņa un ilgtermiņa</w:t>
      </w:r>
      <w:r w:rsidRPr="007B0160">
        <w:rPr>
          <w:rFonts w:ascii="Times New Roman" w:hAnsi="Times New Roman" w:cs="Times New Roman"/>
          <w:spacing w:val="-14"/>
          <w:sz w:val="24"/>
          <w:szCs w:val="24"/>
        </w:rPr>
        <w:t xml:space="preserve"> </w:t>
      </w:r>
      <w:r w:rsidRPr="007B0160">
        <w:rPr>
          <w:rFonts w:ascii="Times New Roman" w:hAnsi="Times New Roman" w:cs="Times New Roman"/>
          <w:sz w:val="24"/>
          <w:szCs w:val="24"/>
        </w:rPr>
        <w:t>saistībās.</w:t>
      </w:r>
    </w:p>
    <w:p w14:paraId="08F41C7E"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851.  Nomas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uzsākšanas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datumā</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nomnieks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atzīst</w:t>
      </w:r>
      <w:r w:rsidRPr="007B0160">
        <w:rPr>
          <w:rFonts w:ascii="Times New Roman" w:hAnsi="Times New Roman" w:cs="Times New Roman"/>
          <w:spacing w:val="-4"/>
          <w:sz w:val="24"/>
          <w:szCs w:val="24"/>
        </w:rPr>
        <w:t xml:space="preserve"> </w:t>
      </w:r>
      <w:r w:rsidRPr="007B0160">
        <w:rPr>
          <w:rFonts w:ascii="Times New Roman" w:hAnsi="Times New Roman" w:cs="Times New Roman"/>
          <w:sz w:val="24"/>
          <w:szCs w:val="24"/>
        </w:rPr>
        <w:t>nomāto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aktīvu</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ilgtermiņa</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ieguldījumu</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sastāvā</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un</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saistības par nomu ilgtermiņa un īstermiņa saistību sastāvā, summējot veicamo minimālo nomas maksājumu pašreizējo vērtību un sākotnējās tiešās darījuma izmaksas, piemēram, komisijas maksas vai nomas noformēšanas pakalpojuma maksas. Nomas darījuma ietvaros veiktu sākotnējo iemaksu ietver minimālo nomas maksājumu summas pašreizējā vērtībā un uzskaita kā minimālo nomas maksājumu daļu.</w:t>
      </w:r>
    </w:p>
    <w:p w14:paraId="17F5C719"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852. Minimālo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maksājumu</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pašreizējās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vērtības</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aprēķināšanai</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lieto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līgumā</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noteikto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procentu likmi. Ja nomas darījumā piemēroto procentu likmi nav iespējams noteikt, piemēro atbilstošu Valsts kases tīmekļvietnē publicēto procentu</w:t>
      </w:r>
      <w:r w:rsidRPr="007B0160">
        <w:rPr>
          <w:rFonts w:ascii="Times New Roman" w:hAnsi="Times New Roman" w:cs="Times New Roman"/>
          <w:spacing w:val="-3"/>
          <w:sz w:val="24"/>
          <w:szCs w:val="24"/>
        </w:rPr>
        <w:t xml:space="preserve"> </w:t>
      </w:r>
      <w:r w:rsidRPr="007B0160">
        <w:rPr>
          <w:rFonts w:ascii="Times New Roman" w:hAnsi="Times New Roman" w:cs="Times New Roman"/>
          <w:sz w:val="24"/>
          <w:szCs w:val="24"/>
        </w:rPr>
        <w:t>likmi.</w:t>
      </w:r>
    </w:p>
    <w:p w14:paraId="4AE3BBD6"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853.  Budžeta</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iestāde</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uzsākšanas</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datumā</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veic</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sekojošu</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grāmatojumu,</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atzīstot</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aktīvu</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un</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saistības</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par nomu minimālo nomas maksājumu pašreizējā</w:t>
      </w:r>
      <w:r w:rsidRPr="007B0160">
        <w:rPr>
          <w:rFonts w:ascii="Times New Roman" w:hAnsi="Times New Roman" w:cs="Times New Roman"/>
          <w:spacing w:val="3"/>
          <w:sz w:val="24"/>
          <w:szCs w:val="24"/>
        </w:rPr>
        <w:t xml:space="preserve"> </w:t>
      </w:r>
      <w:r w:rsidRPr="007B0160">
        <w:rPr>
          <w:rFonts w:ascii="Times New Roman" w:hAnsi="Times New Roman" w:cs="Times New Roman"/>
          <w:sz w:val="24"/>
          <w:szCs w:val="24"/>
        </w:rPr>
        <w:t>vērtībā:</w:t>
      </w:r>
    </w:p>
    <w:p w14:paraId="1DA9CB99"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D    1100   Nemateriālie ieguldījumi</w:t>
      </w:r>
    </w:p>
    <w:p w14:paraId="15F471AB"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D*  1200   Pamatlīdzekļi</w:t>
      </w:r>
    </w:p>
    <w:p w14:paraId="5DB972BA" w14:textId="77777777" w:rsidR="00E00DDA" w:rsidRPr="007B0160" w:rsidRDefault="00E00DDA" w:rsidP="00CD363C">
      <w:pPr>
        <w:spacing w:after="0" w:line="240" w:lineRule="auto"/>
        <w:ind w:left="1351" w:right="124"/>
        <w:jc w:val="both"/>
        <w:rPr>
          <w:rFonts w:ascii="Times New Roman" w:hAnsi="Times New Roman" w:cs="Times New Roman"/>
          <w:i/>
          <w:sz w:val="24"/>
          <w:szCs w:val="24"/>
        </w:rPr>
      </w:pPr>
      <w:r w:rsidRPr="007B0160">
        <w:rPr>
          <w:rFonts w:ascii="Times New Roman" w:hAnsi="Times New Roman" w:cs="Times New Roman"/>
          <w:i/>
          <w:sz w:val="24"/>
          <w:szCs w:val="24"/>
        </w:rPr>
        <w:t>* gadījumā, ja budžeta iestāde ir PVN maksātāja.</w:t>
      </w:r>
    </w:p>
    <w:p w14:paraId="2E733FF5" w14:textId="77777777" w:rsidR="00E00DDA" w:rsidRPr="007B0160" w:rsidRDefault="00E00DDA" w:rsidP="00CD363C">
      <w:pPr>
        <w:spacing w:after="0" w:line="240" w:lineRule="auto"/>
        <w:ind w:left="1351" w:right="124"/>
        <w:jc w:val="both"/>
        <w:rPr>
          <w:rFonts w:ascii="Times New Roman" w:hAnsi="Times New Roman" w:cs="Times New Roman"/>
          <w:i/>
          <w:sz w:val="24"/>
          <w:szCs w:val="24"/>
        </w:rPr>
      </w:pPr>
      <w:r w:rsidRPr="007B0160">
        <w:rPr>
          <w:rFonts w:ascii="Times New Roman" w:hAnsi="Times New Roman" w:cs="Times New Roman"/>
          <w:i/>
          <w:sz w:val="24"/>
          <w:szCs w:val="24"/>
        </w:rPr>
        <w:t>** budžeta iestāde grāmatvedības uzskaites kārtībā var noteikt detalizētu PVN uzskaites kontu pielietojumu.</w:t>
      </w:r>
    </w:p>
    <w:p w14:paraId="1669738C"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854.  </w:t>
      </w:r>
      <w:r w:rsidR="00E00DDA" w:rsidRPr="007B0160">
        <w:rPr>
          <w:rFonts w:ascii="Times New Roman" w:hAnsi="Times New Roman" w:cs="Times New Roman"/>
          <w:sz w:val="24"/>
          <w:szCs w:val="24"/>
        </w:rPr>
        <w:t>Finanšu nomas ietvaros katrā pārskata periodā veidojas nolietojamo aktīvu nolietojuma izmaksas, kā arī finansēšanas</w:t>
      </w:r>
      <w:r w:rsidR="00E00DDA" w:rsidRPr="007B0160">
        <w:rPr>
          <w:rFonts w:ascii="Times New Roman" w:hAnsi="Times New Roman" w:cs="Times New Roman"/>
          <w:spacing w:val="-5"/>
          <w:sz w:val="24"/>
          <w:szCs w:val="24"/>
        </w:rPr>
        <w:t xml:space="preserve"> </w:t>
      </w:r>
      <w:r w:rsidR="00E00DDA" w:rsidRPr="007B0160">
        <w:rPr>
          <w:rFonts w:ascii="Times New Roman" w:hAnsi="Times New Roman" w:cs="Times New Roman"/>
          <w:sz w:val="24"/>
          <w:szCs w:val="24"/>
        </w:rPr>
        <w:t>izdevumi.</w:t>
      </w:r>
    </w:p>
    <w:p w14:paraId="668277A8"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855.  </w:t>
      </w:r>
      <w:r w:rsidR="00E00DDA" w:rsidRPr="007B0160">
        <w:rPr>
          <w:rFonts w:ascii="Times New Roman" w:hAnsi="Times New Roman" w:cs="Times New Roman"/>
          <w:sz w:val="24"/>
          <w:szCs w:val="24"/>
        </w:rPr>
        <w:t>Ja ir pietiekama pārliecība, ka nomnieks nomas termiņa beigās iegūs aktīva īpašuma tiesības, nomātā aktīva sagaidāmais nolietojuma periods ir nomātā aktīva lietderīgās lietošanas laiks. Ja šādas pārliecības nav, tad nomātā aktīva nolietošanas periods ir nomas termiņa</w:t>
      </w:r>
      <w:r w:rsidR="00E00DDA" w:rsidRPr="007B0160">
        <w:rPr>
          <w:rFonts w:ascii="Times New Roman" w:hAnsi="Times New Roman" w:cs="Times New Roman"/>
          <w:spacing w:val="-11"/>
          <w:sz w:val="24"/>
          <w:szCs w:val="24"/>
        </w:rPr>
        <w:t xml:space="preserve"> </w:t>
      </w:r>
      <w:r w:rsidR="00E00DDA" w:rsidRPr="007B0160">
        <w:rPr>
          <w:rFonts w:ascii="Times New Roman" w:hAnsi="Times New Roman" w:cs="Times New Roman"/>
          <w:sz w:val="24"/>
          <w:szCs w:val="24"/>
        </w:rPr>
        <w:t>laiks.</w:t>
      </w:r>
    </w:p>
    <w:p w14:paraId="363551E8"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856. </w:t>
      </w:r>
      <w:r w:rsidR="00E00DDA" w:rsidRPr="007B0160">
        <w:rPr>
          <w:rFonts w:ascii="Times New Roman" w:hAnsi="Times New Roman" w:cs="Times New Roman"/>
          <w:sz w:val="24"/>
          <w:szCs w:val="24"/>
        </w:rPr>
        <w:t xml:space="preserve">Tālāko nemateriālo ieguldījumu vai pamatlīdzekļa uzskaiti budžeta iestāde veic saskaņā ar </w:t>
      </w:r>
      <w:r w:rsidRPr="007B0160">
        <w:rPr>
          <w:rFonts w:ascii="Times New Roman" w:hAnsi="Times New Roman" w:cs="Times New Roman"/>
          <w:sz w:val="24"/>
          <w:szCs w:val="24"/>
        </w:rPr>
        <w:t>Grāmatvedības uzskaites kārtības</w:t>
      </w:r>
      <w:r w:rsidR="00E00DDA" w:rsidRPr="007B0160">
        <w:rPr>
          <w:rFonts w:ascii="Times New Roman" w:hAnsi="Times New Roman" w:cs="Times New Roman"/>
          <w:sz w:val="24"/>
          <w:szCs w:val="24"/>
        </w:rPr>
        <w:t xml:space="preserve"> sadaļu</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2" w:history="1">
        <w:r w:rsidR="00E00DDA" w:rsidRPr="007B0160">
          <w:rPr>
            <w:rFonts w:ascii="Times New Roman" w:hAnsi="Times New Roman" w:cs="Times New Roman"/>
            <w:color w:val="0462C1"/>
            <w:sz w:val="24"/>
            <w:szCs w:val="24"/>
            <w:u w:val="single" w:color="0462C1"/>
          </w:rPr>
          <w:t>Nemateriālo ieguldījumu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sz w:val="24"/>
          <w:szCs w:val="24"/>
        </w:rPr>
        <w:t xml:space="preserve">un </w:t>
      </w:r>
      <w:r w:rsidRPr="007B0160">
        <w:rPr>
          <w:rFonts w:ascii="Times New Roman" w:hAnsi="Times New Roman" w:cs="Times New Roman"/>
          <w:sz w:val="24"/>
          <w:szCs w:val="24"/>
        </w:rPr>
        <w:t xml:space="preserve">Grāmatvedības uzskaites kārtības </w:t>
      </w:r>
      <w:r w:rsidR="00E00DDA" w:rsidRPr="007B0160">
        <w:rPr>
          <w:rFonts w:ascii="Times New Roman" w:hAnsi="Times New Roman" w:cs="Times New Roman"/>
          <w:sz w:val="24"/>
          <w:szCs w:val="24"/>
        </w:rPr>
        <w:t>sadaļu</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33" w:history="1">
        <w:r w:rsidR="00E00DDA" w:rsidRPr="007B0160">
          <w:rPr>
            <w:rFonts w:ascii="Times New Roman" w:hAnsi="Times New Roman" w:cs="Times New Roman"/>
            <w:color w:val="0462C1"/>
            <w:sz w:val="24"/>
            <w:szCs w:val="24"/>
            <w:u w:val="single" w:color="0462C1"/>
          </w:rPr>
          <w:t>Pamatlīdzekļu</w:t>
        </w:r>
      </w:hyperlink>
      <w:hyperlink w:anchor="_bookmark33" w:history="1">
        <w:r w:rsidR="00E00DDA" w:rsidRPr="007B0160">
          <w:rPr>
            <w:rFonts w:ascii="Times New Roman" w:hAnsi="Times New Roman" w:cs="Times New Roman"/>
            <w:color w:val="0462C1"/>
            <w:sz w:val="24"/>
            <w:szCs w:val="24"/>
            <w:u w:val="single" w:color="0462C1"/>
          </w:rPr>
          <w:t xml:space="preserve">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sz w:val="24"/>
          <w:szCs w:val="24"/>
        </w:rPr>
        <w:t>.</w:t>
      </w:r>
    </w:p>
    <w:p w14:paraId="3693FE02"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857.   </w:t>
      </w:r>
      <w:r w:rsidR="00E00DDA" w:rsidRPr="007B0160">
        <w:rPr>
          <w:rFonts w:ascii="Times New Roman" w:hAnsi="Times New Roman" w:cs="Times New Roman"/>
          <w:sz w:val="24"/>
          <w:szCs w:val="24"/>
        </w:rPr>
        <w:t xml:space="preserve">Nomātajiem nolietojamiem aktīviem piemēro tādus pašus nolietojuma aprēķināšanas principus, kādi ir noteikti nomnieka īpašumā esošiem aktīviem, un atzītais nolietojums vai amortizācija jāaprēķina saskaņā ar </w:t>
      </w:r>
      <w:r w:rsidRPr="007B0160">
        <w:rPr>
          <w:rFonts w:ascii="Times New Roman" w:hAnsi="Times New Roman" w:cs="Times New Roman"/>
          <w:sz w:val="24"/>
          <w:szCs w:val="24"/>
        </w:rPr>
        <w:t>Grāmatvedības uzskaites kārtības</w:t>
      </w:r>
      <w:r w:rsidR="00E00DDA" w:rsidRPr="007B0160">
        <w:rPr>
          <w:rFonts w:ascii="Times New Roman" w:hAnsi="Times New Roman" w:cs="Times New Roman"/>
          <w:sz w:val="24"/>
          <w:szCs w:val="24"/>
        </w:rPr>
        <w:t xml:space="preserve"> sadaļu</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33" w:history="1">
        <w:r w:rsidR="00E00DDA" w:rsidRPr="007B0160">
          <w:rPr>
            <w:rFonts w:ascii="Times New Roman" w:hAnsi="Times New Roman" w:cs="Times New Roman"/>
            <w:color w:val="0462C1"/>
            <w:sz w:val="24"/>
            <w:szCs w:val="24"/>
            <w:u w:val="single" w:color="0462C1"/>
          </w:rPr>
          <w:t>Pamatlīdzekļu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sz w:val="24"/>
          <w:szCs w:val="24"/>
        </w:rPr>
        <w:t>un</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2" w:history="1">
        <w:r w:rsidR="00E00DDA" w:rsidRPr="007B0160">
          <w:rPr>
            <w:rFonts w:ascii="Times New Roman" w:hAnsi="Times New Roman" w:cs="Times New Roman"/>
            <w:color w:val="0462C1"/>
            <w:sz w:val="24"/>
            <w:szCs w:val="24"/>
            <w:u w:val="single" w:color="0462C1"/>
          </w:rPr>
          <w:t>Nemateriālo ieguldījumu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sz w:val="24"/>
          <w:szCs w:val="24"/>
        </w:rPr>
        <w:t xml:space="preserve"> prasībām.</w:t>
      </w:r>
    </w:p>
    <w:p w14:paraId="66846C90"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858.   </w:t>
      </w:r>
      <w:r w:rsidR="00E00DDA" w:rsidRPr="007B0160">
        <w:rPr>
          <w:rFonts w:ascii="Times New Roman" w:hAnsi="Times New Roman" w:cs="Times New Roman"/>
          <w:sz w:val="24"/>
          <w:szCs w:val="24"/>
        </w:rPr>
        <w:t>Finanšu nomas (Nomas) procentu maksājumus atzīst finanšu izdevumos periodā, kad tie radušies, neatkarīgi no tā, vai nauda ir samaksāta, veicot sekojošu</w:t>
      </w:r>
      <w:r w:rsidR="00E00DDA" w:rsidRPr="007B0160">
        <w:rPr>
          <w:rFonts w:ascii="Times New Roman" w:hAnsi="Times New Roman" w:cs="Times New Roman"/>
          <w:spacing w:val="-6"/>
          <w:sz w:val="24"/>
          <w:szCs w:val="24"/>
        </w:rPr>
        <w:t xml:space="preserve"> </w:t>
      </w:r>
      <w:r w:rsidR="00E00DDA" w:rsidRPr="007B0160">
        <w:rPr>
          <w:rFonts w:ascii="Times New Roman" w:hAnsi="Times New Roman" w:cs="Times New Roman"/>
          <w:sz w:val="24"/>
          <w:szCs w:val="24"/>
        </w:rPr>
        <w:t>grāmatojumu:</w:t>
      </w:r>
    </w:p>
    <w:p w14:paraId="0145C85A"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D    8200   Procentu izdevumi</w:t>
      </w:r>
    </w:p>
    <w:p w14:paraId="6D23D7B8"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K    5317   Saistības par % un citiem maksājumiem</w:t>
      </w:r>
    </w:p>
    <w:p w14:paraId="1317A270"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859. Pārskata</w:t>
      </w:r>
      <w:r w:rsidRPr="007B0160">
        <w:rPr>
          <w:rFonts w:ascii="Times New Roman" w:hAnsi="Times New Roman" w:cs="Times New Roman"/>
          <w:spacing w:val="-12"/>
          <w:sz w:val="24"/>
          <w:szCs w:val="24"/>
        </w:rPr>
        <w:t xml:space="preserve"> </w:t>
      </w:r>
      <w:r w:rsidRPr="007B0160">
        <w:rPr>
          <w:rFonts w:ascii="Times New Roman" w:hAnsi="Times New Roman" w:cs="Times New Roman"/>
          <w:sz w:val="24"/>
          <w:szCs w:val="24"/>
        </w:rPr>
        <w:t>perioda</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beigās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budžeta</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iestāde</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aprēķina</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to</w:t>
      </w:r>
      <w:r w:rsidRPr="007B0160">
        <w:rPr>
          <w:rFonts w:ascii="Times New Roman" w:hAnsi="Times New Roman" w:cs="Times New Roman"/>
          <w:spacing w:val="-12"/>
          <w:sz w:val="24"/>
          <w:szCs w:val="24"/>
        </w:rPr>
        <w:t xml:space="preserve"> </w:t>
      </w:r>
      <w:r w:rsidRPr="007B0160">
        <w:rPr>
          <w:rFonts w:ascii="Times New Roman" w:hAnsi="Times New Roman" w:cs="Times New Roman"/>
          <w:sz w:val="24"/>
          <w:szCs w:val="24"/>
        </w:rPr>
        <w:t>finanšu</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saistību</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daļu,</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kura</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atmaksājama</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12 mēnešu laikā no bilances datuma, un veic sekojošu</w:t>
      </w:r>
      <w:r w:rsidRPr="007B0160">
        <w:rPr>
          <w:rFonts w:ascii="Times New Roman" w:hAnsi="Times New Roman" w:cs="Times New Roman"/>
          <w:spacing w:val="-3"/>
          <w:sz w:val="24"/>
          <w:szCs w:val="24"/>
        </w:rPr>
        <w:t xml:space="preserve"> </w:t>
      </w:r>
      <w:r w:rsidRPr="007B0160">
        <w:rPr>
          <w:rFonts w:ascii="Times New Roman" w:hAnsi="Times New Roman" w:cs="Times New Roman"/>
          <w:sz w:val="24"/>
          <w:szCs w:val="24"/>
        </w:rPr>
        <w:t>grāmatojumu:</w:t>
      </w:r>
    </w:p>
    <w:p w14:paraId="0CBF539E"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sz w:val="24"/>
          <w:szCs w:val="24"/>
        </w:rPr>
        <w:t xml:space="preserve">    </w:t>
      </w:r>
      <w:r w:rsidRPr="007B0160">
        <w:rPr>
          <w:rFonts w:ascii="Times New Roman" w:hAnsi="Times New Roman" w:cs="Times New Roman"/>
          <w:b/>
          <w:bCs/>
          <w:sz w:val="24"/>
          <w:szCs w:val="24"/>
        </w:rPr>
        <w:t>D    5135   Ilgtermiņa saistības par finanšu nomu</w:t>
      </w:r>
    </w:p>
    <w:p w14:paraId="22F79F54"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K    5315   Īstermiņa saistības par finanšu nomu</w:t>
      </w:r>
    </w:p>
    <w:p w14:paraId="10A82592" w14:textId="77777777" w:rsidR="007B0160"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 xml:space="preserve">860.   </w:t>
      </w:r>
      <w:r w:rsidR="007B0160" w:rsidRPr="00100F64">
        <w:rPr>
          <w:rFonts w:ascii="Times New Roman" w:hAnsi="Times New Roman" w:cs="Times New Roman"/>
          <w:sz w:val="24"/>
          <w:szCs w:val="24"/>
        </w:rPr>
        <w:t>Minimālos nomas maksājumus sadala un attiecina uz finansēšanas izdevumiem un nenokārtoto saistību samazinājumu. Finansēšanas izdevumus sadala pa periodiem nomas termiņa laikā tā, lai saistību atlikumam veidotos nemainīga periodiska procentu likme. Papildus nomas</w:t>
      </w:r>
      <w:r w:rsidR="007B0160" w:rsidRPr="00100F64">
        <w:rPr>
          <w:rFonts w:ascii="Times New Roman" w:hAnsi="Times New Roman" w:cs="Times New Roman"/>
          <w:spacing w:val="-22"/>
          <w:sz w:val="24"/>
          <w:szCs w:val="24"/>
        </w:rPr>
        <w:t xml:space="preserve"> </w:t>
      </w:r>
      <w:r w:rsidR="007B0160" w:rsidRPr="00100F64">
        <w:rPr>
          <w:rFonts w:ascii="Times New Roman" w:hAnsi="Times New Roman" w:cs="Times New Roman"/>
          <w:sz w:val="24"/>
          <w:szCs w:val="24"/>
        </w:rPr>
        <w:t>maksājumus</w:t>
      </w:r>
    </w:p>
    <w:p w14:paraId="1DB61387" w14:textId="77777777" w:rsidR="007B0160" w:rsidRPr="00100F64" w:rsidRDefault="007B0160" w:rsidP="00CD363C">
      <w:pPr>
        <w:pStyle w:val="Pamatteksts"/>
        <w:ind w:left="898" w:right="124"/>
        <w:jc w:val="both"/>
        <w:rPr>
          <w:sz w:val="24"/>
          <w:szCs w:val="24"/>
        </w:rPr>
      </w:pPr>
      <w:r w:rsidRPr="00100F64">
        <w:rPr>
          <w:sz w:val="24"/>
          <w:szCs w:val="24"/>
        </w:rPr>
        <w:t>iekļauj izdevumos periodā, kad tie radušies</w:t>
      </w:r>
      <w:r w:rsidRPr="00B14C37">
        <w:rPr>
          <w:sz w:val="24"/>
          <w:szCs w:val="24"/>
        </w:rPr>
        <w:t xml:space="preserve">. </w:t>
      </w:r>
      <w:r w:rsidR="00DC6D9B" w:rsidRPr="00B14C37">
        <w:rPr>
          <w:sz w:val="24"/>
          <w:szCs w:val="24"/>
        </w:rPr>
        <w:t>20.5.</w:t>
      </w:r>
      <w:r w:rsidRPr="00B14C37">
        <w:rPr>
          <w:sz w:val="24"/>
          <w:szCs w:val="24"/>
        </w:rPr>
        <w:t>.apakšnodaļā</w:t>
      </w:r>
      <w:r w:rsidRPr="00DC6D9B">
        <w:rPr>
          <w:sz w:val="24"/>
          <w:szCs w:val="24"/>
        </w:rPr>
        <w:t xml:space="preserve"> </w:t>
      </w:r>
      <w:r w:rsidRPr="00DC6D9B">
        <w:rPr>
          <w:color w:val="0462C1"/>
          <w:sz w:val="24"/>
          <w:szCs w:val="24"/>
          <w:u w:val="single" w:color="0462C1"/>
        </w:rPr>
        <w:t>“</w:t>
      </w:r>
      <w:hyperlink w:anchor="_bookmark326" w:history="1">
        <w:r w:rsidR="00DC6D9B" w:rsidRPr="00DC6D9B">
          <w:rPr>
            <w:color w:val="0462C1"/>
            <w:sz w:val="24"/>
            <w:szCs w:val="24"/>
            <w:u w:val="single" w:color="0462C1"/>
          </w:rPr>
          <w:t>20.5.3</w:t>
        </w:r>
        <w:r w:rsidRPr="00DC6D9B">
          <w:rPr>
            <w:color w:val="0462C1"/>
            <w:sz w:val="24"/>
            <w:szCs w:val="24"/>
            <w:u w:val="single" w:color="0462C1"/>
          </w:rPr>
          <w:t>. Piemērs – Finanšu nomas</w:t>
        </w:r>
      </w:hyperlink>
      <w:r w:rsidRPr="00100F64">
        <w:rPr>
          <w:color w:val="0462C1"/>
          <w:sz w:val="24"/>
          <w:szCs w:val="24"/>
        </w:rPr>
        <w:t xml:space="preserve"> </w:t>
      </w:r>
      <w:hyperlink w:anchor="_bookmark326" w:history="1">
        <w:r w:rsidRPr="00100F64">
          <w:rPr>
            <w:color w:val="0462C1"/>
            <w:sz w:val="24"/>
            <w:szCs w:val="24"/>
            <w:u w:val="single" w:color="0462C1"/>
          </w:rPr>
          <w:t>uzskaite</w:t>
        </w:r>
        <w:r w:rsidRPr="00100F64">
          <w:rPr>
            <w:color w:val="0462C1"/>
            <w:spacing w:val="-5"/>
            <w:sz w:val="24"/>
            <w:szCs w:val="24"/>
            <w:u w:val="single" w:color="0462C1"/>
          </w:rPr>
          <w:t xml:space="preserve"> </w:t>
        </w:r>
        <w:r w:rsidRPr="00100F64">
          <w:rPr>
            <w:color w:val="0462C1"/>
            <w:sz w:val="24"/>
            <w:szCs w:val="24"/>
            <w:u w:val="single" w:color="0462C1"/>
          </w:rPr>
          <w:t>no</w:t>
        </w:r>
        <w:r w:rsidRPr="00100F64">
          <w:rPr>
            <w:color w:val="0462C1"/>
            <w:spacing w:val="-8"/>
            <w:sz w:val="24"/>
            <w:szCs w:val="24"/>
            <w:u w:val="single" w:color="0462C1"/>
          </w:rPr>
          <w:t xml:space="preserve"> </w:t>
        </w:r>
        <w:r w:rsidRPr="00100F64">
          <w:rPr>
            <w:color w:val="0462C1"/>
            <w:sz w:val="24"/>
            <w:szCs w:val="24"/>
            <w:u w:val="single" w:color="0462C1"/>
          </w:rPr>
          <w:t>nomnieka</w:t>
        </w:r>
        <w:r w:rsidRPr="00100F64">
          <w:rPr>
            <w:color w:val="0462C1"/>
            <w:spacing w:val="-5"/>
            <w:sz w:val="24"/>
            <w:szCs w:val="24"/>
            <w:u w:val="single" w:color="0462C1"/>
          </w:rPr>
          <w:t xml:space="preserve"> </w:t>
        </w:r>
        <w:r w:rsidRPr="00100F64">
          <w:rPr>
            <w:color w:val="0462C1"/>
            <w:sz w:val="24"/>
            <w:szCs w:val="24"/>
            <w:u w:val="single" w:color="0462C1"/>
          </w:rPr>
          <w:t>puses</w:t>
        </w:r>
      </w:hyperlink>
      <w:r w:rsidRPr="00100F64">
        <w:rPr>
          <w:color w:val="0462C1"/>
          <w:sz w:val="24"/>
          <w:szCs w:val="24"/>
          <w:u w:val="single" w:color="0462C1"/>
        </w:rPr>
        <w:t>”</w:t>
      </w:r>
      <w:r w:rsidRPr="00100F64">
        <w:rPr>
          <w:color w:val="0462C1"/>
          <w:spacing w:val="-5"/>
          <w:sz w:val="24"/>
          <w:szCs w:val="24"/>
        </w:rPr>
        <w:t xml:space="preserve"> </w:t>
      </w:r>
      <w:r w:rsidRPr="00100F64">
        <w:rPr>
          <w:sz w:val="24"/>
          <w:szCs w:val="24"/>
        </w:rPr>
        <w:t>sniegts</w:t>
      </w:r>
      <w:r w:rsidRPr="00100F64">
        <w:rPr>
          <w:spacing w:val="-7"/>
          <w:sz w:val="24"/>
          <w:szCs w:val="24"/>
        </w:rPr>
        <w:t xml:space="preserve"> </w:t>
      </w:r>
      <w:r w:rsidRPr="00100F64">
        <w:rPr>
          <w:sz w:val="24"/>
          <w:szCs w:val="24"/>
        </w:rPr>
        <w:t>praktisks</w:t>
      </w:r>
      <w:r w:rsidRPr="00100F64">
        <w:rPr>
          <w:spacing w:val="-5"/>
          <w:sz w:val="24"/>
          <w:szCs w:val="24"/>
        </w:rPr>
        <w:t xml:space="preserve"> </w:t>
      </w:r>
      <w:r w:rsidRPr="00100F64">
        <w:rPr>
          <w:sz w:val="24"/>
          <w:szCs w:val="24"/>
        </w:rPr>
        <w:t>piemērs</w:t>
      </w:r>
      <w:r w:rsidRPr="00100F64">
        <w:rPr>
          <w:spacing w:val="-10"/>
          <w:sz w:val="24"/>
          <w:szCs w:val="24"/>
        </w:rPr>
        <w:t xml:space="preserve"> </w:t>
      </w:r>
      <w:r w:rsidRPr="00100F64">
        <w:rPr>
          <w:sz w:val="24"/>
          <w:szCs w:val="24"/>
        </w:rPr>
        <w:t>finansēšanas</w:t>
      </w:r>
      <w:r w:rsidRPr="00100F64">
        <w:rPr>
          <w:spacing w:val="-8"/>
          <w:sz w:val="24"/>
          <w:szCs w:val="24"/>
        </w:rPr>
        <w:t xml:space="preserve"> </w:t>
      </w:r>
      <w:r w:rsidRPr="00100F64">
        <w:rPr>
          <w:sz w:val="24"/>
          <w:szCs w:val="24"/>
        </w:rPr>
        <w:t>izdevumu</w:t>
      </w:r>
      <w:r w:rsidRPr="00100F64">
        <w:rPr>
          <w:spacing w:val="-5"/>
          <w:sz w:val="24"/>
          <w:szCs w:val="24"/>
        </w:rPr>
        <w:t xml:space="preserve"> </w:t>
      </w:r>
      <w:r w:rsidRPr="00100F64">
        <w:rPr>
          <w:sz w:val="24"/>
          <w:szCs w:val="24"/>
        </w:rPr>
        <w:t>sadalei</w:t>
      </w:r>
      <w:r w:rsidRPr="00100F64">
        <w:rPr>
          <w:spacing w:val="-5"/>
          <w:sz w:val="24"/>
          <w:szCs w:val="24"/>
        </w:rPr>
        <w:t xml:space="preserve"> </w:t>
      </w:r>
      <w:r w:rsidRPr="00100F64">
        <w:rPr>
          <w:sz w:val="24"/>
          <w:szCs w:val="24"/>
        </w:rPr>
        <w:t>nomas</w:t>
      </w:r>
      <w:r w:rsidRPr="00100F64">
        <w:rPr>
          <w:spacing w:val="-5"/>
          <w:sz w:val="24"/>
          <w:szCs w:val="24"/>
        </w:rPr>
        <w:t xml:space="preserve"> </w:t>
      </w:r>
      <w:r w:rsidRPr="00100F64">
        <w:rPr>
          <w:sz w:val="24"/>
          <w:szCs w:val="24"/>
        </w:rPr>
        <w:t>termiņa laikā.</w:t>
      </w:r>
    </w:p>
    <w:p w14:paraId="6D17F270"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861.  Nomātā aktīva pārskata periodā atzītā nolietojuma izdevumu un attiecīgajā periodā radušos saistību finansēšanas izdevumu summa parasti nesakrīt ar šajā periodā veicamajiem nomas maksājumiem. Tādējādi</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nomātā</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aktīva</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un</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attiecīgo</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nomas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saistību</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summas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nomas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termiņa</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laikā</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parasti</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nav</w:t>
      </w:r>
      <w:r w:rsidRPr="00100F64">
        <w:rPr>
          <w:rFonts w:ascii="Times New Roman" w:hAnsi="Times New Roman" w:cs="Times New Roman"/>
          <w:spacing w:val="-13"/>
          <w:sz w:val="24"/>
          <w:szCs w:val="24"/>
        </w:rPr>
        <w:t xml:space="preserve"> </w:t>
      </w:r>
      <w:r w:rsidRPr="00100F64">
        <w:rPr>
          <w:rFonts w:ascii="Times New Roman" w:hAnsi="Times New Roman" w:cs="Times New Roman"/>
          <w:sz w:val="24"/>
          <w:szCs w:val="24"/>
        </w:rPr>
        <w:t>vienādas.</w:t>
      </w:r>
    </w:p>
    <w:p w14:paraId="4ABCAF11"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862.  Pārskata gada beigās budžeta iestāde veic nomas aktīva vērtības samazināšanās pārbaudes, lai noteiktu,</w:t>
      </w:r>
      <w:r w:rsidRPr="00100F64">
        <w:rPr>
          <w:rFonts w:ascii="Times New Roman" w:hAnsi="Times New Roman" w:cs="Times New Roman"/>
          <w:spacing w:val="-8"/>
          <w:sz w:val="24"/>
          <w:szCs w:val="24"/>
        </w:rPr>
        <w:t xml:space="preserve"> </w:t>
      </w:r>
      <w:r w:rsidRPr="00100F64">
        <w:rPr>
          <w:rFonts w:ascii="Times New Roman" w:hAnsi="Times New Roman" w:cs="Times New Roman"/>
          <w:sz w:val="24"/>
          <w:szCs w:val="24"/>
        </w:rPr>
        <w:t>vai</w:t>
      </w:r>
      <w:r w:rsidRPr="00100F64">
        <w:rPr>
          <w:rFonts w:ascii="Times New Roman" w:hAnsi="Times New Roman" w:cs="Times New Roman"/>
          <w:spacing w:val="-8"/>
          <w:sz w:val="24"/>
          <w:szCs w:val="24"/>
        </w:rPr>
        <w:t xml:space="preserve"> </w:t>
      </w:r>
      <w:r w:rsidRPr="00100F64">
        <w:rPr>
          <w:rFonts w:ascii="Times New Roman" w:hAnsi="Times New Roman" w:cs="Times New Roman"/>
          <w:sz w:val="24"/>
          <w:szCs w:val="24"/>
        </w:rPr>
        <w:t>nomātā</w:t>
      </w:r>
      <w:r w:rsidRPr="00100F64">
        <w:rPr>
          <w:rFonts w:ascii="Times New Roman" w:hAnsi="Times New Roman" w:cs="Times New Roman"/>
          <w:spacing w:val="-8"/>
          <w:sz w:val="24"/>
          <w:szCs w:val="24"/>
        </w:rPr>
        <w:t xml:space="preserve"> </w:t>
      </w:r>
      <w:r w:rsidRPr="00100F64">
        <w:rPr>
          <w:rFonts w:ascii="Times New Roman" w:hAnsi="Times New Roman" w:cs="Times New Roman"/>
          <w:sz w:val="24"/>
          <w:szCs w:val="24"/>
        </w:rPr>
        <w:t>aktīva</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vērtība</w:t>
      </w:r>
      <w:r w:rsidRPr="00100F64">
        <w:rPr>
          <w:rFonts w:ascii="Times New Roman" w:hAnsi="Times New Roman" w:cs="Times New Roman"/>
          <w:spacing w:val="-9"/>
          <w:sz w:val="24"/>
          <w:szCs w:val="24"/>
        </w:rPr>
        <w:t xml:space="preserve"> </w:t>
      </w:r>
      <w:r w:rsidRPr="00100F64">
        <w:rPr>
          <w:rFonts w:ascii="Times New Roman" w:hAnsi="Times New Roman" w:cs="Times New Roman"/>
          <w:sz w:val="24"/>
          <w:szCs w:val="24"/>
        </w:rPr>
        <w:t>nav</w:t>
      </w:r>
      <w:r w:rsidRPr="00100F64">
        <w:rPr>
          <w:rFonts w:ascii="Times New Roman" w:hAnsi="Times New Roman" w:cs="Times New Roman"/>
          <w:spacing w:val="-10"/>
          <w:sz w:val="24"/>
          <w:szCs w:val="24"/>
        </w:rPr>
        <w:t xml:space="preserve"> </w:t>
      </w:r>
      <w:r w:rsidRPr="00100F64">
        <w:rPr>
          <w:rFonts w:ascii="Times New Roman" w:hAnsi="Times New Roman" w:cs="Times New Roman"/>
          <w:sz w:val="24"/>
          <w:szCs w:val="24"/>
        </w:rPr>
        <w:t>samazinājusies,</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atbilstoši</w:t>
      </w:r>
      <w:r w:rsidRPr="00100F64">
        <w:rPr>
          <w:rFonts w:ascii="Times New Roman" w:hAnsi="Times New Roman" w:cs="Times New Roman"/>
          <w:spacing w:val="-1"/>
          <w:sz w:val="24"/>
          <w:szCs w:val="24"/>
        </w:rPr>
        <w:t xml:space="preserve"> </w:t>
      </w:r>
      <w:r w:rsidRPr="00100F64">
        <w:rPr>
          <w:rFonts w:ascii="Times New Roman" w:hAnsi="Times New Roman" w:cs="Times New Roman"/>
          <w:sz w:val="24"/>
          <w:szCs w:val="24"/>
        </w:rPr>
        <w:t>Grāmatvedības uzskaites kārtības</w:t>
      </w:r>
      <w:r w:rsidRPr="00100F64">
        <w:rPr>
          <w:rFonts w:ascii="Times New Roman" w:hAnsi="Times New Roman" w:cs="Times New Roman"/>
          <w:spacing w:val="-10"/>
          <w:sz w:val="24"/>
          <w:szCs w:val="24"/>
        </w:rPr>
        <w:t xml:space="preserve"> </w:t>
      </w:r>
      <w:r w:rsidRPr="00100F64">
        <w:rPr>
          <w:rFonts w:ascii="Times New Roman" w:hAnsi="Times New Roman" w:cs="Times New Roman"/>
          <w:sz w:val="24"/>
          <w:szCs w:val="24"/>
        </w:rPr>
        <w:t>sadaļā</w:t>
      </w:r>
      <w:r w:rsidRPr="00100F64">
        <w:rPr>
          <w:rFonts w:ascii="Times New Roman" w:hAnsi="Times New Roman" w:cs="Times New Roman"/>
          <w:color w:val="0462C1"/>
          <w:spacing w:val="-9"/>
          <w:sz w:val="24"/>
          <w:szCs w:val="24"/>
        </w:rPr>
        <w:t xml:space="preserve"> </w:t>
      </w:r>
      <w:r w:rsidRPr="00100F64">
        <w:rPr>
          <w:rFonts w:ascii="Times New Roman" w:hAnsi="Times New Roman" w:cs="Times New Roman"/>
          <w:color w:val="0462C1"/>
          <w:sz w:val="24"/>
          <w:szCs w:val="24"/>
          <w:u w:val="single" w:color="0462C1"/>
        </w:rPr>
        <w:t>“</w:t>
      </w:r>
      <w:hyperlink w:anchor="_bookmark2" w:history="1">
        <w:r w:rsidRPr="00100F64">
          <w:rPr>
            <w:rFonts w:ascii="Times New Roman" w:hAnsi="Times New Roman" w:cs="Times New Roman"/>
            <w:color w:val="0462C1"/>
            <w:sz w:val="24"/>
            <w:szCs w:val="24"/>
            <w:u w:val="single" w:color="0462C1"/>
          </w:rPr>
          <w:t>Nemateriālo</w:t>
        </w:r>
      </w:hyperlink>
      <w:hyperlink w:anchor="_bookmark2" w:history="1">
        <w:r w:rsidRPr="00100F64">
          <w:rPr>
            <w:rFonts w:ascii="Times New Roman" w:hAnsi="Times New Roman" w:cs="Times New Roman"/>
            <w:color w:val="0462C1"/>
            <w:sz w:val="24"/>
            <w:szCs w:val="24"/>
            <w:u w:val="single" w:color="0462C1"/>
          </w:rPr>
          <w:t xml:space="preserve"> ieguldījumu uzskaite</w:t>
        </w:r>
      </w:hyperlink>
      <w:r w:rsidRPr="00100F64">
        <w:rPr>
          <w:rFonts w:ascii="Times New Roman" w:hAnsi="Times New Roman" w:cs="Times New Roman"/>
          <w:color w:val="0462C1"/>
          <w:sz w:val="24"/>
          <w:szCs w:val="24"/>
          <w:u w:val="single" w:color="0462C1"/>
        </w:rPr>
        <w:t>”</w:t>
      </w:r>
      <w:r w:rsidRPr="00100F64">
        <w:rPr>
          <w:rFonts w:ascii="Times New Roman" w:hAnsi="Times New Roman" w:cs="Times New Roman"/>
          <w:color w:val="0462C1"/>
          <w:sz w:val="24"/>
          <w:szCs w:val="24"/>
        </w:rPr>
        <w:t xml:space="preserve"> </w:t>
      </w:r>
      <w:r w:rsidRPr="00100F64">
        <w:rPr>
          <w:rFonts w:ascii="Times New Roman" w:hAnsi="Times New Roman" w:cs="Times New Roman"/>
          <w:sz w:val="24"/>
          <w:szCs w:val="24"/>
        </w:rPr>
        <w:t>un Grāmatvedības uzskaites kārtībā sadaļā</w:t>
      </w:r>
      <w:r w:rsidRPr="00100F64">
        <w:rPr>
          <w:rFonts w:ascii="Times New Roman" w:hAnsi="Times New Roman" w:cs="Times New Roman"/>
          <w:color w:val="0462C1"/>
          <w:sz w:val="24"/>
          <w:szCs w:val="24"/>
        </w:rPr>
        <w:t xml:space="preserve"> </w:t>
      </w:r>
      <w:r w:rsidRPr="00100F64">
        <w:rPr>
          <w:rFonts w:ascii="Times New Roman" w:hAnsi="Times New Roman" w:cs="Times New Roman"/>
          <w:color w:val="0462C1"/>
          <w:sz w:val="24"/>
          <w:szCs w:val="24"/>
          <w:u w:val="single" w:color="0462C1"/>
        </w:rPr>
        <w:t>“</w:t>
      </w:r>
      <w:hyperlink w:anchor="_bookmark33" w:history="1">
        <w:r w:rsidRPr="00100F64">
          <w:rPr>
            <w:rFonts w:ascii="Times New Roman" w:hAnsi="Times New Roman" w:cs="Times New Roman"/>
            <w:color w:val="0462C1"/>
            <w:sz w:val="24"/>
            <w:szCs w:val="24"/>
            <w:u w:val="single" w:color="0462C1"/>
          </w:rPr>
          <w:t>Pamatlīdzekļu uzskaite</w:t>
        </w:r>
      </w:hyperlink>
      <w:r w:rsidRPr="00100F64">
        <w:rPr>
          <w:rFonts w:ascii="Times New Roman" w:hAnsi="Times New Roman" w:cs="Times New Roman"/>
          <w:color w:val="0462C1"/>
          <w:sz w:val="24"/>
          <w:szCs w:val="24"/>
          <w:u w:val="single" w:color="0462C1"/>
        </w:rPr>
        <w:t>”</w:t>
      </w:r>
      <w:r w:rsidRPr="00100F64">
        <w:rPr>
          <w:rFonts w:ascii="Times New Roman" w:hAnsi="Times New Roman" w:cs="Times New Roman"/>
          <w:color w:val="0462C1"/>
          <w:sz w:val="24"/>
          <w:szCs w:val="24"/>
        </w:rPr>
        <w:t xml:space="preserve"> </w:t>
      </w:r>
      <w:r w:rsidRPr="00100F64">
        <w:rPr>
          <w:rFonts w:ascii="Times New Roman" w:hAnsi="Times New Roman" w:cs="Times New Roman"/>
          <w:sz w:val="24"/>
          <w:szCs w:val="24"/>
        </w:rPr>
        <w:t>noteiktajiem</w:t>
      </w:r>
      <w:r w:rsidRPr="00100F64">
        <w:rPr>
          <w:rFonts w:ascii="Times New Roman" w:hAnsi="Times New Roman" w:cs="Times New Roman"/>
          <w:spacing w:val="-24"/>
          <w:sz w:val="24"/>
          <w:szCs w:val="24"/>
        </w:rPr>
        <w:t xml:space="preserve"> </w:t>
      </w:r>
      <w:r w:rsidRPr="00100F64">
        <w:rPr>
          <w:rFonts w:ascii="Times New Roman" w:hAnsi="Times New Roman" w:cs="Times New Roman"/>
          <w:sz w:val="24"/>
          <w:szCs w:val="24"/>
        </w:rPr>
        <w:t>principiem.</w:t>
      </w:r>
    </w:p>
    <w:p w14:paraId="43950D18"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 xml:space="preserve">863.   </w:t>
      </w:r>
      <w:r w:rsidR="00DC6D9B">
        <w:rPr>
          <w:rFonts w:ascii="Times New Roman" w:hAnsi="Times New Roman" w:cs="Times New Roman"/>
          <w:sz w:val="24"/>
          <w:szCs w:val="24"/>
        </w:rPr>
        <w:t>20</w:t>
      </w:r>
      <w:r w:rsidR="00DC6D9B" w:rsidRPr="00DC6D9B">
        <w:rPr>
          <w:rFonts w:ascii="Times New Roman" w:hAnsi="Times New Roman" w:cs="Times New Roman"/>
          <w:sz w:val="24"/>
          <w:szCs w:val="24"/>
        </w:rPr>
        <w:t>.5</w:t>
      </w:r>
      <w:r w:rsidRPr="00DC6D9B">
        <w:rPr>
          <w:rFonts w:ascii="Times New Roman" w:hAnsi="Times New Roman" w:cs="Times New Roman"/>
          <w:sz w:val="24"/>
          <w:szCs w:val="24"/>
        </w:rPr>
        <w:t>. apakšnodaļā</w:t>
      </w:r>
      <w:r w:rsidRPr="00100F64">
        <w:rPr>
          <w:rFonts w:ascii="Times New Roman" w:hAnsi="Times New Roman" w:cs="Times New Roman"/>
          <w:color w:val="0462C1"/>
          <w:sz w:val="24"/>
          <w:szCs w:val="24"/>
        </w:rPr>
        <w:t xml:space="preserve"> </w:t>
      </w:r>
      <w:r w:rsidRPr="00100F64">
        <w:rPr>
          <w:rFonts w:ascii="Times New Roman" w:hAnsi="Times New Roman" w:cs="Times New Roman"/>
          <w:color w:val="0462C1"/>
          <w:sz w:val="24"/>
          <w:szCs w:val="24"/>
          <w:u w:val="single" w:color="0462C1"/>
        </w:rPr>
        <w:t>“</w:t>
      </w:r>
      <w:hyperlink w:anchor="_bookmark326" w:history="1">
        <w:r w:rsidR="00DC6D9B">
          <w:rPr>
            <w:rFonts w:ascii="Times New Roman" w:hAnsi="Times New Roman" w:cs="Times New Roman"/>
            <w:color w:val="0462C1"/>
            <w:sz w:val="24"/>
            <w:szCs w:val="24"/>
            <w:u w:val="single" w:color="0462C1"/>
          </w:rPr>
          <w:t>20.5.3.</w:t>
        </w:r>
        <w:r w:rsidRPr="00100F64">
          <w:rPr>
            <w:rFonts w:ascii="Times New Roman" w:hAnsi="Times New Roman" w:cs="Times New Roman"/>
            <w:color w:val="0462C1"/>
            <w:sz w:val="24"/>
            <w:szCs w:val="24"/>
            <w:u w:val="single" w:color="0462C1"/>
          </w:rPr>
          <w:t>. Piemērs – Finanšu nomas uzskaite no nomnieka puses</w:t>
        </w:r>
      </w:hyperlink>
      <w:r w:rsidRPr="00100F64">
        <w:rPr>
          <w:rFonts w:ascii="Times New Roman" w:hAnsi="Times New Roman" w:cs="Times New Roman"/>
          <w:color w:val="0462C1"/>
          <w:sz w:val="24"/>
          <w:szCs w:val="24"/>
          <w:u w:val="single" w:color="0462C1"/>
        </w:rPr>
        <w:t>”</w:t>
      </w:r>
      <w:r w:rsidRPr="00100F64">
        <w:rPr>
          <w:rFonts w:ascii="Times New Roman" w:hAnsi="Times New Roman" w:cs="Times New Roman"/>
          <w:color w:val="0462C1"/>
          <w:sz w:val="24"/>
          <w:szCs w:val="24"/>
        </w:rPr>
        <w:t xml:space="preserve"> </w:t>
      </w:r>
      <w:r w:rsidRPr="00100F64">
        <w:rPr>
          <w:rFonts w:ascii="Times New Roman" w:hAnsi="Times New Roman" w:cs="Times New Roman"/>
          <w:sz w:val="24"/>
          <w:szCs w:val="24"/>
        </w:rPr>
        <w:t>sniegts praktisks piemērs finanšu nomas uzskaitei no nomnieka</w:t>
      </w:r>
      <w:r w:rsidRPr="00100F64">
        <w:rPr>
          <w:rFonts w:ascii="Times New Roman" w:hAnsi="Times New Roman" w:cs="Times New Roman"/>
          <w:spacing w:val="-3"/>
          <w:sz w:val="24"/>
          <w:szCs w:val="24"/>
        </w:rPr>
        <w:t xml:space="preserve"> </w:t>
      </w:r>
      <w:r w:rsidRPr="00100F64">
        <w:rPr>
          <w:rFonts w:ascii="Times New Roman" w:hAnsi="Times New Roman" w:cs="Times New Roman"/>
          <w:sz w:val="24"/>
          <w:szCs w:val="24"/>
        </w:rPr>
        <w:t>puses.</w:t>
      </w:r>
    </w:p>
    <w:p w14:paraId="48243D77" w14:textId="77777777" w:rsidR="00FB6347"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b/>
          <w:bCs/>
          <w:i/>
          <w:iCs/>
          <w:color w:val="2F5496" w:themeColor="accent1" w:themeShade="BF"/>
          <w:sz w:val="24"/>
          <w:szCs w:val="24"/>
        </w:rPr>
      </w:pPr>
      <w:r w:rsidRPr="00100F64">
        <w:rPr>
          <w:rFonts w:ascii="Times New Roman" w:hAnsi="Times New Roman" w:cs="Times New Roman"/>
          <w:b/>
          <w:bCs/>
          <w:i/>
          <w:iCs/>
          <w:color w:val="2F5496" w:themeColor="accent1" w:themeShade="BF"/>
          <w:sz w:val="24"/>
          <w:szCs w:val="24"/>
        </w:rPr>
        <w:t>Finanšu nomas uzskaite no iznomātāja puses</w:t>
      </w:r>
    </w:p>
    <w:p w14:paraId="3156DFB7" w14:textId="77777777" w:rsidR="00100F64" w:rsidRPr="00100F64" w:rsidRDefault="00100F64"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864.   Iznomātājs finanšu nomas (Nomas) līgumu uzskaita atbilstoši šādiem</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nosacījumiem:</w:t>
      </w:r>
    </w:p>
    <w:p w14:paraId="6CD12F04" w14:textId="77777777" w:rsidR="00100F64" w:rsidRPr="00100F64" w:rsidRDefault="00100F64" w:rsidP="00CD363C">
      <w:pPr>
        <w:pStyle w:val="Sarakstarindkopa"/>
        <w:widowControl w:val="0"/>
        <w:numPr>
          <w:ilvl w:val="2"/>
          <w:numId w:val="27"/>
        </w:numPr>
        <w:tabs>
          <w:tab w:val="left" w:pos="1352"/>
        </w:tabs>
        <w:autoSpaceDE w:val="0"/>
        <w:autoSpaceDN w:val="0"/>
        <w:spacing w:after="0" w:line="240" w:lineRule="auto"/>
        <w:ind w:right="124" w:hanging="283"/>
        <w:contextualSpacing w:val="0"/>
        <w:jc w:val="both"/>
        <w:rPr>
          <w:rFonts w:ascii="Times New Roman" w:hAnsi="Times New Roman" w:cs="Times New Roman"/>
          <w:sz w:val="24"/>
          <w:szCs w:val="24"/>
        </w:rPr>
      </w:pPr>
      <w:r w:rsidRPr="00100F64">
        <w:rPr>
          <w:rFonts w:ascii="Times New Roman" w:hAnsi="Times New Roman" w:cs="Times New Roman"/>
          <w:sz w:val="24"/>
          <w:szCs w:val="24"/>
        </w:rPr>
        <w:t>nomas termiņa sākumā atzīst prasības un pamatdarbības ieņēmumus vērtībā, kas vienāda ar minimālo nomas maksājumu kopsummu, kas diskontēta ar nomas līgumā noteikto procenta likmi. Ja procentu likmi nav iespējams noteikti, piemēro atbilstošu Valsts kases tīmekļvietnē publicētu procentu likmi. Sākotnējās tiešās darījuma izmaksas atskaita no prasību vērtības, samazinot nomas termiņa laikā atzīto ieņēmumu</w:t>
      </w:r>
      <w:r w:rsidRPr="00100F64">
        <w:rPr>
          <w:rFonts w:ascii="Times New Roman" w:hAnsi="Times New Roman" w:cs="Times New Roman"/>
          <w:spacing w:val="-3"/>
          <w:sz w:val="24"/>
          <w:szCs w:val="24"/>
        </w:rPr>
        <w:t xml:space="preserve"> </w:t>
      </w:r>
      <w:r w:rsidRPr="00100F64">
        <w:rPr>
          <w:rFonts w:ascii="Times New Roman" w:hAnsi="Times New Roman" w:cs="Times New Roman"/>
          <w:sz w:val="24"/>
          <w:szCs w:val="24"/>
        </w:rPr>
        <w:t>summu;</w:t>
      </w:r>
    </w:p>
    <w:p w14:paraId="3005ADDB" w14:textId="77777777" w:rsidR="00100F64" w:rsidRPr="00100F64" w:rsidRDefault="00100F64" w:rsidP="00CD363C">
      <w:pPr>
        <w:pStyle w:val="Sarakstarindkopa"/>
        <w:widowControl w:val="0"/>
        <w:numPr>
          <w:ilvl w:val="2"/>
          <w:numId w:val="27"/>
        </w:numPr>
        <w:tabs>
          <w:tab w:val="left" w:pos="1352"/>
        </w:tabs>
        <w:autoSpaceDE w:val="0"/>
        <w:autoSpaceDN w:val="0"/>
        <w:spacing w:after="0" w:line="240" w:lineRule="auto"/>
        <w:ind w:right="124" w:hanging="283"/>
        <w:contextualSpacing w:val="0"/>
        <w:jc w:val="both"/>
        <w:rPr>
          <w:rFonts w:ascii="Times New Roman" w:hAnsi="Times New Roman" w:cs="Times New Roman"/>
          <w:sz w:val="24"/>
          <w:szCs w:val="24"/>
        </w:rPr>
      </w:pPr>
      <w:r w:rsidRPr="00100F64">
        <w:rPr>
          <w:rFonts w:ascii="Times New Roman" w:hAnsi="Times New Roman" w:cs="Times New Roman"/>
          <w:sz w:val="24"/>
          <w:szCs w:val="24"/>
        </w:rPr>
        <w:t>iznomāto aktīvu izslēdz no uzskaites un atzīst pārējos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izdevumus;</w:t>
      </w:r>
    </w:p>
    <w:p w14:paraId="64EB78B5" w14:textId="77777777" w:rsidR="00100F64" w:rsidRPr="00100F64" w:rsidRDefault="00100F64" w:rsidP="00CD363C">
      <w:pPr>
        <w:pStyle w:val="Sarakstarindkopa"/>
        <w:widowControl w:val="0"/>
        <w:numPr>
          <w:ilvl w:val="2"/>
          <w:numId w:val="27"/>
        </w:numPr>
        <w:tabs>
          <w:tab w:val="left" w:pos="1352"/>
        </w:tabs>
        <w:autoSpaceDE w:val="0"/>
        <w:autoSpaceDN w:val="0"/>
        <w:spacing w:after="0" w:line="240" w:lineRule="auto"/>
        <w:ind w:right="124" w:hanging="283"/>
        <w:contextualSpacing w:val="0"/>
        <w:jc w:val="both"/>
        <w:rPr>
          <w:rFonts w:ascii="Times New Roman" w:hAnsi="Times New Roman" w:cs="Times New Roman"/>
          <w:sz w:val="24"/>
          <w:szCs w:val="24"/>
        </w:rPr>
      </w:pPr>
      <w:r w:rsidRPr="00100F64">
        <w:rPr>
          <w:rFonts w:ascii="Times New Roman" w:hAnsi="Times New Roman" w:cs="Times New Roman"/>
          <w:sz w:val="24"/>
          <w:szCs w:val="24"/>
        </w:rPr>
        <w:t>sākotnēji atzītās prasības turpmāk novērtē amortizētajā vērtībā – pārskata gadā palielina par finanšu ieņēmumiem, kurus aprēķina, piemērojot nomas līgumā ietverto procentu likmi, un samazina par saņemtajiem maksājumiem no</w:t>
      </w:r>
      <w:r w:rsidRPr="00100F64">
        <w:rPr>
          <w:rFonts w:ascii="Times New Roman" w:hAnsi="Times New Roman" w:cs="Times New Roman"/>
          <w:spacing w:val="-9"/>
          <w:sz w:val="24"/>
          <w:szCs w:val="24"/>
        </w:rPr>
        <w:t xml:space="preserve"> </w:t>
      </w:r>
      <w:r w:rsidRPr="00100F64">
        <w:rPr>
          <w:rFonts w:ascii="Times New Roman" w:hAnsi="Times New Roman" w:cs="Times New Roman"/>
          <w:sz w:val="24"/>
          <w:szCs w:val="24"/>
        </w:rPr>
        <w:t>nomnieka.</w:t>
      </w:r>
    </w:p>
    <w:p w14:paraId="3882A2E7"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865.   Atsevišķos gadījumos budžeta iestādes, kurām tradicionāli piederējuši tādi infrastruktūras aktīvi kā autoceļi, dambji un ūdens attīrīšanas iekārtas un kuras šos aktīvus arī ir izmantojušas, vairs pilnībā neuzņemas visas šo aktīvu īpašuma tiesības un saimniecisko atbildību par tiem. Budžeta iestādes var atsavināt esošos infrastruktūras aktīvus privātajam sektoram, tos pārdodot vai noslēdzot finanšu nomas</w:t>
      </w:r>
      <w:r w:rsidRPr="00100F64">
        <w:rPr>
          <w:rFonts w:ascii="Times New Roman" w:hAnsi="Times New Roman" w:cs="Times New Roman"/>
          <w:spacing w:val="-1"/>
          <w:sz w:val="24"/>
          <w:szCs w:val="24"/>
        </w:rPr>
        <w:t xml:space="preserve"> </w:t>
      </w:r>
      <w:r w:rsidRPr="00100F64">
        <w:rPr>
          <w:rFonts w:ascii="Times New Roman" w:hAnsi="Times New Roman" w:cs="Times New Roman"/>
          <w:sz w:val="24"/>
          <w:szCs w:val="24"/>
        </w:rPr>
        <w:t>līgumus.</w:t>
      </w:r>
    </w:p>
    <w:p w14:paraId="06B04805"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866.   Finanšu nomas ietvaros iznomātājs būtībā nodod nomniekam visus aktīva īpašuma tiesībām raksturīgos riskus un atlīdzības. Tādējādi saņemamās nomas maksas iznomātājs uzskaita kā pamatsummas (minimālo nomas maksājumu pašreizējās vērtības) atmaksu un finansēšanas ieņēmumus, ko veido atlīdzība par ieguldījumiem un sniegtajiem pakalpojumiem (procentu ieņēmumi).</w:t>
      </w:r>
    </w:p>
    <w:p w14:paraId="33C7A1F6"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867.   Nomas uzsākšanas datumā budžeta iestāde, kas ir iznomātājs, atzīst finanšu nomas prasību un pamatdarbības ieņēmumus vērtībā, kas vienāda ar minimālo nomas maksājumu kopsummu, kas diskontēta</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ar</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nomas</w:t>
      </w:r>
      <w:r w:rsidRPr="00100F64">
        <w:rPr>
          <w:rFonts w:ascii="Times New Roman" w:hAnsi="Times New Roman" w:cs="Times New Roman"/>
          <w:spacing w:val="-5"/>
          <w:sz w:val="24"/>
          <w:szCs w:val="24"/>
        </w:rPr>
        <w:t xml:space="preserve"> </w:t>
      </w:r>
      <w:r w:rsidRPr="00100F64">
        <w:rPr>
          <w:rFonts w:ascii="Times New Roman" w:hAnsi="Times New Roman" w:cs="Times New Roman"/>
          <w:sz w:val="24"/>
          <w:szCs w:val="24"/>
        </w:rPr>
        <w:t>līgumā</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noteikto</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procentu</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likmi,</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un</w:t>
      </w:r>
      <w:r w:rsidRPr="00100F64">
        <w:rPr>
          <w:rFonts w:ascii="Times New Roman" w:hAnsi="Times New Roman" w:cs="Times New Roman"/>
          <w:spacing w:val="-5"/>
          <w:sz w:val="24"/>
          <w:szCs w:val="24"/>
        </w:rPr>
        <w:t xml:space="preserve"> </w:t>
      </w:r>
      <w:r w:rsidRPr="00100F64">
        <w:rPr>
          <w:rFonts w:ascii="Times New Roman" w:hAnsi="Times New Roman" w:cs="Times New Roman"/>
          <w:sz w:val="24"/>
          <w:szCs w:val="24"/>
        </w:rPr>
        <w:t>iznomāto</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aktīvu</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izslēdz</w:t>
      </w:r>
      <w:r w:rsidRPr="00100F64">
        <w:rPr>
          <w:rFonts w:ascii="Times New Roman" w:hAnsi="Times New Roman" w:cs="Times New Roman"/>
          <w:spacing w:val="-9"/>
          <w:sz w:val="24"/>
          <w:szCs w:val="24"/>
        </w:rPr>
        <w:t xml:space="preserve"> </w:t>
      </w:r>
      <w:r w:rsidRPr="00100F64">
        <w:rPr>
          <w:rFonts w:ascii="Times New Roman" w:hAnsi="Times New Roman" w:cs="Times New Roman"/>
          <w:sz w:val="24"/>
          <w:szCs w:val="24"/>
        </w:rPr>
        <w:t>no</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uzskaites</w:t>
      </w:r>
      <w:r w:rsidRPr="00100F64">
        <w:rPr>
          <w:rFonts w:ascii="Times New Roman" w:hAnsi="Times New Roman" w:cs="Times New Roman"/>
          <w:spacing w:val="1"/>
          <w:sz w:val="24"/>
          <w:szCs w:val="24"/>
        </w:rPr>
        <w:t xml:space="preserve"> </w:t>
      </w:r>
      <w:r w:rsidRPr="00100F64">
        <w:rPr>
          <w:rFonts w:ascii="Times New Roman" w:hAnsi="Times New Roman" w:cs="Times New Roman"/>
          <w:sz w:val="24"/>
          <w:szCs w:val="24"/>
        </w:rPr>
        <w:t>un</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atzīst pārējos izdevumus, veicot sekojošus grāmatojumus:</w:t>
      </w:r>
    </w:p>
    <w:p w14:paraId="0C9D3269" w14:textId="77777777" w:rsidR="00D4205D" w:rsidRPr="00100F64" w:rsidRDefault="00100F64" w:rsidP="00CD363C">
      <w:pPr>
        <w:spacing w:after="0" w:line="240" w:lineRule="auto"/>
        <w:ind w:right="124"/>
        <w:jc w:val="both"/>
        <w:rPr>
          <w:rFonts w:ascii="Times New Roman" w:hAnsi="Times New Roman" w:cs="Times New Roman"/>
          <w:i/>
          <w:sz w:val="24"/>
          <w:szCs w:val="24"/>
        </w:rPr>
      </w:pPr>
      <w:r w:rsidRPr="00100F64">
        <w:rPr>
          <w:rFonts w:ascii="Times New Roman" w:hAnsi="Times New Roman" w:cs="Times New Roman"/>
          <w:i/>
          <w:sz w:val="24"/>
          <w:szCs w:val="24"/>
        </w:rPr>
        <w:t>Grāmatojums, atzīstot prasības par finanšu nomu:</w:t>
      </w:r>
    </w:p>
    <w:p w14:paraId="05A3AA09" w14:textId="77777777" w:rsidR="00100F64" w:rsidRPr="00100F64" w:rsidRDefault="00100F64" w:rsidP="00CD363C">
      <w:pPr>
        <w:spacing w:after="0" w:line="240" w:lineRule="auto"/>
        <w:ind w:right="124"/>
        <w:jc w:val="both"/>
        <w:rPr>
          <w:rFonts w:ascii="Times New Roman" w:hAnsi="Times New Roman" w:cs="Times New Roman"/>
          <w:b/>
          <w:bCs/>
          <w:iCs/>
        </w:rPr>
      </w:pPr>
      <w:r w:rsidRPr="00100F64">
        <w:rPr>
          <w:rFonts w:ascii="Times New Roman" w:hAnsi="Times New Roman" w:cs="Times New Roman"/>
          <w:iCs/>
        </w:rPr>
        <w:t xml:space="preserve">    </w:t>
      </w:r>
      <w:r w:rsidRPr="00100F64">
        <w:rPr>
          <w:rFonts w:ascii="Times New Roman" w:hAnsi="Times New Roman" w:cs="Times New Roman"/>
          <w:b/>
          <w:bCs/>
          <w:iCs/>
        </w:rPr>
        <w:t>D    2315   Prasības par finanšu nomu</w:t>
      </w:r>
    </w:p>
    <w:p w14:paraId="72BEBE1C" w14:textId="77777777" w:rsidR="00100F64" w:rsidRPr="00100F64" w:rsidRDefault="00100F64" w:rsidP="00CD363C">
      <w:pPr>
        <w:spacing w:after="0" w:line="240" w:lineRule="auto"/>
        <w:ind w:right="124"/>
        <w:jc w:val="both"/>
        <w:rPr>
          <w:rFonts w:ascii="Times New Roman" w:hAnsi="Times New Roman" w:cs="Times New Roman"/>
          <w:b/>
          <w:bCs/>
          <w:sz w:val="24"/>
          <w:szCs w:val="24"/>
        </w:rPr>
      </w:pPr>
      <w:r w:rsidRPr="00100F64">
        <w:rPr>
          <w:rFonts w:ascii="Times New Roman" w:hAnsi="Times New Roman" w:cs="Times New Roman"/>
          <w:b/>
          <w:bCs/>
          <w:sz w:val="24"/>
          <w:szCs w:val="24"/>
        </w:rPr>
        <w:t xml:space="preserve">    D   1421   Ilgtermiņa prasības par finanšu nomu</w:t>
      </w:r>
    </w:p>
    <w:p w14:paraId="1A9023C6" w14:textId="77777777" w:rsidR="00D4205D" w:rsidRPr="00100F64" w:rsidRDefault="00100F64" w:rsidP="00CD363C">
      <w:pPr>
        <w:spacing w:after="0" w:line="240" w:lineRule="auto"/>
        <w:ind w:right="124"/>
        <w:jc w:val="both"/>
        <w:rPr>
          <w:rFonts w:ascii="Times New Roman" w:hAnsi="Times New Roman" w:cs="Times New Roman"/>
          <w:b/>
          <w:bCs/>
          <w:sz w:val="24"/>
          <w:szCs w:val="24"/>
        </w:rPr>
      </w:pPr>
      <w:r w:rsidRPr="00100F64">
        <w:rPr>
          <w:rFonts w:ascii="Times New Roman" w:hAnsi="Times New Roman" w:cs="Times New Roman"/>
          <w:b/>
          <w:bCs/>
          <w:sz w:val="24"/>
          <w:szCs w:val="24"/>
        </w:rPr>
        <w:t xml:space="preserve">    K    6000*  Pamatdarbības ieņēmumi    </w:t>
      </w:r>
    </w:p>
    <w:p w14:paraId="26B9101D" w14:textId="77777777" w:rsidR="00100F64" w:rsidRDefault="00100F64" w:rsidP="00CD363C">
      <w:pPr>
        <w:spacing w:after="0" w:line="240" w:lineRule="auto"/>
        <w:ind w:left="1495" w:right="124" w:hanging="144"/>
        <w:jc w:val="both"/>
        <w:rPr>
          <w:i/>
          <w:sz w:val="20"/>
        </w:rPr>
      </w:pPr>
      <w:r>
        <w:rPr>
          <w:i/>
          <w:sz w:val="20"/>
        </w:rPr>
        <w:t>* budžeta iestāde izstrādā kontu plānu pamatdarbības izdevumu un ieņēmumu uzskaitei atbilstoši budžeta izdevumu/ieņēmumu ekonomisko kategoriju klasifikācijai</w:t>
      </w:r>
    </w:p>
    <w:p w14:paraId="24ABF052" w14:textId="77777777" w:rsidR="00100F64" w:rsidRDefault="00100F64" w:rsidP="00CD363C">
      <w:pPr>
        <w:spacing w:after="0" w:line="240" w:lineRule="auto"/>
        <w:ind w:left="218" w:right="124"/>
        <w:jc w:val="both"/>
        <w:rPr>
          <w:i/>
        </w:rPr>
      </w:pPr>
      <w:r>
        <w:rPr>
          <w:i/>
        </w:rPr>
        <w:t>Grāmatojums, izslēdzot iznomāto ilgtermiņa ieguldījumu no uzskaites un atzīstot pārējos izdevumus:</w:t>
      </w:r>
    </w:p>
    <w:p w14:paraId="732F2DB6" w14:textId="77777777" w:rsidR="00E92F5D" w:rsidRPr="00DB1786" w:rsidRDefault="00DB1786" w:rsidP="00CD363C">
      <w:pPr>
        <w:spacing w:after="0" w:line="240" w:lineRule="auto"/>
        <w:ind w:right="124"/>
        <w:jc w:val="both"/>
        <w:rPr>
          <w:rFonts w:ascii="Times New Roman" w:hAnsi="Times New Roman" w:cs="Times New Roman"/>
          <w:b/>
          <w:bCs/>
          <w:sz w:val="24"/>
          <w:szCs w:val="24"/>
        </w:rPr>
      </w:pPr>
      <w:r w:rsidRPr="00DB1786">
        <w:rPr>
          <w:rFonts w:ascii="Times New Roman" w:hAnsi="Times New Roman" w:cs="Times New Roman"/>
          <w:b/>
          <w:bCs/>
          <w:sz w:val="24"/>
          <w:szCs w:val="24"/>
        </w:rPr>
        <w:t xml:space="preserve">    D    8610   Izdevumi no nefinanšu aktīvu izslēgšanas</w:t>
      </w:r>
    </w:p>
    <w:p w14:paraId="73F99A99" w14:textId="77777777" w:rsidR="00DB1786" w:rsidRPr="00DB1786" w:rsidRDefault="00DB1786" w:rsidP="00CD363C">
      <w:pPr>
        <w:spacing w:after="0" w:line="240" w:lineRule="auto"/>
        <w:ind w:right="124"/>
        <w:jc w:val="both"/>
        <w:rPr>
          <w:rFonts w:ascii="Times New Roman" w:hAnsi="Times New Roman" w:cs="Times New Roman"/>
          <w:b/>
          <w:bCs/>
          <w:sz w:val="24"/>
          <w:szCs w:val="24"/>
        </w:rPr>
      </w:pPr>
      <w:r w:rsidRPr="00DB1786">
        <w:rPr>
          <w:rFonts w:ascii="Times New Roman" w:hAnsi="Times New Roman" w:cs="Times New Roman"/>
          <w:b/>
          <w:bCs/>
          <w:sz w:val="24"/>
          <w:szCs w:val="24"/>
        </w:rPr>
        <w:t xml:space="preserve">    K    2132   Krājumi un ilgtermiņa ieguldījumi atsavināšanai*</w:t>
      </w:r>
    </w:p>
    <w:p w14:paraId="49ACC69C" w14:textId="77777777" w:rsidR="00DB1786" w:rsidRDefault="00DB1786" w:rsidP="00CD363C">
      <w:pPr>
        <w:spacing w:after="0" w:line="240" w:lineRule="auto"/>
        <w:ind w:left="1351" w:right="124"/>
        <w:jc w:val="both"/>
        <w:rPr>
          <w:i/>
          <w:sz w:val="20"/>
        </w:rPr>
      </w:pPr>
      <w:r>
        <w:rPr>
          <w:i/>
          <w:sz w:val="20"/>
        </w:rPr>
        <w:t>*ilgtermiņa ieguldījuma atlikusī uzskaites vērtība, kas iepriekš pārgrāmatota no ilgtermiņa ieguldījumu kontiem apgrozāmo līdzekļu sastāvā</w:t>
      </w:r>
    </w:p>
    <w:p w14:paraId="044C1F39" w14:textId="77777777" w:rsidR="00DB1786" w:rsidRPr="009C676F" w:rsidRDefault="00DB1786"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868</w:t>
      </w:r>
      <w:r w:rsidRPr="00DC6D9B">
        <w:rPr>
          <w:rFonts w:ascii="Times New Roman" w:hAnsi="Times New Roman" w:cs="Times New Roman"/>
          <w:sz w:val="24"/>
          <w:szCs w:val="24"/>
        </w:rPr>
        <w:t xml:space="preserve">.   </w:t>
      </w:r>
      <w:r w:rsidR="00DC6D9B" w:rsidRPr="00DC6D9B">
        <w:rPr>
          <w:rFonts w:ascii="Times New Roman" w:hAnsi="Times New Roman" w:cs="Times New Roman"/>
          <w:color w:val="000000" w:themeColor="text1"/>
          <w:sz w:val="24"/>
          <w:szCs w:val="24"/>
        </w:rPr>
        <w:t xml:space="preserve">20.5 </w:t>
      </w:r>
      <w:r w:rsidRPr="00DC6D9B">
        <w:rPr>
          <w:rFonts w:ascii="Times New Roman" w:hAnsi="Times New Roman" w:cs="Times New Roman"/>
          <w:color w:val="000000" w:themeColor="text1"/>
          <w:sz w:val="24"/>
          <w:szCs w:val="24"/>
        </w:rPr>
        <w:t>apakšnodaļā</w:t>
      </w:r>
      <w:r w:rsidRPr="009C676F">
        <w:rPr>
          <w:rFonts w:ascii="Times New Roman" w:hAnsi="Times New Roman" w:cs="Times New Roman"/>
          <w:color w:val="0462C1"/>
          <w:sz w:val="24"/>
          <w:szCs w:val="24"/>
          <w:u w:val="single" w:color="0462C1"/>
        </w:rPr>
        <w:t xml:space="preserve"> “</w:t>
      </w:r>
      <w:r w:rsidR="00DC6D9B">
        <w:rPr>
          <w:rFonts w:ascii="Times New Roman" w:hAnsi="Times New Roman" w:cs="Times New Roman"/>
          <w:color w:val="0462C1"/>
          <w:sz w:val="24"/>
          <w:szCs w:val="24"/>
          <w:u w:val="single" w:color="0462C1"/>
        </w:rPr>
        <w:t>20.5.4.</w:t>
      </w:r>
      <w:r w:rsidRPr="009C676F">
        <w:rPr>
          <w:rFonts w:ascii="Times New Roman" w:hAnsi="Times New Roman" w:cs="Times New Roman"/>
          <w:color w:val="0462C1"/>
          <w:sz w:val="24"/>
          <w:szCs w:val="24"/>
          <w:u w:val="single" w:color="0462C1"/>
        </w:rPr>
        <w:t>”</w:t>
      </w:r>
      <w:r w:rsidRPr="009C676F">
        <w:rPr>
          <w:rFonts w:ascii="Times New Roman" w:hAnsi="Times New Roman" w:cs="Times New Roman"/>
          <w:color w:val="0462C1"/>
          <w:sz w:val="24"/>
          <w:szCs w:val="24"/>
        </w:rPr>
        <w:t xml:space="preserve"> </w:t>
      </w:r>
      <w:r w:rsidRPr="009C676F">
        <w:rPr>
          <w:rFonts w:ascii="Times New Roman" w:hAnsi="Times New Roman" w:cs="Times New Roman"/>
          <w:sz w:val="24"/>
          <w:szCs w:val="24"/>
        </w:rPr>
        <w:t>sniegts praktisks piemērs finanšu nomas uzskaitei no iznomātāja</w:t>
      </w:r>
      <w:r w:rsidRPr="009C676F">
        <w:rPr>
          <w:rFonts w:ascii="Times New Roman" w:hAnsi="Times New Roman" w:cs="Times New Roman"/>
          <w:spacing w:val="-3"/>
          <w:sz w:val="24"/>
          <w:szCs w:val="24"/>
        </w:rPr>
        <w:t xml:space="preserve"> </w:t>
      </w:r>
      <w:r w:rsidRPr="009C676F">
        <w:rPr>
          <w:rFonts w:ascii="Times New Roman" w:hAnsi="Times New Roman" w:cs="Times New Roman"/>
          <w:sz w:val="24"/>
          <w:szCs w:val="24"/>
        </w:rPr>
        <w:t>puses.</w:t>
      </w:r>
    </w:p>
    <w:p w14:paraId="77568B4C" w14:textId="77777777" w:rsidR="00DB1786" w:rsidRPr="009C676F" w:rsidRDefault="00DB1786" w:rsidP="00CD363C">
      <w:pPr>
        <w:pStyle w:val="Pamatteksts"/>
        <w:ind w:right="124"/>
        <w:jc w:val="both"/>
        <w:rPr>
          <w:sz w:val="24"/>
          <w:szCs w:val="24"/>
        </w:rPr>
      </w:pPr>
    </w:p>
    <w:p w14:paraId="4E2AC849" w14:textId="77777777" w:rsidR="00E92F5D" w:rsidRPr="009C676F" w:rsidRDefault="00DB1786" w:rsidP="00CD363C">
      <w:pPr>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20.3. Operatīvās nomas uzskaite</w:t>
      </w:r>
    </w:p>
    <w:p w14:paraId="5A528517" w14:textId="77777777" w:rsidR="00DB1786" w:rsidRPr="009C676F" w:rsidRDefault="00DB178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869.   Nomu klasificē kā operatīvo nomu, ja tā pēc būtības nenodod nomniekam visus īpašuma tiesībām raksturīgos riskus un atlīdzības, arī tad, ja noma atbilst vienam vai vairākiem finanšu nomas kritērijiem.</w:t>
      </w:r>
    </w:p>
    <w:p w14:paraId="2AC8A4C4" w14:textId="77777777" w:rsidR="00DB1786" w:rsidRPr="009C676F" w:rsidRDefault="00DB1786" w:rsidP="00CD363C">
      <w:pPr>
        <w:pStyle w:val="Virsraksts4"/>
        <w:spacing w:before="0"/>
        <w:ind w:left="218" w:right="124"/>
        <w:jc w:val="both"/>
      </w:pPr>
      <w:r w:rsidRPr="009C676F">
        <w:rPr>
          <w:color w:val="002069"/>
        </w:rPr>
        <w:t>Operatīvās nomas uzskaite no nomnieka puses</w:t>
      </w:r>
    </w:p>
    <w:p w14:paraId="6E65ABC5" w14:textId="77777777" w:rsidR="00DB1786" w:rsidRPr="009C676F" w:rsidRDefault="00DB178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870.  Operatīvās</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nomas</w:t>
      </w:r>
      <w:r w:rsidRPr="009C676F">
        <w:rPr>
          <w:rFonts w:ascii="Times New Roman" w:hAnsi="Times New Roman" w:cs="Times New Roman"/>
          <w:spacing w:val="-7"/>
          <w:sz w:val="24"/>
          <w:szCs w:val="24"/>
        </w:rPr>
        <w:t xml:space="preserve"> </w:t>
      </w:r>
      <w:r w:rsidRPr="009C676F">
        <w:rPr>
          <w:rFonts w:ascii="Times New Roman" w:hAnsi="Times New Roman" w:cs="Times New Roman"/>
          <w:sz w:val="24"/>
          <w:szCs w:val="24"/>
        </w:rPr>
        <w:t>maksājumus</w:t>
      </w:r>
      <w:r w:rsidRPr="009C676F">
        <w:rPr>
          <w:rFonts w:ascii="Times New Roman" w:hAnsi="Times New Roman" w:cs="Times New Roman"/>
          <w:spacing w:val="-7"/>
          <w:sz w:val="24"/>
          <w:szCs w:val="24"/>
        </w:rPr>
        <w:t xml:space="preserve"> </w:t>
      </w:r>
      <w:r w:rsidRPr="009C676F">
        <w:rPr>
          <w:rFonts w:ascii="Times New Roman" w:hAnsi="Times New Roman" w:cs="Times New Roman"/>
          <w:sz w:val="24"/>
          <w:szCs w:val="24"/>
        </w:rPr>
        <w:t>(izņemot</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pakalpojumu</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izmaksas,</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piemēram,</w:t>
      </w:r>
      <w:r w:rsidRPr="009C676F">
        <w:rPr>
          <w:rFonts w:ascii="Times New Roman" w:hAnsi="Times New Roman" w:cs="Times New Roman"/>
          <w:spacing w:val="-9"/>
          <w:sz w:val="24"/>
          <w:szCs w:val="24"/>
        </w:rPr>
        <w:t xml:space="preserve"> </w:t>
      </w:r>
      <w:r w:rsidRPr="009C676F">
        <w:rPr>
          <w:rFonts w:ascii="Times New Roman" w:hAnsi="Times New Roman" w:cs="Times New Roman"/>
          <w:sz w:val="24"/>
          <w:szCs w:val="24"/>
        </w:rPr>
        <w:t>apdrošināšanas</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 xml:space="preserve">izmaksas un nomātā aktīva uzturēšanas izmaksas, kuras tiek atzītas periodā, kad tiek saņemts pakalpojums) atzīst kā pamatdarbības izdevumus </w:t>
      </w:r>
      <w:r w:rsidRPr="009C676F">
        <w:rPr>
          <w:rFonts w:ascii="Times New Roman" w:hAnsi="Times New Roman" w:cs="Times New Roman"/>
          <w:sz w:val="24"/>
          <w:szCs w:val="24"/>
          <w:u w:val="single"/>
        </w:rPr>
        <w:t>lineāri</w:t>
      </w:r>
      <w:r w:rsidRPr="009C676F">
        <w:rPr>
          <w:rFonts w:ascii="Times New Roman" w:hAnsi="Times New Roman" w:cs="Times New Roman"/>
          <w:sz w:val="24"/>
          <w:szCs w:val="24"/>
        </w:rPr>
        <w:t xml:space="preserve"> nomas termiņa</w:t>
      </w:r>
      <w:r w:rsidRPr="009C676F">
        <w:rPr>
          <w:rFonts w:ascii="Times New Roman" w:hAnsi="Times New Roman" w:cs="Times New Roman"/>
          <w:spacing w:val="2"/>
          <w:sz w:val="24"/>
          <w:szCs w:val="24"/>
        </w:rPr>
        <w:t xml:space="preserve"> </w:t>
      </w:r>
      <w:r w:rsidRPr="009C676F">
        <w:rPr>
          <w:rFonts w:ascii="Times New Roman" w:hAnsi="Times New Roman" w:cs="Times New Roman"/>
          <w:sz w:val="24"/>
          <w:szCs w:val="24"/>
        </w:rPr>
        <w:t>laikā.</w:t>
      </w:r>
    </w:p>
    <w:p w14:paraId="4D7BAA17" w14:textId="77777777" w:rsidR="00DB1786" w:rsidRPr="009C676F" w:rsidRDefault="00DB178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871.   Ja</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operatīvās</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nomas</w:t>
      </w:r>
      <w:r w:rsidRPr="009C676F">
        <w:rPr>
          <w:rFonts w:ascii="Times New Roman" w:hAnsi="Times New Roman" w:cs="Times New Roman"/>
          <w:spacing w:val="-10"/>
          <w:sz w:val="24"/>
          <w:szCs w:val="24"/>
        </w:rPr>
        <w:t xml:space="preserve"> </w:t>
      </w:r>
      <w:r w:rsidRPr="009C676F">
        <w:rPr>
          <w:rFonts w:ascii="Times New Roman" w:hAnsi="Times New Roman" w:cs="Times New Roman"/>
          <w:sz w:val="24"/>
          <w:szCs w:val="24"/>
        </w:rPr>
        <w:t>ņēmējs</w:t>
      </w:r>
      <w:r w:rsidRPr="009C676F">
        <w:rPr>
          <w:rFonts w:ascii="Times New Roman" w:hAnsi="Times New Roman" w:cs="Times New Roman"/>
          <w:spacing w:val="-14"/>
          <w:sz w:val="24"/>
          <w:szCs w:val="24"/>
        </w:rPr>
        <w:t xml:space="preserve"> </w:t>
      </w:r>
      <w:r w:rsidRPr="009C676F">
        <w:rPr>
          <w:rFonts w:ascii="Times New Roman" w:hAnsi="Times New Roman" w:cs="Times New Roman"/>
          <w:sz w:val="24"/>
          <w:szCs w:val="24"/>
        </w:rPr>
        <w:t>saskaņā</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ar</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līgumu</w:t>
      </w:r>
      <w:r w:rsidRPr="009C676F">
        <w:rPr>
          <w:rFonts w:ascii="Times New Roman" w:hAnsi="Times New Roman" w:cs="Times New Roman"/>
          <w:spacing w:val="-10"/>
          <w:sz w:val="24"/>
          <w:szCs w:val="24"/>
        </w:rPr>
        <w:t xml:space="preserve"> </w:t>
      </w:r>
      <w:r w:rsidRPr="009C676F">
        <w:rPr>
          <w:rFonts w:ascii="Times New Roman" w:hAnsi="Times New Roman" w:cs="Times New Roman"/>
          <w:sz w:val="24"/>
          <w:szCs w:val="24"/>
        </w:rPr>
        <w:t>veic</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nomas</w:t>
      </w:r>
      <w:r w:rsidRPr="009C676F">
        <w:rPr>
          <w:rFonts w:ascii="Times New Roman" w:hAnsi="Times New Roman" w:cs="Times New Roman"/>
          <w:spacing w:val="-9"/>
          <w:sz w:val="24"/>
          <w:szCs w:val="24"/>
        </w:rPr>
        <w:t xml:space="preserve"> </w:t>
      </w:r>
      <w:r w:rsidRPr="009C676F">
        <w:rPr>
          <w:rFonts w:ascii="Times New Roman" w:hAnsi="Times New Roman" w:cs="Times New Roman"/>
          <w:sz w:val="24"/>
          <w:szCs w:val="24"/>
        </w:rPr>
        <w:t>maksājumus,</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izdevumus</w:t>
      </w:r>
      <w:r w:rsidRPr="009C676F">
        <w:rPr>
          <w:rFonts w:ascii="Times New Roman" w:hAnsi="Times New Roman" w:cs="Times New Roman"/>
          <w:spacing w:val="-11"/>
          <w:sz w:val="24"/>
          <w:szCs w:val="24"/>
        </w:rPr>
        <w:t xml:space="preserve"> </w:t>
      </w:r>
      <w:r w:rsidRPr="009C676F">
        <w:rPr>
          <w:rFonts w:ascii="Times New Roman" w:hAnsi="Times New Roman" w:cs="Times New Roman"/>
          <w:sz w:val="24"/>
          <w:szCs w:val="24"/>
        </w:rPr>
        <w:t>atzīst</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periodā,</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kad saņemts nomas pakalpojums, vai saskaņā ar līguma nosacījumiem, veicot sekojošu</w:t>
      </w:r>
      <w:r w:rsidRPr="009C676F">
        <w:rPr>
          <w:rFonts w:ascii="Times New Roman" w:hAnsi="Times New Roman" w:cs="Times New Roman"/>
          <w:spacing w:val="-21"/>
          <w:sz w:val="24"/>
          <w:szCs w:val="24"/>
        </w:rPr>
        <w:t xml:space="preserve"> </w:t>
      </w:r>
      <w:r w:rsidRPr="009C676F">
        <w:rPr>
          <w:rFonts w:ascii="Times New Roman" w:hAnsi="Times New Roman" w:cs="Times New Roman"/>
          <w:sz w:val="24"/>
          <w:szCs w:val="24"/>
        </w:rPr>
        <w:t>grāmatojumu:</w:t>
      </w:r>
    </w:p>
    <w:p w14:paraId="1C390235" w14:textId="77777777" w:rsidR="00DB1786" w:rsidRPr="009C676F" w:rsidRDefault="00DB1786" w:rsidP="00CD363C">
      <w:pPr>
        <w:pStyle w:val="Pamatteksts"/>
        <w:ind w:right="124"/>
        <w:jc w:val="both"/>
        <w:rPr>
          <w:sz w:val="24"/>
          <w:szCs w:val="24"/>
        </w:rPr>
      </w:pPr>
    </w:p>
    <w:p w14:paraId="52167A87" w14:textId="77777777" w:rsidR="00DB1786" w:rsidRPr="009C676F" w:rsidRDefault="00DB1786" w:rsidP="00CD363C">
      <w:pPr>
        <w:tabs>
          <w:tab w:val="left" w:pos="240"/>
        </w:tabs>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 xml:space="preserve">    D    70000*   Pamatdarbības izdevumi</w:t>
      </w:r>
    </w:p>
    <w:p w14:paraId="43676DA0" w14:textId="77777777" w:rsidR="00DB1786" w:rsidRDefault="00DB1786" w:rsidP="00CD363C">
      <w:pPr>
        <w:tabs>
          <w:tab w:val="left" w:pos="240"/>
        </w:tabs>
        <w:spacing w:after="0" w:line="240" w:lineRule="auto"/>
        <w:ind w:right="124"/>
        <w:jc w:val="both"/>
        <w:rPr>
          <w:rFonts w:ascii="Times New Roman" w:hAnsi="Times New Roman" w:cs="Times New Roman"/>
          <w:b/>
          <w:bCs/>
          <w:sz w:val="24"/>
          <w:szCs w:val="24"/>
        </w:rPr>
      </w:pPr>
      <w:r>
        <w:rPr>
          <w:rFonts w:ascii="Times New Roman" w:hAnsi="Times New Roman" w:cs="Times New Roman"/>
          <w:b/>
          <w:bCs/>
          <w:sz w:val="24"/>
          <w:szCs w:val="24"/>
        </w:rPr>
        <w:t xml:space="preserve">    D**  5723****  Pievienotās vērtības nodoklis</w:t>
      </w:r>
    </w:p>
    <w:p w14:paraId="71E57222" w14:textId="77777777" w:rsidR="00DB1786" w:rsidRPr="00DB1786" w:rsidRDefault="00DB1786" w:rsidP="00CD363C">
      <w:pPr>
        <w:tabs>
          <w:tab w:val="left" w:pos="240"/>
        </w:tabs>
        <w:spacing w:after="0" w:line="240" w:lineRule="auto"/>
        <w:ind w:right="124"/>
        <w:jc w:val="both"/>
        <w:rPr>
          <w:rFonts w:ascii="Times New Roman" w:hAnsi="Times New Roman" w:cs="Times New Roman"/>
          <w:b/>
          <w:bCs/>
          <w:sz w:val="24"/>
          <w:szCs w:val="24"/>
        </w:rPr>
      </w:pPr>
      <w:r>
        <w:rPr>
          <w:rFonts w:ascii="Times New Roman" w:hAnsi="Times New Roman" w:cs="Times New Roman"/>
          <w:b/>
          <w:bCs/>
          <w:sz w:val="24"/>
          <w:szCs w:val="24"/>
        </w:rPr>
        <w:t xml:space="preserve">    K    5316   Īstermiņa saistības par operatīvo nomu</w:t>
      </w:r>
    </w:p>
    <w:p w14:paraId="0A58687C" w14:textId="77777777" w:rsidR="00DB1786" w:rsidRDefault="00DB1786" w:rsidP="00CD363C">
      <w:pPr>
        <w:pStyle w:val="Sarakstarindkopa"/>
        <w:widowControl w:val="0"/>
        <w:numPr>
          <w:ilvl w:val="2"/>
          <w:numId w:val="28"/>
        </w:numPr>
        <w:tabs>
          <w:tab w:val="left" w:pos="1529"/>
        </w:tabs>
        <w:autoSpaceDE w:val="0"/>
        <w:autoSpaceDN w:val="0"/>
        <w:spacing w:after="0" w:line="240" w:lineRule="auto"/>
        <w:ind w:right="124" w:hanging="144"/>
        <w:contextualSpacing w:val="0"/>
        <w:jc w:val="both"/>
        <w:rPr>
          <w:i/>
          <w:sz w:val="20"/>
        </w:rPr>
      </w:pPr>
      <w:r>
        <w:rPr>
          <w:i/>
          <w:sz w:val="20"/>
        </w:rPr>
        <w:t>budžeta iestāde izstrādā kontu plānu pamatdarbības izdevumu uzskaitei atbilstoši budžeta izdevumu ekonomisko kategoriju klasifikācijai</w:t>
      </w:r>
    </w:p>
    <w:p w14:paraId="7CAD0056" w14:textId="77777777" w:rsidR="00DB1786" w:rsidRDefault="00DB1786" w:rsidP="00CD363C">
      <w:pPr>
        <w:spacing w:after="0" w:line="240" w:lineRule="auto"/>
        <w:ind w:left="1351" w:right="124"/>
        <w:jc w:val="both"/>
        <w:rPr>
          <w:i/>
          <w:sz w:val="20"/>
        </w:rPr>
      </w:pPr>
      <w:r>
        <w:rPr>
          <w:i/>
          <w:sz w:val="20"/>
        </w:rPr>
        <w:t>** gadījumā, ja budžeta iestāde ir PVN maksātāja.</w:t>
      </w:r>
    </w:p>
    <w:p w14:paraId="13F2D24A" w14:textId="77777777" w:rsidR="00DB1786" w:rsidRDefault="00DB1786" w:rsidP="00CD363C">
      <w:pPr>
        <w:spacing w:after="0" w:line="240" w:lineRule="auto"/>
        <w:ind w:left="1351" w:right="124"/>
        <w:jc w:val="both"/>
        <w:rPr>
          <w:i/>
          <w:sz w:val="20"/>
        </w:rPr>
      </w:pPr>
      <w:r>
        <w:rPr>
          <w:i/>
          <w:sz w:val="20"/>
        </w:rPr>
        <w:t>*** budžeta iestāde grāmatvedības uzskaites kārtībā var noteikt detalizētu PVN uzskaites kontu pielietojumu.</w:t>
      </w:r>
    </w:p>
    <w:p w14:paraId="657A1BD9" w14:textId="77777777" w:rsidR="00E92F5D" w:rsidRPr="009C676F" w:rsidRDefault="00DB1786" w:rsidP="00CD363C">
      <w:pPr>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 xml:space="preserve">    D    7000</w:t>
      </w:r>
      <w:r w:rsidR="009C676F" w:rsidRPr="009C676F">
        <w:rPr>
          <w:rFonts w:ascii="Times New Roman" w:hAnsi="Times New Roman" w:cs="Times New Roman"/>
          <w:b/>
          <w:bCs/>
          <w:sz w:val="24"/>
          <w:szCs w:val="24"/>
        </w:rPr>
        <w:t>*   Pamatdarbības izdevumi</w:t>
      </w:r>
    </w:p>
    <w:p w14:paraId="188B522A" w14:textId="77777777" w:rsidR="009C676F" w:rsidRPr="009C676F" w:rsidRDefault="009C676F" w:rsidP="00CD363C">
      <w:pPr>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 xml:space="preserve">    K    5424   Uzkrātās saistības norēķiniem ar piegādātājiem un darbuzņēmējiem</w:t>
      </w:r>
    </w:p>
    <w:p w14:paraId="33DBD22D" w14:textId="77777777" w:rsidR="009C676F" w:rsidRDefault="009C676F" w:rsidP="00CD363C">
      <w:pPr>
        <w:spacing w:after="0" w:line="240" w:lineRule="auto"/>
        <w:ind w:left="1495" w:right="124" w:hanging="144"/>
        <w:jc w:val="both"/>
        <w:rPr>
          <w:i/>
          <w:sz w:val="20"/>
        </w:rPr>
      </w:pPr>
      <w:r>
        <w:rPr>
          <w:i/>
          <w:sz w:val="20"/>
        </w:rPr>
        <w:t>* budžeta iestāde izstrādā kontu plānu pamatdarbības izdevumu uzskaitei atbilstoši budžeta izdevumu ekonomisko kategoriju klasifikācijai</w:t>
      </w:r>
    </w:p>
    <w:p w14:paraId="131AD5AD"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872.   Aktīvus, kas iegūti operatīvās nomas ietvaros, budžeta iestāde uzskaita zembilancē atbilstoši nomas līgumā</w:t>
      </w:r>
      <w:r w:rsidRPr="00066A58">
        <w:rPr>
          <w:rFonts w:ascii="Times New Roman" w:hAnsi="Times New Roman" w:cs="Times New Roman"/>
          <w:spacing w:val="-12"/>
          <w:sz w:val="24"/>
          <w:szCs w:val="24"/>
        </w:rPr>
        <w:t xml:space="preserve"> </w:t>
      </w:r>
      <w:r w:rsidRPr="00066A58">
        <w:rPr>
          <w:rFonts w:ascii="Times New Roman" w:hAnsi="Times New Roman" w:cs="Times New Roman"/>
          <w:sz w:val="24"/>
          <w:szCs w:val="24"/>
        </w:rPr>
        <w:t>vai</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komisijas</w:t>
      </w:r>
      <w:r w:rsidRPr="00066A58">
        <w:rPr>
          <w:rFonts w:ascii="Times New Roman" w:hAnsi="Times New Roman" w:cs="Times New Roman"/>
          <w:spacing w:val="-15"/>
          <w:sz w:val="24"/>
          <w:szCs w:val="24"/>
        </w:rPr>
        <w:t xml:space="preserve"> </w:t>
      </w:r>
      <w:r w:rsidRPr="00066A58">
        <w:rPr>
          <w:rFonts w:ascii="Times New Roman" w:hAnsi="Times New Roman" w:cs="Times New Roman"/>
          <w:sz w:val="24"/>
          <w:szCs w:val="24"/>
        </w:rPr>
        <w:t>vai</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speciālista</w:t>
      </w:r>
      <w:r w:rsidRPr="00066A58">
        <w:rPr>
          <w:rFonts w:ascii="Times New Roman" w:hAnsi="Times New Roman" w:cs="Times New Roman"/>
          <w:spacing w:val="-14"/>
          <w:sz w:val="24"/>
          <w:szCs w:val="24"/>
        </w:rPr>
        <w:t xml:space="preserve"> </w:t>
      </w:r>
      <w:r w:rsidRPr="00066A58">
        <w:rPr>
          <w:rFonts w:ascii="Times New Roman" w:hAnsi="Times New Roman" w:cs="Times New Roman"/>
          <w:sz w:val="24"/>
          <w:szCs w:val="24"/>
        </w:rPr>
        <w:t>noteiktajai</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vērtībai.</w:t>
      </w:r>
      <w:r w:rsidRPr="00066A58">
        <w:rPr>
          <w:rFonts w:ascii="Times New Roman" w:hAnsi="Times New Roman" w:cs="Times New Roman"/>
          <w:spacing w:val="30"/>
          <w:sz w:val="24"/>
          <w:szCs w:val="24"/>
        </w:rPr>
        <w:t xml:space="preserve"> </w:t>
      </w:r>
      <w:r w:rsidRPr="00066A58">
        <w:rPr>
          <w:rFonts w:ascii="Times New Roman" w:hAnsi="Times New Roman" w:cs="Times New Roman"/>
          <w:sz w:val="24"/>
          <w:szCs w:val="24"/>
        </w:rPr>
        <w:t>Šī</w:t>
      </w:r>
      <w:r w:rsidRPr="00066A58">
        <w:rPr>
          <w:rFonts w:ascii="Times New Roman" w:hAnsi="Times New Roman" w:cs="Times New Roman"/>
          <w:spacing w:val="-15"/>
          <w:sz w:val="24"/>
          <w:szCs w:val="24"/>
        </w:rPr>
        <w:t xml:space="preserve"> </w:t>
      </w:r>
      <w:r w:rsidRPr="00066A58">
        <w:rPr>
          <w:rFonts w:ascii="Times New Roman" w:hAnsi="Times New Roman" w:cs="Times New Roman"/>
          <w:sz w:val="24"/>
          <w:szCs w:val="24"/>
        </w:rPr>
        <w:t>uzskaite</w:t>
      </w:r>
      <w:r w:rsidRPr="00066A58">
        <w:rPr>
          <w:rFonts w:ascii="Times New Roman" w:hAnsi="Times New Roman" w:cs="Times New Roman"/>
          <w:spacing w:val="-14"/>
          <w:sz w:val="24"/>
          <w:szCs w:val="24"/>
        </w:rPr>
        <w:t xml:space="preserve"> </w:t>
      </w:r>
      <w:r w:rsidRPr="00066A58">
        <w:rPr>
          <w:rFonts w:ascii="Times New Roman" w:hAnsi="Times New Roman" w:cs="Times New Roman"/>
          <w:sz w:val="24"/>
          <w:szCs w:val="24"/>
        </w:rPr>
        <w:t>tiek</w:t>
      </w:r>
      <w:r w:rsidRPr="00066A58">
        <w:rPr>
          <w:rFonts w:ascii="Times New Roman" w:hAnsi="Times New Roman" w:cs="Times New Roman"/>
          <w:spacing w:val="-16"/>
          <w:sz w:val="24"/>
          <w:szCs w:val="24"/>
        </w:rPr>
        <w:t xml:space="preserve"> </w:t>
      </w:r>
      <w:r w:rsidRPr="00066A58">
        <w:rPr>
          <w:rFonts w:ascii="Times New Roman" w:hAnsi="Times New Roman" w:cs="Times New Roman"/>
          <w:sz w:val="24"/>
          <w:szCs w:val="24"/>
        </w:rPr>
        <w:t>veikta</w:t>
      </w:r>
      <w:r w:rsidRPr="00066A58">
        <w:rPr>
          <w:rFonts w:ascii="Times New Roman" w:hAnsi="Times New Roman" w:cs="Times New Roman"/>
          <w:spacing w:val="-12"/>
          <w:sz w:val="24"/>
          <w:szCs w:val="24"/>
        </w:rPr>
        <w:t xml:space="preserve"> </w:t>
      </w:r>
      <w:r w:rsidRPr="00066A58">
        <w:rPr>
          <w:rFonts w:ascii="Times New Roman" w:hAnsi="Times New Roman" w:cs="Times New Roman"/>
          <w:sz w:val="24"/>
          <w:szCs w:val="24"/>
        </w:rPr>
        <w:t>zembilances</w:t>
      </w:r>
      <w:r w:rsidRPr="00066A58">
        <w:rPr>
          <w:rFonts w:ascii="Times New Roman" w:hAnsi="Times New Roman" w:cs="Times New Roman"/>
          <w:spacing w:val="-15"/>
          <w:sz w:val="24"/>
          <w:szCs w:val="24"/>
        </w:rPr>
        <w:t xml:space="preserve"> </w:t>
      </w:r>
      <w:r w:rsidRPr="00066A58">
        <w:rPr>
          <w:rFonts w:ascii="Times New Roman" w:hAnsi="Times New Roman" w:cs="Times New Roman"/>
          <w:sz w:val="24"/>
          <w:szCs w:val="24"/>
        </w:rPr>
        <w:t>kodā</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0100 “Nomātie</w:t>
      </w:r>
      <w:r w:rsidRPr="00066A58">
        <w:rPr>
          <w:rFonts w:ascii="Times New Roman" w:hAnsi="Times New Roman" w:cs="Times New Roman"/>
          <w:spacing w:val="-1"/>
          <w:sz w:val="24"/>
          <w:szCs w:val="24"/>
        </w:rPr>
        <w:t xml:space="preserve"> </w:t>
      </w:r>
      <w:r w:rsidRPr="00066A58">
        <w:rPr>
          <w:rFonts w:ascii="Times New Roman" w:hAnsi="Times New Roman" w:cs="Times New Roman"/>
          <w:sz w:val="24"/>
          <w:szCs w:val="24"/>
        </w:rPr>
        <w:t>aktīvi”.</w:t>
      </w:r>
    </w:p>
    <w:p w14:paraId="078412B6"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873.   Budžeta iestāde zembilancē uzskaita nākotnes operatīvās nomas maksājumus neatceļamās nomas apmērā. Šī uzskaite tiek veikta zembilances kodā 9550 “Nākotnes nomas</w:t>
      </w:r>
      <w:r w:rsidRPr="00066A58">
        <w:rPr>
          <w:rFonts w:ascii="Times New Roman" w:hAnsi="Times New Roman" w:cs="Times New Roman"/>
          <w:spacing w:val="-9"/>
          <w:sz w:val="24"/>
          <w:szCs w:val="24"/>
        </w:rPr>
        <w:t xml:space="preserve"> </w:t>
      </w:r>
      <w:r w:rsidRPr="00066A58">
        <w:rPr>
          <w:rFonts w:ascii="Times New Roman" w:hAnsi="Times New Roman" w:cs="Times New Roman"/>
          <w:sz w:val="24"/>
          <w:szCs w:val="24"/>
        </w:rPr>
        <w:t>maksājumi”.</w:t>
      </w:r>
    </w:p>
    <w:p w14:paraId="70CE80D1"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 xml:space="preserve">874.   </w:t>
      </w:r>
      <w:r w:rsidR="00B14C37" w:rsidRPr="00B14C37">
        <w:rPr>
          <w:rFonts w:ascii="Times New Roman" w:hAnsi="Times New Roman" w:cs="Times New Roman"/>
          <w:sz w:val="24"/>
          <w:szCs w:val="24"/>
        </w:rPr>
        <w:t>20</w:t>
      </w:r>
      <w:r w:rsidRPr="00B14C37">
        <w:rPr>
          <w:rFonts w:ascii="Times New Roman" w:hAnsi="Times New Roman" w:cs="Times New Roman"/>
          <w:sz w:val="24"/>
          <w:szCs w:val="24"/>
        </w:rPr>
        <w:t>.5.apakšnodaļā</w:t>
      </w:r>
      <w:r w:rsidRPr="00066A58">
        <w:rPr>
          <w:rFonts w:ascii="Times New Roman" w:hAnsi="Times New Roman" w:cs="Times New Roman"/>
          <w:color w:val="0462C1"/>
          <w:sz w:val="24"/>
          <w:szCs w:val="24"/>
          <w:u w:val="single" w:color="0462C1"/>
        </w:rPr>
        <w:t xml:space="preserve"> “</w:t>
      </w:r>
      <w:hyperlink w:anchor="_bookmark328" w:history="1">
        <w:r w:rsidR="00B14C37">
          <w:rPr>
            <w:rFonts w:ascii="Times New Roman" w:hAnsi="Times New Roman" w:cs="Times New Roman"/>
            <w:color w:val="0462C1"/>
            <w:sz w:val="24"/>
            <w:szCs w:val="24"/>
            <w:u w:val="single" w:color="0462C1"/>
          </w:rPr>
          <w:t>20.5.5</w:t>
        </w:r>
        <w:r w:rsidRPr="00066A58">
          <w:rPr>
            <w:rFonts w:ascii="Times New Roman" w:hAnsi="Times New Roman" w:cs="Times New Roman"/>
            <w:color w:val="0462C1"/>
            <w:sz w:val="24"/>
            <w:szCs w:val="24"/>
            <w:u w:val="single" w:color="0462C1"/>
          </w:rPr>
          <w:t>. Piemērs – Operatīvās nomas uzskaite no nomnieka puses</w:t>
        </w:r>
      </w:hyperlink>
      <w:r w:rsidRPr="00066A58">
        <w:rPr>
          <w:rFonts w:ascii="Times New Roman" w:hAnsi="Times New Roman" w:cs="Times New Roman"/>
          <w:color w:val="0462C1"/>
          <w:sz w:val="24"/>
          <w:szCs w:val="24"/>
          <w:u w:val="single" w:color="0462C1"/>
        </w:rPr>
        <w:t>”</w:t>
      </w:r>
      <w:r w:rsidRPr="00066A58">
        <w:rPr>
          <w:rFonts w:ascii="Times New Roman" w:hAnsi="Times New Roman" w:cs="Times New Roman"/>
          <w:color w:val="0462C1"/>
          <w:sz w:val="24"/>
          <w:szCs w:val="24"/>
        </w:rPr>
        <w:t xml:space="preserve"> </w:t>
      </w:r>
      <w:r w:rsidRPr="00066A58">
        <w:rPr>
          <w:rFonts w:ascii="Times New Roman" w:hAnsi="Times New Roman" w:cs="Times New Roman"/>
          <w:sz w:val="24"/>
          <w:szCs w:val="24"/>
        </w:rPr>
        <w:t>sniegts praktisks piemērs operatīvās nomas uzskaitei no nomnieka</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puses.</w:t>
      </w:r>
    </w:p>
    <w:p w14:paraId="3D30D4AD" w14:textId="77777777" w:rsidR="00E563E5" w:rsidRPr="00066A58" w:rsidRDefault="00E563E5" w:rsidP="00CD363C">
      <w:pPr>
        <w:pStyle w:val="Virsraksts4"/>
        <w:spacing w:before="0"/>
        <w:ind w:left="218" w:right="124"/>
        <w:jc w:val="both"/>
      </w:pPr>
      <w:r w:rsidRPr="00066A58">
        <w:rPr>
          <w:color w:val="002069"/>
        </w:rPr>
        <w:t>Operatīvās nomas uzskaite no iznomātāja puses</w:t>
      </w:r>
    </w:p>
    <w:p w14:paraId="155BC957"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875.   Iznomātājs operatīvajā nomā iznomāto aktīvu klasificē atbilstoši aktīva veidam (piemēram, transportlīdzeklis). Zemi un būves, kā arī to neatņemamas sastāvdaļas klasificē ieguldījumu īpašumu vai pamatlīdzekļu sastāvā atbilstoši ieguldījumu īpašumu un pamatlīdzekļu klasifikācijas</w:t>
      </w:r>
      <w:r w:rsidRPr="00066A58">
        <w:rPr>
          <w:rFonts w:ascii="Times New Roman" w:hAnsi="Times New Roman" w:cs="Times New Roman"/>
          <w:spacing w:val="-21"/>
          <w:sz w:val="24"/>
          <w:szCs w:val="24"/>
        </w:rPr>
        <w:t xml:space="preserve"> </w:t>
      </w:r>
      <w:r w:rsidRPr="00066A58">
        <w:rPr>
          <w:rFonts w:ascii="Times New Roman" w:hAnsi="Times New Roman" w:cs="Times New Roman"/>
          <w:sz w:val="24"/>
          <w:szCs w:val="24"/>
        </w:rPr>
        <w:t>prasībām.</w:t>
      </w:r>
    </w:p>
    <w:p w14:paraId="7D47D5EF"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876.   Iznomātājs</w:t>
      </w:r>
      <w:r w:rsidRPr="00066A58">
        <w:rPr>
          <w:rFonts w:ascii="Times New Roman" w:hAnsi="Times New Roman" w:cs="Times New Roman"/>
          <w:spacing w:val="-6"/>
          <w:sz w:val="24"/>
          <w:szCs w:val="24"/>
        </w:rPr>
        <w:t xml:space="preserve"> </w:t>
      </w:r>
      <w:r w:rsidRPr="00066A58">
        <w:rPr>
          <w:rFonts w:ascii="Times New Roman" w:hAnsi="Times New Roman" w:cs="Times New Roman"/>
          <w:sz w:val="24"/>
          <w:szCs w:val="24"/>
        </w:rPr>
        <w:t>operatīvās</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nomas</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ieņēmumus</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atzīst</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kā</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pārskata</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perioda</w:t>
      </w:r>
      <w:r w:rsidRPr="00066A58">
        <w:rPr>
          <w:rFonts w:ascii="Times New Roman" w:hAnsi="Times New Roman" w:cs="Times New Roman"/>
          <w:spacing w:val="-6"/>
          <w:sz w:val="24"/>
          <w:szCs w:val="24"/>
        </w:rPr>
        <w:t xml:space="preserve"> </w:t>
      </w:r>
      <w:r w:rsidRPr="00066A58">
        <w:rPr>
          <w:rFonts w:ascii="Times New Roman" w:hAnsi="Times New Roman" w:cs="Times New Roman"/>
          <w:sz w:val="24"/>
          <w:szCs w:val="24"/>
        </w:rPr>
        <w:t>pamatdarbības</w:t>
      </w:r>
      <w:r w:rsidRPr="00066A58">
        <w:rPr>
          <w:rFonts w:ascii="Times New Roman" w:hAnsi="Times New Roman" w:cs="Times New Roman"/>
          <w:spacing w:val="-8"/>
          <w:sz w:val="24"/>
          <w:szCs w:val="24"/>
        </w:rPr>
        <w:t xml:space="preserve"> </w:t>
      </w:r>
      <w:r w:rsidRPr="00066A58">
        <w:rPr>
          <w:rFonts w:ascii="Times New Roman" w:hAnsi="Times New Roman" w:cs="Times New Roman"/>
          <w:sz w:val="24"/>
          <w:szCs w:val="24"/>
        </w:rPr>
        <w:t>ieņēmumus</w:t>
      </w:r>
      <w:r w:rsidRPr="00066A58">
        <w:rPr>
          <w:rFonts w:ascii="Times New Roman" w:hAnsi="Times New Roman" w:cs="Times New Roman"/>
          <w:spacing w:val="-2"/>
          <w:sz w:val="24"/>
          <w:szCs w:val="24"/>
        </w:rPr>
        <w:t xml:space="preserve"> </w:t>
      </w:r>
      <w:r w:rsidRPr="00066A58">
        <w:rPr>
          <w:rFonts w:ascii="Times New Roman" w:hAnsi="Times New Roman" w:cs="Times New Roman"/>
          <w:sz w:val="24"/>
          <w:szCs w:val="24"/>
          <w:u w:val="single"/>
        </w:rPr>
        <w:t>lineāri</w:t>
      </w:r>
      <w:r w:rsidRPr="00066A58">
        <w:rPr>
          <w:rFonts w:ascii="Times New Roman" w:hAnsi="Times New Roman" w:cs="Times New Roman"/>
          <w:sz w:val="24"/>
          <w:szCs w:val="24"/>
        </w:rPr>
        <w:t xml:space="preserve"> nomas termiņa</w:t>
      </w:r>
      <w:r w:rsidRPr="00066A58">
        <w:rPr>
          <w:rFonts w:ascii="Times New Roman" w:hAnsi="Times New Roman" w:cs="Times New Roman"/>
          <w:spacing w:val="-1"/>
          <w:sz w:val="24"/>
          <w:szCs w:val="24"/>
        </w:rPr>
        <w:t xml:space="preserve"> </w:t>
      </w:r>
      <w:r w:rsidRPr="00066A58">
        <w:rPr>
          <w:rFonts w:ascii="Times New Roman" w:hAnsi="Times New Roman" w:cs="Times New Roman"/>
          <w:sz w:val="24"/>
          <w:szCs w:val="24"/>
        </w:rPr>
        <w:t>laikā.</w:t>
      </w:r>
    </w:p>
    <w:p w14:paraId="47E72F07"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877.   Ja iznomātājs saskaņā ar līgumu saņem nomas maksājumus, ieņēmumus atzīst periodā, kad sniegts nomas pakalpojums, vai saskaņā ar līguma nosacījumiem, veicot sekojošu</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grāmatojumu:</w:t>
      </w:r>
    </w:p>
    <w:p w14:paraId="0B040D77"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    2316   Prasības par operatīvo nomu</w:t>
      </w:r>
    </w:p>
    <w:p w14:paraId="3585539D"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  5723*** Pievienotā</w:t>
      </w:r>
      <w:r w:rsidR="00B56CF9" w:rsidRPr="00066A58">
        <w:rPr>
          <w:rFonts w:ascii="Times New Roman" w:hAnsi="Times New Roman" w:cs="Times New Roman"/>
          <w:b/>
          <w:bCs/>
          <w:sz w:val="24"/>
          <w:szCs w:val="24"/>
        </w:rPr>
        <w:t>s vērtības nodoklis</w:t>
      </w:r>
    </w:p>
    <w:p w14:paraId="56E58F84"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6000   Pamatdarbības ieņēmumi</w:t>
      </w:r>
    </w:p>
    <w:p w14:paraId="3FBFA0DB" w14:textId="77777777" w:rsidR="00B56CF9" w:rsidRPr="00066A58" w:rsidRDefault="00B56CF9" w:rsidP="00CD363C">
      <w:pPr>
        <w:pStyle w:val="Sarakstarindkopa"/>
        <w:widowControl w:val="0"/>
        <w:numPr>
          <w:ilvl w:val="2"/>
          <w:numId w:val="28"/>
        </w:numPr>
        <w:tabs>
          <w:tab w:val="left" w:pos="1517"/>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ieņēmumu uzskaitei atbilstoši budžeta ieņēmumu ekonomisko kategoriju</w:t>
      </w:r>
      <w:r w:rsidRPr="00066A58">
        <w:rPr>
          <w:rFonts w:ascii="Times New Roman" w:hAnsi="Times New Roman" w:cs="Times New Roman"/>
          <w:i/>
          <w:spacing w:val="3"/>
          <w:sz w:val="24"/>
          <w:szCs w:val="24"/>
        </w:rPr>
        <w:t xml:space="preserve"> </w:t>
      </w:r>
      <w:r w:rsidRPr="00066A58">
        <w:rPr>
          <w:rFonts w:ascii="Times New Roman" w:hAnsi="Times New Roman" w:cs="Times New Roman"/>
          <w:i/>
          <w:sz w:val="24"/>
          <w:szCs w:val="24"/>
        </w:rPr>
        <w:t>klasifikācijai</w:t>
      </w:r>
    </w:p>
    <w:p w14:paraId="358ACC99" w14:textId="77777777" w:rsidR="00B56CF9" w:rsidRPr="00066A58" w:rsidRDefault="00B56CF9" w:rsidP="00CD363C">
      <w:pPr>
        <w:spacing w:after="0" w:line="240" w:lineRule="auto"/>
        <w:ind w:left="1351" w:right="124"/>
        <w:jc w:val="both"/>
        <w:rPr>
          <w:rFonts w:ascii="Times New Roman" w:hAnsi="Times New Roman" w:cs="Times New Roman"/>
          <w:i/>
          <w:sz w:val="24"/>
          <w:szCs w:val="24"/>
        </w:rPr>
      </w:pPr>
      <w:r w:rsidRPr="00066A58">
        <w:rPr>
          <w:rFonts w:ascii="Times New Roman" w:hAnsi="Times New Roman" w:cs="Times New Roman"/>
          <w:i/>
          <w:sz w:val="24"/>
          <w:szCs w:val="24"/>
        </w:rPr>
        <w:t>** gadījumā, ja budžeta iestāde ir PVN maksātāja.</w:t>
      </w:r>
    </w:p>
    <w:p w14:paraId="28D7D7A9" w14:textId="77777777" w:rsidR="00B56CF9" w:rsidRPr="00066A58" w:rsidRDefault="00B56CF9" w:rsidP="00CD363C">
      <w:pPr>
        <w:spacing w:after="0" w:line="240" w:lineRule="auto"/>
        <w:ind w:left="1351" w:right="124"/>
        <w:jc w:val="both"/>
        <w:rPr>
          <w:rFonts w:ascii="Times New Roman" w:hAnsi="Times New Roman" w:cs="Times New Roman"/>
          <w:i/>
          <w:sz w:val="24"/>
          <w:szCs w:val="24"/>
        </w:rPr>
      </w:pPr>
      <w:r w:rsidRPr="00066A58">
        <w:rPr>
          <w:rFonts w:ascii="Times New Roman" w:hAnsi="Times New Roman" w:cs="Times New Roman"/>
          <w:i/>
          <w:sz w:val="24"/>
          <w:szCs w:val="24"/>
        </w:rPr>
        <w:t>*** budžeta iestāde grāmatvedības uzskaites kārtībā var noteikt detalizētu PVN uzskaites kontu pielietojumu.</w:t>
      </w:r>
    </w:p>
    <w:p w14:paraId="7B792C35"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878.  Nomas ieņēmumus (izņemot ieņēmumus no sniegtajiem pakalpojumiem, piemēram, iznomātā aktīva apdrošināšanu</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un</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uzturēšanu)</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nomas</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termiņa</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laikā</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atzīst</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pēc</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lineārās</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metodes</w:t>
      </w:r>
      <w:r w:rsidRPr="00066A58">
        <w:rPr>
          <w:rFonts w:ascii="Times New Roman" w:hAnsi="Times New Roman" w:cs="Times New Roman"/>
          <w:spacing w:val="-6"/>
          <w:sz w:val="24"/>
          <w:szCs w:val="24"/>
        </w:rPr>
        <w:t xml:space="preserve"> </w:t>
      </w:r>
      <w:r w:rsidRPr="00066A58">
        <w:rPr>
          <w:rFonts w:ascii="Times New Roman" w:hAnsi="Times New Roman" w:cs="Times New Roman"/>
          <w:sz w:val="24"/>
          <w:szCs w:val="24"/>
        </w:rPr>
        <w:t>pat</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tad,</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ja</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maksājumus nesaņem pēc šīs metodes, veicot sekojošu</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grāmatojumu:</w:t>
      </w:r>
    </w:p>
    <w:p w14:paraId="72A1E7D5" w14:textId="77777777" w:rsidR="00B56CF9" w:rsidRPr="00066A58" w:rsidRDefault="00B56CF9" w:rsidP="00CD363C">
      <w:pPr>
        <w:spacing w:after="0" w:line="240" w:lineRule="auto"/>
        <w:ind w:left="576" w:right="124"/>
        <w:jc w:val="both"/>
        <w:rPr>
          <w:rFonts w:ascii="Times New Roman" w:hAnsi="Times New Roman" w:cs="Times New Roman"/>
          <w:i/>
          <w:sz w:val="24"/>
          <w:szCs w:val="24"/>
        </w:rPr>
      </w:pPr>
      <w:r w:rsidRPr="00066A58">
        <w:rPr>
          <w:rFonts w:ascii="Times New Roman" w:hAnsi="Times New Roman" w:cs="Times New Roman"/>
          <w:i/>
          <w:sz w:val="24"/>
          <w:szCs w:val="24"/>
        </w:rPr>
        <w:t>Grāmatojums, ja maksājums saņemts avansā:</w:t>
      </w:r>
    </w:p>
    <w:p w14:paraId="4847DCE0" w14:textId="77777777" w:rsidR="00E563E5" w:rsidRPr="00066A58" w:rsidRDefault="00B56CF9" w:rsidP="00CD363C">
      <w:pPr>
        <w:pStyle w:val="Pamatteksts"/>
        <w:ind w:right="124"/>
        <w:jc w:val="both"/>
        <w:rPr>
          <w:b/>
          <w:bCs/>
          <w:sz w:val="24"/>
          <w:szCs w:val="24"/>
        </w:rPr>
      </w:pPr>
      <w:r w:rsidRPr="00066A58">
        <w:rPr>
          <w:b/>
          <w:bCs/>
          <w:sz w:val="24"/>
          <w:szCs w:val="24"/>
        </w:rPr>
        <w:t xml:space="preserve">    D    5910   Nākamo periodu ieņēmumi un saņemtie avansi</w:t>
      </w:r>
    </w:p>
    <w:p w14:paraId="07F15904" w14:textId="77777777" w:rsidR="00B56CF9" w:rsidRPr="00066A58" w:rsidRDefault="00B56CF9" w:rsidP="00CD363C">
      <w:pPr>
        <w:pStyle w:val="Pamatteksts"/>
        <w:ind w:right="124"/>
        <w:jc w:val="both"/>
        <w:rPr>
          <w:b/>
          <w:bCs/>
          <w:sz w:val="24"/>
          <w:szCs w:val="24"/>
        </w:rPr>
      </w:pPr>
      <w:r w:rsidRPr="00066A58">
        <w:rPr>
          <w:b/>
          <w:bCs/>
          <w:sz w:val="24"/>
          <w:szCs w:val="24"/>
        </w:rPr>
        <w:t xml:space="preserve">    K    6000*  Pamatdarbības ieņēmumi</w:t>
      </w:r>
    </w:p>
    <w:p w14:paraId="50F0A78C" w14:textId="77777777" w:rsidR="00B56CF9" w:rsidRPr="00066A58" w:rsidRDefault="00B56CF9" w:rsidP="00CD363C">
      <w:pPr>
        <w:pStyle w:val="Sarakstarindkopa"/>
        <w:widowControl w:val="0"/>
        <w:numPr>
          <w:ilvl w:val="2"/>
          <w:numId w:val="28"/>
        </w:numPr>
        <w:tabs>
          <w:tab w:val="left" w:pos="1517"/>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ieņēmumu uzskaitei atbilstoši budžeta ieņēmumu ekonomisko kategoriju klasifikācijai</w:t>
      </w:r>
    </w:p>
    <w:p w14:paraId="3B588F6F" w14:textId="77777777" w:rsidR="00B56CF9" w:rsidRPr="00066A58" w:rsidRDefault="00B56CF9" w:rsidP="00CD363C">
      <w:pPr>
        <w:spacing w:after="0" w:line="240" w:lineRule="auto"/>
        <w:ind w:right="124"/>
        <w:jc w:val="both"/>
        <w:rPr>
          <w:rFonts w:ascii="Times New Roman" w:hAnsi="Times New Roman" w:cs="Times New Roman"/>
          <w:i/>
          <w:sz w:val="24"/>
          <w:szCs w:val="24"/>
        </w:rPr>
      </w:pPr>
      <w:r w:rsidRPr="00066A58">
        <w:rPr>
          <w:rFonts w:ascii="Times New Roman" w:hAnsi="Times New Roman" w:cs="Times New Roman"/>
          <w:i/>
          <w:sz w:val="24"/>
          <w:szCs w:val="24"/>
        </w:rPr>
        <w:t xml:space="preserve">          Grāmatojums, ja maksājums nav saņemts un maksāšanai paredzētais attaisnojuma dokuments nav izsniegts:</w:t>
      </w:r>
    </w:p>
    <w:p w14:paraId="4F836C8A" w14:textId="77777777" w:rsidR="00B56CF9" w:rsidRPr="00066A58" w:rsidRDefault="00B56CF9" w:rsidP="00CD363C">
      <w:pPr>
        <w:pStyle w:val="Pamatteksts"/>
        <w:ind w:right="124"/>
        <w:jc w:val="both"/>
        <w:rPr>
          <w:b/>
          <w:bCs/>
          <w:sz w:val="24"/>
          <w:szCs w:val="24"/>
        </w:rPr>
      </w:pPr>
      <w:r w:rsidRPr="00066A58">
        <w:rPr>
          <w:b/>
          <w:bCs/>
          <w:sz w:val="24"/>
          <w:szCs w:val="24"/>
        </w:rPr>
        <w:t xml:space="preserve">    D    2360   Uzkrātie ieņēmumi</w:t>
      </w:r>
    </w:p>
    <w:p w14:paraId="7FE7D474" w14:textId="77777777" w:rsidR="00B56CF9" w:rsidRPr="00066A58" w:rsidRDefault="00B56CF9" w:rsidP="00CD363C">
      <w:pPr>
        <w:pStyle w:val="Pamatteksts"/>
        <w:ind w:right="124"/>
        <w:jc w:val="both"/>
        <w:rPr>
          <w:b/>
          <w:bCs/>
          <w:sz w:val="24"/>
          <w:szCs w:val="24"/>
        </w:rPr>
      </w:pPr>
      <w:r w:rsidRPr="00066A58">
        <w:rPr>
          <w:b/>
          <w:bCs/>
          <w:sz w:val="24"/>
          <w:szCs w:val="24"/>
        </w:rPr>
        <w:t xml:space="preserve">    K    6000*  Pamatdarbības ieņēmumi</w:t>
      </w:r>
    </w:p>
    <w:p w14:paraId="7BCE5CAD" w14:textId="77777777" w:rsidR="00B56CF9" w:rsidRPr="00066A58" w:rsidRDefault="00B56CF9" w:rsidP="00CD363C">
      <w:pPr>
        <w:pStyle w:val="Sarakstarindkopa"/>
        <w:widowControl w:val="0"/>
        <w:numPr>
          <w:ilvl w:val="2"/>
          <w:numId w:val="28"/>
        </w:numPr>
        <w:tabs>
          <w:tab w:val="left" w:pos="1517"/>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b/>
          <w:bCs/>
          <w:sz w:val="24"/>
          <w:szCs w:val="24"/>
        </w:rPr>
        <w:t xml:space="preserve"> </w:t>
      </w:r>
      <w:r w:rsidRPr="00066A58">
        <w:rPr>
          <w:rFonts w:ascii="Times New Roman" w:hAnsi="Times New Roman" w:cs="Times New Roman"/>
          <w:i/>
          <w:sz w:val="24"/>
          <w:szCs w:val="24"/>
        </w:rPr>
        <w:t>budžeta iestāde izstrādā kontu plānu pamatdarbības ieņēmumu uzskaitei atbilstoši budžeta ieņēmumu ekonomisko kategoriju klasifikācijai</w:t>
      </w:r>
    </w:p>
    <w:p w14:paraId="36C64079"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 xml:space="preserve">879.  </w:t>
      </w:r>
      <w:r w:rsidR="00537588" w:rsidRPr="00537588">
        <w:rPr>
          <w:rFonts w:ascii="Times New Roman" w:hAnsi="Times New Roman" w:cs="Times New Roman"/>
          <w:sz w:val="24"/>
          <w:szCs w:val="24"/>
        </w:rPr>
        <w:t>20.5</w:t>
      </w:r>
      <w:r w:rsidRPr="00537588">
        <w:rPr>
          <w:rFonts w:ascii="Times New Roman" w:hAnsi="Times New Roman" w:cs="Times New Roman"/>
          <w:sz w:val="24"/>
          <w:szCs w:val="24"/>
        </w:rPr>
        <w:t>.apakšnodaļā</w:t>
      </w:r>
      <w:r w:rsidRPr="00066A58">
        <w:rPr>
          <w:rFonts w:ascii="Times New Roman" w:hAnsi="Times New Roman" w:cs="Times New Roman"/>
          <w:color w:val="0462C1"/>
          <w:sz w:val="24"/>
          <w:szCs w:val="24"/>
        </w:rPr>
        <w:t xml:space="preserve"> </w:t>
      </w:r>
      <w:r w:rsidRPr="00066A58">
        <w:rPr>
          <w:rFonts w:ascii="Times New Roman" w:hAnsi="Times New Roman" w:cs="Times New Roman"/>
          <w:color w:val="0462C1"/>
          <w:sz w:val="24"/>
          <w:szCs w:val="24"/>
          <w:u w:val="single" w:color="0462C1"/>
        </w:rPr>
        <w:t>“</w:t>
      </w:r>
      <w:hyperlink w:anchor="_bookmark330" w:history="1">
        <w:r w:rsidR="00537588">
          <w:rPr>
            <w:rFonts w:ascii="Times New Roman" w:hAnsi="Times New Roman" w:cs="Times New Roman"/>
            <w:color w:val="0462C1"/>
            <w:sz w:val="24"/>
            <w:szCs w:val="24"/>
            <w:u w:val="single" w:color="0462C1"/>
          </w:rPr>
          <w:t>20.5.7.</w:t>
        </w:r>
        <w:r w:rsidRPr="00066A58">
          <w:rPr>
            <w:rFonts w:ascii="Times New Roman" w:hAnsi="Times New Roman" w:cs="Times New Roman"/>
            <w:color w:val="0462C1"/>
            <w:sz w:val="24"/>
            <w:szCs w:val="24"/>
            <w:u w:val="single" w:color="0462C1"/>
          </w:rPr>
          <w:t>. Piemērs – Operatīvās nomas uzskaite no iznomātāja puses</w:t>
        </w:r>
      </w:hyperlink>
      <w:r w:rsidRPr="00066A58">
        <w:rPr>
          <w:rFonts w:ascii="Times New Roman" w:hAnsi="Times New Roman" w:cs="Times New Roman"/>
          <w:color w:val="0462C1"/>
          <w:sz w:val="24"/>
          <w:szCs w:val="24"/>
          <w:u w:val="single" w:color="0462C1"/>
        </w:rPr>
        <w:t>”</w:t>
      </w:r>
      <w:r w:rsidRPr="00066A58">
        <w:rPr>
          <w:rFonts w:ascii="Times New Roman" w:hAnsi="Times New Roman" w:cs="Times New Roman"/>
          <w:color w:val="0462C1"/>
          <w:sz w:val="24"/>
          <w:szCs w:val="24"/>
        </w:rPr>
        <w:t xml:space="preserve"> </w:t>
      </w:r>
      <w:r w:rsidRPr="00066A58">
        <w:rPr>
          <w:rFonts w:ascii="Times New Roman" w:hAnsi="Times New Roman" w:cs="Times New Roman"/>
          <w:sz w:val="24"/>
          <w:szCs w:val="24"/>
        </w:rPr>
        <w:t>sniegts</w:t>
      </w:r>
      <w:r w:rsidRPr="00066A58">
        <w:rPr>
          <w:rFonts w:ascii="Times New Roman" w:hAnsi="Times New Roman" w:cs="Times New Roman"/>
          <w:spacing w:val="-37"/>
          <w:sz w:val="24"/>
          <w:szCs w:val="24"/>
        </w:rPr>
        <w:t xml:space="preserve"> </w:t>
      </w:r>
      <w:r w:rsidRPr="00066A58">
        <w:rPr>
          <w:rFonts w:ascii="Times New Roman" w:hAnsi="Times New Roman" w:cs="Times New Roman"/>
          <w:sz w:val="24"/>
          <w:szCs w:val="24"/>
        </w:rPr>
        <w:t>praktisks piemērs nomas ieņēmumu atzīšanai pēc lineārās metodes no iznomātāja puses operatīvās nomas gadījumā.</w:t>
      </w:r>
    </w:p>
    <w:p w14:paraId="6EA443E3"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880. Izmaksas, tai skaitā nolietojuma vai amortizācijas izmaksas, kas rodas, gūstot nomas ieņēmumus, atzīst pamatdarbības izdevumos to rašanās laikā, veicot sekojošu</w:t>
      </w:r>
      <w:r w:rsidRPr="00066A58">
        <w:rPr>
          <w:rFonts w:ascii="Times New Roman" w:hAnsi="Times New Roman" w:cs="Times New Roman"/>
          <w:spacing w:val="-8"/>
          <w:sz w:val="24"/>
          <w:szCs w:val="24"/>
        </w:rPr>
        <w:t xml:space="preserve"> </w:t>
      </w:r>
      <w:r w:rsidRPr="00066A58">
        <w:rPr>
          <w:rFonts w:ascii="Times New Roman" w:hAnsi="Times New Roman" w:cs="Times New Roman"/>
          <w:sz w:val="24"/>
          <w:szCs w:val="24"/>
        </w:rPr>
        <w:t>grāmatojumu:</w:t>
      </w:r>
    </w:p>
    <w:p w14:paraId="2ECD44D1"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w:t>
      </w:r>
      <w:r w:rsidR="0019110B" w:rsidRPr="00066A58">
        <w:rPr>
          <w:rFonts w:ascii="Times New Roman" w:hAnsi="Times New Roman" w:cs="Times New Roman"/>
          <w:b/>
          <w:bCs/>
          <w:sz w:val="24"/>
          <w:szCs w:val="24"/>
        </w:rPr>
        <w:t xml:space="preserve">    7000* Pamatdarbības izdevumi</w:t>
      </w:r>
    </w:p>
    <w:p w14:paraId="13D5C864"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1190   Nemateriālo ieguldījumu amortizācija  un vērtības samazinājums</w:t>
      </w:r>
    </w:p>
    <w:p w14:paraId="0B755C3A"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1290   Pamatlīdzekļu uzkrātais nolietojums un vērtības samazinājums</w:t>
      </w:r>
    </w:p>
    <w:p w14:paraId="305FE3E1"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1590    Ieguldījumu īpašumu nolietojums un vērtības samazinājums</w:t>
      </w:r>
    </w:p>
    <w:p w14:paraId="69B5FB2A" w14:textId="77777777" w:rsidR="0019110B" w:rsidRPr="00066A58" w:rsidRDefault="0019110B" w:rsidP="00CD363C">
      <w:pPr>
        <w:pStyle w:val="Sarakstarindkopa"/>
        <w:widowControl w:val="0"/>
        <w:numPr>
          <w:ilvl w:val="2"/>
          <w:numId w:val="28"/>
        </w:numPr>
        <w:tabs>
          <w:tab w:val="left" w:pos="1529"/>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izdevumu uzskaitei atbilstoši budžeta izdevumu ekonomisko kategoriju klasifikācijai</w:t>
      </w:r>
    </w:p>
    <w:p w14:paraId="05715E97"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881.   Iznomātāja sākotnējās tiešās izmaksas, kas radušās sakarā ar vienošanos par nomu (</w:t>
      </w:r>
      <w:r w:rsidRPr="00066A58">
        <w:rPr>
          <w:rFonts w:ascii="Times New Roman" w:hAnsi="Times New Roman" w:cs="Times New Roman"/>
          <w:i/>
          <w:sz w:val="24"/>
          <w:szCs w:val="24"/>
        </w:rPr>
        <w:t>piemēram, juridiskās izmaksas, kas saistītās ar līguma sagatavošanu</w:t>
      </w:r>
      <w:r w:rsidRPr="00066A58">
        <w:rPr>
          <w:rFonts w:ascii="Times New Roman" w:hAnsi="Times New Roman" w:cs="Times New Roman"/>
          <w:sz w:val="24"/>
          <w:szCs w:val="24"/>
        </w:rPr>
        <w:t>), atzīst aktīva atsevišķā postenī (nākamo periodu</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izdevumi)</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un</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atzīst</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izdevumus</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nomas</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termiņa</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laikā</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uz</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tādiem</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pašiem</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nosacījumiem</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kā</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atzīst nomas</w:t>
      </w:r>
      <w:r w:rsidRPr="00066A58">
        <w:rPr>
          <w:rFonts w:ascii="Times New Roman" w:hAnsi="Times New Roman" w:cs="Times New Roman"/>
          <w:spacing w:val="-1"/>
          <w:sz w:val="24"/>
          <w:szCs w:val="24"/>
        </w:rPr>
        <w:t xml:space="preserve"> </w:t>
      </w:r>
      <w:r w:rsidRPr="00066A58">
        <w:rPr>
          <w:rFonts w:ascii="Times New Roman" w:hAnsi="Times New Roman" w:cs="Times New Roman"/>
          <w:sz w:val="24"/>
          <w:szCs w:val="24"/>
        </w:rPr>
        <w:t>ienākumus.</w:t>
      </w:r>
    </w:p>
    <w:p w14:paraId="694682A5" w14:textId="77777777" w:rsidR="0019110B" w:rsidRPr="00066A58" w:rsidRDefault="0019110B" w:rsidP="00CD363C">
      <w:pPr>
        <w:spacing w:after="0" w:line="240" w:lineRule="auto"/>
        <w:ind w:left="578" w:right="124"/>
        <w:jc w:val="both"/>
        <w:rPr>
          <w:rFonts w:ascii="Times New Roman" w:hAnsi="Times New Roman" w:cs="Times New Roman"/>
          <w:i/>
          <w:sz w:val="24"/>
          <w:szCs w:val="24"/>
        </w:rPr>
      </w:pPr>
      <w:r w:rsidRPr="00066A58">
        <w:rPr>
          <w:rFonts w:ascii="Times New Roman" w:hAnsi="Times New Roman" w:cs="Times New Roman"/>
          <w:i/>
          <w:sz w:val="24"/>
          <w:szCs w:val="24"/>
        </w:rPr>
        <w:t>Grāmatojums, veicot maksājumu:</w:t>
      </w:r>
    </w:p>
    <w:p w14:paraId="510EF232"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    2420   Avansa maksājumi par pakalpojumiem un citi nākamo periodu izdevumi</w:t>
      </w:r>
    </w:p>
    <w:p w14:paraId="456E447A"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2620   Norēķinu konti Valsts kasē, kredītiestādēs vai citās institūcijās</w:t>
      </w:r>
    </w:p>
    <w:p w14:paraId="3245CDC5" w14:textId="77777777" w:rsidR="0019110B" w:rsidRPr="00066A58" w:rsidRDefault="0019110B" w:rsidP="00CD363C">
      <w:pPr>
        <w:pStyle w:val="Sarakstarindkopa"/>
        <w:widowControl w:val="0"/>
        <w:numPr>
          <w:ilvl w:val="0"/>
          <w:numId w:val="29"/>
        </w:numPr>
        <w:tabs>
          <w:tab w:val="left" w:pos="1529"/>
        </w:tabs>
        <w:autoSpaceDE w:val="0"/>
        <w:autoSpaceDN w:val="0"/>
        <w:spacing w:after="0" w:line="240" w:lineRule="auto"/>
        <w:ind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izdevumu uzskaitei atbilstoši budžeta izdevumu ekonomisko kategoriju klasifikācijai</w:t>
      </w:r>
    </w:p>
    <w:p w14:paraId="3AF3C30D" w14:textId="77777777" w:rsidR="0019110B" w:rsidRPr="00066A58" w:rsidRDefault="0019110B" w:rsidP="00CD363C">
      <w:pPr>
        <w:pStyle w:val="Sarakstarindkopa"/>
        <w:widowControl w:val="0"/>
        <w:tabs>
          <w:tab w:val="left" w:pos="1529"/>
        </w:tabs>
        <w:autoSpaceDE w:val="0"/>
        <w:autoSpaceDN w:val="0"/>
        <w:spacing w:after="0" w:line="240" w:lineRule="auto"/>
        <w:ind w:left="1351" w:right="124"/>
        <w:contextualSpacing w:val="0"/>
        <w:jc w:val="both"/>
        <w:rPr>
          <w:rFonts w:ascii="Times New Roman" w:hAnsi="Times New Roman" w:cs="Times New Roman"/>
          <w:i/>
          <w:sz w:val="24"/>
          <w:szCs w:val="24"/>
        </w:rPr>
      </w:pPr>
    </w:p>
    <w:p w14:paraId="348EA450" w14:textId="77777777" w:rsidR="0019110B" w:rsidRPr="00066A58" w:rsidRDefault="0019110B" w:rsidP="00CD363C">
      <w:pPr>
        <w:pStyle w:val="Sarakstarindkopa"/>
        <w:numPr>
          <w:ilvl w:val="0"/>
          <w:numId w:val="29"/>
        </w:numPr>
        <w:spacing w:after="0" w:line="240" w:lineRule="auto"/>
        <w:ind w:right="124"/>
        <w:jc w:val="both"/>
        <w:rPr>
          <w:rFonts w:ascii="Times New Roman" w:hAnsi="Times New Roman" w:cs="Times New Roman"/>
          <w:i/>
          <w:sz w:val="24"/>
          <w:szCs w:val="24"/>
        </w:rPr>
      </w:pPr>
      <w:r w:rsidRPr="00066A58">
        <w:rPr>
          <w:rFonts w:ascii="Times New Roman" w:hAnsi="Times New Roman" w:cs="Times New Roman"/>
          <w:i/>
          <w:sz w:val="24"/>
          <w:szCs w:val="24"/>
        </w:rPr>
        <w:t>Grāmatojums, atzīstot izdevumus nomas termiņa laikā:</w:t>
      </w:r>
    </w:p>
    <w:p w14:paraId="5F425BB1" w14:textId="77777777" w:rsidR="0019110B" w:rsidRPr="00066A58" w:rsidRDefault="0019110B" w:rsidP="00CD363C">
      <w:pPr>
        <w:pStyle w:val="Pamatteksts"/>
        <w:ind w:right="124"/>
        <w:jc w:val="both"/>
        <w:rPr>
          <w:b/>
          <w:bCs/>
          <w:iCs/>
          <w:sz w:val="24"/>
          <w:szCs w:val="24"/>
        </w:rPr>
      </w:pPr>
      <w:r w:rsidRPr="00066A58">
        <w:rPr>
          <w:b/>
          <w:bCs/>
          <w:iCs/>
          <w:sz w:val="24"/>
          <w:szCs w:val="24"/>
        </w:rPr>
        <w:t xml:space="preserve">    D    7000*   Pamatdarbības izdevumi</w:t>
      </w:r>
    </w:p>
    <w:p w14:paraId="0FC46BD9" w14:textId="77777777" w:rsidR="0019110B" w:rsidRPr="00066A58" w:rsidRDefault="0019110B" w:rsidP="00CD363C">
      <w:pPr>
        <w:pStyle w:val="Pamatteksts"/>
        <w:ind w:right="124"/>
        <w:jc w:val="both"/>
        <w:rPr>
          <w:b/>
          <w:bCs/>
          <w:iCs/>
          <w:sz w:val="24"/>
          <w:szCs w:val="24"/>
        </w:rPr>
      </w:pPr>
      <w:r w:rsidRPr="00066A58">
        <w:rPr>
          <w:b/>
          <w:bCs/>
          <w:iCs/>
          <w:sz w:val="24"/>
          <w:szCs w:val="24"/>
        </w:rPr>
        <w:t xml:space="preserve">    K    2420   </w:t>
      </w:r>
      <w:r w:rsidR="00066A58" w:rsidRPr="00066A58">
        <w:rPr>
          <w:b/>
          <w:bCs/>
          <w:iCs/>
          <w:sz w:val="24"/>
          <w:szCs w:val="24"/>
        </w:rPr>
        <w:t xml:space="preserve">Avansa </w:t>
      </w:r>
      <w:r w:rsidR="00066A58" w:rsidRPr="00066A58">
        <w:rPr>
          <w:b/>
          <w:bCs/>
          <w:sz w:val="24"/>
          <w:szCs w:val="24"/>
        </w:rPr>
        <w:t>maksājumi par pakalpojumiem un citi nākamo periodu izdevumi</w:t>
      </w:r>
    </w:p>
    <w:p w14:paraId="7D6A0F70" w14:textId="77777777" w:rsidR="00066A58" w:rsidRDefault="00066A58" w:rsidP="00CD363C">
      <w:pPr>
        <w:pStyle w:val="Sarakstarindkopa"/>
        <w:widowControl w:val="0"/>
        <w:numPr>
          <w:ilvl w:val="0"/>
          <w:numId w:val="29"/>
        </w:numPr>
        <w:tabs>
          <w:tab w:val="left" w:pos="1529"/>
        </w:tabs>
        <w:autoSpaceDE w:val="0"/>
        <w:autoSpaceDN w:val="0"/>
        <w:spacing w:after="0" w:line="240" w:lineRule="auto"/>
        <w:ind w:right="124" w:firstLine="0"/>
        <w:contextualSpacing w:val="0"/>
        <w:jc w:val="both"/>
        <w:rPr>
          <w:i/>
          <w:sz w:val="20"/>
        </w:rPr>
      </w:pPr>
      <w:r w:rsidRPr="00066A58">
        <w:rPr>
          <w:rFonts w:ascii="Times New Roman" w:hAnsi="Times New Roman" w:cs="Times New Roman"/>
          <w:i/>
          <w:sz w:val="24"/>
          <w:szCs w:val="24"/>
        </w:rPr>
        <w:t>budžeta iestāde izstrādā kontu plānu pamatdarbības izdevumu uzskaitei atbilstoši budžeta</w:t>
      </w:r>
      <w:r>
        <w:rPr>
          <w:i/>
          <w:sz w:val="20"/>
        </w:rPr>
        <w:t xml:space="preserve"> izdevumu ekonomisko kategoriju klasifikācijai</w:t>
      </w:r>
    </w:p>
    <w:p w14:paraId="68DF30F3"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882.   Iznomātajiem aktīviem piemēro tādus pašus nolietojuma vai amortizācijas aprēķināšanas principus, kādi ir noteikti citiem līdzīgiem aktīviem, un nolietojums vai amortizācija atkarībā no apstākļiem jāaprēķina saskaņā ar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33" w:history="1">
        <w:r w:rsidRPr="00B14C37">
          <w:rPr>
            <w:rFonts w:ascii="Times New Roman" w:hAnsi="Times New Roman" w:cs="Times New Roman"/>
            <w:color w:val="0462C1"/>
            <w:sz w:val="24"/>
            <w:szCs w:val="24"/>
            <w:u w:val="single" w:color="0462C1"/>
          </w:rPr>
          <w:t>Pamatlīdzekļu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2" w:history="1">
        <w:r w:rsidRPr="00B14C37">
          <w:rPr>
            <w:rFonts w:ascii="Times New Roman" w:hAnsi="Times New Roman" w:cs="Times New Roman"/>
            <w:color w:val="0462C1"/>
            <w:sz w:val="24"/>
            <w:szCs w:val="24"/>
            <w:u w:val="single" w:color="0462C1"/>
          </w:rPr>
          <w:t>Nemateriālo ieguldījumu</w:t>
        </w:r>
      </w:hyperlink>
      <w:hyperlink w:anchor="_bookmark2" w:history="1">
        <w:r w:rsidRPr="00B14C37">
          <w:rPr>
            <w:rFonts w:ascii="Times New Roman" w:hAnsi="Times New Roman" w:cs="Times New Roman"/>
            <w:color w:val="0462C1"/>
            <w:sz w:val="24"/>
            <w:szCs w:val="24"/>
            <w:u w:val="single" w:color="0462C1"/>
          </w:rPr>
          <w:t xml:space="preserve">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vai</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71" w:history="1">
        <w:r w:rsidRPr="00B14C37">
          <w:rPr>
            <w:rFonts w:ascii="Times New Roman" w:hAnsi="Times New Roman" w:cs="Times New Roman"/>
            <w:color w:val="0462C1"/>
            <w:sz w:val="24"/>
            <w:szCs w:val="24"/>
            <w:u w:val="single" w:color="0462C1"/>
          </w:rPr>
          <w:t>Ieguldījuma īpašumu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noteiktajiem uzskaites</w:t>
      </w:r>
      <w:r w:rsidRPr="00B14C37">
        <w:rPr>
          <w:rFonts w:ascii="Times New Roman" w:hAnsi="Times New Roman" w:cs="Times New Roman"/>
          <w:spacing w:val="-11"/>
          <w:sz w:val="24"/>
          <w:szCs w:val="24"/>
        </w:rPr>
        <w:t xml:space="preserve"> </w:t>
      </w:r>
      <w:r w:rsidRPr="00B14C37">
        <w:rPr>
          <w:rFonts w:ascii="Times New Roman" w:hAnsi="Times New Roman" w:cs="Times New Roman"/>
          <w:sz w:val="24"/>
          <w:szCs w:val="24"/>
        </w:rPr>
        <w:t>principiem.</w:t>
      </w:r>
    </w:p>
    <w:p w14:paraId="5565BE75"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883.   Lai noteiktu, vai iznomātā aktīva vērtība nav samazinājusies, budžeta iestāde veic vērtības samazināšanās pārbaudes pārskata gada beigās saskaņā ar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33" w:history="1">
        <w:r w:rsidRPr="00B14C37">
          <w:rPr>
            <w:rFonts w:ascii="Times New Roman" w:hAnsi="Times New Roman" w:cs="Times New Roman"/>
            <w:color w:val="0462C1"/>
            <w:sz w:val="24"/>
            <w:szCs w:val="24"/>
            <w:u w:val="single" w:color="0462C1"/>
          </w:rPr>
          <w:t>Pamatlīdzekļu</w:t>
        </w:r>
      </w:hyperlink>
      <w:hyperlink w:anchor="_bookmark33" w:history="1">
        <w:r w:rsidRPr="00B14C37">
          <w:rPr>
            <w:rFonts w:ascii="Times New Roman" w:hAnsi="Times New Roman" w:cs="Times New Roman"/>
            <w:color w:val="0462C1"/>
            <w:sz w:val="24"/>
            <w:szCs w:val="24"/>
            <w:u w:val="single" w:color="0462C1"/>
          </w:rPr>
          <w:t xml:space="preserve">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2" w:history="1">
        <w:r w:rsidRPr="00B14C37">
          <w:rPr>
            <w:rFonts w:ascii="Times New Roman" w:hAnsi="Times New Roman" w:cs="Times New Roman"/>
            <w:color w:val="0462C1"/>
            <w:sz w:val="24"/>
            <w:szCs w:val="24"/>
            <w:u w:val="single" w:color="0462C1"/>
          </w:rPr>
          <w:t>Nemateriālo ieguldījumu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vai</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71" w:history="1">
        <w:r w:rsidRPr="00B14C37">
          <w:rPr>
            <w:rFonts w:ascii="Times New Roman" w:hAnsi="Times New Roman" w:cs="Times New Roman"/>
            <w:color w:val="0462C1"/>
            <w:sz w:val="24"/>
            <w:szCs w:val="24"/>
            <w:u w:val="single" w:color="0462C1"/>
          </w:rPr>
          <w:t>Ieguldījuma īpašumu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noteiktajiem uzskaites</w:t>
      </w:r>
      <w:r w:rsidRPr="00B14C37">
        <w:rPr>
          <w:rFonts w:ascii="Times New Roman" w:hAnsi="Times New Roman" w:cs="Times New Roman"/>
          <w:spacing w:val="-1"/>
          <w:sz w:val="24"/>
          <w:szCs w:val="24"/>
        </w:rPr>
        <w:t xml:space="preserve"> </w:t>
      </w:r>
      <w:r w:rsidRPr="00B14C37">
        <w:rPr>
          <w:rFonts w:ascii="Times New Roman" w:hAnsi="Times New Roman" w:cs="Times New Roman"/>
          <w:sz w:val="24"/>
          <w:szCs w:val="24"/>
        </w:rPr>
        <w:t>principiem.</w:t>
      </w:r>
    </w:p>
    <w:p w14:paraId="3B4862B9"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color w:val="0462C1"/>
          <w:sz w:val="24"/>
          <w:szCs w:val="24"/>
          <w:u w:val="single" w:color="0462C1"/>
        </w:rPr>
        <w:t xml:space="preserve">884.   </w:t>
      </w:r>
      <w:r w:rsidR="00537588" w:rsidRPr="00B14C37">
        <w:rPr>
          <w:rFonts w:ascii="Times New Roman" w:hAnsi="Times New Roman" w:cs="Times New Roman"/>
          <w:color w:val="0462C1"/>
          <w:sz w:val="24"/>
          <w:szCs w:val="24"/>
          <w:u w:val="single" w:color="0462C1"/>
        </w:rPr>
        <w:t xml:space="preserve">20.5 </w:t>
      </w:r>
      <w:r w:rsidRPr="00B14C37">
        <w:rPr>
          <w:rFonts w:ascii="Times New Roman" w:hAnsi="Times New Roman" w:cs="Times New Roman"/>
          <w:color w:val="0462C1"/>
          <w:sz w:val="24"/>
          <w:szCs w:val="24"/>
          <w:u w:val="single" w:color="0462C1"/>
        </w:rPr>
        <w:t xml:space="preserve"> “</w:t>
      </w:r>
      <w:hyperlink w:anchor="_bookmark329" w:history="1">
        <w:r w:rsidR="00537588" w:rsidRPr="00B14C37">
          <w:rPr>
            <w:rFonts w:ascii="Times New Roman" w:hAnsi="Times New Roman" w:cs="Times New Roman"/>
            <w:color w:val="0462C1"/>
            <w:sz w:val="24"/>
            <w:szCs w:val="24"/>
            <w:u w:val="single" w:color="0462C1"/>
          </w:rPr>
          <w:t>20.5.6.</w:t>
        </w:r>
        <w:r w:rsidRPr="00B14C37">
          <w:rPr>
            <w:rFonts w:ascii="Times New Roman" w:hAnsi="Times New Roman" w:cs="Times New Roman"/>
            <w:color w:val="0462C1"/>
            <w:sz w:val="24"/>
            <w:szCs w:val="24"/>
            <w:u w:val="single" w:color="0462C1"/>
          </w:rPr>
          <w:t xml:space="preserve"> Piemērs – Operatīvās nomas uzskaite no iznomātāja puses</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 xml:space="preserve">un </w:t>
      </w:r>
      <w:r w:rsidR="00537588" w:rsidRPr="00B14C37">
        <w:rPr>
          <w:rFonts w:ascii="Times New Roman" w:hAnsi="Times New Roman" w:cs="Times New Roman"/>
          <w:sz w:val="24"/>
          <w:szCs w:val="24"/>
        </w:rPr>
        <w:t>20.5</w:t>
      </w:r>
      <w:r w:rsidRPr="00B14C37">
        <w:rPr>
          <w:rFonts w:ascii="Times New Roman" w:hAnsi="Times New Roman" w:cs="Times New Roman"/>
          <w:sz w:val="24"/>
          <w:szCs w:val="24"/>
        </w:rPr>
        <w:t>.apakšnodaļā “</w:t>
      </w:r>
      <w:r w:rsidR="00537588" w:rsidRPr="00B14C37">
        <w:rPr>
          <w:rFonts w:ascii="Times New Roman" w:hAnsi="Times New Roman" w:cs="Times New Roman"/>
          <w:sz w:val="24"/>
          <w:szCs w:val="24"/>
        </w:rPr>
        <w:t>20.5.7.piemērs</w:t>
      </w:r>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sniegti praktiski piemēri operatīvās nomas uzskaitei no iznomātāja</w:t>
      </w:r>
      <w:r w:rsidRPr="00B14C37">
        <w:rPr>
          <w:rFonts w:ascii="Times New Roman" w:hAnsi="Times New Roman" w:cs="Times New Roman"/>
          <w:spacing w:val="-4"/>
          <w:sz w:val="24"/>
          <w:szCs w:val="24"/>
        </w:rPr>
        <w:t xml:space="preserve"> </w:t>
      </w:r>
      <w:r w:rsidRPr="00B14C37">
        <w:rPr>
          <w:rFonts w:ascii="Times New Roman" w:hAnsi="Times New Roman" w:cs="Times New Roman"/>
          <w:sz w:val="24"/>
          <w:szCs w:val="24"/>
        </w:rPr>
        <w:t>puses.</w:t>
      </w:r>
    </w:p>
    <w:p w14:paraId="63003357"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B14C37">
        <w:rPr>
          <w:rFonts w:ascii="Times New Roman" w:hAnsi="Times New Roman" w:cs="Times New Roman"/>
          <w:b/>
          <w:bCs/>
          <w:sz w:val="24"/>
          <w:szCs w:val="24"/>
        </w:rPr>
        <w:t>20.4. Invenarizācija</w:t>
      </w:r>
    </w:p>
    <w:p w14:paraId="19BE6C2C" w14:textId="77777777" w:rsidR="00066A58" w:rsidRPr="00B14C37" w:rsidRDefault="00066A58" w:rsidP="00CD363C">
      <w:pPr>
        <w:pStyle w:val="Pamatteksts"/>
        <w:ind w:right="124"/>
        <w:jc w:val="both"/>
        <w:rPr>
          <w:sz w:val="24"/>
          <w:szCs w:val="24"/>
        </w:rPr>
      </w:pPr>
    </w:p>
    <w:p w14:paraId="3948861D"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885.  Lai</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nodrošinātu,</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ka</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budžeta</w:t>
      </w:r>
      <w:r w:rsidRPr="00B14C37">
        <w:rPr>
          <w:rFonts w:ascii="Times New Roman" w:hAnsi="Times New Roman" w:cs="Times New Roman"/>
          <w:spacing w:val="-18"/>
          <w:sz w:val="24"/>
          <w:szCs w:val="24"/>
        </w:rPr>
        <w:t xml:space="preserve"> </w:t>
      </w:r>
      <w:r w:rsidRPr="00B14C37">
        <w:rPr>
          <w:rFonts w:ascii="Times New Roman" w:hAnsi="Times New Roman" w:cs="Times New Roman"/>
          <w:sz w:val="24"/>
          <w:szCs w:val="24"/>
        </w:rPr>
        <w:t>iestādes</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pārskatos</w:t>
      </w:r>
      <w:r w:rsidRPr="00B14C37">
        <w:rPr>
          <w:rFonts w:ascii="Times New Roman" w:hAnsi="Times New Roman" w:cs="Times New Roman"/>
          <w:spacing w:val="-18"/>
          <w:sz w:val="24"/>
          <w:szCs w:val="24"/>
        </w:rPr>
        <w:t xml:space="preserve"> </w:t>
      </w:r>
      <w:r w:rsidRPr="00B14C37">
        <w:rPr>
          <w:rFonts w:ascii="Times New Roman" w:hAnsi="Times New Roman" w:cs="Times New Roman"/>
          <w:sz w:val="24"/>
          <w:szCs w:val="24"/>
        </w:rPr>
        <w:t>ir</w:t>
      </w:r>
      <w:r w:rsidRPr="00B14C37">
        <w:rPr>
          <w:rFonts w:ascii="Times New Roman" w:hAnsi="Times New Roman" w:cs="Times New Roman"/>
          <w:spacing w:val="-13"/>
          <w:sz w:val="24"/>
          <w:szCs w:val="24"/>
        </w:rPr>
        <w:t xml:space="preserve"> </w:t>
      </w:r>
      <w:r w:rsidRPr="00B14C37">
        <w:rPr>
          <w:rFonts w:ascii="Times New Roman" w:hAnsi="Times New Roman" w:cs="Times New Roman"/>
          <w:sz w:val="24"/>
          <w:szCs w:val="24"/>
        </w:rPr>
        <w:t>uzrādīta</w:t>
      </w:r>
      <w:r w:rsidRPr="00B14C37">
        <w:rPr>
          <w:rFonts w:ascii="Times New Roman" w:hAnsi="Times New Roman" w:cs="Times New Roman"/>
          <w:spacing w:val="-15"/>
          <w:sz w:val="24"/>
          <w:szCs w:val="24"/>
        </w:rPr>
        <w:t xml:space="preserve"> </w:t>
      </w:r>
      <w:r w:rsidRPr="00B14C37">
        <w:rPr>
          <w:rFonts w:ascii="Times New Roman" w:hAnsi="Times New Roman" w:cs="Times New Roman"/>
          <w:sz w:val="24"/>
          <w:szCs w:val="24"/>
        </w:rPr>
        <w:t>pilnīga</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informācija</w:t>
      </w:r>
      <w:r w:rsidRPr="00B14C37">
        <w:rPr>
          <w:rFonts w:ascii="Times New Roman" w:hAnsi="Times New Roman" w:cs="Times New Roman"/>
          <w:spacing w:val="-13"/>
          <w:sz w:val="24"/>
          <w:szCs w:val="24"/>
        </w:rPr>
        <w:t xml:space="preserve"> </w:t>
      </w:r>
      <w:r w:rsidRPr="00B14C37">
        <w:rPr>
          <w:rFonts w:ascii="Times New Roman" w:hAnsi="Times New Roman" w:cs="Times New Roman"/>
          <w:sz w:val="24"/>
          <w:szCs w:val="24"/>
        </w:rPr>
        <w:t>par</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visiem</w:t>
      </w:r>
      <w:r w:rsidRPr="00B14C37">
        <w:rPr>
          <w:rFonts w:ascii="Times New Roman" w:hAnsi="Times New Roman" w:cs="Times New Roman"/>
          <w:spacing w:val="-19"/>
          <w:sz w:val="24"/>
          <w:szCs w:val="24"/>
        </w:rPr>
        <w:t xml:space="preserve"> </w:t>
      </w:r>
      <w:r w:rsidRPr="00B14C37">
        <w:rPr>
          <w:rFonts w:ascii="Times New Roman" w:hAnsi="Times New Roman" w:cs="Times New Roman"/>
          <w:sz w:val="24"/>
          <w:szCs w:val="24"/>
        </w:rPr>
        <w:t>finanšu</w:t>
      </w:r>
      <w:r w:rsidRPr="00B14C37">
        <w:rPr>
          <w:rFonts w:ascii="Times New Roman" w:hAnsi="Times New Roman" w:cs="Times New Roman"/>
          <w:spacing w:val="-17"/>
          <w:sz w:val="24"/>
          <w:szCs w:val="24"/>
        </w:rPr>
        <w:t xml:space="preserve"> </w:t>
      </w:r>
      <w:r w:rsidRPr="00B14C37">
        <w:rPr>
          <w:rFonts w:ascii="Times New Roman" w:hAnsi="Times New Roman" w:cs="Times New Roman"/>
          <w:sz w:val="24"/>
          <w:szCs w:val="24"/>
        </w:rPr>
        <w:t>nomas un operatīvās nomas līgumiem, pārskata gada beigās budžeta iestāde veic nomas līgumu inventarizāciju.</w:t>
      </w:r>
    </w:p>
    <w:p w14:paraId="2E4DCDDE"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886.   Budžeta</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iestāde</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nodrošina</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finanšu</w:t>
      </w:r>
      <w:r w:rsidRPr="00B14C37">
        <w:rPr>
          <w:rFonts w:ascii="Times New Roman" w:hAnsi="Times New Roman" w:cs="Times New Roman"/>
          <w:spacing w:val="-6"/>
          <w:sz w:val="24"/>
          <w:szCs w:val="24"/>
        </w:rPr>
        <w:t xml:space="preserve"> </w:t>
      </w:r>
      <w:r w:rsidRPr="00B14C37">
        <w:rPr>
          <w:rFonts w:ascii="Times New Roman" w:hAnsi="Times New Roman" w:cs="Times New Roman"/>
          <w:sz w:val="24"/>
          <w:szCs w:val="24"/>
        </w:rPr>
        <w:t>nomā</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saņemto</w:t>
      </w:r>
      <w:r w:rsidRPr="00B14C37">
        <w:rPr>
          <w:rFonts w:ascii="Times New Roman" w:hAnsi="Times New Roman" w:cs="Times New Roman"/>
          <w:spacing w:val="-6"/>
          <w:sz w:val="24"/>
          <w:szCs w:val="24"/>
        </w:rPr>
        <w:t xml:space="preserve"> </w:t>
      </w:r>
      <w:r w:rsidRPr="00B14C37">
        <w:rPr>
          <w:rFonts w:ascii="Times New Roman" w:hAnsi="Times New Roman" w:cs="Times New Roman"/>
          <w:sz w:val="24"/>
          <w:szCs w:val="24"/>
        </w:rPr>
        <w:t>un</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operatīvajā</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nomā</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nodoto</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ilgtermiņa</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ieguldījumu inventarizāciju atbilstoši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33" w:history="1">
        <w:r w:rsidRPr="00B14C37">
          <w:rPr>
            <w:rFonts w:ascii="Times New Roman" w:hAnsi="Times New Roman" w:cs="Times New Roman"/>
            <w:color w:val="0462C1"/>
            <w:sz w:val="24"/>
            <w:szCs w:val="24"/>
            <w:u w:val="single" w:color="0462C1"/>
          </w:rPr>
          <w:t>Pamatlīdzekļu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“Nemateriālo ieguldījumu uzskaite”</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un</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71" w:history="1">
        <w:r w:rsidRPr="00B14C37">
          <w:rPr>
            <w:rFonts w:ascii="Times New Roman" w:hAnsi="Times New Roman" w:cs="Times New Roman"/>
            <w:color w:val="0462C1"/>
            <w:sz w:val="24"/>
            <w:szCs w:val="24"/>
            <w:u w:val="single" w:color="0462C1"/>
          </w:rPr>
          <w:t>Ieguldījuma īpašumu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noteiktajiem</w:t>
      </w:r>
      <w:r w:rsidRPr="00B14C37">
        <w:rPr>
          <w:rFonts w:ascii="Times New Roman" w:hAnsi="Times New Roman" w:cs="Times New Roman"/>
          <w:spacing w:val="-7"/>
          <w:sz w:val="24"/>
          <w:szCs w:val="24"/>
        </w:rPr>
        <w:t xml:space="preserve"> </w:t>
      </w:r>
      <w:r w:rsidRPr="00B14C37">
        <w:rPr>
          <w:rFonts w:ascii="Times New Roman" w:hAnsi="Times New Roman" w:cs="Times New Roman"/>
          <w:sz w:val="24"/>
          <w:szCs w:val="24"/>
        </w:rPr>
        <w:t>principiem.</w:t>
      </w:r>
    </w:p>
    <w:p w14:paraId="79DF947D"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887.   Budžeta iestāde nodrošina to aktīvu inventarizāciju, kas atrodas budžeta iestādes lietošanā, pamatojoties uz operatīvās nomas līgumiem, un uzrāda nomātos aktīvus zembilances kodā 0100 “Nomātie</w:t>
      </w:r>
      <w:r w:rsidRPr="00B14C37">
        <w:rPr>
          <w:rFonts w:ascii="Times New Roman" w:hAnsi="Times New Roman" w:cs="Times New Roman"/>
          <w:spacing w:val="-1"/>
          <w:sz w:val="24"/>
          <w:szCs w:val="24"/>
        </w:rPr>
        <w:t xml:space="preserve"> </w:t>
      </w:r>
      <w:r w:rsidRPr="00B14C37">
        <w:rPr>
          <w:rFonts w:ascii="Times New Roman" w:hAnsi="Times New Roman" w:cs="Times New Roman"/>
          <w:sz w:val="24"/>
          <w:szCs w:val="24"/>
        </w:rPr>
        <w:t>aktīvi”.</w:t>
      </w:r>
    </w:p>
    <w:p w14:paraId="11506D42"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888.   Budžeta iestāde veic nomas prasību un saistību inventarizāciju, pārbaudot grāmatvedības kontos uzrādītās summas atbilstoši attiecīgajiem dokumentiem un saskaņojot tās ar darījumu</w:t>
      </w:r>
      <w:r w:rsidRPr="00B14C37">
        <w:rPr>
          <w:rFonts w:ascii="Times New Roman" w:hAnsi="Times New Roman" w:cs="Times New Roman"/>
          <w:spacing w:val="-29"/>
          <w:sz w:val="24"/>
          <w:szCs w:val="24"/>
        </w:rPr>
        <w:t xml:space="preserve"> </w:t>
      </w:r>
      <w:r w:rsidRPr="00B14C37">
        <w:rPr>
          <w:rFonts w:ascii="Times New Roman" w:hAnsi="Times New Roman" w:cs="Times New Roman"/>
          <w:sz w:val="24"/>
          <w:szCs w:val="24"/>
        </w:rPr>
        <w:t>partneriem.</w:t>
      </w:r>
    </w:p>
    <w:p w14:paraId="557C3B8A"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889.   Vispārīgie principi prasību un saistību inventarizācijai aplūkoti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179" w:history="1">
        <w:r w:rsidRPr="00B14C37">
          <w:rPr>
            <w:rFonts w:ascii="Times New Roman" w:hAnsi="Times New Roman" w:cs="Times New Roman"/>
            <w:color w:val="0462C1"/>
            <w:sz w:val="24"/>
            <w:szCs w:val="24"/>
            <w:u w:val="single" w:color="0462C1"/>
          </w:rPr>
          <w:t>Prasību</w:t>
        </w:r>
      </w:hyperlink>
      <w:hyperlink w:anchor="_bookmark179" w:history="1">
        <w:r w:rsidRPr="00B14C37">
          <w:rPr>
            <w:rFonts w:ascii="Times New Roman" w:hAnsi="Times New Roman" w:cs="Times New Roman"/>
            <w:color w:val="0462C1"/>
            <w:sz w:val="24"/>
            <w:szCs w:val="24"/>
            <w:u w:val="single" w:color="0462C1"/>
          </w:rPr>
          <w:t xml:space="preserve"> uzskaite, tai skaitā, nākamo periodu izdevumu un avansu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un</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239" w:history="1">
        <w:r w:rsidRPr="00B14C37">
          <w:rPr>
            <w:rFonts w:ascii="Times New Roman" w:hAnsi="Times New Roman" w:cs="Times New Roman"/>
            <w:color w:val="0462C1"/>
            <w:sz w:val="24"/>
            <w:szCs w:val="24"/>
            <w:u w:val="single" w:color="0462C1"/>
          </w:rPr>
          <w:t>Saistību</w:t>
        </w:r>
        <w:r w:rsidRPr="00B14C37">
          <w:rPr>
            <w:rFonts w:ascii="Times New Roman" w:hAnsi="Times New Roman" w:cs="Times New Roman"/>
            <w:color w:val="0462C1"/>
            <w:spacing w:val="-10"/>
            <w:sz w:val="24"/>
            <w:szCs w:val="24"/>
            <w:u w:val="single" w:color="0462C1"/>
          </w:rPr>
          <w:t xml:space="preserve"> </w:t>
        </w:r>
        <w:r w:rsidRPr="00B14C37">
          <w:rPr>
            <w:rFonts w:ascii="Times New Roman" w:hAnsi="Times New Roman" w:cs="Times New Roman"/>
            <w:color w:val="0462C1"/>
            <w:sz w:val="24"/>
            <w:szCs w:val="24"/>
            <w:u w:val="single" w:color="0462C1"/>
          </w:rPr>
          <w:t>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p>
    <w:p w14:paraId="1A0510AD" w14:textId="77777777" w:rsidR="0019110B" w:rsidRPr="00B14C37" w:rsidRDefault="00C27326" w:rsidP="00CD363C">
      <w:pPr>
        <w:pStyle w:val="Sarakstarindkopa"/>
        <w:widowControl w:val="0"/>
        <w:numPr>
          <w:ilvl w:val="1"/>
          <w:numId w:val="31"/>
        </w:numPr>
        <w:tabs>
          <w:tab w:val="left" w:pos="898"/>
        </w:tabs>
        <w:autoSpaceDE w:val="0"/>
        <w:autoSpaceDN w:val="0"/>
        <w:spacing w:after="0" w:line="240" w:lineRule="auto"/>
        <w:ind w:right="124"/>
        <w:jc w:val="both"/>
        <w:rPr>
          <w:rFonts w:ascii="Times New Roman" w:hAnsi="Times New Roman" w:cs="Times New Roman"/>
          <w:b/>
          <w:bCs/>
          <w:sz w:val="24"/>
          <w:szCs w:val="24"/>
        </w:rPr>
      </w:pPr>
      <w:r w:rsidRPr="00B14C37">
        <w:rPr>
          <w:rFonts w:ascii="Times New Roman" w:hAnsi="Times New Roman" w:cs="Times New Roman"/>
          <w:b/>
          <w:bCs/>
          <w:sz w:val="24"/>
          <w:szCs w:val="24"/>
        </w:rPr>
        <w:t xml:space="preserve">. </w:t>
      </w:r>
      <w:r w:rsidR="006431E5" w:rsidRPr="00B14C37">
        <w:rPr>
          <w:rFonts w:ascii="Times New Roman" w:hAnsi="Times New Roman" w:cs="Times New Roman"/>
          <w:b/>
          <w:bCs/>
          <w:sz w:val="24"/>
          <w:szCs w:val="24"/>
        </w:rPr>
        <w:t>Piemēri</w:t>
      </w:r>
    </w:p>
    <w:p w14:paraId="4F5D73C5" w14:textId="77777777" w:rsidR="00B56CF9" w:rsidRPr="00B14C37"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p>
    <w:p w14:paraId="4F2F2BE0" w14:textId="77777777" w:rsidR="00C27326" w:rsidRDefault="00C27326" w:rsidP="00CD363C">
      <w:pPr>
        <w:pStyle w:val="Virsraksts4"/>
        <w:tabs>
          <w:tab w:val="left" w:pos="759"/>
        </w:tabs>
        <w:spacing w:before="0"/>
        <w:ind w:right="124"/>
        <w:jc w:val="both"/>
      </w:pPr>
      <w:r w:rsidRPr="00B14C37">
        <w:rPr>
          <w:color w:val="002069"/>
        </w:rPr>
        <w:t>20.5.1. Piemērs Atšķirība starp lietderīgās lietošanas laiku un saimnieciskās izmantošanas</w:t>
      </w:r>
      <w:r>
        <w:rPr>
          <w:color w:val="002069"/>
          <w:spacing w:val="-17"/>
        </w:rPr>
        <w:t xml:space="preserve"> </w:t>
      </w:r>
      <w:r>
        <w:rPr>
          <w:color w:val="002069"/>
        </w:rPr>
        <w:t>laiku</w:t>
      </w:r>
    </w:p>
    <w:p w14:paraId="5FB30C03" w14:textId="77777777" w:rsidR="00C27326" w:rsidRDefault="00B14C37" w:rsidP="00CD363C">
      <w:pPr>
        <w:pStyle w:val="Pamatteksts"/>
        <w:ind w:right="124"/>
        <w:jc w:val="both"/>
      </w:pPr>
      <w:r>
        <w:t xml:space="preserve">890.   </w:t>
      </w:r>
      <w:r w:rsidR="00C27326">
        <w:t>Saimnieciskās izmantošanas laiks ir viens no zemāk minētajiem:</w:t>
      </w:r>
    </w:p>
    <w:p w14:paraId="72E0AE8C" w14:textId="77777777" w:rsidR="00C27326" w:rsidRDefault="00C27326" w:rsidP="00CD363C">
      <w:pPr>
        <w:pStyle w:val="Pamatteksts"/>
        <w:ind w:right="124"/>
        <w:jc w:val="both"/>
        <w:rPr>
          <w:sz w:val="20"/>
        </w:rPr>
      </w:pPr>
    </w:p>
    <w:p w14:paraId="30951A6F" w14:textId="77777777" w:rsidR="00C27326" w:rsidRDefault="00C27326" w:rsidP="00CD363C">
      <w:pPr>
        <w:pStyle w:val="Sarakstarindkopa"/>
        <w:widowControl w:val="0"/>
        <w:numPr>
          <w:ilvl w:val="2"/>
          <w:numId w:val="30"/>
        </w:numPr>
        <w:tabs>
          <w:tab w:val="left" w:pos="1352"/>
        </w:tabs>
        <w:autoSpaceDE w:val="0"/>
        <w:autoSpaceDN w:val="0"/>
        <w:spacing w:after="0" w:line="240" w:lineRule="auto"/>
        <w:ind w:left="0" w:right="124" w:firstLine="0"/>
        <w:contextualSpacing w:val="0"/>
        <w:jc w:val="both"/>
      </w:pPr>
      <w:r>
        <w:t>laika periods, kurā sagaidāms, ka no aktīva varēs gūt saimnieciskos labumus viens vai vairāki lietotāji;</w:t>
      </w:r>
    </w:p>
    <w:p w14:paraId="6323EB9D" w14:textId="77777777" w:rsidR="00C27326" w:rsidRDefault="00C27326" w:rsidP="00CD363C">
      <w:pPr>
        <w:pStyle w:val="Sarakstarindkopa"/>
        <w:widowControl w:val="0"/>
        <w:numPr>
          <w:ilvl w:val="2"/>
          <w:numId w:val="30"/>
        </w:numPr>
        <w:tabs>
          <w:tab w:val="left" w:pos="1352"/>
        </w:tabs>
        <w:autoSpaceDE w:val="0"/>
        <w:autoSpaceDN w:val="0"/>
        <w:spacing w:after="0" w:line="240" w:lineRule="auto"/>
        <w:ind w:left="0" w:right="124" w:firstLine="0"/>
        <w:contextualSpacing w:val="0"/>
        <w:jc w:val="both"/>
      </w:pPr>
      <w:r>
        <w:t>laika</w:t>
      </w:r>
      <w:r>
        <w:rPr>
          <w:spacing w:val="-8"/>
        </w:rPr>
        <w:t xml:space="preserve"> </w:t>
      </w:r>
      <w:r>
        <w:t>periods,</w:t>
      </w:r>
      <w:r>
        <w:rPr>
          <w:spacing w:val="-6"/>
        </w:rPr>
        <w:t xml:space="preserve"> </w:t>
      </w:r>
      <w:r>
        <w:t>kurā</w:t>
      </w:r>
      <w:r>
        <w:rPr>
          <w:spacing w:val="-7"/>
        </w:rPr>
        <w:t xml:space="preserve"> </w:t>
      </w:r>
      <w:r>
        <w:t>tiek</w:t>
      </w:r>
      <w:r>
        <w:rPr>
          <w:spacing w:val="-9"/>
        </w:rPr>
        <w:t xml:space="preserve"> </w:t>
      </w:r>
      <w:r>
        <w:t>iegūts</w:t>
      </w:r>
      <w:r>
        <w:rPr>
          <w:spacing w:val="-9"/>
        </w:rPr>
        <w:t xml:space="preserve"> </w:t>
      </w:r>
      <w:r>
        <w:t>ražošanas</w:t>
      </w:r>
      <w:r>
        <w:rPr>
          <w:spacing w:val="-7"/>
        </w:rPr>
        <w:t xml:space="preserve"> </w:t>
      </w:r>
      <w:r>
        <w:t>vai</w:t>
      </w:r>
      <w:r>
        <w:rPr>
          <w:spacing w:val="-8"/>
        </w:rPr>
        <w:t xml:space="preserve"> </w:t>
      </w:r>
      <w:r>
        <w:t>līdzīgu</w:t>
      </w:r>
      <w:r>
        <w:rPr>
          <w:spacing w:val="-8"/>
        </w:rPr>
        <w:t xml:space="preserve"> </w:t>
      </w:r>
      <w:r>
        <w:t>vienību</w:t>
      </w:r>
      <w:r>
        <w:rPr>
          <w:spacing w:val="-10"/>
        </w:rPr>
        <w:t xml:space="preserve"> </w:t>
      </w:r>
      <w:r>
        <w:t>skaits,</w:t>
      </w:r>
      <w:r>
        <w:rPr>
          <w:spacing w:val="-7"/>
        </w:rPr>
        <w:t xml:space="preserve"> </w:t>
      </w:r>
      <w:r>
        <w:t>ko</w:t>
      </w:r>
      <w:r>
        <w:rPr>
          <w:spacing w:val="-7"/>
        </w:rPr>
        <w:t xml:space="preserve"> </w:t>
      </w:r>
      <w:r>
        <w:t>no</w:t>
      </w:r>
      <w:r>
        <w:rPr>
          <w:spacing w:val="-7"/>
        </w:rPr>
        <w:t xml:space="preserve"> </w:t>
      </w:r>
      <w:r>
        <w:t>aktīva</w:t>
      </w:r>
      <w:r>
        <w:rPr>
          <w:spacing w:val="-7"/>
        </w:rPr>
        <w:t xml:space="preserve"> </w:t>
      </w:r>
      <w:r>
        <w:t>plāno</w:t>
      </w:r>
      <w:r>
        <w:rPr>
          <w:spacing w:val="-7"/>
        </w:rPr>
        <w:t xml:space="preserve"> </w:t>
      </w:r>
      <w:r>
        <w:t>iegūt</w:t>
      </w:r>
      <w:r>
        <w:rPr>
          <w:spacing w:val="-7"/>
        </w:rPr>
        <w:t xml:space="preserve"> </w:t>
      </w:r>
      <w:r>
        <w:t>viens vai vairāki</w:t>
      </w:r>
      <w:r>
        <w:rPr>
          <w:spacing w:val="1"/>
        </w:rPr>
        <w:t xml:space="preserve"> </w:t>
      </w:r>
      <w:r>
        <w:t>lietotāji.</w:t>
      </w:r>
    </w:p>
    <w:p w14:paraId="7412D753" w14:textId="77777777" w:rsidR="00C27326" w:rsidRDefault="00B14C37" w:rsidP="00CD363C">
      <w:pPr>
        <w:pStyle w:val="Pamatteksts"/>
        <w:ind w:right="124"/>
        <w:jc w:val="both"/>
      </w:pPr>
      <w:r>
        <w:t xml:space="preserve">891. </w:t>
      </w:r>
      <w:r w:rsidR="00C27326">
        <w:t>Lietderīgās lietošanas laiks ir aplēstais atlikušais laika periods no nomas termiņa sākuma, kura laikā paredzams,</w:t>
      </w:r>
      <w:r w:rsidR="00C27326">
        <w:rPr>
          <w:spacing w:val="-11"/>
        </w:rPr>
        <w:t xml:space="preserve"> </w:t>
      </w:r>
      <w:r w:rsidR="00C27326">
        <w:t>ka</w:t>
      </w:r>
      <w:r w:rsidR="00C27326">
        <w:rPr>
          <w:spacing w:val="-11"/>
        </w:rPr>
        <w:t xml:space="preserve"> </w:t>
      </w:r>
      <w:r w:rsidR="00C27326">
        <w:t>budžeta</w:t>
      </w:r>
      <w:r w:rsidR="00C27326">
        <w:rPr>
          <w:spacing w:val="-11"/>
        </w:rPr>
        <w:t xml:space="preserve"> </w:t>
      </w:r>
      <w:r w:rsidR="00C27326">
        <w:t>iestāde</w:t>
      </w:r>
      <w:r w:rsidR="00C27326">
        <w:rPr>
          <w:spacing w:val="-12"/>
        </w:rPr>
        <w:t xml:space="preserve"> </w:t>
      </w:r>
      <w:r w:rsidR="00C27326">
        <w:t>izmantos</w:t>
      </w:r>
      <w:r w:rsidR="00C27326">
        <w:rPr>
          <w:spacing w:val="-11"/>
        </w:rPr>
        <w:t xml:space="preserve"> </w:t>
      </w:r>
      <w:r w:rsidR="00C27326">
        <w:t>aktīvā</w:t>
      </w:r>
      <w:r w:rsidR="00C27326">
        <w:rPr>
          <w:spacing w:val="-10"/>
        </w:rPr>
        <w:t xml:space="preserve"> </w:t>
      </w:r>
      <w:r w:rsidR="00C27326">
        <w:t>ietvertos</w:t>
      </w:r>
      <w:r w:rsidR="00C27326">
        <w:rPr>
          <w:spacing w:val="-14"/>
        </w:rPr>
        <w:t xml:space="preserve"> </w:t>
      </w:r>
      <w:r w:rsidR="00C27326">
        <w:t>saimnieciskos</w:t>
      </w:r>
      <w:r w:rsidR="00C27326">
        <w:rPr>
          <w:spacing w:val="-11"/>
        </w:rPr>
        <w:t xml:space="preserve"> </w:t>
      </w:r>
      <w:r w:rsidR="00C27326">
        <w:t>labumus,</w:t>
      </w:r>
      <w:r w:rsidR="00C27326">
        <w:rPr>
          <w:spacing w:val="-11"/>
        </w:rPr>
        <w:t xml:space="preserve"> </w:t>
      </w:r>
      <w:r w:rsidR="00C27326">
        <w:t>un</w:t>
      </w:r>
      <w:r w:rsidR="00C27326">
        <w:rPr>
          <w:spacing w:val="-13"/>
        </w:rPr>
        <w:t xml:space="preserve"> </w:t>
      </w:r>
      <w:r w:rsidR="00C27326">
        <w:t>kas</w:t>
      </w:r>
      <w:r w:rsidR="00C27326">
        <w:rPr>
          <w:spacing w:val="-11"/>
        </w:rPr>
        <w:t xml:space="preserve"> </w:t>
      </w:r>
      <w:r w:rsidR="00C27326">
        <w:t>nav</w:t>
      </w:r>
      <w:r w:rsidR="00C27326">
        <w:rPr>
          <w:spacing w:val="-14"/>
        </w:rPr>
        <w:t xml:space="preserve"> </w:t>
      </w:r>
      <w:r w:rsidR="00C27326">
        <w:t>atkarīgs</w:t>
      </w:r>
      <w:r w:rsidR="00C27326">
        <w:rPr>
          <w:spacing w:val="-11"/>
        </w:rPr>
        <w:t xml:space="preserve"> </w:t>
      </w:r>
      <w:r w:rsidR="00C27326">
        <w:t>no</w:t>
      </w:r>
      <w:r w:rsidR="00C27326">
        <w:rPr>
          <w:spacing w:val="-12"/>
        </w:rPr>
        <w:t xml:space="preserve"> </w:t>
      </w:r>
      <w:r w:rsidR="00C27326">
        <w:t>nomas līguma</w:t>
      </w:r>
      <w:r w:rsidR="00C27326">
        <w:rPr>
          <w:spacing w:val="-1"/>
        </w:rPr>
        <w:t xml:space="preserve"> </w:t>
      </w:r>
      <w:r w:rsidR="00C27326">
        <w:t>termiņa.</w:t>
      </w:r>
    </w:p>
    <w:p w14:paraId="11DB7D92" w14:textId="77777777" w:rsidR="00C27326" w:rsidRDefault="00B14C37" w:rsidP="00CD363C">
      <w:pPr>
        <w:pStyle w:val="Pamatteksts"/>
        <w:ind w:right="124"/>
        <w:jc w:val="both"/>
      </w:pPr>
      <w:r>
        <w:t>892.</w:t>
      </w:r>
      <w:r w:rsidR="00C27326">
        <w:t>Saimnieciskās izmantošanas laiks ir kopējais sagaidāmais aktīva izmantošanas laiks un lietderīgās lietošanas laiks ir sagaidāmais laika periods, kura ietvaros budžeta iestāde izmantos aktīvu. Līdz ar to lietderīgās lietošanas laiks nevar būt garāks par saimnieciskās izmantošanas laiku, bet var būt vienāds ar to.</w:t>
      </w:r>
    </w:p>
    <w:p w14:paraId="2C6D0B9A" w14:textId="77777777" w:rsidR="00C27326" w:rsidRDefault="00C27326" w:rsidP="00CD363C">
      <w:pPr>
        <w:spacing w:after="0" w:line="240" w:lineRule="auto"/>
        <w:ind w:right="124"/>
        <w:jc w:val="both"/>
        <w:rPr>
          <w:i/>
        </w:rPr>
      </w:pPr>
      <w:r>
        <w:rPr>
          <w:i/>
        </w:rPr>
        <w:t>Piemēram, budžeta iestāde nomas līguma ietvarā nomā regulēšanas iekārtu. Lietderīgās lietošanas laiks šādam</w:t>
      </w:r>
      <w:r>
        <w:rPr>
          <w:i/>
          <w:spacing w:val="-9"/>
        </w:rPr>
        <w:t xml:space="preserve"> </w:t>
      </w:r>
      <w:r>
        <w:rPr>
          <w:i/>
        </w:rPr>
        <w:t>pamatlīdzeklim</w:t>
      </w:r>
      <w:r>
        <w:rPr>
          <w:i/>
          <w:spacing w:val="-11"/>
        </w:rPr>
        <w:t xml:space="preserve"> </w:t>
      </w:r>
      <w:r>
        <w:rPr>
          <w:i/>
        </w:rPr>
        <w:t>tiek</w:t>
      </w:r>
      <w:r>
        <w:rPr>
          <w:i/>
          <w:spacing w:val="-11"/>
        </w:rPr>
        <w:t xml:space="preserve"> </w:t>
      </w:r>
      <w:r>
        <w:rPr>
          <w:i/>
        </w:rPr>
        <w:t>noteikts</w:t>
      </w:r>
      <w:r>
        <w:rPr>
          <w:i/>
          <w:spacing w:val="-9"/>
        </w:rPr>
        <w:t xml:space="preserve"> </w:t>
      </w:r>
      <w:r>
        <w:rPr>
          <w:i/>
        </w:rPr>
        <w:t>atbilstoši</w:t>
      </w:r>
      <w:r>
        <w:rPr>
          <w:i/>
          <w:spacing w:val="-8"/>
        </w:rPr>
        <w:t xml:space="preserve"> </w:t>
      </w:r>
      <w:r>
        <w:rPr>
          <w:i/>
        </w:rPr>
        <w:t>Ministru</w:t>
      </w:r>
      <w:r>
        <w:rPr>
          <w:i/>
          <w:spacing w:val="-10"/>
        </w:rPr>
        <w:t xml:space="preserve"> </w:t>
      </w:r>
      <w:r>
        <w:rPr>
          <w:i/>
        </w:rPr>
        <w:t>kabineta</w:t>
      </w:r>
      <w:r>
        <w:rPr>
          <w:i/>
          <w:spacing w:val="-10"/>
        </w:rPr>
        <w:t xml:space="preserve"> </w:t>
      </w:r>
      <w:r>
        <w:rPr>
          <w:i/>
        </w:rPr>
        <w:t>noteikumu</w:t>
      </w:r>
      <w:r>
        <w:rPr>
          <w:i/>
          <w:spacing w:val="-8"/>
        </w:rPr>
        <w:t xml:space="preserve"> </w:t>
      </w:r>
      <w:r>
        <w:rPr>
          <w:i/>
        </w:rPr>
        <w:t>Nr.87</w:t>
      </w:r>
      <w:r>
        <w:rPr>
          <w:i/>
          <w:spacing w:val="-9"/>
        </w:rPr>
        <w:t xml:space="preserve"> </w:t>
      </w:r>
      <w:r>
        <w:rPr>
          <w:i/>
        </w:rPr>
        <w:t>2.pielikumam</w:t>
      </w:r>
      <w:r>
        <w:rPr>
          <w:i/>
          <w:spacing w:val="-9"/>
        </w:rPr>
        <w:t xml:space="preserve"> </w:t>
      </w:r>
      <w:r>
        <w:rPr>
          <w:i/>
        </w:rPr>
        <w:t>un</w:t>
      </w:r>
      <w:r>
        <w:rPr>
          <w:i/>
          <w:spacing w:val="-10"/>
        </w:rPr>
        <w:t xml:space="preserve"> </w:t>
      </w:r>
      <w:r>
        <w:rPr>
          <w:i/>
        </w:rPr>
        <w:t>ir</w:t>
      </w:r>
      <w:r>
        <w:rPr>
          <w:i/>
          <w:spacing w:val="-7"/>
        </w:rPr>
        <w:t xml:space="preserve"> </w:t>
      </w:r>
      <w:r>
        <w:rPr>
          <w:i/>
        </w:rPr>
        <w:t>10</w:t>
      </w:r>
      <w:r>
        <w:rPr>
          <w:i/>
          <w:spacing w:val="-10"/>
        </w:rPr>
        <w:t xml:space="preserve"> </w:t>
      </w:r>
      <w:r>
        <w:rPr>
          <w:i/>
        </w:rPr>
        <w:t>gadu. Iekārtas</w:t>
      </w:r>
      <w:r>
        <w:rPr>
          <w:i/>
          <w:spacing w:val="-8"/>
        </w:rPr>
        <w:t xml:space="preserve"> </w:t>
      </w:r>
      <w:r>
        <w:rPr>
          <w:i/>
        </w:rPr>
        <w:t>ražotāja</w:t>
      </w:r>
      <w:r>
        <w:rPr>
          <w:i/>
          <w:spacing w:val="-7"/>
        </w:rPr>
        <w:t xml:space="preserve"> </w:t>
      </w:r>
      <w:r>
        <w:rPr>
          <w:i/>
        </w:rPr>
        <w:t>tehniskajā</w:t>
      </w:r>
      <w:r>
        <w:rPr>
          <w:i/>
          <w:spacing w:val="-8"/>
        </w:rPr>
        <w:t xml:space="preserve"> </w:t>
      </w:r>
      <w:r>
        <w:rPr>
          <w:i/>
        </w:rPr>
        <w:t>specifikācijā</w:t>
      </w:r>
      <w:r>
        <w:rPr>
          <w:i/>
          <w:spacing w:val="-7"/>
        </w:rPr>
        <w:t xml:space="preserve"> </w:t>
      </w:r>
      <w:r>
        <w:rPr>
          <w:i/>
        </w:rPr>
        <w:t>ir</w:t>
      </w:r>
      <w:r>
        <w:rPr>
          <w:i/>
          <w:spacing w:val="-8"/>
        </w:rPr>
        <w:t xml:space="preserve"> </w:t>
      </w:r>
      <w:r>
        <w:rPr>
          <w:i/>
        </w:rPr>
        <w:t>norādīts,</w:t>
      </w:r>
      <w:r>
        <w:rPr>
          <w:i/>
          <w:spacing w:val="-9"/>
        </w:rPr>
        <w:t xml:space="preserve"> </w:t>
      </w:r>
      <w:r>
        <w:rPr>
          <w:i/>
        </w:rPr>
        <w:t>ka</w:t>
      </w:r>
      <w:r>
        <w:rPr>
          <w:i/>
          <w:spacing w:val="-8"/>
        </w:rPr>
        <w:t xml:space="preserve"> </w:t>
      </w:r>
      <w:r>
        <w:rPr>
          <w:i/>
        </w:rPr>
        <w:t>iekārtas</w:t>
      </w:r>
      <w:r>
        <w:rPr>
          <w:i/>
          <w:spacing w:val="-6"/>
        </w:rPr>
        <w:t xml:space="preserve"> </w:t>
      </w:r>
      <w:r>
        <w:rPr>
          <w:i/>
        </w:rPr>
        <w:t>paredzamais</w:t>
      </w:r>
      <w:r>
        <w:rPr>
          <w:i/>
          <w:spacing w:val="-9"/>
        </w:rPr>
        <w:t xml:space="preserve"> </w:t>
      </w:r>
      <w:r>
        <w:rPr>
          <w:i/>
        </w:rPr>
        <w:t>izmantošanas</w:t>
      </w:r>
      <w:r>
        <w:rPr>
          <w:i/>
          <w:spacing w:val="-7"/>
        </w:rPr>
        <w:t xml:space="preserve"> </w:t>
      </w:r>
      <w:r>
        <w:rPr>
          <w:i/>
        </w:rPr>
        <w:t>laiks</w:t>
      </w:r>
      <w:r>
        <w:rPr>
          <w:i/>
          <w:spacing w:val="-7"/>
        </w:rPr>
        <w:t xml:space="preserve"> </w:t>
      </w:r>
      <w:r>
        <w:rPr>
          <w:i/>
        </w:rPr>
        <w:t>ir</w:t>
      </w:r>
      <w:r>
        <w:rPr>
          <w:i/>
          <w:spacing w:val="-10"/>
        </w:rPr>
        <w:t xml:space="preserve"> </w:t>
      </w:r>
      <w:r>
        <w:rPr>
          <w:i/>
        </w:rPr>
        <w:t>15</w:t>
      </w:r>
      <w:r>
        <w:rPr>
          <w:i/>
          <w:spacing w:val="-7"/>
        </w:rPr>
        <w:t xml:space="preserve"> </w:t>
      </w:r>
      <w:r>
        <w:rPr>
          <w:i/>
        </w:rPr>
        <w:t>gadu, kas arī būs saimnieciskās izmantošanas laiks, un budžeta iestāde izmanto saimnieciskās izmantošanas laiku (15 gadu), izvērtējot līguma atbilstību finanšu nomas</w:t>
      </w:r>
      <w:r>
        <w:rPr>
          <w:i/>
          <w:spacing w:val="-6"/>
        </w:rPr>
        <w:t xml:space="preserve"> </w:t>
      </w:r>
      <w:r>
        <w:rPr>
          <w:i/>
        </w:rPr>
        <w:t>kritērijiem.</w:t>
      </w:r>
    </w:p>
    <w:p w14:paraId="6E62EA4F" w14:textId="77777777" w:rsidR="00893AB9" w:rsidRDefault="00893AB9" w:rsidP="00CD363C">
      <w:pPr>
        <w:pStyle w:val="Virsraksts4"/>
        <w:tabs>
          <w:tab w:val="left" w:pos="759"/>
        </w:tabs>
        <w:spacing w:before="0"/>
        <w:ind w:left="682" w:right="124"/>
        <w:jc w:val="both"/>
      </w:pPr>
      <w:r>
        <w:rPr>
          <w:color w:val="002069"/>
        </w:rPr>
        <w:t>20.5.2. Nomas klasifikācijas</w:t>
      </w:r>
      <w:r>
        <w:rPr>
          <w:color w:val="002069"/>
          <w:spacing w:val="-1"/>
        </w:rPr>
        <w:t xml:space="preserve"> </w:t>
      </w:r>
      <w:r>
        <w:rPr>
          <w:color w:val="002069"/>
        </w:rPr>
        <w:t>piemēri</w:t>
      </w:r>
    </w:p>
    <w:bookmarkEnd w:id="66"/>
    <w:p w14:paraId="63C3D0F5" w14:textId="77777777" w:rsidR="00893AB9" w:rsidRPr="00893AB9" w:rsidRDefault="00B14C37" w:rsidP="00CD363C">
      <w:pPr>
        <w:spacing w:after="0" w:line="240" w:lineRule="auto"/>
        <w:ind w:right="124"/>
        <w:jc w:val="both"/>
        <w:rPr>
          <w:rFonts w:ascii="Times New Roman" w:hAnsi="Times New Roman" w:cs="Times New Roman"/>
          <w:sz w:val="24"/>
          <w:szCs w:val="24"/>
        </w:rPr>
      </w:pPr>
      <w:r>
        <w:rPr>
          <w:rFonts w:ascii="Times New Roman" w:hAnsi="Times New Roman" w:cs="Times New Roman"/>
          <w:sz w:val="24"/>
          <w:szCs w:val="24"/>
        </w:rPr>
        <w:t xml:space="preserve">893. </w:t>
      </w:r>
      <w:r w:rsidR="00893AB9" w:rsidRPr="00893AB9">
        <w:rPr>
          <w:rFonts w:ascii="Times New Roman" w:hAnsi="Times New Roman" w:cs="Times New Roman"/>
          <w:sz w:val="24"/>
          <w:szCs w:val="24"/>
        </w:rPr>
        <w:t>Budžeta iestāde noslēdz nomas līgumu ar termiņu 4 gadi par pamatlīdzekļa iegādi. Budžeta iestāde izvērtē un secina, ka saskaņā ar līguma nosacījumiem visi īpašumtiesībām raksturīgie</w:t>
      </w:r>
      <w:r w:rsidR="00893AB9">
        <w:rPr>
          <w:rFonts w:ascii="Times New Roman" w:hAnsi="Times New Roman" w:cs="Times New Roman"/>
          <w:sz w:val="24"/>
          <w:szCs w:val="24"/>
        </w:rPr>
        <w:t xml:space="preserve"> </w:t>
      </w:r>
      <w:r w:rsidR="00893AB9" w:rsidRPr="00893AB9">
        <w:rPr>
          <w:rFonts w:ascii="Times New Roman" w:hAnsi="Times New Roman" w:cs="Times New Roman"/>
          <w:sz w:val="24"/>
          <w:szCs w:val="24"/>
        </w:rPr>
        <w:t>riski un atlīdzības ir nodoti budžeta iestādei. Papildus iestāde izvērtē un secina, ka, ņemot vērā to, ka pēc budžeta iestādes aplēsēm saimnieciskās izmantošanas laiks attiecīgajam pamatlīdzeklim ir 5 gadi, tad līguma termiņš ir 80% no pamatlīdzekļa saimnieciskās lietošanas laika. Ņemot vērā iepriekšminēto, budžeta iestāde klasificē darījumu kā finanšu nomu.</w:t>
      </w:r>
    </w:p>
    <w:p w14:paraId="6A34355F" w14:textId="77777777" w:rsidR="00893AB9" w:rsidRPr="00893AB9" w:rsidRDefault="00B14C37" w:rsidP="00CD363C">
      <w:pPr>
        <w:spacing w:after="0" w:line="240" w:lineRule="auto"/>
        <w:ind w:right="124"/>
        <w:jc w:val="both"/>
        <w:rPr>
          <w:rFonts w:ascii="Times New Roman" w:hAnsi="Times New Roman" w:cs="Times New Roman"/>
          <w:sz w:val="24"/>
          <w:szCs w:val="24"/>
        </w:rPr>
      </w:pPr>
      <w:r>
        <w:rPr>
          <w:rFonts w:ascii="Times New Roman" w:hAnsi="Times New Roman" w:cs="Times New Roman"/>
          <w:sz w:val="24"/>
          <w:szCs w:val="24"/>
        </w:rPr>
        <w:t>894.</w:t>
      </w:r>
      <w:r w:rsidR="00893AB9" w:rsidRPr="00893AB9">
        <w:rPr>
          <w:rFonts w:ascii="Times New Roman" w:hAnsi="Times New Roman" w:cs="Times New Roman"/>
          <w:sz w:val="24"/>
          <w:szCs w:val="24"/>
        </w:rPr>
        <w:t xml:space="preserve"> Budžeta iestāde nomā automašīnu ar termiņu 5 gadi. Līgumā ir teikts, ka automašīnas vērtība pēc 5 gadiem būs 10 000,00 EUR un līgumā noteikts, ka budžeta iestādei būs iespēja iegādāties automašīnu par 7 000,00 EUR. Budžeta iestāde izvērtē un secina, ka saskaņā ar līguma nosacījumiem visi īpašumtiesībām raksturīgie riski un atlīdzības ir nodoti budžeta iestādei. Vienlaikus budžeta iestāde ir apņēmusies nomas termiņa beigās nomāto automašīnu iegādāties un turpināt izmantot, un nomas termiņa beigās budžeta iestādei būs iespēja iegādāties nomāto automašīnu par pietiekami zemāku cenu nekā automašīnas patiesā vērtība, kā arī nomas sākumā budžeta iestāde paredz izmantot šo iespēju. Ņemot vērā iepriekšminēto, budžeta iestāde klasificē darījumu kā finanšu nomu</w:t>
      </w:r>
    </w:p>
    <w:p w14:paraId="6FF06CB4" w14:textId="77777777" w:rsidR="00766EE6" w:rsidRPr="00766EE6" w:rsidRDefault="00893AB9" w:rsidP="00CD363C">
      <w:pPr>
        <w:spacing w:after="0" w:line="240" w:lineRule="auto"/>
        <w:ind w:right="124"/>
        <w:jc w:val="both"/>
        <w:rPr>
          <w:rFonts w:ascii="Times New Roman" w:hAnsi="Times New Roman" w:cs="Times New Roman"/>
          <w:sz w:val="24"/>
          <w:szCs w:val="24"/>
        </w:rPr>
      </w:pPr>
      <w:r w:rsidRPr="00893AB9">
        <w:rPr>
          <w:rFonts w:ascii="Times New Roman" w:hAnsi="Times New Roman" w:cs="Times New Roman"/>
          <w:sz w:val="24"/>
          <w:szCs w:val="24"/>
        </w:rPr>
        <w:t xml:space="preserve"> </w:t>
      </w:r>
      <w:r w:rsidR="00B14C37">
        <w:rPr>
          <w:rFonts w:ascii="Times New Roman" w:hAnsi="Times New Roman" w:cs="Times New Roman"/>
          <w:sz w:val="24"/>
          <w:szCs w:val="24"/>
        </w:rPr>
        <w:t>895.</w:t>
      </w:r>
      <w:r w:rsidRPr="00893AB9">
        <w:rPr>
          <w:rFonts w:ascii="Times New Roman" w:hAnsi="Times New Roman" w:cs="Times New Roman"/>
          <w:sz w:val="24"/>
          <w:szCs w:val="24"/>
        </w:rPr>
        <w:t xml:space="preserve"> Budžeta iestāde nomā diagnostikas iekārtu. Iekārta var darboties tikai tad, ja tā ir specifiski pielāgota un savienota ar citu budžeta iestādes aprīkojumu, piemēram, serveri vai datoru. Šī iemesla dēļ iekārtas lietošana nomniekam ir iespējama tikai pēc speciāla iekārtu pielāgojuma. Budžeta iestāde izvērtē un secina, ka saskaņā ar līguma nosacījumiem visi īpašumtiesībām raksturīgie riski un atlīdzības ir nodoti budžeta iestādei. Tāpat izpildās kritērijs par aktīvu specifiskumu – diagnostikas iekārta var darboties tikai pēc speciāla iekārtu pielāgojuma, kas nozīmē, ka, būtiski nepārveidojot, šo iekāru var lietot tikai budžeta iestāde. Ņemot vērā minētos kritērijus, nomas līgums tiek klasificēts kā finanšu noma.</w:t>
      </w:r>
    </w:p>
    <w:p w14:paraId="75872482" w14:textId="77777777" w:rsidR="00DC6D9B" w:rsidRDefault="00DC6D9B" w:rsidP="00CD363C">
      <w:pPr>
        <w:pStyle w:val="Virsraksts4"/>
        <w:numPr>
          <w:ilvl w:val="2"/>
          <w:numId w:val="32"/>
        </w:numPr>
        <w:tabs>
          <w:tab w:val="left" w:pos="759"/>
        </w:tabs>
        <w:spacing w:before="0"/>
        <w:ind w:right="124"/>
        <w:jc w:val="both"/>
      </w:pPr>
      <w:r>
        <w:rPr>
          <w:color w:val="002069"/>
        </w:rPr>
        <w:t>Piemērs – Finanšu nomas uzskaite no nomnieka</w:t>
      </w:r>
      <w:r>
        <w:rPr>
          <w:color w:val="002069"/>
          <w:spacing w:val="-5"/>
        </w:rPr>
        <w:t xml:space="preserve"> </w:t>
      </w:r>
      <w:r>
        <w:rPr>
          <w:color w:val="002069"/>
        </w:rPr>
        <w:t>puses</w:t>
      </w:r>
    </w:p>
    <w:p w14:paraId="5C907773" w14:textId="77777777" w:rsidR="00DC6D9B" w:rsidRPr="00B14C37" w:rsidRDefault="00B14C37" w:rsidP="00CD363C">
      <w:pPr>
        <w:pStyle w:val="Pamatteksts"/>
        <w:ind w:left="218" w:right="124"/>
        <w:jc w:val="both"/>
        <w:rPr>
          <w:sz w:val="24"/>
          <w:szCs w:val="24"/>
        </w:rPr>
      </w:pPr>
      <w:r w:rsidRPr="00B14C37">
        <w:rPr>
          <w:bCs/>
          <w:sz w:val="24"/>
          <w:szCs w:val="24"/>
        </w:rPr>
        <w:t>896.</w:t>
      </w:r>
      <w:r>
        <w:rPr>
          <w:bCs/>
          <w:sz w:val="24"/>
          <w:szCs w:val="24"/>
        </w:rPr>
        <w:t xml:space="preserve"> </w:t>
      </w:r>
      <w:r w:rsidR="00DC6D9B" w:rsidRPr="00B14C37">
        <w:rPr>
          <w:bCs/>
          <w:sz w:val="24"/>
          <w:szCs w:val="24"/>
        </w:rPr>
        <w:t>Budžeta</w:t>
      </w:r>
      <w:r w:rsidR="00DC6D9B" w:rsidRPr="00B14C37">
        <w:rPr>
          <w:sz w:val="24"/>
          <w:szCs w:val="24"/>
        </w:rPr>
        <w:t xml:space="preserve"> iestāde, kas nav PVN maksātāja, 02.01.2019 noslēdz finanšu nomas līgumu par automašīnas iegādi. 02.01.2019 iznomātais aktīvs tiek nodots nomniekam. Finanšu nomas līguma vērtība 11 000,00 EUR, gada procentu likme – 5% gadā.</w:t>
      </w:r>
    </w:p>
    <w:p w14:paraId="2D436A18" w14:textId="77777777" w:rsidR="00DC6D9B" w:rsidRPr="00B14C37" w:rsidRDefault="00DC6D9B" w:rsidP="00CD363C">
      <w:pPr>
        <w:pStyle w:val="Pamatteksts"/>
        <w:ind w:right="124"/>
        <w:jc w:val="both"/>
        <w:rPr>
          <w:sz w:val="24"/>
          <w:szCs w:val="24"/>
        </w:rPr>
      </w:pPr>
    </w:p>
    <w:tbl>
      <w:tblPr>
        <w:tblW w:w="0" w:type="auto"/>
        <w:tblInd w:w="234" w:type="dxa"/>
        <w:tblLayout w:type="fixed"/>
        <w:tblCellMar>
          <w:left w:w="0" w:type="dxa"/>
          <w:right w:w="0" w:type="dxa"/>
        </w:tblCellMar>
        <w:tblLook w:val="01E0" w:firstRow="1" w:lastRow="1" w:firstColumn="1" w:lastColumn="1" w:noHBand="0" w:noVBand="0"/>
      </w:tblPr>
      <w:tblGrid>
        <w:gridCol w:w="4950"/>
        <w:gridCol w:w="1697"/>
      </w:tblGrid>
      <w:tr w:rsidR="00DC6D9B" w:rsidRPr="00B14C37" w14:paraId="0B0DC3A1" w14:textId="77777777" w:rsidTr="00535ACC">
        <w:trPr>
          <w:trHeight w:val="289"/>
        </w:trPr>
        <w:tc>
          <w:tcPr>
            <w:tcW w:w="4950" w:type="dxa"/>
          </w:tcPr>
          <w:p w14:paraId="0E49E31A" w14:textId="77777777" w:rsidR="00DC6D9B" w:rsidRPr="00B14C37" w:rsidRDefault="00DC6D9B" w:rsidP="00CD363C">
            <w:pPr>
              <w:pStyle w:val="TableParagraph"/>
              <w:ind w:left="200" w:right="124"/>
              <w:jc w:val="both"/>
              <w:rPr>
                <w:i/>
                <w:sz w:val="24"/>
                <w:szCs w:val="24"/>
              </w:rPr>
            </w:pPr>
            <w:r w:rsidRPr="00B14C37">
              <w:rPr>
                <w:i/>
                <w:sz w:val="24"/>
                <w:szCs w:val="24"/>
              </w:rPr>
              <w:t>Nomas termiņš</w:t>
            </w:r>
          </w:p>
        </w:tc>
        <w:tc>
          <w:tcPr>
            <w:tcW w:w="1697" w:type="dxa"/>
          </w:tcPr>
          <w:p w14:paraId="439A21C1" w14:textId="77777777" w:rsidR="00DC6D9B" w:rsidRPr="00B14C37" w:rsidRDefault="00DC6D9B" w:rsidP="00CD363C">
            <w:pPr>
              <w:pStyle w:val="TableParagraph"/>
              <w:ind w:left="240" w:right="124"/>
              <w:jc w:val="both"/>
              <w:rPr>
                <w:i/>
                <w:sz w:val="24"/>
                <w:szCs w:val="24"/>
              </w:rPr>
            </w:pPr>
            <w:r w:rsidRPr="00B14C37">
              <w:rPr>
                <w:i/>
                <w:sz w:val="24"/>
                <w:szCs w:val="24"/>
              </w:rPr>
              <w:t>5 gadi</w:t>
            </w:r>
          </w:p>
        </w:tc>
      </w:tr>
      <w:tr w:rsidR="00DC6D9B" w:rsidRPr="00B14C37" w14:paraId="0A8B7C32" w14:textId="77777777" w:rsidTr="00535ACC">
        <w:trPr>
          <w:trHeight w:val="333"/>
        </w:trPr>
        <w:tc>
          <w:tcPr>
            <w:tcW w:w="4950" w:type="dxa"/>
          </w:tcPr>
          <w:p w14:paraId="2A16BB26" w14:textId="77777777" w:rsidR="00DC6D9B" w:rsidRPr="00B14C37" w:rsidRDefault="00DC6D9B" w:rsidP="00CD363C">
            <w:pPr>
              <w:pStyle w:val="TableParagraph"/>
              <w:ind w:left="200" w:right="124"/>
              <w:jc w:val="both"/>
              <w:rPr>
                <w:i/>
                <w:sz w:val="24"/>
                <w:szCs w:val="24"/>
              </w:rPr>
            </w:pPr>
            <w:r w:rsidRPr="00B14C37">
              <w:rPr>
                <w:i/>
                <w:sz w:val="24"/>
                <w:szCs w:val="24"/>
              </w:rPr>
              <w:t>Nomas maksājums gadā (pamatsumma + procenti)</w:t>
            </w:r>
          </w:p>
        </w:tc>
        <w:tc>
          <w:tcPr>
            <w:tcW w:w="1697" w:type="dxa"/>
          </w:tcPr>
          <w:p w14:paraId="45167B78" w14:textId="77777777" w:rsidR="00DC6D9B" w:rsidRPr="00B14C37" w:rsidRDefault="00DC6D9B" w:rsidP="00CD363C">
            <w:pPr>
              <w:pStyle w:val="TableParagraph"/>
              <w:ind w:left="240" w:right="124"/>
              <w:jc w:val="both"/>
              <w:rPr>
                <w:i/>
                <w:sz w:val="24"/>
                <w:szCs w:val="24"/>
              </w:rPr>
            </w:pPr>
            <w:r w:rsidRPr="00B14C37">
              <w:rPr>
                <w:i/>
                <w:sz w:val="24"/>
                <w:szCs w:val="24"/>
              </w:rPr>
              <w:t>2 200,00 EUR</w:t>
            </w:r>
          </w:p>
        </w:tc>
      </w:tr>
      <w:tr w:rsidR="00DC6D9B" w:rsidRPr="00B14C37" w14:paraId="7B101376" w14:textId="77777777" w:rsidTr="00535ACC">
        <w:trPr>
          <w:trHeight w:val="332"/>
        </w:trPr>
        <w:tc>
          <w:tcPr>
            <w:tcW w:w="4950" w:type="dxa"/>
          </w:tcPr>
          <w:p w14:paraId="24283639" w14:textId="77777777" w:rsidR="00DC6D9B" w:rsidRPr="00B14C37" w:rsidRDefault="00DC6D9B" w:rsidP="00CD363C">
            <w:pPr>
              <w:pStyle w:val="TableParagraph"/>
              <w:ind w:left="200" w:right="124"/>
              <w:jc w:val="both"/>
              <w:rPr>
                <w:i/>
                <w:sz w:val="24"/>
                <w:szCs w:val="24"/>
              </w:rPr>
            </w:pPr>
            <w:r w:rsidRPr="00B14C37">
              <w:rPr>
                <w:i/>
                <w:sz w:val="24"/>
                <w:szCs w:val="24"/>
              </w:rPr>
              <w:t>Procentu likme</w:t>
            </w:r>
          </w:p>
        </w:tc>
        <w:tc>
          <w:tcPr>
            <w:tcW w:w="1697" w:type="dxa"/>
          </w:tcPr>
          <w:p w14:paraId="35B4FB0E" w14:textId="77777777" w:rsidR="00DC6D9B" w:rsidRPr="00B14C37" w:rsidRDefault="00DC6D9B" w:rsidP="00CD363C">
            <w:pPr>
              <w:pStyle w:val="TableParagraph"/>
              <w:ind w:left="240" w:right="124"/>
              <w:jc w:val="both"/>
              <w:rPr>
                <w:i/>
                <w:sz w:val="24"/>
                <w:szCs w:val="24"/>
              </w:rPr>
            </w:pPr>
            <w:r w:rsidRPr="00B14C37">
              <w:rPr>
                <w:i/>
                <w:sz w:val="24"/>
                <w:szCs w:val="24"/>
              </w:rPr>
              <w:t>5%</w:t>
            </w:r>
          </w:p>
        </w:tc>
      </w:tr>
      <w:tr w:rsidR="00DC6D9B" w:rsidRPr="00B14C37" w14:paraId="6DD075F7" w14:textId="77777777" w:rsidTr="00535ACC">
        <w:trPr>
          <w:trHeight w:val="288"/>
        </w:trPr>
        <w:tc>
          <w:tcPr>
            <w:tcW w:w="4950" w:type="dxa"/>
          </w:tcPr>
          <w:p w14:paraId="32C78BBB" w14:textId="77777777" w:rsidR="00DC6D9B" w:rsidRPr="00B14C37" w:rsidRDefault="00DC6D9B" w:rsidP="00CD363C">
            <w:pPr>
              <w:pStyle w:val="TableParagraph"/>
              <w:ind w:left="200" w:right="124"/>
              <w:jc w:val="both"/>
              <w:rPr>
                <w:i/>
                <w:sz w:val="24"/>
                <w:szCs w:val="24"/>
              </w:rPr>
            </w:pPr>
            <w:r w:rsidRPr="00B14C37">
              <w:rPr>
                <w:i/>
                <w:sz w:val="24"/>
                <w:szCs w:val="24"/>
              </w:rPr>
              <w:t>Nomas aktīva pašreizējā vērtība</w:t>
            </w:r>
          </w:p>
        </w:tc>
        <w:tc>
          <w:tcPr>
            <w:tcW w:w="1697" w:type="dxa"/>
          </w:tcPr>
          <w:p w14:paraId="2C485422" w14:textId="77777777" w:rsidR="00DC6D9B" w:rsidRPr="00B14C37" w:rsidRDefault="00DC6D9B" w:rsidP="00CD363C">
            <w:pPr>
              <w:pStyle w:val="TableParagraph"/>
              <w:ind w:left="240" w:right="124"/>
              <w:jc w:val="both"/>
              <w:rPr>
                <w:i/>
                <w:sz w:val="24"/>
                <w:szCs w:val="24"/>
              </w:rPr>
            </w:pPr>
            <w:r w:rsidRPr="00B14C37">
              <w:rPr>
                <w:i/>
                <w:sz w:val="24"/>
                <w:szCs w:val="24"/>
              </w:rPr>
              <w:t>9 524,85 EUR</w:t>
            </w:r>
          </w:p>
        </w:tc>
      </w:tr>
    </w:tbl>
    <w:p w14:paraId="714A67DC" w14:textId="77777777" w:rsidR="00DC6D9B" w:rsidRPr="00B14C37" w:rsidRDefault="00B14C37" w:rsidP="00CD363C">
      <w:pPr>
        <w:pStyle w:val="Pamatteksts"/>
        <w:ind w:left="218" w:right="124"/>
        <w:jc w:val="both"/>
        <w:rPr>
          <w:sz w:val="24"/>
          <w:szCs w:val="24"/>
        </w:rPr>
      </w:pPr>
      <w:r>
        <w:rPr>
          <w:sz w:val="24"/>
          <w:szCs w:val="24"/>
        </w:rPr>
        <w:t xml:space="preserve">897. </w:t>
      </w:r>
      <w:r w:rsidR="00DC6D9B" w:rsidRPr="00B14C37">
        <w:rPr>
          <w:sz w:val="24"/>
          <w:szCs w:val="24"/>
        </w:rPr>
        <w:t>Nomas aktīva pašreizējās vērtības aprēķins sniegts 1.tabulā. Procentu izdevumu un nomas saistību aprēķins nomas termiņa laikā sniegts 2.tabulā. Piemērā tiek pieņemts, ka budžeta iestāde veic maksājumu un aprēķina procentus vienreiz gadā - gada beigās.</w:t>
      </w:r>
    </w:p>
    <w:p w14:paraId="4E7F48C0" w14:textId="77777777" w:rsidR="00DC6D9B" w:rsidRDefault="00DC6D9B" w:rsidP="00CD363C">
      <w:pPr>
        <w:pStyle w:val="Pamatteksts"/>
        <w:ind w:right="124"/>
        <w:jc w:val="both"/>
        <w:rPr>
          <w:sz w:val="9"/>
        </w:rPr>
      </w:pPr>
    </w:p>
    <w:p w14:paraId="0416C1E6" w14:textId="77777777" w:rsidR="00DC6D9B" w:rsidRDefault="00DC6D9B" w:rsidP="00CD363C">
      <w:pPr>
        <w:spacing w:after="0" w:line="240" w:lineRule="auto"/>
        <w:ind w:right="124"/>
        <w:jc w:val="both"/>
        <w:rPr>
          <w:sz w:val="9"/>
        </w:rPr>
        <w:sectPr w:rsidR="00DC6D9B">
          <w:pgSz w:w="11910" w:h="16840"/>
          <w:pgMar w:top="760" w:right="680" w:bottom="1160" w:left="1200" w:header="0" w:footer="969" w:gutter="0"/>
          <w:cols w:space="720"/>
        </w:sectPr>
      </w:pPr>
    </w:p>
    <w:p w14:paraId="7819475A" w14:textId="77777777" w:rsidR="00DC6D9B" w:rsidRDefault="00DC6D9B" w:rsidP="00CD363C">
      <w:pPr>
        <w:pStyle w:val="Virsraksts6"/>
        <w:ind w:left="218" w:right="124"/>
        <w:jc w:val="both"/>
      </w:pPr>
      <w:r>
        <w:t>Aprēķini:</w:t>
      </w:r>
    </w:p>
    <w:p w14:paraId="7CD34DBD" w14:textId="77777777" w:rsidR="00DC6D9B" w:rsidRDefault="00DC6D9B" w:rsidP="00CD363C">
      <w:pPr>
        <w:pStyle w:val="Pamatteksts"/>
        <w:ind w:right="124"/>
        <w:jc w:val="both"/>
        <w:rPr>
          <w:b/>
          <w:sz w:val="32"/>
        </w:rPr>
      </w:pPr>
      <w:r>
        <w:br w:type="column"/>
      </w:r>
    </w:p>
    <w:p w14:paraId="515A4A37" w14:textId="77777777" w:rsidR="00DC6D9B" w:rsidRDefault="00DC6D9B" w:rsidP="00CD363C">
      <w:pPr>
        <w:pStyle w:val="Sarakstarindkopa"/>
        <w:widowControl w:val="0"/>
        <w:numPr>
          <w:ilvl w:val="0"/>
          <w:numId w:val="33"/>
        </w:numPr>
        <w:tabs>
          <w:tab w:val="left" w:pos="371"/>
        </w:tabs>
        <w:autoSpaceDE w:val="0"/>
        <w:autoSpaceDN w:val="0"/>
        <w:spacing w:after="0" w:line="240" w:lineRule="auto"/>
        <w:ind w:right="124"/>
        <w:contextualSpacing w:val="0"/>
        <w:jc w:val="both"/>
        <w:rPr>
          <w:i/>
          <w:sz w:val="20"/>
        </w:rPr>
      </w:pPr>
      <w:r>
        <w:rPr>
          <w:i/>
          <w:sz w:val="20"/>
        </w:rPr>
        <w:t>tabula. Nomas maksājumu pašreizējā</w:t>
      </w:r>
      <w:r>
        <w:rPr>
          <w:i/>
          <w:spacing w:val="-9"/>
          <w:sz w:val="20"/>
        </w:rPr>
        <w:t xml:space="preserve"> </w:t>
      </w:r>
      <w:r>
        <w:rPr>
          <w:i/>
          <w:sz w:val="20"/>
        </w:rPr>
        <w:t>vērtība</w:t>
      </w:r>
    </w:p>
    <w:p w14:paraId="0FDDF1E1" w14:textId="77777777" w:rsidR="00DC6D9B" w:rsidRDefault="00DC6D9B" w:rsidP="00CD363C">
      <w:pPr>
        <w:spacing w:after="0" w:line="240" w:lineRule="auto"/>
        <w:ind w:right="124"/>
        <w:jc w:val="both"/>
        <w:rPr>
          <w:sz w:val="20"/>
        </w:rPr>
        <w:sectPr w:rsidR="00DC6D9B">
          <w:type w:val="continuous"/>
          <w:pgSz w:w="11910" w:h="16840"/>
          <w:pgMar w:top="840" w:right="680" w:bottom="740" w:left="1200" w:header="720" w:footer="720" w:gutter="0"/>
          <w:cols w:num="2" w:space="720" w:equalWidth="0">
            <w:col w:w="1177" w:space="4637"/>
            <w:col w:w="4216"/>
          </w:cols>
        </w:sectPr>
      </w:pPr>
    </w:p>
    <w:p w14:paraId="50950CAB" w14:textId="77777777" w:rsidR="00DC6D9B" w:rsidRDefault="00DC6D9B" w:rsidP="00CD363C">
      <w:pPr>
        <w:pStyle w:val="Pamatteksts"/>
        <w:ind w:right="124"/>
        <w:jc w:val="both"/>
        <w:rPr>
          <w:i/>
          <w:sz w:val="3"/>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264"/>
        <w:gridCol w:w="1277"/>
        <w:gridCol w:w="1133"/>
        <w:gridCol w:w="1135"/>
        <w:gridCol w:w="1136"/>
        <w:gridCol w:w="1275"/>
        <w:gridCol w:w="1278"/>
      </w:tblGrid>
      <w:tr w:rsidR="00DC6D9B" w14:paraId="35B6CBF3" w14:textId="77777777" w:rsidTr="00535ACC">
        <w:trPr>
          <w:trHeight w:val="292"/>
        </w:trPr>
        <w:tc>
          <w:tcPr>
            <w:tcW w:w="2264" w:type="dxa"/>
          </w:tcPr>
          <w:p w14:paraId="0113E45A" w14:textId="77777777" w:rsidR="00DC6D9B" w:rsidRDefault="00DC6D9B" w:rsidP="00CD363C">
            <w:pPr>
              <w:pStyle w:val="TableParagraph"/>
              <w:ind w:left="14" w:right="124"/>
              <w:jc w:val="both"/>
              <w:rPr>
                <w:sz w:val="20"/>
              </w:rPr>
            </w:pPr>
            <w:r>
              <w:rPr>
                <w:sz w:val="20"/>
              </w:rPr>
              <w:t>Procentu likme</w:t>
            </w:r>
          </w:p>
        </w:tc>
        <w:tc>
          <w:tcPr>
            <w:tcW w:w="1277" w:type="dxa"/>
          </w:tcPr>
          <w:p w14:paraId="732BF735" w14:textId="77777777" w:rsidR="00DC6D9B" w:rsidRDefault="00DC6D9B" w:rsidP="00CD363C">
            <w:pPr>
              <w:pStyle w:val="TableParagraph"/>
              <w:ind w:right="124"/>
              <w:jc w:val="both"/>
              <w:rPr>
                <w:sz w:val="20"/>
              </w:rPr>
            </w:pPr>
            <w:r>
              <w:rPr>
                <w:sz w:val="20"/>
              </w:rPr>
              <w:t>5%</w:t>
            </w:r>
          </w:p>
        </w:tc>
        <w:tc>
          <w:tcPr>
            <w:tcW w:w="5957" w:type="dxa"/>
            <w:gridSpan w:val="5"/>
            <w:tcBorders>
              <w:top w:val="nil"/>
              <w:bottom w:val="nil"/>
              <w:right w:val="nil"/>
            </w:tcBorders>
          </w:tcPr>
          <w:p w14:paraId="78B79407" w14:textId="77777777" w:rsidR="00DC6D9B" w:rsidRDefault="00DC6D9B" w:rsidP="00CD363C">
            <w:pPr>
              <w:pStyle w:val="TableParagraph"/>
              <w:ind w:right="124"/>
              <w:jc w:val="both"/>
              <w:rPr>
                <w:sz w:val="20"/>
              </w:rPr>
            </w:pPr>
          </w:p>
        </w:tc>
      </w:tr>
      <w:tr w:rsidR="00DC6D9B" w14:paraId="5D626E68" w14:textId="77777777" w:rsidTr="00535ACC">
        <w:trPr>
          <w:trHeight w:val="290"/>
        </w:trPr>
        <w:tc>
          <w:tcPr>
            <w:tcW w:w="2264" w:type="dxa"/>
          </w:tcPr>
          <w:p w14:paraId="40BB0969" w14:textId="77777777" w:rsidR="00DC6D9B" w:rsidRDefault="00DC6D9B" w:rsidP="00CD363C">
            <w:pPr>
              <w:pStyle w:val="TableParagraph"/>
              <w:ind w:left="14" w:right="124"/>
              <w:jc w:val="both"/>
              <w:rPr>
                <w:sz w:val="20"/>
              </w:rPr>
            </w:pPr>
            <w:r>
              <w:rPr>
                <w:sz w:val="20"/>
              </w:rPr>
              <w:t>Nomas summa, EUR</w:t>
            </w:r>
          </w:p>
        </w:tc>
        <w:tc>
          <w:tcPr>
            <w:tcW w:w="1277" w:type="dxa"/>
          </w:tcPr>
          <w:p w14:paraId="6264DCB5" w14:textId="77777777" w:rsidR="00DC6D9B" w:rsidRDefault="00DC6D9B" w:rsidP="00CD363C">
            <w:pPr>
              <w:pStyle w:val="TableParagraph"/>
              <w:ind w:right="124"/>
              <w:jc w:val="both"/>
              <w:rPr>
                <w:sz w:val="20"/>
              </w:rPr>
            </w:pPr>
            <w:r>
              <w:rPr>
                <w:sz w:val="20"/>
              </w:rPr>
              <w:t>2 200,00</w:t>
            </w:r>
          </w:p>
        </w:tc>
        <w:tc>
          <w:tcPr>
            <w:tcW w:w="1133" w:type="dxa"/>
          </w:tcPr>
          <w:p w14:paraId="5273E43E" w14:textId="77777777" w:rsidR="00DC6D9B" w:rsidRDefault="00DC6D9B" w:rsidP="00CD363C">
            <w:pPr>
              <w:pStyle w:val="TableParagraph"/>
              <w:ind w:right="124"/>
              <w:jc w:val="both"/>
              <w:rPr>
                <w:sz w:val="20"/>
              </w:rPr>
            </w:pPr>
            <w:r>
              <w:rPr>
                <w:sz w:val="20"/>
              </w:rPr>
              <w:t>2 200,00</w:t>
            </w:r>
          </w:p>
        </w:tc>
        <w:tc>
          <w:tcPr>
            <w:tcW w:w="1135" w:type="dxa"/>
          </w:tcPr>
          <w:p w14:paraId="43080C38" w14:textId="77777777" w:rsidR="00DC6D9B" w:rsidRDefault="00DC6D9B" w:rsidP="00CD363C">
            <w:pPr>
              <w:pStyle w:val="TableParagraph"/>
              <w:ind w:right="124"/>
              <w:jc w:val="both"/>
              <w:rPr>
                <w:sz w:val="20"/>
              </w:rPr>
            </w:pPr>
            <w:r>
              <w:rPr>
                <w:sz w:val="20"/>
              </w:rPr>
              <w:t>2 200,00</w:t>
            </w:r>
          </w:p>
        </w:tc>
        <w:tc>
          <w:tcPr>
            <w:tcW w:w="1136" w:type="dxa"/>
          </w:tcPr>
          <w:p w14:paraId="26C99730" w14:textId="77777777" w:rsidR="00DC6D9B" w:rsidRDefault="00DC6D9B" w:rsidP="00CD363C">
            <w:pPr>
              <w:pStyle w:val="TableParagraph"/>
              <w:ind w:right="124"/>
              <w:jc w:val="both"/>
              <w:rPr>
                <w:sz w:val="20"/>
              </w:rPr>
            </w:pPr>
            <w:r>
              <w:rPr>
                <w:sz w:val="20"/>
              </w:rPr>
              <w:t>2 200,00</w:t>
            </w:r>
          </w:p>
        </w:tc>
        <w:tc>
          <w:tcPr>
            <w:tcW w:w="1275" w:type="dxa"/>
          </w:tcPr>
          <w:p w14:paraId="1EB9D3EC" w14:textId="77777777" w:rsidR="00DC6D9B" w:rsidRDefault="00DC6D9B" w:rsidP="00CD363C">
            <w:pPr>
              <w:pStyle w:val="TableParagraph"/>
              <w:ind w:right="124"/>
              <w:jc w:val="both"/>
              <w:rPr>
                <w:sz w:val="20"/>
              </w:rPr>
            </w:pPr>
            <w:r>
              <w:rPr>
                <w:sz w:val="20"/>
              </w:rPr>
              <w:t>2 200,00</w:t>
            </w:r>
          </w:p>
        </w:tc>
        <w:tc>
          <w:tcPr>
            <w:tcW w:w="1278" w:type="dxa"/>
            <w:vMerge w:val="restart"/>
            <w:tcBorders>
              <w:top w:val="nil"/>
              <w:right w:val="nil"/>
            </w:tcBorders>
          </w:tcPr>
          <w:p w14:paraId="5A03C326" w14:textId="77777777" w:rsidR="00DC6D9B" w:rsidRDefault="00DC6D9B" w:rsidP="00CD363C">
            <w:pPr>
              <w:pStyle w:val="TableParagraph"/>
              <w:ind w:right="124"/>
              <w:jc w:val="both"/>
              <w:rPr>
                <w:sz w:val="20"/>
              </w:rPr>
            </w:pPr>
          </w:p>
        </w:tc>
      </w:tr>
      <w:tr w:rsidR="00DC6D9B" w14:paraId="637BF487" w14:textId="77777777" w:rsidTr="00535ACC">
        <w:trPr>
          <w:trHeight w:val="290"/>
        </w:trPr>
        <w:tc>
          <w:tcPr>
            <w:tcW w:w="2264" w:type="dxa"/>
          </w:tcPr>
          <w:p w14:paraId="24327150" w14:textId="77777777" w:rsidR="00DC6D9B" w:rsidRDefault="00DC6D9B" w:rsidP="00CD363C">
            <w:pPr>
              <w:pStyle w:val="TableParagraph"/>
              <w:ind w:left="14" w:right="124"/>
              <w:jc w:val="both"/>
              <w:rPr>
                <w:sz w:val="20"/>
              </w:rPr>
            </w:pPr>
            <w:r>
              <w:rPr>
                <w:sz w:val="20"/>
              </w:rPr>
              <w:t>Gads</w:t>
            </w:r>
          </w:p>
        </w:tc>
        <w:tc>
          <w:tcPr>
            <w:tcW w:w="1277" w:type="dxa"/>
          </w:tcPr>
          <w:p w14:paraId="3E31C242" w14:textId="77777777" w:rsidR="00DC6D9B" w:rsidRDefault="00DC6D9B" w:rsidP="00CD363C">
            <w:pPr>
              <w:pStyle w:val="TableParagraph"/>
              <w:ind w:right="124"/>
              <w:jc w:val="both"/>
              <w:rPr>
                <w:sz w:val="20"/>
              </w:rPr>
            </w:pPr>
            <w:r>
              <w:rPr>
                <w:w w:val="99"/>
                <w:sz w:val="20"/>
              </w:rPr>
              <w:t>1</w:t>
            </w:r>
          </w:p>
        </w:tc>
        <w:tc>
          <w:tcPr>
            <w:tcW w:w="1133" w:type="dxa"/>
          </w:tcPr>
          <w:p w14:paraId="15F640A9" w14:textId="77777777" w:rsidR="00DC6D9B" w:rsidRDefault="00DC6D9B" w:rsidP="00CD363C">
            <w:pPr>
              <w:pStyle w:val="TableParagraph"/>
              <w:ind w:right="124"/>
              <w:jc w:val="both"/>
              <w:rPr>
                <w:sz w:val="20"/>
              </w:rPr>
            </w:pPr>
            <w:r>
              <w:rPr>
                <w:w w:val="99"/>
                <w:sz w:val="20"/>
              </w:rPr>
              <w:t>2</w:t>
            </w:r>
          </w:p>
        </w:tc>
        <w:tc>
          <w:tcPr>
            <w:tcW w:w="1135" w:type="dxa"/>
          </w:tcPr>
          <w:p w14:paraId="231B4F57" w14:textId="77777777" w:rsidR="00DC6D9B" w:rsidRDefault="00DC6D9B" w:rsidP="00CD363C">
            <w:pPr>
              <w:pStyle w:val="TableParagraph"/>
              <w:ind w:right="124"/>
              <w:jc w:val="both"/>
              <w:rPr>
                <w:sz w:val="20"/>
              </w:rPr>
            </w:pPr>
            <w:r>
              <w:rPr>
                <w:w w:val="99"/>
                <w:sz w:val="20"/>
              </w:rPr>
              <w:t>3</w:t>
            </w:r>
          </w:p>
        </w:tc>
        <w:tc>
          <w:tcPr>
            <w:tcW w:w="1136" w:type="dxa"/>
          </w:tcPr>
          <w:p w14:paraId="69BF7C11" w14:textId="77777777" w:rsidR="00DC6D9B" w:rsidRDefault="00DC6D9B" w:rsidP="00CD363C">
            <w:pPr>
              <w:pStyle w:val="TableParagraph"/>
              <w:ind w:right="124"/>
              <w:jc w:val="both"/>
              <w:rPr>
                <w:sz w:val="20"/>
              </w:rPr>
            </w:pPr>
            <w:r>
              <w:rPr>
                <w:w w:val="99"/>
                <w:sz w:val="20"/>
              </w:rPr>
              <w:t>4</w:t>
            </w:r>
          </w:p>
        </w:tc>
        <w:tc>
          <w:tcPr>
            <w:tcW w:w="1275" w:type="dxa"/>
          </w:tcPr>
          <w:p w14:paraId="7207929B" w14:textId="77777777" w:rsidR="00DC6D9B" w:rsidRDefault="00DC6D9B" w:rsidP="00CD363C">
            <w:pPr>
              <w:pStyle w:val="TableParagraph"/>
              <w:ind w:right="124"/>
              <w:jc w:val="both"/>
              <w:rPr>
                <w:sz w:val="20"/>
              </w:rPr>
            </w:pPr>
            <w:r>
              <w:rPr>
                <w:w w:val="99"/>
                <w:sz w:val="20"/>
              </w:rPr>
              <w:t>5</w:t>
            </w:r>
          </w:p>
        </w:tc>
        <w:tc>
          <w:tcPr>
            <w:tcW w:w="1278" w:type="dxa"/>
            <w:vMerge/>
            <w:tcBorders>
              <w:top w:val="nil"/>
              <w:right w:val="nil"/>
            </w:tcBorders>
          </w:tcPr>
          <w:p w14:paraId="27903CDF" w14:textId="77777777" w:rsidR="00DC6D9B" w:rsidRDefault="00DC6D9B" w:rsidP="00CD363C">
            <w:pPr>
              <w:spacing w:after="0" w:line="240" w:lineRule="auto"/>
              <w:ind w:right="124"/>
              <w:jc w:val="both"/>
              <w:rPr>
                <w:sz w:val="2"/>
                <w:szCs w:val="2"/>
              </w:rPr>
            </w:pPr>
          </w:p>
        </w:tc>
      </w:tr>
      <w:tr w:rsidR="00DC6D9B" w14:paraId="677D97FC" w14:textId="77777777" w:rsidTr="00535ACC">
        <w:trPr>
          <w:trHeight w:val="292"/>
        </w:trPr>
        <w:tc>
          <w:tcPr>
            <w:tcW w:w="2264" w:type="dxa"/>
          </w:tcPr>
          <w:p w14:paraId="2560BDC1" w14:textId="77777777" w:rsidR="00DC6D9B" w:rsidRDefault="00DC6D9B" w:rsidP="00CD363C">
            <w:pPr>
              <w:pStyle w:val="TableParagraph"/>
              <w:ind w:left="14" w:right="124"/>
              <w:jc w:val="both"/>
              <w:rPr>
                <w:b/>
                <w:sz w:val="20"/>
              </w:rPr>
            </w:pPr>
            <w:r>
              <w:rPr>
                <w:sz w:val="20"/>
              </w:rPr>
              <w:t>Diskonta faktors</w:t>
            </w:r>
            <w:r>
              <w:rPr>
                <w:b/>
                <w:sz w:val="20"/>
              </w:rPr>
              <w:t>*</w:t>
            </w:r>
          </w:p>
        </w:tc>
        <w:tc>
          <w:tcPr>
            <w:tcW w:w="1277" w:type="dxa"/>
          </w:tcPr>
          <w:p w14:paraId="0B5C5F5F" w14:textId="77777777" w:rsidR="00DC6D9B" w:rsidRDefault="00DC6D9B" w:rsidP="00CD363C">
            <w:pPr>
              <w:pStyle w:val="TableParagraph"/>
              <w:ind w:right="124"/>
              <w:jc w:val="both"/>
              <w:rPr>
                <w:sz w:val="20"/>
              </w:rPr>
            </w:pPr>
            <w:r>
              <w:rPr>
                <w:sz w:val="20"/>
              </w:rPr>
              <w:t>0,95</w:t>
            </w:r>
          </w:p>
        </w:tc>
        <w:tc>
          <w:tcPr>
            <w:tcW w:w="1133" w:type="dxa"/>
          </w:tcPr>
          <w:p w14:paraId="71C37336" w14:textId="77777777" w:rsidR="00DC6D9B" w:rsidRDefault="00DC6D9B" w:rsidP="00CD363C">
            <w:pPr>
              <w:pStyle w:val="TableParagraph"/>
              <w:ind w:right="124"/>
              <w:jc w:val="both"/>
              <w:rPr>
                <w:sz w:val="20"/>
              </w:rPr>
            </w:pPr>
            <w:r>
              <w:rPr>
                <w:sz w:val="20"/>
              </w:rPr>
              <w:t>0,91</w:t>
            </w:r>
          </w:p>
        </w:tc>
        <w:tc>
          <w:tcPr>
            <w:tcW w:w="1135" w:type="dxa"/>
          </w:tcPr>
          <w:p w14:paraId="7227C531" w14:textId="77777777" w:rsidR="00DC6D9B" w:rsidRDefault="00DC6D9B" w:rsidP="00CD363C">
            <w:pPr>
              <w:pStyle w:val="TableParagraph"/>
              <w:ind w:right="124"/>
              <w:jc w:val="both"/>
              <w:rPr>
                <w:sz w:val="20"/>
              </w:rPr>
            </w:pPr>
            <w:r>
              <w:rPr>
                <w:sz w:val="20"/>
              </w:rPr>
              <w:t>0,86</w:t>
            </w:r>
          </w:p>
        </w:tc>
        <w:tc>
          <w:tcPr>
            <w:tcW w:w="1136" w:type="dxa"/>
          </w:tcPr>
          <w:p w14:paraId="7AC4DC43" w14:textId="77777777" w:rsidR="00DC6D9B" w:rsidRDefault="00DC6D9B" w:rsidP="00CD363C">
            <w:pPr>
              <w:pStyle w:val="TableParagraph"/>
              <w:ind w:right="124"/>
              <w:jc w:val="both"/>
              <w:rPr>
                <w:sz w:val="20"/>
              </w:rPr>
            </w:pPr>
            <w:r>
              <w:rPr>
                <w:sz w:val="20"/>
              </w:rPr>
              <w:t>0,82</w:t>
            </w:r>
          </w:p>
        </w:tc>
        <w:tc>
          <w:tcPr>
            <w:tcW w:w="1275" w:type="dxa"/>
          </w:tcPr>
          <w:p w14:paraId="6D42F318" w14:textId="77777777" w:rsidR="00DC6D9B" w:rsidRDefault="00DC6D9B" w:rsidP="00CD363C">
            <w:pPr>
              <w:pStyle w:val="TableParagraph"/>
              <w:ind w:right="124"/>
              <w:jc w:val="both"/>
              <w:rPr>
                <w:sz w:val="20"/>
              </w:rPr>
            </w:pPr>
            <w:r>
              <w:rPr>
                <w:sz w:val="20"/>
              </w:rPr>
              <w:t>0,78</w:t>
            </w:r>
          </w:p>
        </w:tc>
        <w:tc>
          <w:tcPr>
            <w:tcW w:w="1278" w:type="dxa"/>
          </w:tcPr>
          <w:p w14:paraId="3C74CA31" w14:textId="77777777" w:rsidR="00DC6D9B" w:rsidRDefault="00DC6D9B" w:rsidP="00CD363C">
            <w:pPr>
              <w:pStyle w:val="TableParagraph"/>
              <w:ind w:right="124"/>
              <w:jc w:val="both"/>
              <w:rPr>
                <w:sz w:val="20"/>
              </w:rPr>
            </w:pPr>
            <w:r>
              <w:rPr>
                <w:w w:val="95"/>
                <w:sz w:val="20"/>
              </w:rPr>
              <w:t>Kopā:</w:t>
            </w:r>
          </w:p>
        </w:tc>
      </w:tr>
      <w:tr w:rsidR="00DC6D9B" w14:paraId="2DA70ED7" w14:textId="77777777" w:rsidTr="00535ACC">
        <w:trPr>
          <w:trHeight w:val="290"/>
        </w:trPr>
        <w:tc>
          <w:tcPr>
            <w:tcW w:w="2264" w:type="dxa"/>
          </w:tcPr>
          <w:p w14:paraId="583C84BF" w14:textId="77777777" w:rsidR="00DC6D9B" w:rsidRDefault="00DC6D9B" w:rsidP="00CD363C">
            <w:pPr>
              <w:pStyle w:val="TableParagraph"/>
              <w:ind w:left="14" w:right="124"/>
              <w:jc w:val="both"/>
              <w:rPr>
                <w:sz w:val="20"/>
              </w:rPr>
            </w:pPr>
            <w:r>
              <w:rPr>
                <w:sz w:val="20"/>
              </w:rPr>
              <w:t>Pašreizējā vērtība, EUR</w:t>
            </w:r>
          </w:p>
        </w:tc>
        <w:tc>
          <w:tcPr>
            <w:tcW w:w="1277" w:type="dxa"/>
          </w:tcPr>
          <w:p w14:paraId="24BD8A4D" w14:textId="77777777" w:rsidR="00DC6D9B" w:rsidRDefault="00DC6D9B" w:rsidP="00CD363C">
            <w:pPr>
              <w:pStyle w:val="TableParagraph"/>
              <w:ind w:right="124"/>
              <w:jc w:val="both"/>
              <w:rPr>
                <w:sz w:val="20"/>
              </w:rPr>
            </w:pPr>
            <w:r>
              <w:rPr>
                <w:sz w:val="20"/>
              </w:rPr>
              <w:t>2 095,24</w:t>
            </w:r>
          </w:p>
        </w:tc>
        <w:tc>
          <w:tcPr>
            <w:tcW w:w="1133" w:type="dxa"/>
          </w:tcPr>
          <w:p w14:paraId="166F6991" w14:textId="77777777" w:rsidR="00DC6D9B" w:rsidRDefault="00DC6D9B" w:rsidP="00CD363C">
            <w:pPr>
              <w:pStyle w:val="TableParagraph"/>
              <w:ind w:right="124"/>
              <w:jc w:val="both"/>
              <w:rPr>
                <w:sz w:val="20"/>
              </w:rPr>
            </w:pPr>
            <w:r>
              <w:rPr>
                <w:sz w:val="20"/>
              </w:rPr>
              <w:t>1 995,46</w:t>
            </w:r>
          </w:p>
        </w:tc>
        <w:tc>
          <w:tcPr>
            <w:tcW w:w="1135" w:type="dxa"/>
          </w:tcPr>
          <w:p w14:paraId="4B319EFD" w14:textId="77777777" w:rsidR="00DC6D9B" w:rsidRDefault="00DC6D9B" w:rsidP="00CD363C">
            <w:pPr>
              <w:pStyle w:val="TableParagraph"/>
              <w:ind w:right="124"/>
              <w:jc w:val="both"/>
              <w:rPr>
                <w:sz w:val="20"/>
              </w:rPr>
            </w:pPr>
            <w:r>
              <w:rPr>
                <w:sz w:val="20"/>
              </w:rPr>
              <w:t>1 900,44</w:t>
            </w:r>
          </w:p>
        </w:tc>
        <w:tc>
          <w:tcPr>
            <w:tcW w:w="1136" w:type="dxa"/>
          </w:tcPr>
          <w:p w14:paraId="49AD3C68" w14:textId="77777777" w:rsidR="00DC6D9B" w:rsidRDefault="00DC6D9B" w:rsidP="00CD363C">
            <w:pPr>
              <w:pStyle w:val="TableParagraph"/>
              <w:ind w:right="124"/>
              <w:jc w:val="both"/>
              <w:rPr>
                <w:sz w:val="20"/>
              </w:rPr>
            </w:pPr>
            <w:r>
              <w:rPr>
                <w:sz w:val="20"/>
              </w:rPr>
              <w:t>1 809,95</w:t>
            </w:r>
          </w:p>
        </w:tc>
        <w:tc>
          <w:tcPr>
            <w:tcW w:w="1275" w:type="dxa"/>
          </w:tcPr>
          <w:p w14:paraId="15F33C39" w14:textId="77777777" w:rsidR="00DC6D9B" w:rsidRDefault="00DC6D9B" w:rsidP="00CD363C">
            <w:pPr>
              <w:pStyle w:val="TableParagraph"/>
              <w:ind w:right="124"/>
              <w:jc w:val="both"/>
              <w:rPr>
                <w:sz w:val="20"/>
              </w:rPr>
            </w:pPr>
            <w:r>
              <w:rPr>
                <w:sz w:val="20"/>
              </w:rPr>
              <w:t>1 723,76</w:t>
            </w:r>
          </w:p>
        </w:tc>
        <w:tc>
          <w:tcPr>
            <w:tcW w:w="1278" w:type="dxa"/>
          </w:tcPr>
          <w:p w14:paraId="2F5A1366" w14:textId="77777777" w:rsidR="00DC6D9B" w:rsidRDefault="00DC6D9B" w:rsidP="00CD363C">
            <w:pPr>
              <w:pStyle w:val="TableParagraph"/>
              <w:ind w:right="124"/>
              <w:jc w:val="both"/>
              <w:rPr>
                <w:sz w:val="20"/>
              </w:rPr>
            </w:pPr>
            <w:r>
              <w:rPr>
                <w:sz w:val="20"/>
              </w:rPr>
              <w:t>9 524,85</w:t>
            </w:r>
          </w:p>
        </w:tc>
      </w:tr>
    </w:tbl>
    <w:p w14:paraId="7CF11F53" w14:textId="77777777" w:rsidR="00DC6D9B" w:rsidRDefault="00DC6D9B" w:rsidP="00CD363C">
      <w:pPr>
        <w:spacing w:after="0" w:line="240" w:lineRule="auto"/>
        <w:ind w:left="269" w:right="124"/>
        <w:jc w:val="both"/>
        <w:rPr>
          <w:i/>
          <w:sz w:val="20"/>
        </w:rPr>
      </w:pPr>
      <w:r>
        <w:rPr>
          <w:i/>
          <w:sz w:val="20"/>
        </w:rPr>
        <w:t>*Diskonta faktors= 1/(1+% likme)^gads pēc kārtas</w:t>
      </w:r>
    </w:p>
    <w:p w14:paraId="494BAF75" w14:textId="77777777" w:rsidR="00DC6D9B" w:rsidRDefault="00DC6D9B" w:rsidP="00CD363C">
      <w:pPr>
        <w:pStyle w:val="Pamatteksts"/>
        <w:ind w:right="124"/>
        <w:jc w:val="both"/>
        <w:rPr>
          <w:i/>
          <w:sz w:val="12"/>
        </w:rPr>
      </w:pPr>
    </w:p>
    <w:p w14:paraId="77970287" w14:textId="77777777" w:rsidR="00DC6D9B" w:rsidRDefault="00DC6D9B" w:rsidP="00CD363C">
      <w:pPr>
        <w:pStyle w:val="Sarakstarindkopa"/>
        <w:widowControl w:val="0"/>
        <w:numPr>
          <w:ilvl w:val="0"/>
          <w:numId w:val="33"/>
        </w:numPr>
        <w:tabs>
          <w:tab w:val="left" w:pos="5419"/>
        </w:tabs>
        <w:autoSpaceDE w:val="0"/>
        <w:autoSpaceDN w:val="0"/>
        <w:spacing w:after="0" w:line="240" w:lineRule="auto"/>
        <w:ind w:left="5418" w:right="124" w:hanging="151"/>
        <w:contextualSpacing w:val="0"/>
        <w:jc w:val="both"/>
        <w:rPr>
          <w:i/>
          <w:sz w:val="20"/>
        </w:rPr>
      </w:pPr>
      <w:r>
        <w:rPr>
          <w:i/>
          <w:sz w:val="20"/>
        </w:rPr>
        <w:t>tabula. Procentu izdevumu un nomas saistību</w:t>
      </w:r>
      <w:r>
        <w:rPr>
          <w:i/>
          <w:spacing w:val="-11"/>
          <w:sz w:val="20"/>
        </w:rPr>
        <w:t xml:space="preserve"> </w:t>
      </w:r>
      <w:r>
        <w:rPr>
          <w:i/>
          <w:sz w:val="20"/>
        </w:rPr>
        <w:t>aprēķins</w:t>
      </w: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718"/>
        <w:gridCol w:w="2113"/>
        <w:gridCol w:w="1109"/>
        <w:gridCol w:w="1280"/>
        <w:gridCol w:w="1724"/>
        <w:gridCol w:w="1107"/>
        <w:gridCol w:w="1491"/>
      </w:tblGrid>
      <w:tr w:rsidR="00DC6D9B" w14:paraId="30630CB4" w14:textId="77777777" w:rsidTr="00535ACC">
        <w:trPr>
          <w:trHeight w:val="945"/>
        </w:trPr>
        <w:tc>
          <w:tcPr>
            <w:tcW w:w="718" w:type="dxa"/>
            <w:shd w:val="clear" w:color="auto" w:fill="F1F1F1"/>
          </w:tcPr>
          <w:p w14:paraId="7748EBE0" w14:textId="77777777" w:rsidR="00DC6D9B" w:rsidRDefault="00DC6D9B" w:rsidP="00CD363C">
            <w:pPr>
              <w:pStyle w:val="TableParagraph"/>
              <w:ind w:right="124"/>
              <w:jc w:val="both"/>
              <w:rPr>
                <w:i/>
                <w:sz w:val="31"/>
              </w:rPr>
            </w:pPr>
          </w:p>
          <w:p w14:paraId="438DF3E0" w14:textId="77777777" w:rsidR="00DC6D9B" w:rsidRDefault="00DC6D9B" w:rsidP="00CD363C">
            <w:pPr>
              <w:pStyle w:val="TableParagraph"/>
              <w:ind w:left="87" w:right="124"/>
              <w:jc w:val="both"/>
              <w:rPr>
                <w:b/>
                <w:sz w:val="20"/>
              </w:rPr>
            </w:pPr>
            <w:r>
              <w:rPr>
                <w:b/>
                <w:sz w:val="20"/>
              </w:rPr>
              <w:t>Gads</w:t>
            </w:r>
          </w:p>
        </w:tc>
        <w:tc>
          <w:tcPr>
            <w:tcW w:w="2113" w:type="dxa"/>
            <w:shd w:val="clear" w:color="auto" w:fill="F1F1F1"/>
          </w:tcPr>
          <w:p w14:paraId="37D1A9D3" w14:textId="77777777" w:rsidR="00DC6D9B" w:rsidRDefault="00DC6D9B" w:rsidP="00CD363C">
            <w:pPr>
              <w:pStyle w:val="TableParagraph"/>
              <w:ind w:left="160" w:right="124"/>
              <w:jc w:val="both"/>
              <w:rPr>
                <w:b/>
                <w:sz w:val="20"/>
              </w:rPr>
            </w:pPr>
            <w:r>
              <w:rPr>
                <w:b/>
                <w:sz w:val="20"/>
              </w:rPr>
              <w:t>Saistību atlikums uz gada beigām pirms atmaksas un % aprēķina, EUR</w:t>
            </w:r>
          </w:p>
        </w:tc>
        <w:tc>
          <w:tcPr>
            <w:tcW w:w="1109" w:type="dxa"/>
            <w:shd w:val="clear" w:color="auto" w:fill="F1F1F1"/>
          </w:tcPr>
          <w:p w14:paraId="016CC824" w14:textId="77777777" w:rsidR="00DC6D9B" w:rsidRDefault="00DC6D9B" w:rsidP="00CD363C">
            <w:pPr>
              <w:pStyle w:val="TableParagraph"/>
              <w:ind w:left="90" w:right="124"/>
              <w:jc w:val="both"/>
              <w:rPr>
                <w:b/>
                <w:sz w:val="20"/>
              </w:rPr>
            </w:pPr>
            <w:r>
              <w:rPr>
                <w:b/>
                <w:sz w:val="20"/>
              </w:rPr>
              <w:t xml:space="preserve">Procentu </w:t>
            </w:r>
            <w:r>
              <w:rPr>
                <w:b/>
                <w:w w:val="95"/>
                <w:sz w:val="20"/>
              </w:rPr>
              <w:t xml:space="preserve">izdevumi, </w:t>
            </w:r>
            <w:r>
              <w:rPr>
                <w:b/>
                <w:sz w:val="20"/>
              </w:rPr>
              <w:t>EUR</w:t>
            </w:r>
          </w:p>
        </w:tc>
        <w:tc>
          <w:tcPr>
            <w:tcW w:w="1280" w:type="dxa"/>
            <w:shd w:val="clear" w:color="auto" w:fill="F1F1F1"/>
          </w:tcPr>
          <w:p w14:paraId="4546C14E" w14:textId="77777777" w:rsidR="00DC6D9B" w:rsidRDefault="00DC6D9B" w:rsidP="00CD363C">
            <w:pPr>
              <w:pStyle w:val="TableParagraph"/>
              <w:ind w:left="106" w:right="124" w:firstLine="2"/>
              <w:jc w:val="both"/>
              <w:rPr>
                <w:b/>
                <w:sz w:val="20"/>
              </w:rPr>
            </w:pPr>
            <w:r>
              <w:rPr>
                <w:b/>
                <w:sz w:val="20"/>
              </w:rPr>
              <w:t xml:space="preserve">Nomas </w:t>
            </w:r>
            <w:r>
              <w:rPr>
                <w:b/>
                <w:spacing w:val="-1"/>
                <w:sz w:val="20"/>
              </w:rPr>
              <w:t xml:space="preserve">maksājumi, </w:t>
            </w:r>
            <w:r>
              <w:rPr>
                <w:b/>
                <w:sz w:val="20"/>
              </w:rPr>
              <w:t>EUR</w:t>
            </w:r>
          </w:p>
        </w:tc>
        <w:tc>
          <w:tcPr>
            <w:tcW w:w="1724" w:type="dxa"/>
            <w:shd w:val="clear" w:color="auto" w:fill="F1F1F1"/>
          </w:tcPr>
          <w:p w14:paraId="467297F7" w14:textId="77777777" w:rsidR="00DC6D9B" w:rsidRDefault="00DC6D9B" w:rsidP="00CD363C">
            <w:pPr>
              <w:pStyle w:val="TableParagraph"/>
              <w:ind w:left="187" w:right="124" w:hanging="1"/>
              <w:jc w:val="both"/>
              <w:rPr>
                <w:b/>
                <w:sz w:val="20"/>
              </w:rPr>
            </w:pPr>
            <w:r>
              <w:rPr>
                <w:b/>
                <w:sz w:val="20"/>
              </w:rPr>
              <w:t>Saistības pārskata perioda beigās, EUR</w:t>
            </w:r>
          </w:p>
        </w:tc>
        <w:tc>
          <w:tcPr>
            <w:tcW w:w="1107" w:type="dxa"/>
            <w:shd w:val="clear" w:color="auto" w:fill="F1F1F1"/>
          </w:tcPr>
          <w:p w14:paraId="353CC0BD" w14:textId="77777777" w:rsidR="00DC6D9B" w:rsidRDefault="00DC6D9B" w:rsidP="00CD363C">
            <w:pPr>
              <w:pStyle w:val="TableParagraph"/>
              <w:ind w:left="310" w:right="124" w:hanging="204"/>
              <w:jc w:val="both"/>
              <w:rPr>
                <w:b/>
                <w:sz w:val="20"/>
              </w:rPr>
            </w:pPr>
            <w:r>
              <w:rPr>
                <w:b/>
                <w:w w:val="95"/>
                <w:sz w:val="20"/>
              </w:rPr>
              <w:t xml:space="preserve">Īstermiņa </w:t>
            </w:r>
            <w:r>
              <w:rPr>
                <w:b/>
                <w:sz w:val="20"/>
              </w:rPr>
              <w:t>daļa, EUR</w:t>
            </w:r>
          </w:p>
        </w:tc>
        <w:tc>
          <w:tcPr>
            <w:tcW w:w="1491" w:type="dxa"/>
            <w:shd w:val="clear" w:color="auto" w:fill="F1F1F1"/>
          </w:tcPr>
          <w:p w14:paraId="76BADC9D" w14:textId="77777777" w:rsidR="00DC6D9B" w:rsidRDefault="00DC6D9B" w:rsidP="00CD363C">
            <w:pPr>
              <w:pStyle w:val="TableParagraph"/>
              <w:ind w:right="124"/>
              <w:jc w:val="both"/>
              <w:rPr>
                <w:i/>
                <w:sz w:val="21"/>
              </w:rPr>
            </w:pPr>
          </w:p>
          <w:p w14:paraId="79AE5796" w14:textId="77777777" w:rsidR="00DC6D9B" w:rsidRDefault="00DC6D9B" w:rsidP="00CD363C">
            <w:pPr>
              <w:pStyle w:val="TableParagraph"/>
              <w:ind w:left="268" w:right="124" w:hanging="10"/>
              <w:jc w:val="both"/>
              <w:rPr>
                <w:b/>
                <w:sz w:val="20"/>
              </w:rPr>
            </w:pPr>
            <w:r>
              <w:rPr>
                <w:b/>
                <w:w w:val="95"/>
                <w:sz w:val="20"/>
              </w:rPr>
              <w:t xml:space="preserve">Ilgtermiņa </w:t>
            </w:r>
            <w:r>
              <w:rPr>
                <w:b/>
                <w:sz w:val="20"/>
              </w:rPr>
              <w:t>daļa, EUR</w:t>
            </w:r>
          </w:p>
        </w:tc>
      </w:tr>
      <w:tr w:rsidR="00DC6D9B" w14:paraId="75B345CA" w14:textId="77777777" w:rsidTr="00535ACC">
        <w:trPr>
          <w:trHeight w:val="275"/>
        </w:trPr>
        <w:tc>
          <w:tcPr>
            <w:tcW w:w="718" w:type="dxa"/>
            <w:shd w:val="clear" w:color="auto" w:fill="F1F1F1"/>
          </w:tcPr>
          <w:p w14:paraId="62EB2EEE" w14:textId="77777777" w:rsidR="00DC6D9B" w:rsidRDefault="00DC6D9B" w:rsidP="00CD363C">
            <w:pPr>
              <w:pStyle w:val="TableParagraph"/>
              <w:ind w:right="124"/>
              <w:jc w:val="both"/>
              <w:rPr>
                <w:b/>
                <w:sz w:val="20"/>
              </w:rPr>
            </w:pPr>
            <w:r>
              <w:rPr>
                <w:b/>
                <w:w w:val="99"/>
                <w:sz w:val="20"/>
              </w:rPr>
              <w:t>1</w:t>
            </w:r>
          </w:p>
        </w:tc>
        <w:tc>
          <w:tcPr>
            <w:tcW w:w="2113" w:type="dxa"/>
            <w:shd w:val="clear" w:color="auto" w:fill="F1F1F1"/>
          </w:tcPr>
          <w:p w14:paraId="73743C9F" w14:textId="77777777" w:rsidR="00DC6D9B" w:rsidRDefault="00DC6D9B" w:rsidP="00CD363C">
            <w:pPr>
              <w:pStyle w:val="TableParagraph"/>
              <w:ind w:right="124"/>
              <w:jc w:val="both"/>
              <w:rPr>
                <w:b/>
                <w:sz w:val="20"/>
              </w:rPr>
            </w:pPr>
            <w:r>
              <w:rPr>
                <w:b/>
                <w:w w:val="99"/>
                <w:sz w:val="20"/>
              </w:rPr>
              <w:t>2</w:t>
            </w:r>
          </w:p>
        </w:tc>
        <w:tc>
          <w:tcPr>
            <w:tcW w:w="1109" w:type="dxa"/>
            <w:shd w:val="clear" w:color="auto" w:fill="F1F1F1"/>
          </w:tcPr>
          <w:p w14:paraId="4D4689A3" w14:textId="77777777" w:rsidR="00DC6D9B" w:rsidRDefault="00DC6D9B" w:rsidP="00CD363C">
            <w:pPr>
              <w:pStyle w:val="TableParagraph"/>
              <w:ind w:right="124"/>
              <w:jc w:val="both"/>
              <w:rPr>
                <w:b/>
                <w:sz w:val="20"/>
              </w:rPr>
            </w:pPr>
            <w:r>
              <w:rPr>
                <w:b/>
                <w:sz w:val="20"/>
              </w:rPr>
              <w:t>3=2*5%</w:t>
            </w:r>
          </w:p>
        </w:tc>
        <w:tc>
          <w:tcPr>
            <w:tcW w:w="1280" w:type="dxa"/>
            <w:shd w:val="clear" w:color="auto" w:fill="F1F1F1"/>
          </w:tcPr>
          <w:p w14:paraId="261AFF05" w14:textId="77777777" w:rsidR="00DC6D9B" w:rsidRDefault="00DC6D9B" w:rsidP="00CD363C">
            <w:pPr>
              <w:pStyle w:val="TableParagraph"/>
              <w:ind w:right="124"/>
              <w:jc w:val="both"/>
              <w:rPr>
                <w:b/>
                <w:sz w:val="20"/>
              </w:rPr>
            </w:pPr>
            <w:r>
              <w:rPr>
                <w:b/>
                <w:w w:val="99"/>
                <w:sz w:val="20"/>
              </w:rPr>
              <w:t>4</w:t>
            </w:r>
          </w:p>
        </w:tc>
        <w:tc>
          <w:tcPr>
            <w:tcW w:w="1724" w:type="dxa"/>
            <w:shd w:val="clear" w:color="auto" w:fill="F1F1F1"/>
          </w:tcPr>
          <w:p w14:paraId="74B61D42" w14:textId="77777777" w:rsidR="00DC6D9B" w:rsidRDefault="00DC6D9B" w:rsidP="00CD363C">
            <w:pPr>
              <w:pStyle w:val="TableParagraph"/>
              <w:ind w:left="485" w:right="124"/>
              <w:jc w:val="both"/>
              <w:rPr>
                <w:b/>
                <w:sz w:val="20"/>
              </w:rPr>
            </w:pPr>
            <w:r>
              <w:rPr>
                <w:b/>
                <w:sz w:val="20"/>
              </w:rPr>
              <w:t>5=2+3-4</w:t>
            </w:r>
          </w:p>
        </w:tc>
        <w:tc>
          <w:tcPr>
            <w:tcW w:w="1107" w:type="dxa"/>
            <w:shd w:val="clear" w:color="auto" w:fill="F1F1F1"/>
          </w:tcPr>
          <w:p w14:paraId="098D60E5" w14:textId="77777777" w:rsidR="00DC6D9B" w:rsidRDefault="00DC6D9B" w:rsidP="00CD363C">
            <w:pPr>
              <w:pStyle w:val="TableParagraph"/>
              <w:ind w:right="124"/>
              <w:jc w:val="both"/>
              <w:rPr>
                <w:b/>
                <w:sz w:val="20"/>
              </w:rPr>
            </w:pPr>
            <w:r>
              <w:rPr>
                <w:b/>
                <w:w w:val="99"/>
                <w:sz w:val="20"/>
              </w:rPr>
              <w:t>6</w:t>
            </w:r>
          </w:p>
        </w:tc>
        <w:tc>
          <w:tcPr>
            <w:tcW w:w="1491" w:type="dxa"/>
            <w:shd w:val="clear" w:color="auto" w:fill="F1F1F1"/>
          </w:tcPr>
          <w:p w14:paraId="0FCAE4AC" w14:textId="77777777" w:rsidR="00DC6D9B" w:rsidRDefault="00DC6D9B" w:rsidP="00CD363C">
            <w:pPr>
              <w:pStyle w:val="TableParagraph"/>
              <w:ind w:left="662" w:right="124"/>
              <w:jc w:val="both"/>
              <w:rPr>
                <w:b/>
                <w:sz w:val="20"/>
              </w:rPr>
            </w:pPr>
            <w:r>
              <w:rPr>
                <w:b/>
                <w:w w:val="99"/>
                <w:sz w:val="20"/>
              </w:rPr>
              <w:t>7</w:t>
            </w:r>
          </w:p>
        </w:tc>
      </w:tr>
      <w:tr w:rsidR="00DC6D9B" w14:paraId="0609873D" w14:textId="77777777" w:rsidTr="00535ACC">
        <w:trPr>
          <w:trHeight w:val="275"/>
        </w:trPr>
        <w:tc>
          <w:tcPr>
            <w:tcW w:w="718" w:type="dxa"/>
          </w:tcPr>
          <w:p w14:paraId="79895622" w14:textId="77777777" w:rsidR="00DC6D9B" w:rsidRDefault="00DC6D9B" w:rsidP="00CD363C">
            <w:pPr>
              <w:pStyle w:val="TableParagraph"/>
              <w:ind w:left="49" w:right="124"/>
              <w:jc w:val="both"/>
              <w:rPr>
                <w:sz w:val="20"/>
              </w:rPr>
            </w:pPr>
            <w:r>
              <w:rPr>
                <w:sz w:val="20"/>
              </w:rPr>
              <w:t>2019</w:t>
            </w:r>
          </w:p>
        </w:tc>
        <w:tc>
          <w:tcPr>
            <w:tcW w:w="2113" w:type="dxa"/>
          </w:tcPr>
          <w:p w14:paraId="24BA4B04" w14:textId="77777777" w:rsidR="00DC6D9B" w:rsidRDefault="00DC6D9B" w:rsidP="00CD363C">
            <w:pPr>
              <w:pStyle w:val="TableParagraph"/>
              <w:ind w:right="124"/>
              <w:jc w:val="both"/>
              <w:rPr>
                <w:sz w:val="20"/>
              </w:rPr>
            </w:pPr>
            <w:r>
              <w:rPr>
                <w:sz w:val="20"/>
              </w:rPr>
              <w:t>9 524,85</w:t>
            </w:r>
          </w:p>
        </w:tc>
        <w:tc>
          <w:tcPr>
            <w:tcW w:w="1109" w:type="dxa"/>
          </w:tcPr>
          <w:p w14:paraId="19DCAB40" w14:textId="77777777" w:rsidR="00DC6D9B" w:rsidRDefault="00DC6D9B" w:rsidP="00CD363C">
            <w:pPr>
              <w:pStyle w:val="TableParagraph"/>
              <w:ind w:right="124"/>
              <w:jc w:val="both"/>
              <w:rPr>
                <w:sz w:val="20"/>
              </w:rPr>
            </w:pPr>
            <w:r>
              <w:rPr>
                <w:w w:val="95"/>
                <w:sz w:val="20"/>
              </w:rPr>
              <w:t>476,24</w:t>
            </w:r>
          </w:p>
        </w:tc>
        <w:tc>
          <w:tcPr>
            <w:tcW w:w="1280" w:type="dxa"/>
          </w:tcPr>
          <w:p w14:paraId="41A28513" w14:textId="77777777" w:rsidR="00DC6D9B" w:rsidRDefault="00DC6D9B" w:rsidP="00CD363C">
            <w:pPr>
              <w:pStyle w:val="TableParagraph"/>
              <w:ind w:right="124"/>
              <w:jc w:val="both"/>
              <w:rPr>
                <w:sz w:val="20"/>
              </w:rPr>
            </w:pPr>
            <w:r>
              <w:rPr>
                <w:sz w:val="20"/>
              </w:rPr>
              <w:t>2 200,00</w:t>
            </w:r>
          </w:p>
        </w:tc>
        <w:tc>
          <w:tcPr>
            <w:tcW w:w="1724" w:type="dxa"/>
          </w:tcPr>
          <w:p w14:paraId="12D8070B" w14:textId="77777777" w:rsidR="00DC6D9B" w:rsidRDefault="00DC6D9B" w:rsidP="00CD363C">
            <w:pPr>
              <w:pStyle w:val="TableParagraph"/>
              <w:ind w:right="124"/>
              <w:jc w:val="both"/>
              <w:rPr>
                <w:sz w:val="20"/>
              </w:rPr>
            </w:pPr>
            <w:r>
              <w:rPr>
                <w:sz w:val="20"/>
              </w:rPr>
              <w:t>7 801,09</w:t>
            </w:r>
          </w:p>
        </w:tc>
        <w:tc>
          <w:tcPr>
            <w:tcW w:w="1107" w:type="dxa"/>
          </w:tcPr>
          <w:p w14:paraId="0492DC02" w14:textId="77777777" w:rsidR="00DC6D9B" w:rsidRDefault="00DC6D9B" w:rsidP="00CD363C">
            <w:pPr>
              <w:pStyle w:val="TableParagraph"/>
              <w:ind w:left="218" w:right="124"/>
              <w:jc w:val="both"/>
              <w:rPr>
                <w:sz w:val="20"/>
              </w:rPr>
            </w:pPr>
            <w:r>
              <w:rPr>
                <w:sz w:val="20"/>
              </w:rPr>
              <w:t>1 809,95</w:t>
            </w:r>
          </w:p>
        </w:tc>
        <w:tc>
          <w:tcPr>
            <w:tcW w:w="1491" w:type="dxa"/>
          </w:tcPr>
          <w:p w14:paraId="110EF63F" w14:textId="77777777" w:rsidR="00DC6D9B" w:rsidRDefault="00DC6D9B" w:rsidP="00CD363C">
            <w:pPr>
              <w:pStyle w:val="TableParagraph"/>
              <w:ind w:left="621" w:right="124"/>
              <w:jc w:val="both"/>
              <w:rPr>
                <w:sz w:val="20"/>
              </w:rPr>
            </w:pPr>
            <w:r>
              <w:rPr>
                <w:sz w:val="20"/>
              </w:rPr>
              <w:t>5 991,15</w:t>
            </w:r>
          </w:p>
        </w:tc>
      </w:tr>
      <w:tr w:rsidR="00DC6D9B" w14:paraId="04EF91C6" w14:textId="77777777" w:rsidTr="00535ACC">
        <w:trPr>
          <w:trHeight w:val="275"/>
        </w:trPr>
        <w:tc>
          <w:tcPr>
            <w:tcW w:w="718" w:type="dxa"/>
          </w:tcPr>
          <w:p w14:paraId="3695D30D" w14:textId="77777777" w:rsidR="00DC6D9B" w:rsidRDefault="00DC6D9B" w:rsidP="00CD363C">
            <w:pPr>
              <w:pStyle w:val="TableParagraph"/>
              <w:ind w:left="49" w:right="124"/>
              <w:jc w:val="both"/>
              <w:rPr>
                <w:sz w:val="20"/>
              </w:rPr>
            </w:pPr>
            <w:r>
              <w:rPr>
                <w:sz w:val="20"/>
              </w:rPr>
              <w:t>2020</w:t>
            </w:r>
          </w:p>
        </w:tc>
        <w:tc>
          <w:tcPr>
            <w:tcW w:w="2113" w:type="dxa"/>
          </w:tcPr>
          <w:p w14:paraId="2CCE73CA" w14:textId="77777777" w:rsidR="00DC6D9B" w:rsidRDefault="00DC6D9B" w:rsidP="00CD363C">
            <w:pPr>
              <w:pStyle w:val="TableParagraph"/>
              <w:ind w:right="124"/>
              <w:jc w:val="both"/>
              <w:rPr>
                <w:sz w:val="20"/>
              </w:rPr>
            </w:pPr>
            <w:r>
              <w:rPr>
                <w:sz w:val="20"/>
              </w:rPr>
              <w:t>7 801,09</w:t>
            </w:r>
          </w:p>
        </w:tc>
        <w:tc>
          <w:tcPr>
            <w:tcW w:w="1109" w:type="dxa"/>
          </w:tcPr>
          <w:p w14:paraId="073CCC9A" w14:textId="77777777" w:rsidR="00DC6D9B" w:rsidRDefault="00DC6D9B" w:rsidP="00CD363C">
            <w:pPr>
              <w:pStyle w:val="TableParagraph"/>
              <w:ind w:right="124"/>
              <w:jc w:val="both"/>
              <w:rPr>
                <w:sz w:val="20"/>
              </w:rPr>
            </w:pPr>
            <w:r>
              <w:rPr>
                <w:w w:val="95"/>
                <w:sz w:val="20"/>
              </w:rPr>
              <w:t>390,05</w:t>
            </w:r>
          </w:p>
        </w:tc>
        <w:tc>
          <w:tcPr>
            <w:tcW w:w="1280" w:type="dxa"/>
          </w:tcPr>
          <w:p w14:paraId="4281D69C" w14:textId="77777777" w:rsidR="00DC6D9B" w:rsidRDefault="00DC6D9B" w:rsidP="00CD363C">
            <w:pPr>
              <w:pStyle w:val="TableParagraph"/>
              <w:ind w:right="124"/>
              <w:jc w:val="both"/>
              <w:rPr>
                <w:sz w:val="20"/>
              </w:rPr>
            </w:pPr>
            <w:r>
              <w:rPr>
                <w:sz w:val="20"/>
              </w:rPr>
              <w:t>2 200,00</w:t>
            </w:r>
          </w:p>
        </w:tc>
        <w:tc>
          <w:tcPr>
            <w:tcW w:w="1724" w:type="dxa"/>
          </w:tcPr>
          <w:p w14:paraId="0A12EE06" w14:textId="77777777" w:rsidR="00DC6D9B" w:rsidRDefault="00DC6D9B" w:rsidP="00CD363C">
            <w:pPr>
              <w:pStyle w:val="TableParagraph"/>
              <w:ind w:right="124"/>
              <w:jc w:val="both"/>
              <w:rPr>
                <w:sz w:val="20"/>
              </w:rPr>
            </w:pPr>
            <w:r>
              <w:rPr>
                <w:sz w:val="20"/>
              </w:rPr>
              <w:t>5 991,15</w:t>
            </w:r>
          </w:p>
        </w:tc>
        <w:tc>
          <w:tcPr>
            <w:tcW w:w="1107" w:type="dxa"/>
          </w:tcPr>
          <w:p w14:paraId="13421D5F" w14:textId="77777777" w:rsidR="00DC6D9B" w:rsidRDefault="00DC6D9B" w:rsidP="00CD363C">
            <w:pPr>
              <w:pStyle w:val="TableParagraph"/>
              <w:ind w:left="218" w:right="124"/>
              <w:jc w:val="both"/>
              <w:rPr>
                <w:sz w:val="20"/>
              </w:rPr>
            </w:pPr>
            <w:r>
              <w:rPr>
                <w:sz w:val="20"/>
              </w:rPr>
              <w:t>1 900,44</w:t>
            </w:r>
          </w:p>
        </w:tc>
        <w:tc>
          <w:tcPr>
            <w:tcW w:w="1491" w:type="dxa"/>
          </w:tcPr>
          <w:p w14:paraId="6A6D7A09" w14:textId="77777777" w:rsidR="00DC6D9B" w:rsidRDefault="00DC6D9B" w:rsidP="00CD363C">
            <w:pPr>
              <w:pStyle w:val="TableParagraph"/>
              <w:ind w:left="621" w:right="124"/>
              <w:jc w:val="both"/>
              <w:rPr>
                <w:sz w:val="20"/>
              </w:rPr>
            </w:pPr>
            <w:r>
              <w:rPr>
                <w:sz w:val="20"/>
              </w:rPr>
              <w:t>4 090,70</w:t>
            </w:r>
          </w:p>
        </w:tc>
      </w:tr>
    </w:tbl>
    <w:p w14:paraId="75B81EFC" w14:textId="77777777" w:rsidR="00DC6D9B" w:rsidRDefault="00DC6D9B" w:rsidP="00CD363C">
      <w:pPr>
        <w:spacing w:after="0" w:line="240" w:lineRule="auto"/>
        <w:ind w:right="124"/>
        <w:jc w:val="both"/>
        <w:rPr>
          <w:sz w:val="20"/>
        </w:rPr>
        <w:sectPr w:rsidR="00DC6D9B">
          <w:type w:val="continuous"/>
          <w:pgSz w:w="11910" w:h="16840"/>
          <w:pgMar w:top="840" w:right="680" w:bottom="740" w:left="1200" w:header="720" w:footer="72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718"/>
        <w:gridCol w:w="2113"/>
        <w:gridCol w:w="1109"/>
        <w:gridCol w:w="1280"/>
        <w:gridCol w:w="1724"/>
        <w:gridCol w:w="1107"/>
        <w:gridCol w:w="1491"/>
      </w:tblGrid>
      <w:tr w:rsidR="00DC6D9B" w14:paraId="77901B0B" w14:textId="77777777" w:rsidTr="00535ACC">
        <w:trPr>
          <w:trHeight w:val="945"/>
        </w:trPr>
        <w:tc>
          <w:tcPr>
            <w:tcW w:w="718" w:type="dxa"/>
            <w:shd w:val="clear" w:color="auto" w:fill="F1F1F1"/>
          </w:tcPr>
          <w:p w14:paraId="3389A362" w14:textId="77777777" w:rsidR="00DC6D9B" w:rsidRDefault="00DC6D9B" w:rsidP="00CD363C">
            <w:pPr>
              <w:pStyle w:val="TableParagraph"/>
              <w:ind w:right="124"/>
              <w:jc w:val="both"/>
              <w:rPr>
                <w:i/>
                <w:sz w:val="30"/>
              </w:rPr>
            </w:pPr>
          </w:p>
          <w:p w14:paraId="424DA791" w14:textId="77777777" w:rsidR="00DC6D9B" w:rsidRDefault="00DC6D9B" w:rsidP="00CD363C">
            <w:pPr>
              <w:pStyle w:val="TableParagraph"/>
              <w:ind w:left="87" w:right="124"/>
              <w:jc w:val="both"/>
              <w:rPr>
                <w:b/>
                <w:sz w:val="20"/>
              </w:rPr>
            </w:pPr>
            <w:r>
              <w:rPr>
                <w:b/>
                <w:sz w:val="20"/>
              </w:rPr>
              <w:t>Gads</w:t>
            </w:r>
          </w:p>
        </w:tc>
        <w:tc>
          <w:tcPr>
            <w:tcW w:w="2113" w:type="dxa"/>
            <w:shd w:val="clear" w:color="auto" w:fill="F1F1F1"/>
          </w:tcPr>
          <w:p w14:paraId="38222BA9" w14:textId="77777777" w:rsidR="00DC6D9B" w:rsidRDefault="00DC6D9B" w:rsidP="00CD363C">
            <w:pPr>
              <w:pStyle w:val="TableParagraph"/>
              <w:ind w:left="160" w:right="124"/>
              <w:jc w:val="both"/>
              <w:rPr>
                <w:b/>
                <w:sz w:val="20"/>
              </w:rPr>
            </w:pPr>
            <w:r>
              <w:rPr>
                <w:b/>
                <w:sz w:val="20"/>
              </w:rPr>
              <w:t>Saistību atlikums uz gada beigām pirms atmaksas un % aprēķina, EUR</w:t>
            </w:r>
          </w:p>
        </w:tc>
        <w:tc>
          <w:tcPr>
            <w:tcW w:w="1109" w:type="dxa"/>
            <w:shd w:val="clear" w:color="auto" w:fill="F1F1F1"/>
          </w:tcPr>
          <w:p w14:paraId="11F1BEE6" w14:textId="77777777" w:rsidR="00DC6D9B" w:rsidRDefault="00DC6D9B" w:rsidP="00CD363C">
            <w:pPr>
              <w:pStyle w:val="TableParagraph"/>
              <w:ind w:left="90" w:right="124"/>
              <w:jc w:val="both"/>
              <w:rPr>
                <w:b/>
                <w:sz w:val="20"/>
              </w:rPr>
            </w:pPr>
            <w:r>
              <w:rPr>
                <w:b/>
                <w:sz w:val="20"/>
              </w:rPr>
              <w:t xml:space="preserve">Procentu </w:t>
            </w:r>
            <w:r>
              <w:rPr>
                <w:b/>
                <w:w w:val="95"/>
                <w:sz w:val="20"/>
              </w:rPr>
              <w:t xml:space="preserve">izdevumi, </w:t>
            </w:r>
            <w:r>
              <w:rPr>
                <w:b/>
                <w:sz w:val="20"/>
              </w:rPr>
              <w:t>EUR</w:t>
            </w:r>
          </w:p>
        </w:tc>
        <w:tc>
          <w:tcPr>
            <w:tcW w:w="1280" w:type="dxa"/>
            <w:shd w:val="clear" w:color="auto" w:fill="F1F1F1"/>
          </w:tcPr>
          <w:p w14:paraId="0235427E" w14:textId="77777777" w:rsidR="00DC6D9B" w:rsidRDefault="00DC6D9B" w:rsidP="00CD363C">
            <w:pPr>
              <w:pStyle w:val="TableParagraph"/>
              <w:ind w:left="106" w:right="124" w:firstLine="2"/>
              <w:jc w:val="both"/>
              <w:rPr>
                <w:b/>
                <w:sz w:val="20"/>
              </w:rPr>
            </w:pPr>
            <w:r>
              <w:rPr>
                <w:b/>
                <w:sz w:val="20"/>
              </w:rPr>
              <w:t xml:space="preserve">Nomas </w:t>
            </w:r>
            <w:r>
              <w:rPr>
                <w:b/>
                <w:spacing w:val="-1"/>
                <w:sz w:val="20"/>
              </w:rPr>
              <w:t xml:space="preserve">maksājumi, </w:t>
            </w:r>
            <w:r>
              <w:rPr>
                <w:b/>
                <w:sz w:val="20"/>
              </w:rPr>
              <w:t>EUR</w:t>
            </w:r>
          </w:p>
        </w:tc>
        <w:tc>
          <w:tcPr>
            <w:tcW w:w="1724" w:type="dxa"/>
            <w:shd w:val="clear" w:color="auto" w:fill="F1F1F1"/>
          </w:tcPr>
          <w:p w14:paraId="50449372" w14:textId="77777777" w:rsidR="00DC6D9B" w:rsidRDefault="00DC6D9B" w:rsidP="00CD363C">
            <w:pPr>
              <w:pStyle w:val="TableParagraph"/>
              <w:ind w:left="187" w:right="124" w:hanging="1"/>
              <w:jc w:val="both"/>
              <w:rPr>
                <w:b/>
                <w:sz w:val="20"/>
              </w:rPr>
            </w:pPr>
            <w:r>
              <w:rPr>
                <w:b/>
                <w:sz w:val="20"/>
              </w:rPr>
              <w:t>Saistības pārskata perioda beigās, EUR</w:t>
            </w:r>
          </w:p>
        </w:tc>
        <w:tc>
          <w:tcPr>
            <w:tcW w:w="1107" w:type="dxa"/>
            <w:shd w:val="clear" w:color="auto" w:fill="F1F1F1"/>
          </w:tcPr>
          <w:p w14:paraId="71D954AE" w14:textId="77777777" w:rsidR="00DC6D9B" w:rsidRDefault="00DC6D9B" w:rsidP="00CD363C">
            <w:pPr>
              <w:pStyle w:val="TableParagraph"/>
              <w:ind w:left="310" w:right="124" w:hanging="204"/>
              <w:jc w:val="both"/>
              <w:rPr>
                <w:b/>
                <w:sz w:val="20"/>
              </w:rPr>
            </w:pPr>
            <w:r>
              <w:rPr>
                <w:b/>
                <w:w w:val="95"/>
                <w:sz w:val="20"/>
              </w:rPr>
              <w:t xml:space="preserve">Īstermiņa </w:t>
            </w:r>
            <w:r>
              <w:rPr>
                <w:b/>
                <w:sz w:val="20"/>
              </w:rPr>
              <w:t>daļa, EUR</w:t>
            </w:r>
          </w:p>
        </w:tc>
        <w:tc>
          <w:tcPr>
            <w:tcW w:w="1491" w:type="dxa"/>
            <w:shd w:val="clear" w:color="auto" w:fill="F1F1F1"/>
          </w:tcPr>
          <w:p w14:paraId="39928701" w14:textId="77777777" w:rsidR="00DC6D9B" w:rsidRDefault="00DC6D9B" w:rsidP="00CD363C">
            <w:pPr>
              <w:pStyle w:val="TableParagraph"/>
              <w:ind w:right="124"/>
              <w:jc w:val="both"/>
              <w:rPr>
                <w:i/>
                <w:sz w:val="20"/>
              </w:rPr>
            </w:pPr>
          </w:p>
          <w:p w14:paraId="45520B81" w14:textId="77777777" w:rsidR="00DC6D9B" w:rsidRDefault="00DC6D9B" w:rsidP="00CD363C">
            <w:pPr>
              <w:pStyle w:val="TableParagraph"/>
              <w:ind w:left="268" w:right="124" w:hanging="10"/>
              <w:jc w:val="both"/>
              <w:rPr>
                <w:b/>
                <w:sz w:val="20"/>
              </w:rPr>
            </w:pPr>
            <w:r>
              <w:rPr>
                <w:b/>
                <w:w w:val="95"/>
                <w:sz w:val="20"/>
              </w:rPr>
              <w:t xml:space="preserve">Ilgtermiņa </w:t>
            </w:r>
            <w:r>
              <w:rPr>
                <w:b/>
                <w:sz w:val="20"/>
              </w:rPr>
              <w:t>daļa, EUR</w:t>
            </w:r>
          </w:p>
        </w:tc>
      </w:tr>
      <w:tr w:rsidR="00DC6D9B" w14:paraId="7B7F1047" w14:textId="77777777" w:rsidTr="00535ACC">
        <w:trPr>
          <w:trHeight w:val="276"/>
        </w:trPr>
        <w:tc>
          <w:tcPr>
            <w:tcW w:w="718" w:type="dxa"/>
            <w:shd w:val="clear" w:color="auto" w:fill="F1F1F1"/>
          </w:tcPr>
          <w:p w14:paraId="6E6A6443" w14:textId="77777777" w:rsidR="00DC6D9B" w:rsidRDefault="00DC6D9B" w:rsidP="00CD363C">
            <w:pPr>
              <w:pStyle w:val="TableParagraph"/>
              <w:ind w:right="124"/>
              <w:jc w:val="both"/>
              <w:rPr>
                <w:b/>
                <w:sz w:val="20"/>
              </w:rPr>
            </w:pPr>
            <w:r>
              <w:rPr>
                <w:b/>
                <w:w w:val="99"/>
                <w:sz w:val="20"/>
              </w:rPr>
              <w:t>1</w:t>
            </w:r>
          </w:p>
        </w:tc>
        <w:tc>
          <w:tcPr>
            <w:tcW w:w="2113" w:type="dxa"/>
            <w:shd w:val="clear" w:color="auto" w:fill="F1F1F1"/>
          </w:tcPr>
          <w:p w14:paraId="02955481" w14:textId="77777777" w:rsidR="00DC6D9B" w:rsidRDefault="00DC6D9B" w:rsidP="00CD363C">
            <w:pPr>
              <w:pStyle w:val="TableParagraph"/>
              <w:ind w:right="124"/>
              <w:jc w:val="both"/>
              <w:rPr>
                <w:b/>
                <w:sz w:val="20"/>
              </w:rPr>
            </w:pPr>
            <w:r>
              <w:rPr>
                <w:b/>
                <w:w w:val="99"/>
                <w:sz w:val="20"/>
              </w:rPr>
              <w:t>2</w:t>
            </w:r>
          </w:p>
        </w:tc>
        <w:tc>
          <w:tcPr>
            <w:tcW w:w="1109" w:type="dxa"/>
            <w:shd w:val="clear" w:color="auto" w:fill="F1F1F1"/>
          </w:tcPr>
          <w:p w14:paraId="35D79D93" w14:textId="77777777" w:rsidR="00DC6D9B" w:rsidRDefault="00DC6D9B" w:rsidP="00CD363C">
            <w:pPr>
              <w:pStyle w:val="TableParagraph"/>
              <w:ind w:right="124"/>
              <w:jc w:val="both"/>
              <w:rPr>
                <w:b/>
                <w:sz w:val="20"/>
              </w:rPr>
            </w:pPr>
            <w:r>
              <w:rPr>
                <w:b/>
                <w:sz w:val="20"/>
              </w:rPr>
              <w:t>3=2*5%</w:t>
            </w:r>
          </w:p>
        </w:tc>
        <w:tc>
          <w:tcPr>
            <w:tcW w:w="1280" w:type="dxa"/>
            <w:shd w:val="clear" w:color="auto" w:fill="F1F1F1"/>
          </w:tcPr>
          <w:p w14:paraId="2BC4D989" w14:textId="77777777" w:rsidR="00DC6D9B" w:rsidRDefault="00DC6D9B" w:rsidP="00CD363C">
            <w:pPr>
              <w:pStyle w:val="TableParagraph"/>
              <w:ind w:right="124"/>
              <w:jc w:val="both"/>
              <w:rPr>
                <w:b/>
                <w:sz w:val="20"/>
              </w:rPr>
            </w:pPr>
            <w:r>
              <w:rPr>
                <w:b/>
                <w:w w:val="99"/>
                <w:sz w:val="20"/>
              </w:rPr>
              <w:t>4</w:t>
            </w:r>
          </w:p>
        </w:tc>
        <w:tc>
          <w:tcPr>
            <w:tcW w:w="1724" w:type="dxa"/>
            <w:shd w:val="clear" w:color="auto" w:fill="F1F1F1"/>
          </w:tcPr>
          <w:p w14:paraId="39DA320A" w14:textId="77777777" w:rsidR="00DC6D9B" w:rsidRDefault="00DC6D9B" w:rsidP="00CD363C">
            <w:pPr>
              <w:pStyle w:val="TableParagraph"/>
              <w:ind w:left="485" w:right="124"/>
              <w:jc w:val="both"/>
              <w:rPr>
                <w:b/>
                <w:sz w:val="20"/>
              </w:rPr>
            </w:pPr>
            <w:r>
              <w:rPr>
                <w:b/>
                <w:sz w:val="20"/>
              </w:rPr>
              <w:t>5=2+3-4</w:t>
            </w:r>
          </w:p>
        </w:tc>
        <w:tc>
          <w:tcPr>
            <w:tcW w:w="1107" w:type="dxa"/>
            <w:shd w:val="clear" w:color="auto" w:fill="F1F1F1"/>
          </w:tcPr>
          <w:p w14:paraId="02BE783D" w14:textId="77777777" w:rsidR="00DC6D9B" w:rsidRDefault="00DC6D9B" w:rsidP="00CD363C">
            <w:pPr>
              <w:pStyle w:val="TableParagraph"/>
              <w:ind w:right="124"/>
              <w:jc w:val="both"/>
              <w:rPr>
                <w:b/>
                <w:sz w:val="20"/>
              </w:rPr>
            </w:pPr>
            <w:r>
              <w:rPr>
                <w:b/>
                <w:w w:val="99"/>
                <w:sz w:val="20"/>
              </w:rPr>
              <w:t>6</w:t>
            </w:r>
          </w:p>
        </w:tc>
        <w:tc>
          <w:tcPr>
            <w:tcW w:w="1491" w:type="dxa"/>
            <w:shd w:val="clear" w:color="auto" w:fill="F1F1F1"/>
          </w:tcPr>
          <w:p w14:paraId="60175E07" w14:textId="77777777" w:rsidR="00DC6D9B" w:rsidRDefault="00DC6D9B" w:rsidP="00CD363C">
            <w:pPr>
              <w:pStyle w:val="TableParagraph"/>
              <w:ind w:right="124"/>
              <w:jc w:val="both"/>
              <w:rPr>
                <w:b/>
                <w:sz w:val="20"/>
              </w:rPr>
            </w:pPr>
            <w:r>
              <w:rPr>
                <w:b/>
                <w:w w:val="99"/>
                <w:sz w:val="20"/>
              </w:rPr>
              <w:t>7</w:t>
            </w:r>
          </w:p>
        </w:tc>
      </w:tr>
      <w:tr w:rsidR="00DC6D9B" w14:paraId="6938EAF6" w14:textId="77777777" w:rsidTr="00535ACC">
        <w:trPr>
          <w:trHeight w:val="275"/>
        </w:trPr>
        <w:tc>
          <w:tcPr>
            <w:tcW w:w="718" w:type="dxa"/>
          </w:tcPr>
          <w:p w14:paraId="54A06D8D" w14:textId="77777777" w:rsidR="00DC6D9B" w:rsidRDefault="00DC6D9B" w:rsidP="00CD363C">
            <w:pPr>
              <w:pStyle w:val="TableParagraph"/>
              <w:ind w:left="49" w:right="124"/>
              <w:jc w:val="both"/>
              <w:rPr>
                <w:sz w:val="20"/>
              </w:rPr>
            </w:pPr>
            <w:r>
              <w:rPr>
                <w:sz w:val="20"/>
              </w:rPr>
              <w:t>2021</w:t>
            </w:r>
          </w:p>
        </w:tc>
        <w:tc>
          <w:tcPr>
            <w:tcW w:w="2113" w:type="dxa"/>
          </w:tcPr>
          <w:p w14:paraId="29979A82" w14:textId="77777777" w:rsidR="00DC6D9B" w:rsidRDefault="00DC6D9B" w:rsidP="00CD363C">
            <w:pPr>
              <w:pStyle w:val="TableParagraph"/>
              <w:ind w:right="124"/>
              <w:jc w:val="both"/>
              <w:rPr>
                <w:sz w:val="20"/>
              </w:rPr>
            </w:pPr>
            <w:r>
              <w:rPr>
                <w:sz w:val="20"/>
              </w:rPr>
              <w:t>5 991,15</w:t>
            </w:r>
          </w:p>
        </w:tc>
        <w:tc>
          <w:tcPr>
            <w:tcW w:w="1109" w:type="dxa"/>
          </w:tcPr>
          <w:p w14:paraId="380F305D" w14:textId="77777777" w:rsidR="00DC6D9B" w:rsidRDefault="00DC6D9B" w:rsidP="00CD363C">
            <w:pPr>
              <w:pStyle w:val="TableParagraph"/>
              <w:ind w:right="124"/>
              <w:jc w:val="both"/>
              <w:rPr>
                <w:sz w:val="20"/>
              </w:rPr>
            </w:pPr>
            <w:r>
              <w:rPr>
                <w:w w:val="95"/>
                <w:sz w:val="20"/>
              </w:rPr>
              <w:t>299,56</w:t>
            </w:r>
          </w:p>
        </w:tc>
        <w:tc>
          <w:tcPr>
            <w:tcW w:w="1280" w:type="dxa"/>
          </w:tcPr>
          <w:p w14:paraId="39BF3009" w14:textId="77777777" w:rsidR="00DC6D9B" w:rsidRDefault="00DC6D9B" w:rsidP="00CD363C">
            <w:pPr>
              <w:pStyle w:val="TableParagraph"/>
              <w:ind w:right="124"/>
              <w:jc w:val="both"/>
              <w:rPr>
                <w:sz w:val="20"/>
              </w:rPr>
            </w:pPr>
            <w:r>
              <w:rPr>
                <w:sz w:val="20"/>
              </w:rPr>
              <w:t>2 200,00</w:t>
            </w:r>
          </w:p>
        </w:tc>
        <w:tc>
          <w:tcPr>
            <w:tcW w:w="1724" w:type="dxa"/>
          </w:tcPr>
          <w:p w14:paraId="76A29159" w14:textId="77777777" w:rsidR="00DC6D9B" w:rsidRDefault="00DC6D9B" w:rsidP="00CD363C">
            <w:pPr>
              <w:pStyle w:val="TableParagraph"/>
              <w:ind w:right="124"/>
              <w:jc w:val="both"/>
              <w:rPr>
                <w:sz w:val="20"/>
              </w:rPr>
            </w:pPr>
            <w:r>
              <w:rPr>
                <w:sz w:val="20"/>
              </w:rPr>
              <w:t>4 090,70</w:t>
            </w:r>
          </w:p>
        </w:tc>
        <w:tc>
          <w:tcPr>
            <w:tcW w:w="1107" w:type="dxa"/>
          </w:tcPr>
          <w:p w14:paraId="55AEF97E" w14:textId="77777777" w:rsidR="00DC6D9B" w:rsidRDefault="00DC6D9B" w:rsidP="00CD363C">
            <w:pPr>
              <w:pStyle w:val="TableParagraph"/>
              <w:ind w:right="124"/>
              <w:jc w:val="both"/>
              <w:rPr>
                <w:sz w:val="20"/>
              </w:rPr>
            </w:pPr>
            <w:r>
              <w:rPr>
                <w:sz w:val="20"/>
              </w:rPr>
              <w:t>1 995,46</w:t>
            </w:r>
          </w:p>
        </w:tc>
        <w:tc>
          <w:tcPr>
            <w:tcW w:w="1491" w:type="dxa"/>
          </w:tcPr>
          <w:p w14:paraId="34A641D9" w14:textId="77777777" w:rsidR="00DC6D9B" w:rsidRDefault="00DC6D9B" w:rsidP="00CD363C">
            <w:pPr>
              <w:pStyle w:val="TableParagraph"/>
              <w:ind w:right="124"/>
              <w:jc w:val="both"/>
              <w:rPr>
                <w:sz w:val="20"/>
              </w:rPr>
            </w:pPr>
            <w:r>
              <w:rPr>
                <w:sz w:val="20"/>
              </w:rPr>
              <w:t>2 095,24</w:t>
            </w:r>
          </w:p>
        </w:tc>
      </w:tr>
      <w:tr w:rsidR="00DC6D9B" w14:paraId="4919FEAE" w14:textId="77777777" w:rsidTr="00535ACC">
        <w:trPr>
          <w:trHeight w:val="275"/>
        </w:trPr>
        <w:tc>
          <w:tcPr>
            <w:tcW w:w="718" w:type="dxa"/>
          </w:tcPr>
          <w:p w14:paraId="479AC3FF" w14:textId="77777777" w:rsidR="00DC6D9B" w:rsidRDefault="00DC6D9B" w:rsidP="00CD363C">
            <w:pPr>
              <w:pStyle w:val="TableParagraph"/>
              <w:ind w:left="49" w:right="124"/>
              <w:jc w:val="both"/>
              <w:rPr>
                <w:sz w:val="20"/>
              </w:rPr>
            </w:pPr>
            <w:r>
              <w:rPr>
                <w:sz w:val="20"/>
              </w:rPr>
              <w:t>2022</w:t>
            </w:r>
          </w:p>
        </w:tc>
        <w:tc>
          <w:tcPr>
            <w:tcW w:w="2113" w:type="dxa"/>
          </w:tcPr>
          <w:p w14:paraId="175DE54E" w14:textId="77777777" w:rsidR="00DC6D9B" w:rsidRDefault="00DC6D9B" w:rsidP="00CD363C">
            <w:pPr>
              <w:pStyle w:val="TableParagraph"/>
              <w:ind w:right="124"/>
              <w:jc w:val="both"/>
              <w:rPr>
                <w:sz w:val="20"/>
              </w:rPr>
            </w:pPr>
            <w:r>
              <w:rPr>
                <w:sz w:val="20"/>
              </w:rPr>
              <w:t>4 090,70</w:t>
            </w:r>
          </w:p>
        </w:tc>
        <w:tc>
          <w:tcPr>
            <w:tcW w:w="1109" w:type="dxa"/>
          </w:tcPr>
          <w:p w14:paraId="0832A8BF" w14:textId="77777777" w:rsidR="00DC6D9B" w:rsidRDefault="00DC6D9B" w:rsidP="00CD363C">
            <w:pPr>
              <w:pStyle w:val="TableParagraph"/>
              <w:ind w:right="124"/>
              <w:jc w:val="both"/>
              <w:rPr>
                <w:sz w:val="20"/>
              </w:rPr>
            </w:pPr>
            <w:r>
              <w:rPr>
                <w:w w:val="95"/>
                <w:sz w:val="20"/>
              </w:rPr>
              <w:t>204,54</w:t>
            </w:r>
          </w:p>
        </w:tc>
        <w:tc>
          <w:tcPr>
            <w:tcW w:w="1280" w:type="dxa"/>
          </w:tcPr>
          <w:p w14:paraId="1A805ED6" w14:textId="77777777" w:rsidR="00DC6D9B" w:rsidRDefault="00DC6D9B" w:rsidP="00CD363C">
            <w:pPr>
              <w:pStyle w:val="TableParagraph"/>
              <w:ind w:right="124"/>
              <w:jc w:val="both"/>
              <w:rPr>
                <w:sz w:val="20"/>
              </w:rPr>
            </w:pPr>
            <w:r>
              <w:rPr>
                <w:sz w:val="20"/>
              </w:rPr>
              <w:t>2 200,00</w:t>
            </w:r>
          </w:p>
        </w:tc>
        <w:tc>
          <w:tcPr>
            <w:tcW w:w="1724" w:type="dxa"/>
          </w:tcPr>
          <w:p w14:paraId="49C2FB1A" w14:textId="77777777" w:rsidR="00DC6D9B" w:rsidRDefault="00DC6D9B" w:rsidP="00CD363C">
            <w:pPr>
              <w:pStyle w:val="TableParagraph"/>
              <w:ind w:right="124"/>
              <w:jc w:val="both"/>
              <w:rPr>
                <w:sz w:val="20"/>
              </w:rPr>
            </w:pPr>
            <w:r>
              <w:rPr>
                <w:sz w:val="20"/>
              </w:rPr>
              <w:t>2 095,24</w:t>
            </w:r>
          </w:p>
        </w:tc>
        <w:tc>
          <w:tcPr>
            <w:tcW w:w="1107" w:type="dxa"/>
          </w:tcPr>
          <w:p w14:paraId="5827F999" w14:textId="77777777" w:rsidR="00DC6D9B" w:rsidRDefault="00DC6D9B" w:rsidP="00CD363C">
            <w:pPr>
              <w:pStyle w:val="TableParagraph"/>
              <w:ind w:right="124"/>
              <w:jc w:val="both"/>
              <w:rPr>
                <w:sz w:val="20"/>
              </w:rPr>
            </w:pPr>
            <w:r>
              <w:rPr>
                <w:sz w:val="20"/>
              </w:rPr>
              <w:t>2 095,24</w:t>
            </w:r>
          </w:p>
        </w:tc>
        <w:tc>
          <w:tcPr>
            <w:tcW w:w="1491" w:type="dxa"/>
          </w:tcPr>
          <w:p w14:paraId="109F44AB" w14:textId="77777777" w:rsidR="00DC6D9B" w:rsidRDefault="00DC6D9B" w:rsidP="00CD363C">
            <w:pPr>
              <w:pStyle w:val="TableParagraph"/>
              <w:ind w:right="124"/>
              <w:jc w:val="both"/>
              <w:rPr>
                <w:sz w:val="20"/>
              </w:rPr>
            </w:pPr>
            <w:r>
              <w:rPr>
                <w:w w:val="99"/>
                <w:sz w:val="20"/>
              </w:rPr>
              <w:t>-</w:t>
            </w:r>
          </w:p>
        </w:tc>
      </w:tr>
      <w:tr w:rsidR="00DC6D9B" w14:paraId="6AA43CB6" w14:textId="77777777" w:rsidTr="00535ACC">
        <w:trPr>
          <w:trHeight w:val="275"/>
        </w:trPr>
        <w:tc>
          <w:tcPr>
            <w:tcW w:w="718" w:type="dxa"/>
          </w:tcPr>
          <w:p w14:paraId="054C39A6" w14:textId="77777777" w:rsidR="00DC6D9B" w:rsidRDefault="00DC6D9B" w:rsidP="00CD363C">
            <w:pPr>
              <w:pStyle w:val="TableParagraph"/>
              <w:ind w:left="49" w:right="124"/>
              <w:jc w:val="both"/>
              <w:rPr>
                <w:sz w:val="20"/>
              </w:rPr>
            </w:pPr>
            <w:r>
              <w:rPr>
                <w:sz w:val="20"/>
              </w:rPr>
              <w:t>2023</w:t>
            </w:r>
          </w:p>
        </w:tc>
        <w:tc>
          <w:tcPr>
            <w:tcW w:w="2113" w:type="dxa"/>
          </w:tcPr>
          <w:p w14:paraId="584C4003" w14:textId="77777777" w:rsidR="00DC6D9B" w:rsidRDefault="00DC6D9B" w:rsidP="00CD363C">
            <w:pPr>
              <w:pStyle w:val="TableParagraph"/>
              <w:ind w:right="124"/>
              <w:jc w:val="both"/>
              <w:rPr>
                <w:sz w:val="20"/>
              </w:rPr>
            </w:pPr>
            <w:r>
              <w:rPr>
                <w:sz w:val="20"/>
              </w:rPr>
              <w:t>2 095,24</w:t>
            </w:r>
          </w:p>
        </w:tc>
        <w:tc>
          <w:tcPr>
            <w:tcW w:w="1109" w:type="dxa"/>
          </w:tcPr>
          <w:p w14:paraId="0040A177" w14:textId="77777777" w:rsidR="00DC6D9B" w:rsidRDefault="00DC6D9B" w:rsidP="00CD363C">
            <w:pPr>
              <w:pStyle w:val="TableParagraph"/>
              <w:ind w:right="124"/>
              <w:jc w:val="both"/>
              <w:rPr>
                <w:sz w:val="20"/>
              </w:rPr>
            </w:pPr>
            <w:r>
              <w:rPr>
                <w:w w:val="95"/>
                <w:sz w:val="20"/>
              </w:rPr>
              <w:t>104,76</w:t>
            </w:r>
          </w:p>
        </w:tc>
        <w:tc>
          <w:tcPr>
            <w:tcW w:w="1280" w:type="dxa"/>
          </w:tcPr>
          <w:p w14:paraId="4A7EF4B2" w14:textId="77777777" w:rsidR="00DC6D9B" w:rsidRDefault="00DC6D9B" w:rsidP="00CD363C">
            <w:pPr>
              <w:pStyle w:val="TableParagraph"/>
              <w:ind w:right="124"/>
              <w:jc w:val="both"/>
              <w:rPr>
                <w:sz w:val="20"/>
              </w:rPr>
            </w:pPr>
            <w:r>
              <w:rPr>
                <w:sz w:val="20"/>
              </w:rPr>
              <w:t>2 200,00</w:t>
            </w:r>
          </w:p>
        </w:tc>
        <w:tc>
          <w:tcPr>
            <w:tcW w:w="1724" w:type="dxa"/>
          </w:tcPr>
          <w:p w14:paraId="037E3FCA" w14:textId="77777777" w:rsidR="00DC6D9B" w:rsidRDefault="00DC6D9B" w:rsidP="00CD363C">
            <w:pPr>
              <w:pStyle w:val="TableParagraph"/>
              <w:ind w:right="124"/>
              <w:jc w:val="both"/>
              <w:rPr>
                <w:sz w:val="20"/>
              </w:rPr>
            </w:pPr>
            <w:r>
              <w:rPr>
                <w:w w:val="99"/>
                <w:sz w:val="20"/>
              </w:rPr>
              <w:t>–</w:t>
            </w:r>
          </w:p>
        </w:tc>
        <w:tc>
          <w:tcPr>
            <w:tcW w:w="1107" w:type="dxa"/>
          </w:tcPr>
          <w:p w14:paraId="1D61D232" w14:textId="77777777" w:rsidR="00DC6D9B" w:rsidRDefault="00DC6D9B" w:rsidP="00CD363C">
            <w:pPr>
              <w:pStyle w:val="TableParagraph"/>
              <w:ind w:right="124"/>
              <w:jc w:val="both"/>
              <w:rPr>
                <w:sz w:val="20"/>
              </w:rPr>
            </w:pPr>
            <w:r>
              <w:rPr>
                <w:w w:val="99"/>
                <w:sz w:val="20"/>
              </w:rPr>
              <w:t>–</w:t>
            </w:r>
          </w:p>
        </w:tc>
        <w:tc>
          <w:tcPr>
            <w:tcW w:w="1491" w:type="dxa"/>
          </w:tcPr>
          <w:p w14:paraId="4CC98947" w14:textId="77777777" w:rsidR="00DC6D9B" w:rsidRDefault="00DC6D9B" w:rsidP="00CD363C">
            <w:pPr>
              <w:pStyle w:val="TableParagraph"/>
              <w:ind w:right="124"/>
              <w:jc w:val="both"/>
              <w:rPr>
                <w:sz w:val="20"/>
              </w:rPr>
            </w:pPr>
            <w:r>
              <w:rPr>
                <w:w w:val="99"/>
                <w:sz w:val="20"/>
              </w:rPr>
              <w:t>–</w:t>
            </w:r>
          </w:p>
        </w:tc>
      </w:tr>
      <w:tr w:rsidR="00DC6D9B" w14:paraId="46C3DDDD" w14:textId="77777777" w:rsidTr="00535ACC">
        <w:trPr>
          <w:trHeight w:val="278"/>
        </w:trPr>
        <w:tc>
          <w:tcPr>
            <w:tcW w:w="718" w:type="dxa"/>
            <w:tcBorders>
              <w:left w:val="nil"/>
              <w:bottom w:val="nil"/>
            </w:tcBorders>
          </w:tcPr>
          <w:p w14:paraId="39B9FCBE" w14:textId="77777777" w:rsidR="00DC6D9B" w:rsidRDefault="00DC6D9B" w:rsidP="00CD363C">
            <w:pPr>
              <w:pStyle w:val="TableParagraph"/>
              <w:ind w:right="124"/>
              <w:jc w:val="both"/>
              <w:rPr>
                <w:sz w:val="20"/>
              </w:rPr>
            </w:pPr>
          </w:p>
        </w:tc>
        <w:tc>
          <w:tcPr>
            <w:tcW w:w="2113" w:type="dxa"/>
          </w:tcPr>
          <w:p w14:paraId="2F21CAB5" w14:textId="77777777" w:rsidR="00DC6D9B" w:rsidRDefault="00DC6D9B" w:rsidP="00CD363C">
            <w:pPr>
              <w:pStyle w:val="TableParagraph"/>
              <w:ind w:right="124"/>
              <w:jc w:val="both"/>
              <w:rPr>
                <w:sz w:val="20"/>
              </w:rPr>
            </w:pPr>
            <w:r>
              <w:rPr>
                <w:w w:val="95"/>
                <w:sz w:val="20"/>
              </w:rPr>
              <w:t>Kopā:</w:t>
            </w:r>
          </w:p>
        </w:tc>
        <w:tc>
          <w:tcPr>
            <w:tcW w:w="1109" w:type="dxa"/>
          </w:tcPr>
          <w:p w14:paraId="3E6A58BF" w14:textId="77777777" w:rsidR="00DC6D9B" w:rsidRDefault="00DC6D9B" w:rsidP="00CD363C">
            <w:pPr>
              <w:pStyle w:val="TableParagraph"/>
              <w:ind w:right="124"/>
              <w:jc w:val="both"/>
              <w:rPr>
                <w:sz w:val="20"/>
              </w:rPr>
            </w:pPr>
            <w:r>
              <w:rPr>
                <w:sz w:val="20"/>
              </w:rPr>
              <w:t>1 475,15</w:t>
            </w:r>
          </w:p>
        </w:tc>
        <w:tc>
          <w:tcPr>
            <w:tcW w:w="1280" w:type="dxa"/>
          </w:tcPr>
          <w:p w14:paraId="10DB6CCF" w14:textId="77777777" w:rsidR="00DC6D9B" w:rsidRDefault="00DC6D9B" w:rsidP="00CD363C">
            <w:pPr>
              <w:pStyle w:val="TableParagraph"/>
              <w:ind w:right="124"/>
              <w:jc w:val="both"/>
              <w:rPr>
                <w:sz w:val="20"/>
              </w:rPr>
            </w:pPr>
            <w:r>
              <w:rPr>
                <w:sz w:val="20"/>
              </w:rPr>
              <w:t>11 000,00</w:t>
            </w:r>
          </w:p>
        </w:tc>
        <w:tc>
          <w:tcPr>
            <w:tcW w:w="4322" w:type="dxa"/>
            <w:gridSpan w:val="3"/>
            <w:tcBorders>
              <w:bottom w:val="nil"/>
              <w:right w:val="nil"/>
            </w:tcBorders>
          </w:tcPr>
          <w:p w14:paraId="4CE9F75F" w14:textId="77777777" w:rsidR="00DC6D9B" w:rsidRDefault="00DC6D9B" w:rsidP="00CD363C">
            <w:pPr>
              <w:pStyle w:val="TableParagraph"/>
              <w:ind w:right="124"/>
              <w:jc w:val="both"/>
              <w:rPr>
                <w:sz w:val="20"/>
              </w:rPr>
            </w:pPr>
          </w:p>
        </w:tc>
      </w:tr>
    </w:tbl>
    <w:p w14:paraId="632345C5" w14:textId="77777777" w:rsidR="00DC6D9B" w:rsidRDefault="00DC6D9B" w:rsidP="00CD363C">
      <w:pPr>
        <w:pStyle w:val="Pamatteksts"/>
        <w:ind w:right="124"/>
        <w:jc w:val="both"/>
        <w:rPr>
          <w:i/>
          <w:sz w:val="21"/>
        </w:rPr>
      </w:pPr>
    </w:p>
    <w:p w14:paraId="5B387247" w14:textId="77777777" w:rsidR="00DC6D9B" w:rsidRDefault="00DC6D9B" w:rsidP="00CD363C">
      <w:pPr>
        <w:spacing w:after="0" w:line="240" w:lineRule="auto"/>
        <w:ind w:left="218" w:right="124"/>
        <w:jc w:val="both"/>
        <w:rPr>
          <w:i/>
        </w:rPr>
      </w:pPr>
      <w:r>
        <w:rPr>
          <w:i/>
        </w:rPr>
        <w:t>Budžeta iestāde veic sekojošus grāmatojumus atbilstošajā pārskata periodā:</w:t>
      </w:r>
    </w:p>
    <w:p w14:paraId="1F84F439" w14:textId="77777777" w:rsidR="00DC6D9B" w:rsidRDefault="00DC6D9B" w:rsidP="00CD363C">
      <w:pPr>
        <w:pStyle w:val="Pamatteksts"/>
        <w:ind w:right="124"/>
        <w:jc w:val="both"/>
        <w:rPr>
          <w:i/>
          <w:sz w:val="8"/>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82"/>
        <w:gridCol w:w="4224"/>
        <w:gridCol w:w="2127"/>
      </w:tblGrid>
      <w:tr w:rsidR="00DC6D9B" w14:paraId="0E4482B4" w14:textId="77777777" w:rsidTr="00535ACC">
        <w:trPr>
          <w:trHeight w:val="311"/>
        </w:trPr>
        <w:tc>
          <w:tcPr>
            <w:tcW w:w="7644" w:type="dxa"/>
            <w:gridSpan w:val="4"/>
          </w:tcPr>
          <w:p w14:paraId="4A99EDCC" w14:textId="77777777" w:rsidR="00DC6D9B" w:rsidRDefault="00DC6D9B" w:rsidP="00CD363C">
            <w:pPr>
              <w:pStyle w:val="TableParagraph"/>
              <w:ind w:left="200" w:right="124"/>
              <w:jc w:val="both"/>
              <w:rPr>
                <w:i/>
              </w:rPr>
            </w:pPr>
            <w:r>
              <w:rPr>
                <w:i/>
              </w:rPr>
              <w:t>2019. gada 2. janvārī atzīst uzskaitē iegādāto automašīnu:</w:t>
            </w:r>
          </w:p>
        </w:tc>
      </w:tr>
      <w:tr w:rsidR="00DC6D9B" w14:paraId="66E210AA" w14:textId="77777777" w:rsidTr="00535ACC">
        <w:trPr>
          <w:trHeight w:val="355"/>
        </w:trPr>
        <w:tc>
          <w:tcPr>
            <w:tcW w:w="511" w:type="dxa"/>
          </w:tcPr>
          <w:p w14:paraId="7556F3D3" w14:textId="77777777" w:rsidR="00DC6D9B" w:rsidRDefault="00DC6D9B" w:rsidP="00CD363C">
            <w:pPr>
              <w:pStyle w:val="TableParagraph"/>
              <w:ind w:left="48" w:right="124"/>
              <w:jc w:val="both"/>
              <w:rPr>
                <w:i/>
              </w:rPr>
            </w:pPr>
            <w:r>
              <w:rPr>
                <w:i/>
              </w:rPr>
              <w:t>D</w:t>
            </w:r>
          </w:p>
        </w:tc>
        <w:tc>
          <w:tcPr>
            <w:tcW w:w="782" w:type="dxa"/>
          </w:tcPr>
          <w:p w14:paraId="23D4EDF3" w14:textId="77777777" w:rsidR="00DC6D9B" w:rsidRDefault="00DC6D9B" w:rsidP="00CD363C">
            <w:pPr>
              <w:pStyle w:val="TableParagraph"/>
              <w:ind w:left="130" w:right="124"/>
              <w:jc w:val="both"/>
              <w:rPr>
                <w:i/>
              </w:rPr>
            </w:pPr>
            <w:r>
              <w:rPr>
                <w:i/>
              </w:rPr>
              <w:t>1231</w:t>
            </w:r>
          </w:p>
        </w:tc>
        <w:tc>
          <w:tcPr>
            <w:tcW w:w="4224" w:type="dxa"/>
          </w:tcPr>
          <w:p w14:paraId="3AB94657" w14:textId="77777777" w:rsidR="00DC6D9B" w:rsidRDefault="00DC6D9B" w:rsidP="00CD363C">
            <w:pPr>
              <w:pStyle w:val="TableParagraph"/>
              <w:ind w:left="188" w:right="124"/>
              <w:jc w:val="both"/>
              <w:rPr>
                <w:i/>
              </w:rPr>
            </w:pPr>
            <w:r>
              <w:rPr>
                <w:i/>
              </w:rPr>
              <w:t>Transportlīdzekļi*</w:t>
            </w:r>
          </w:p>
        </w:tc>
        <w:tc>
          <w:tcPr>
            <w:tcW w:w="2127" w:type="dxa"/>
          </w:tcPr>
          <w:p w14:paraId="70CC40E2" w14:textId="77777777" w:rsidR="00DC6D9B" w:rsidRDefault="00DC6D9B" w:rsidP="00CD363C">
            <w:pPr>
              <w:pStyle w:val="TableParagraph"/>
              <w:ind w:right="124"/>
              <w:jc w:val="both"/>
              <w:rPr>
                <w:i/>
              </w:rPr>
            </w:pPr>
            <w:r>
              <w:rPr>
                <w:i/>
              </w:rPr>
              <w:t>9 524,85 EUR</w:t>
            </w:r>
          </w:p>
        </w:tc>
      </w:tr>
      <w:tr w:rsidR="00DC6D9B" w14:paraId="1FE4919D" w14:textId="77777777" w:rsidTr="00535ACC">
        <w:trPr>
          <w:trHeight w:val="332"/>
        </w:trPr>
        <w:tc>
          <w:tcPr>
            <w:tcW w:w="511" w:type="dxa"/>
          </w:tcPr>
          <w:p w14:paraId="09A63FA0" w14:textId="77777777" w:rsidR="00DC6D9B" w:rsidRDefault="00DC6D9B" w:rsidP="00CD363C">
            <w:pPr>
              <w:pStyle w:val="TableParagraph"/>
              <w:ind w:left="36" w:right="124"/>
              <w:jc w:val="both"/>
              <w:rPr>
                <w:i/>
              </w:rPr>
            </w:pPr>
            <w:r>
              <w:rPr>
                <w:i/>
              </w:rPr>
              <w:t>K</w:t>
            </w:r>
          </w:p>
        </w:tc>
        <w:tc>
          <w:tcPr>
            <w:tcW w:w="782" w:type="dxa"/>
          </w:tcPr>
          <w:p w14:paraId="49E385E3" w14:textId="77777777" w:rsidR="00DC6D9B" w:rsidRDefault="00DC6D9B" w:rsidP="00CD363C">
            <w:pPr>
              <w:pStyle w:val="TableParagraph"/>
              <w:ind w:left="130" w:right="124"/>
              <w:jc w:val="both"/>
              <w:rPr>
                <w:i/>
              </w:rPr>
            </w:pPr>
            <w:r>
              <w:rPr>
                <w:i/>
              </w:rPr>
              <w:t>5315</w:t>
            </w:r>
          </w:p>
        </w:tc>
        <w:tc>
          <w:tcPr>
            <w:tcW w:w="4224" w:type="dxa"/>
          </w:tcPr>
          <w:p w14:paraId="3894281D" w14:textId="77777777" w:rsidR="00DC6D9B" w:rsidRDefault="00DC6D9B" w:rsidP="00CD363C">
            <w:pPr>
              <w:pStyle w:val="TableParagraph"/>
              <w:ind w:left="188" w:right="124"/>
              <w:jc w:val="both"/>
              <w:rPr>
                <w:i/>
              </w:rPr>
            </w:pPr>
            <w:r>
              <w:rPr>
                <w:i/>
              </w:rPr>
              <w:t>Īstermiņa saistības par finanšu nomu</w:t>
            </w:r>
          </w:p>
        </w:tc>
        <w:tc>
          <w:tcPr>
            <w:tcW w:w="2127" w:type="dxa"/>
          </w:tcPr>
          <w:p w14:paraId="26D3A16D" w14:textId="77777777" w:rsidR="00DC6D9B" w:rsidRDefault="00DC6D9B" w:rsidP="00CD363C">
            <w:pPr>
              <w:pStyle w:val="TableParagraph"/>
              <w:ind w:right="124"/>
              <w:jc w:val="both"/>
              <w:rPr>
                <w:i/>
              </w:rPr>
            </w:pPr>
            <w:r>
              <w:rPr>
                <w:i/>
              </w:rPr>
              <w:t>1 723,76 EUR</w:t>
            </w:r>
          </w:p>
        </w:tc>
      </w:tr>
      <w:tr w:rsidR="00DC6D9B" w14:paraId="37D04830" w14:textId="77777777" w:rsidTr="00535ACC">
        <w:trPr>
          <w:trHeight w:val="289"/>
        </w:trPr>
        <w:tc>
          <w:tcPr>
            <w:tcW w:w="511" w:type="dxa"/>
          </w:tcPr>
          <w:p w14:paraId="1EB304A9" w14:textId="77777777" w:rsidR="00DC6D9B" w:rsidRDefault="00DC6D9B" w:rsidP="00CD363C">
            <w:pPr>
              <w:pStyle w:val="TableParagraph"/>
              <w:ind w:left="36" w:right="124"/>
              <w:jc w:val="both"/>
              <w:rPr>
                <w:i/>
              </w:rPr>
            </w:pPr>
            <w:r>
              <w:rPr>
                <w:i/>
              </w:rPr>
              <w:t>K</w:t>
            </w:r>
          </w:p>
        </w:tc>
        <w:tc>
          <w:tcPr>
            <w:tcW w:w="782" w:type="dxa"/>
          </w:tcPr>
          <w:p w14:paraId="54C68BF4" w14:textId="77777777" w:rsidR="00DC6D9B" w:rsidRDefault="00DC6D9B" w:rsidP="00CD363C">
            <w:pPr>
              <w:pStyle w:val="TableParagraph"/>
              <w:ind w:left="130" w:right="124"/>
              <w:jc w:val="both"/>
              <w:rPr>
                <w:i/>
              </w:rPr>
            </w:pPr>
            <w:r>
              <w:rPr>
                <w:i/>
              </w:rPr>
              <w:t>5135</w:t>
            </w:r>
          </w:p>
        </w:tc>
        <w:tc>
          <w:tcPr>
            <w:tcW w:w="4224" w:type="dxa"/>
          </w:tcPr>
          <w:p w14:paraId="5FF3F132" w14:textId="77777777" w:rsidR="00DC6D9B" w:rsidRDefault="00DC6D9B" w:rsidP="00CD363C">
            <w:pPr>
              <w:pStyle w:val="TableParagraph"/>
              <w:ind w:left="188" w:right="124"/>
              <w:jc w:val="both"/>
              <w:rPr>
                <w:i/>
              </w:rPr>
            </w:pPr>
            <w:r>
              <w:rPr>
                <w:i/>
              </w:rPr>
              <w:t>Ilgtermiņa saistības par finanšu nomu</w:t>
            </w:r>
          </w:p>
        </w:tc>
        <w:tc>
          <w:tcPr>
            <w:tcW w:w="2127" w:type="dxa"/>
          </w:tcPr>
          <w:p w14:paraId="2C78F809" w14:textId="77777777" w:rsidR="00DC6D9B" w:rsidRDefault="00DC6D9B" w:rsidP="00CD363C">
            <w:pPr>
              <w:pStyle w:val="TableParagraph"/>
              <w:ind w:right="124"/>
              <w:jc w:val="both"/>
              <w:rPr>
                <w:i/>
              </w:rPr>
            </w:pPr>
            <w:r>
              <w:rPr>
                <w:i/>
              </w:rPr>
              <w:t>7 801,09 EUR</w:t>
            </w:r>
          </w:p>
        </w:tc>
      </w:tr>
    </w:tbl>
    <w:p w14:paraId="4C6E27E3" w14:textId="77777777" w:rsidR="00DC6D9B" w:rsidRDefault="00DC6D9B" w:rsidP="00CD363C">
      <w:pPr>
        <w:pStyle w:val="Pamatteksts"/>
        <w:ind w:right="124"/>
        <w:jc w:val="both"/>
        <w:rPr>
          <w:i/>
          <w:sz w:val="20"/>
        </w:rPr>
      </w:pPr>
    </w:p>
    <w:p w14:paraId="38FD1020"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82"/>
        <w:gridCol w:w="4626"/>
        <w:gridCol w:w="1603"/>
      </w:tblGrid>
      <w:tr w:rsidR="00DC6D9B" w14:paraId="0E99152B" w14:textId="77777777" w:rsidTr="00535ACC">
        <w:trPr>
          <w:trHeight w:val="287"/>
        </w:trPr>
        <w:tc>
          <w:tcPr>
            <w:tcW w:w="7522" w:type="dxa"/>
            <w:gridSpan w:val="4"/>
          </w:tcPr>
          <w:p w14:paraId="5F605B3D" w14:textId="77777777" w:rsidR="00DC6D9B" w:rsidRDefault="00DC6D9B" w:rsidP="00CD363C">
            <w:pPr>
              <w:pStyle w:val="TableParagraph"/>
              <w:ind w:left="200" w:right="124"/>
              <w:jc w:val="both"/>
              <w:rPr>
                <w:i/>
              </w:rPr>
            </w:pPr>
            <w:r>
              <w:rPr>
                <w:i/>
              </w:rPr>
              <w:t>2019. gada beigās grāmatojums, atzīstot procentu izdevumus par finanšu nomu:</w:t>
            </w:r>
          </w:p>
        </w:tc>
      </w:tr>
      <w:tr w:rsidR="00DC6D9B" w14:paraId="70265AAD" w14:textId="77777777" w:rsidTr="00535ACC">
        <w:trPr>
          <w:trHeight w:val="332"/>
        </w:trPr>
        <w:tc>
          <w:tcPr>
            <w:tcW w:w="511" w:type="dxa"/>
          </w:tcPr>
          <w:p w14:paraId="21CDDC94" w14:textId="77777777" w:rsidR="00DC6D9B" w:rsidRDefault="00DC6D9B" w:rsidP="00CD363C">
            <w:pPr>
              <w:pStyle w:val="TableParagraph"/>
              <w:ind w:left="48" w:right="124"/>
              <w:jc w:val="both"/>
              <w:rPr>
                <w:i/>
              </w:rPr>
            </w:pPr>
            <w:r>
              <w:rPr>
                <w:i/>
              </w:rPr>
              <w:t>D</w:t>
            </w:r>
          </w:p>
        </w:tc>
        <w:tc>
          <w:tcPr>
            <w:tcW w:w="782" w:type="dxa"/>
          </w:tcPr>
          <w:p w14:paraId="7193D7F4" w14:textId="77777777" w:rsidR="00DC6D9B" w:rsidRDefault="00DC6D9B" w:rsidP="00CD363C">
            <w:pPr>
              <w:pStyle w:val="TableParagraph"/>
              <w:ind w:left="130" w:right="124"/>
              <w:jc w:val="both"/>
              <w:rPr>
                <w:i/>
              </w:rPr>
            </w:pPr>
            <w:r>
              <w:rPr>
                <w:i/>
              </w:rPr>
              <w:t>8220</w:t>
            </w:r>
          </w:p>
        </w:tc>
        <w:tc>
          <w:tcPr>
            <w:tcW w:w="4626" w:type="dxa"/>
          </w:tcPr>
          <w:p w14:paraId="4FD0A2B3" w14:textId="77777777" w:rsidR="00DC6D9B" w:rsidRDefault="00DC6D9B" w:rsidP="00CD363C">
            <w:pPr>
              <w:pStyle w:val="TableParagraph"/>
              <w:ind w:left="188" w:right="124"/>
              <w:jc w:val="both"/>
              <w:rPr>
                <w:i/>
              </w:rPr>
            </w:pPr>
            <w:r>
              <w:rPr>
                <w:i/>
              </w:rPr>
              <w:t>Procentu izdevumi</w:t>
            </w:r>
          </w:p>
        </w:tc>
        <w:tc>
          <w:tcPr>
            <w:tcW w:w="1603" w:type="dxa"/>
          </w:tcPr>
          <w:p w14:paraId="11FE9EFF" w14:textId="77777777" w:rsidR="00DC6D9B" w:rsidRDefault="00DC6D9B" w:rsidP="00CD363C">
            <w:pPr>
              <w:pStyle w:val="TableParagraph"/>
              <w:ind w:right="124"/>
              <w:jc w:val="both"/>
              <w:rPr>
                <w:i/>
              </w:rPr>
            </w:pPr>
            <w:r>
              <w:rPr>
                <w:i/>
              </w:rPr>
              <w:t>476,24 EUR</w:t>
            </w:r>
          </w:p>
        </w:tc>
      </w:tr>
      <w:tr w:rsidR="00DC6D9B" w14:paraId="07FE95DE" w14:textId="77777777" w:rsidTr="00535ACC">
        <w:trPr>
          <w:trHeight w:val="289"/>
        </w:trPr>
        <w:tc>
          <w:tcPr>
            <w:tcW w:w="511" w:type="dxa"/>
          </w:tcPr>
          <w:p w14:paraId="0A7187FA" w14:textId="77777777" w:rsidR="00DC6D9B" w:rsidRDefault="00DC6D9B" w:rsidP="00CD363C">
            <w:pPr>
              <w:pStyle w:val="TableParagraph"/>
              <w:ind w:left="36" w:right="124"/>
              <w:jc w:val="both"/>
              <w:rPr>
                <w:i/>
              </w:rPr>
            </w:pPr>
            <w:r>
              <w:rPr>
                <w:i/>
              </w:rPr>
              <w:t>K</w:t>
            </w:r>
          </w:p>
        </w:tc>
        <w:tc>
          <w:tcPr>
            <w:tcW w:w="782" w:type="dxa"/>
          </w:tcPr>
          <w:p w14:paraId="407A2F4D" w14:textId="77777777" w:rsidR="00DC6D9B" w:rsidRDefault="00DC6D9B" w:rsidP="00CD363C">
            <w:pPr>
              <w:pStyle w:val="TableParagraph"/>
              <w:ind w:left="130" w:right="124"/>
              <w:jc w:val="both"/>
              <w:rPr>
                <w:i/>
              </w:rPr>
            </w:pPr>
            <w:r>
              <w:rPr>
                <w:i/>
              </w:rPr>
              <w:t>5317</w:t>
            </w:r>
          </w:p>
        </w:tc>
        <w:tc>
          <w:tcPr>
            <w:tcW w:w="4626" w:type="dxa"/>
          </w:tcPr>
          <w:p w14:paraId="2A7580A1" w14:textId="77777777" w:rsidR="00DC6D9B" w:rsidRDefault="00DC6D9B" w:rsidP="00CD363C">
            <w:pPr>
              <w:pStyle w:val="TableParagraph"/>
              <w:ind w:left="188" w:right="124"/>
              <w:jc w:val="both"/>
              <w:rPr>
                <w:i/>
              </w:rPr>
            </w:pPr>
            <w:r>
              <w:rPr>
                <w:i/>
              </w:rPr>
              <w:t>Saistības par procentu un citiem maksājumiem</w:t>
            </w:r>
          </w:p>
        </w:tc>
        <w:tc>
          <w:tcPr>
            <w:tcW w:w="1603" w:type="dxa"/>
          </w:tcPr>
          <w:p w14:paraId="78D46A4A" w14:textId="77777777" w:rsidR="00DC6D9B" w:rsidRDefault="00DC6D9B" w:rsidP="00CD363C">
            <w:pPr>
              <w:pStyle w:val="TableParagraph"/>
              <w:ind w:right="124"/>
              <w:jc w:val="both"/>
              <w:rPr>
                <w:i/>
              </w:rPr>
            </w:pPr>
            <w:r>
              <w:rPr>
                <w:i/>
              </w:rPr>
              <w:t>476,24 EUR</w:t>
            </w:r>
          </w:p>
        </w:tc>
      </w:tr>
    </w:tbl>
    <w:p w14:paraId="4CC81839" w14:textId="77777777" w:rsidR="00DC6D9B" w:rsidRDefault="00DC6D9B" w:rsidP="00CD363C">
      <w:pPr>
        <w:pStyle w:val="Pamatteksts"/>
        <w:ind w:right="124"/>
        <w:jc w:val="both"/>
        <w:rPr>
          <w:i/>
          <w:sz w:val="20"/>
        </w:rPr>
      </w:pPr>
    </w:p>
    <w:p w14:paraId="335633DA"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82"/>
        <w:gridCol w:w="4679"/>
        <w:gridCol w:w="1595"/>
      </w:tblGrid>
      <w:tr w:rsidR="00DC6D9B" w14:paraId="3782F6CB" w14:textId="77777777" w:rsidTr="00535ACC">
        <w:trPr>
          <w:trHeight w:val="287"/>
        </w:trPr>
        <w:tc>
          <w:tcPr>
            <w:tcW w:w="7564" w:type="dxa"/>
            <w:gridSpan w:val="4"/>
          </w:tcPr>
          <w:p w14:paraId="0D0FF050" w14:textId="77777777" w:rsidR="00DC6D9B" w:rsidRDefault="00DC6D9B" w:rsidP="00CD363C">
            <w:pPr>
              <w:pStyle w:val="TableParagraph"/>
              <w:ind w:left="200" w:right="124"/>
              <w:jc w:val="both"/>
              <w:rPr>
                <w:i/>
              </w:rPr>
            </w:pPr>
            <w:r>
              <w:rPr>
                <w:i/>
              </w:rPr>
              <w:t>2019. gada beigās grāmatojums, veicot samaksu par finanšu nomu:</w:t>
            </w:r>
          </w:p>
        </w:tc>
      </w:tr>
      <w:tr w:rsidR="00DC6D9B" w14:paraId="3F26CCE3" w14:textId="77777777" w:rsidTr="00535ACC">
        <w:trPr>
          <w:trHeight w:val="625"/>
        </w:trPr>
        <w:tc>
          <w:tcPr>
            <w:tcW w:w="508" w:type="dxa"/>
          </w:tcPr>
          <w:p w14:paraId="36429965" w14:textId="77777777" w:rsidR="00DC6D9B" w:rsidRDefault="00DC6D9B" w:rsidP="00CD363C">
            <w:pPr>
              <w:pStyle w:val="TableParagraph"/>
              <w:ind w:left="200" w:right="124"/>
              <w:jc w:val="both"/>
              <w:rPr>
                <w:i/>
              </w:rPr>
            </w:pPr>
            <w:r>
              <w:rPr>
                <w:i/>
              </w:rPr>
              <w:t>D D</w:t>
            </w:r>
          </w:p>
        </w:tc>
        <w:tc>
          <w:tcPr>
            <w:tcW w:w="782" w:type="dxa"/>
          </w:tcPr>
          <w:p w14:paraId="340394C1" w14:textId="77777777" w:rsidR="00DC6D9B" w:rsidRDefault="00DC6D9B" w:rsidP="00CD363C">
            <w:pPr>
              <w:pStyle w:val="TableParagraph"/>
              <w:ind w:left="147" w:right="124"/>
              <w:jc w:val="both"/>
              <w:rPr>
                <w:i/>
              </w:rPr>
            </w:pPr>
            <w:r>
              <w:rPr>
                <w:i/>
              </w:rPr>
              <w:t>5315</w:t>
            </w:r>
          </w:p>
          <w:p w14:paraId="086E7A85" w14:textId="77777777" w:rsidR="00DC6D9B" w:rsidRDefault="00DC6D9B" w:rsidP="00CD363C">
            <w:pPr>
              <w:pStyle w:val="TableParagraph"/>
              <w:ind w:left="147" w:right="124"/>
              <w:jc w:val="both"/>
              <w:rPr>
                <w:i/>
              </w:rPr>
            </w:pPr>
            <w:r>
              <w:rPr>
                <w:i/>
              </w:rPr>
              <w:t>5317</w:t>
            </w:r>
          </w:p>
        </w:tc>
        <w:tc>
          <w:tcPr>
            <w:tcW w:w="4679" w:type="dxa"/>
          </w:tcPr>
          <w:p w14:paraId="115F01F5" w14:textId="77777777" w:rsidR="00DC6D9B" w:rsidRDefault="00DC6D9B" w:rsidP="00CD363C">
            <w:pPr>
              <w:pStyle w:val="TableParagraph"/>
              <w:ind w:left="191" w:right="124"/>
              <w:jc w:val="both"/>
              <w:rPr>
                <w:i/>
              </w:rPr>
            </w:pPr>
            <w:r>
              <w:rPr>
                <w:i/>
              </w:rPr>
              <w:t>Īstermiņa saistības par finanšu nomu  Saistības par procentu un citiem</w:t>
            </w:r>
            <w:r>
              <w:rPr>
                <w:i/>
                <w:spacing w:val="-15"/>
              </w:rPr>
              <w:t xml:space="preserve"> </w:t>
            </w:r>
            <w:r>
              <w:rPr>
                <w:i/>
              </w:rPr>
              <w:t>maksājumiem</w:t>
            </w:r>
          </w:p>
        </w:tc>
        <w:tc>
          <w:tcPr>
            <w:tcW w:w="1595" w:type="dxa"/>
          </w:tcPr>
          <w:p w14:paraId="04DACBFB" w14:textId="77777777" w:rsidR="00DC6D9B" w:rsidRDefault="00DC6D9B" w:rsidP="00CD363C">
            <w:pPr>
              <w:pStyle w:val="TableParagraph"/>
              <w:ind w:left="138" w:right="124"/>
              <w:jc w:val="both"/>
              <w:rPr>
                <w:i/>
              </w:rPr>
            </w:pPr>
            <w:r>
              <w:rPr>
                <w:i/>
              </w:rPr>
              <w:t>1723,76 EUR</w:t>
            </w:r>
          </w:p>
          <w:p w14:paraId="58D00398" w14:textId="77777777" w:rsidR="00DC6D9B" w:rsidRDefault="00DC6D9B" w:rsidP="00CD363C">
            <w:pPr>
              <w:pStyle w:val="TableParagraph"/>
              <w:ind w:left="138" w:right="124"/>
              <w:jc w:val="both"/>
              <w:rPr>
                <w:i/>
              </w:rPr>
            </w:pPr>
            <w:r>
              <w:rPr>
                <w:i/>
              </w:rPr>
              <w:t>476,24 EUR</w:t>
            </w:r>
          </w:p>
        </w:tc>
      </w:tr>
      <w:tr w:rsidR="00DC6D9B" w14:paraId="4B9E06E2" w14:textId="77777777" w:rsidTr="00535ACC">
        <w:trPr>
          <w:trHeight w:val="541"/>
        </w:trPr>
        <w:tc>
          <w:tcPr>
            <w:tcW w:w="508" w:type="dxa"/>
          </w:tcPr>
          <w:p w14:paraId="4E8F052B" w14:textId="77777777" w:rsidR="00DC6D9B" w:rsidRDefault="00DC6D9B" w:rsidP="00CD363C">
            <w:pPr>
              <w:pStyle w:val="TableParagraph"/>
              <w:ind w:left="200" w:right="124"/>
              <w:jc w:val="both"/>
              <w:rPr>
                <w:i/>
              </w:rPr>
            </w:pPr>
            <w:r>
              <w:rPr>
                <w:i/>
              </w:rPr>
              <w:t>K</w:t>
            </w:r>
          </w:p>
        </w:tc>
        <w:tc>
          <w:tcPr>
            <w:tcW w:w="782" w:type="dxa"/>
          </w:tcPr>
          <w:p w14:paraId="5FC62141" w14:textId="77777777" w:rsidR="00DC6D9B" w:rsidRDefault="00DC6D9B" w:rsidP="00CD363C">
            <w:pPr>
              <w:pStyle w:val="TableParagraph"/>
              <w:ind w:left="147" w:right="124"/>
              <w:jc w:val="both"/>
              <w:rPr>
                <w:i/>
              </w:rPr>
            </w:pPr>
            <w:r>
              <w:rPr>
                <w:i/>
              </w:rPr>
              <w:t>2620</w:t>
            </w:r>
          </w:p>
        </w:tc>
        <w:tc>
          <w:tcPr>
            <w:tcW w:w="4679" w:type="dxa"/>
          </w:tcPr>
          <w:p w14:paraId="4EF6A443" w14:textId="77777777" w:rsidR="00DC6D9B" w:rsidRDefault="00DC6D9B" w:rsidP="00CD363C">
            <w:pPr>
              <w:pStyle w:val="TableParagraph"/>
              <w:ind w:left="191" w:right="124"/>
              <w:jc w:val="both"/>
              <w:rPr>
                <w:i/>
              </w:rPr>
            </w:pPr>
            <w:r>
              <w:rPr>
                <w:i/>
              </w:rPr>
              <w:t>Norēķinu konti Valsts kasē, kredītiestādēs vai citās institūcijās</w:t>
            </w:r>
          </w:p>
        </w:tc>
        <w:tc>
          <w:tcPr>
            <w:tcW w:w="1595" w:type="dxa"/>
          </w:tcPr>
          <w:p w14:paraId="67087C86" w14:textId="77777777" w:rsidR="00DC6D9B" w:rsidRDefault="00DC6D9B" w:rsidP="00CD363C">
            <w:pPr>
              <w:pStyle w:val="TableParagraph"/>
              <w:ind w:left="138" w:right="124"/>
              <w:jc w:val="both"/>
              <w:rPr>
                <w:i/>
              </w:rPr>
            </w:pPr>
            <w:r>
              <w:rPr>
                <w:i/>
              </w:rPr>
              <w:t>2 200,00 EUR</w:t>
            </w:r>
          </w:p>
        </w:tc>
      </w:tr>
    </w:tbl>
    <w:p w14:paraId="087ADCA7" w14:textId="77777777" w:rsidR="00DC6D9B" w:rsidRDefault="00DC6D9B" w:rsidP="00CD363C">
      <w:pPr>
        <w:pStyle w:val="Pamatteksts"/>
        <w:ind w:right="124"/>
        <w:jc w:val="both"/>
        <w:rPr>
          <w:i/>
          <w:sz w:val="20"/>
        </w:rPr>
      </w:pPr>
    </w:p>
    <w:p w14:paraId="6C6FB042"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82"/>
        <w:gridCol w:w="4181"/>
        <w:gridCol w:w="2081"/>
      </w:tblGrid>
      <w:tr w:rsidR="00DC6D9B" w14:paraId="3CE4283D" w14:textId="77777777" w:rsidTr="00535ACC">
        <w:trPr>
          <w:trHeight w:val="541"/>
        </w:trPr>
        <w:tc>
          <w:tcPr>
            <w:tcW w:w="7552" w:type="dxa"/>
            <w:gridSpan w:val="4"/>
          </w:tcPr>
          <w:p w14:paraId="13C9B9A8" w14:textId="77777777" w:rsidR="00DC6D9B" w:rsidRDefault="00DC6D9B" w:rsidP="00CD363C">
            <w:pPr>
              <w:pStyle w:val="TableParagraph"/>
              <w:ind w:left="200" w:right="124"/>
              <w:jc w:val="both"/>
              <w:rPr>
                <w:i/>
              </w:rPr>
            </w:pPr>
            <w:r>
              <w:rPr>
                <w:i/>
              </w:rPr>
              <w:t>2019. gada beigās grāmatojums, atzīstot finanšu nomas īstermiņa daļu, kas attiecas uz 2020.gadu:</w:t>
            </w:r>
          </w:p>
        </w:tc>
      </w:tr>
      <w:tr w:rsidR="00DC6D9B" w14:paraId="1088ACF8" w14:textId="77777777" w:rsidTr="00535ACC">
        <w:trPr>
          <w:trHeight w:val="333"/>
        </w:trPr>
        <w:tc>
          <w:tcPr>
            <w:tcW w:w="508" w:type="dxa"/>
          </w:tcPr>
          <w:p w14:paraId="17E88D92" w14:textId="77777777" w:rsidR="00DC6D9B" w:rsidRDefault="00DC6D9B" w:rsidP="00CD363C">
            <w:pPr>
              <w:pStyle w:val="TableParagraph"/>
              <w:ind w:left="51" w:right="124"/>
              <w:jc w:val="both"/>
              <w:rPr>
                <w:i/>
              </w:rPr>
            </w:pPr>
            <w:r>
              <w:rPr>
                <w:i/>
              </w:rPr>
              <w:t>D</w:t>
            </w:r>
          </w:p>
        </w:tc>
        <w:tc>
          <w:tcPr>
            <w:tcW w:w="782" w:type="dxa"/>
          </w:tcPr>
          <w:p w14:paraId="4F8BD29C" w14:textId="77777777" w:rsidR="00DC6D9B" w:rsidRDefault="00DC6D9B" w:rsidP="00CD363C">
            <w:pPr>
              <w:pStyle w:val="TableParagraph"/>
              <w:ind w:left="126" w:right="124"/>
              <w:jc w:val="both"/>
              <w:rPr>
                <w:i/>
              </w:rPr>
            </w:pPr>
            <w:r>
              <w:rPr>
                <w:i/>
              </w:rPr>
              <w:t>5135</w:t>
            </w:r>
          </w:p>
        </w:tc>
        <w:tc>
          <w:tcPr>
            <w:tcW w:w="4181" w:type="dxa"/>
          </w:tcPr>
          <w:p w14:paraId="421B89D5" w14:textId="77777777" w:rsidR="00DC6D9B" w:rsidRDefault="00DC6D9B" w:rsidP="00CD363C">
            <w:pPr>
              <w:pStyle w:val="TableParagraph"/>
              <w:ind w:left="191" w:right="124"/>
              <w:jc w:val="both"/>
              <w:rPr>
                <w:i/>
              </w:rPr>
            </w:pPr>
            <w:r>
              <w:rPr>
                <w:i/>
              </w:rPr>
              <w:t>Ilgtermiņa saistības par finanšu nomu</w:t>
            </w:r>
          </w:p>
        </w:tc>
        <w:tc>
          <w:tcPr>
            <w:tcW w:w="2081" w:type="dxa"/>
          </w:tcPr>
          <w:p w14:paraId="35837E15" w14:textId="77777777" w:rsidR="00DC6D9B" w:rsidRDefault="00DC6D9B" w:rsidP="00CD363C">
            <w:pPr>
              <w:pStyle w:val="TableParagraph"/>
              <w:ind w:right="124"/>
              <w:jc w:val="both"/>
              <w:rPr>
                <w:i/>
              </w:rPr>
            </w:pPr>
            <w:r>
              <w:rPr>
                <w:i/>
              </w:rPr>
              <w:t>1 809,95 EUR</w:t>
            </w:r>
          </w:p>
        </w:tc>
      </w:tr>
      <w:tr w:rsidR="00DC6D9B" w14:paraId="51EF6EB1" w14:textId="77777777" w:rsidTr="00535ACC">
        <w:trPr>
          <w:trHeight w:val="289"/>
        </w:trPr>
        <w:tc>
          <w:tcPr>
            <w:tcW w:w="508" w:type="dxa"/>
          </w:tcPr>
          <w:p w14:paraId="6660688E" w14:textId="77777777" w:rsidR="00DC6D9B" w:rsidRDefault="00DC6D9B" w:rsidP="00CD363C">
            <w:pPr>
              <w:pStyle w:val="TableParagraph"/>
              <w:ind w:left="39" w:right="124"/>
              <w:jc w:val="both"/>
              <w:rPr>
                <w:i/>
              </w:rPr>
            </w:pPr>
            <w:r>
              <w:rPr>
                <w:i/>
              </w:rPr>
              <w:t>K</w:t>
            </w:r>
          </w:p>
        </w:tc>
        <w:tc>
          <w:tcPr>
            <w:tcW w:w="782" w:type="dxa"/>
          </w:tcPr>
          <w:p w14:paraId="1B97EDD9" w14:textId="77777777" w:rsidR="00DC6D9B" w:rsidRDefault="00DC6D9B" w:rsidP="00CD363C">
            <w:pPr>
              <w:pStyle w:val="TableParagraph"/>
              <w:ind w:left="126" w:right="124"/>
              <w:jc w:val="both"/>
              <w:rPr>
                <w:i/>
              </w:rPr>
            </w:pPr>
            <w:r>
              <w:rPr>
                <w:i/>
              </w:rPr>
              <w:t>5315</w:t>
            </w:r>
          </w:p>
        </w:tc>
        <w:tc>
          <w:tcPr>
            <w:tcW w:w="4181" w:type="dxa"/>
          </w:tcPr>
          <w:p w14:paraId="2E8C64A4" w14:textId="77777777" w:rsidR="00DC6D9B" w:rsidRDefault="00DC6D9B" w:rsidP="00CD363C">
            <w:pPr>
              <w:pStyle w:val="TableParagraph"/>
              <w:ind w:left="191" w:right="124"/>
              <w:jc w:val="both"/>
              <w:rPr>
                <w:i/>
              </w:rPr>
            </w:pPr>
            <w:r>
              <w:rPr>
                <w:i/>
              </w:rPr>
              <w:t>Īstermiņa saistības par finanšu nomu</w:t>
            </w:r>
          </w:p>
        </w:tc>
        <w:tc>
          <w:tcPr>
            <w:tcW w:w="2081" w:type="dxa"/>
          </w:tcPr>
          <w:p w14:paraId="5AFDB401" w14:textId="77777777" w:rsidR="00DC6D9B" w:rsidRDefault="00DC6D9B" w:rsidP="00CD363C">
            <w:pPr>
              <w:pStyle w:val="TableParagraph"/>
              <w:ind w:right="124"/>
              <w:jc w:val="both"/>
              <w:rPr>
                <w:i/>
              </w:rPr>
            </w:pPr>
            <w:r>
              <w:rPr>
                <w:i/>
              </w:rPr>
              <w:t>1 809,95 EUR</w:t>
            </w:r>
          </w:p>
        </w:tc>
      </w:tr>
    </w:tbl>
    <w:p w14:paraId="69765E74" w14:textId="77777777" w:rsidR="00DC6D9B" w:rsidRDefault="00DC6D9B" w:rsidP="00CD363C">
      <w:pPr>
        <w:pStyle w:val="Pamatteksts"/>
        <w:ind w:right="124"/>
        <w:jc w:val="both"/>
        <w:rPr>
          <w:i/>
          <w:sz w:val="20"/>
        </w:rPr>
      </w:pPr>
    </w:p>
    <w:p w14:paraId="7D128664"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5098"/>
        <w:gridCol w:w="1606"/>
      </w:tblGrid>
      <w:tr w:rsidR="00DC6D9B" w14:paraId="768BD0CF" w14:textId="77777777" w:rsidTr="00535ACC">
        <w:trPr>
          <w:trHeight w:val="289"/>
        </w:trPr>
        <w:tc>
          <w:tcPr>
            <w:tcW w:w="8082" w:type="dxa"/>
            <w:gridSpan w:val="4"/>
          </w:tcPr>
          <w:p w14:paraId="4ABAAD01" w14:textId="77777777" w:rsidR="00DC6D9B" w:rsidRDefault="00DC6D9B" w:rsidP="00CD363C">
            <w:pPr>
              <w:pStyle w:val="TableParagraph"/>
              <w:ind w:left="200" w:right="124"/>
              <w:jc w:val="both"/>
              <w:rPr>
                <w:i/>
              </w:rPr>
            </w:pPr>
            <w:r>
              <w:rPr>
                <w:i/>
              </w:rPr>
              <w:t>2020. gada beigās grāmatojums, atzīstot procentu izdevumus par finanšu nomu:</w:t>
            </w:r>
          </w:p>
        </w:tc>
      </w:tr>
      <w:tr w:rsidR="00DC6D9B" w14:paraId="6DD2DEDD" w14:textId="77777777" w:rsidTr="00535ACC">
        <w:trPr>
          <w:trHeight w:val="333"/>
        </w:trPr>
        <w:tc>
          <w:tcPr>
            <w:tcW w:w="508" w:type="dxa"/>
          </w:tcPr>
          <w:p w14:paraId="6CD6800B" w14:textId="77777777" w:rsidR="00DC6D9B" w:rsidRDefault="00DC6D9B" w:rsidP="00CD363C">
            <w:pPr>
              <w:pStyle w:val="TableParagraph"/>
              <w:ind w:left="51" w:right="124"/>
              <w:jc w:val="both"/>
              <w:rPr>
                <w:i/>
              </w:rPr>
            </w:pPr>
            <w:r>
              <w:rPr>
                <w:i/>
              </w:rPr>
              <w:t>D</w:t>
            </w:r>
          </w:p>
        </w:tc>
        <w:tc>
          <w:tcPr>
            <w:tcW w:w="870" w:type="dxa"/>
          </w:tcPr>
          <w:p w14:paraId="7BFB2718" w14:textId="77777777" w:rsidR="00DC6D9B" w:rsidRDefault="00DC6D9B" w:rsidP="00CD363C">
            <w:pPr>
              <w:pStyle w:val="TableParagraph"/>
              <w:ind w:left="147" w:right="124"/>
              <w:jc w:val="both"/>
              <w:rPr>
                <w:i/>
              </w:rPr>
            </w:pPr>
            <w:r>
              <w:rPr>
                <w:i/>
              </w:rPr>
              <w:t>8220</w:t>
            </w:r>
          </w:p>
        </w:tc>
        <w:tc>
          <w:tcPr>
            <w:tcW w:w="5098" w:type="dxa"/>
          </w:tcPr>
          <w:p w14:paraId="6D17C2B8" w14:textId="77777777" w:rsidR="00DC6D9B" w:rsidRDefault="00DC6D9B" w:rsidP="00CD363C">
            <w:pPr>
              <w:pStyle w:val="TableParagraph"/>
              <w:ind w:left="608" w:right="124"/>
              <w:jc w:val="both"/>
              <w:rPr>
                <w:i/>
              </w:rPr>
            </w:pPr>
            <w:r>
              <w:rPr>
                <w:i/>
              </w:rPr>
              <w:t>Procentu izdevumi</w:t>
            </w:r>
          </w:p>
        </w:tc>
        <w:tc>
          <w:tcPr>
            <w:tcW w:w="1606" w:type="dxa"/>
          </w:tcPr>
          <w:p w14:paraId="4396088D" w14:textId="77777777" w:rsidR="00DC6D9B" w:rsidRDefault="00DC6D9B" w:rsidP="00CD363C">
            <w:pPr>
              <w:pStyle w:val="TableParagraph"/>
              <w:ind w:left="123" w:right="124"/>
              <w:jc w:val="both"/>
              <w:rPr>
                <w:i/>
              </w:rPr>
            </w:pPr>
            <w:r>
              <w:rPr>
                <w:i/>
              </w:rPr>
              <w:t>390,05 EUR</w:t>
            </w:r>
          </w:p>
        </w:tc>
      </w:tr>
      <w:tr w:rsidR="00DC6D9B" w14:paraId="7D71E875" w14:textId="77777777" w:rsidTr="00535ACC">
        <w:trPr>
          <w:trHeight w:val="499"/>
        </w:trPr>
        <w:tc>
          <w:tcPr>
            <w:tcW w:w="508" w:type="dxa"/>
          </w:tcPr>
          <w:p w14:paraId="4DBCB5BA" w14:textId="77777777" w:rsidR="00DC6D9B" w:rsidRDefault="00DC6D9B" w:rsidP="00CD363C">
            <w:pPr>
              <w:pStyle w:val="TableParagraph"/>
              <w:ind w:left="39" w:right="124"/>
              <w:jc w:val="both"/>
              <w:rPr>
                <w:i/>
              </w:rPr>
            </w:pPr>
            <w:r>
              <w:rPr>
                <w:i/>
              </w:rPr>
              <w:t>K</w:t>
            </w:r>
          </w:p>
        </w:tc>
        <w:tc>
          <w:tcPr>
            <w:tcW w:w="870" w:type="dxa"/>
          </w:tcPr>
          <w:p w14:paraId="5B947AB5" w14:textId="77777777" w:rsidR="00DC6D9B" w:rsidRDefault="00DC6D9B" w:rsidP="00CD363C">
            <w:pPr>
              <w:pStyle w:val="TableParagraph"/>
              <w:ind w:left="147" w:right="124"/>
              <w:jc w:val="both"/>
              <w:rPr>
                <w:i/>
              </w:rPr>
            </w:pPr>
            <w:r>
              <w:rPr>
                <w:i/>
              </w:rPr>
              <w:t>5317</w:t>
            </w:r>
          </w:p>
        </w:tc>
        <w:tc>
          <w:tcPr>
            <w:tcW w:w="5098" w:type="dxa"/>
          </w:tcPr>
          <w:p w14:paraId="6A345F4C" w14:textId="77777777" w:rsidR="00DC6D9B" w:rsidRDefault="00DC6D9B" w:rsidP="00CD363C">
            <w:pPr>
              <w:pStyle w:val="TableParagraph"/>
              <w:ind w:left="608" w:right="124"/>
              <w:jc w:val="both"/>
              <w:rPr>
                <w:i/>
              </w:rPr>
            </w:pPr>
            <w:r>
              <w:rPr>
                <w:i/>
              </w:rPr>
              <w:t>Saistības par procentu un citiem maksājumiem</w:t>
            </w:r>
          </w:p>
        </w:tc>
        <w:tc>
          <w:tcPr>
            <w:tcW w:w="1606" w:type="dxa"/>
          </w:tcPr>
          <w:p w14:paraId="7638D5E0" w14:textId="77777777" w:rsidR="00DC6D9B" w:rsidRDefault="00DC6D9B" w:rsidP="00CD363C">
            <w:pPr>
              <w:pStyle w:val="TableParagraph"/>
              <w:ind w:left="123" w:right="124"/>
              <w:jc w:val="both"/>
              <w:rPr>
                <w:i/>
              </w:rPr>
            </w:pPr>
            <w:r>
              <w:rPr>
                <w:i/>
              </w:rPr>
              <w:t>390,05 EUR</w:t>
            </w:r>
          </w:p>
        </w:tc>
      </w:tr>
      <w:tr w:rsidR="00DC6D9B" w14:paraId="2DAD6FEA" w14:textId="77777777" w:rsidTr="00535ACC">
        <w:trPr>
          <w:trHeight w:val="499"/>
        </w:trPr>
        <w:tc>
          <w:tcPr>
            <w:tcW w:w="8082" w:type="dxa"/>
            <w:gridSpan w:val="4"/>
          </w:tcPr>
          <w:p w14:paraId="15EFDAE6" w14:textId="77777777" w:rsidR="00DC6D9B" w:rsidRDefault="00DC6D9B" w:rsidP="00CD363C">
            <w:pPr>
              <w:pStyle w:val="TableParagraph"/>
              <w:ind w:left="200" w:right="124"/>
              <w:jc w:val="both"/>
              <w:rPr>
                <w:i/>
              </w:rPr>
            </w:pPr>
            <w:r>
              <w:rPr>
                <w:i/>
              </w:rPr>
              <w:t>2020. gada beigās grāmatojums, veicot samaksu par finanšu nomu:</w:t>
            </w:r>
          </w:p>
        </w:tc>
      </w:tr>
      <w:tr w:rsidR="00DC6D9B" w14:paraId="4EED5734" w14:textId="77777777" w:rsidTr="00535ACC">
        <w:trPr>
          <w:trHeight w:val="626"/>
        </w:trPr>
        <w:tc>
          <w:tcPr>
            <w:tcW w:w="508" w:type="dxa"/>
          </w:tcPr>
          <w:p w14:paraId="71AB2CFC" w14:textId="77777777" w:rsidR="00DC6D9B" w:rsidRDefault="00DC6D9B" w:rsidP="00CD363C">
            <w:pPr>
              <w:pStyle w:val="TableParagraph"/>
              <w:ind w:left="200" w:right="124"/>
              <w:jc w:val="both"/>
              <w:rPr>
                <w:i/>
              </w:rPr>
            </w:pPr>
            <w:r>
              <w:rPr>
                <w:i/>
              </w:rPr>
              <w:t>D D</w:t>
            </w:r>
          </w:p>
        </w:tc>
        <w:tc>
          <w:tcPr>
            <w:tcW w:w="870" w:type="dxa"/>
          </w:tcPr>
          <w:p w14:paraId="4EE9BC9A" w14:textId="77777777" w:rsidR="00DC6D9B" w:rsidRDefault="00DC6D9B" w:rsidP="00CD363C">
            <w:pPr>
              <w:pStyle w:val="TableParagraph"/>
              <w:ind w:left="147" w:right="124"/>
              <w:jc w:val="both"/>
              <w:rPr>
                <w:i/>
              </w:rPr>
            </w:pPr>
            <w:r>
              <w:rPr>
                <w:i/>
              </w:rPr>
              <w:t>5315</w:t>
            </w:r>
          </w:p>
          <w:p w14:paraId="77F53FED" w14:textId="77777777" w:rsidR="00DC6D9B" w:rsidRDefault="00DC6D9B" w:rsidP="00CD363C">
            <w:pPr>
              <w:pStyle w:val="TableParagraph"/>
              <w:ind w:left="147" w:right="124"/>
              <w:jc w:val="both"/>
              <w:rPr>
                <w:i/>
              </w:rPr>
            </w:pPr>
            <w:r>
              <w:rPr>
                <w:i/>
              </w:rPr>
              <w:t>5317</w:t>
            </w:r>
          </w:p>
        </w:tc>
        <w:tc>
          <w:tcPr>
            <w:tcW w:w="5098" w:type="dxa"/>
          </w:tcPr>
          <w:p w14:paraId="16A25B17" w14:textId="77777777" w:rsidR="00DC6D9B" w:rsidRDefault="00DC6D9B" w:rsidP="00CD363C">
            <w:pPr>
              <w:pStyle w:val="TableParagraph"/>
              <w:ind w:left="278" w:right="124"/>
              <w:jc w:val="both"/>
              <w:rPr>
                <w:i/>
              </w:rPr>
            </w:pPr>
            <w:r>
              <w:rPr>
                <w:i/>
              </w:rPr>
              <w:t>Īstermiņa saistības par finanšu nomu  Saistības par procentu un citiem</w:t>
            </w:r>
            <w:r>
              <w:rPr>
                <w:i/>
                <w:spacing w:val="-15"/>
              </w:rPr>
              <w:t xml:space="preserve"> </w:t>
            </w:r>
            <w:r>
              <w:rPr>
                <w:i/>
              </w:rPr>
              <w:t>maksājumiem</w:t>
            </w:r>
          </w:p>
        </w:tc>
        <w:tc>
          <w:tcPr>
            <w:tcW w:w="1606" w:type="dxa"/>
          </w:tcPr>
          <w:p w14:paraId="6D8D3BB9" w14:textId="77777777" w:rsidR="00DC6D9B" w:rsidRDefault="00DC6D9B" w:rsidP="00CD363C">
            <w:pPr>
              <w:pStyle w:val="TableParagraph"/>
              <w:ind w:left="147" w:right="124"/>
              <w:jc w:val="both"/>
              <w:rPr>
                <w:i/>
              </w:rPr>
            </w:pPr>
            <w:r>
              <w:rPr>
                <w:i/>
              </w:rPr>
              <w:t>1809,95 EUR</w:t>
            </w:r>
          </w:p>
          <w:p w14:paraId="5E391527" w14:textId="77777777" w:rsidR="00DC6D9B" w:rsidRDefault="00DC6D9B" w:rsidP="00CD363C">
            <w:pPr>
              <w:pStyle w:val="TableParagraph"/>
              <w:ind w:left="147" w:right="124"/>
              <w:jc w:val="both"/>
              <w:rPr>
                <w:i/>
              </w:rPr>
            </w:pPr>
            <w:r>
              <w:rPr>
                <w:i/>
              </w:rPr>
              <w:t>390,05 EUR</w:t>
            </w:r>
          </w:p>
        </w:tc>
      </w:tr>
      <w:tr w:rsidR="00DC6D9B" w14:paraId="7F3460E9" w14:textId="77777777" w:rsidTr="00535ACC">
        <w:trPr>
          <w:trHeight w:val="541"/>
        </w:trPr>
        <w:tc>
          <w:tcPr>
            <w:tcW w:w="508" w:type="dxa"/>
          </w:tcPr>
          <w:p w14:paraId="02373E29" w14:textId="77777777" w:rsidR="00DC6D9B" w:rsidRDefault="00DC6D9B" w:rsidP="00CD363C">
            <w:pPr>
              <w:pStyle w:val="TableParagraph"/>
              <w:ind w:left="39" w:right="124"/>
              <w:jc w:val="both"/>
              <w:rPr>
                <w:i/>
              </w:rPr>
            </w:pPr>
            <w:r>
              <w:rPr>
                <w:i/>
              </w:rPr>
              <w:t>K</w:t>
            </w:r>
          </w:p>
        </w:tc>
        <w:tc>
          <w:tcPr>
            <w:tcW w:w="870" w:type="dxa"/>
          </w:tcPr>
          <w:p w14:paraId="1C585D53" w14:textId="77777777" w:rsidR="00DC6D9B" w:rsidRDefault="00DC6D9B" w:rsidP="00CD363C">
            <w:pPr>
              <w:pStyle w:val="TableParagraph"/>
              <w:ind w:left="147" w:right="124"/>
              <w:jc w:val="both"/>
              <w:rPr>
                <w:i/>
              </w:rPr>
            </w:pPr>
            <w:r>
              <w:rPr>
                <w:i/>
              </w:rPr>
              <w:t>2620</w:t>
            </w:r>
          </w:p>
        </w:tc>
        <w:tc>
          <w:tcPr>
            <w:tcW w:w="5098" w:type="dxa"/>
          </w:tcPr>
          <w:p w14:paraId="0500F600" w14:textId="77777777" w:rsidR="00DC6D9B" w:rsidRDefault="00DC6D9B" w:rsidP="00CD363C">
            <w:pPr>
              <w:pStyle w:val="TableParagraph"/>
              <w:ind w:left="278" w:right="124"/>
              <w:jc w:val="both"/>
              <w:rPr>
                <w:i/>
              </w:rPr>
            </w:pPr>
            <w:r>
              <w:rPr>
                <w:i/>
              </w:rPr>
              <w:t>Norēķinu konti Valsts kasē, kredītiestādēs vai citās institūcijās</w:t>
            </w:r>
          </w:p>
        </w:tc>
        <w:tc>
          <w:tcPr>
            <w:tcW w:w="1606" w:type="dxa"/>
          </w:tcPr>
          <w:p w14:paraId="10EA1500" w14:textId="77777777" w:rsidR="00DC6D9B" w:rsidRDefault="00DC6D9B" w:rsidP="00CD363C">
            <w:pPr>
              <w:pStyle w:val="TableParagraph"/>
              <w:ind w:left="147" w:right="124"/>
              <w:jc w:val="both"/>
              <w:rPr>
                <w:i/>
              </w:rPr>
            </w:pPr>
            <w:r>
              <w:rPr>
                <w:i/>
              </w:rPr>
              <w:t>2 200,00 EUR</w:t>
            </w:r>
          </w:p>
        </w:tc>
      </w:tr>
    </w:tbl>
    <w:p w14:paraId="1776C887" w14:textId="77777777" w:rsidR="00DC6D9B" w:rsidRDefault="00DC6D9B" w:rsidP="00CD363C">
      <w:pPr>
        <w:pStyle w:val="Pamatteksts"/>
        <w:ind w:right="124"/>
        <w:jc w:val="both"/>
        <w:rPr>
          <w:i/>
          <w:sz w:val="20"/>
        </w:rPr>
      </w:pPr>
    </w:p>
    <w:p w14:paraId="42F79C83"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27"/>
        <w:gridCol w:w="4126"/>
        <w:gridCol w:w="2081"/>
      </w:tblGrid>
      <w:tr w:rsidR="00DC6D9B" w14:paraId="1096038E" w14:textId="77777777" w:rsidTr="00535ACC">
        <w:trPr>
          <w:trHeight w:val="541"/>
        </w:trPr>
        <w:tc>
          <w:tcPr>
            <w:tcW w:w="7442" w:type="dxa"/>
            <w:gridSpan w:val="4"/>
          </w:tcPr>
          <w:p w14:paraId="303C33A5" w14:textId="77777777" w:rsidR="00DC6D9B" w:rsidRDefault="00DC6D9B" w:rsidP="00CD363C">
            <w:pPr>
              <w:pStyle w:val="TableParagraph"/>
              <w:ind w:left="200" w:right="124"/>
              <w:jc w:val="both"/>
              <w:rPr>
                <w:i/>
              </w:rPr>
            </w:pPr>
            <w:r>
              <w:rPr>
                <w:i/>
              </w:rPr>
              <w:t>2020. gada beigās grāmatojums, atzīstot finanšu nomas īstermiņa daļu, kas attiecas uz 2021.gadu:</w:t>
            </w:r>
          </w:p>
        </w:tc>
      </w:tr>
      <w:tr w:rsidR="00DC6D9B" w14:paraId="44189B2A" w14:textId="77777777" w:rsidTr="00535ACC">
        <w:trPr>
          <w:trHeight w:val="333"/>
        </w:trPr>
        <w:tc>
          <w:tcPr>
            <w:tcW w:w="508" w:type="dxa"/>
          </w:tcPr>
          <w:p w14:paraId="6613246B" w14:textId="77777777" w:rsidR="00DC6D9B" w:rsidRDefault="00DC6D9B" w:rsidP="00CD363C">
            <w:pPr>
              <w:pStyle w:val="TableParagraph"/>
              <w:ind w:left="51" w:right="124"/>
              <w:jc w:val="both"/>
              <w:rPr>
                <w:i/>
              </w:rPr>
            </w:pPr>
            <w:r>
              <w:rPr>
                <w:i/>
              </w:rPr>
              <w:t>D</w:t>
            </w:r>
          </w:p>
        </w:tc>
        <w:tc>
          <w:tcPr>
            <w:tcW w:w="727" w:type="dxa"/>
          </w:tcPr>
          <w:p w14:paraId="076901CE" w14:textId="77777777" w:rsidR="00DC6D9B" w:rsidRDefault="00DC6D9B" w:rsidP="00CD363C">
            <w:pPr>
              <w:pStyle w:val="TableParagraph"/>
              <w:ind w:right="124"/>
              <w:jc w:val="both"/>
              <w:rPr>
                <w:i/>
              </w:rPr>
            </w:pPr>
            <w:r>
              <w:rPr>
                <w:i/>
              </w:rPr>
              <w:t>5135</w:t>
            </w:r>
          </w:p>
        </w:tc>
        <w:tc>
          <w:tcPr>
            <w:tcW w:w="4126" w:type="dxa"/>
          </w:tcPr>
          <w:p w14:paraId="6276E2A6" w14:textId="77777777" w:rsidR="00DC6D9B" w:rsidRDefault="00DC6D9B" w:rsidP="00CD363C">
            <w:pPr>
              <w:pStyle w:val="TableParagraph"/>
              <w:ind w:left="136" w:right="124"/>
              <w:jc w:val="both"/>
              <w:rPr>
                <w:i/>
              </w:rPr>
            </w:pPr>
            <w:r>
              <w:rPr>
                <w:i/>
              </w:rPr>
              <w:t>Ilgtermiņa saistības par finanšu nomu</w:t>
            </w:r>
          </w:p>
        </w:tc>
        <w:tc>
          <w:tcPr>
            <w:tcW w:w="2081" w:type="dxa"/>
          </w:tcPr>
          <w:p w14:paraId="05E1D798" w14:textId="77777777" w:rsidR="00DC6D9B" w:rsidRDefault="00DC6D9B" w:rsidP="00CD363C">
            <w:pPr>
              <w:pStyle w:val="TableParagraph"/>
              <w:ind w:right="124"/>
              <w:jc w:val="both"/>
              <w:rPr>
                <w:i/>
              </w:rPr>
            </w:pPr>
            <w:r>
              <w:rPr>
                <w:i/>
              </w:rPr>
              <w:t>1 900,44 EUR</w:t>
            </w:r>
          </w:p>
        </w:tc>
      </w:tr>
      <w:tr w:rsidR="00DC6D9B" w14:paraId="68BF2ABE" w14:textId="77777777" w:rsidTr="00535ACC">
        <w:trPr>
          <w:trHeight w:val="289"/>
        </w:trPr>
        <w:tc>
          <w:tcPr>
            <w:tcW w:w="508" w:type="dxa"/>
          </w:tcPr>
          <w:p w14:paraId="7F0575E4" w14:textId="77777777" w:rsidR="00DC6D9B" w:rsidRDefault="00DC6D9B" w:rsidP="00CD363C">
            <w:pPr>
              <w:pStyle w:val="TableParagraph"/>
              <w:ind w:left="39" w:right="124"/>
              <w:jc w:val="both"/>
              <w:rPr>
                <w:i/>
              </w:rPr>
            </w:pPr>
            <w:r>
              <w:rPr>
                <w:i/>
              </w:rPr>
              <w:t>K</w:t>
            </w:r>
          </w:p>
        </w:tc>
        <w:tc>
          <w:tcPr>
            <w:tcW w:w="727" w:type="dxa"/>
          </w:tcPr>
          <w:p w14:paraId="0F88B1A7" w14:textId="77777777" w:rsidR="00DC6D9B" w:rsidRDefault="00DC6D9B" w:rsidP="00CD363C">
            <w:pPr>
              <w:pStyle w:val="TableParagraph"/>
              <w:ind w:right="124"/>
              <w:jc w:val="both"/>
              <w:rPr>
                <w:i/>
              </w:rPr>
            </w:pPr>
            <w:r>
              <w:rPr>
                <w:i/>
              </w:rPr>
              <w:t>5315</w:t>
            </w:r>
          </w:p>
        </w:tc>
        <w:tc>
          <w:tcPr>
            <w:tcW w:w="4126" w:type="dxa"/>
          </w:tcPr>
          <w:p w14:paraId="0A141708" w14:textId="77777777" w:rsidR="00DC6D9B" w:rsidRDefault="00DC6D9B" w:rsidP="00CD363C">
            <w:pPr>
              <w:pStyle w:val="TableParagraph"/>
              <w:ind w:left="136" w:right="124"/>
              <w:jc w:val="both"/>
              <w:rPr>
                <w:i/>
              </w:rPr>
            </w:pPr>
            <w:r>
              <w:rPr>
                <w:i/>
              </w:rPr>
              <w:t>Īstermiņa saistības par finanšu nomu</w:t>
            </w:r>
          </w:p>
        </w:tc>
        <w:tc>
          <w:tcPr>
            <w:tcW w:w="2081" w:type="dxa"/>
          </w:tcPr>
          <w:p w14:paraId="3FC44CB2" w14:textId="77777777" w:rsidR="00DC6D9B" w:rsidRDefault="00DC6D9B" w:rsidP="00CD363C">
            <w:pPr>
              <w:pStyle w:val="TableParagraph"/>
              <w:ind w:right="124"/>
              <w:jc w:val="both"/>
              <w:rPr>
                <w:i/>
              </w:rPr>
            </w:pPr>
            <w:r>
              <w:rPr>
                <w:i/>
              </w:rPr>
              <w:t>1 900,44 EUR</w:t>
            </w:r>
          </w:p>
        </w:tc>
      </w:tr>
    </w:tbl>
    <w:p w14:paraId="08D7B250" w14:textId="77777777" w:rsidR="00DC6D9B" w:rsidRDefault="00DC6D9B" w:rsidP="00CD363C">
      <w:pPr>
        <w:pStyle w:val="Pamatteksts"/>
        <w:ind w:right="124"/>
        <w:jc w:val="both"/>
        <w:rPr>
          <w:i/>
          <w:sz w:val="35"/>
        </w:rPr>
      </w:pPr>
    </w:p>
    <w:p w14:paraId="55E06122" w14:textId="77777777" w:rsidR="00DC6D9B" w:rsidRDefault="00DC6D9B" w:rsidP="00CD363C">
      <w:pPr>
        <w:spacing w:after="0" w:line="240" w:lineRule="auto"/>
        <w:ind w:left="430" w:right="124"/>
        <w:jc w:val="both"/>
        <w:rPr>
          <w:i/>
        </w:rPr>
      </w:pPr>
      <w:r>
        <w:rPr>
          <w:i/>
        </w:rPr>
        <w:t>2021. gada beigās grāmatojums, atzīstot procentu izdevumus par finanšu nomu:</w:t>
      </w:r>
    </w:p>
    <w:p w14:paraId="1BFB266D" w14:textId="77777777" w:rsidR="00DC6D9B" w:rsidRDefault="00DC6D9B" w:rsidP="00CD363C">
      <w:pPr>
        <w:spacing w:after="0" w:line="240" w:lineRule="auto"/>
        <w:ind w:right="124"/>
        <w:jc w:val="both"/>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4718"/>
        <w:gridCol w:w="1604"/>
      </w:tblGrid>
      <w:tr w:rsidR="00DC6D9B" w14:paraId="29200D51" w14:textId="77777777" w:rsidTr="00535ACC">
        <w:trPr>
          <w:trHeight w:val="287"/>
        </w:trPr>
        <w:tc>
          <w:tcPr>
            <w:tcW w:w="508" w:type="dxa"/>
          </w:tcPr>
          <w:p w14:paraId="0CFDEB9B" w14:textId="77777777" w:rsidR="00DC6D9B" w:rsidRDefault="00DC6D9B" w:rsidP="00CD363C">
            <w:pPr>
              <w:pStyle w:val="TableParagraph"/>
              <w:ind w:left="51" w:right="124"/>
              <w:jc w:val="both"/>
              <w:rPr>
                <w:i/>
              </w:rPr>
            </w:pPr>
            <w:r>
              <w:rPr>
                <w:i/>
              </w:rPr>
              <w:t>D</w:t>
            </w:r>
          </w:p>
        </w:tc>
        <w:tc>
          <w:tcPr>
            <w:tcW w:w="870" w:type="dxa"/>
          </w:tcPr>
          <w:p w14:paraId="04446225" w14:textId="77777777" w:rsidR="00DC6D9B" w:rsidRDefault="00DC6D9B" w:rsidP="00CD363C">
            <w:pPr>
              <w:pStyle w:val="TableParagraph"/>
              <w:ind w:left="147" w:right="124"/>
              <w:jc w:val="both"/>
              <w:rPr>
                <w:i/>
              </w:rPr>
            </w:pPr>
            <w:r>
              <w:rPr>
                <w:i/>
              </w:rPr>
              <w:t>8220</w:t>
            </w:r>
          </w:p>
        </w:tc>
        <w:tc>
          <w:tcPr>
            <w:tcW w:w="4718" w:type="dxa"/>
          </w:tcPr>
          <w:p w14:paraId="4E75C7D5" w14:textId="77777777" w:rsidR="00DC6D9B" w:rsidRDefault="00DC6D9B" w:rsidP="00CD363C">
            <w:pPr>
              <w:pStyle w:val="TableParagraph"/>
              <w:ind w:left="278" w:right="124"/>
              <w:jc w:val="both"/>
              <w:rPr>
                <w:i/>
              </w:rPr>
            </w:pPr>
            <w:r>
              <w:rPr>
                <w:i/>
              </w:rPr>
              <w:t>Procentu izdevumi</w:t>
            </w:r>
          </w:p>
        </w:tc>
        <w:tc>
          <w:tcPr>
            <w:tcW w:w="1604" w:type="dxa"/>
          </w:tcPr>
          <w:p w14:paraId="17801E88" w14:textId="77777777" w:rsidR="00DC6D9B" w:rsidRDefault="00DC6D9B" w:rsidP="00CD363C">
            <w:pPr>
              <w:pStyle w:val="TableParagraph"/>
              <w:ind w:right="124"/>
              <w:jc w:val="both"/>
              <w:rPr>
                <w:i/>
              </w:rPr>
            </w:pPr>
            <w:r>
              <w:rPr>
                <w:i/>
              </w:rPr>
              <w:t>299,56 EUR</w:t>
            </w:r>
          </w:p>
        </w:tc>
      </w:tr>
      <w:tr w:rsidR="00DC6D9B" w14:paraId="66157B37" w14:textId="77777777" w:rsidTr="00535ACC">
        <w:trPr>
          <w:trHeight w:val="287"/>
        </w:trPr>
        <w:tc>
          <w:tcPr>
            <w:tcW w:w="508" w:type="dxa"/>
          </w:tcPr>
          <w:p w14:paraId="4DABA1F5" w14:textId="77777777" w:rsidR="00DC6D9B" w:rsidRDefault="00DC6D9B" w:rsidP="00CD363C">
            <w:pPr>
              <w:pStyle w:val="TableParagraph"/>
              <w:ind w:left="39" w:right="124"/>
              <w:jc w:val="both"/>
              <w:rPr>
                <w:i/>
              </w:rPr>
            </w:pPr>
            <w:r>
              <w:rPr>
                <w:i/>
              </w:rPr>
              <w:t>K</w:t>
            </w:r>
          </w:p>
        </w:tc>
        <w:tc>
          <w:tcPr>
            <w:tcW w:w="870" w:type="dxa"/>
          </w:tcPr>
          <w:p w14:paraId="4C71236C" w14:textId="77777777" w:rsidR="00DC6D9B" w:rsidRDefault="00DC6D9B" w:rsidP="00CD363C">
            <w:pPr>
              <w:pStyle w:val="TableParagraph"/>
              <w:ind w:left="147" w:right="124"/>
              <w:jc w:val="both"/>
              <w:rPr>
                <w:i/>
              </w:rPr>
            </w:pPr>
            <w:r>
              <w:rPr>
                <w:i/>
              </w:rPr>
              <w:t>5317</w:t>
            </w:r>
          </w:p>
        </w:tc>
        <w:tc>
          <w:tcPr>
            <w:tcW w:w="4718" w:type="dxa"/>
          </w:tcPr>
          <w:p w14:paraId="2B68C3E5" w14:textId="77777777" w:rsidR="00DC6D9B" w:rsidRDefault="00DC6D9B" w:rsidP="00CD363C">
            <w:pPr>
              <w:pStyle w:val="TableParagraph"/>
              <w:ind w:left="278" w:right="124"/>
              <w:jc w:val="both"/>
              <w:rPr>
                <w:i/>
              </w:rPr>
            </w:pPr>
            <w:r>
              <w:rPr>
                <w:i/>
              </w:rPr>
              <w:t>Saistības par procentu un citiem maksājumiem</w:t>
            </w:r>
          </w:p>
        </w:tc>
        <w:tc>
          <w:tcPr>
            <w:tcW w:w="1604" w:type="dxa"/>
          </w:tcPr>
          <w:p w14:paraId="6D3003FA" w14:textId="77777777" w:rsidR="00DC6D9B" w:rsidRDefault="00DC6D9B" w:rsidP="00CD363C">
            <w:pPr>
              <w:pStyle w:val="TableParagraph"/>
              <w:ind w:right="124"/>
              <w:jc w:val="both"/>
              <w:rPr>
                <w:i/>
              </w:rPr>
            </w:pPr>
            <w:r>
              <w:rPr>
                <w:i/>
              </w:rPr>
              <w:t>299,56 EUR</w:t>
            </w:r>
          </w:p>
        </w:tc>
      </w:tr>
    </w:tbl>
    <w:p w14:paraId="6124CE50" w14:textId="77777777" w:rsidR="00DC6D9B" w:rsidRDefault="00DC6D9B" w:rsidP="00CD363C">
      <w:pPr>
        <w:pStyle w:val="Pamatteksts"/>
        <w:ind w:right="124"/>
        <w:jc w:val="both"/>
        <w:rPr>
          <w:i/>
          <w:sz w:val="20"/>
        </w:rPr>
      </w:pPr>
    </w:p>
    <w:p w14:paraId="5C0BAB07"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4963"/>
        <w:gridCol w:w="1595"/>
      </w:tblGrid>
      <w:tr w:rsidR="00DC6D9B" w14:paraId="781E81FA" w14:textId="77777777" w:rsidTr="00535ACC">
        <w:trPr>
          <w:trHeight w:val="289"/>
        </w:trPr>
        <w:tc>
          <w:tcPr>
            <w:tcW w:w="7936" w:type="dxa"/>
            <w:gridSpan w:val="4"/>
          </w:tcPr>
          <w:p w14:paraId="46AD0ED3" w14:textId="77777777" w:rsidR="00DC6D9B" w:rsidRDefault="00DC6D9B" w:rsidP="00CD363C">
            <w:pPr>
              <w:pStyle w:val="TableParagraph"/>
              <w:ind w:left="200" w:right="124"/>
              <w:jc w:val="both"/>
              <w:rPr>
                <w:i/>
              </w:rPr>
            </w:pPr>
            <w:r>
              <w:rPr>
                <w:i/>
              </w:rPr>
              <w:t>2021. gada beigās grāmatojums, veicot samaksu par finanšu nomu:</w:t>
            </w:r>
          </w:p>
        </w:tc>
      </w:tr>
      <w:tr w:rsidR="00DC6D9B" w14:paraId="6097347D" w14:textId="77777777" w:rsidTr="00535ACC">
        <w:trPr>
          <w:trHeight w:val="624"/>
        </w:trPr>
        <w:tc>
          <w:tcPr>
            <w:tcW w:w="508" w:type="dxa"/>
          </w:tcPr>
          <w:p w14:paraId="456D3F0B" w14:textId="77777777" w:rsidR="00DC6D9B" w:rsidRDefault="00DC6D9B" w:rsidP="00CD363C">
            <w:pPr>
              <w:pStyle w:val="TableParagraph"/>
              <w:ind w:left="200" w:right="124"/>
              <w:jc w:val="both"/>
              <w:rPr>
                <w:i/>
              </w:rPr>
            </w:pPr>
            <w:r>
              <w:rPr>
                <w:i/>
              </w:rPr>
              <w:t>D D</w:t>
            </w:r>
          </w:p>
        </w:tc>
        <w:tc>
          <w:tcPr>
            <w:tcW w:w="870" w:type="dxa"/>
          </w:tcPr>
          <w:p w14:paraId="0B186024" w14:textId="77777777" w:rsidR="00DC6D9B" w:rsidRDefault="00DC6D9B" w:rsidP="00CD363C">
            <w:pPr>
              <w:pStyle w:val="TableParagraph"/>
              <w:ind w:left="147" w:right="124"/>
              <w:jc w:val="both"/>
              <w:rPr>
                <w:i/>
              </w:rPr>
            </w:pPr>
            <w:r>
              <w:rPr>
                <w:i/>
              </w:rPr>
              <w:t>5315</w:t>
            </w:r>
          </w:p>
          <w:p w14:paraId="412D0212" w14:textId="77777777" w:rsidR="00DC6D9B" w:rsidRDefault="00DC6D9B" w:rsidP="00CD363C">
            <w:pPr>
              <w:pStyle w:val="TableParagraph"/>
              <w:ind w:left="147" w:right="124"/>
              <w:jc w:val="both"/>
              <w:rPr>
                <w:i/>
              </w:rPr>
            </w:pPr>
            <w:r>
              <w:rPr>
                <w:i/>
              </w:rPr>
              <w:t>5317</w:t>
            </w:r>
          </w:p>
        </w:tc>
        <w:tc>
          <w:tcPr>
            <w:tcW w:w="4963" w:type="dxa"/>
          </w:tcPr>
          <w:p w14:paraId="76B540D5" w14:textId="77777777" w:rsidR="00DC6D9B" w:rsidRDefault="00DC6D9B" w:rsidP="00CD363C">
            <w:pPr>
              <w:pStyle w:val="TableParagraph"/>
              <w:ind w:left="278" w:right="124"/>
              <w:jc w:val="both"/>
              <w:rPr>
                <w:i/>
              </w:rPr>
            </w:pPr>
            <w:r>
              <w:rPr>
                <w:i/>
              </w:rPr>
              <w:t>Īstermiņa saistības par finanšu nomu  Saistības par procentu un citiem</w:t>
            </w:r>
            <w:r>
              <w:rPr>
                <w:i/>
                <w:spacing w:val="-15"/>
              </w:rPr>
              <w:t xml:space="preserve"> </w:t>
            </w:r>
            <w:r>
              <w:rPr>
                <w:i/>
              </w:rPr>
              <w:t>maksājumiem</w:t>
            </w:r>
          </w:p>
        </w:tc>
        <w:tc>
          <w:tcPr>
            <w:tcW w:w="1595" w:type="dxa"/>
          </w:tcPr>
          <w:p w14:paraId="2285127B" w14:textId="77777777" w:rsidR="00DC6D9B" w:rsidRDefault="00DC6D9B" w:rsidP="00CD363C">
            <w:pPr>
              <w:pStyle w:val="TableParagraph"/>
              <w:ind w:left="136" w:right="124"/>
              <w:jc w:val="both"/>
              <w:rPr>
                <w:i/>
              </w:rPr>
            </w:pPr>
            <w:r>
              <w:rPr>
                <w:i/>
              </w:rPr>
              <w:t>1 900,44 EUR</w:t>
            </w:r>
          </w:p>
          <w:p w14:paraId="6622D01F" w14:textId="77777777" w:rsidR="00DC6D9B" w:rsidRDefault="00DC6D9B" w:rsidP="00CD363C">
            <w:pPr>
              <w:pStyle w:val="TableParagraph"/>
              <w:ind w:left="136" w:right="124"/>
              <w:jc w:val="both"/>
              <w:rPr>
                <w:i/>
              </w:rPr>
            </w:pPr>
            <w:r>
              <w:rPr>
                <w:i/>
              </w:rPr>
              <w:t>299,56 EUR</w:t>
            </w:r>
          </w:p>
        </w:tc>
      </w:tr>
      <w:tr w:rsidR="00DC6D9B" w14:paraId="354F5243" w14:textId="77777777" w:rsidTr="00535ACC">
        <w:trPr>
          <w:trHeight w:val="541"/>
        </w:trPr>
        <w:tc>
          <w:tcPr>
            <w:tcW w:w="508" w:type="dxa"/>
          </w:tcPr>
          <w:p w14:paraId="23C58996" w14:textId="77777777" w:rsidR="00DC6D9B" w:rsidRDefault="00DC6D9B" w:rsidP="00CD363C">
            <w:pPr>
              <w:pStyle w:val="TableParagraph"/>
              <w:ind w:left="200" w:right="124"/>
              <w:jc w:val="both"/>
              <w:rPr>
                <w:i/>
              </w:rPr>
            </w:pPr>
            <w:r>
              <w:rPr>
                <w:i/>
              </w:rPr>
              <w:t>K</w:t>
            </w:r>
          </w:p>
        </w:tc>
        <w:tc>
          <w:tcPr>
            <w:tcW w:w="870" w:type="dxa"/>
          </w:tcPr>
          <w:p w14:paraId="6C3C01BA" w14:textId="77777777" w:rsidR="00DC6D9B" w:rsidRDefault="00DC6D9B" w:rsidP="00CD363C">
            <w:pPr>
              <w:pStyle w:val="TableParagraph"/>
              <w:ind w:left="147" w:right="124"/>
              <w:jc w:val="both"/>
              <w:rPr>
                <w:i/>
              </w:rPr>
            </w:pPr>
            <w:r>
              <w:rPr>
                <w:i/>
              </w:rPr>
              <w:t>2620</w:t>
            </w:r>
          </w:p>
        </w:tc>
        <w:tc>
          <w:tcPr>
            <w:tcW w:w="4963" w:type="dxa"/>
          </w:tcPr>
          <w:p w14:paraId="551B2C4A" w14:textId="77777777" w:rsidR="00DC6D9B" w:rsidRDefault="00DC6D9B" w:rsidP="00CD363C">
            <w:pPr>
              <w:pStyle w:val="TableParagraph"/>
              <w:ind w:left="278" w:right="124"/>
              <w:jc w:val="both"/>
              <w:rPr>
                <w:i/>
              </w:rPr>
            </w:pPr>
            <w:r>
              <w:rPr>
                <w:i/>
              </w:rPr>
              <w:t>Norēķinu konti Valsts kasē, kredītiestādēs vai citās institūcijās</w:t>
            </w:r>
          </w:p>
        </w:tc>
        <w:tc>
          <w:tcPr>
            <w:tcW w:w="1595" w:type="dxa"/>
          </w:tcPr>
          <w:p w14:paraId="0E7EE622" w14:textId="77777777" w:rsidR="00DC6D9B" w:rsidRDefault="00DC6D9B" w:rsidP="00CD363C">
            <w:pPr>
              <w:pStyle w:val="TableParagraph"/>
              <w:ind w:left="136" w:right="124"/>
              <w:jc w:val="both"/>
              <w:rPr>
                <w:i/>
              </w:rPr>
            </w:pPr>
            <w:r>
              <w:rPr>
                <w:i/>
              </w:rPr>
              <w:t>2 200,00 EUR</w:t>
            </w:r>
          </w:p>
        </w:tc>
      </w:tr>
    </w:tbl>
    <w:p w14:paraId="3F1398C0" w14:textId="77777777" w:rsidR="00DC6D9B" w:rsidRDefault="00DC6D9B" w:rsidP="00CD363C">
      <w:pPr>
        <w:pStyle w:val="Pamatteksts"/>
        <w:ind w:right="124"/>
        <w:jc w:val="both"/>
        <w:rPr>
          <w:i/>
          <w:sz w:val="20"/>
        </w:rPr>
      </w:pPr>
    </w:p>
    <w:p w14:paraId="6DD7D15E"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4365"/>
        <w:gridCol w:w="2177"/>
      </w:tblGrid>
      <w:tr w:rsidR="00DC6D9B" w14:paraId="7A4BF894" w14:textId="77777777" w:rsidTr="00535ACC">
        <w:trPr>
          <w:trHeight w:val="541"/>
        </w:trPr>
        <w:tc>
          <w:tcPr>
            <w:tcW w:w="7920" w:type="dxa"/>
            <w:gridSpan w:val="4"/>
          </w:tcPr>
          <w:p w14:paraId="0B87F844" w14:textId="77777777" w:rsidR="00DC6D9B" w:rsidRDefault="00DC6D9B" w:rsidP="00CD363C">
            <w:pPr>
              <w:pStyle w:val="TableParagraph"/>
              <w:ind w:left="200" w:right="124"/>
              <w:jc w:val="both"/>
              <w:rPr>
                <w:i/>
              </w:rPr>
            </w:pPr>
            <w:r>
              <w:rPr>
                <w:i/>
              </w:rPr>
              <w:t>2021. gada beigās grāmatojums, atzīstot finanšu nomas īstermiņa daļu, kas attiecas uz 2022.gadu:</w:t>
            </w:r>
          </w:p>
        </w:tc>
      </w:tr>
      <w:tr w:rsidR="00DC6D9B" w14:paraId="6B96488F" w14:textId="77777777" w:rsidTr="00535ACC">
        <w:trPr>
          <w:trHeight w:val="333"/>
        </w:trPr>
        <w:tc>
          <w:tcPr>
            <w:tcW w:w="508" w:type="dxa"/>
          </w:tcPr>
          <w:p w14:paraId="4F8C4897" w14:textId="77777777" w:rsidR="00DC6D9B" w:rsidRDefault="00DC6D9B" w:rsidP="00CD363C">
            <w:pPr>
              <w:pStyle w:val="TableParagraph"/>
              <w:ind w:left="51" w:right="124"/>
              <w:jc w:val="both"/>
              <w:rPr>
                <w:i/>
              </w:rPr>
            </w:pPr>
            <w:r>
              <w:rPr>
                <w:i/>
              </w:rPr>
              <w:t>D</w:t>
            </w:r>
          </w:p>
        </w:tc>
        <w:tc>
          <w:tcPr>
            <w:tcW w:w="870" w:type="dxa"/>
          </w:tcPr>
          <w:p w14:paraId="53C9A863" w14:textId="77777777" w:rsidR="00DC6D9B" w:rsidRDefault="00DC6D9B" w:rsidP="00CD363C">
            <w:pPr>
              <w:pStyle w:val="TableParagraph"/>
              <w:ind w:left="147" w:right="124"/>
              <w:jc w:val="both"/>
              <w:rPr>
                <w:i/>
              </w:rPr>
            </w:pPr>
            <w:r>
              <w:rPr>
                <w:i/>
              </w:rPr>
              <w:t>5135</w:t>
            </w:r>
          </w:p>
        </w:tc>
        <w:tc>
          <w:tcPr>
            <w:tcW w:w="4365" w:type="dxa"/>
          </w:tcPr>
          <w:p w14:paraId="7A4DCE81" w14:textId="77777777" w:rsidR="00DC6D9B" w:rsidRDefault="00DC6D9B" w:rsidP="00CD363C">
            <w:pPr>
              <w:pStyle w:val="TableParagraph"/>
              <w:ind w:left="278" w:right="124"/>
              <w:jc w:val="both"/>
              <w:rPr>
                <w:i/>
              </w:rPr>
            </w:pPr>
            <w:r>
              <w:rPr>
                <w:i/>
              </w:rPr>
              <w:t>Ilgtermiņa saistības par finanšu nomu</w:t>
            </w:r>
          </w:p>
        </w:tc>
        <w:tc>
          <w:tcPr>
            <w:tcW w:w="2177" w:type="dxa"/>
          </w:tcPr>
          <w:p w14:paraId="15F82453" w14:textId="77777777" w:rsidR="00DC6D9B" w:rsidRDefault="00DC6D9B" w:rsidP="00CD363C">
            <w:pPr>
              <w:pStyle w:val="TableParagraph"/>
              <w:ind w:right="124"/>
              <w:jc w:val="both"/>
              <w:rPr>
                <w:i/>
              </w:rPr>
            </w:pPr>
            <w:r>
              <w:rPr>
                <w:i/>
              </w:rPr>
              <w:t>1 995,46 EUR</w:t>
            </w:r>
          </w:p>
        </w:tc>
      </w:tr>
      <w:tr w:rsidR="00DC6D9B" w14:paraId="51432BCD" w14:textId="77777777" w:rsidTr="00535ACC">
        <w:trPr>
          <w:trHeight w:val="289"/>
        </w:trPr>
        <w:tc>
          <w:tcPr>
            <w:tcW w:w="508" w:type="dxa"/>
          </w:tcPr>
          <w:p w14:paraId="7F6A8FEE" w14:textId="77777777" w:rsidR="00DC6D9B" w:rsidRDefault="00DC6D9B" w:rsidP="00CD363C">
            <w:pPr>
              <w:pStyle w:val="TableParagraph"/>
              <w:ind w:left="39" w:right="124"/>
              <w:jc w:val="both"/>
              <w:rPr>
                <w:i/>
              </w:rPr>
            </w:pPr>
            <w:r>
              <w:rPr>
                <w:i/>
              </w:rPr>
              <w:t>K</w:t>
            </w:r>
          </w:p>
        </w:tc>
        <w:tc>
          <w:tcPr>
            <w:tcW w:w="870" w:type="dxa"/>
          </w:tcPr>
          <w:p w14:paraId="36209293" w14:textId="77777777" w:rsidR="00DC6D9B" w:rsidRDefault="00DC6D9B" w:rsidP="00CD363C">
            <w:pPr>
              <w:pStyle w:val="TableParagraph"/>
              <w:ind w:left="147" w:right="124"/>
              <w:jc w:val="both"/>
              <w:rPr>
                <w:i/>
              </w:rPr>
            </w:pPr>
            <w:r>
              <w:rPr>
                <w:i/>
              </w:rPr>
              <w:t>5315</w:t>
            </w:r>
          </w:p>
        </w:tc>
        <w:tc>
          <w:tcPr>
            <w:tcW w:w="4365" w:type="dxa"/>
          </w:tcPr>
          <w:p w14:paraId="1AA3E7A6" w14:textId="77777777" w:rsidR="00DC6D9B" w:rsidRDefault="00DC6D9B" w:rsidP="00CD363C">
            <w:pPr>
              <w:pStyle w:val="TableParagraph"/>
              <w:ind w:left="278" w:right="124"/>
              <w:jc w:val="both"/>
              <w:rPr>
                <w:i/>
              </w:rPr>
            </w:pPr>
            <w:r>
              <w:rPr>
                <w:i/>
              </w:rPr>
              <w:t>Īstermiņa saistības par finanšu nomu</w:t>
            </w:r>
          </w:p>
        </w:tc>
        <w:tc>
          <w:tcPr>
            <w:tcW w:w="2177" w:type="dxa"/>
          </w:tcPr>
          <w:p w14:paraId="1CFA8168" w14:textId="77777777" w:rsidR="00DC6D9B" w:rsidRDefault="00DC6D9B" w:rsidP="00CD363C">
            <w:pPr>
              <w:pStyle w:val="TableParagraph"/>
              <w:ind w:right="124"/>
              <w:jc w:val="both"/>
              <w:rPr>
                <w:i/>
              </w:rPr>
            </w:pPr>
            <w:r>
              <w:rPr>
                <w:i/>
              </w:rPr>
              <w:t>1 995,46 EUR</w:t>
            </w:r>
          </w:p>
        </w:tc>
      </w:tr>
    </w:tbl>
    <w:p w14:paraId="18F43A15" w14:textId="77777777" w:rsidR="00DC6D9B" w:rsidRDefault="00DC6D9B" w:rsidP="00CD363C">
      <w:pPr>
        <w:pStyle w:val="Pamatteksts"/>
        <w:ind w:right="124"/>
        <w:jc w:val="both"/>
        <w:rPr>
          <w:i/>
          <w:sz w:val="20"/>
        </w:rPr>
      </w:pPr>
    </w:p>
    <w:p w14:paraId="6C64EC9A"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98"/>
        <w:gridCol w:w="4247"/>
        <w:gridCol w:w="2054"/>
      </w:tblGrid>
      <w:tr w:rsidR="00DC6D9B" w14:paraId="00495A0A" w14:textId="77777777" w:rsidTr="00535ACC">
        <w:trPr>
          <w:trHeight w:val="288"/>
        </w:trPr>
        <w:tc>
          <w:tcPr>
            <w:tcW w:w="7610" w:type="dxa"/>
            <w:gridSpan w:val="4"/>
          </w:tcPr>
          <w:p w14:paraId="76D5B9E4" w14:textId="77777777" w:rsidR="00DC6D9B" w:rsidRDefault="00DC6D9B" w:rsidP="00CD363C">
            <w:pPr>
              <w:pStyle w:val="TableParagraph"/>
              <w:ind w:left="200" w:right="124"/>
              <w:jc w:val="both"/>
              <w:rPr>
                <w:i/>
              </w:rPr>
            </w:pPr>
            <w:r>
              <w:rPr>
                <w:i/>
              </w:rPr>
              <w:t>2022. gada beigās grāmatojums, atzīstot procentu izdevumus par finanšu nomu:</w:t>
            </w:r>
          </w:p>
        </w:tc>
      </w:tr>
      <w:tr w:rsidR="00DC6D9B" w14:paraId="51297BCC" w14:textId="77777777" w:rsidTr="00535ACC">
        <w:trPr>
          <w:trHeight w:val="332"/>
        </w:trPr>
        <w:tc>
          <w:tcPr>
            <w:tcW w:w="511" w:type="dxa"/>
          </w:tcPr>
          <w:p w14:paraId="190FEF00" w14:textId="77777777" w:rsidR="00DC6D9B" w:rsidRDefault="00DC6D9B" w:rsidP="00CD363C">
            <w:pPr>
              <w:pStyle w:val="TableParagraph"/>
              <w:ind w:left="48" w:right="124"/>
              <w:jc w:val="both"/>
              <w:rPr>
                <w:i/>
              </w:rPr>
            </w:pPr>
            <w:r>
              <w:rPr>
                <w:i/>
              </w:rPr>
              <w:t>D</w:t>
            </w:r>
          </w:p>
        </w:tc>
        <w:tc>
          <w:tcPr>
            <w:tcW w:w="798" w:type="dxa"/>
          </w:tcPr>
          <w:p w14:paraId="1350A3C7" w14:textId="77777777" w:rsidR="00DC6D9B" w:rsidRDefault="00DC6D9B" w:rsidP="00CD363C">
            <w:pPr>
              <w:pStyle w:val="TableParagraph"/>
              <w:ind w:left="134" w:right="124"/>
              <w:jc w:val="both"/>
              <w:rPr>
                <w:i/>
              </w:rPr>
            </w:pPr>
            <w:r>
              <w:rPr>
                <w:i/>
              </w:rPr>
              <w:t>8220</w:t>
            </w:r>
          </w:p>
        </w:tc>
        <w:tc>
          <w:tcPr>
            <w:tcW w:w="4247" w:type="dxa"/>
          </w:tcPr>
          <w:p w14:paraId="17A7C3CC" w14:textId="77777777" w:rsidR="00DC6D9B" w:rsidRDefault="00DC6D9B" w:rsidP="00CD363C">
            <w:pPr>
              <w:pStyle w:val="TableParagraph"/>
              <w:ind w:left="206" w:right="124"/>
              <w:jc w:val="both"/>
              <w:rPr>
                <w:i/>
              </w:rPr>
            </w:pPr>
            <w:r>
              <w:rPr>
                <w:i/>
              </w:rPr>
              <w:t>Procentu izdevumi</w:t>
            </w:r>
          </w:p>
        </w:tc>
        <w:tc>
          <w:tcPr>
            <w:tcW w:w="2054" w:type="dxa"/>
          </w:tcPr>
          <w:p w14:paraId="1A0F1F1E" w14:textId="77777777" w:rsidR="00DC6D9B" w:rsidRDefault="00DC6D9B" w:rsidP="00CD363C">
            <w:pPr>
              <w:pStyle w:val="TableParagraph"/>
              <w:ind w:right="124"/>
              <w:jc w:val="both"/>
              <w:rPr>
                <w:i/>
              </w:rPr>
            </w:pPr>
            <w:r>
              <w:rPr>
                <w:i/>
              </w:rPr>
              <w:t>204,54 EUR</w:t>
            </w:r>
          </w:p>
        </w:tc>
      </w:tr>
      <w:tr w:rsidR="00DC6D9B" w14:paraId="3B441C29" w14:textId="77777777" w:rsidTr="00535ACC">
        <w:trPr>
          <w:trHeight w:val="289"/>
        </w:trPr>
        <w:tc>
          <w:tcPr>
            <w:tcW w:w="511" w:type="dxa"/>
          </w:tcPr>
          <w:p w14:paraId="3F7F3275" w14:textId="77777777" w:rsidR="00DC6D9B" w:rsidRDefault="00DC6D9B" w:rsidP="00CD363C">
            <w:pPr>
              <w:pStyle w:val="TableParagraph"/>
              <w:ind w:left="36" w:right="124"/>
              <w:jc w:val="both"/>
              <w:rPr>
                <w:i/>
              </w:rPr>
            </w:pPr>
            <w:r>
              <w:rPr>
                <w:i/>
              </w:rPr>
              <w:t>K</w:t>
            </w:r>
          </w:p>
        </w:tc>
        <w:tc>
          <w:tcPr>
            <w:tcW w:w="798" w:type="dxa"/>
          </w:tcPr>
          <w:p w14:paraId="0DBF8D65" w14:textId="77777777" w:rsidR="00DC6D9B" w:rsidRDefault="00DC6D9B" w:rsidP="00CD363C">
            <w:pPr>
              <w:pStyle w:val="TableParagraph"/>
              <w:ind w:left="134" w:right="124"/>
              <w:jc w:val="both"/>
              <w:rPr>
                <w:i/>
              </w:rPr>
            </w:pPr>
            <w:r>
              <w:rPr>
                <w:i/>
              </w:rPr>
              <w:t>5315</w:t>
            </w:r>
          </w:p>
        </w:tc>
        <w:tc>
          <w:tcPr>
            <w:tcW w:w="4247" w:type="dxa"/>
          </w:tcPr>
          <w:p w14:paraId="08A01BD5" w14:textId="77777777" w:rsidR="00DC6D9B" w:rsidRDefault="00DC6D9B" w:rsidP="00CD363C">
            <w:pPr>
              <w:pStyle w:val="TableParagraph"/>
              <w:ind w:left="206" w:right="124"/>
              <w:jc w:val="both"/>
              <w:rPr>
                <w:i/>
              </w:rPr>
            </w:pPr>
            <w:r>
              <w:rPr>
                <w:i/>
              </w:rPr>
              <w:t>Īstermiņa saistības par finanšu nomu</w:t>
            </w:r>
          </w:p>
        </w:tc>
        <w:tc>
          <w:tcPr>
            <w:tcW w:w="2054" w:type="dxa"/>
          </w:tcPr>
          <w:p w14:paraId="01588071" w14:textId="77777777" w:rsidR="00DC6D9B" w:rsidRDefault="00DC6D9B" w:rsidP="00CD363C">
            <w:pPr>
              <w:pStyle w:val="TableParagraph"/>
              <w:ind w:right="124"/>
              <w:jc w:val="both"/>
              <w:rPr>
                <w:i/>
              </w:rPr>
            </w:pPr>
            <w:r>
              <w:rPr>
                <w:i/>
              </w:rPr>
              <w:t>204,54 EUR</w:t>
            </w:r>
          </w:p>
        </w:tc>
      </w:tr>
    </w:tbl>
    <w:p w14:paraId="3EF911B6" w14:textId="77777777" w:rsidR="00DC6D9B" w:rsidRDefault="00DC6D9B" w:rsidP="00CD363C">
      <w:pPr>
        <w:pStyle w:val="Pamatteksts"/>
        <w:ind w:right="124"/>
        <w:jc w:val="both"/>
        <w:rPr>
          <w:i/>
          <w:sz w:val="20"/>
        </w:rPr>
      </w:pPr>
    </w:p>
    <w:p w14:paraId="742936A0"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98"/>
        <w:gridCol w:w="4873"/>
        <w:gridCol w:w="1594"/>
      </w:tblGrid>
      <w:tr w:rsidR="00DC6D9B" w14:paraId="5DE696D1" w14:textId="77777777" w:rsidTr="00535ACC">
        <w:trPr>
          <w:trHeight w:val="287"/>
        </w:trPr>
        <w:tc>
          <w:tcPr>
            <w:tcW w:w="7776" w:type="dxa"/>
            <w:gridSpan w:val="4"/>
          </w:tcPr>
          <w:p w14:paraId="6C218B36" w14:textId="77777777" w:rsidR="00DC6D9B" w:rsidRDefault="00DC6D9B" w:rsidP="00CD363C">
            <w:pPr>
              <w:pStyle w:val="TableParagraph"/>
              <w:ind w:left="200" w:right="124"/>
              <w:jc w:val="both"/>
              <w:rPr>
                <w:i/>
              </w:rPr>
            </w:pPr>
            <w:r>
              <w:rPr>
                <w:i/>
              </w:rPr>
              <w:t>2022. gada beigās grāmatojums, veicot samaksu par finanšu nomu:</w:t>
            </w:r>
          </w:p>
        </w:tc>
      </w:tr>
      <w:tr w:rsidR="00DC6D9B" w14:paraId="4D0819BA" w14:textId="77777777" w:rsidTr="00535ACC">
        <w:trPr>
          <w:trHeight w:val="625"/>
        </w:trPr>
        <w:tc>
          <w:tcPr>
            <w:tcW w:w="511" w:type="dxa"/>
          </w:tcPr>
          <w:p w14:paraId="7234C808" w14:textId="77777777" w:rsidR="00DC6D9B" w:rsidRDefault="00DC6D9B" w:rsidP="00CD363C">
            <w:pPr>
              <w:pStyle w:val="TableParagraph"/>
              <w:ind w:left="200" w:right="124"/>
              <w:jc w:val="both"/>
              <w:rPr>
                <w:i/>
              </w:rPr>
            </w:pPr>
            <w:r>
              <w:rPr>
                <w:i/>
              </w:rPr>
              <w:t>D D</w:t>
            </w:r>
          </w:p>
        </w:tc>
        <w:tc>
          <w:tcPr>
            <w:tcW w:w="798" w:type="dxa"/>
          </w:tcPr>
          <w:p w14:paraId="6DEAE1A0" w14:textId="77777777" w:rsidR="00DC6D9B" w:rsidRDefault="00DC6D9B" w:rsidP="00CD363C">
            <w:pPr>
              <w:pStyle w:val="TableParagraph"/>
              <w:ind w:left="152" w:right="124"/>
              <w:jc w:val="both"/>
              <w:rPr>
                <w:i/>
              </w:rPr>
            </w:pPr>
            <w:r>
              <w:rPr>
                <w:i/>
              </w:rPr>
              <w:t>5315</w:t>
            </w:r>
          </w:p>
          <w:p w14:paraId="66DEA7BD" w14:textId="77777777" w:rsidR="00DC6D9B" w:rsidRDefault="00DC6D9B" w:rsidP="00CD363C">
            <w:pPr>
              <w:pStyle w:val="TableParagraph"/>
              <w:ind w:left="152" w:right="124"/>
              <w:jc w:val="both"/>
              <w:rPr>
                <w:i/>
              </w:rPr>
            </w:pPr>
            <w:r>
              <w:rPr>
                <w:i/>
              </w:rPr>
              <w:t>5317</w:t>
            </w:r>
          </w:p>
        </w:tc>
        <w:tc>
          <w:tcPr>
            <w:tcW w:w="4873" w:type="dxa"/>
          </w:tcPr>
          <w:p w14:paraId="06D5FE2A" w14:textId="77777777" w:rsidR="00DC6D9B" w:rsidRDefault="00DC6D9B" w:rsidP="00CD363C">
            <w:pPr>
              <w:pStyle w:val="TableParagraph"/>
              <w:ind w:left="206" w:right="124"/>
              <w:jc w:val="both"/>
              <w:rPr>
                <w:i/>
              </w:rPr>
            </w:pPr>
            <w:r>
              <w:rPr>
                <w:i/>
              </w:rPr>
              <w:t>Īstermiņa saistības par finanšu nomu  Saistības par procentu un citiem</w:t>
            </w:r>
            <w:r>
              <w:rPr>
                <w:i/>
                <w:spacing w:val="-15"/>
              </w:rPr>
              <w:t xml:space="preserve"> </w:t>
            </w:r>
            <w:r>
              <w:rPr>
                <w:i/>
              </w:rPr>
              <w:t>maksājumiem</w:t>
            </w:r>
          </w:p>
        </w:tc>
        <w:tc>
          <w:tcPr>
            <w:tcW w:w="1594" w:type="dxa"/>
          </w:tcPr>
          <w:p w14:paraId="5A845870" w14:textId="77777777" w:rsidR="00DC6D9B" w:rsidRDefault="00DC6D9B" w:rsidP="00CD363C">
            <w:pPr>
              <w:pStyle w:val="TableParagraph"/>
              <w:ind w:left="139" w:right="124"/>
              <w:jc w:val="both"/>
              <w:rPr>
                <w:i/>
              </w:rPr>
            </w:pPr>
            <w:r>
              <w:rPr>
                <w:i/>
              </w:rPr>
              <w:t>1 995,46 EUR</w:t>
            </w:r>
          </w:p>
          <w:p w14:paraId="2241AFF5" w14:textId="77777777" w:rsidR="00DC6D9B" w:rsidRDefault="00DC6D9B" w:rsidP="00CD363C">
            <w:pPr>
              <w:pStyle w:val="TableParagraph"/>
              <w:ind w:left="139" w:right="124"/>
              <w:jc w:val="both"/>
              <w:rPr>
                <w:i/>
              </w:rPr>
            </w:pPr>
            <w:r>
              <w:rPr>
                <w:i/>
              </w:rPr>
              <w:t>204,54 EUR</w:t>
            </w:r>
          </w:p>
        </w:tc>
      </w:tr>
      <w:tr w:rsidR="00DC6D9B" w14:paraId="2F1A7B9B" w14:textId="77777777" w:rsidTr="00535ACC">
        <w:trPr>
          <w:trHeight w:val="541"/>
        </w:trPr>
        <w:tc>
          <w:tcPr>
            <w:tcW w:w="511" w:type="dxa"/>
          </w:tcPr>
          <w:p w14:paraId="4ACFD899" w14:textId="77777777" w:rsidR="00DC6D9B" w:rsidRDefault="00DC6D9B" w:rsidP="00CD363C">
            <w:pPr>
              <w:pStyle w:val="TableParagraph"/>
              <w:ind w:left="200" w:right="124"/>
              <w:jc w:val="both"/>
              <w:rPr>
                <w:i/>
              </w:rPr>
            </w:pPr>
            <w:r>
              <w:rPr>
                <w:i/>
              </w:rPr>
              <w:t>K</w:t>
            </w:r>
          </w:p>
        </w:tc>
        <w:tc>
          <w:tcPr>
            <w:tcW w:w="798" w:type="dxa"/>
          </w:tcPr>
          <w:p w14:paraId="22B5523B" w14:textId="77777777" w:rsidR="00DC6D9B" w:rsidRDefault="00DC6D9B" w:rsidP="00CD363C">
            <w:pPr>
              <w:pStyle w:val="TableParagraph"/>
              <w:ind w:left="152" w:right="124"/>
              <w:jc w:val="both"/>
              <w:rPr>
                <w:i/>
              </w:rPr>
            </w:pPr>
            <w:r>
              <w:rPr>
                <w:i/>
              </w:rPr>
              <w:t>2620</w:t>
            </w:r>
          </w:p>
        </w:tc>
        <w:tc>
          <w:tcPr>
            <w:tcW w:w="4873" w:type="dxa"/>
          </w:tcPr>
          <w:p w14:paraId="21206373" w14:textId="77777777" w:rsidR="00DC6D9B" w:rsidRDefault="00DC6D9B" w:rsidP="00CD363C">
            <w:pPr>
              <w:pStyle w:val="TableParagraph"/>
              <w:ind w:left="206" w:right="124"/>
              <w:jc w:val="both"/>
              <w:rPr>
                <w:i/>
              </w:rPr>
            </w:pPr>
            <w:r>
              <w:rPr>
                <w:i/>
              </w:rPr>
              <w:t>Norēķinu konti Valsts kasē, kredītiestādēs vai citās institūcijās</w:t>
            </w:r>
          </w:p>
        </w:tc>
        <w:tc>
          <w:tcPr>
            <w:tcW w:w="1594" w:type="dxa"/>
          </w:tcPr>
          <w:p w14:paraId="7293E739" w14:textId="77777777" w:rsidR="00DC6D9B" w:rsidRDefault="00DC6D9B" w:rsidP="00CD363C">
            <w:pPr>
              <w:pStyle w:val="TableParagraph"/>
              <w:ind w:left="139" w:right="124"/>
              <w:jc w:val="both"/>
              <w:rPr>
                <w:i/>
              </w:rPr>
            </w:pPr>
            <w:r>
              <w:rPr>
                <w:i/>
              </w:rPr>
              <w:t>2 200,00 EUR</w:t>
            </w:r>
          </w:p>
        </w:tc>
      </w:tr>
    </w:tbl>
    <w:p w14:paraId="2604B390" w14:textId="77777777" w:rsidR="00DC6D9B" w:rsidRDefault="00DC6D9B" w:rsidP="00CD363C">
      <w:pPr>
        <w:pStyle w:val="Pamatteksts"/>
        <w:ind w:right="124"/>
        <w:jc w:val="both"/>
        <w:rPr>
          <w:i/>
          <w:sz w:val="20"/>
        </w:rPr>
      </w:pPr>
    </w:p>
    <w:p w14:paraId="1D697561"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99"/>
        <w:gridCol w:w="4308"/>
        <w:gridCol w:w="2191"/>
      </w:tblGrid>
      <w:tr w:rsidR="00DC6D9B" w14:paraId="3F0B912B" w14:textId="77777777" w:rsidTr="00535ACC">
        <w:trPr>
          <w:trHeight w:val="541"/>
        </w:trPr>
        <w:tc>
          <w:tcPr>
            <w:tcW w:w="7806" w:type="dxa"/>
            <w:gridSpan w:val="4"/>
          </w:tcPr>
          <w:p w14:paraId="71C8CA73" w14:textId="77777777" w:rsidR="00DC6D9B" w:rsidRDefault="00DC6D9B" w:rsidP="00CD363C">
            <w:pPr>
              <w:pStyle w:val="TableParagraph"/>
              <w:ind w:left="200" w:right="124"/>
              <w:jc w:val="both"/>
              <w:rPr>
                <w:i/>
              </w:rPr>
            </w:pPr>
            <w:r>
              <w:rPr>
                <w:i/>
              </w:rPr>
              <w:t>2022. gada beigās grāmatojums, atzīstot finanšu nomas īstermiņa daļu, kas attiecas uz 2023.gadu:</w:t>
            </w:r>
          </w:p>
        </w:tc>
      </w:tr>
      <w:tr w:rsidR="00DC6D9B" w14:paraId="026CD961" w14:textId="77777777" w:rsidTr="00535ACC">
        <w:trPr>
          <w:trHeight w:val="333"/>
        </w:trPr>
        <w:tc>
          <w:tcPr>
            <w:tcW w:w="508" w:type="dxa"/>
          </w:tcPr>
          <w:p w14:paraId="39CCEDF9" w14:textId="77777777" w:rsidR="00DC6D9B" w:rsidRDefault="00DC6D9B" w:rsidP="00CD363C">
            <w:pPr>
              <w:pStyle w:val="TableParagraph"/>
              <w:ind w:left="51" w:right="124"/>
              <w:jc w:val="both"/>
              <w:rPr>
                <w:i/>
              </w:rPr>
            </w:pPr>
            <w:r>
              <w:rPr>
                <w:i/>
              </w:rPr>
              <w:t>D</w:t>
            </w:r>
          </w:p>
        </w:tc>
        <w:tc>
          <w:tcPr>
            <w:tcW w:w="799" w:type="dxa"/>
          </w:tcPr>
          <w:p w14:paraId="05D22AA6" w14:textId="77777777" w:rsidR="00DC6D9B" w:rsidRDefault="00DC6D9B" w:rsidP="00CD363C">
            <w:pPr>
              <w:pStyle w:val="TableParagraph"/>
              <w:ind w:left="18" w:right="124"/>
              <w:jc w:val="both"/>
              <w:rPr>
                <w:i/>
              </w:rPr>
            </w:pPr>
            <w:r>
              <w:rPr>
                <w:i/>
              </w:rPr>
              <w:t>5135</w:t>
            </w:r>
          </w:p>
        </w:tc>
        <w:tc>
          <w:tcPr>
            <w:tcW w:w="4308" w:type="dxa"/>
          </w:tcPr>
          <w:p w14:paraId="6ABAD6D4" w14:textId="77777777" w:rsidR="00DC6D9B" w:rsidRDefault="00DC6D9B" w:rsidP="00CD363C">
            <w:pPr>
              <w:pStyle w:val="TableParagraph"/>
              <w:ind w:left="208" w:right="124"/>
              <w:jc w:val="both"/>
              <w:rPr>
                <w:i/>
              </w:rPr>
            </w:pPr>
            <w:r>
              <w:rPr>
                <w:i/>
              </w:rPr>
              <w:t>Ilgtermiņa saistības par finanšu nomu</w:t>
            </w:r>
          </w:p>
        </w:tc>
        <w:tc>
          <w:tcPr>
            <w:tcW w:w="2191" w:type="dxa"/>
          </w:tcPr>
          <w:p w14:paraId="1CD06985" w14:textId="77777777" w:rsidR="00DC6D9B" w:rsidRDefault="00DC6D9B" w:rsidP="00CD363C">
            <w:pPr>
              <w:pStyle w:val="TableParagraph"/>
              <w:ind w:right="124"/>
              <w:jc w:val="both"/>
              <w:rPr>
                <w:i/>
              </w:rPr>
            </w:pPr>
            <w:r>
              <w:rPr>
                <w:i/>
              </w:rPr>
              <w:t>2 095,24 EUR</w:t>
            </w:r>
          </w:p>
        </w:tc>
      </w:tr>
      <w:tr w:rsidR="00DC6D9B" w14:paraId="0888E053" w14:textId="77777777" w:rsidTr="00535ACC">
        <w:trPr>
          <w:trHeight w:val="289"/>
        </w:trPr>
        <w:tc>
          <w:tcPr>
            <w:tcW w:w="508" w:type="dxa"/>
          </w:tcPr>
          <w:p w14:paraId="24DC0B59" w14:textId="77777777" w:rsidR="00DC6D9B" w:rsidRDefault="00DC6D9B" w:rsidP="00CD363C">
            <w:pPr>
              <w:pStyle w:val="TableParagraph"/>
              <w:ind w:left="39" w:right="124"/>
              <w:jc w:val="both"/>
              <w:rPr>
                <w:i/>
              </w:rPr>
            </w:pPr>
            <w:r>
              <w:rPr>
                <w:i/>
              </w:rPr>
              <w:t>K</w:t>
            </w:r>
          </w:p>
        </w:tc>
        <w:tc>
          <w:tcPr>
            <w:tcW w:w="799" w:type="dxa"/>
          </w:tcPr>
          <w:p w14:paraId="28AC1626" w14:textId="77777777" w:rsidR="00DC6D9B" w:rsidRDefault="00DC6D9B" w:rsidP="00CD363C">
            <w:pPr>
              <w:pStyle w:val="TableParagraph"/>
              <w:ind w:left="18" w:right="124"/>
              <w:jc w:val="both"/>
              <w:rPr>
                <w:i/>
              </w:rPr>
            </w:pPr>
            <w:r>
              <w:rPr>
                <w:i/>
              </w:rPr>
              <w:t>5315</w:t>
            </w:r>
          </w:p>
        </w:tc>
        <w:tc>
          <w:tcPr>
            <w:tcW w:w="4308" w:type="dxa"/>
          </w:tcPr>
          <w:p w14:paraId="6CDA7EDA" w14:textId="77777777" w:rsidR="00DC6D9B" w:rsidRDefault="00DC6D9B" w:rsidP="00CD363C">
            <w:pPr>
              <w:pStyle w:val="TableParagraph"/>
              <w:ind w:left="208" w:right="124"/>
              <w:jc w:val="both"/>
              <w:rPr>
                <w:i/>
              </w:rPr>
            </w:pPr>
            <w:r>
              <w:rPr>
                <w:i/>
              </w:rPr>
              <w:t>Īstermiņa saistības par finanšu nomu</w:t>
            </w:r>
          </w:p>
        </w:tc>
        <w:tc>
          <w:tcPr>
            <w:tcW w:w="2191" w:type="dxa"/>
          </w:tcPr>
          <w:p w14:paraId="1541633D" w14:textId="77777777" w:rsidR="00DC6D9B" w:rsidRDefault="00DC6D9B" w:rsidP="00CD363C">
            <w:pPr>
              <w:pStyle w:val="TableParagraph"/>
              <w:ind w:right="124"/>
              <w:jc w:val="both"/>
              <w:rPr>
                <w:i/>
              </w:rPr>
            </w:pPr>
            <w:r>
              <w:rPr>
                <w:i/>
              </w:rPr>
              <w:t>2 095,24 EUR</w:t>
            </w:r>
          </w:p>
        </w:tc>
      </w:tr>
    </w:tbl>
    <w:p w14:paraId="0612765F" w14:textId="77777777" w:rsidR="00DC6D9B" w:rsidRDefault="00DC6D9B" w:rsidP="00CD363C">
      <w:pPr>
        <w:pStyle w:val="Pamatteksts"/>
        <w:ind w:right="124"/>
        <w:jc w:val="both"/>
        <w:rPr>
          <w:i/>
          <w:sz w:val="20"/>
        </w:rPr>
      </w:pPr>
    </w:p>
    <w:p w14:paraId="0D53C00E"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869"/>
        <w:gridCol w:w="4676"/>
        <w:gridCol w:w="1565"/>
      </w:tblGrid>
      <w:tr w:rsidR="00DC6D9B" w14:paraId="2D4F21DB" w14:textId="77777777" w:rsidTr="00535ACC">
        <w:trPr>
          <w:trHeight w:val="289"/>
        </w:trPr>
        <w:tc>
          <w:tcPr>
            <w:tcW w:w="7621" w:type="dxa"/>
            <w:gridSpan w:val="4"/>
          </w:tcPr>
          <w:p w14:paraId="60FB8CA3" w14:textId="77777777" w:rsidR="00DC6D9B" w:rsidRDefault="00DC6D9B" w:rsidP="00CD363C">
            <w:pPr>
              <w:pStyle w:val="TableParagraph"/>
              <w:ind w:left="200" w:right="124"/>
              <w:jc w:val="both"/>
              <w:rPr>
                <w:i/>
              </w:rPr>
            </w:pPr>
            <w:r>
              <w:rPr>
                <w:i/>
              </w:rPr>
              <w:t>2023. gada beigās grāmatojums, atzīstot procentu izdevumus par finanšu nomu:</w:t>
            </w:r>
          </w:p>
        </w:tc>
      </w:tr>
      <w:tr w:rsidR="00DC6D9B" w14:paraId="487D8276" w14:textId="77777777" w:rsidTr="00535ACC">
        <w:trPr>
          <w:trHeight w:val="333"/>
        </w:trPr>
        <w:tc>
          <w:tcPr>
            <w:tcW w:w="511" w:type="dxa"/>
          </w:tcPr>
          <w:p w14:paraId="4FD2A3D4" w14:textId="77777777" w:rsidR="00DC6D9B" w:rsidRDefault="00DC6D9B" w:rsidP="00CD363C">
            <w:pPr>
              <w:pStyle w:val="TableParagraph"/>
              <w:ind w:left="48" w:right="124"/>
              <w:jc w:val="both"/>
              <w:rPr>
                <w:i/>
              </w:rPr>
            </w:pPr>
            <w:r>
              <w:rPr>
                <w:i/>
              </w:rPr>
              <w:t>D</w:t>
            </w:r>
          </w:p>
        </w:tc>
        <w:tc>
          <w:tcPr>
            <w:tcW w:w="869" w:type="dxa"/>
          </w:tcPr>
          <w:p w14:paraId="5EE3CA9D" w14:textId="77777777" w:rsidR="00DC6D9B" w:rsidRDefault="00DC6D9B" w:rsidP="00CD363C">
            <w:pPr>
              <w:pStyle w:val="TableParagraph"/>
              <w:ind w:left="152" w:right="124"/>
              <w:jc w:val="both"/>
              <w:rPr>
                <w:i/>
              </w:rPr>
            </w:pPr>
            <w:r>
              <w:rPr>
                <w:i/>
              </w:rPr>
              <w:t>8220</w:t>
            </w:r>
          </w:p>
        </w:tc>
        <w:tc>
          <w:tcPr>
            <w:tcW w:w="4676" w:type="dxa"/>
          </w:tcPr>
          <w:p w14:paraId="63E0D7A1" w14:textId="77777777" w:rsidR="00DC6D9B" w:rsidRDefault="00DC6D9B" w:rsidP="00CD363C">
            <w:pPr>
              <w:pStyle w:val="TableParagraph"/>
              <w:ind w:left="276" w:right="124"/>
              <w:jc w:val="both"/>
              <w:rPr>
                <w:i/>
              </w:rPr>
            </w:pPr>
            <w:r>
              <w:rPr>
                <w:i/>
              </w:rPr>
              <w:t>Procentu izdevumi</w:t>
            </w:r>
          </w:p>
        </w:tc>
        <w:tc>
          <w:tcPr>
            <w:tcW w:w="1565" w:type="dxa"/>
          </w:tcPr>
          <w:p w14:paraId="43BD1939" w14:textId="77777777" w:rsidR="00DC6D9B" w:rsidRDefault="00DC6D9B" w:rsidP="00CD363C">
            <w:pPr>
              <w:pStyle w:val="TableParagraph"/>
              <w:ind w:right="124"/>
              <w:jc w:val="both"/>
              <w:rPr>
                <w:i/>
              </w:rPr>
            </w:pPr>
            <w:r>
              <w:rPr>
                <w:i/>
              </w:rPr>
              <w:t>104,76 EUR</w:t>
            </w:r>
          </w:p>
        </w:tc>
      </w:tr>
      <w:tr w:rsidR="00DC6D9B" w14:paraId="6F79657A" w14:textId="77777777" w:rsidTr="00535ACC">
        <w:trPr>
          <w:trHeight w:val="289"/>
        </w:trPr>
        <w:tc>
          <w:tcPr>
            <w:tcW w:w="511" w:type="dxa"/>
          </w:tcPr>
          <w:p w14:paraId="1202D225" w14:textId="77777777" w:rsidR="00DC6D9B" w:rsidRDefault="00DC6D9B" w:rsidP="00CD363C">
            <w:pPr>
              <w:pStyle w:val="TableParagraph"/>
              <w:ind w:left="36" w:right="124"/>
              <w:jc w:val="both"/>
              <w:rPr>
                <w:i/>
              </w:rPr>
            </w:pPr>
            <w:r>
              <w:rPr>
                <w:i/>
              </w:rPr>
              <w:t>K</w:t>
            </w:r>
          </w:p>
        </w:tc>
        <w:tc>
          <w:tcPr>
            <w:tcW w:w="869" w:type="dxa"/>
          </w:tcPr>
          <w:p w14:paraId="114490CA" w14:textId="77777777" w:rsidR="00DC6D9B" w:rsidRDefault="00DC6D9B" w:rsidP="00CD363C">
            <w:pPr>
              <w:pStyle w:val="TableParagraph"/>
              <w:ind w:left="152" w:right="124"/>
              <w:jc w:val="both"/>
              <w:rPr>
                <w:i/>
              </w:rPr>
            </w:pPr>
            <w:r>
              <w:rPr>
                <w:i/>
              </w:rPr>
              <w:t>5317</w:t>
            </w:r>
          </w:p>
        </w:tc>
        <w:tc>
          <w:tcPr>
            <w:tcW w:w="4676" w:type="dxa"/>
          </w:tcPr>
          <w:p w14:paraId="0E734378" w14:textId="77777777" w:rsidR="00DC6D9B" w:rsidRDefault="00DC6D9B" w:rsidP="00CD363C">
            <w:pPr>
              <w:pStyle w:val="TableParagraph"/>
              <w:ind w:left="276" w:right="124"/>
              <w:jc w:val="both"/>
              <w:rPr>
                <w:i/>
              </w:rPr>
            </w:pPr>
            <w:r>
              <w:rPr>
                <w:i/>
              </w:rPr>
              <w:t>Saistības par procentu un citiem maksājumiem</w:t>
            </w:r>
          </w:p>
        </w:tc>
        <w:tc>
          <w:tcPr>
            <w:tcW w:w="1565" w:type="dxa"/>
          </w:tcPr>
          <w:p w14:paraId="76EFFAE7" w14:textId="77777777" w:rsidR="00DC6D9B" w:rsidRDefault="00DC6D9B" w:rsidP="00CD363C">
            <w:pPr>
              <w:pStyle w:val="TableParagraph"/>
              <w:ind w:right="124"/>
              <w:jc w:val="both"/>
              <w:rPr>
                <w:i/>
              </w:rPr>
            </w:pPr>
            <w:r>
              <w:rPr>
                <w:i/>
              </w:rPr>
              <w:t>104,76 EUR</w:t>
            </w:r>
          </w:p>
        </w:tc>
      </w:tr>
    </w:tbl>
    <w:p w14:paraId="1F36F960" w14:textId="77777777" w:rsidR="00DC6D9B" w:rsidRDefault="00DC6D9B" w:rsidP="00CD363C">
      <w:pPr>
        <w:pStyle w:val="Pamatteksts"/>
        <w:ind w:right="124"/>
        <w:jc w:val="both"/>
        <w:rPr>
          <w:i/>
          <w:sz w:val="20"/>
        </w:rPr>
      </w:pPr>
    </w:p>
    <w:p w14:paraId="1B099BB0" w14:textId="77777777" w:rsidR="00DC6D9B" w:rsidRDefault="00DC6D9B" w:rsidP="00CD363C">
      <w:pPr>
        <w:pStyle w:val="Pamatteksts"/>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869"/>
        <w:gridCol w:w="4744"/>
        <w:gridCol w:w="1592"/>
      </w:tblGrid>
      <w:tr w:rsidR="00DC6D9B" w14:paraId="3E5094B4" w14:textId="77777777" w:rsidTr="00535ACC">
        <w:trPr>
          <w:trHeight w:val="289"/>
        </w:trPr>
        <w:tc>
          <w:tcPr>
            <w:tcW w:w="7716" w:type="dxa"/>
            <w:gridSpan w:val="4"/>
          </w:tcPr>
          <w:p w14:paraId="5AA6712C" w14:textId="77777777" w:rsidR="00DC6D9B" w:rsidRDefault="00DC6D9B" w:rsidP="00CD363C">
            <w:pPr>
              <w:pStyle w:val="TableParagraph"/>
              <w:ind w:left="255" w:right="124"/>
              <w:jc w:val="both"/>
              <w:rPr>
                <w:i/>
              </w:rPr>
            </w:pPr>
            <w:r>
              <w:rPr>
                <w:i/>
              </w:rPr>
              <w:t>2023. gadā grāmatojums, veicot samaksu par finanšu nomu:</w:t>
            </w:r>
          </w:p>
        </w:tc>
      </w:tr>
      <w:tr w:rsidR="00DC6D9B" w14:paraId="548A7FDF" w14:textId="77777777" w:rsidTr="00535ACC">
        <w:trPr>
          <w:trHeight w:val="626"/>
        </w:trPr>
        <w:tc>
          <w:tcPr>
            <w:tcW w:w="511" w:type="dxa"/>
          </w:tcPr>
          <w:p w14:paraId="34659090" w14:textId="77777777" w:rsidR="00DC6D9B" w:rsidRDefault="00DC6D9B" w:rsidP="00CD363C">
            <w:pPr>
              <w:pStyle w:val="TableParagraph"/>
              <w:ind w:left="200" w:right="124"/>
              <w:jc w:val="both"/>
              <w:rPr>
                <w:i/>
              </w:rPr>
            </w:pPr>
            <w:r>
              <w:rPr>
                <w:i/>
              </w:rPr>
              <w:t>D D</w:t>
            </w:r>
          </w:p>
        </w:tc>
        <w:tc>
          <w:tcPr>
            <w:tcW w:w="869" w:type="dxa"/>
          </w:tcPr>
          <w:p w14:paraId="3767AF9E" w14:textId="77777777" w:rsidR="00DC6D9B" w:rsidRDefault="00DC6D9B" w:rsidP="00CD363C">
            <w:pPr>
              <w:pStyle w:val="TableParagraph"/>
              <w:ind w:left="152" w:right="124"/>
              <w:jc w:val="both"/>
              <w:rPr>
                <w:i/>
              </w:rPr>
            </w:pPr>
            <w:r>
              <w:rPr>
                <w:i/>
              </w:rPr>
              <w:t>5315</w:t>
            </w:r>
          </w:p>
          <w:p w14:paraId="1FC908EE" w14:textId="77777777" w:rsidR="00DC6D9B" w:rsidRDefault="00DC6D9B" w:rsidP="00CD363C">
            <w:pPr>
              <w:pStyle w:val="TableParagraph"/>
              <w:ind w:left="152" w:right="124"/>
              <w:jc w:val="both"/>
              <w:rPr>
                <w:i/>
              </w:rPr>
            </w:pPr>
            <w:r>
              <w:rPr>
                <w:i/>
              </w:rPr>
              <w:t>5317</w:t>
            </w:r>
          </w:p>
        </w:tc>
        <w:tc>
          <w:tcPr>
            <w:tcW w:w="4744" w:type="dxa"/>
          </w:tcPr>
          <w:p w14:paraId="7E6865B4" w14:textId="77777777" w:rsidR="00DC6D9B" w:rsidRDefault="00DC6D9B" w:rsidP="00CD363C">
            <w:pPr>
              <w:pStyle w:val="TableParagraph"/>
              <w:ind w:left="276" w:right="124"/>
              <w:jc w:val="both"/>
              <w:rPr>
                <w:i/>
              </w:rPr>
            </w:pPr>
            <w:r>
              <w:rPr>
                <w:i/>
              </w:rPr>
              <w:t>Īstermiņa saistības par finanšu nomu</w:t>
            </w:r>
          </w:p>
          <w:p w14:paraId="0612A307" w14:textId="77777777" w:rsidR="00DC6D9B" w:rsidRDefault="00DC6D9B" w:rsidP="00CD363C">
            <w:pPr>
              <w:pStyle w:val="TableParagraph"/>
              <w:ind w:left="276" w:right="124"/>
              <w:jc w:val="both"/>
              <w:rPr>
                <w:i/>
              </w:rPr>
            </w:pPr>
            <w:r>
              <w:rPr>
                <w:i/>
              </w:rPr>
              <w:t>Saistības par procentiem un citiem maksājumiem</w:t>
            </w:r>
          </w:p>
        </w:tc>
        <w:tc>
          <w:tcPr>
            <w:tcW w:w="1592" w:type="dxa"/>
          </w:tcPr>
          <w:p w14:paraId="1405081B" w14:textId="77777777" w:rsidR="00DC6D9B" w:rsidRDefault="00DC6D9B" w:rsidP="00CD363C">
            <w:pPr>
              <w:pStyle w:val="TableParagraph"/>
              <w:ind w:left="136" w:right="124"/>
              <w:jc w:val="both"/>
              <w:rPr>
                <w:i/>
              </w:rPr>
            </w:pPr>
            <w:r>
              <w:rPr>
                <w:i/>
              </w:rPr>
              <w:t>2 095,24 EUR</w:t>
            </w:r>
          </w:p>
          <w:p w14:paraId="2014AF01" w14:textId="77777777" w:rsidR="00DC6D9B" w:rsidRDefault="00DC6D9B" w:rsidP="00CD363C">
            <w:pPr>
              <w:pStyle w:val="TableParagraph"/>
              <w:ind w:left="136" w:right="124"/>
              <w:jc w:val="both"/>
              <w:rPr>
                <w:i/>
              </w:rPr>
            </w:pPr>
            <w:r>
              <w:rPr>
                <w:i/>
              </w:rPr>
              <w:t>104,76 EUR</w:t>
            </w:r>
          </w:p>
        </w:tc>
      </w:tr>
      <w:tr w:rsidR="00DC6D9B" w14:paraId="3008FE49" w14:textId="77777777" w:rsidTr="00535ACC">
        <w:trPr>
          <w:trHeight w:val="541"/>
        </w:trPr>
        <w:tc>
          <w:tcPr>
            <w:tcW w:w="511" w:type="dxa"/>
          </w:tcPr>
          <w:p w14:paraId="605864ED" w14:textId="77777777" w:rsidR="00DC6D9B" w:rsidRDefault="00DC6D9B" w:rsidP="00CD363C">
            <w:pPr>
              <w:pStyle w:val="TableParagraph"/>
              <w:ind w:left="200" w:right="124"/>
              <w:jc w:val="both"/>
              <w:rPr>
                <w:i/>
              </w:rPr>
            </w:pPr>
            <w:r>
              <w:rPr>
                <w:i/>
              </w:rPr>
              <w:t>K</w:t>
            </w:r>
          </w:p>
        </w:tc>
        <w:tc>
          <w:tcPr>
            <w:tcW w:w="869" w:type="dxa"/>
          </w:tcPr>
          <w:p w14:paraId="3A24CCE9" w14:textId="77777777" w:rsidR="00DC6D9B" w:rsidRDefault="00DC6D9B" w:rsidP="00CD363C">
            <w:pPr>
              <w:pStyle w:val="TableParagraph"/>
              <w:ind w:left="152" w:right="124"/>
              <w:jc w:val="both"/>
              <w:rPr>
                <w:i/>
              </w:rPr>
            </w:pPr>
            <w:r>
              <w:rPr>
                <w:i/>
              </w:rPr>
              <w:t>2620</w:t>
            </w:r>
          </w:p>
        </w:tc>
        <w:tc>
          <w:tcPr>
            <w:tcW w:w="4744" w:type="dxa"/>
          </w:tcPr>
          <w:p w14:paraId="30D5E74E" w14:textId="77777777" w:rsidR="00DC6D9B" w:rsidRDefault="00DC6D9B" w:rsidP="00CD363C">
            <w:pPr>
              <w:pStyle w:val="TableParagraph"/>
              <w:ind w:left="276" w:right="124"/>
              <w:jc w:val="both"/>
              <w:rPr>
                <w:i/>
              </w:rPr>
            </w:pPr>
            <w:r>
              <w:rPr>
                <w:i/>
              </w:rPr>
              <w:t>Norēķinu konti Valsts kasē, kredītiestādēs vai citās institūcijās</w:t>
            </w:r>
          </w:p>
        </w:tc>
        <w:tc>
          <w:tcPr>
            <w:tcW w:w="1592" w:type="dxa"/>
          </w:tcPr>
          <w:p w14:paraId="19175AF4" w14:textId="77777777" w:rsidR="00DC6D9B" w:rsidRDefault="00DC6D9B" w:rsidP="00CD363C">
            <w:pPr>
              <w:pStyle w:val="TableParagraph"/>
              <w:ind w:left="136" w:right="124"/>
              <w:jc w:val="both"/>
              <w:rPr>
                <w:i/>
              </w:rPr>
            </w:pPr>
            <w:r>
              <w:rPr>
                <w:i/>
              </w:rPr>
              <w:t>2 200,00 EUR</w:t>
            </w:r>
          </w:p>
        </w:tc>
      </w:tr>
    </w:tbl>
    <w:p w14:paraId="64100079" w14:textId="77777777" w:rsidR="00DC6D9B" w:rsidRDefault="00DC6D9B" w:rsidP="00CD363C">
      <w:pPr>
        <w:spacing w:after="0" w:line="240" w:lineRule="auto"/>
        <w:ind w:left="218" w:right="124"/>
        <w:jc w:val="both"/>
        <w:rPr>
          <w:i/>
          <w:sz w:val="20"/>
        </w:rPr>
      </w:pPr>
      <w:r>
        <w:rPr>
          <w:i/>
          <w:sz w:val="20"/>
        </w:rPr>
        <w:t>*nomnieks, saņemot aktīvu, sāk aprēķināt nolietojumu attiecīgajam aktīvam, ņemot vērā aktīva lietderīgās lietošanas laiku</w:t>
      </w:r>
    </w:p>
    <w:p w14:paraId="54EF0683" w14:textId="77777777" w:rsidR="00DC6D9B" w:rsidRDefault="00DC6D9B" w:rsidP="00CD363C">
      <w:pPr>
        <w:pStyle w:val="Virsraksts4"/>
        <w:numPr>
          <w:ilvl w:val="2"/>
          <w:numId w:val="32"/>
        </w:numPr>
        <w:tabs>
          <w:tab w:val="left" w:pos="759"/>
        </w:tabs>
        <w:spacing w:before="0"/>
        <w:ind w:right="124"/>
        <w:jc w:val="both"/>
      </w:pPr>
      <w:r>
        <w:rPr>
          <w:color w:val="002069"/>
        </w:rPr>
        <w:t>Piemērs – Finanšu nomas uzskaite no iznomātāja</w:t>
      </w:r>
      <w:r>
        <w:rPr>
          <w:color w:val="002069"/>
          <w:spacing w:val="-5"/>
        </w:rPr>
        <w:t xml:space="preserve"> </w:t>
      </w:r>
      <w:r>
        <w:rPr>
          <w:color w:val="002069"/>
        </w:rPr>
        <w:t>puses</w:t>
      </w:r>
    </w:p>
    <w:p w14:paraId="70D9A049" w14:textId="77777777" w:rsidR="00DC6D9B" w:rsidRPr="00A13C30" w:rsidRDefault="00A13C30" w:rsidP="00CD363C">
      <w:pPr>
        <w:pStyle w:val="Pamatteksts"/>
        <w:ind w:left="218" w:right="124"/>
        <w:jc w:val="both"/>
        <w:rPr>
          <w:sz w:val="24"/>
          <w:szCs w:val="24"/>
        </w:rPr>
      </w:pPr>
      <w:r w:rsidRPr="00A13C30">
        <w:rPr>
          <w:sz w:val="24"/>
          <w:szCs w:val="24"/>
        </w:rPr>
        <w:t xml:space="preserve">898. </w:t>
      </w:r>
      <w:r w:rsidR="00DC6D9B" w:rsidRPr="00A13C30">
        <w:rPr>
          <w:sz w:val="24"/>
          <w:szCs w:val="24"/>
        </w:rPr>
        <w:t>02.01.2019.</w:t>
      </w:r>
      <w:r w:rsidR="00DC6D9B" w:rsidRPr="00A13C30">
        <w:rPr>
          <w:spacing w:val="-12"/>
          <w:sz w:val="24"/>
          <w:szCs w:val="24"/>
        </w:rPr>
        <w:t xml:space="preserve"> </w:t>
      </w:r>
      <w:r w:rsidR="00DC6D9B" w:rsidRPr="00A13C30">
        <w:rPr>
          <w:sz w:val="24"/>
          <w:szCs w:val="24"/>
        </w:rPr>
        <w:t>budžeta</w:t>
      </w:r>
      <w:r w:rsidR="00DC6D9B" w:rsidRPr="00A13C30">
        <w:rPr>
          <w:spacing w:val="-11"/>
          <w:sz w:val="24"/>
          <w:szCs w:val="24"/>
        </w:rPr>
        <w:t xml:space="preserve"> </w:t>
      </w:r>
      <w:r w:rsidR="00DC6D9B" w:rsidRPr="00A13C30">
        <w:rPr>
          <w:sz w:val="24"/>
          <w:szCs w:val="24"/>
        </w:rPr>
        <w:t>iestāde</w:t>
      </w:r>
      <w:r w:rsidR="00DC6D9B" w:rsidRPr="00A13C30">
        <w:rPr>
          <w:spacing w:val="-13"/>
          <w:sz w:val="24"/>
          <w:szCs w:val="24"/>
        </w:rPr>
        <w:t xml:space="preserve"> </w:t>
      </w:r>
      <w:r w:rsidR="00DC6D9B" w:rsidRPr="00A13C30">
        <w:rPr>
          <w:sz w:val="24"/>
          <w:szCs w:val="24"/>
        </w:rPr>
        <w:t>nodod</w:t>
      </w:r>
      <w:r w:rsidR="00DC6D9B" w:rsidRPr="00A13C30">
        <w:rPr>
          <w:spacing w:val="-11"/>
          <w:sz w:val="24"/>
          <w:szCs w:val="24"/>
        </w:rPr>
        <w:t xml:space="preserve"> </w:t>
      </w:r>
      <w:r w:rsidR="00DC6D9B" w:rsidRPr="00A13C30">
        <w:rPr>
          <w:sz w:val="24"/>
          <w:szCs w:val="24"/>
        </w:rPr>
        <w:t>finanšu</w:t>
      </w:r>
      <w:r w:rsidR="00DC6D9B" w:rsidRPr="00A13C30">
        <w:rPr>
          <w:spacing w:val="-12"/>
          <w:sz w:val="24"/>
          <w:szCs w:val="24"/>
        </w:rPr>
        <w:t xml:space="preserve"> </w:t>
      </w:r>
      <w:r w:rsidR="00DC6D9B" w:rsidRPr="00A13C30">
        <w:rPr>
          <w:sz w:val="24"/>
          <w:szCs w:val="24"/>
        </w:rPr>
        <w:t>nomā</w:t>
      </w:r>
      <w:r w:rsidR="00DC6D9B" w:rsidRPr="00A13C30">
        <w:rPr>
          <w:spacing w:val="-11"/>
          <w:sz w:val="24"/>
          <w:szCs w:val="24"/>
        </w:rPr>
        <w:t xml:space="preserve"> </w:t>
      </w:r>
      <w:r w:rsidR="00DC6D9B" w:rsidRPr="00A13C30">
        <w:rPr>
          <w:sz w:val="24"/>
          <w:szCs w:val="24"/>
        </w:rPr>
        <w:t>citai</w:t>
      </w:r>
      <w:r w:rsidR="00DC6D9B" w:rsidRPr="00A13C30">
        <w:rPr>
          <w:spacing w:val="-10"/>
          <w:sz w:val="24"/>
          <w:szCs w:val="24"/>
        </w:rPr>
        <w:t xml:space="preserve"> </w:t>
      </w:r>
      <w:r w:rsidR="00DC6D9B" w:rsidRPr="00A13C30">
        <w:rPr>
          <w:sz w:val="24"/>
          <w:szCs w:val="24"/>
        </w:rPr>
        <w:t>iestādei</w:t>
      </w:r>
      <w:r w:rsidR="00DC6D9B" w:rsidRPr="00A13C30">
        <w:rPr>
          <w:spacing w:val="-12"/>
          <w:sz w:val="24"/>
          <w:szCs w:val="24"/>
        </w:rPr>
        <w:t xml:space="preserve"> </w:t>
      </w:r>
      <w:r w:rsidR="00DC6D9B" w:rsidRPr="00A13C30">
        <w:rPr>
          <w:sz w:val="24"/>
          <w:szCs w:val="24"/>
        </w:rPr>
        <w:t>tehnoloģisko</w:t>
      </w:r>
      <w:r w:rsidR="00DC6D9B" w:rsidRPr="00A13C30">
        <w:rPr>
          <w:spacing w:val="-11"/>
          <w:sz w:val="24"/>
          <w:szCs w:val="24"/>
        </w:rPr>
        <w:t xml:space="preserve"> </w:t>
      </w:r>
      <w:r w:rsidR="00DC6D9B" w:rsidRPr="00A13C30">
        <w:rPr>
          <w:sz w:val="24"/>
          <w:szCs w:val="24"/>
        </w:rPr>
        <w:t>iekārtu</w:t>
      </w:r>
      <w:r w:rsidR="00DC6D9B" w:rsidRPr="00A13C30">
        <w:rPr>
          <w:spacing w:val="-14"/>
          <w:sz w:val="24"/>
          <w:szCs w:val="24"/>
        </w:rPr>
        <w:t xml:space="preserve"> </w:t>
      </w:r>
      <w:r w:rsidR="00DC6D9B" w:rsidRPr="00A13C30">
        <w:rPr>
          <w:sz w:val="24"/>
          <w:szCs w:val="24"/>
        </w:rPr>
        <w:t>ar</w:t>
      </w:r>
      <w:r w:rsidR="00DC6D9B" w:rsidRPr="00A13C30">
        <w:rPr>
          <w:spacing w:val="-10"/>
          <w:sz w:val="24"/>
          <w:szCs w:val="24"/>
        </w:rPr>
        <w:t xml:space="preserve"> </w:t>
      </w:r>
      <w:r w:rsidR="00DC6D9B" w:rsidRPr="00A13C30">
        <w:rPr>
          <w:sz w:val="24"/>
          <w:szCs w:val="24"/>
        </w:rPr>
        <w:t>līguma</w:t>
      </w:r>
      <w:r w:rsidR="00DC6D9B" w:rsidRPr="00A13C30">
        <w:rPr>
          <w:spacing w:val="-11"/>
          <w:sz w:val="24"/>
          <w:szCs w:val="24"/>
        </w:rPr>
        <w:t xml:space="preserve"> </w:t>
      </w:r>
      <w:r w:rsidR="00DC6D9B" w:rsidRPr="00A13C30">
        <w:rPr>
          <w:sz w:val="24"/>
          <w:szCs w:val="24"/>
        </w:rPr>
        <w:t>termiņu</w:t>
      </w:r>
      <w:r w:rsidR="00DC6D9B" w:rsidRPr="00A13C30">
        <w:rPr>
          <w:spacing w:val="-11"/>
          <w:sz w:val="24"/>
          <w:szCs w:val="24"/>
        </w:rPr>
        <w:t xml:space="preserve"> </w:t>
      </w:r>
      <w:r w:rsidR="00DC6D9B" w:rsidRPr="00A13C30">
        <w:rPr>
          <w:sz w:val="24"/>
          <w:szCs w:val="24"/>
        </w:rPr>
        <w:t>10</w:t>
      </w:r>
      <w:r w:rsidR="00DC6D9B">
        <w:rPr>
          <w:spacing w:val="-12"/>
        </w:rPr>
        <w:t xml:space="preserve"> </w:t>
      </w:r>
      <w:r w:rsidR="00DC6D9B" w:rsidRPr="00A13C30">
        <w:rPr>
          <w:sz w:val="24"/>
          <w:szCs w:val="24"/>
        </w:rPr>
        <w:t>gadi. Līgums paredz nomniekam veikt ikgadējo nomas maksājumu 10 000,00 EUR apmērā līdz pārskata gada 31.decembrim.</w:t>
      </w:r>
      <w:r w:rsidR="00DC6D9B" w:rsidRPr="00A13C30">
        <w:rPr>
          <w:spacing w:val="-8"/>
          <w:sz w:val="24"/>
          <w:szCs w:val="24"/>
        </w:rPr>
        <w:t xml:space="preserve"> </w:t>
      </w:r>
      <w:r w:rsidR="00DC6D9B" w:rsidRPr="00A13C30">
        <w:rPr>
          <w:sz w:val="24"/>
          <w:szCs w:val="24"/>
        </w:rPr>
        <w:t>Tehnoloģiskās</w:t>
      </w:r>
      <w:r w:rsidR="00DC6D9B" w:rsidRPr="00A13C30">
        <w:rPr>
          <w:spacing w:val="-6"/>
          <w:sz w:val="24"/>
          <w:szCs w:val="24"/>
        </w:rPr>
        <w:t xml:space="preserve"> </w:t>
      </w:r>
      <w:r w:rsidR="00DC6D9B" w:rsidRPr="00A13C30">
        <w:rPr>
          <w:sz w:val="24"/>
          <w:szCs w:val="24"/>
        </w:rPr>
        <w:t>iekārtas</w:t>
      </w:r>
      <w:r w:rsidR="00DC6D9B" w:rsidRPr="00A13C30">
        <w:rPr>
          <w:spacing w:val="-10"/>
          <w:sz w:val="24"/>
          <w:szCs w:val="24"/>
        </w:rPr>
        <w:t xml:space="preserve"> </w:t>
      </w:r>
      <w:r w:rsidR="00DC6D9B" w:rsidRPr="00A13C30">
        <w:rPr>
          <w:sz w:val="24"/>
          <w:szCs w:val="24"/>
        </w:rPr>
        <w:t>uzskaites</w:t>
      </w:r>
      <w:r w:rsidR="00DC6D9B" w:rsidRPr="00A13C30">
        <w:rPr>
          <w:spacing w:val="-9"/>
          <w:sz w:val="24"/>
          <w:szCs w:val="24"/>
        </w:rPr>
        <w:t xml:space="preserve"> </w:t>
      </w:r>
      <w:r w:rsidR="00DC6D9B" w:rsidRPr="00A13C30">
        <w:rPr>
          <w:sz w:val="24"/>
          <w:szCs w:val="24"/>
        </w:rPr>
        <w:t>vērtība</w:t>
      </w:r>
      <w:r w:rsidR="00DC6D9B" w:rsidRPr="00A13C30">
        <w:rPr>
          <w:spacing w:val="-7"/>
          <w:sz w:val="24"/>
          <w:szCs w:val="24"/>
        </w:rPr>
        <w:t xml:space="preserve"> </w:t>
      </w:r>
      <w:r w:rsidR="00DC6D9B" w:rsidRPr="00A13C30">
        <w:rPr>
          <w:sz w:val="24"/>
          <w:szCs w:val="24"/>
        </w:rPr>
        <w:t>budžeta</w:t>
      </w:r>
      <w:r w:rsidR="00DC6D9B" w:rsidRPr="00A13C30">
        <w:rPr>
          <w:spacing w:val="-8"/>
          <w:sz w:val="24"/>
          <w:szCs w:val="24"/>
        </w:rPr>
        <w:t xml:space="preserve"> </w:t>
      </w:r>
      <w:r w:rsidR="00DC6D9B" w:rsidRPr="00A13C30">
        <w:rPr>
          <w:sz w:val="24"/>
          <w:szCs w:val="24"/>
        </w:rPr>
        <w:t>iestādes</w:t>
      </w:r>
      <w:r w:rsidR="00DC6D9B" w:rsidRPr="00A13C30">
        <w:rPr>
          <w:spacing w:val="-7"/>
          <w:sz w:val="24"/>
          <w:szCs w:val="24"/>
        </w:rPr>
        <w:t xml:space="preserve"> </w:t>
      </w:r>
      <w:r w:rsidR="00DC6D9B" w:rsidRPr="00A13C30">
        <w:rPr>
          <w:sz w:val="24"/>
          <w:szCs w:val="24"/>
        </w:rPr>
        <w:t>grāmatvedības</w:t>
      </w:r>
      <w:r w:rsidR="00DC6D9B" w:rsidRPr="00A13C30">
        <w:rPr>
          <w:spacing w:val="-9"/>
          <w:sz w:val="24"/>
          <w:szCs w:val="24"/>
        </w:rPr>
        <w:t xml:space="preserve"> </w:t>
      </w:r>
      <w:r w:rsidR="00DC6D9B" w:rsidRPr="00A13C30">
        <w:rPr>
          <w:sz w:val="24"/>
          <w:szCs w:val="24"/>
        </w:rPr>
        <w:t>uzskaitē</w:t>
      </w:r>
      <w:r w:rsidR="00DC6D9B" w:rsidRPr="00A13C30">
        <w:rPr>
          <w:spacing w:val="-9"/>
          <w:sz w:val="24"/>
          <w:szCs w:val="24"/>
        </w:rPr>
        <w:t xml:space="preserve"> </w:t>
      </w:r>
      <w:r w:rsidR="00DC6D9B" w:rsidRPr="00A13C30">
        <w:rPr>
          <w:sz w:val="24"/>
          <w:szCs w:val="24"/>
        </w:rPr>
        <w:t>02.01.2019. ir 67 001,00 EUR. Līgumā ietvertā procentu likme – 8%.</w:t>
      </w:r>
    </w:p>
    <w:p w14:paraId="67E70269" w14:textId="77777777" w:rsidR="00DC6D9B" w:rsidRPr="00A13C30" w:rsidRDefault="00DC6D9B" w:rsidP="00CD363C">
      <w:pPr>
        <w:pStyle w:val="Pamatteksts"/>
        <w:ind w:left="218" w:right="124"/>
        <w:jc w:val="both"/>
        <w:rPr>
          <w:sz w:val="24"/>
          <w:szCs w:val="24"/>
        </w:rPr>
      </w:pPr>
      <w:r w:rsidRPr="00A13C30">
        <w:rPr>
          <w:sz w:val="24"/>
          <w:szCs w:val="24"/>
        </w:rPr>
        <w:t>Budžeta iestāde sākotnēji atzīst prasības par nomas aktīvu patiesajā vērtībā.</w:t>
      </w:r>
    </w:p>
    <w:p w14:paraId="24545395" w14:textId="77777777" w:rsidR="00DC6D9B" w:rsidRDefault="00DC6D9B" w:rsidP="00CD363C">
      <w:pPr>
        <w:pStyle w:val="Pamatteksts"/>
        <w:ind w:right="124"/>
        <w:jc w:val="both"/>
        <w:rPr>
          <w:sz w:val="24"/>
        </w:rPr>
      </w:pPr>
    </w:p>
    <w:tbl>
      <w:tblPr>
        <w:tblW w:w="0" w:type="auto"/>
        <w:tblInd w:w="126" w:type="dxa"/>
        <w:tblLayout w:type="fixed"/>
        <w:tblCellMar>
          <w:left w:w="0" w:type="dxa"/>
          <w:right w:w="0" w:type="dxa"/>
        </w:tblCellMar>
        <w:tblLook w:val="01E0" w:firstRow="1" w:lastRow="1" w:firstColumn="1" w:lastColumn="1" w:noHBand="0" w:noVBand="0"/>
      </w:tblPr>
      <w:tblGrid>
        <w:gridCol w:w="4366"/>
        <w:gridCol w:w="2901"/>
      </w:tblGrid>
      <w:tr w:rsidR="00DC6D9B" w14:paraId="4552B541" w14:textId="77777777" w:rsidTr="00535ACC">
        <w:trPr>
          <w:trHeight w:val="289"/>
        </w:trPr>
        <w:tc>
          <w:tcPr>
            <w:tcW w:w="4366" w:type="dxa"/>
          </w:tcPr>
          <w:p w14:paraId="52174203" w14:textId="77777777" w:rsidR="00DC6D9B" w:rsidRDefault="00DC6D9B" w:rsidP="00CD363C">
            <w:pPr>
              <w:pStyle w:val="TableParagraph"/>
              <w:ind w:left="200" w:right="124"/>
              <w:jc w:val="both"/>
              <w:rPr>
                <w:i/>
              </w:rPr>
            </w:pPr>
            <w:r>
              <w:rPr>
                <w:i/>
              </w:rPr>
              <w:t>Nomas termiņš</w:t>
            </w:r>
          </w:p>
        </w:tc>
        <w:tc>
          <w:tcPr>
            <w:tcW w:w="2901" w:type="dxa"/>
          </w:tcPr>
          <w:p w14:paraId="614C407C" w14:textId="77777777" w:rsidR="00DC6D9B" w:rsidRDefault="00DC6D9B" w:rsidP="00CD363C">
            <w:pPr>
              <w:pStyle w:val="TableParagraph"/>
              <w:ind w:left="1225" w:right="124"/>
              <w:jc w:val="both"/>
              <w:rPr>
                <w:i/>
              </w:rPr>
            </w:pPr>
            <w:r>
              <w:rPr>
                <w:i/>
              </w:rPr>
              <w:t>10 gadi</w:t>
            </w:r>
          </w:p>
        </w:tc>
      </w:tr>
      <w:tr w:rsidR="00DC6D9B" w14:paraId="2ADB9F45" w14:textId="77777777" w:rsidTr="00535ACC">
        <w:trPr>
          <w:trHeight w:val="333"/>
        </w:trPr>
        <w:tc>
          <w:tcPr>
            <w:tcW w:w="4366" w:type="dxa"/>
          </w:tcPr>
          <w:p w14:paraId="11006126" w14:textId="77777777" w:rsidR="00DC6D9B" w:rsidRDefault="00DC6D9B" w:rsidP="00CD363C">
            <w:pPr>
              <w:pStyle w:val="TableParagraph"/>
              <w:ind w:left="200" w:right="124"/>
              <w:jc w:val="both"/>
              <w:rPr>
                <w:i/>
              </w:rPr>
            </w:pPr>
            <w:r>
              <w:rPr>
                <w:i/>
              </w:rPr>
              <w:t>Nomas maksājums gadā</w:t>
            </w:r>
          </w:p>
        </w:tc>
        <w:tc>
          <w:tcPr>
            <w:tcW w:w="2901" w:type="dxa"/>
          </w:tcPr>
          <w:p w14:paraId="569B9CCF" w14:textId="77777777" w:rsidR="00DC6D9B" w:rsidRDefault="00DC6D9B" w:rsidP="00CD363C">
            <w:pPr>
              <w:pStyle w:val="TableParagraph"/>
              <w:ind w:left="1225" w:right="124"/>
              <w:jc w:val="both"/>
              <w:rPr>
                <w:i/>
              </w:rPr>
            </w:pPr>
            <w:r>
              <w:rPr>
                <w:i/>
              </w:rPr>
              <w:t>10 000,00 EUR</w:t>
            </w:r>
          </w:p>
        </w:tc>
      </w:tr>
      <w:tr w:rsidR="00DC6D9B" w14:paraId="3CD1598B" w14:textId="77777777" w:rsidTr="00535ACC">
        <w:trPr>
          <w:trHeight w:val="332"/>
        </w:trPr>
        <w:tc>
          <w:tcPr>
            <w:tcW w:w="4366" w:type="dxa"/>
          </w:tcPr>
          <w:p w14:paraId="4679ED63" w14:textId="77777777" w:rsidR="00DC6D9B" w:rsidRDefault="00DC6D9B" w:rsidP="00CD363C">
            <w:pPr>
              <w:pStyle w:val="TableParagraph"/>
              <w:ind w:left="200" w:right="124"/>
              <w:jc w:val="both"/>
              <w:rPr>
                <w:i/>
              </w:rPr>
            </w:pPr>
            <w:r>
              <w:rPr>
                <w:i/>
              </w:rPr>
              <w:t>Procentu likme</w:t>
            </w:r>
          </w:p>
        </w:tc>
        <w:tc>
          <w:tcPr>
            <w:tcW w:w="2901" w:type="dxa"/>
          </w:tcPr>
          <w:p w14:paraId="4E94C834" w14:textId="77777777" w:rsidR="00DC6D9B" w:rsidRDefault="00DC6D9B" w:rsidP="00CD363C">
            <w:pPr>
              <w:pStyle w:val="TableParagraph"/>
              <w:ind w:left="1225" w:right="124"/>
              <w:jc w:val="both"/>
              <w:rPr>
                <w:i/>
              </w:rPr>
            </w:pPr>
            <w:r>
              <w:rPr>
                <w:i/>
              </w:rPr>
              <w:t>8%</w:t>
            </w:r>
          </w:p>
        </w:tc>
      </w:tr>
      <w:tr w:rsidR="00DC6D9B" w14:paraId="405065ED" w14:textId="77777777" w:rsidTr="00535ACC">
        <w:trPr>
          <w:trHeight w:val="332"/>
        </w:trPr>
        <w:tc>
          <w:tcPr>
            <w:tcW w:w="4366" w:type="dxa"/>
          </w:tcPr>
          <w:p w14:paraId="4664FD7E" w14:textId="77777777" w:rsidR="00DC6D9B" w:rsidRDefault="00DC6D9B" w:rsidP="00CD363C">
            <w:pPr>
              <w:pStyle w:val="TableParagraph"/>
              <w:ind w:left="200" w:right="124"/>
              <w:jc w:val="both"/>
              <w:rPr>
                <w:i/>
              </w:rPr>
            </w:pPr>
            <w:r>
              <w:rPr>
                <w:i/>
              </w:rPr>
              <w:t>Aktīva uzskaites (atlikusī) vērtība</w:t>
            </w:r>
          </w:p>
        </w:tc>
        <w:tc>
          <w:tcPr>
            <w:tcW w:w="2901" w:type="dxa"/>
          </w:tcPr>
          <w:p w14:paraId="2B5D9601" w14:textId="77777777" w:rsidR="00DC6D9B" w:rsidRDefault="00DC6D9B" w:rsidP="00CD363C">
            <w:pPr>
              <w:pStyle w:val="TableParagraph"/>
              <w:ind w:left="1225" w:right="124"/>
              <w:jc w:val="both"/>
              <w:rPr>
                <w:i/>
              </w:rPr>
            </w:pPr>
            <w:r>
              <w:rPr>
                <w:i/>
              </w:rPr>
              <w:t>67 001,00 EUR*</w:t>
            </w:r>
          </w:p>
        </w:tc>
      </w:tr>
      <w:tr w:rsidR="00DC6D9B" w14:paraId="429ED0EB" w14:textId="77777777" w:rsidTr="00535ACC">
        <w:trPr>
          <w:trHeight w:val="289"/>
        </w:trPr>
        <w:tc>
          <w:tcPr>
            <w:tcW w:w="4366" w:type="dxa"/>
          </w:tcPr>
          <w:p w14:paraId="67630C76" w14:textId="77777777" w:rsidR="00DC6D9B" w:rsidRDefault="00DC6D9B" w:rsidP="00CD363C">
            <w:pPr>
              <w:pStyle w:val="TableParagraph"/>
              <w:ind w:left="200" w:right="124"/>
              <w:jc w:val="both"/>
              <w:rPr>
                <w:i/>
              </w:rPr>
            </w:pPr>
            <w:r>
              <w:rPr>
                <w:i/>
              </w:rPr>
              <w:t>Prasību pašreizējā vērtība</w:t>
            </w:r>
          </w:p>
        </w:tc>
        <w:tc>
          <w:tcPr>
            <w:tcW w:w="2901" w:type="dxa"/>
          </w:tcPr>
          <w:p w14:paraId="5DE20320" w14:textId="77777777" w:rsidR="00DC6D9B" w:rsidRDefault="00DC6D9B" w:rsidP="00CD363C">
            <w:pPr>
              <w:pStyle w:val="TableParagraph"/>
              <w:ind w:left="1225" w:right="124"/>
              <w:jc w:val="both"/>
              <w:rPr>
                <w:i/>
              </w:rPr>
            </w:pPr>
            <w:r>
              <w:rPr>
                <w:i/>
              </w:rPr>
              <w:t>67 100,81 EUR</w:t>
            </w:r>
          </w:p>
        </w:tc>
      </w:tr>
    </w:tbl>
    <w:p w14:paraId="61C1AF98" w14:textId="77777777" w:rsidR="00DC6D9B" w:rsidRDefault="00DC6D9B" w:rsidP="00CD363C">
      <w:pPr>
        <w:spacing w:after="0" w:line="240" w:lineRule="auto"/>
        <w:ind w:left="218" w:right="124"/>
        <w:jc w:val="both"/>
        <w:rPr>
          <w:i/>
          <w:sz w:val="20"/>
        </w:rPr>
      </w:pPr>
      <w:r>
        <w:rPr>
          <w:i/>
          <w:sz w:val="20"/>
        </w:rPr>
        <w:t>*piemērā pieņemts, ka aktīvam nav uzskaitīts uzkrātais nolietojums</w:t>
      </w:r>
    </w:p>
    <w:p w14:paraId="5E7A4D75" w14:textId="77777777" w:rsidR="00DC6D9B" w:rsidRDefault="00DC6D9B" w:rsidP="00CD363C">
      <w:pPr>
        <w:pStyle w:val="Pamatteksts"/>
        <w:ind w:right="124"/>
        <w:jc w:val="both"/>
        <w:rPr>
          <w:i/>
          <w:sz w:val="30"/>
        </w:rPr>
      </w:pPr>
    </w:p>
    <w:p w14:paraId="14FA6948" w14:textId="77777777" w:rsidR="00DC6D9B" w:rsidRDefault="00DC6D9B" w:rsidP="00CD363C">
      <w:pPr>
        <w:pStyle w:val="Pamatteksts"/>
        <w:ind w:left="218" w:right="124"/>
        <w:jc w:val="both"/>
      </w:pPr>
      <w:r>
        <w:t>Prasību pašreizējās vērtības aprēķins sniegts 3.tabulā. Procentu ieņēmumu un nomas prasību aprēķins nomas termiņa laikā sniegts 4.tabulā.</w:t>
      </w:r>
    </w:p>
    <w:p w14:paraId="65A5B896" w14:textId="77777777" w:rsidR="00DC6D9B" w:rsidRDefault="00DC6D9B" w:rsidP="00CD363C">
      <w:pPr>
        <w:spacing w:after="0" w:line="240" w:lineRule="auto"/>
        <w:ind w:right="124"/>
        <w:jc w:val="both"/>
        <w:sectPr w:rsidR="00DC6D9B">
          <w:pgSz w:w="11910" w:h="16840"/>
          <w:pgMar w:top="760" w:right="680" w:bottom="1200" w:left="1200" w:header="0" w:footer="969" w:gutter="0"/>
          <w:cols w:space="720"/>
        </w:sectPr>
      </w:pPr>
    </w:p>
    <w:p w14:paraId="21A72CA2" w14:textId="77777777" w:rsidR="00DC6D9B" w:rsidRDefault="00DC6D9B" w:rsidP="00CD363C">
      <w:pPr>
        <w:pStyle w:val="Virsraksts6"/>
        <w:ind w:left="118" w:right="124"/>
        <w:jc w:val="both"/>
      </w:pPr>
      <w:r>
        <w:t>Aprēķini:</w:t>
      </w:r>
    </w:p>
    <w:p w14:paraId="25680A09" w14:textId="77777777" w:rsidR="00DC6D9B" w:rsidRDefault="00DC6D9B" w:rsidP="00CD363C">
      <w:pPr>
        <w:pStyle w:val="Pamatteksts"/>
        <w:ind w:right="124"/>
        <w:jc w:val="both"/>
        <w:rPr>
          <w:b/>
        </w:rPr>
      </w:pPr>
      <w:r>
        <w:br w:type="column"/>
      </w:r>
    </w:p>
    <w:p w14:paraId="2355C42D" w14:textId="77777777" w:rsidR="00DC6D9B" w:rsidRDefault="00DC6D9B" w:rsidP="00CD363C">
      <w:pPr>
        <w:pStyle w:val="Sarakstarindkopa"/>
        <w:widowControl w:val="0"/>
        <w:numPr>
          <w:ilvl w:val="0"/>
          <w:numId w:val="34"/>
        </w:numPr>
        <w:tabs>
          <w:tab w:val="left" w:pos="270"/>
        </w:tabs>
        <w:autoSpaceDE w:val="0"/>
        <w:autoSpaceDN w:val="0"/>
        <w:spacing w:after="0" w:line="240" w:lineRule="auto"/>
        <w:ind w:right="124"/>
        <w:contextualSpacing w:val="0"/>
        <w:jc w:val="both"/>
        <w:rPr>
          <w:i/>
          <w:sz w:val="20"/>
        </w:rPr>
      </w:pPr>
      <w:r>
        <w:rPr>
          <w:i/>
          <w:sz w:val="20"/>
        </w:rPr>
        <w:t>tabula. Nomas maksājumu pašreizējā</w:t>
      </w:r>
      <w:r>
        <w:rPr>
          <w:i/>
          <w:spacing w:val="-7"/>
          <w:sz w:val="20"/>
        </w:rPr>
        <w:t xml:space="preserve"> </w:t>
      </w:r>
      <w:r>
        <w:rPr>
          <w:i/>
          <w:sz w:val="20"/>
        </w:rPr>
        <w:t>vērtība</w:t>
      </w:r>
    </w:p>
    <w:p w14:paraId="2C53C213" w14:textId="77777777" w:rsidR="00DC6D9B" w:rsidRDefault="00DC6D9B" w:rsidP="00CD363C">
      <w:pPr>
        <w:spacing w:after="0" w:line="240" w:lineRule="auto"/>
        <w:ind w:right="124"/>
        <w:jc w:val="both"/>
        <w:rPr>
          <w:sz w:val="20"/>
        </w:rPr>
        <w:sectPr w:rsidR="00DC6D9B">
          <w:footerReference w:type="default" r:id="rId73"/>
          <w:pgSz w:w="16840" w:h="11910" w:orient="landscape"/>
          <w:pgMar w:top="780" w:right="560" w:bottom="280" w:left="1300" w:header="0" w:footer="0" w:gutter="0"/>
          <w:cols w:num="2" w:space="720" w:equalWidth="0">
            <w:col w:w="1077" w:space="9670"/>
            <w:col w:w="4233"/>
          </w:cols>
        </w:sectPr>
      </w:pPr>
    </w:p>
    <w:p w14:paraId="24491092" w14:textId="77777777" w:rsidR="00DC6D9B" w:rsidRDefault="00DC6D9B" w:rsidP="00CD363C">
      <w:pPr>
        <w:pStyle w:val="Pamatteksts"/>
        <w:ind w:right="124"/>
        <w:jc w:val="both"/>
        <w:rPr>
          <w:i/>
        </w:rPr>
      </w:pPr>
    </w:p>
    <w:tbl>
      <w:tblPr>
        <w:tblW w:w="0" w:type="auto"/>
        <w:tblInd w:w="1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24"/>
        <w:gridCol w:w="696"/>
        <w:gridCol w:w="1111"/>
        <w:gridCol w:w="1114"/>
        <w:gridCol w:w="1113"/>
        <w:gridCol w:w="1111"/>
        <w:gridCol w:w="1113"/>
        <w:gridCol w:w="1113"/>
        <w:gridCol w:w="1113"/>
        <w:gridCol w:w="1111"/>
        <w:gridCol w:w="1114"/>
        <w:gridCol w:w="1113"/>
        <w:gridCol w:w="1389"/>
      </w:tblGrid>
      <w:tr w:rsidR="00DC6D9B" w14:paraId="02E7A416" w14:textId="77777777" w:rsidTr="00535ACC">
        <w:trPr>
          <w:trHeight w:val="278"/>
        </w:trPr>
        <w:tc>
          <w:tcPr>
            <w:tcW w:w="1524" w:type="dxa"/>
          </w:tcPr>
          <w:p w14:paraId="220D7753" w14:textId="77777777" w:rsidR="00DC6D9B" w:rsidRDefault="00DC6D9B" w:rsidP="00CD363C">
            <w:pPr>
              <w:pStyle w:val="TableParagraph"/>
              <w:ind w:right="124"/>
              <w:jc w:val="both"/>
              <w:rPr>
                <w:sz w:val="20"/>
              </w:rPr>
            </w:pPr>
            <w:r>
              <w:rPr>
                <w:sz w:val="20"/>
              </w:rPr>
              <w:t>Procentu likme</w:t>
            </w:r>
          </w:p>
        </w:tc>
        <w:tc>
          <w:tcPr>
            <w:tcW w:w="696" w:type="dxa"/>
          </w:tcPr>
          <w:p w14:paraId="79A76D29" w14:textId="77777777" w:rsidR="00DC6D9B" w:rsidRDefault="00DC6D9B" w:rsidP="00CD363C">
            <w:pPr>
              <w:pStyle w:val="TableParagraph"/>
              <w:ind w:right="124"/>
              <w:jc w:val="both"/>
              <w:rPr>
                <w:i/>
                <w:sz w:val="20"/>
              </w:rPr>
            </w:pPr>
            <w:r>
              <w:rPr>
                <w:i/>
                <w:w w:val="99"/>
                <w:sz w:val="20"/>
              </w:rPr>
              <w:t>1</w:t>
            </w:r>
          </w:p>
        </w:tc>
        <w:tc>
          <w:tcPr>
            <w:tcW w:w="1111" w:type="dxa"/>
          </w:tcPr>
          <w:p w14:paraId="2713BF13" w14:textId="77777777" w:rsidR="00DC6D9B" w:rsidRDefault="00DC6D9B" w:rsidP="00CD363C">
            <w:pPr>
              <w:pStyle w:val="TableParagraph"/>
              <w:ind w:right="124"/>
              <w:jc w:val="both"/>
              <w:rPr>
                <w:sz w:val="20"/>
              </w:rPr>
            </w:pPr>
            <w:r>
              <w:rPr>
                <w:sz w:val="20"/>
              </w:rPr>
              <w:t>8%</w:t>
            </w:r>
          </w:p>
        </w:tc>
        <w:tc>
          <w:tcPr>
            <w:tcW w:w="11404" w:type="dxa"/>
            <w:gridSpan w:val="10"/>
            <w:tcBorders>
              <w:top w:val="nil"/>
              <w:bottom w:val="nil"/>
              <w:right w:val="nil"/>
            </w:tcBorders>
          </w:tcPr>
          <w:p w14:paraId="3B95F513" w14:textId="77777777" w:rsidR="00DC6D9B" w:rsidRDefault="00DC6D9B" w:rsidP="00CD363C">
            <w:pPr>
              <w:pStyle w:val="TableParagraph"/>
              <w:ind w:right="124"/>
              <w:jc w:val="both"/>
              <w:rPr>
                <w:sz w:val="18"/>
              </w:rPr>
            </w:pPr>
          </w:p>
        </w:tc>
      </w:tr>
      <w:tr w:rsidR="00DC6D9B" w14:paraId="5B197872" w14:textId="77777777" w:rsidTr="00535ACC">
        <w:trPr>
          <w:trHeight w:val="457"/>
        </w:trPr>
        <w:tc>
          <w:tcPr>
            <w:tcW w:w="1524" w:type="dxa"/>
          </w:tcPr>
          <w:p w14:paraId="0B8E8CBA" w14:textId="77777777" w:rsidR="00DC6D9B" w:rsidRDefault="00DC6D9B" w:rsidP="00CD363C">
            <w:pPr>
              <w:pStyle w:val="TableParagraph"/>
              <w:ind w:left="115" w:right="124"/>
              <w:jc w:val="both"/>
              <w:rPr>
                <w:sz w:val="20"/>
              </w:rPr>
            </w:pPr>
            <w:r>
              <w:rPr>
                <w:sz w:val="20"/>
              </w:rPr>
              <w:t>Nomas</w:t>
            </w:r>
            <w:r>
              <w:rPr>
                <w:spacing w:val="-6"/>
                <w:sz w:val="20"/>
              </w:rPr>
              <w:t xml:space="preserve"> </w:t>
            </w:r>
            <w:r>
              <w:rPr>
                <w:sz w:val="20"/>
              </w:rPr>
              <w:t>summa,</w:t>
            </w:r>
          </w:p>
          <w:p w14:paraId="76B97FE7" w14:textId="77777777" w:rsidR="00DC6D9B" w:rsidRDefault="00DC6D9B" w:rsidP="00CD363C">
            <w:pPr>
              <w:pStyle w:val="TableParagraph"/>
              <w:ind w:left="957" w:right="124"/>
              <w:jc w:val="both"/>
              <w:rPr>
                <w:sz w:val="20"/>
              </w:rPr>
            </w:pPr>
            <w:r>
              <w:rPr>
                <w:sz w:val="20"/>
              </w:rPr>
              <w:t>EUR</w:t>
            </w:r>
          </w:p>
        </w:tc>
        <w:tc>
          <w:tcPr>
            <w:tcW w:w="696" w:type="dxa"/>
          </w:tcPr>
          <w:p w14:paraId="456CCAED" w14:textId="77777777" w:rsidR="00DC6D9B" w:rsidRDefault="00DC6D9B" w:rsidP="00CD363C">
            <w:pPr>
              <w:pStyle w:val="TableParagraph"/>
              <w:ind w:right="124"/>
              <w:jc w:val="both"/>
              <w:rPr>
                <w:i/>
                <w:sz w:val="20"/>
              </w:rPr>
            </w:pPr>
            <w:r>
              <w:rPr>
                <w:i/>
                <w:w w:val="99"/>
                <w:sz w:val="20"/>
              </w:rPr>
              <w:t>2</w:t>
            </w:r>
          </w:p>
        </w:tc>
        <w:tc>
          <w:tcPr>
            <w:tcW w:w="1111" w:type="dxa"/>
          </w:tcPr>
          <w:p w14:paraId="79B1C720" w14:textId="77777777" w:rsidR="00DC6D9B" w:rsidRDefault="00DC6D9B" w:rsidP="00CD363C">
            <w:pPr>
              <w:pStyle w:val="TableParagraph"/>
              <w:ind w:right="124"/>
              <w:jc w:val="both"/>
              <w:rPr>
                <w:sz w:val="20"/>
              </w:rPr>
            </w:pPr>
            <w:r>
              <w:rPr>
                <w:sz w:val="20"/>
              </w:rPr>
              <w:t>10 000,00</w:t>
            </w:r>
          </w:p>
        </w:tc>
        <w:tc>
          <w:tcPr>
            <w:tcW w:w="1114" w:type="dxa"/>
          </w:tcPr>
          <w:p w14:paraId="34311F72" w14:textId="77777777" w:rsidR="00DC6D9B" w:rsidRDefault="00DC6D9B" w:rsidP="00CD363C">
            <w:pPr>
              <w:pStyle w:val="TableParagraph"/>
              <w:ind w:right="124"/>
              <w:jc w:val="both"/>
              <w:rPr>
                <w:sz w:val="20"/>
              </w:rPr>
            </w:pPr>
            <w:r>
              <w:rPr>
                <w:sz w:val="20"/>
              </w:rPr>
              <w:t>10 000,00</w:t>
            </w:r>
          </w:p>
        </w:tc>
        <w:tc>
          <w:tcPr>
            <w:tcW w:w="1113" w:type="dxa"/>
          </w:tcPr>
          <w:p w14:paraId="5B9025F7" w14:textId="77777777" w:rsidR="00DC6D9B" w:rsidRDefault="00DC6D9B" w:rsidP="00CD363C">
            <w:pPr>
              <w:pStyle w:val="TableParagraph"/>
              <w:ind w:right="124"/>
              <w:jc w:val="both"/>
              <w:rPr>
                <w:sz w:val="20"/>
              </w:rPr>
            </w:pPr>
            <w:r>
              <w:rPr>
                <w:sz w:val="20"/>
              </w:rPr>
              <w:t>10 000,00</w:t>
            </w:r>
          </w:p>
        </w:tc>
        <w:tc>
          <w:tcPr>
            <w:tcW w:w="1111" w:type="dxa"/>
          </w:tcPr>
          <w:p w14:paraId="440D4E7F" w14:textId="77777777" w:rsidR="00DC6D9B" w:rsidRDefault="00DC6D9B" w:rsidP="00CD363C">
            <w:pPr>
              <w:pStyle w:val="TableParagraph"/>
              <w:ind w:right="124"/>
              <w:jc w:val="both"/>
              <w:rPr>
                <w:sz w:val="20"/>
              </w:rPr>
            </w:pPr>
            <w:r>
              <w:rPr>
                <w:sz w:val="20"/>
              </w:rPr>
              <w:t>10 000,00</w:t>
            </w:r>
          </w:p>
        </w:tc>
        <w:tc>
          <w:tcPr>
            <w:tcW w:w="1113" w:type="dxa"/>
          </w:tcPr>
          <w:p w14:paraId="4D8928D7" w14:textId="77777777" w:rsidR="00DC6D9B" w:rsidRDefault="00DC6D9B" w:rsidP="00CD363C">
            <w:pPr>
              <w:pStyle w:val="TableParagraph"/>
              <w:ind w:right="124"/>
              <w:jc w:val="both"/>
              <w:rPr>
                <w:sz w:val="20"/>
              </w:rPr>
            </w:pPr>
            <w:r>
              <w:rPr>
                <w:sz w:val="20"/>
              </w:rPr>
              <w:t>10 000,00</w:t>
            </w:r>
          </w:p>
        </w:tc>
        <w:tc>
          <w:tcPr>
            <w:tcW w:w="1113" w:type="dxa"/>
          </w:tcPr>
          <w:p w14:paraId="21F09D9E" w14:textId="77777777" w:rsidR="00DC6D9B" w:rsidRDefault="00DC6D9B" w:rsidP="00CD363C">
            <w:pPr>
              <w:pStyle w:val="TableParagraph"/>
              <w:ind w:right="124"/>
              <w:jc w:val="both"/>
              <w:rPr>
                <w:sz w:val="20"/>
              </w:rPr>
            </w:pPr>
            <w:r>
              <w:rPr>
                <w:sz w:val="20"/>
              </w:rPr>
              <w:t>10 000,00</w:t>
            </w:r>
          </w:p>
        </w:tc>
        <w:tc>
          <w:tcPr>
            <w:tcW w:w="1113" w:type="dxa"/>
          </w:tcPr>
          <w:p w14:paraId="26DB8440" w14:textId="77777777" w:rsidR="00DC6D9B" w:rsidRDefault="00DC6D9B" w:rsidP="00CD363C">
            <w:pPr>
              <w:pStyle w:val="TableParagraph"/>
              <w:ind w:right="124"/>
              <w:jc w:val="both"/>
              <w:rPr>
                <w:sz w:val="20"/>
              </w:rPr>
            </w:pPr>
            <w:r>
              <w:rPr>
                <w:sz w:val="20"/>
              </w:rPr>
              <w:t>10 000,00</w:t>
            </w:r>
          </w:p>
        </w:tc>
        <w:tc>
          <w:tcPr>
            <w:tcW w:w="1111" w:type="dxa"/>
          </w:tcPr>
          <w:p w14:paraId="4E6D5A86" w14:textId="77777777" w:rsidR="00DC6D9B" w:rsidRDefault="00DC6D9B" w:rsidP="00CD363C">
            <w:pPr>
              <w:pStyle w:val="TableParagraph"/>
              <w:ind w:right="124"/>
              <w:jc w:val="both"/>
              <w:rPr>
                <w:sz w:val="20"/>
              </w:rPr>
            </w:pPr>
            <w:r>
              <w:rPr>
                <w:sz w:val="20"/>
              </w:rPr>
              <w:t>10 000,00</w:t>
            </w:r>
          </w:p>
        </w:tc>
        <w:tc>
          <w:tcPr>
            <w:tcW w:w="1114" w:type="dxa"/>
          </w:tcPr>
          <w:p w14:paraId="5436A743" w14:textId="77777777" w:rsidR="00DC6D9B" w:rsidRDefault="00DC6D9B" w:rsidP="00CD363C">
            <w:pPr>
              <w:pStyle w:val="TableParagraph"/>
              <w:ind w:right="124"/>
              <w:jc w:val="both"/>
              <w:rPr>
                <w:sz w:val="20"/>
              </w:rPr>
            </w:pPr>
            <w:r>
              <w:rPr>
                <w:sz w:val="20"/>
              </w:rPr>
              <w:t>10 000,00</w:t>
            </w:r>
          </w:p>
        </w:tc>
        <w:tc>
          <w:tcPr>
            <w:tcW w:w="1113" w:type="dxa"/>
          </w:tcPr>
          <w:p w14:paraId="4FBB9459" w14:textId="77777777" w:rsidR="00DC6D9B" w:rsidRDefault="00DC6D9B" w:rsidP="00CD363C">
            <w:pPr>
              <w:pStyle w:val="TableParagraph"/>
              <w:ind w:right="124"/>
              <w:jc w:val="both"/>
              <w:rPr>
                <w:sz w:val="20"/>
              </w:rPr>
            </w:pPr>
            <w:r>
              <w:rPr>
                <w:sz w:val="20"/>
              </w:rPr>
              <w:t>10 000,00</w:t>
            </w:r>
          </w:p>
        </w:tc>
        <w:tc>
          <w:tcPr>
            <w:tcW w:w="1389" w:type="dxa"/>
            <w:vMerge w:val="restart"/>
            <w:tcBorders>
              <w:top w:val="nil"/>
              <w:right w:val="nil"/>
            </w:tcBorders>
          </w:tcPr>
          <w:p w14:paraId="6A370075" w14:textId="77777777" w:rsidR="00DC6D9B" w:rsidRDefault="00DC6D9B" w:rsidP="00CD363C">
            <w:pPr>
              <w:pStyle w:val="TableParagraph"/>
              <w:ind w:right="124"/>
              <w:jc w:val="both"/>
              <w:rPr>
                <w:sz w:val="18"/>
              </w:rPr>
            </w:pPr>
          </w:p>
        </w:tc>
      </w:tr>
      <w:tr w:rsidR="00DC6D9B" w14:paraId="0E9E3A37" w14:textId="77777777" w:rsidTr="00535ACC">
        <w:trPr>
          <w:trHeight w:val="278"/>
        </w:trPr>
        <w:tc>
          <w:tcPr>
            <w:tcW w:w="1524" w:type="dxa"/>
          </w:tcPr>
          <w:p w14:paraId="7B2E957C" w14:textId="77777777" w:rsidR="00DC6D9B" w:rsidRDefault="00DC6D9B" w:rsidP="00CD363C">
            <w:pPr>
              <w:pStyle w:val="TableParagraph"/>
              <w:ind w:right="124"/>
              <w:jc w:val="both"/>
              <w:rPr>
                <w:sz w:val="20"/>
              </w:rPr>
            </w:pPr>
            <w:r>
              <w:rPr>
                <w:w w:val="95"/>
                <w:sz w:val="20"/>
              </w:rPr>
              <w:t>Gads</w:t>
            </w:r>
          </w:p>
        </w:tc>
        <w:tc>
          <w:tcPr>
            <w:tcW w:w="696" w:type="dxa"/>
          </w:tcPr>
          <w:p w14:paraId="4529C1B7" w14:textId="77777777" w:rsidR="00DC6D9B" w:rsidRDefault="00DC6D9B" w:rsidP="00CD363C">
            <w:pPr>
              <w:pStyle w:val="TableParagraph"/>
              <w:ind w:right="124"/>
              <w:jc w:val="both"/>
              <w:rPr>
                <w:i/>
                <w:sz w:val="20"/>
              </w:rPr>
            </w:pPr>
            <w:r>
              <w:rPr>
                <w:i/>
                <w:w w:val="99"/>
                <w:sz w:val="20"/>
              </w:rPr>
              <w:t>3</w:t>
            </w:r>
          </w:p>
        </w:tc>
        <w:tc>
          <w:tcPr>
            <w:tcW w:w="1111" w:type="dxa"/>
          </w:tcPr>
          <w:p w14:paraId="6DF95322" w14:textId="77777777" w:rsidR="00DC6D9B" w:rsidRDefault="00DC6D9B" w:rsidP="00CD363C">
            <w:pPr>
              <w:pStyle w:val="TableParagraph"/>
              <w:ind w:right="124"/>
              <w:jc w:val="both"/>
              <w:rPr>
                <w:sz w:val="20"/>
              </w:rPr>
            </w:pPr>
            <w:r>
              <w:rPr>
                <w:w w:val="99"/>
                <w:sz w:val="20"/>
              </w:rPr>
              <w:t>1</w:t>
            </w:r>
          </w:p>
        </w:tc>
        <w:tc>
          <w:tcPr>
            <w:tcW w:w="1114" w:type="dxa"/>
          </w:tcPr>
          <w:p w14:paraId="10F72E66" w14:textId="77777777" w:rsidR="00DC6D9B" w:rsidRDefault="00DC6D9B" w:rsidP="00CD363C">
            <w:pPr>
              <w:pStyle w:val="TableParagraph"/>
              <w:ind w:right="124"/>
              <w:jc w:val="both"/>
              <w:rPr>
                <w:sz w:val="20"/>
              </w:rPr>
            </w:pPr>
            <w:r>
              <w:rPr>
                <w:w w:val="99"/>
                <w:sz w:val="20"/>
              </w:rPr>
              <w:t>2</w:t>
            </w:r>
          </w:p>
        </w:tc>
        <w:tc>
          <w:tcPr>
            <w:tcW w:w="1113" w:type="dxa"/>
          </w:tcPr>
          <w:p w14:paraId="75BBBA05" w14:textId="77777777" w:rsidR="00DC6D9B" w:rsidRDefault="00DC6D9B" w:rsidP="00CD363C">
            <w:pPr>
              <w:pStyle w:val="TableParagraph"/>
              <w:ind w:right="124"/>
              <w:jc w:val="both"/>
              <w:rPr>
                <w:sz w:val="20"/>
              </w:rPr>
            </w:pPr>
            <w:r>
              <w:rPr>
                <w:w w:val="99"/>
                <w:sz w:val="20"/>
              </w:rPr>
              <w:t>3</w:t>
            </w:r>
          </w:p>
        </w:tc>
        <w:tc>
          <w:tcPr>
            <w:tcW w:w="1111" w:type="dxa"/>
          </w:tcPr>
          <w:p w14:paraId="3DDC5025" w14:textId="77777777" w:rsidR="00DC6D9B" w:rsidRDefault="00DC6D9B" w:rsidP="00CD363C">
            <w:pPr>
              <w:pStyle w:val="TableParagraph"/>
              <w:ind w:right="124"/>
              <w:jc w:val="both"/>
              <w:rPr>
                <w:sz w:val="20"/>
              </w:rPr>
            </w:pPr>
            <w:r>
              <w:rPr>
                <w:w w:val="99"/>
                <w:sz w:val="20"/>
              </w:rPr>
              <w:t>4</w:t>
            </w:r>
          </w:p>
        </w:tc>
        <w:tc>
          <w:tcPr>
            <w:tcW w:w="1113" w:type="dxa"/>
          </w:tcPr>
          <w:p w14:paraId="47FB7EDF" w14:textId="77777777" w:rsidR="00DC6D9B" w:rsidRDefault="00DC6D9B" w:rsidP="00CD363C">
            <w:pPr>
              <w:pStyle w:val="TableParagraph"/>
              <w:ind w:right="124"/>
              <w:jc w:val="both"/>
              <w:rPr>
                <w:sz w:val="20"/>
              </w:rPr>
            </w:pPr>
            <w:r>
              <w:rPr>
                <w:w w:val="99"/>
                <w:sz w:val="20"/>
              </w:rPr>
              <w:t>5</w:t>
            </w:r>
          </w:p>
        </w:tc>
        <w:tc>
          <w:tcPr>
            <w:tcW w:w="1113" w:type="dxa"/>
          </w:tcPr>
          <w:p w14:paraId="163F0C47" w14:textId="77777777" w:rsidR="00DC6D9B" w:rsidRDefault="00DC6D9B" w:rsidP="00CD363C">
            <w:pPr>
              <w:pStyle w:val="TableParagraph"/>
              <w:ind w:right="124"/>
              <w:jc w:val="both"/>
              <w:rPr>
                <w:sz w:val="20"/>
              </w:rPr>
            </w:pPr>
            <w:r>
              <w:rPr>
                <w:w w:val="99"/>
                <w:sz w:val="20"/>
              </w:rPr>
              <w:t>6</w:t>
            </w:r>
          </w:p>
        </w:tc>
        <w:tc>
          <w:tcPr>
            <w:tcW w:w="1113" w:type="dxa"/>
          </w:tcPr>
          <w:p w14:paraId="0BC6BC6A" w14:textId="77777777" w:rsidR="00DC6D9B" w:rsidRDefault="00DC6D9B" w:rsidP="00CD363C">
            <w:pPr>
              <w:pStyle w:val="TableParagraph"/>
              <w:ind w:right="124"/>
              <w:jc w:val="both"/>
              <w:rPr>
                <w:sz w:val="20"/>
              </w:rPr>
            </w:pPr>
            <w:r>
              <w:rPr>
                <w:w w:val="99"/>
                <w:sz w:val="20"/>
              </w:rPr>
              <w:t>7</w:t>
            </w:r>
          </w:p>
        </w:tc>
        <w:tc>
          <w:tcPr>
            <w:tcW w:w="1111" w:type="dxa"/>
          </w:tcPr>
          <w:p w14:paraId="6236DFF5" w14:textId="77777777" w:rsidR="00DC6D9B" w:rsidRDefault="00DC6D9B" w:rsidP="00CD363C">
            <w:pPr>
              <w:pStyle w:val="TableParagraph"/>
              <w:ind w:right="124"/>
              <w:jc w:val="both"/>
              <w:rPr>
                <w:sz w:val="20"/>
              </w:rPr>
            </w:pPr>
            <w:r>
              <w:rPr>
                <w:w w:val="99"/>
                <w:sz w:val="20"/>
              </w:rPr>
              <w:t>8</w:t>
            </w:r>
          </w:p>
        </w:tc>
        <w:tc>
          <w:tcPr>
            <w:tcW w:w="1114" w:type="dxa"/>
          </w:tcPr>
          <w:p w14:paraId="6E3AB5B5" w14:textId="77777777" w:rsidR="00DC6D9B" w:rsidRDefault="00DC6D9B" w:rsidP="00CD363C">
            <w:pPr>
              <w:pStyle w:val="TableParagraph"/>
              <w:ind w:right="124"/>
              <w:jc w:val="both"/>
              <w:rPr>
                <w:sz w:val="20"/>
              </w:rPr>
            </w:pPr>
            <w:r>
              <w:rPr>
                <w:w w:val="99"/>
                <w:sz w:val="20"/>
              </w:rPr>
              <w:t>9</w:t>
            </w:r>
          </w:p>
        </w:tc>
        <w:tc>
          <w:tcPr>
            <w:tcW w:w="1113" w:type="dxa"/>
          </w:tcPr>
          <w:p w14:paraId="5D59DCAF" w14:textId="77777777" w:rsidR="00DC6D9B" w:rsidRDefault="00DC6D9B" w:rsidP="00CD363C">
            <w:pPr>
              <w:pStyle w:val="TableParagraph"/>
              <w:ind w:right="124"/>
              <w:jc w:val="both"/>
              <w:rPr>
                <w:sz w:val="20"/>
              </w:rPr>
            </w:pPr>
            <w:r>
              <w:rPr>
                <w:sz w:val="20"/>
              </w:rPr>
              <w:t>10</w:t>
            </w:r>
          </w:p>
        </w:tc>
        <w:tc>
          <w:tcPr>
            <w:tcW w:w="1389" w:type="dxa"/>
            <w:vMerge/>
            <w:tcBorders>
              <w:top w:val="nil"/>
              <w:right w:val="nil"/>
            </w:tcBorders>
          </w:tcPr>
          <w:p w14:paraId="5B741032" w14:textId="77777777" w:rsidR="00DC6D9B" w:rsidRDefault="00DC6D9B" w:rsidP="00CD363C">
            <w:pPr>
              <w:spacing w:after="0" w:line="240" w:lineRule="auto"/>
              <w:ind w:right="124"/>
              <w:jc w:val="both"/>
              <w:rPr>
                <w:sz w:val="2"/>
                <w:szCs w:val="2"/>
              </w:rPr>
            </w:pPr>
          </w:p>
        </w:tc>
      </w:tr>
      <w:tr w:rsidR="00DC6D9B" w14:paraId="3CACEE47" w14:textId="77777777" w:rsidTr="00535ACC">
        <w:trPr>
          <w:trHeight w:val="457"/>
        </w:trPr>
        <w:tc>
          <w:tcPr>
            <w:tcW w:w="1524" w:type="dxa"/>
          </w:tcPr>
          <w:p w14:paraId="672C009B" w14:textId="77777777" w:rsidR="00DC6D9B" w:rsidRDefault="00DC6D9B" w:rsidP="00CD363C">
            <w:pPr>
              <w:pStyle w:val="TableParagraph"/>
              <w:ind w:left="703" w:right="124" w:hanging="65"/>
              <w:jc w:val="both"/>
              <w:rPr>
                <w:sz w:val="20"/>
              </w:rPr>
            </w:pPr>
            <w:r>
              <w:rPr>
                <w:w w:val="95"/>
                <w:sz w:val="20"/>
              </w:rPr>
              <w:t xml:space="preserve">Diskonta </w:t>
            </w:r>
            <w:r>
              <w:rPr>
                <w:sz w:val="20"/>
              </w:rPr>
              <w:t>faktors*</w:t>
            </w:r>
          </w:p>
        </w:tc>
        <w:tc>
          <w:tcPr>
            <w:tcW w:w="696" w:type="dxa"/>
          </w:tcPr>
          <w:p w14:paraId="1E203618" w14:textId="77777777" w:rsidR="00DC6D9B" w:rsidRDefault="00DC6D9B" w:rsidP="00CD363C">
            <w:pPr>
              <w:pStyle w:val="TableParagraph"/>
              <w:ind w:right="124"/>
              <w:jc w:val="both"/>
              <w:rPr>
                <w:i/>
                <w:sz w:val="20"/>
              </w:rPr>
            </w:pPr>
            <w:r>
              <w:rPr>
                <w:i/>
                <w:w w:val="99"/>
                <w:sz w:val="20"/>
              </w:rPr>
              <w:t>4</w:t>
            </w:r>
          </w:p>
        </w:tc>
        <w:tc>
          <w:tcPr>
            <w:tcW w:w="1111" w:type="dxa"/>
          </w:tcPr>
          <w:p w14:paraId="54C7ECE4" w14:textId="77777777" w:rsidR="00DC6D9B" w:rsidRDefault="00DC6D9B" w:rsidP="00CD363C">
            <w:pPr>
              <w:pStyle w:val="TableParagraph"/>
              <w:ind w:right="124"/>
              <w:jc w:val="both"/>
              <w:rPr>
                <w:sz w:val="20"/>
              </w:rPr>
            </w:pPr>
            <w:r>
              <w:rPr>
                <w:sz w:val="20"/>
              </w:rPr>
              <w:t>0,93</w:t>
            </w:r>
          </w:p>
        </w:tc>
        <w:tc>
          <w:tcPr>
            <w:tcW w:w="1114" w:type="dxa"/>
          </w:tcPr>
          <w:p w14:paraId="14D7CD2F" w14:textId="77777777" w:rsidR="00DC6D9B" w:rsidRDefault="00DC6D9B" w:rsidP="00CD363C">
            <w:pPr>
              <w:pStyle w:val="TableParagraph"/>
              <w:ind w:right="124"/>
              <w:jc w:val="both"/>
              <w:rPr>
                <w:sz w:val="20"/>
              </w:rPr>
            </w:pPr>
            <w:r>
              <w:rPr>
                <w:sz w:val="20"/>
              </w:rPr>
              <w:t>0,86</w:t>
            </w:r>
          </w:p>
        </w:tc>
        <w:tc>
          <w:tcPr>
            <w:tcW w:w="1113" w:type="dxa"/>
          </w:tcPr>
          <w:p w14:paraId="35E73C32" w14:textId="77777777" w:rsidR="00DC6D9B" w:rsidRDefault="00DC6D9B" w:rsidP="00CD363C">
            <w:pPr>
              <w:pStyle w:val="TableParagraph"/>
              <w:ind w:right="124"/>
              <w:jc w:val="both"/>
              <w:rPr>
                <w:sz w:val="20"/>
              </w:rPr>
            </w:pPr>
            <w:r>
              <w:rPr>
                <w:sz w:val="20"/>
              </w:rPr>
              <w:t>0,79</w:t>
            </w:r>
          </w:p>
        </w:tc>
        <w:tc>
          <w:tcPr>
            <w:tcW w:w="1111" w:type="dxa"/>
          </w:tcPr>
          <w:p w14:paraId="02FD25E1" w14:textId="77777777" w:rsidR="00DC6D9B" w:rsidRDefault="00DC6D9B" w:rsidP="00CD363C">
            <w:pPr>
              <w:pStyle w:val="TableParagraph"/>
              <w:ind w:right="124"/>
              <w:jc w:val="both"/>
              <w:rPr>
                <w:sz w:val="20"/>
              </w:rPr>
            </w:pPr>
            <w:r>
              <w:rPr>
                <w:sz w:val="20"/>
              </w:rPr>
              <w:t>0,74</w:t>
            </w:r>
          </w:p>
        </w:tc>
        <w:tc>
          <w:tcPr>
            <w:tcW w:w="1113" w:type="dxa"/>
          </w:tcPr>
          <w:p w14:paraId="44A2E8CD" w14:textId="77777777" w:rsidR="00DC6D9B" w:rsidRDefault="00DC6D9B" w:rsidP="00CD363C">
            <w:pPr>
              <w:pStyle w:val="TableParagraph"/>
              <w:ind w:right="124"/>
              <w:jc w:val="both"/>
              <w:rPr>
                <w:sz w:val="20"/>
              </w:rPr>
            </w:pPr>
            <w:r>
              <w:rPr>
                <w:sz w:val="20"/>
              </w:rPr>
              <w:t>0,68</w:t>
            </w:r>
          </w:p>
        </w:tc>
        <w:tc>
          <w:tcPr>
            <w:tcW w:w="1113" w:type="dxa"/>
          </w:tcPr>
          <w:p w14:paraId="38C9E5EE" w14:textId="77777777" w:rsidR="00DC6D9B" w:rsidRDefault="00DC6D9B" w:rsidP="00CD363C">
            <w:pPr>
              <w:pStyle w:val="TableParagraph"/>
              <w:ind w:right="124"/>
              <w:jc w:val="both"/>
              <w:rPr>
                <w:sz w:val="20"/>
              </w:rPr>
            </w:pPr>
            <w:r>
              <w:rPr>
                <w:sz w:val="20"/>
              </w:rPr>
              <w:t>0,63</w:t>
            </w:r>
          </w:p>
        </w:tc>
        <w:tc>
          <w:tcPr>
            <w:tcW w:w="1113" w:type="dxa"/>
          </w:tcPr>
          <w:p w14:paraId="3486A3B1" w14:textId="77777777" w:rsidR="00DC6D9B" w:rsidRDefault="00DC6D9B" w:rsidP="00CD363C">
            <w:pPr>
              <w:pStyle w:val="TableParagraph"/>
              <w:ind w:right="124"/>
              <w:jc w:val="both"/>
              <w:rPr>
                <w:sz w:val="20"/>
              </w:rPr>
            </w:pPr>
            <w:r>
              <w:rPr>
                <w:sz w:val="20"/>
              </w:rPr>
              <w:t>0,58</w:t>
            </w:r>
          </w:p>
        </w:tc>
        <w:tc>
          <w:tcPr>
            <w:tcW w:w="1111" w:type="dxa"/>
          </w:tcPr>
          <w:p w14:paraId="2C429B0A" w14:textId="77777777" w:rsidR="00DC6D9B" w:rsidRDefault="00DC6D9B" w:rsidP="00CD363C">
            <w:pPr>
              <w:pStyle w:val="TableParagraph"/>
              <w:ind w:right="124"/>
              <w:jc w:val="both"/>
              <w:rPr>
                <w:sz w:val="20"/>
              </w:rPr>
            </w:pPr>
            <w:r>
              <w:rPr>
                <w:sz w:val="20"/>
              </w:rPr>
              <w:t>0,54</w:t>
            </w:r>
          </w:p>
        </w:tc>
        <w:tc>
          <w:tcPr>
            <w:tcW w:w="1114" w:type="dxa"/>
          </w:tcPr>
          <w:p w14:paraId="12428B07" w14:textId="77777777" w:rsidR="00DC6D9B" w:rsidRDefault="00DC6D9B" w:rsidP="00CD363C">
            <w:pPr>
              <w:pStyle w:val="TableParagraph"/>
              <w:ind w:right="124"/>
              <w:jc w:val="both"/>
              <w:rPr>
                <w:sz w:val="20"/>
              </w:rPr>
            </w:pPr>
            <w:r>
              <w:rPr>
                <w:sz w:val="20"/>
              </w:rPr>
              <w:t>0,50</w:t>
            </w:r>
          </w:p>
        </w:tc>
        <w:tc>
          <w:tcPr>
            <w:tcW w:w="1113" w:type="dxa"/>
          </w:tcPr>
          <w:p w14:paraId="1DDC4E75" w14:textId="77777777" w:rsidR="00DC6D9B" w:rsidRDefault="00DC6D9B" w:rsidP="00CD363C">
            <w:pPr>
              <w:pStyle w:val="TableParagraph"/>
              <w:ind w:right="124"/>
              <w:jc w:val="both"/>
              <w:rPr>
                <w:sz w:val="20"/>
              </w:rPr>
            </w:pPr>
            <w:r>
              <w:rPr>
                <w:sz w:val="20"/>
              </w:rPr>
              <w:t>0,46</w:t>
            </w:r>
          </w:p>
        </w:tc>
        <w:tc>
          <w:tcPr>
            <w:tcW w:w="1389" w:type="dxa"/>
          </w:tcPr>
          <w:p w14:paraId="27BA99D9" w14:textId="77777777" w:rsidR="00DC6D9B" w:rsidRDefault="00DC6D9B" w:rsidP="00CD363C">
            <w:pPr>
              <w:pStyle w:val="TableParagraph"/>
              <w:ind w:right="124"/>
              <w:jc w:val="both"/>
              <w:rPr>
                <w:sz w:val="20"/>
              </w:rPr>
            </w:pPr>
            <w:r>
              <w:rPr>
                <w:w w:val="95"/>
                <w:sz w:val="20"/>
              </w:rPr>
              <w:t>Kopā:</w:t>
            </w:r>
          </w:p>
        </w:tc>
      </w:tr>
      <w:tr w:rsidR="00DC6D9B" w14:paraId="4202C996" w14:textId="77777777" w:rsidTr="00535ACC">
        <w:trPr>
          <w:trHeight w:val="461"/>
        </w:trPr>
        <w:tc>
          <w:tcPr>
            <w:tcW w:w="1524" w:type="dxa"/>
          </w:tcPr>
          <w:p w14:paraId="513DE878" w14:textId="77777777" w:rsidR="00DC6D9B" w:rsidRDefault="00DC6D9B" w:rsidP="00CD363C">
            <w:pPr>
              <w:pStyle w:val="TableParagraph"/>
              <w:ind w:left="545" w:right="124"/>
              <w:jc w:val="both"/>
              <w:rPr>
                <w:sz w:val="20"/>
              </w:rPr>
            </w:pPr>
            <w:r>
              <w:rPr>
                <w:sz w:val="20"/>
              </w:rPr>
              <w:t>Pašreizējā</w:t>
            </w:r>
          </w:p>
          <w:p w14:paraId="4F0C12CB" w14:textId="77777777" w:rsidR="00DC6D9B" w:rsidRDefault="00DC6D9B" w:rsidP="00CD363C">
            <w:pPr>
              <w:pStyle w:val="TableParagraph"/>
              <w:ind w:left="302" w:right="124"/>
              <w:jc w:val="both"/>
              <w:rPr>
                <w:sz w:val="20"/>
              </w:rPr>
            </w:pPr>
            <w:r>
              <w:rPr>
                <w:sz w:val="20"/>
              </w:rPr>
              <w:t>vērtība,</w:t>
            </w:r>
            <w:r>
              <w:rPr>
                <w:spacing w:val="-7"/>
                <w:sz w:val="20"/>
              </w:rPr>
              <w:t xml:space="preserve"> </w:t>
            </w:r>
            <w:r>
              <w:rPr>
                <w:sz w:val="20"/>
              </w:rPr>
              <w:t>EUR</w:t>
            </w:r>
          </w:p>
        </w:tc>
        <w:tc>
          <w:tcPr>
            <w:tcW w:w="696" w:type="dxa"/>
          </w:tcPr>
          <w:p w14:paraId="1D39CF5D" w14:textId="77777777" w:rsidR="00DC6D9B" w:rsidRDefault="00DC6D9B" w:rsidP="00CD363C">
            <w:pPr>
              <w:pStyle w:val="TableParagraph"/>
              <w:ind w:left="338" w:right="124"/>
              <w:jc w:val="both"/>
              <w:rPr>
                <w:i/>
                <w:sz w:val="16"/>
              </w:rPr>
            </w:pPr>
            <w:r>
              <w:rPr>
                <w:i/>
                <w:sz w:val="16"/>
              </w:rPr>
              <w:t>5=</w:t>
            </w:r>
          </w:p>
          <w:p w14:paraId="4DD4DF8D" w14:textId="77777777" w:rsidR="00DC6D9B" w:rsidRDefault="00DC6D9B" w:rsidP="00CD363C">
            <w:pPr>
              <w:pStyle w:val="TableParagraph"/>
              <w:ind w:left="288" w:right="124"/>
              <w:jc w:val="both"/>
              <w:rPr>
                <w:i/>
                <w:sz w:val="16"/>
              </w:rPr>
            </w:pPr>
            <w:r>
              <w:rPr>
                <w:i/>
                <w:sz w:val="16"/>
              </w:rPr>
              <w:t>2*4</w:t>
            </w:r>
          </w:p>
        </w:tc>
        <w:tc>
          <w:tcPr>
            <w:tcW w:w="1111" w:type="dxa"/>
          </w:tcPr>
          <w:p w14:paraId="7A9109F9" w14:textId="77777777" w:rsidR="00DC6D9B" w:rsidRDefault="00DC6D9B" w:rsidP="00CD363C">
            <w:pPr>
              <w:pStyle w:val="TableParagraph"/>
              <w:ind w:right="124"/>
              <w:jc w:val="both"/>
              <w:rPr>
                <w:sz w:val="20"/>
              </w:rPr>
            </w:pPr>
            <w:r>
              <w:rPr>
                <w:sz w:val="20"/>
              </w:rPr>
              <w:t>9 259,26</w:t>
            </w:r>
          </w:p>
        </w:tc>
        <w:tc>
          <w:tcPr>
            <w:tcW w:w="1114" w:type="dxa"/>
          </w:tcPr>
          <w:p w14:paraId="293888EC" w14:textId="77777777" w:rsidR="00DC6D9B" w:rsidRDefault="00DC6D9B" w:rsidP="00CD363C">
            <w:pPr>
              <w:pStyle w:val="TableParagraph"/>
              <w:ind w:right="124"/>
              <w:jc w:val="both"/>
              <w:rPr>
                <w:sz w:val="20"/>
              </w:rPr>
            </w:pPr>
            <w:r>
              <w:rPr>
                <w:sz w:val="20"/>
              </w:rPr>
              <w:t>8 573,39</w:t>
            </w:r>
          </w:p>
        </w:tc>
        <w:tc>
          <w:tcPr>
            <w:tcW w:w="1113" w:type="dxa"/>
          </w:tcPr>
          <w:p w14:paraId="78E99C20" w14:textId="77777777" w:rsidR="00DC6D9B" w:rsidRDefault="00DC6D9B" w:rsidP="00CD363C">
            <w:pPr>
              <w:pStyle w:val="TableParagraph"/>
              <w:ind w:right="124"/>
              <w:jc w:val="both"/>
              <w:rPr>
                <w:sz w:val="20"/>
              </w:rPr>
            </w:pPr>
            <w:r>
              <w:rPr>
                <w:sz w:val="20"/>
              </w:rPr>
              <w:t>7 938,32</w:t>
            </w:r>
          </w:p>
        </w:tc>
        <w:tc>
          <w:tcPr>
            <w:tcW w:w="1111" w:type="dxa"/>
          </w:tcPr>
          <w:p w14:paraId="35176206" w14:textId="77777777" w:rsidR="00DC6D9B" w:rsidRDefault="00DC6D9B" w:rsidP="00CD363C">
            <w:pPr>
              <w:pStyle w:val="TableParagraph"/>
              <w:ind w:right="124"/>
              <w:jc w:val="both"/>
              <w:rPr>
                <w:sz w:val="20"/>
              </w:rPr>
            </w:pPr>
            <w:r>
              <w:rPr>
                <w:sz w:val="20"/>
              </w:rPr>
              <w:t>7 350,30</w:t>
            </w:r>
          </w:p>
        </w:tc>
        <w:tc>
          <w:tcPr>
            <w:tcW w:w="1113" w:type="dxa"/>
          </w:tcPr>
          <w:p w14:paraId="5D185752" w14:textId="77777777" w:rsidR="00DC6D9B" w:rsidRDefault="00DC6D9B" w:rsidP="00CD363C">
            <w:pPr>
              <w:pStyle w:val="TableParagraph"/>
              <w:ind w:right="124"/>
              <w:jc w:val="both"/>
              <w:rPr>
                <w:sz w:val="20"/>
              </w:rPr>
            </w:pPr>
            <w:r>
              <w:rPr>
                <w:sz w:val="20"/>
              </w:rPr>
              <w:t>6 805,83</w:t>
            </w:r>
          </w:p>
        </w:tc>
        <w:tc>
          <w:tcPr>
            <w:tcW w:w="1113" w:type="dxa"/>
          </w:tcPr>
          <w:p w14:paraId="09DAC826" w14:textId="77777777" w:rsidR="00DC6D9B" w:rsidRDefault="00DC6D9B" w:rsidP="00CD363C">
            <w:pPr>
              <w:pStyle w:val="TableParagraph"/>
              <w:ind w:right="124"/>
              <w:jc w:val="both"/>
              <w:rPr>
                <w:sz w:val="20"/>
              </w:rPr>
            </w:pPr>
            <w:r>
              <w:rPr>
                <w:sz w:val="20"/>
              </w:rPr>
              <w:t>6 301,70</w:t>
            </w:r>
          </w:p>
        </w:tc>
        <w:tc>
          <w:tcPr>
            <w:tcW w:w="1113" w:type="dxa"/>
          </w:tcPr>
          <w:p w14:paraId="293D07BD" w14:textId="77777777" w:rsidR="00DC6D9B" w:rsidRDefault="00DC6D9B" w:rsidP="00CD363C">
            <w:pPr>
              <w:pStyle w:val="TableParagraph"/>
              <w:ind w:right="124"/>
              <w:jc w:val="both"/>
              <w:rPr>
                <w:sz w:val="20"/>
              </w:rPr>
            </w:pPr>
            <w:r>
              <w:rPr>
                <w:sz w:val="20"/>
              </w:rPr>
              <w:t>5 834,90</w:t>
            </w:r>
          </w:p>
        </w:tc>
        <w:tc>
          <w:tcPr>
            <w:tcW w:w="1111" w:type="dxa"/>
          </w:tcPr>
          <w:p w14:paraId="255E9E66" w14:textId="77777777" w:rsidR="00DC6D9B" w:rsidRDefault="00DC6D9B" w:rsidP="00CD363C">
            <w:pPr>
              <w:pStyle w:val="TableParagraph"/>
              <w:ind w:right="124"/>
              <w:jc w:val="both"/>
              <w:rPr>
                <w:sz w:val="20"/>
              </w:rPr>
            </w:pPr>
            <w:r>
              <w:rPr>
                <w:sz w:val="20"/>
              </w:rPr>
              <w:t>5 402,69</w:t>
            </w:r>
          </w:p>
        </w:tc>
        <w:tc>
          <w:tcPr>
            <w:tcW w:w="1114" w:type="dxa"/>
          </w:tcPr>
          <w:p w14:paraId="39EF867F" w14:textId="77777777" w:rsidR="00DC6D9B" w:rsidRDefault="00DC6D9B" w:rsidP="00CD363C">
            <w:pPr>
              <w:pStyle w:val="TableParagraph"/>
              <w:ind w:right="124"/>
              <w:jc w:val="both"/>
              <w:rPr>
                <w:sz w:val="20"/>
              </w:rPr>
            </w:pPr>
            <w:r>
              <w:rPr>
                <w:sz w:val="20"/>
              </w:rPr>
              <w:t>5 002,49</w:t>
            </w:r>
          </w:p>
        </w:tc>
        <w:tc>
          <w:tcPr>
            <w:tcW w:w="1113" w:type="dxa"/>
          </w:tcPr>
          <w:p w14:paraId="35078F01" w14:textId="77777777" w:rsidR="00DC6D9B" w:rsidRDefault="00DC6D9B" w:rsidP="00CD363C">
            <w:pPr>
              <w:pStyle w:val="TableParagraph"/>
              <w:ind w:right="124"/>
              <w:jc w:val="both"/>
              <w:rPr>
                <w:sz w:val="20"/>
              </w:rPr>
            </w:pPr>
            <w:r>
              <w:rPr>
                <w:sz w:val="20"/>
              </w:rPr>
              <w:t>4 631,93</w:t>
            </w:r>
          </w:p>
        </w:tc>
        <w:tc>
          <w:tcPr>
            <w:tcW w:w="1389" w:type="dxa"/>
          </w:tcPr>
          <w:p w14:paraId="7E05DD2C" w14:textId="77777777" w:rsidR="00DC6D9B" w:rsidRDefault="00DC6D9B" w:rsidP="00CD363C">
            <w:pPr>
              <w:pStyle w:val="TableParagraph"/>
              <w:ind w:right="124"/>
              <w:jc w:val="both"/>
              <w:rPr>
                <w:sz w:val="20"/>
              </w:rPr>
            </w:pPr>
            <w:r>
              <w:rPr>
                <w:sz w:val="20"/>
              </w:rPr>
              <w:t>67 100,81</w:t>
            </w:r>
          </w:p>
        </w:tc>
      </w:tr>
    </w:tbl>
    <w:p w14:paraId="7FFC48D8" w14:textId="77777777" w:rsidR="00DC6D9B" w:rsidRDefault="00DC6D9B" w:rsidP="00CD363C">
      <w:pPr>
        <w:spacing w:after="0" w:line="240" w:lineRule="auto"/>
        <w:ind w:left="118" w:right="124"/>
        <w:jc w:val="both"/>
        <w:rPr>
          <w:i/>
          <w:sz w:val="20"/>
        </w:rPr>
      </w:pPr>
      <w:r>
        <w:rPr>
          <w:i/>
          <w:sz w:val="20"/>
        </w:rPr>
        <w:t>*Diskonta faktors= 1/(1+% likme)^gads pēc kārtas</w:t>
      </w:r>
    </w:p>
    <w:p w14:paraId="0C838002" w14:textId="77777777" w:rsidR="00DC6D9B" w:rsidRDefault="00DC6D9B" w:rsidP="00CD363C">
      <w:pPr>
        <w:pStyle w:val="Pamatteksts"/>
        <w:ind w:right="124"/>
        <w:jc w:val="both"/>
        <w:rPr>
          <w:i/>
          <w:sz w:val="12"/>
        </w:rPr>
      </w:pPr>
    </w:p>
    <w:p w14:paraId="2BD271D1" w14:textId="77777777" w:rsidR="00DC6D9B" w:rsidRDefault="00DC6D9B" w:rsidP="00CD363C">
      <w:pPr>
        <w:spacing w:after="0" w:line="240" w:lineRule="auto"/>
        <w:ind w:right="124"/>
        <w:jc w:val="both"/>
        <w:rPr>
          <w:sz w:val="12"/>
        </w:rPr>
        <w:sectPr w:rsidR="00DC6D9B">
          <w:type w:val="continuous"/>
          <w:pgSz w:w="16840" w:h="11910" w:orient="landscape"/>
          <w:pgMar w:top="840" w:right="560" w:bottom="740" w:left="1300" w:header="720" w:footer="720" w:gutter="0"/>
          <w:cols w:space="720"/>
        </w:sectPr>
      </w:pPr>
    </w:p>
    <w:p w14:paraId="43653565" w14:textId="77777777" w:rsidR="00DC6D9B" w:rsidRDefault="00DC6D9B" w:rsidP="00CD363C">
      <w:pPr>
        <w:pStyle w:val="Sarakstarindkopa"/>
        <w:widowControl w:val="0"/>
        <w:numPr>
          <w:ilvl w:val="0"/>
          <w:numId w:val="34"/>
        </w:numPr>
        <w:tabs>
          <w:tab w:val="left" w:pos="5606"/>
        </w:tabs>
        <w:autoSpaceDE w:val="0"/>
        <w:autoSpaceDN w:val="0"/>
        <w:spacing w:after="0" w:line="240" w:lineRule="auto"/>
        <w:ind w:left="5606" w:right="124"/>
        <w:contextualSpacing w:val="0"/>
        <w:jc w:val="both"/>
        <w:rPr>
          <w:i/>
          <w:sz w:val="20"/>
        </w:rPr>
      </w:pPr>
      <w:r>
        <w:rPr>
          <w:i/>
          <w:sz w:val="20"/>
        </w:rPr>
        <w:t>tabula. Procentu ieņēmumu un nomas prasību</w:t>
      </w:r>
      <w:r>
        <w:rPr>
          <w:i/>
          <w:spacing w:val="-13"/>
          <w:sz w:val="20"/>
        </w:rPr>
        <w:t xml:space="preserve"> </w:t>
      </w:r>
      <w:r>
        <w:rPr>
          <w:i/>
          <w:sz w:val="20"/>
        </w:rPr>
        <w:t>aprēķins</w:t>
      </w:r>
    </w:p>
    <w:p w14:paraId="1CBE2EB2" w14:textId="77777777" w:rsidR="00DC6D9B" w:rsidRDefault="00DC6D9B" w:rsidP="00CD363C">
      <w:pPr>
        <w:pStyle w:val="Pamatteksts"/>
        <w:ind w:right="124"/>
        <w:jc w:val="both"/>
        <w:rPr>
          <w:i/>
          <w:sz w:val="20"/>
        </w:rPr>
      </w:pPr>
    </w:p>
    <w:tbl>
      <w:tblPr>
        <w:tblW w:w="0" w:type="auto"/>
        <w:tblInd w:w="1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0"/>
        <w:gridCol w:w="1992"/>
        <w:gridCol w:w="1453"/>
        <w:gridCol w:w="1323"/>
        <w:gridCol w:w="1820"/>
        <w:gridCol w:w="1182"/>
        <w:gridCol w:w="1184"/>
      </w:tblGrid>
      <w:tr w:rsidR="00DC6D9B" w14:paraId="70C28420" w14:textId="77777777" w:rsidTr="00535ACC">
        <w:trPr>
          <w:trHeight w:val="1079"/>
        </w:trPr>
        <w:tc>
          <w:tcPr>
            <w:tcW w:w="980" w:type="dxa"/>
            <w:shd w:val="clear" w:color="auto" w:fill="F1F1F1"/>
          </w:tcPr>
          <w:p w14:paraId="471235AF" w14:textId="77777777" w:rsidR="00DC6D9B" w:rsidRDefault="00DC6D9B" w:rsidP="00CD363C">
            <w:pPr>
              <w:pStyle w:val="TableParagraph"/>
              <w:ind w:right="124"/>
              <w:jc w:val="both"/>
              <w:rPr>
                <w:i/>
              </w:rPr>
            </w:pPr>
          </w:p>
          <w:p w14:paraId="20A25E4E" w14:textId="77777777" w:rsidR="00DC6D9B" w:rsidRDefault="00DC6D9B" w:rsidP="00CD363C">
            <w:pPr>
              <w:pStyle w:val="TableParagraph"/>
              <w:ind w:left="239" w:right="124"/>
              <w:jc w:val="both"/>
              <w:rPr>
                <w:b/>
                <w:sz w:val="20"/>
              </w:rPr>
            </w:pPr>
            <w:r>
              <w:rPr>
                <w:b/>
                <w:sz w:val="20"/>
              </w:rPr>
              <w:t>Gads</w:t>
            </w:r>
          </w:p>
        </w:tc>
        <w:tc>
          <w:tcPr>
            <w:tcW w:w="1992" w:type="dxa"/>
            <w:shd w:val="clear" w:color="auto" w:fill="F1F1F1"/>
          </w:tcPr>
          <w:p w14:paraId="1008A71D" w14:textId="77777777" w:rsidR="00DC6D9B" w:rsidRDefault="00DC6D9B" w:rsidP="00CD363C">
            <w:pPr>
              <w:pStyle w:val="TableParagraph"/>
              <w:ind w:left="193" w:right="124" w:firstLine="1"/>
              <w:jc w:val="both"/>
              <w:rPr>
                <w:b/>
                <w:sz w:val="20"/>
              </w:rPr>
            </w:pPr>
            <w:r>
              <w:rPr>
                <w:b/>
                <w:sz w:val="20"/>
              </w:rPr>
              <w:t>Prasību atlikums gada beigās pirms atmaksas un % aprēķina, EUR</w:t>
            </w:r>
          </w:p>
        </w:tc>
        <w:tc>
          <w:tcPr>
            <w:tcW w:w="1453" w:type="dxa"/>
            <w:shd w:val="clear" w:color="auto" w:fill="F1F1F1"/>
          </w:tcPr>
          <w:p w14:paraId="36FFAFAB" w14:textId="77777777" w:rsidR="00DC6D9B" w:rsidRDefault="00DC6D9B" w:rsidP="00CD363C">
            <w:pPr>
              <w:pStyle w:val="TableParagraph"/>
              <w:ind w:left="251" w:right="124"/>
              <w:jc w:val="both"/>
              <w:rPr>
                <w:b/>
                <w:sz w:val="20"/>
              </w:rPr>
            </w:pPr>
            <w:r>
              <w:rPr>
                <w:b/>
                <w:sz w:val="20"/>
              </w:rPr>
              <w:t xml:space="preserve">Procentu </w:t>
            </w:r>
            <w:r>
              <w:rPr>
                <w:b/>
                <w:w w:val="95"/>
                <w:sz w:val="20"/>
              </w:rPr>
              <w:t xml:space="preserve">ieņēmumi, </w:t>
            </w:r>
            <w:r>
              <w:rPr>
                <w:b/>
                <w:sz w:val="20"/>
              </w:rPr>
              <w:t>EUR</w:t>
            </w:r>
          </w:p>
        </w:tc>
        <w:tc>
          <w:tcPr>
            <w:tcW w:w="1323" w:type="dxa"/>
            <w:shd w:val="clear" w:color="auto" w:fill="F1F1F1"/>
          </w:tcPr>
          <w:p w14:paraId="0A030C70" w14:textId="77777777" w:rsidR="00DC6D9B" w:rsidRDefault="00DC6D9B" w:rsidP="00CD363C">
            <w:pPr>
              <w:pStyle w:val="TableParagraph"/>
              <w:ind w:right="124"/>
              <w:jc w:val="both"/>
              <w:rPr>
                <w:i/>
                <w:sz w:val="26"/>
              </w:rPr>
            </w:pPr>
          </w:p>
          <w:p w14:paraId="3200EBF2" w14:textId="77777777" w:rsidR="00DC6D9B" w:rsidRDefault="00DC6D9B" w:rsidP="00CD363C">
            <w:pPr>
              <w:pStyle w:val="TableParagraph"/>
              <w:ind w:left="419" w:right="124" w:hanging="315"/>
              <w:jc w:val="both"/>
              <w:rPr>
                <w:b/>
                <w:sz w:val="20"/>
              </w:rPr>
            </w:pPr>
            <w:r>
              <w:rPr>
                <w:b/>
                <w:w w:val="95"/>
                <w:sz w:val="20"/>
              </w:rPr>
              <w:t xml:space="preserve">Maksājums, </w:t>
            </w:r>
            <w:r>
              <w:rPr>
                <w:b/>
                <w:sz w:val="20"/>
              </w:rPr>
              <w:t>EUR</w:t>
            </w:r>
          </w:p>
        </w:tc>
        <w:tc>
          <w:tcPr>
            <w:tcW w:w="1820" w:type="dxa"/>
            <w:shd w:val="clear" w:color="auto" w:fill="F1F1F1"/>
          </w:tcPr>
          <w:p w14:paraId="686872C9" w14:textId="77777777" w:rsidR="00DC6D9B" w:rsidRDefault="00DC6D9B" w:rsidP="00CD363C">
            <w:pPr>
              <w:pStyle w:val="TableParagraph"/>
              <w:ind w:left="147" w:right="124" w:firstLine="2"/>
              <w:jc w:val="both"/>
              <w:rPr>
                <w:b/>
                <w:sz w:val="20"/>
              </w:rPr>
            </w:pPr>
            <w:r>
              <w:rPr>
                <w:b/>
                <w:sz w:val="20"/>
              </w:rPr>
              <w:t>Prasību atlikums pārskata perioda beigās, EUR</w:t>
            </w:r>
          </w:p>
        </w:tc>
        <w:tc>
          <w:tcPr>
            <w:tcW w:w="1182" w:type="dxa"/>
            <w:shd w:val="clear" w:color="auto" w:fill="F1F1F1"/>
          </w:tcPr>
          <w:p w14:paraId="0A087AFD" w14:textId="77777777" w:rsidR="00DC6D9B" w:rsidRDefault="00DC6D9B" w:rsidP="00CD363C">
            <w:pPr>
              <w:pStyle w:val="TableParagraph"/>
              <w:ind w:right="124"/>
              <w:jc w:val="both"/>
              <w:rPr>
                <w:i/>
                <w:sz w:val="26"/>
              </w:rPr>
            </w:pPr>
          </w:p>
          <w:p w14:paraId="0262F9F4" w14:textId="77777777" w:rsidR="00DC6D9B" w:rsidRDefault="00DC6D9B" w:rsidP="00CD363C">
            <w:pPr>
              <w:pStyle w:val="TableParagraph"/>
              <w:ind w:left="115" w:right="124" w:firstLine="26"/>
              <w:jc w:val="both"/>
              <w:rPr>
                <w:b/>
                <w:sz w:val="20"/>
              </w:rPr>
            </w:pPr>
            <w:r>
              <w:rPr>
                <w:b/>
                <w:sz w:val="20"/>
              </w:rPr>
              <w:t>Īstermiņa daļa, EUR</w:t>
            </w:r>
          </w:p>
        </w:tc>
        <w:tc>
          <w:tcPr>
            <w:tcW w:w="1184" w:type="dxa"/>
            <w:shd w:val="clear" w:color="auto" w:fill="F1F1F1"/>
          </w:tcPr>
          <w:p w14:paraId="2A1BC867" w14:textId="77777777" w:rsidR="00DC6D9B" w:rsidRDefault="00DC6D9B" w:rsidP="00CD363C">
            <w:pPr>
              <w:pStyle w:val="TableParagraph"/>
              <w:ind w:right="124"/>
              <w:jc w:val="both"/>
              <w:rPr>
                <w:i/>
                <w:sz w:val="26"/>
              </w:rPr>
            </w:pPr>
          </w:p>
          <w:p w14:paraId="06E3EB32" w14:textId="77777777" w:rsidR="00DC6D9B" w:rsidRDefault="00DC6D9B" w:rsidP="00CD363C">
            <w:pPr>
              <w:pStyle w:val="TableParagraph"/>
              <w:ind w:left="116" w:right="124" w:hanging="12"/>
              <w:jc w:val="both"/>
              <w:rPr>
                <w:b/>
                <w:sz w:val="20"/>
              </w:rPr>
            </w:pPr>
            <w:r>
              <w:rPr>
                <w:b/>
                <w:w w:val="95"/>
                <w:sz w:val="20"/>
              </w:rPr>
              <w:t xml:space="preserve">Ilgtermiņa </w:t>
            </w:r>
            <w:r>
              <w:rPr>
                <w:b/>
                <w:sz w:val="20"/>
              </w:rPr>
              <w:t>daļa, EUR</w:t>
            </w:r>
          </w:p>
        </w:tc>
      </w:tr>
      <w:tr w:rsidR="00DC6D9B" w14:paraId="06573664" w14:textId="77777777" w:rsidTr="00535ACC">
        <w:trPr>
          <w:trHeight w:val="208"/>
        </w:trPr>
        <w:tc>
          <w:tcPr>
            <w:tcW w:w="980" w:type="dxa"/>
          </w:tcPr>
          <w:p w14:paraId="7153AAD8" w14:textId="77777777" w:rsidR="00DC6D9B" w:rsidRDefault="00DC6D9B" w:rsidP="00CD363C">
            <w:pPr>
              <w:pStyle w:val="TableParagraph"/>
              <w:ind w:right="124"/>
              <w:jc w:val="both"/>
              <w:rPr>
                <w:b/>
                <w:i/>
                <w:sz w:val="18"/>
              </w:rPr>
            </w:pPr>
            <w:r>
              <w:rPr>
                <w:b/>
                <w:i/>
                <w:sz w:val="18"/>
              </w:rPr>
              <w:t>1</w:t>
            </w:r>
          </w:p>
        </w:tc>
        <w:tc>
          <w:tcPr>
            <w:tcW w:w="1992" w:type="dxa"/>
          </w:tcPr>
          <w:p w14:paraId="31CE1DFA" w14:textId="77777777" w:rsidR="00DC6D9B" w:rsidRDefault="00DC6D9B" w:rsidP="00CD363C">
            <w:pPr>
              <w:pStyle w:val="TableParagraph"/>
              <w:ind w:right="124"/>
              <w:jc w:val="both"/>
              <w:rPr>
                <w:b/>
                <w:i/>
                <w:sz w:val="18"/>
              </w:rPr>
            </w:pPr>
            <w:r>
              <w:rPr>
                <w:b/>
                <w:i/>
                <w:sz w:val="18"/>
              </w:rPr>
              <w:t>2</w:t>
            </w:r>
          </w:p>
        </w:tc>
        <w:tc>
          <w:tcPr>
            <w:tcW w:w="1453" w:type="dxa"/>
          </w:tcPr>
          <w:p w14:paraId="4B60BCE3" w14:textId="77777777" w:rsidR="00DC6D9B" w:rsidRDefault="00DC6D9B" w:rsidP="00CD363C">
            <w:pPr>
              <w:pStyle w:val="TableParagraph"/>
              <w:ind w:left="388" w:right="124"/>
              <w:jc w:val="both"/>
              <w:rPr>
                <w:b/>
                <w:i/>
                <w:sz w:val="18"/>
              </w:rPr>
            </w:pPr>
            <w:r>
              <w:rPr>
                <w:b/>
                <w:i/>
                <w:sz w:val="18"/>
              </w:rPr>
              <w:t>3=2*8%</w:t>
            </w:r>
          </w:p>
        </w:tc>
        <w:tc>
          <w:tcPr>
            <w:tcW w:w="1323" w:type="dxa"/>
          </w:tcPr>
          <w:p w14:paraId="593B2BBA" w14:textId="77777777" w:rsidR="00DC6D9B" w:rsidRDefault="00DC6D9B" w:rsidP="00CD363C">
            <w:pPr>
              <w:pStyle w:val="TableParagraph"/>
              <w:ind w:right="124"/>
              <w:jc w:val="both"/>
              <w:rPr>
                <w:b/>
                <w:i/>
                <w:sz w:val="18"/>
              </w:rPr>
            </w:pPr>
            <w:r>
              <w:rPr>
                <w:b/>
                <w:i/>
                <w:sz w:val="18"/>
              </w:rPr>
              <w:t>4</w:t>
            </w:r>
          </w:p>
        </w:tc>
        <w:tc>
          <w:tcPr>
            <w:tcW w:w="1820" w:type="dxa"/>
          </w:tcPr>
          <w:p w14:paraId="4E09618D" w14:textId="77777777" w:rsidR="00DC6D9B" w:rsidRDefault="00DC6D9B" w:rsidP="00CD363C">
            <w:pPr>
              <w:pStyle w:val="TableParagraph"/>
              <w:ind w:left="567" w:right="124"/>
              <w:jc w:val="both"/>
              <w:rPr>
                <w:b/>
                <w:i/>
                <w:sz w:val="18"/>
              </w:rPr>
            </w:pPr>
            <w:r>
              <w:rPr>
                <w:b/>
                <w:i/>
                <w:sz w:val="18"/>
              </w:rPr>
              <w:t>5=2+3-4</w:t>
            </w:r>
          </w:p>
        </w:tc>
        <w:tc>
          <w:tcPr>
            <w:tcW w:w="1182" w:type="dxa"/>
          </w:tcPr>
          <w:p w14:paraId="58F0360A" w14:textId="77777777" w:rsidR="00DC6D9B" w:rsidRDefault="00DC6D9B" w:rsidP="00CD363C">
            <w:pPr>
              <w:pStyle w:val="TableParagraph"/>
              <w:ind w:right="124"/>
              <w:jc w:val="both"/>
              <w:rPr>
                <w:b/>
                <w:i/>
                <w:sz w:val="18"/>
              </w:rPr>
            </w:pPr>
            <w:r>
              <w:rPr>
                <w:b/>
                <w:i/>
                <w:sz w:val="18"/>
              </w:rPr>
              <w:t>6</w:t>
            </w:r>
          </w:p>
        </w:tc>
        <w:tc>
          <w:tcPr>
            <w:tcW w:w="1184" w:type="dxa"/>
          </w:tcPr>
          <w:p w14:paraId="1255F2FB" w14:textId="77777777" w:rsidR="00DC6D9B" w:rsidRDefault="00DC6D9B" w:rsidP="00CD363C">
            <w:pPr>
              <w:pStyle w:val="TableParagraph"/>
              <w:ind w:right="124"/>
              <w:jc w:val="both"/>
              <w:rPr>
                <w:b/>
                <w:i/>
                <w:sz w:val="18"/>
              </w:rPr>
            </w:pPr>
            <w:r>
              <w:rPr>
                <w:b/>
                <w:i/>
                <w:sz w:val="18"/>
              </w:rPr>
              <w:t>7</w:t>
            </w:r>
          </w:p>
        </w:tc>
      </w:tr>
      <w:tr w:rsidR="00DC6D9B" w14:paraId="61C05FFE" w14:textId="77777777" w:rsidTr="00535ACC">
        <w:trPr>
          <w:trHeight w:val="275"/>
        </w:trPr>
        <w:tc>
          <w:tcPr>
            <w:tcW w:w="980" w:type="dxa"/>
          </w:tcPr>
          <w:p w14:paraId="5ACE5E70" w14:textId="77777777" w:rsidR="00DC6D9B" w:rsidRDefault="00DC6D9B" w:rsidP="00CD363C">
            <w:pPr>
              <w:pStyle w:val="TableParagraph"/>
              <w:ind w:right="124"/>
              <w:jc w:val="both"/>
              <w:rPr>
                <w:sz w:val="20"/>
              </w:rPr>
            </w:pPr>
            <w:r>
              <w:rPr>
                <w:sz w:val="20"/>
              </w:rPr>
              <w:t>2019</w:t>
            </w:r>
          </w:p>
        </w:tc>
        <w:tc>
          <w:tcPr>
            <w:tcW w:w="1992" w:type="dxa"/>
          </w:tcPr>
          <w:p w14:paraId="3A09CCCC" w14:textId="77777777" w:rsidR="00DC6D9B" w:rsidRDefault="00DC6D9B" w:rsidP="00CD363C">
            <w:pPr>
              <w:pStyle w:val="TableParagraph"/>
              <w:ind w:right="124"/>
              <w:jc w:val="both"/>
              <w:rPr>
                <w:sz w:val="20"/>
              </w:rPr>
            </w:pPr>
            <w:r>
              <w:rPr>
                <w:sz w:val="20"/>
              </w:rPr>
              <w:t>67 100,81</w:t>
            </w:r>
          </w:p>
        </w:tc>
        <w:tc>
          <w:tcPr>
            <w:tcW w:w="1453" w:type="dxa"/>
          </w:tcPr>
          <w:p w14:paraId="25028D58" w14:textId="77777777" w:rsidR="00DC6D9B" w:rsidRDefault="00DC6D9B" w:rsidP="00CD363C">
            <w:pPr>
              <w:pStyle w:val="TableParagraph"/>
              <w:ind w:right="124"/>
              <w:jc w:val="both"/>
              <w:rPr>
                <w:sz w:val="20"/>
              </w:rPr>
            </w:pPr>
            <w:r>
              <w:rPr>
                <w:sz w:val="20"/>
              </w:rPr>
              <w:t>5 368,07</w:t>
            </w:r>
          </w:p>
        </w:tc>
        <w:tc>
          <w:tcPr>
            <w:tcW w:w="1323" w:type="dxa"/>
          </w:tcPr>
          <w:p w14:paraId="6DF53DA3" w14:textId="77777777" w:rsidR="00DC6D9B" w:rsidRDefault="00DC6D9B" w:rsidP="00CD363C">
            <w:pPr>
              <w:pStyle w:val="TableParagraph"/>
              <w:ind w:right="124"/>
              <w:jc w:val="both"/>
              <w:rPr>
                <w:sz w:val="20"/>
              </w:rPr>
            </w:pPr>
            <w:r>
              <w:rPr>
                <w:sz w:val="20"/>
              </w:rPr>
              <w:t>10 000,00</w:t>
            </w:r>
          </w:p>
        </w:tc>
        <w:tc>
          <w:tcPr>
            <w:tcW w:w="1820" w:type="dxa"/>
          </w:tcPr>
          <w:p w14:paraId="744A79CB" w14:textId="77777777" w:rsidR="00DC6D9B" w:rsidRDefault="00DC6D9B" w:rsidP="00CD363C">
            <w:pPr>
              <w:pStyle w:val="TableParagraph"/>
              <w:ind w:right="124"/>
              <w:jc w:val="both"/>
              <w:rPr>
                <w:sz w:val="20"/>
              </w:rPr>
            </w:pPr>
            <w:r>
              <w:rPr>
                <w:sz w:val="20"/>
              </w:rPr>
              <w:t>62 468,88</w:t>
            </w:r>
          </w:p>
        </w:tc>
        <w:tc>
          <w:tcPr>
            <w:tcW w:w="1182" w:type="dxa"/>
          </w:tcPr>
          <w:p w14:paraId="682F4A05" w14:textId="77777777" w:rsidR="00DC6D9B" w:rsidRDefault="00DC6D9B" w:rsidP="00CD363C">
            <w:pPr>
              <w:pStyle w:val="TableParagraph"/>
              <w:ind w:right="124"/>
              <w:jc w:val="both"/>
              <w:rPr>
                <w:sz w:val="20"/>
              </w:rPr>
            </w:pPr>
            <w:r>
              <w:rPr>
                <w:sz w:val="20"/>
              </w:rPr>
              <w:t>5 002,49</w:t>
            </w:r>
          </w:p>
        </w:tc>
        <w:tc>
          <w:tcPr>
            <w:tcW w:w="1184" w:type="dxa"/>
          </w:tcPr>
          <w:p w14:paraId="79378398" w14:textId="77777777" w:rsidR="00DC6D9B" w:rsidRDefault="00DC6D9B" w:rsidP="00CD363C">
            <w:pPr>
              <w:pStyle w:val="TableParagraph"/>
              <w:ind w:right="124"/>
              <w:jc w:val="both"/>
              <w:rPr>
                <w:sz w:val="20"/>
              </w:rPr>
            </w:pPr>
            <w:r>
              <w:rPr>
                <w:sz w:val="20"/>
              </w:rPr>
              <w:t>57 466,39</w:t>
            </w:r>
          </w:p>
        </w:tc>
      </w:tr>
      <w:tr w:rsidR="00DC6D9B" w14:paraId="224E9866" w14:textId="77777777" w:rsidTr="00535ACC">
        <w:trPr>
          <w:trHeight w:val="275"/>
        </w:trPr>
        <w:tc>
          <w:tcPr>
            <w:tcW w:w="980" w:type="dxa"/>
          </w:tcPr>
          <w:p w14:paraId="2C2F8431" w14:textId="77777777" w:rsidR="00DC6D9B" w:rsidRDefault="00DC6D9B" w:rsidP="00CD363C">
            <w:pPr>
              <w:pStyle w:val="TableParagraph"/>
              <w:ind w:right="124"/>
              <w:jc w:val="both"/>
              <w:rPr>
                <w:sz w:val="20"/>
              </w:rPr>
            </w:pPr>
            <w:r>
              <w:rPr>
                <w:sz w:val="20"/>
              </w:rPr>
              <w:t>2020</w:t>
            </w:r>
          </w:p>
        </w:tc>
        <w:tc>
          <w:tcPr>
            <w:tcW w:w="1992" w:type="dxa"/>
          </w:tcPr>
          <w:p w14:paraId="35EF1B60" w14:textId="77777777" w:rsidR="00DC6D9B" w:rsidRDefault="00DC6D9B" w:rsidP="00CD363C">
            <w:pPr>
              <w:pStyle w:val="TableParagraph"/>
              <w:ind w:right="124"/>
              <w:jc w:val="both"/>
              <w:rPr>
                <w:sz w:val="20"/>
              </w:rPr>
            </w:pPr>
            <w:r>
              <w:rPr>
                <w:sz w:val="20"/>
              </w:rPr>
              <w:t>62 468,88</w:t>
            </w:r>
          </w:p>
        </w:tc>
        <w:tc>
          <w:tcPr>
            <w:tcW w:w="1453" w:type="dxa"/>
          </w:tcPr>
          <w:p w14:paraId="30FA07F8" w14:textId="77777777" w:rsidR="00DC6D9B" w:rsidRDefault="00DC6D9B" w:rsidP="00CD363C">
            <w:pPr>
              <w:pStyle w:val="TableParagraph"/>
              <w:ind w:right="124"/>
              <w:jc w:val="both"/>
              <w:rPr>
                <w:sz w:val="20"/>
              </w:rPr>
            </w:pPr>
            <w:r>
              <w:rPr>
                <w:sz w:val="20"/>
              </w:rPr>
              <w:t>4 997,51</w:t>
            </w:r>
          </w:p>
        </w:tc>
        <w:tc>
          <w:tcPr>
            <w:tcW w:w="1323" w:type="dxa"/>
          </w:tcPr>
          <w:p w14:paraId="0310839F" w14:textId="77777777" w:rsidR="00DC6D9B" w:rsidRDefault="00DC6D9B" w:rsidP="00CD363C">
            <w:pPr>
              <w:pStyle w:val="TableParagraph"/>
              <w:ind w:right="124"/>
              <w:jc w:val="both"/>
              <w:rPr>
                <w:sz w:val="20"/>
              </w:rPr>
            </w:pPr>
            <w:r>
              <w:rPr>
                <w:sz w:val="20"/>
              </w:rPr>
              <w:t>10 000,00</w:t>
            </w:r>
          </w:p>
        </w:tc>
        <w:tc>
          <w:tcPr>
            <w:tcW w:w="1820" w:type="dxa"/>
          </w:tcPr>
          <w:p w14:paraId="2B962C07" w14:textId="77777777" w:rsidR="00DC6D9B" w:rsidRDefault="00DC6D9B" w:rsidP="00CD363C">
            <w:pPr>
              <w:pStyle w:val="TableParagraph"/>
              <w:ind w:right="124"/>
              <w:jc w:val="both"/>
              <w:rPr>
                <w:sz w:val="20"/>
              </w:rPr>
            </w:pPr>
            <w:r>
              <w:rPr>
                <w:sz w:val="20"/>
              </w:rPr>
              <w:t>57 466,39</w:t>
            </w:r>
          </w:p>
        </w:tc>
        <w:tc>
          <w:tcPr>
            <w:tcW w:w="1182" w:type="dxa"/>
          </w:tcPr>
          <w:p w14:paraId="3B23C40A" w14:textId="77777777" w:rsidR="00DC6D9B" w:rsidRDefault="00DC6D9B" w:rsidP="00CD363C">
            <w:pPr>
              <w:pStyle w:val="TableParagraph"/>
              <w:ind w:right="124"/>
              <w:jc w:val="both"/>
              <w:rPr>
                <w:sz w:val="20"/>
              </w:rPr>
            </w:pPr>
            <w:r>
              <w:rPr>
                <w:sz w:val="20"/>
              </w:rPr>
              <w:t>5 402,69</w:t>
            </w:r>
          </w:p>
        </w:tc>
        <w:tc>
          <w:tcPr>
            <w:tcW w:w="1184" w:type="dxa"/>
          </w:tcPr>
          <w:p w14:paraId="662486A7" w14:textId="77777777" w:rsidR="00DC6D9B" w:rsidRDefault="00DC6D9B" w:rsidP="00CD363C">
            <w:pPr>
              <w:pStyle w:val="TableParagraph"/>
              <w:ind w:right="124"/>
              <w:jc w:val="both"/>
              <w:rPr>
                <w:sz w:val="20"/>
              </w:rPr>
            </w:pPr>
            <w:r>
              <w:rPr>
                <w:sz w:val="20"/>
              </w:rPr>
              <w:t>52 063,70</w:t>
            </w:r>
          </w:p>
        </w:tc>
      </w:tr>
      <w:tr w:rsidR="00DC6D9B" w14:paraId="22C8917F" w14:textId="77777777" w:rsidTr="00535ACC">
        <w:trPr>
          <w:trHeight w:val="275"/>
        </w:trPr>
        <w:tc>
          <w:tcPr>
            <w:tcW w:w="980" w:type="dxa"/>
          </w:tcPr>
          <w:p w14:paraId="3C3951D4" w14:textId="77777777" w:rsidR="00DC6D9B" w:rsidRDefault="00DC6D9B" w:rsidP="00CD363C">
            <w:pPr>
              <w:pStyle w:val="TableParagraph"/>
              <w:ind w:right="124"/>
              <w:jc w:val="both"/>
              <w:rPr>
                <w:sz w:val="20"/>
              </w:rPr>
            </w:pPr>
            <w:r>
              <w:rPr>
                <w:sz w:val="20"/>
              </w:rPr>
              <w:t>2021</w:t>
            </w:r>
          </w:p>
        </w:tc>
        <w:tc>
          <w:tcPr>
            <w:tcW w:w="1992" w:type="dxa"/>
          </w:tcPr>
          <w:p w14:paraId="7E050482" w14:textId="77777777" w:rsidR="00DC6D9B" w:rsidRDefault="00DC6D9B" w:rsidP="00CD363C">
            <w:pPr>
              <w:pStyle w:val="TableParagraph"/>
              <w:ind w:right="124"/>
              <w:jc w:val="both"/>
              <w:rPr>
                <w:sz w:val="20"/>
              </w:rPr>
            </w:pPr>
            <w:r>
              <w:rPr>
                <w:sz w:val="20"/>
              </w:rPr>
              <w:t>57 466,39</w:t>
            </w:r>
          </w:p>
        </w:tc>
        <w:tc>
          <w:tcPr>
            <w:tcW w:w="1453" w:type="dxa"/>
          </w:tcPr>
          <w:p w14:paraId="218AEEE8" w14:textId="77777777" w:rsidR="00DC6D9B" w:rsidRDefault="00DC6D9B" w:rsidP="00CD363C">
            <w:pPr>
              <w:pStyle w:val="TableParagraph"/>
              <w:ind w:right="124"/>
              <w:jc w:val="both"/>
              <w:rPr>
                <w:sz w:val="20"/>
              </w:rPr>
            </w:pPr>
            <w:r>
              <w:rPr>
                <w:sz w:val="20"/>
              </w:rPr>
              <w:t>4 597,31</w:t>
            </w:r>
          </w:p>
        </w:tc>
        <w:tc>
          <w:tcPr>
            <w:tcW w:w="1323" w:type="dxa"/>
          </w:tcPr>
          <w:p w14:paraId="69FC0189" w14:textId="77777777" w:rsidR="00DC6D9B" w:rsidRDefault="00DC6D9B" w:rsidP="00CD363C">
            <w:pPr>
              <w:pStyle w:val="TableParagraph"/>
              <w:ind w:right="124"/>
              <w:jc w:val="both"/>
              <w:rPr>
                <w:sz w:val="20"/>
              </w:rPr>
            </w:pPr>
            <w:r>
              <w:rPr>
                <w:sz w:val="20"/>
              </w:rPr>
              <w:t>10 000,00</w:t>
            </w:r>
          </w:p>
        </w:tc>
        <w:tc>
          <w:tcPr>
            <w:tcW w:w="1820" w:type="dxa"/>
          </w:tcPr>
          <w:p w14:paraId="03D3DB03" w14:textId="77777777" w:rsidR="00DC6D9B" w:rsidRDefault="00DC6D9B" w:rsidP="00CD363C">
            <w:pPr>
              <w:pStyle w:val="TableParagraph"/>
              <w:ind w:right="124"/>
              <w:jc w:val="both"/>
              <w:rPr>
                <w:sz w:val="20"/>
              </w:rPr>
            </w:pPr>
            <w:r>
              <w:rPr>
                <w:sz w:val="20"/>
              </w:rPr>
              <w:t>52 063,70</w:t>
            </w:r>
          </w:p>
        </w:tc>
        <w:tc>
          <w:tcPr>
            <w:tcW w:w="1182" w:type="dxa"/>
          </w:tcPr>
          <w:p w14:paraId="7185A754" w14:textId="77777777" w:rsidR="00DC6D9B" w:rsidRDefault="00DC6D9B" w:rsidP="00CD363C">
            <w:pPr>
              <w:pStyle w:val="TableParagraph"/>
              <w:ind w:right="124"/>
              <w:jc w:val="both"/>
              <w:rPr>
                <w:sz w:val="20"/>
              </w:rPr>
            </w:pPr>
            <w:r>
              <w:rPr>
                <w:sz w:val="20"/>
              </w:rPr>
              <w:t>5 834,90</w:t>
            </w:r>
          </w:p>
        </w:tc>
        <w:tc>
          <w:tcPr>
            <w:tcW w:w="1184" w:type="dxa"/>
          </w:tcPr>
          <w:p w14:paraId="2F7125EC" w14:textId="77777777" w:rsidR="00DC6D9B" w:rsidRDefault="00DC6D9B" w:rsidP="00CD363C">
            <w:pPr>
              <w:pStyle w:val="TableParagraph"/>
              <w:ind w:right="124"/>
              <w:jc w:val="both"/>
              <w:rPr>
                <w:sz w:val="20"/>
              </w:rPr>
            </w:pPr>
            <w:r>
              <w:rPr>
                <w:sz w:val="20"/>
              </w:rPr>
              <w:t>46 228,80</w:t>
            </w:r>
          </w:p>
        </w:tc>
      </w:tr>
      <w:tr w:rsidR="00DC6D9B" w14:paraId="115C2AED" w14:textId="77777777" w:rsidTr="00535ACC">
        <w:trPr>
          <w:trHeight w:val="275"/>
        </w:trPr>
        <w:tc>
          <w:tcPr>
            <w:tcW w:w="980" w:type="dxa"/>
          </w:tcPr>
          <w:p w14:paraId="038288E9" w14:textId="77777777" w:rsidR="00DC6D9B" w:rsidRDefault="00DC6D9B" w:rsidP="00CD363C">
            <w:pPr>
              <w:pStyle w:val="TableParagraph"/>
              <w:ind w:right="124"/>
              <w:jc w:val="both"/>
              <w:rPr>
                <w:sz w:val="20"/>
              </w:rPr>
            </w:pPr>
            <w:r>
              <w:rPr>
                <w:sz w:val="20"/>
              </w:rPr>
              <w:t>2022</w:t>
            </w:r>
          </w:p>
        </w:tc>
        <w:tc>
          <w:tcPr>
            <w:tcW w:w="1992" w:type="dxa"/>
          </w:tcPr>
          <w:p w14:paraId="41CB08F8" w14:textId="77777777" w:rsidR="00DC6D9B" w:rsidRDefault="00DC6D9B" w:rsidP="00CD363C">
            <w:pPr>
              <w:pStyle w:val="TableParagraph"/>
              <w:ind w:right="124"/>
              <w:jc w:val="both"/>
              <w:rPr>
                <w:sz w:val="20"/>
              </w:rPr>
            </w:pPr>
            <w:r>
              <w:rPr>
                <w:sz w:val="20"/>
              </w:rPr>
              <w:t>52 063,70</w:t>
            </w:r>
          </w:p>
        </w:tc>
        <w:tc>
          <w:tcPr>
            <w:tcW w:w="1453" w:type="dxa"/>
          </w:tcPr>
          <w:p w14:paraId="2523E005" w14:textId="77777777" w:rsidR="00DC6D9B" w:rsidRDefault="00DC6D9B" w:rsidP="00CD363C">
            <w:pPr>
              <w:pStyle w:val="TableParagraph"/>
              <w:ind w:right="124"/>
              <w:jc w:val="both"/>
              <w:rPr>
                <w:sz w:val="20"/>
              </w:rPr>
            </w:pPr>
            <w:r>
              <w:rPr>
                <w:sz w:val="20"/>
              </w:rPr>
              <w:t>4 165,10</w:t>
            </w:r>
          </w:p>
        </w:tc>
        <w:tc>
          <w:tcPr>
            <w:tcW w:w="1323" w:type="dxa"/>
          </w:tcPr>
          <w:p w14:paraId="6C55F60E" w14:textId="77777777" w:rsidR="00DC6D9B" w:rsidRDefault="00DC6D9B" w:rsidP="00CD363C">
            <w:pPr>
              <w:pStyle w:val="TableParagraph"/>
              <w:ind w:right="124"/>
              <w:jc w:val="both"/>
              <w:rPr>
                <w:sz w:val="20"/>
              </w:rPr>
            </w:pPr>
            <w:r>
              <w:rPr>
                <w:sz w:val="20"/>
              </w:rPr>
              <w:t>10 000,00</w:t>
            </w:r>
          </w:p>
        </w:tc>
        <w:tc>
          <w:tcPr>
            <w:tcW w:w="1820" w:type="dxa"/>
          </w:tcPr>
          <w:p w14:paraId="38CD79E9" w14:textId="77777777" w:rsidR="00DC6D9B" w:rsidRDefault="00DC6D9B" w:rsidP="00CD363C">
            <w:pPr>
              <w:pStyle w:val="TableParagraph"/>
              <w:ind w:right="124"/>
              <w:jc w:val="both"/>
              <w:rPr>
                <w:sz w:val="20"/>
              </w:rPr>
            </w:pPr>
            <w:r>
              <w:rPr>
                <w:sz w:val="20"/>
              </w:rPr>
              <w:t>46 228,80</w:t>
            </w:r>
          </w:p>
        </w:tc>
        <w:tc>
          <w:tcPr>
            <w:tcW w:w="1182" w:type="dxa"/>
          </w:tcPr>
          <w:p w14:paraId="3DCABF2E" w14:textId="77777777" w:rsidR="00DC6D9B" w:rsidRDefault="00DC6D9B" w:rsidP="00CD363C">
            <w:pPr>
              <w:pStyle w:val="TableParagraph"/>
              <w:ind w:right="124"/>
              <w:jc w:val="both"/>
              <w:rPr>
                <w:sz w:val="20"/>
              </w:rPr>
            </w:pPr>
            <w:r>
              <w:rPr>
                <w:sz w:val="20"/>
              </w:rPr>
              <w:t>6 301,70</w:t>
            </w:r>
          </w:p>
        </w:tc>
        <w:tc>
          <w:tcPr>
            <w:tcW w:w="1184" w:type="dxa"/>
          </w:tcPr>
          <w:p w14:paraId="261511E4" w14:textId="77777777" w:rsidR="00DC6D9B" w:rsidRDefault="00DC6D9B" w:rsidP="00CD363C">
            <w:pPr>
              <w:pStyle w:val="TableParagraph"/>
              <w:ind w:right="124"/>
              <w:jc w:val="both"/>
              <w:rPr>
                <w:sz w:val="20"/>
              </w:rPr>
            </w:pPr>
            <w:r>
              <w:rPr>
                <w:sz w:val="20"/>
              </w:rPr>
              <w:t>39 927,10</w:t>
            </w:r>
          </w:p>
        </w:tc>
      </w:tr>
      <w:tr w:rsidR="00DC6D9B" w14:paraId="0F04CF5E" w14:textId="77777777" w:rsidTr="00535ACC">
        <w:trPr>
          <w:trHeight w:val="277"/>
        </w:trPr>
        <w:tc>
          <w:tcPr>
            <w:tcW w:w="980" w:type="dxa"/>
          </w:tcPr>
          <w:p w14:paraId="17E78A6F" w14:textId="77777777" w:rsidR="00DC6D9B" w:rsidRDefault="00DC6D9B" w:rsidP="00CD363C">
            <w:pPr>
              <w:pStyle w:val="TableParagraph"/>
              <w:ind w:right="124"/>
              <w:jc w:val="both"/>
              <w:rPr>
                <w:sz w:val="20"/>
              </w:rPr>
            </w:pPr>
            <w:r>
              <w:rPr>
                <w:sz w:val="20"/>
              </w:rPr>
              <w:t>2023</w:t>
            </w:r>
          </w:p>
        </w:tc>
        <w:tc>
          <w:tcPr>
            <w:tcW w:w="1992" w:type="dxa"/>
          </w:tcPr>
          <w:p w14:paraId="28B690FA" w14:textId="77777777" w:rsidR="00DC6D9B" w:rsidRDefault="00DC6D9B" w:rsidP="00CD363C">
            <w:pPr>
              <w:pStyle w:val="TableParagraph"/>
              <w:ind w:right="124"/>
              <w:jc w:val="both"/>
              <w:rPr>
                <w:sz w:val="20"/>
              </w:rPr>
            </w:pPr>
            <w:r>
              <w:rPr>
                <w:sz w:val="20"/>
              </w:rPr>
              <w:t>46 228,80</w:t>
            </w:r>
          </w:p>
        </w:tc>
        <w:tc>
          <w:tcPr>
            <w:tcW w:w="1453" w:type="dxa"/>
          </w:tcPr>
          <w:p w14:paraId="7EE499B0" w14:textId="77777777" w:rsidR="00DC6D9B" w:rsidRDefault="00DC6D9B" w:rsidP="00CD363C">
            <w:pPr>
              <w:pStyle w:val="TableParagraph"/>
              <w:ind w:right="124"/>
              <w:jc w:val="both"/>
              <w:rPr>
                <w:sz w:val="20"/>
              </w:rPr>
            </w:pPr>
            <w:r>
              <w:rPr>
                <w:sz w:val="20"/>
              </w:rPr>
              <w:t>3 698,30</w:t>
            </w:r>
          </w:p>
        </w:tc>
        <w:tc>
          <w:tcPr>
            <w:tcW w:w="1323" w:type="dxa"/>
          </w:tcPr>
          <w:p w14:paraId="22E8F119" w14:textId="77777777" w:rsidR="00DC6D9B" w:rsidRDefault="00DC6D9B" w:rsidP="00CD363C">
            <w:pPr>
              <w:pStyle w:val="TableParagraph"/>
              <w:ind w:right="124"/>
              <w:jc w:val="both"/>
              <w:rPr>
                <w:sz w:val="20"/>
              </w:rPr>
            </w:pPr>
            <w:r>
              <w:rPr>
                <w:sz w:val="20"/>
              </w:rPr>
              <w:t>10 000,00</w:t>
            </w:r>
          </w:p>
        </w:tc>
        <w:tc>
          <w:tcPr>
            <w:tcW w:w="1820" w:type="dxa"/>
          </w:tcPr>
          <w:p w14:paraId="5D75FECF" w14:textId="77777777" w:rsidR="00DC6D9B" w:rsidRDefault="00DC6D9B" w:rsidP="00CD363C">
            <w:pPr>
              <w:pStyle w:val="TableParagraph"/>
              <w:ind w:right="124"/>
              <w:jc w:val="both"/>
              <w:rPr>
                <w:sz w:val="20"/>
              </w:rPr>
            </w:pPr>
            <w:r>
              <w:rPr>
                <w:sz w:val="20"/>
              </w:rPr>
              <w:t>39 927,10</w:t>
            </w:r>
          </w:p>
        </w:tc>
        <w:tc>
          <w:tcPr>
            <w:tcW w:w="1182" w:type="dxa"/>
          </w:tcPr>
          <w:p w14:paraId="12BD23EB" w14:textId="77777777" w:rsidR="00DC6D9B" w:rsidRDefault="00DC6D9B" w:rsidP="00CD363C">
            <w:pPr>
              <w:pStyle w:val="TableParagraph"/>
              <w:ind w:right="124"/>
              <w:jc w:val="both"/>
              <w:rPr>
                <w:sz w:val="20"/>
              </w:rPr>
            </w:pPr>
            <w:r>
              <w:rPr>
                <w:sz w:val="20"/>
              </w:rPr>
              <w:t>6 805,83</w:t>
            </w:r>
          </w:p>
        </w:tc>
        <w:tc>
          <w:tcPr>
            <w:tcW w:w="1184" w:type="dxa"/>
          </w:tcPr>
          <w:p w14:paraId="7D17A43E" w14:textId="77777777" w:rsidR="00DC6D9B" w:rsidRDefault="00DC6D9B" w:rsidP="00CD363C">
            <w:pPr>
              <w:pStyle w:val="TableParagraph"/>
              <w:ind w:right="124"/>
              <w:jc w:val="both"/>
              <w:rPr>
                <w:sz w:val="20"/>
              </w:rPr>
            </w:pPr>
            <w:r>
              <w:rPr>
                <w:sz w:val="20"/>
              </w:rPr>
              <w:t>33 121,27</w:t>
            </w:r>
          </w:p>
        </w:tc>
      </w:tr>
      <w:tr w:rsidR="00DC6D9B" w14:paraId="046D1CB2" w14:textId="77777777" w:rsidTr="00535ACC">
        <w:trPr>
          <w:trHeight w:val="276"/>
        </w:trPr>
        <w:tc>
          <w:tcPr>
            <w:tcW w:w="980" w:type="dxa"/>
          </w:tcPr>
          <w:p w14:paraId="469411E7" w14:textId="77777777" w:rsidR="00DC6D9B" w:rsidRDefault="00DC6D9B" w:rsidP="00CD363C">
            <w:pPr>
              <w:pStyle w:val="TableParagraph"/>
              <w:ind w:right="124"/>
              <w:jc w:val="both"/>
              <w:rPr>
                <w:sz w:val="20"/>
              </w:rPr>
            </w:pPr>
            <w:r>
              <w:rPr>
                <w:sz w:val="20"/>
              </w:rPr>
              <w:t>2024</w:t>
            </w:r>
          </w:p>
        </w:tc>
        <w:tc>
          <w:tcPr>
            <w:tcW w:w="1992" w:type="dxa"/>
          </w:tcPr>
          <w:p w14:paraId="397FB312" w14:textId="77777777" w:rsidR="00DC6D9B" w:rsidRDefault="00DC6D9B" w:rsidP="00CD363C">
            <w:pPr>
              <w:pStyle w:val="TableParagraph"/>
              <w:ind w:right="124"/>
              <w:jc w:val="both"/>
              <w:rPr>
                <w:sz w:val="20"/>
              </w:rPr>
            </w:pPr>
            <w:r>
              <w:rPr>
                <w:sz w:val="20"/>
              </w:rPr>
              <w:t>39 927,10</w:t>
            </w:r>
          </w:p>
        </w:tc>
        <w:tc>
          <w:tcPr>
            <w:tcW w:w="1453" w:type="dxa"/>
          </w:tcPr>
          <w:p w14:paraId="73057F72" w14:textId="77777777" w:rsidR="00DC6D9B" w:rsidRDefault="00DC6D9B" w:rsidP="00CD363C">
            <w:pPr>
              <w:pStyle w:val="TableParagraph"/>
              <w:ind w:right="124"/>
              <w:jc w:val="both"/>
              <w:rPr>
                <w:sz w:val="20"/>
              </w:rPr>
            </w:pPr>
            <w:r>
              <w:rPr>
                <w:sz w:val="20"/>
              </w:rPr>
              <w:t>3 194,17</w:t>
            </w:r>
          </w:p>
        </w:tc>
        <w:tc>
          <w:tcPr>
            <w:tcW w:w="1323" w:type="dxa"/>
          </w:tcPr>
          <w:p w14:paraId="34F72450" w14:textId="77777777" w:rsidR="00DC6D9B" w:rsidRDefault="00DC6D9B" w:rsidP="00CD363C">
            <w:pPr>
              <w:pStyle w:val="TableParagraph"/>
              <w:ind w:right="124"/>
              <w:jc w:val="both"/>
              <w:rPr>
                <w:sz w:val="20"/>
              </w:rPr>
            </w:pPr>
            <w:r>
              <w:rPr>
                <w:sz w:val="20"/>
              </w:rPr>
              <w:t>10 000,00</w:t>
            </w:r>
          </w:p>
        </w:tc>
        <w:tc>
          <w:tcPr>
            <w:tcW w:w="1820" w:type="dxa"/>
          </w:tcPr>
          <w:p w14:paraId="0838DA1F" w14:textId="77777777" w:rsidR="00DC6D9B" w:rsidRDefault="00DC6D9B" w:rsidP="00CD363C">
            <w:pPr>
              <w:pStyle w:val="TableParagraph"/>
              <w:ind w:right="124"/>
              <w:jc w:val="both"/>
              <w:rPr>
                <w:sz w:val="20"/>
              </w:rPr>
            </w:pPr>
            <w:r>
              <w:rPr>
                <w:sz w:val="20"/>
              </w:rPr>
              <w:t>33 121,27</w:t>
            </w:r>
          </w:p>
        </w:tc>
        <w:tc>
          <w:tcPr>
            <w:tcW w:w="1182" w:type="dxa"/>
          </w:tcPr>
          <w:p w14:paraId="08148E90" w14:textId="77777777" w:rsidR="00DC6D9B" w:rsidRDefault="00DC6D9B" w:rsidP="00CD363C">
            <w:pPr>
              <w:pStyle w:val="TableParagraph"/>
              <w:ind w:right="124"/>
              <w:jc w:val="both"/>
              <w:rPr>
                <w:sz w:val="20"/>
              </w:rPr>
            </w:pPr>
            <w:r>
              <w:rPr>
                <w:sz w:val="20"/>
              </w:rPr>
              <w:t>7 350,30</w:t>
            </w:r>
          </w:p>
        </w:tc>
        <w:tc>
          <w:tcPr>
            <w:tcW w:w="1184" w:type="dxa"/>
          </w:tcPr>
          <w:p w14:paraId="17ADDFBD" w14:textId="77777777" w:rsidR="00DC6D9B" w:rsidRDefault="00DC6D9B" w:rsidP="00CD363C">
            <w:pPr>
              <w:pStyle w:val="TableParagraph"/>
              <w:ind w:right="124"/>
              <w:jc w:val="both"/>
              <w:rPr>
                <w:sz w:val="20"/>
              </w:rPr>
            </w:pPr>
            <w:r>
              <w:rPr>
                <w:sz w:val="20"/>
              </w:rPr>
              <w:t>25 770,97</w:t>
            </w:r>
          </w:p>
        </w:tc>
      </w:tr>
      <w:tr w:rsidR="00DC6D9B" w14:paraId="773A1468" w14:textId="77777777" w:rsidTr="00535ACC">
        <w:trPr>
          <w:trHeight w:val="275"/>
        </w:trPr>
        <w:tc>
          <w:tcPr>
            <w:tcW w:w="980" w:type="dxa"/>
          </w:tcPr>
          <w:p w14:paraId="68F293A1" w14:textId="77777777" w:rsidR="00DC6D9B" w:rsidRDefault="00DC6D9B" w:rsidP="00CD363C">
            <w:pPr>
              <w:pStyle w:val="TableParagraph"/>
              <w:ind w:right="124"/>
              <w:jc w:val="both"/>
              <w:rPr>
                <w:sz w:val="20"/>
              </w:rPr>
            </w:pPr>
            <w:r>
              <w:rPr>
                <w:sz w:val="20"/>
              </w:rPr>
              <w:t>2025</w:t>
            </w:r>
          </w:p>
        </w:tc>
        <w:tc>
          <w:tcPr>
            <w:tcW w:w="1992" w:type="dxa"/>
          </w:tcPr>
          <w:p w14:paraId="3D1685D1" w14:textId="77777777" w:rsidR="00DC6D9B" w:rsidRDefault="00DC6D9B" w:rsidP="00CD363C">
            <w:pPr>
              <w:pStyle w:val="TableParagraph"/>
              <w:ind w:right="124"/>
              <w:jc w:val="both"/>
              <w:rPr>
                <w:sz w:val="20"/>
              </w:rPr>
            </w:pPr>
            <w:r>
              <w:rPr>
                <w:sz w:val="20"/>
              </w:rPr>
              <w:t>33 121,27</w:t>
            </w:r>
          </w:p>
        </w:tc>
        <w:tc>
          <w:tcPr>
            <w:tcW w:w="1453" w:type="dxa"/>
          </w:tcPr>
          <w:p w14:paraId="24188635" w14:textId="77777777" w:rsidR="00DC6D9B" w:rsidRDefault="00DC6D9B" w:rsidP="00CD363C">
            <w:pPr>
              <w:pStyle w:val="TableParagraph"/>
              <w:ind w:right="124"/>
              <w:jc w:val="both"/>
              <w:rPr>
                <w:sz w:val="20"/>
              </w:rPr>
            </w:pPr>
            <w:r>
              <w:rPr>
                <w:sz w:val="20"/>
              </w:rPr>
              <w:t>2 649,70</w:t>
            </w:r>
          </w:p>
        </w:tc>
        <w:tc>
          <w:tcPr>
            <w:tcW w:w="1323" w:type="dxa"/>
          </w:tcPr>
          <w:p w14:paraId="5BE16C94" w14:textId="77777777" w:rsidR="00DC6D9B" w:rsidRDefault="00DC6D9B" w:rsidP="00CD363C">
            <w:pPr>
              <w:pStyle w:val="TableParagraph"/>
              <w:ind w:right="124"/>
              <w:jc w:val="both"/>
              <w:rPr>
                <w:sz w:val="20"/>
              </w:rPr>
            </w:pPr>
            <w:r>
              <w:rPr>
                <w:sz w:val="20"/>
              </w:rPr>
              <w:t>10 000,00</w:t>
            </w:r>
          </w:p>
        </w:tc>
        <w:tc>
          <w:tcPr>
            <w:tcW w:w="1820" w:type="dxa"/>
          </w:tcPr>
          <w:p w14:paraId="720F54FC" w14:textId="77777777" w:rsidR="00DC6D9B" w:rsidRDefault="00DC6D9B" w:rsidP="00CD363C">
            <w:pPr>
              <w:pStyle w:val="TableParagraph"/>
              <w:ind w:right="124"/>
              <w:jc w:val="both"/>
              <w:rPr>
                <w:sz w:val="20"/>
              </w:rPr>
            </w:pPr>
            <w:r>
              <w:rPr>
                <w:sz w:val="20"/>
              </w:rPr>
              <w:t>25 770,97</w:t>
            </w:r>
          </w:p>
        </w:tc>
        <w:tc>
          <w:tcPr>
            <w:tcW w:w="1182" w:type="dxa"/>
          </w:tcPr>
          <w:p w14:paraId="513C44FA" w14:textId="77777777" w:rsidR="00DC6D9B" w:rsidRDefault="00DC6D9B" w:rsidP="00CD363C">
            <w:pPr>
              <w:pStyle w:val="TableParagraph"/>
              <w:ind w:right="124"/>
              <w:jc w:val="both"/>
              <w:rPr>
                <w:sz w:val="20"/>
              </w:rPr>
            </w:pPr>
            <w:r>
              <w:rPr>
                <w:sz w:val="20"/>
              </w:rPr>
              <w:t>7 938,32</w:t>
            </w:r>
          </w:p>
        </w:tc>
        <w:tc>
          <w:tcPr>
            <w:tcW w:w="1184" w:type="dxa"/>
          </w:tcPr>
          <w:p w14:paraId="102F075C" w14:textId="77777777" w:rsidR="00DC6D9B" w:rsidRDefault="00DC6D9B" w:rsidP="00CD363C">
            <w:pPr>
              <w:pStyle w:val="TableParagraph"/>
              <w:ind w:right="124"/>
              <w:jc w:val="both"/>
              <w:rPr>
                <w:sz w:val="20"/>
              </w:rPr>
            </w:pPr>
            <w:r>
              <w:rPr>
                <w:sz w:val="20"/>
              </w:rPr>
              <w:t>17 832,65</w:t>
            </w:r>
          </w:p>
        </w:tc>
      </w:tr>
      <w:tr w:rsidR="00DC6D9B" w14:paraId="5C24C4AA" w14:textId="77777777" w:rsidTr="00535ACC">
        <w:trPr>
          <w:trHeight w:val="275"/>
        </w:trPr>
        <w:tc>
          <w:tcPr>
            <w:tcW w:w="980" w:type="dxa"/>
          </w:tcPr>
          <w:p w14:paraId="0A2DDEA2" w14:textId="77777777" w:rsidR="00DC6D9B" w:rsidRDefault="00DC6D9B" w:rsidP="00CD363C">
            <w:pPr>
              <w:pStyle w:val="TableParagraph"/>
              <w:ind w:right="124"/>
              <w:jc w:val="both"/>
              <w:rPr>
                <w:sz w:val="20"/>
              </w:rPr>
            </w:pPr>
            <w:r>
              <w:rPr>
                <w:sz w:val="20"/>
              </w:rPr>
              <w:t>2026</w:t>
            </w:r>
          </w:p>
        </w:tc>
        <w:tc>
          <w:tcPr>
            <w:tcW w:w="1992" w:type="dxa"/>
          </w:tcPr>
          <w:p w14:paraId="1CC2A247" w14:textId="77777777" w:rsidR="00DC6D9B" w:rsidRDefault="00DC6D9B" w:rsidP="00CD363C">
            <w:pPr>
              <w:pStyle w:val="TableParagraph"/>
              <w:ind w:right="124"/>
              <w:jc w:val="both"/>
              <w:rPr>
                <w:sz w:val="20"/>
              </w:rPr>
            </w:pPr>
            <w:r>
              <w:rPr>
                <w:sz w:val="20"/>
              </w:rPr>
              <w:t>25 770,97</w:t>
            </w:r>
          </w:p>
        </w:tc>
        <w:tc>
          <w:tcPr>
            <w:tcW w:w="1453" w:type="dxa"/>
          </w:tcPr>
          <w:p w14:paraId="71D844D3" w14:textId="77777777" w:rsidR="00DC6D9B" w:rsidRDefault="00DC6D9B" w:rsidP="00CD363C">
            <w:pPr>
              <w:pStyle w:val="TableParagraph"/>
              <w:ind w:right="124"/>
              <w:jc w:val="both"/>
              <w:rPr>
                <w:sz w:val="20"/>
              </w:rPr>
            </w:pPr>
            <w:r>
              <w:rPr>
                <w:sz w:val="20"/>
              </w:rPr>
              <w:t>2 061,68</w:t>
            </w:r>
          </w:p>
        </w:tc>
        <w:tc>
          <w:tcPr>
            <w:tcW w:w="1323" w:type="dxa"/>
          </w:tcPr>
          <w:p w14:paraId="10D533FD" w14:textId="77777777" w:rsidR="00DC6D9B" w:rsidRDefault="00DC6D9B" w:rsidP="00CD363C">
            <w:pPr>
              <w:pStyle w:val="TableParagraph"/>
              <w:ind w:right="124"/>
              <w:jc w:val="both"/>
              <w:rPr>
                <w:sz w:val="20"/>
              </w:rPr>
            </w:pPr>
            <w:r>
              <w:rPr>
                <w:sz w:val="20"/>
              </w:rPr>
              <w:t>10 000,00</w:t>
            </w:r>
          </w:p>
        </w:tc>
        <w:tc>
          <w:tcPr>
            <w:tcW w:w="1820" w:type="dxa"/>
          </w:tcPr>
          <w:p w14:paraId="5E382296" w14:textId="77777777" w:rsidR="00DC6D9B" w:rsidRDefault="00DC6D9B" w:rsidP="00CD363C">
            <w:pPr>
              <w:pStyle w:val="TableParagraph"/>
              <w:ind w:right="124"/>
              <w:jc w:val="both"/>
              <w:rPr>
                <w:sz w:val="20"/>
              </w:rPr>
            </w:pPr>
            <w:r>
              <w:rPr>
                <w:sz w:val="20"/>
              </w:rPr>
              <w:t>17 832,65</w:t>
            </w:r>
          </w:p>
        </w:tc>
        <w:tc>
          <w:tcPr>
            <w:tcW w:w="1182" w:type="dxa"/>
          </w:tcPr>
          <w:p w14:paraId="2A93BEBE" w14:textId="77777777" w:rsidR="00DC6D9B" w:rsidRDefault="00DC6D9B" w:rsidP="00CD363C">
            <w:pPr>
              <w:pStyle w:val="TableParagraph"/>
              <w:ind w:right="124"/>
              <w:jc w:val="both"/>
              <w:rPr>
                <w:sz w:val="20"/>
              </w:rPr>
            </w:pPr>
            <w:r>
              <w:rPr>
                <w:sz w:val="20"/>
              </w:rPr>
              <w:t>8 573,39</w:t>
            </w:r>
          </w:p>
        </w:tc>
        <w:tc>
          <w:tcPr>
            <w:tcW w:w="1184" w:type="dxa"/>
          </w:tcPr>
          <w:p w14:paraId="0109483C" w14:textId="77777777" w:rsidR="00DC6D9B" w:rsidRDefault="00DC6D9B" w:rsidP="00CD363C">
            <w:pPr>
              <w:pStyle w:val="TableParagraph"/>
              <w:ind w:right="124"/>
              <w:jc w:val="both"/>
              <w:rPr>
                <w:sz w:val="20"/>
              </w:rPr>
            </w:pPr>
            <w:r>
              <w:rPr>
                <w:sz w:val="20"/>
              </w:rPr>
              <w:t>9 259,26</w:t>
            </w:r>
          </w:p>
        </w:tc>
      </w:tr>
      <w:tr w:rsidR="00DC6D9B" w14:paraId="5F7C76AD" w14:textId="77777777" w:rsidTr="00535ACC">
        <w:trPr>
          <w:trHeight w:val="275"/>
        </w:trPr>
        <w:tc>
          <w:tcPr>
            <w:tcW w:w="980" w:type="dxa"/>
          </w:tcPr>
          <w:p w14:paraId="0999A7AC" w14:textId="77777777" w:rsidR="00DC6D9B" w:rsidRDefault="00DC6D9B" w:rsidP="00CD363C">
            <w:pPr>
              <w:pStyle w:val="TableParagraph"/>
              <w:ind w:right="124"/>
              <w:jc w:val="both"/>
              <w:rPr>
                <w:sz w:val="20"/>
              </w:rPr>
            </w:pPr>
            <w:r>
              <w:rPr>
                <w:sz w:val="20"/>
              </w:rPr>
              <w:t>2027</w:t>
            </w:r>
          </w:p>
        </w:tc>
        <w:tc>
          <w:tcPr>
            <w:tcW w:w="1992" w:type="dxa"/>
          </w:tcPr>
          <w:p w14:paraId="66C21E5D" w14:textId="77777777" w:rsidR="00DC6D9B" w:rsidRDefault="00DC6D9B" w:rsidP="00CD363C">
            <w:pPr>
              <w:pStyle w:val="TableParagraph"/>
              <w:ind w:right="124"/>
              <w:jc w:val="both"/>
              <w:rPr>
                <w:sz w:val="20"/>
              </w:rPr>
            </w:pPr>
            <w:r>
              <w:rPr>
                <w:sz w:val="20"/>
              </w:rPr>
              <w:t>17 832,65</w:t>
            </w:r>
          </w:p>
        </w:tc>
        <w:tc>
          <w:tcPr>
            <w:tcW w:w="1453" w:type="dxa"/>
          </w:tcPr>
          <w:p w14:paraId="4013CE6C" w14:textId="77777777" w:rsidR="00DC6D9B" w:rsidRDefault="00DC6D9B" w:rsidP="00CD363C">
            <w:pPr>
              <w:pStyle w:val="TableParagraph"/>
              <w:ind w:right="124"/>
              <w:jc w:val="both"/>
              <w:rPr>
                <w:sz w:val="20"/>
              </w:rPr>
            </w:pPr>
            <w:r>
              <w:rPr>
                <w:sz w:val="20"/>
              </w:rPr>
              <w:t>1 426,61</w:t>
            </w:r>
          </w:p>
        </w:tc>
        <w:tc>
          <w:tcPr>
            <w:tcW w:w="1323" w:type="dxa"/>
          </w:tcPr>
          <w:p w14:paraId="52E2C9A5" w14:textId="77777777" w:rsidR="00DC6D9B" w:rsidRDefault="00DC6D9B" w:rsidP="00CD363C">
            <w:pPr>
              <w:pStyle w:val="TableParagraph"/>
              <w:ind w:right="124"/>
              <w:jc w:val="both"/>
              <w:rPr>
                <w:sz w:val="20"/>
              </w:rPr>
            </w:pPr>
            <w:r>
              <w:rPr>
                <w:sz w:val="20"/>
              </w:rPr>
              <w:t>10 000,00</w:t>
            </w:r>
          </w:p>
        </w:tc>
        <w:tc>
          <w:tcPr>
            <w:tcW w:w="1820" w:type="dxa"/>
          </w:tcPr>
          <w:p w14:paraId="615E928F" w14:textId="77777777" w:rsidR="00DC6D9B" w:rsidRDefault="00DC6D9B" w:rsidP="00CD363C">
            <w:pPr>
              <w:pStyle w:val="TableParagraph"/>
              <w:ind w:right="124"/>
              <w:jc w:val="both"/>
              <w:rPr>
                <w:sz w:val="20"/>
              </w:rPr>
            </w:pPr>
            <w:r>
              <w:rPr>
                <w:sz w:val="20"/>
              </w:rPr>
              <w:t>9 259,26</w:t>
            </w:r>
          </w:p>
        </w:tc>
        <w:tc>
          <w:tcPr>
            <w:tcW w:w="1182" w:type="dxa"/>
          </w:tcPr>
          <w:p w14:paraId="04296D11" w14:textId="77777777" w:rsidR="00DC6D9B" w:rsidRDefault="00DC6D9B" w:rsidP="00CD363C">
            <w:pPr>
              <w:pStyle w:val="TableParagraph"/>
              <w:ind w:right="124"/>
              <w:jc w:val="both"/>
              <w:rPr>
                <w:sz w:val="20"/>
              </w:rPr>
            </w:pPr>
            <w:r>
              <w:rPr>
                <w:sz w:val="20"/>
              </w:rPr>
              <w:t>9 259,26</w:t>
            </w:r>
          </w:p>
        </w:tc>
        <w:tc>
          <w:tcPr>
            <w:tcW w:w="1184" w:type="dxa"/>
          </w:tcPr>
          <w:p w14:paraId="4449D4FB" w14:textId="77777777" w:rsidR="00DC6D9B" w:rsidRDefault="00DC6D9B" w:rsidP="00CD363C">
            <w:pPr>
              <w:pStyle w:val="TableParagraph"/>
              <w:ind w:right="124"/>
              <w:jc w:val="both"/>
              <w:rPr>
                <w:sz w:val="20"/>
              </w:rPr>
            </w:pPr>
            <w:r>
              <w:rPr>
                <w:w w:val="99"/>
                <w:sz w:val="20"/>
              </w:rPr>
              <w:t>–</w:t>
            </w:r>
          </w:p>
        </w:tc>
      </w:tr>
      <w:tr w:rsidR="00DC6D9B" w14:paraId="7D2E02DE" w14:textId="77777777" w:rsidTr="00535ACC">
        <w:trPr>
          <w:trHeight w:val="275"/>
        </w:trPr>
        <w:tc>
          <w:tcPr>
            <w:tcW w:w="980" w:type="dxa"/>
          </w:tcPr>
          <w:p w14:paraId="44E1AE5A" w14:textId="77777777" w:rsidR="00DC6D9B" w:rsidRDefault="00DC6D9B" w:rsidP="00CD363C">
            <w:pPr>
              <w:pStyle w:val="TableParagraph"/>
              <w:ind w:right="124"/>
              <w:jc w:val="both"/>
              <w:rPr>
                <w:sz w:val="20"/>
              </w:rPr>
            </w:pPr>
            <w:r>
              <w:rPr>
                <w:sz w:val="20"/>
              </w:rPr>
              <w:t>2028</w:t>
            </w:r>
          </w:p>
        </w:tc>
        <w:tc>
          <w:tcPr>
            <w:tcW w:w="1992" w:type="dxa"/>
          </w:tcPr>
          <w:p w14:paraId="20EA94EE" w14:textId="77777777" w:rsidR="00DC6D9B" w:rsidRDefault="00DC6D9B" w:rsidP="00CD363C">
            <w:pPr>
              <w:pStyle w:val="TableParagraph"/>
              <w:ind w:right="124"/>
              <w:jc w:val="both"/>
              <w:rPr>
                <w:sz w:val="20"/>
              </w:rPr>
            </w:pPr>
            <w:r>
              <w:rPr>
                <w:sz w:val="20"/>
              </w:rPr>
              <w:t>9 259,26</w:t>
            </w:r>
          </w:p>
        </w:tc>
        <w:tc>
          <w:tcPr>
            <w:tcW w:w="1453" w:type="dxa"/>
          </w:tcPr>
          <w:p w14:paraId="626026F5" w14:textId="77777777" w:rsidR="00DC6D9B" w:rsidRDefault="00DC6D9B" w:rsidP="00CD363C">
            <w:pPr>
              <w:pStyle w:val="TableParagraph"/>
              <w:ind w:right="124"/>
              <w:jc w:val="both"/>
              <w:rPr>
                <w:sz w:val="20"/>
              </w:rPr>
            </w:pPr>
            <w:r>
              <w:rPr>
                <w:w w:val="95"/>
                <w:sz w:val="20"/>
              </w:rPr>
              <w:t>740,74</w:t>
            </w:r>
          </w:p>
        </w:tc>
        <w:tc>
          <w:tcPr>
            <w:tcW w:w="1323" w:type="dxa"/>
          </w:tcPr>
          <w:p w14:paraId="1DC35D32" w14:textId="77777777" w:rsidR="00DC6D9B" w:rsidRDefault="00DC6D9B" w:rsidP="00CD363C">
            <w:pPr>
              <w:pStyle w:val="TableParagraph"/>
              <w:ind w:right="124"/>
              <w:jc w:val="both"/>
              <w:rPr>
                <w:sz w:val="20"/>
              </w:rPr>
            </w:pPr>
            <w:r>
              <w:rPr>
                <w:sz w:val="20"/>
              </w:rPr>
              <w:t>10 000,00</w:t>
            </w:r>
          </w:p>
        </w:tc>
        <w:tc>
          <w:tcPr>
            <w:tcW w:w="1820" w:type="dxa"/>
          </w:tcPr>
          <w:p w14:paraId="6ADB18FC" w14:textId="77777777" w:rsidR="00DC6D9B" w:rsidRDefault="00DC6D9B" w:rsidP="00CD363C">
            <w:pPr>
              <w:pStyle w:val="TableParagraph"/>
              <w:ind w:right="124"/>
              <w:jc w:val="both"/>
              <w:rPr>
                <w:sz w:val="20"/>
              </w:rPr>
            </w:pPr>
            <w:r>
              <w:rPr>
                <w:w w:val="99"/>
                <w:sz w:val="20"/>
              </w:rPr>
              <w:t>–</w:t>
            </w:r>
          </w:p>
        </w:tc>
        <w:tc>
          <w:tcPr>
            <w:tcW w:w="1182" w:type="dxa"/>
          </w:tcPr>
          <w:p w14:paraId="725A62DF" w14:textId="77777777" w:rsidR="00DC6D9B" w:rsidRDefault="00DC6D9B" w:rsidP="00CD363C">
            <w:pPr>
              <w:pStyle w:val="TableParagraph"/>
              <w:ind w:right="124"/>
              <w:jc w:val="both"/>
              <w:rPr>
                <w:sz w:val="20"/>
              </w:rPr>
            </w:pPr>
            <w:r>
              <w:rPr>
                <w:w w:val="99"/>
                <w:sz w:val="20"/>
              </w:rPr>
              <w:t>–</w:t>
            </w:r>
          </w:p>
        </w:tc>
        <w:tc>
          <w:tcPr>
            <w:tcW w:w="1184" w:type="dxa"/>
          </w:tcPr>
          <w:p w14:paraId="108FF170" w14:textId="77777777" w:rsidR="00DC6D9B" w:rsidRDefault="00DC6D9B" w:rsidP="00CD363C">
            <w:pPr>
              <w:pStyle w:val="TableParagraph"/>
              <w:ind w:right="124"/>
              <w:jc w:val="both"/>
              <w:rPr>
                <w:sz w:val="20"/>
              </w:rPr>
            </w:pPr>
            <w:r>
              <w:rPr>
                <w:w w:val="99"/>
                <w:sz w:val="20"/>
              </w:rPr>
              <w:t>–</w:t>
            </w:r>
          </w:p>
        </w:tc>
      </w:tr>
      <w:tr w:rsidR="00DC6D9B" w14:paraId="394BF527" w14:textId="77777777" w:rsidTr="00535ACC">
        <w:trPr>
          <w:trHeight w:val="278"/>
        </w:trPr>
        <w:tc>
          <w:tcPr>
            <w:tcW w:w="2972" w:type="dxa"/>
            <w:gridSpan w:val="2"/>
            <w:tcBorders>
              <w:left w:val="nil"/>
              <w:bottom w:val="nil"/>
            </w:tcBorders>
          </w:tcPr>
          <w:p w14:paraId="6930ECCA" w14:textId="77777777" w:rsidR="00DC6D9B" w:rsidRDefault="00DC6D9B" w:rsidP="00CD363C">
            <w:pPr>
              <w:pStyle w:val="TableParagraph"/>
              <w:ind w:right="124"/>
              <w:jc w:val="both"/>
              <w:rPr>
                <w:b/>
                <w:sz w:val="20"/>
              </w:rPr>
            </w:pPr>
            <w:r>
              <w:rPr>
                <w:b/>
                <w:w w:val="95"/>
                <w:sz w:val="20"/>
              </w:rPr>
              <w:t>Kopā:</w:t>
            </w:r>
          </w:p>
        </w:tc>
        <w:tc>
          <w:tcPr>
            <w:tcW w:w="1453" w:type="dxa"/>
          </w:tcPr>
          <w:p w14:paraId="14F90230" w14:textId="77777777" w:rsidR="00DC6D9B" w:rsidRDefault="00DC6D9B" w:rsidP="00CD363C">
            <w:pPr>
              <w:pStyle w:val="TableParagraph"/>
              <w:ind w:right="124"/>
              <w:jc w:val="both"/>
              <w:rPr>
                <w:b/>
                <w:sz w:val="20"/>
              </w:rPr>
            </w:pPr>
            <w:r>
              <w:rPr>
                <w:b/>
                <w:sz w:val="20"/>
              </w:rPr>
              <w:t>32 899,19</w:t>
            </w:r>
          </w:p>
        </w:tc>
        <w:tc>
          <w:tcPr>
            <w:tcW w:w="1323" w:type="dxa"/>
          </w:tcPr>
          <w:p w14:paraId="2FD5A821" w14:textId="77777777" w:rsidR="00DC6D9B" w:rsidRDefault="00DC6D9B" w:rsidP="00CD363C">
            <w:pPr>
              <w:pStyle w:val="TableParagraph"/>
              <w:ind w:right="124"/>
              <w:jc w:val="both"/>
              <w:rPr>
                <w:b/>
                <w:sz w:val="20"/>
              </w:rPr>
            </w:pPr>
            <w:r>
              <w:rPr>
                <w:b/>
                <w:sz w:val="20"/>
              </w:rPr>
              <w:t>100 000,00</w:t>
            </w:r>
          </w:p>
        </w:tc>
        <w:tc>
          <w:tcPr>
            <w:tcW w:w="4186" w:type="dxa"/>
            <w:gridSpan w:val="3"/>
            <w:tcBorders>
              <w:bottom w:val="nil"/>
              <w:right w:val="nil"/>
            </w:tcBorders>
          </w:tcPr>
          <w:p w14:paraId="329FD8C6" w14:textId="77777777" w:rsidR="00DC6D9B" w:rsidRDefault="00DC6D9B" w:rsidP="00CD363C">
            <w:pPr>
              <w:pStyle w:val="TableParagraph"/>
              <w:ind w:right="124"/>
              <w:jc w:val="both"/>
              <w:rPr>
                <w:sz w:val="18"/>
              </w:rPr>
            </w:pPr>
          </w:p>
        </w:tc>
      </w:tr>
    </w:tbl>
    <w:p w14:paraId="3208AF1D" w14:textId="77777777" w:rsidR="00DC6D9B" w:rsidRDefault="00DC6D9B" w:rsidP="00CD363C">
      <w:pPr>
        <w:pStyle w:val="Pamatteksts"/>
        <w:ind w:right="124"/>
        <w:jc w:val="both"/>
        <w:rPr>
          <w:i/>
          <w:sz w:val="24"/>
        </w:rPr>
      </w:pPr>
      <w:r>
        <w:br w:type="column"/>
      </w:r>
    </w:p>
    <w:p w14:paraId="1232AC20" w14:textId="77777777" w:rsidR="00DC6D9B" w:rsidRDefault="00DC6D9B" w:rsidP="00CD363C">
      <w:pPr>
        <w:pStyle w:val="Pamatteksts"/>
        <w:ind w:right="124"/>
        <w:jc w:val="both"/>
        <w:rPr>
          <w:i/>
          <w:sz w:val="24"/>
        </w:rPr>
      </w:pPr>
    </w:p>
    <w:p w14:paraId="3D021121" w14:textId="77777777" w:rsidR="00DC6D9B" w:rsidRDefault="00DC6D9B" w:rsidP="00CD363C">
      <w:pPr>
        <w:pStyle w:val="Pamatteksts"/>
        <w:ind w:right="124"/>
        <w:jc w:val="both"/>
        <w:rPr>
          <w:i/>
          <w:sz w:val="24"/>
        </w:rPr>
      </w:pPr>
    </w:p>
    <w:p w14:paraId="13580019" w14:textId="77777777" w:rsidR="00DC6D9B" w:rsidRDefault="00DC6D9B" w:rsidP="00CD363C">
      <w:pPr>
        <w:pStyle w:val="Pamatteksts"/>
        <w:ind w:right="124"/>
        <w:jc w:val="both"/>
        <w:rPr>
          <w:i/>
          <w:sz w:val="24"/>
        </w:rPr>
      </w:pPr>
    </w:p>
    <w:p w14:paraId="32088225" w14:textId="77777777" w:rsidR="00DC6D9B" w:rsidRDefault="00DC6D9B" w:rsidP="00CD363C">
      <w:pPr>
        <w:pStyle w:val="Pamatteksts"/>
        <w:ind w:right="124"/>
        <w:jc w:val="both"/>
        <w:rPr>
          <w:i/>
          <w:sz w:val="24"/>
        </w:rPr>
      </w:pPr>
    </w:p>
    <w:p w14:paraId="0B758EBA" w14:textId="77777777" w:rsidR="00DC6D9B" w:rsidRDefault="00DC6D9B" w:rsidP="00CD363C">
      <w:pPr>
        <w:pStyle w:val="Pamatteksts"/>
        <w:ind w:right="124"/>
        <w:jc w:val="both"/>
        <w:rPr>
          <w:i/>
          <w:sz w:val="24"/>
        </w:rPr>
      </w:pPr>
    </w:p>
    <w:p w14:paraId="37F11B69" w14:textId="77777777" w:rsidR="00DC6D9B" w:rsidRDefault="00DC6D9B" w:rsidP="00CD363C">
      <w:pPr>
        <w:pStyle w:val="Pamatteksts"/>
        <w:ind w:right="124"/>
        <w:jc w:val="both"/>
        <w:rPr>
          <w:i/>
          <w:sz w:val="24"/>
        </w:rPr>
      </w:pPr>
    </w:p>
    <w:p w14:paraId="37B55A92" w14:textId="77777777" w:rsidR="00DC6D9B" w:rsidRDefault="00DC6D9B" w:rsidP="00CD363C">
      <w:pPr>
        <w:pStyle w:val="Pamatteksts"/>
        <w:ind w:right="124"/>
        <w:jc w:val="both"/>
        <w:rPr>
          <w:i/>
          <w:sz w:val="24"/>
        </w:rPr>
      </w:pPr>
    </w:p>
    <w:p w14:paraId="43605B32" w14:textId="77777777" w:rsidR="00DC6D9B" w:rsidRDefault="00DC6D9B" w:rsidP="00CD363C">
      <w:pPr>
        <w:pStyle w:val="Pamatteksts"/>
        <w:ind w:right="124"/>
        <w:jc w:val="both"/>
        <w:rPr>
          <w:i/>
          <w:sz w:val="24"/>
        </w:rPr>
      </w:pPr>
    </w:p>
    <w:p w14:paraId="629763EE" w14:textId="77777777" w:rsidR="00DC6D9B" w:rsidRDefault="00DC6D9B" w:rsidP="00CD363C">
      <w:pPr>
        <w:pStyle w:val="Pamatteksts"/>
        <w:ind w:right="124"/>
        <w:jc w:val="both"/>
        <w:rPr>
          <w:i/>
          <w:sz w:val="24"/>
        </w:rPr>
      </w:pPr>
    </w:p>
    <w:p w14:paraId="64E18856" w14:textId="77777777" w:rsidR="00DC6D9B" w:rsidRDefault="00DC6D9B" w:rsidP="00CD363C">
      <w:pPr>
        <w:pStyle w:val="Pamatteksts"/>
        <w:ind w:right="124"/>
        <w:jc w:val="both"/>
        <w:rPr>
          <w:i/>
          <w:sz w:val="24"/>
        </w:rPr>
      </w:pPr>
    </w:p>
    <w:p w14:paraId="3B383424" w14:textId="77777777" w:rsidR="00DC6D9B" w:rsidRDefault="00DC6D9B" w:rsidP="00CD363C">
      <w:pPr>
        <w:pStyle w:val="Pamatteksts"/>
        <w:ind w:right="124"/>
        <w:jc w:val="both"/>
        <w:rPr>
          <w:i/>
          <w:sz w:val="24"/>
        </w:rPr>
      </w:pPr>
    </w:p>
    <w:p w14:paraId="76352E4E" w14:textId="77777777" w:rsidR="00DC6D9B" w:rsidRDefault="00DC6D9B" w:rsidP="00CD363C">
      <w:pPr>
        <w:pStyle w:val="Pamatteksts"/>
        <w:ind w:right="124"/>
        <w:jc w:val="both"/>
        <w:rPr>
          <w:i/>
          <w:sz w:val="24"/>
        </w:rPr>
      </w:pPr>
    </w:p>
    <w:p w14:paraId="713E4F62" w14:textId="77777777" w:rsidR="00DC6D9B" w:rsidRDefault="00DC6D9B" w:rsidP="00CD363C">
      <w:pPr>
        <w:pStyle w:val="Pamatteksts"/>
        <w:ind w:right="124"/>
        <w:jc w:val="both"/>
        <w:rPr>
          <w:i/>
          <w:sz w:val="24"/>
        </w:rPr>
      </w:pPr>
    </w:p>
    <w:p w14:paraId="7E7855EA" w14:textId="77777777" w:rsidR="00DC6D9B" w:rsidRDefault="00DC6D9B" w:rsidP="00CD363C">
      <w:pPr>
        <w:pStyle w:val="Pamatteksts"/>
        <w:ind w:right="124"/>
        <w:jc w:val="both"/>
        <w:rPr>
          <w:i/>
          <w:sz w:val="24"/>
        </w:rPr>
      </w:pPr>
    </w:p>
    <w:p w14:paraId="6984E0D3" w14:textId="77777777" w:rsidR="00DC6D9B" w:rsidRDefault="00DC6D9B" w:rsidP="00CD363C">
      <w:pPr>
        <w:pStyle w:val="Pamatteksts"/>
        <w:ind w:right="124"/>
        <w:jc w:val="both"/>
        <w:rPr>
          <w:i/>
          <w:sz w:val="24"/>
        </w:rPr>
      </w:pPr>
    </w:p>
    <w:p w14:paraId="29B1F15F" w14:textId="77777777" w:rsidR="00DC6D9B" w:rsidRDefault="00DC6D9B" w:rsidP="00CD363C">
      <w:pPr>
        <w:pStyle w:val="Pamatteksts"/>
        <w:ind w:right="124"/>
        <w:jc w:val="both"/>
        <w:rPr>
          <w:i/>
          <w:sz w:val="24"/>
        </w:rPr>
      </w:pPr>
    </w:p>
    <w:p w14:paraId="2A858083" w14:textId="77777777" w:rsidR="00DC6D9B" w:rsidRDefault="00DC6D9B" w:rsidP="00CD363C">
      <w:pPr>
        <w:pStyle w:val="Pamatteksts"/>
        <w:ind w:right="124"/>
        <w:jc w:val="both"/>
        <w:rPr>
          <w:i/>
          <w:sz w:val="24"/>
        </w:rPr>
      </w:pPr>
    </w:p>
    <w:p w14:paraId="5E9FE181" w14:textId="77777777" w:rsidR="00DC6D9B" w:rsidRDefault="00DC6D9B" w:rsidP="00CD363C">
      <w:pPr>
        <w:pStyle w:val="Pamatteksts"/>
        <w:ind w:right="124"/>
        <w:jc w:val="both"/>
        <w:rPr>
          <w:i/>
          <w:sz w:val="24"/>
        </w:rPr>
      </w:pPr>
    </w:p>
    <w:p w14:paraId="369AE961" w14:textId="77777777" w:rsidR="00DC6D9B" w:rsidRDefault="00DC6D9B" w:rsidP="00CD363C">
      <w:pPr>
        <w:pStyle w:val="Pamatteksts"/>
        <w:ind w:right="124"/>
        <w:jc w:val="both"/>
        <w:rPr>
          <w:i/>
          <w:sz w:val="24"/>
        </w:rPr>
      </w:pPr>
    </w:p>
    <w:p w14:paraId="6FF80E12" w14:textId="77777777" w:rsidR="00DC6D9B" w:rsidRDefault="00DC6D9B" w:rsidP="00CD363C">
      <w:pPr>
        <w:pStyle w:val="Pamatteksts"/>
        <w:ind w:right="124"/>
        <w:jc w:val="both"/>
        <w:rPr>
          <w:i/>
          <w:sz w:val="24"/>
        </w:rPr>
      </w:pPr>
    </w:p>
    <w:p w14:paraId="1A40AE98" w14:textId="77777777" w:rsidR="00DC6D9B" w:rsidRDefault="00DC6D9B" w:rsidP="00CD363C">
      <w:pPr>
        <w:pStyle w:val="Pamatteksts"/>
        <w:ind w:right="124"/>
        <w:jc w:val="both"/>
        <w:rPr>
          <w:i/>
          <w:sz w:val="24"/>
        </w:rPr>
      </w:pPr>
    </w:p>
    <w:p w14:paraId="3E76BFFB" w14:textId="77777777" w:rsidR="00DC6D9B" w:rsidRDefault="00DC6D9B" w:rsidP="00CD363C">
      <w:pPr>
        <w:pStyle w:val="Pamatteksts"/>
        <w:ind w:right="124"/>
        <w:jc w:val="both"/>
        <w:rPr>
          <w:i/>
          <w:sz w:val="24"/>
        </w:rPr>
      </w:pPr>
    </w:p>
    <w:p w14:paraId="6CAFD3F3" w14:textId="77777777" w:rsidR="00DC6D9B" w:rsidRDefault="00DC6D9B" w:rsidP="00CD363C">
      <w:pPr>
        <w:pStyle w:val="Pamatteksts"/>
        <w:ind w:left="118" w:right="124"/>
        <w:jc w:val="both"/>
      </w:pPr>
      <w:r>
        <w:t>344</w:t>
      </w:r>
    </w:p>
    <w:p w14:paraId="30631454" w14:textId="77777777" w:rsidR="00DC6D9B" w:rsidRDefault="00DC6D9B" w:rsidP="00CD363C">
      <w:pPr>
        <w:spacing w:after="0" w:line="240" w:lineRule="auto"/>
        <w:ind w:right="124"/>
        <w:jc w:val="both"/>
        <w:sectPr w:rsidR="00DC6D9B">
          <w:type w:val="continuous"/>
          <w:pgSz w:w="16840" w:h="11910" w:orient="landscape"/>
          <w:pgMar w:top="840" w:right="560" w:bottom="740" w:left="1300" w:header="720" w:footer="720" w:gutter="0"/>
          <w:cols w:num="2" w:space="720" w:equalWidth="0">
            <w:col w:w="10103" w:space="4080"/>
            <w:col w:w="797"/>
          </w:cols>
        </w:sectPr>
      </w:pPr>
    </w:p>
    <w:p w14:paraId="640FA884" w14:textId="77777777" w:rsidR="00DC6D9B" w:rsidRDefault="00DC6D9B" w:rsidP="00CD363C">
      <w:pPr>
        <w:pStyle w:val="Pamatteksts"/>
        <w:ind w:left="338" w:right="124"/>
        <w:jc w:val="both"/>
      </w:pPr>
      <w:r>
        <w:t>Budžeta iestāde veic sekojošus grāmatojumus atbilstošajā pārskata periodā:</w:t>
      </w:r>
    </w:p>
    <w:p w14:paraId="47C0AD2A" w14:textId="77777777" w:rsidR="00DC6D9B" w:rsidRDefault="00DC6D9B" w:rsidP="00CD363C">
      <w:pPr>
        <w:pStyle w:val="Pamatteksts"/>
        <w:ind w:right="124"/>
        <w:jc w:val="both"/>
        <w:rPr>
          <w:sz w:val="24"/>
        </w:rPr>
      </w:pPr>
    </w:p>
    <w:tbl>
      <w:tblPr>
        <w:tblW w:w="0" w:type="auto"/>
        <w:tblInd w:w="350" w:type="dxa"/>
        <w:tblLayout w:type="fixed"/>
        <w:tblCellMar>
          <w:left w:w="0" w:type="dxa"/>
          <w:right w:w="0" w:type="dxa"/>
        </w:tblCellMar>
        <w:tblLook w:val="01E0" w:firstRow="1" w:lastRow="1" w:firstColumn="1" w:lastColumn="1" w:noHBand="0" w:noVBand="0"/>
      </w:tblPr>
      <w:tblGrid>
        <w:gridCol w:w="1070"/>
        <w:gridCol w:w="1631"/>
        <w:gridCol w:w="4205"/>
        <w:gridCol w:w="1702"/>
      </w:tblGrid>
      <w:tr w:rsidR="00DC6D9B" w14:paraId="714A5956" w14:textId="77777777" w:rsidTr="00535ACC">
        <w:trPr>
          <w:trHeight w:val="333"/>
        </w:trPr>
        <w:tc>
          <w:tcPr>
            <w:tcW w:w="8608" w:type="dxa"/>
            <w:gridSpan w:val="4"/>
          </w:tcPr>
          <w:p w14:paraId="45BFFC99" w14:textId="77777777" w:rsidR="00DC6D9B" w:rsidRDefault="00DC6D9B" w:rsidP="00CD363C">
            <w:pPr>
              <w:pStyle w:val="TableParagraph"/>
              <w:ind w:left="200" w:right="124"/>
              <w:jc w:val="both"/>
              <w:rPr>
                <w:i/>
              </w:rPr>
            </w:pPr>
            <w:r>
              <w:rPr>
                <w:i/>
              </w:rPr>
              <w:t>2019. gada 2. janvārī sākotnēji atzīst darījumu:</w:t>
            </w:r>
          </w:p>
        </w:tc>
      </w:tr>
      <w:tr w:rsidR="00DC6D9B" w14:paraId="4EB175E0" w14:textId="77777777" w:rsidTr="00535ACC">
        <w:trPr>
          <w:trHeight w:val="378"/>
        </w:trPr>
        <w:tc>
          <w:tcPr>
            <w:tcW w:w="1070" w:type="dxa"/>
          </w:tcPr>
          <w:p w14:paraId="4C523DB0" w14:textId="77777777" w:rsidR="00DC6D9B" w:rsidRDefault="00DC6D9B" w:rsidP="00CD363C">
            <w:pPr>
              <w:pStyle w:val="TableParagraph"/>
              <w:ind w:left="200" w:right="124"/>
              <w:jc w:val="both"/>
              <w:rPr>
                <w:i/>
              </w:rPr>
            </w:pPr>
            <w:r>
              <w:rPr>
                <w:i/>
              </w:rPr>
              <w:t>D</w:t>
            </w:r>
          </w:p>
        </w:tc>
        <w:tc>
          <w:tcPr>
            <w:tcW w:w="1631" w:type="dxa"/>
          </w:tcPr>
          <w:p w14:paraId="0A15761D" w14:textId="77777777" w:rsidR="00DC6D9B" w:rsidRDefault="00DC6D9B" w:rsidP="00CD363C">
            <w:pPr>
              <w:pStyle w:val="TableParagraph"/>
              <w:ind w:right="124"/>
              <w:jc w:val="both"/>
              <w:rPr>
                <w:i/>
              </w:rPr>
            </w:pPr>
            <w:r>
              <w:rPr>
                <w:i/>
              </w:rPr>
              <w:t>2315</w:t>
            </w:r>
          </w:p>
        </w:tc>
        <w:tc>
          <w:tcPr>
            <w:tcW w:w="4205" w:type="dxa"/>
          </w:tcPr>
          <w:p w14:paraId="7460DC99" w14:textId="77777777" w:rsidR="00DC6D9B" w:rsidRDefault="00DC6D9B" w:rsidP="00CD363C">
            <w:pPr>
              <w:pStyle w:val="TableParagraph"/>
              <w:ind w:left="480" w:right="124"/>
              <w:jc w:val="both"/>
              <w:rPr>
                <w:i/>
              </w:rPr>
            </w:pPr>
            <w:r>
              <w:rPr>
                <w:i/>
              </w:rPr>
              <w:t>Prasības par finanšu nomu</w:t>
            </w:r>
          </w:p>
        </w:tc>
        <w:tc>
          <w:tcPr>
            <w:tcW w:w="1702" w:type="dxa"/>
          </w:tcPr>
          <w:p w14:paraId="42FBBDE9" w14:textId="77777777" w:rsidR="00DC6D9B" w:rsidRDefault="00DC6D9B" w:rsidP="00CD363C">
            <w:pPr>
              <w:pStyle w:val="TableParagraph"/>
              <w:ind w:left="137" w:right="124"/>
              <w:jc w:val="both"/>
              <w:rPr>
                <w:i/>
              </w:rPr>
            </w:pPr>
            <w:r>
              <w:rPr>
                <w:i/>
              </w:rPr>
              <w:t>4 631,93 EUR</w:t>
            </w:r>
          </w:p>
        </w:tc>
      </w:tr>
      <w:tr w:rsidR="00DC6D9B" w14:paraId="170AA667" w14:textId="77777777" w:rsidTr="00535ACC">
        <w:trPr>
          <w:trHeight w:val="333"/>
        </w:trPr>
        <w:tc>
          <w:tcPr>
            <w:tcW w:w="1070" w:type="dxa"/>
          </w:tcPr>
          <w:p w14:paraId="0903F13D" w14:textId="77777777" w:rsidR="00DC6D9B" w:rsidRDefault="00DC6D9B" w:rsidP="00CD363C">
            <w:pPr>
              <w:pStyle w:val="TableParagraph"/>
              <w:ind w:left="200" w:right="124"/>
              <w:jc w:val="both"/>
              <w:rPr>
                <w:i/>
              </w:rPr>
            </w:pPr>
            <w:r>
              <w:rPr>
                <w:i/>
              </w:rPr>
              <w:t>D</w:t>
            </w:r>
          </w:p>
        </w:tc>
        <w:tc>
          <w:tcPr>
            <w:tcW w:w="1631" w:type="dxa"/>
          </w:tcPr>
          <w:p w14:paraId="774A62FC" w14:textId="77777777" w:rsidR="00DC6D9B" w:rsidRDefault="00DC6D9B" w:rsidP="00CD363C">
            <w:pPr>
              <w:pStyle w:val="TableParagraph"/>
              <w:ind w:right="124"/>
              <w:jc w:val="both"/>
              <w:rPr>
                <w:i/>
              </w:rPr>
            </w:pPr>
            <w:r>
              <w:rPr>
                <w:i/>
              </w:rPr>
              <w:t>1421</w:t>
            </w:r>
          </w:p>
        </w:tc>
        <w:tc>
          <w:tcPr>
            <w:tcW w:w="4205" w:type="dxa"/>
          </w:tcPr>
          <w:p w14:paraId="7BC455BB" w14:textId="77777777" w:rsidR="00DC6D9B" w:rsidRDefault="00DC6D9B" w:rsidP="00CD363C">
            <w:pPr>
              <w:pStyle w:val="TableParagraph"/>
              <w:ind w:left="480" w:right="124"/>
              <w:jc w:val="both"/>
              <w:rPr>
                <w:i/>
              </w:rPr>
            </w:pPr>
            <w:r>
              <w:rPr>
                <w:i/>
              </w:rPr>
              <w:t>Ilgtermiņa prasības par finanšu nomu</w:t>
            </w:r>
          </w:p>
        </w:tc>
        <w:tc>
          <w:tcPr>
            <w:tcW w:w="1702" w:type="dxa"/>
          </w:tcPr>
          <w:p w14:paraId="3619CE43" w14:textId="77777777" w:rsidR="00DC6D9B" w:rsidRDefault="00DC6D9B" w:rsidP="00CD363C">
            <w:pPr>
              <w:pStyle w:val="TableParagraph"/>
              <w:ind w:left="137" w:right="124"/>
              <w:jc w:val="both"/>
              <w:rPr>
                <w:i/>
              </w:rPr>
            </w:pPr>
            <w:r>
              <w:rPr>
                <w:i/>
              </w:rPr>
              <w:t>62 468,88 EUR</w:t>
            </w:r>
          </w:p>
        </w:tc>
      </w:tr>
      <w:tr w:rsidR="00DC6D9B" w14:paraId="22D31A4B" w14:textId="77777777" w:rsidTr="00535ACC">
        <w:trPr>
          <w:trHeight w:val="333"/>
        </w:trPr>
        <w:tc>
          <w:tcPr>
            <w:tcW w:w="1070" w:type="dxa"/>
          </w:tcPr>
          <w:p w14:paraId="0E9E6A87" w14:textId="77777777" w:rsidR="00DC6D9B" w:rsidRDefault="00DC6D9B" w:rsidP="00CD363C">
            <w:pPr>
              <w:pStyle w:val="TableParagraph"/>
              <w:ind w:left="200" w:right="124"/>
              <w:jc w:val="both"/>
              <w:rPr>
                <w:i/>
              </w:rPr>
            </w:pPr>
            <w:r>
              <w:rPr>
                <w:i/>
              </w:rPr>
              <w:t>K</w:t>
            </w:r>
          </w:p>
        </w:tc>
        <w:tc>
          <w:tcPr>
            <w:tcW w:w="1631" w:type="dxa"/>
          </w:tcPr>
          <w:p w14:paraId="6E697DDA" w14:textId="77777777" w:rsidR="00DC6D9B" w:rsidRDefault="00DC6D9B" w:rsidP="00CD363C">
            <w:pPr>
              <w:pStyle w:val="TableParagraph"/>
              <w:ind w:right="124"/>
              <w:jc w:val="both"/>
              <w:rPr>
                <w:i/>
              </w:rPr>
            </w:pPr>
            <w:r>
              <w:rPr>
                <w:i/>
              </w:rPr>
              <w:t>6000</w:t>
            </w:r>
          </w:p>
        </w:tc>
        <w:tc>
          <w:tcPr>
            <w:tcW w:w="4205" w:type="dxa"/>
          </w:tcPr>
          <w:p w14:paraId="600E18F7" w14:textId="77777777" w:rsidR="00DC6D9B" w:rsidRDefault="00DC6D9B" w:rsidP="00CD363C">
            <w:pPr>
              <w:pStyle w:val="TableParagraph"/>
              <w:ind w:left="480" w:right="124"/>
              <w:jc w:val="both"/>
              <w:rPr>
                <w:i/>
              </w:rPr>
            </w:pPr>
            <w:r>
              <w:rPr>
                <w:i/>
              </w:rPr>
              <w:t>Pamatdarbības ieņēmumi</w:t>
            </w:r>
          </w:p>
        </w:tc>
        <w:tc>
          <w:tcPr>
            <w:tcW w:w="1702" w:type="dxa"/>
          </w:tcPr>
          <w:p w14:paraId="17E0B6D7" w14:textId="77777777" w:rsidR="00DC6D9B" w:rsidRDefault="00DC6D9B" w:rsidP="00CD363C">
            <w:pPr>
              <w:pStyle w:val="TableParagraph"/>
              <w:ind w:left="137" w:right="124"/>
              <w:jc w:val="both"/>
              <w:rPr>
                <w:i/>
              </w:rPr>
            </w:pPr>
            <w:r>
              <w:rPr>
                <w:i/>
              </w:rPr>
              <w:t>67 100,81 EUR</w:t>
            </w:r>
          </w:p>
        </w:tc>
      </w:tr>
      <w:tr w:rsidR="00DC6D9B" w14:paraId="7F1F8814" w14:textId="77777777" w:rsidTr="00535ACC">
        <w:trPr>
          <w:trHeight w:val="332"/>
        </w:trPr>
        <w:tc>
          <w:tcPr>
            <w:tcW w:w="1070" w:type="dxa"/>
          </w:tcPr>
          <w:p w14:paraId="17A46DF7" w14:textId="77777777" w:rsidR="00DC6D9B" w:rsidRDefault="00DC6D9B" w:rsidP="00CD363C">
            <w:pPr>
              <w:pStyle w:val="TableParagraph"/>
              <w:ind w:left="200" w:right="124"/>
              <w:jc w:val="both"/>
              <w:rPr>
                <w:i/>
              </w:rPr>
            </w:pPr>
            <w:r>
              <w:rPr>
                <w:i/>
              </w:rPr>
              <w:t>D</w:t>
            </w:r>
          </w:p>
        </w:tc>
        <w:tc>
          <w:tcPr>
            <w:tcW w:w="1631" w:type="dxa"/>
          </w:tcPr>
          <w:p w14:paraId="1A1B517C" w14:textId="77777777" w:rsidR="00DC6D9B" w:rsidRDefault="00DC6D9B" w:rsidP="00CD363C">
            <w:pPr>
              <w:pStyle w:val="TableParagraph"/>
              <w:ind w:right="124"/>
              <w:jc w:val="both"/>
              <w:rPr>
                <w:i/>
              </w:rPr>
            </w:pPr>
            <w:r>
              <w:rPr>
                <w:i/>
              </w:rPr>
              <w:t>8610</w:t>
            </w:r>
          </w:p>
        </w:tc>
        <w:tc>
          <w:tcPr>
            <w:tcW w:w="4205" w:type="dxa"/>
          </w:tcPr>
          <w:p w14:paraId="2511B0BB" w14:textId="77777777" w:rsidR="00DC6D9B" w:rsidRDefault="00DC6D9B" w:rsidP="00CD363C">
            <w:pPr>
              <w:pStyle w:val="TableParagraph"/>
              <w:ind w:left="480" w:right="124"/>
              <w:jc w:val="both"/>
              <w:rPr>
                <w:i/>
              </w:rPr>
            </w:pPr>
            <w:r>
              <w:rPr>
                <w:i/>
              </w:rPr>
              <w:t>Izdevumi no nefinanšu aktīvu izslēgšanas</w:t>
            </w:r>
          </w:p>
        </w:tc>
        <w:tc>
          <w:tcPr>
            <w:tcW w:w="1702" w:type="dxa"/>
          </w:tcPr>
          <w:p w14:paraId="32B5AFA1" w14:textId="77777777" w:rsidR="00DC6D9B" w:rsidRDefault="00DC6D9B" w:rsidP="00CD363C">
            <w:pPr>
              <w:pStyle w:val="TableParagraph"/>
              <w:ind w:left="137" w:right="124"/>
              <w:jc w:val="both"/>
              <w:rPr>
                <w:i/>
              </w:rPr>
            </w:pPr>
            <w:r>
              <w:rPr>
                <w:i/>
              </w:rPr>
              <w:t>67 001,00 EUR</w:t>
            </w:r>
          </w:p>
        </w:tc>
      </w:tr>
      <w:tr w:rsidR="00DC6D9B" w14:paraId="3EC39A5C" w14:textId="77777777" w:rsidTr="00535ACC">
        <w:trPr>
          <w:trHeight w:val="605"/>
        </w:trPr>
        <w:tc>
          <w:tcPr>
            <w:tcW w:w="1070" w:type="dxa"/>
          </w:tcPr>
          <w:p w14:paraId="77B46A3D" w14:textId="77777777" w:rsidR="00DC6D9B" w:rsidRDefault="00DC6D9B" w:rsidP="00CD363C">
            <w:pPr>
              <w:pStyle w:val="TableParagraph"/>
              <w:ind w:left="200" w:right="124"/>
              <w:jc w:val="both"/>
              <w:rPr>
                <w:i/>
              </w:rPr>
            </w:pPr>
            <w:r>
              <w:rPr>
                <w:i/>
              </w:rPr>
              <w:t>K</w:t>
            </w:r>
          </w:p>
        </w:tc>
        <w:tc>
          <w:tcPr>
            <w:tcW w:w="1631" w:type="dxa"/>
          </w:tcPr>
          <w:p w14:paraId="5F5C937B" w14:textId="77777777" w:rsidR="00DC6D9B" w:rsidRDefault="00DC6D9B" w:rsidP="00CD363C">
            <w:pPr>
              <w:pStyle w:val="TableParagraph"/>
              <w:ind w:right="124"/>
              <w:jc w:val="both"/>
              <w:rPr>
                <w:i/>
              </w:rPr>
            </w:pPr>
            <w:r>
              <w:rPr>
                <w:i/>
              </w:rPr>
              <w:t>2132</w:t>
            </w:r>
          </w:p>
        </w:tc>
        <w:tc>
          <w:tcPr>
            <w:tcW w:w="4205" w:type="dxa"/>
          </w:tcPr>
          <w:p w14:paraId="7D92B01E" w14:textId="77777777" w:rsidR="00DC6D9B" w:rsidRDefault="00DC6D9B" w:rsidP="00CD363C">
            <w:pPr>
              <w:pStyle w:val="TableParagraph"/>
              <w:tabs>
                <w:tab w:val="left" w:pos="1453"/>
                <w:tab w:val="left" w:pos="1912"/>
                <w:tab w:val="left" w:pos="3063"/>
              </w:tabs>
              <w:ind w:left="480" w:right="124"/>
              <w:jc w:val="both"/>
              <w:rPr>
                <w:i/>
              </w:rPr>
            </w:pPr>
            <w:r>
              <w:rPr>
                <w:i/>
              </w:rPr>
              <w:t>Krājumi</w:t>
            </w:r>
            <w:r>
              <w:rPr>
                <w:i/>
              </w:rPr>
              <w:tab/>
              <w:t>un</w:t>
            </w:r>
            <w:r>
              <w:rPr>
                <w:i/>
              </w:rPr>
              <w:tab/>
              <w:t>ilgtermiņa</w:t>
            </w:r>
            <w:r>
              <w:rPr>
                <w:i/>
              </w:rPr>
              <w:tab/>
            </w:r>
            <w:r>
              <w:rPr>
                <w:i/>
                <w:spacing w:val="-1"/>
              </w:rPr>
              <w:t xml:space="preserve">ieguldījumi </w:t>
            </w:r>
            <w:r>
              <w:rPr>
                <w:i/>
              </w:rPr>
              <w:t>atsavināšanai</w:t>
            </w:r>
          </w:p>
        </w:tc>
        <w:tc>
          <w:tcPr>
            <w:tcW w:w="1702" w:type="dxa"/>
          </w:tcPr>
          <w:p w14:paraId="7F7B7850" w14:textId="77777777" w:rsidR="00DC6D9B" w:rsidRDefault="00DC6D9B" w:rsidP="00CD363C">
            <w:pPr>
              <w:pStyle w:val="TableParagraph"/>
              <w:ind w:left="137" w:right="124"/>
              <w:jc w:val="both"/>
              <w:rPr>
                <w:i/>
              </w:rPr>
            </w:pPr>
            <w:r>
              <w:rPr>
                <w:i/>
              </w:rPr>
              <w:t>67 001,00 EUR</w:t>
            </w:r>
          </w:p>
        </w:tc>
      </w:tr>
      <w:tr w:rsidR="00DC6D9B" w14:paraId="7F0AF3B2" w14:textId="77777777" w:rsidTr="00535ACC">
        <w:trPr>
          <w:trHeight w:val="352"/>
        </w:trPr>
        <w:tc>
          <w:tcPr>
            <w:tcW w:w="8608" w:type="dxa"/>
            <w:gridSpan w:val="4"/>
          </w:tcPr>
          <w:p w14:paraId="71059AA7" w14:textId="77777777" w:rsidR="00DC6D9B" w:rsidRDefault="00DC6D9B" w:rsidP="00CD363C">
            <w:pPr>
              <w:pStyle w:val="TableParagraph"/>
              <w:ind w:left="200" w:right="124"/>
              <w:jc w:val="both"/>
              <w:rPr>
                <w:i/>
              </w:rPr>
            </w:pPr>
            <w:r>
              <w:rPr>
                <w:i/>
              </w:rPr>
              <w:t>2019. gada beigās grāmatojums, atzīstot finanšu ieņēmumus par finanšu nomu:</w:t>
            </w:r>
          </w:p>
        </w:tc>
      </w:tr>
      <w:tr w:rsidR="00DC6D9B" w14:paraId="5CDDD5AA" w14:textId="77777777" w:rsidTr="00535ACC">
        <w:trPr>
          <w:trHeight w:val="585"/>
        </w:trPr>
        <w:tc>
          <w:tcPr>
            <w:tcW w:w="1070" w:type="dxa"/>
          </w:tcPr>
          <w:p w14:paraId="6233FDC1" w14:textId="77777777" w:rsidR="00DC6D9B" w:rsidRDefault="00DC6D9B" w:rsidP="00CD363C">
            <w:pPr>
              <w:pStyle w:val="TableParagraph"/>
              <w:ind w:left="200" w:right="124"/>
              <w:jc w:val="both"/>
              <w:rPr>
                <w:i/>
              </w:rPr>
            </w:pPr>
            <w:r>
              <w:rPr>
                <w:i/>
              </w:rPr>
              <w:t>D</w:t>
            </w:r>
          </w:p>
        </w:tc>
        <w:tc>
          <w:tcPr>
            <w:tcW w:w="1631" w:type="dxa"/>
          </w:tcPr>
          <w:p w14:paraId="7F9ACC52" w14:textId="77777777" w:rsidR="00DC6D9B" w:rsidRDefault="00DC6D9B" w:rsidP="00CD363C">
            <w:pPr>
              <w:pStyle w:val="TableParagraph"/>
              <w:ind w:right="124"/>
              <w:jc w:val="both"/>
              <w:rPr>
                <w:i/>
              </w:rPr>
            </w:pPr>
            <w:r>
              <w:rPr>
                <w:i/>
              </w:rPr>
              <w:t>2317</w:t>
            </w:r>
          </w:p>
        </w:tc>
        <w:tc>
          <w:tcPr>
            <w:tcW w:w="4205" w:type="dxa"/>
          </w:tcPr>
          <w:p w14:paraId="709D659D"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615033BD" w14:textId="77777777" w:rsidR="00DC6D9B" w:rsidRDefault="00DC6D9B" w:rsidP="00CD363C">
            <w:pPr>
              <w:pStyle w:val="TableParagraph"/>
              <w:ind w:left="137" w:right="124"/>
              <w:jc w:val="both"/>
              <w:rPr>
                <w:i/>
              </w:rPr>
            </w:pPr>
            <w:r>
              <w:rPr>
                <w:i/>
              </w:rPr>
              <w:t>5 368,06 EUR</w:t>
            </w:r>
          </w:p>
        </w:tc>
      </w:tr>
      <w:tr w:rsidR="00DC6D9B" w14:paraId="1D944FD8" w14:textId="77777777" w:rsidTr="00535ACC">
        <w:trPr>
          <w:trHeight w:val="333"/>
        </w:trPr>
        <w:tc>
          <w:tcPr>
            <w:tcW w:w="1070" w:type="dxa"/>
          </w:tcPr>
          <w:p w14:paraId="455ACC33" w14:textId="77777777" w:rsidR="00DC6D9B" w:rsidRDefault="00DC6D9B" w:rsidP="00CD363C">
            <w:pPr>
              <w:pStyle w:val="TableParagraph"/>
              <w:ind w:left="200" w:right="124"/>
              <w:jc w:val="both"/>
              <w:rPr>
                <w:i/>
              </w:rPr>
            </w:pPr>
            <w:r>
              <w:rPr>
                <w:i/>
              </w:rPr>
              <w:t>K</w:t>
            </w:r>
          </w:p>
        </w:tc>
        <w:tc>
          <w:tcPr>
            <w:tcW w:w="1631" w:type="dxa"/>
          </w:tcPr>
          <w:p w14:paraId="47589A84" w14:textId="77777777" w:rsidR="00DC6D9B" w:rsidRDefault="00DC6D9B" w:rsidP="00CD363C">
            <w:pPr>
              <w:pStyle w:val="TableParagraph"/>
              <w:ind w:right="124"/>
              <w:jc w:val="both"/>
              <w:rPr>
                <w:i/>
              </w:rPr>
            </w:pPr>
            <w:r>
              <w:rPr>
                <w:i/>
              </w:rPr>
              <w:t>8120</w:t>
            </w:r>
          </w:p>
        </w:tc>
        <w:tc>
          <w:tcPr>
            <w:tcW w:w="4205" w:type="dxa"/>
          </w:tcPr>
          <w:p w14:paraId="2D2C9990" w14:textId="77777777" w:rsidR="00DC6D9B" w:rsidRDefault="00DC6D9B" w:rsidP="00CD363C">
            <w:pPr>
              <w:pStyle w:val="TableParagraph"/>
              <w:ind w:left="480" w:right="124"/>
              <w:jc w:val="both"/>
              <w:rPr>
                <w:i/>
              </w:rPr>
            </w:pPr>
            <w:r>
              <w:rPr>
                <w:i/>
              </w:rPr>
              <w:t>Procentu ieņēmumi</w:t>
            </w:r>
          </w:p>
        </w:tc>
        <w:tc>
          <w:tcPr>
            <w:tcW w:w="1702" w:type="dxa"/>
          </w:tcPr>
          <w:p w14:paraId="230BFA76" w14:textId="77777777" w:rsidR="00DC6D9B" w:rsidRDefault="00DC6D9B" w:rsidP="00CD363C">
            <w:pPr>
              <w:pStyle w:val="TableParagraph"/>
              <w:ind w:left="137" w:right="124"/>
              <w:jc w:val="both"/>
              <w:rPr>
                <w:i/>
              </w:rPr>
            </w:pPr>
            <w:r>
              <w:rPr>
                <w:i/>
              </w:rPr>
              <w:t>5 368,06 EUR</w:t>
            </w:r>
          </w:p>
        </w:tc>
      </w:tr>
      <w:tr w:rsidR="00DC6D9B" w14:paraId="56706BD7" w14:textId="77777777" w:rsidTr="00535ACC">
        <w:trPr>
          <w:trHeight w:val="333"/>
        </w:trPr>
        <w:tc>
          <w:tcPr>
            <w:tcW w:w="8608" w:type="dxa"/>
            <w:gridSpan w:val="4"/>
          </w:tcPr>
          <w:p w14:paraId="5DC7D62D" w14:textId="77777777" w:rsidR="00DC6D9B" w:rsidRDefault="00DC6D9B" w:rsidP="00CD363C">
            <w:pPr>
              <w:pStyle w:val="TableParagraph"/>
              <w:ind w:left="200" w:right="124"/>
              <w:jc w:val="both"/>
              <w:rPr>
                <w:i/>
              </w:rPr>
            </w:pPr>
            <w:r>
              <w:rPr>
                <w:i/>
              </w:rPr>
              <w:t>2019. gada beigās grāmatojums, saņemot maksājumu par finanšu nomu:</w:t>
            </w:r>
          </w:p>
        </w:tc>
      </w:tr>
      <w:tr w:rsidR="00DC6D9B" w14:paraId="62B88767" w14:textId="77777777" w:rsidTr="00535ACC">
        <w:trPr>
          <w:trHeight w:val="585"/>
        </w:trPr>
        <w:tc>
          <w:tcPr>
            <w:tcW w:w="1070" w:type="dxa"/>
          </w:tcPr>
          <w:p w14:paraId="31E5FBBC" w14:textId="77777777" w:rsidR="00DC6D9B" w:rsidRDefault="00DC6D9B" w:rsidP="00CD363C">
            <w:pPr>
              <w:pStyle w:val="TableParagraph"/>
              <w:ind w:left="200" w:right="124"/>
              <w:jc w:val="both"/>
              <w:rPr>
                <w:i/>
              </w:rPr>
            </w:pPr>
            <w:r>
              <w:rPr>
                <w:i/>
              </w:rPr>
              <w:t>D</w:t>
            </w:r>
          </w:p>
        </w:tc>
        <w:tc>
          <w:tcPr>
            <w:tcW w:w="1631" w:type="dxa"/>
          </w:tcPr>
          <w:p w14:paraId="5EF732F6" w14:textId="77777777" w:rsidR="00DC6D9B" w:rsidRDefault="00DC6D9B" w:rsidP="00CD363C">
            <w:pPr>
              <w:pStyle w:val="TableParagraph"/>
              <w:ind w:right="124"/>
              <w:jc w:val="both"/>
              <w:rPr>
                <w:i/>
              </w:rPr>
            </w:pPr>
            <w:r>
              <w:rPr>
                <w:i/>
              </w:rPr>
              <w:t>2620</w:t>
            </w:r>
          </w:p>
        </w:tc>
        <w:tc>
          <w:tcPr>
            <w:tcW w:w="4205" w:type="dxa"/>
          </w:tcPr>
          <w:p w14:paraId="4C6AF523" w14:textId="77777777" w:rsidR="00DC6D9B" w:rsidRDefault="00DC6D9B" w:rsidP="00CD363C">
            <w:pPr>
              <w:pStyle w:val="TableParagraph"/>
              <w:tabs>
                <w:tab w:val="left" w:pos="1749"/>
                <w:tab w:val="left" w:pos="2637"/>
                <w:tab w:val="left" w:pos="3623"/>
              </w:tabs>
              <w:ind w:left="480"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2" w:type="dxa"/>
          </w:tcPr>
          <w:p w14:paraId="3E4B1D87" w14:textId="77777777" w:rsidR="00DC6D9B" w:rsidRDefault="00DC6D9B" w:rsidP="00CD363C">
            <w:pPr>
              <w:pStyle w:val="TableParagraph"/>
              <w:ind w:left="137" w:right="124"/>
              <w:jc w:val="both"/>
              <w:rPr>
                <w:i/>
              </w:rPr>
            </w:pPr>
            <w:r>
              <w:rPr>
                <w:i/>
              </w:rPr>
              <w:t>10 000,00 EUR</w:t>
            </w:r>
          </w:p>
        </w:tc>
      </w:tr>
      <w:tr w:rsidR="00DC6D9B" w14:paraId="2FFDAF4D" w14:textId="77777777" w:rsidTr="00535ACC">
        <w:trPr>
          <w:trHeight w:val="313"/>
        </w:trPr>
        <w:tc>
          <w:tcPr>
            <w:tcW w:w="1070" w:type="dxa"/>
          </w:tcPr>
          <w:p w14:paraId="5C2F5F92" w14:textId="77777777" w:rsidR="00DC6D9B" w:rsidRDefault="00DC6D9B" w:rsidP="00CD363C">
            <w:pPr>
              <w:pStyle w:val="TableParagraph"/>
              <w:ind w:left="200" w:right="124"/>
              <w:jc w:val="both"/>
              <w:rPr>
                <w:i/>
              </w:rPr>
            </w:pPr>
            <w:r>
              <w:rPr>
                <w:i/>
              </w:rPr>
              <w:t>K</w:t>
            </w:r>
          </w:p>
        </w:tc>
        <w:tc>
          <w:tcPr>
            <w:tcW w:w="1631" w:type="dxa"/>
          </w:tcPr>
          <w:p w14:paraId="2072461F" w14:textId="77777777" w:rsidR="00DC6D9B" w:rsidRDefault="00DC6D9B" w:rsidP="00CD363C">
            <w:pPr>
              <w:pStyle w:val="TableParagraph"/>
              <w:ind w:right="124"/>
              <w:jc w:val="both"/>
              <w:rPr>
                <w:i/>
              </w:rPr>
            </w:pPr>
            <w:r>
              <w:rPr>
                <w:i/>
              </w:rPr>
              <w:t>2315</w:t>
            </w:r>
          </w:p>
        </w:tc>
        <w:tc>
          <w:tcPr>
            <w:tcW w:w="4205" w:type="dxa"/>
          </w:tcPr>
          <w:p w14:paraId="5AF8E42F" w14:textId="77777777" w:rsidR="00DC6D9B" w:rsidRDefault="00DC6D9B" w:rsidP="00CD363C">
            <w:pPr>
              <w:pStyle w:val="TableParagraph"/>
              <w:ind w:left="480" w:right="124"/>
              <w:jc w:val="both"/>
              <w:rPr>
                <w:i/>
              </w:rPr>
            </w:pPr>
            <w:r>
              <w:rPr>
                <w:i/>
              </w:rPr>
              <w:t>Prasības par finanšu nomu</w:t>
            </w:r>
          </w:p>
        </w:tc>
        <w:tc>
          <w:tcPr>
            <w:tcW w:w="1702" w:type="dxa"/>
          </w:tcPr>
          <w:p w14:paraId="1956BF82" w14:textId="77777777" w:rsidR="00DC6D9B" w:rsidRDefault="00DC6D9B" w:rsidP="00CD363C">
            <w:pPr>
              <w:pStyle w:val="TableParagraph"/>
              <w:ind w:left="137" w:right="124"/>
              <w:jc w:val="both"/>
              <w:rPr>
                <w:i/>
              </w:rPr>
            </w:pPr>
            <w:r>
              <w:rPr>
                <w:i/>
              </w:rPr>
              <w:t>4 631,94 EUR</w:t>
            </w:r>
          </w:p>
        </w:tc>
      </w:tr>
      <w:tr w:rsidR="00DC6D9B" w14:paraId="743D44D6" w14:textId="77777777" w:rsidTr="00535ACC">
        <w:trPr>
          <w:trHeight w:val="565"/>
        </w:trPr>
        <w:tc>
          <w:tcPr>
            <w:tcW w:w="1070" w:type="dxa"/>
          </w:tcPr>
          <w:p w14:paraId="323AE4FB" w14:textId="77777777" w:rsidR="00DC6D9B" w:rsidRDefault="00DC6D9B" w:rsidP="00CD363C">
            <w:pPr>
              <w:pStyle w:val="TableParagraph"/>
              <w:ind w:left="200" w:right="124"/>
              <w:jc w:val="both"/>
              <w:rPr>
                <w:i/>
              </w:rPr>
            </w:pPr>
            <w:r>
              <w:rPr>
                <w:i/>
              </w:rPr>
              <w:t>K</w:t>
            </w:r>
          </w:p>
        </w:tc>
        <w:tc>
          <w:tcPr>
            <w:tcW w:w="1631" w:type="dxa"/>
          </w:tcPr>
          <w:p w14:paraId="186F3A04" w14:textId="77777777" w:rsidR="00DC6D9B" w:rsidRDefault="00DC6D9B" w:rsidP="00CD363C">
            <w:pPr>
              <w:pStyle w:val="TableParagraph"/>
              <w:ind w:right="124"/>
              <w:jc w:val="both"/>
              <w:rPr>
                <w:i/>
              </w:rPr>
            </w:pPr>
            <w:r>
              <w:rPr>
                <w:i/>
              </w:rPr>
              <w:t>2317</w:t>
            </w:r>
          </w:p>
        </w:tc>
        <w:tc>
          <w:tcPr>
            <w:tcW w:w="4205" w:type="dxa"/>
          </w:tcPr>
          <w:p w14:paraId="7E117434"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7EA3FD67" w14:textId="77777777" w:rsidR="00DC6D9B" w:rsidRDefault="00DC6D9B" w:rsidP="00CD363C">
            <w:pPr>
              <w:pStyle w:val="TableParagraph"/>
              <w:ind w:left="137" w:right="124"/>
              <w:jc w:val="both"/>
              <w:rPr>
                <w:i/>
              </w:rPr>
            </w:pPr>
            <w:r>
              <w:rPr>
                <w:i/>
              </w:rPr>
              <w:t>5 368,06 EUR</w:t>
            </w:r>
          </w:p>
        </w:tc>
      </w:tr>
      <w:tr w:rsidR="00DC6D9B" w14:paraId="65733186" w14:textId="77777777" w:rsidTr="00535ACC">
        <w:trPr>
          <w:trHeight w:val="333"/>
        </w:trPr>
        <w:tc>
          <w:tcPr>
            <w:tcW w:w="8608" w:type="dxa"/>
            <w:gridSpan w:val="4"/>
          </w:tcPr>
          <w:p w14:paraId="6D86BFA6" w14:textId="77777777" w:rsidR="00DC6D9B" w:rsidRDefault="00DC6D9B" w:rsidP="00CD363C">
            <w:pPr>
              <w:pStyle w:val="TableParagraph"/>
              <w:ind w:left="200" w:right="124"/>
              <w:jc w:val="both"/>
              <w:rPr>
                <w:i/>
              </w:rPr>
            </w:pPr>
            <w:r>
              <w:rPr>
                <w:i/>
              </w:rPr>
              <w:t>2019. gada beigās grāmatojums, atzīstot finanšu nomas īstermiņa daļu:</w:t>
            </w:r>
          </w:p>
        </w:tc>
      </w:tr>
      <w:tr w:rsidR="00DC6D9B" w14:paraId="79C30A2D" w14:textId="77777777" w:rsidTr="00535ACC">
        <w:trPr>
          <w:trHeight w:val="332"/>
        </w:trPr>
        <w:tc>
          <w:tcPr>
            <w:tcW w:w="1070" w:type="dxa"/>
          </w:tcPr>
          <w:p w14:paraId="0F3FC304" w14:textId="77777777" w:rsidR="00DC6D9B" w:rsidRDefault="00DC6D9B" w:rsidP="00CD363C">
            <w:pPr>
              <w:pStyle w:val="TableParagraph"/>
              <w:ind w:left="200" w:right="124"/>
              <w:jc w:val="both"/>
              <w:rPr>
                <w:i/>
              </w:rPr>
            </w:pPr>
            <w:r>
              <w:rPr>
                <w:i/>
              </w:rPr>
              <w:t>D</w:t>
            </w:r>
          </w:p>
        </w:tc>
        <w:tc>
          <w:tcPr>
            <w:tcW w:w="1631" w:type="dxa"/>
          </w:tcPr>
          <w:p w14:paraId="1C29220F" w14:textId="77777777" w:rsidR="00DC6D9B" w:rsidRDefault="00DC6D9B" w:rsidP="00CD363C">
            <w:pPr>
              <w:pStyle w:val="TableParagraph"/>
              <w:ind w:right="124"/>
              <w:jc w:val="both"/>
              <w:rPr>
                <w:i/>
              </w:rPr>
            </w:pPr>
            <w:r>
              <w:rPr>
                <w:i/>
              </w:rPr>
              <w:t>2315</w:t>
            </w:r>
          </w:p>
        </w:tc>
        <w:tc>
          <w:tcPr>
            <w:tcW w:w="4205" w:type="dxa"/>
          </w:tcPr>
          <w:p w14:paraId="710C565D" w14:textId="77777777" w:rsidR="00DC6D9B" w:rsidRDefault="00DC6D9B" w:rsidP="00CD363C">
            <w:pPr>
              <w:pStyle w:val="TableParagraph"/>
              <w:ind w:left="480" w:right="124"/>
              <w:jc w:val="both"/>
              <w:rPr>
                <w:i/>
              </w:rPr>
            </w:pPr>
            <w:r>
              <w:rPr>
                <w:i/>
              </w:rPr>
              <w:t>Prasības par finanšu nomu</w:t>
            </w:r>
          </w:p>
        </w:tc>
        <w:tc>
          <w:tcPr>
            <w:tcW w:w="1702" w:type="dxa"/>
          </w:tcPr>
          <w:p w14:paraId="015A217B" w14:textId="77777777" w:rsidR="00DC6D9B" w:rsidRDefault="00DC6D9B" w:rsidP="00CD363C">
            <w:pPr>
              <w:pStyle w:val="TableParagraph"/>
              <w:ind w:left="137" w:right="124"/>
              <w:jc w:val="both"/>
              <w:rPr>
                <w:i/>
              </w:rPr>
            </w:pPr>
            <w:r>
              <w:rPr>
                <w:i/>
              </w:rPr>
              <w:t>5 002,49 EUR</w:t>
            </w:r>
          </w:p>
        </w:tc>
      </w:tr>
      <w:tr w:rsidR="00DC6D9B" w14:paraId="44D4BB20" w14:textId="77777777" w:rsidTr="00535ACC">
        <w:trPr>
          <w:trHeight w:val="332"/>
        </w:trPr>
        <w:tc>
          <w:tcPr>
            <w:tcW w:w="1070" w:type="dxa"/>
          </w:tcPr>
          <w:p w14:paraId="4A6A5DC7" w14:textId="77777777" w:rsidR="00DC6D9B" w:rsidRDefault="00DC6D9B" w:rsidP="00CD363C">
            <w:pPr>
              <w:pStyle w:val="TableParagraph"/>
              <w:ind w:left="200" w:right="124"/>
              <w:jc w:val="both"/>
              <w:rPr>
                <w:i/>
              </w:rPr>
            </w:pPr>
            <w:r>
              <w:rPr>
                <w:i/>
              </w:rPr>
              <w:t>K</w:t>
            </w:r>
          </w:p>
        </w:tc>
        <w:tc>
          <w:tcPr>
            <w:tcW w:w="1631" w:type="dxa"/>
          </w:tcPr>
          <w:p w14:paraId="6D9C8337" w14:textId="77777777" w:rsidR="00DC6D9B" w:rsidRDefault="00DC6D9B" w:rsidP="00CD363C">
            <w:pPr>
              <w:pStyle w:val="TableParagraph"/>
              <w:ind w:right="124"/>
              <w:jc w:val="both"/>
              <w:rPr>
                <w:i/>
              </w:rPr>
            </w:pPr>
            <w:r>
              <w:rPr>
                <w:i/>
              </w:rPr>
              <w:t>1421</w:t>
            </w:r>
          </w:p>
        </w:tc>
        <w:tc>
          <w:tcPr>
            <w:tcW w:w="4205" w:type="dxa"/>
          </w:tcPr>
          <w:p w14:paraId="2862D2B6" w14:textId="77777777" w:rsidR="00DC6D9B" w:rsidRDefault="00DC6D9B" w:rsidP="00CD363C">
            <w:pPr>
              <w:pStyle w:val="TableParagraph"/>
              <w:ind w:left="480" w:right="124"/>
              <w:jc w:val="both"/>
              <w:rPr>
                <w:i/>
              </w:rPr>
            </w:pPr>
            <w:r>
              <w:rPr>
                <w:i/>
              </w:rPr>
              <w:t>Ilgtermiņa prasības par finanšu nomu</w:t>
            </w:r>
          </w:p>
        </w:tc>
        <w:tc>
          <w:tcPr>
            <w:tcW w:w="1702" w:type="dxa"/>
          </w:tcPr>
          <w:p w14:paraId="723A6229" w14:textId="77777777" w:rsidR="00DC6D9B" w:rsidRDefault="00DC6D9B" w:rsidP="00CD363C">
            <w:pPr>
              <w:pStyle w:val="TableParagraph"/>
              <w:ind w:left="137" w:right="124"/>
              <w:jc w:val="both"/>
              <w:rPr>
                <w:i/>
              </w:rPr>
            </w:pPr>
            <w:r>
              <w:rPr>
                <w:i/>
              </w:rPr>
              <w:t>5 002,49 EUR</w:t>
            </w:r>
          </w:p>
        </w:tc>
      </w:tr>
      <w:tr w:rsidR="00DC6D9B" w14:paraId="2E0CE00A" w14:textId="77777777" w:rsidTr="00535ACC">
        <w:trPr>
          <w:trHeight w:val="333"/>
        </w:trPr>
        <w:tc>
          <w:tcPr>
            <w:tcW w:w="8608" w:type="dxa"/>
            <w:gridSpan w:val="4"/>
          </w:tcPr>
          <w:p w14:paraId="301B9AC2" w14:textId="77777777" w:rsidR="00DC6D9B" w:rsidRDefault="00DC6D9B" w:rsidP="00CD363C">
            <w:pPr>
              <w:pStyle w:val="TableParagraph"/>
              <w:ind w:left="200" w:right="124"/>
              <w:jc w:val="both"/>
              <w:rPr>
                <w:i/>
              </w:rPr>
            </w:pPr>
            <w:r>
              <w:rPr>
                <w:i/>
              </w:rPr>
              <w:t>2020. gada beigās grāmatojums, atzīstot finanšu ieņēmumus par finanšu nomu:</w:t>
            </w:r>
          </w:p>
        </w:tc>
      </w:tr>
      <w:tr w:rsidR="00DC6D9B" w14:paraId="1FC744D8" w14:textId="77777777" w:rsidTr="00535ACC">
        <w:trPr>
          <w:trHeight w:val="585"/>
        </w:trPr>
        <w:tc>
          <w:tcPr>
            <w:tcW w:w="1070" w:type="dxa"/>
          </w:tcPr>
          <w:p w14:paraId="3EFBB820" w14:textId="77777777" w:rsidR="00DC6D9B" w:rsidRDefault="00DC6D9B" w:rsidP="00CD363C">
            <w:pPr>
              <w:pStyle w:val="TableParagraph"/>
              <w:ind w:left="200" w:right="124"/>
              <w:jc w:val="both"/>
              <w:rPr>
                <w:i/>
              </w:rPr>
            </w:pPr>
            <w:r>
              <w:rPr>
                <w:i/>
              </w:rPr>
              <w:t>D</w:t>
            </w:r>
          </w:p>
        </w:tc>
        <w:tc>
          <w:tcPr>
            <w:tcW w:w="1631" w:type="dxa"/>
          </w:tcPr>
          <w:p w14:paraId="59D36AF5" w14:textId="77777777" w:rsidR="00DC6D9B" w:rsidRDefault="00DC6D9B" w:rsidP="00CD363C">
            <w:pPr>
              <w:pStyle w:val="TableParagraph"/>
              <w:ind w:right="124"/>
              <w:jc w:val="both"/>
              <w:rPr>
                <w:i/>
              </w:rPr>
            </w:pPr>
            <w:r>
              <w:rPr>
                <w:i/>
              </w:rPr>
              <w:t>2317</w:t>
            </w:r>
          </w:p>
        </w:tc>
        <w:tc>
          <w:tcPr>
            <w:tcW w:w="4205" w:type="dxa"/>
          </w:tcPr>
          <w:p w14:paraId="1EBB0FD9"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095BBF51" w14:textId="77777777" w:rsidR="00DC6D9B" w:rsidRDefault="00DC6D9B" w:rsidP="00CD363C">
            <w:pPr>
              <w:pStyle w:val="TableParagraph"/>
              <w:ind w:left="137" w:right="124"/>
              <w:jc w:val="both"/>
              <w:rPr>
                <w:i/>
              </w:rPr>
            </w:pPr>
            <w:r>
              <w:rPr>
                <w:i/>
              </w:rPr>
              <w:t>4 997,51 EUR</w:t>
            </w:r>
          </w:p>
        </w:tc>
      </w:tr>
      <w:tr w:rsidR="00DC6D9B" w14:paraId="63AC1BF1" w14:textId="77777777" w:rsidTr="00535ACC">
        <w:trPr>
          <w:trHeight w:val="333"/>
        </w:trPr>
        <w:tc>
          <w:tcPr>
            <w:tcW w:w="1070" w:type="dxa"/>
          </w:tcPr>
          <w:p w14:paraId="3AA8D1B5" w14:textId="77777777" w:rsidR="00DC6D9B" w:rsidRDefault="00DC6D9B" w:rsidP="00CD363C">
            <w:pPr>
              <w:pStyle w:val="TableParagraph"/>
              <w:ind w:left="200" w:right="124"/>
              <w:jc w:val="both"/>
              <w:rPr>
                <w:i/>
              </w:rPr>
            </w:pPr>
            <w:r>
              <w:rPr>
                <w:i/>
              </w:rPr>
              <w:t>K</w:t>
            </w:r>
          </w:p>
        </w:tc>
        <w:tc>
          <w:tcPr>
            <w:tcW w:w="1631" w:type="dxa"/>
          </w:tcPr>
          <w:p w14:paraId="7981F247" w14:textId="77777777" w:rsidR="00DC6D9B" w:rsidRDefault="00DC6D9B" w:rsidP="00CD363C">
            <w:pPr>
              <w:pStyle w:val="TableParagraph"/>
              <w:ind w:right="124"/>
              <w:jc w:val="both"/>
              <w:rPr>
                <w:i/>
              </w:rPr>
            </w:pPr>
            <w:r>
              <w:rPr>
                <w:i/>
              </w:rPr>
              <w:t>8120</w:t>
            </w:r>
          </w:p>
        </w:tc>
        <w:tc>
          <w:tcPr>
            <w:tcW w:w="4205" w:type="dxa"/>
          </w:tcPr>
          <w:p w14:paraId="093892B8" w14:textId="77777777" w:rsidR="00DC6D9B" w:rsidRDefault="00DC6D9B" w:rsidP="00CD363C">
            <w:pPr>
              <w:pStyle w:val="TableParagraph"/>
              <w:ind w:left="480" w:right="124"/>
              <w:jc w:val="both"/>
              <w:rPr>
                <w:i/>
              </w:rPr>
            </w:pPr>
            <w:r>
              <w:rPr>
                <w:i/>
              </w:rPr>
              <w:t>Procentu ieņēmumi</w:t>
            </w:r>
          </w:p>
        </w:tc>
        <w:tc>
          <w:tcPr>
            <w:tcW w:w="1702" w:type="dxa"/>
          </w:tcPr>
          <w:p w14:paraId="5A61594F" w14:textId="77777777" w:rsidR="00DC6D9B" w:rsidRDefault="00DC6D9B" w:rsidP="00CD363C">
            <w:pPr>
              <w:pStyle w:val="TableParagraph"/>
              <w:ind w:left="137" w:right="124"/>
              <w:jc w:val="both"/>
              <w:rPr>
                <w:i/>
              </w:rPr>
            </w:pPr>
            <w:r>
              <w:rPr>
                <w:i/>
              </w:rPr>
              <w:t>4 997,51 EUR</w:t>
            </w:r>
          </w:p>
        </w:tc>
      </w:tr>
      <w:tr w:rsidR="00DC6D9B" w14:paraId="382F7589" w14:textId="77777777" w:rsidTr="00535ACC">
        <w:trPr>
          <w:trHeight w:val="333"/>
        </w:trPr>
        <w:tc>
          <w:tcPr>
            <w:tcW w:w="8608" w:type="dxa"/>
            <w:gridSpan w:val="4"/>
          </w:tcPr>
          <w:p w14:paraId="5CB8CA23" w14:textId="77777777" w:rsidR="00DC6D9B" w:rsidRDefault="00DC6D9B" w:rsidP="00CD363C">
            <w:pPr>
              <w:pStyle w:val="TableParagraph"/>
              <w:ind w:left="255" w:right="124"/>
              <w:jc w:val="both"/>
              <w:rPr>
                <w:i/>
              </w:rPr>
            </w:pPr>
            <w:r>
              <w:rPr>
                <w:i/>
              </w:rPr>
              <w:t>2020. gada beigās grāmatojums, saņemot maksājumu par finanšu nomu:</w:t>
            </w:r>
          </w:p>
        </w:tc>
      </w:tr>
      <w:tr w:rsidR="00DC6D9B" w14:paraId="27112FBC" w14:textId="77777777" w:rsidTr="00535ACC">
        <w:trPr>
          <w:trHeight w:val="585"/>
        </w:trPr>
        <w:tc>
          <w:tcPr>
            <w:tcW w:w="1070" w:type="dxa"/>
          </w:tcPr>
          <w:p w14:paraId="0FBCD3ED" w14:textId="77777777" w:rsidR="00DC6D9B" w:rsidRDefault="00DC6D9B" w:rsidP="00CD363C">
            <w:pPr>
              <w:pStyle w:val="TableParagraph"/>
              <w:ind w:left="200" w:right="124"/>
              <w:jc w:val="both"/>
              <w:rPr>
                <w:i/>
              </w:rPr>
            </w:pPr>
            <w:r>
              <w:rPr>
                <w:i/>
              </w:rPr>
              <w:t>D</w:t>
            </w:r>
          </w:p>
        </w:tc>
        <w:tc>
          <w:tcPr>
            <w:tcW w:w="1631" w:type="dxa"/>
          </w:tcPr>
          <w:p w14:paraId="5A1AE5B1" w14:textId="77777777" w:rsidR="00DC6D9B" w:rsidRDefault="00DC6D9B" w:rsidP="00CD363C">
            <w:pPr>
              <w:pStyle w:val="TableParagraph"/>
              <w:ind w:right="124"/>
              <w:jc w:val="both"/>
              <w:rPr>
                <w:i/>
              </w:rPr>
            </w:pPr>
            <w:r>
              <w:rPr>
                <w:i/>
              </w:rPr>
              <w:t>2620</w:t>
            </w:r>
          </w:p>
        </w:tc>
        <w:tc>
          <w:tcPr>
            <w:tcW w:w="4205" w:type="dxa"/>
          </w:tcPr>
          <w:p w14:paraId="54EA92CA" w14:textId="77777777" w:rsidR="00DC6D9B" w:rsidRDefault="00DC6D9B" w:rsidP="00CD363C">
            <w:pPr>
              <w:pStyle w:val="TableParagraph"/>
              <w:tabs>
                <w:tab w:val="left" w:pos="1749"/>
                <w:tab w:val="left" w:pos="2637"/>
                <w:tab w:val="left" w:pos="3623"/>
              </w:tabs>
              <w:ind w:left="480"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2"/>
              </w:rPr>
              <w:t xml:space="preserve"> </w:t>
            </w:r>
            <w:r>
              <w:rPr>
                <w:i/>
              </w:rPr>
              <w:t>institūcijās</w:t>
            </w:r>
          </w:p>
        </w:tc>
        <w:tc>
          <w:tcPr>
            <w:tcW w:w="1702" w:type="dxa"/>
          </w:tcPr>
          <w:p w14:paraId="460E20E8" w14:textId="77777777" w:rsidR="00DC6D9B" w:rsidRDefault="00DC6D9B" w:rsidP="00CD363C">
            <w:pPr>
              <w:pStyle w:val="TableParagraph"/>
              <w:ind w:left="137" w:right="124"/>
              <w:jc w:val="both"/>
              <w:rPr>
                <w:i/>
              </w:rPr>
            </w:pPr>
            <w:r>
              <w:rPr>
                <w:i/>
              </w:rPr>
              <w:t>10 000,00 EUR</w:t>
            </w:r>
          </w:p>
        </w:tc>
      </w:tr>
      <w:tr w:rsidR="00DC6D9B" w14:paraId="7D510DAA" w14:textId="77777777" w:rsidTr="00535ACC">
        <w:trPr>
          <w:trHeight w:val="311"/>
        </w:trPr>
        <w:tc>
          <w:tcPr>
            <w:tcW w:w="1070" w:type="dxa"/>
          </w:tcPr>
          <w:p w14:paraId="596115C3" w14:textId="77777777" w:rsidR="00DC6D9B" w:rsidRDefault="00DC6D9B" w:rsidP="00CD363C">
            <w:pPr>
              <w:pStyle w:val="TableParagraph"/>
              <w:ind w:left="200" w:right="124"/>
              <w:jc w:val="both"/>
              <w:rPr>
                <w:i/>
              </w:rPr>
            </w:pPr>
            <w:r>
              <w:rPr>
                <w:i/>
              </w:rPr>
              <w:t>K</w:t>
            </w:r>
          </w:p>
        </w:tc>
        <w:tc>
          <w:tcPr>
            <w:tcW w:w="1631" w:type="dxa"/>
          </w:tcPr>
          <w:p w14:paraId="7C8CCB34" w14:textId="77777777" w:rsidR="00DC6D9B" w:rsidRDefault="00DC6D9B" w:rsidP="00CD363C">
            <w:pPr>
              <w:pStyle w:val="TableParagraph"/>
              <w:ind w:right="124"/>
              <w:jc w:val="both"/>
              <w:rPr>
                <w:i/>
              </w:rPr>
            </w:pPr>
            <w:r>
              <w:rPr>
                <w:i/>
              </w:rPr>
              <w:t>2315</w:t>
            </w:r>
          </w:p>
        </w:tc>
        <w:tc>
          <w:tcPr>
            <w:tcW w:w="4205" w:type="dxa"/>
          </w:tcPr>
          <w:p w14:paraId="405C8346" w14:textId="77777777" w:rsidR="00DC6D9B" w:rsidRDefault="00DC6D9B" w:rsidP="00CD363C">
            <w:pPr>
              <w:pStyle w:val="TableParagraph"/>
              <w:ind w:left="480" w:right="124"/>
              <w:jc w:val="both"/>
              <w:rPr>
                <w:i/>
              </w:rPr>
            </w:pPr>
            <w:r>
              <w:rPr>
                <w:i/>
              </w:rPr>
              <w:t>Prasības par finanšu nomu</w:t>
            </w:r>
          </w:p>
        </w:tc>
        <w:tc>
          <w:tcPr>
            <w:tcW w:w="1702" w:type="dxa"/>
          </w:tcPr>
          <w:p w14:paraId="3824F829" w14:textId="77777777" w:rsidR="00DC6D9B" w:rsidRDefault="00DC6D9B" w:rsidP="00CD363C">
            <w:pPr>
              <w:pStyle w:val="TableParagraph"/>
              <w:ind w:left="137" w:right="124"/>
              <w:jc w:val="both"/>
              <w:rPr>
                <w:i/>
              </w:rPr>
            </w:pPr>
            <w:r>
              <w:rPr>
                <w:i/>
              </w:rPr>
              <w:t>5 002,49 EUR</w:t>
            </w:r>
          </w:p>
        </w:tc>
      </w:tr>
      <w:tr w:rsidR="00DC6D9B" w14:paraId="68DEC193" w14:textId="77777777" w:rsidTr="00535ACC">
        <w:trPr>
          <w:trHeight w:val="566"/>
        </w:trPr>
        <w:tc>
          <w:tcPr>
            <w:tcW w:w="1070" w:type="dxa"/>
          </w:tcPr>
          <w:p w14:paraId="29862B9E" w14:textId="77777777" w:rsidR="00DC6D9B" w:rsidRDefault="00DC6D9B" w:rsidP="00CD363C">
            <w:pPr>
              <w:pStyle w:val="TableParagraph"/>
              <w:ind w:left="200" w:right="124"/>
              <w:jc w:val="both"/>
              <w:rPr>
                <w:i/>
              </w:rPr>
            </w:pPr>
            <w:r>
              <w:rPr>
                <w:i/>
              </w:rPr>
              <w:t>K</w:t>
            </w:r>
          </w:p>
        </w:tc>
        <w:tc>
          <w:tcPr>
            <w:tcW w:w="1631" w:type="dxa"/>
          </w:tcPr>
          <w:p w14:paraId="1B4425CA" w14:textId="77777777" w:rsidR="00DC6D9B" w:rsidRDefault="00DC6D9B" w:rsidP="00CD363C">
            <w:pPr>
              <w:pStyle w:val="TableParagraph"/>
              <w:ind w:right="124"/>
              <w:jc w:val="both"/>
              <w:rPr>
                <w:i/>
              </w:rPr>
            </w:pPr>
            <w:r>
              <w:rPr>
                <w:i/>
              </w:rPr>
              <w:t>2317</w:t>
            </w:r>
          </w:p>
        </w:tc>
        <w:tc>
          <w:tcPr>
            <w:tcW w:w="4205" w:type="dxa"/>
          </w:tcPr>
          <w:p w14:paraId="206A849C"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316E206D" w14:textId="77777777" w:rsidR="00DC6D9B" w:rsidRDefault="00DC6D9B" w:rsidP="00CD363C">
            <w:pPr>
              <w:pStyle w:val="TableParagraph"/>
              <w:ind w:left="137" w:right="124"/>
              <w:jc w:val="both"/>
              <w:rPr>
                <w:i/>
              </w:rPr>
            </w:pPr>
            <w:r>
              <w:rPr>
                <w:i/>
              </w:rPr>
              <w:t>4 997,51 EUR</w:t>
            </w:r>
          </w:p>
        </w:tc>
      </w:tr>
      <w:tr w:rsidR="00DC6D9B" w14:paraId="6F989609" w14:textId="77777777" w:rsidTr="00535ACC">
        <w:trPr>
          <w:trHeight w:val="333"/>
        </w:trPr>
        <w:tc>
          <w:tcPr>
            <w:tcW w:w="8608" w:type="dxa"/>
            <w:gridSpan w:val="4"/>
          </w:tcPr>
          <w:p w14:paraId="44B50549" w14:textId="77777777" w:rsidR="00DC6D9B" w:rsidRDefault="00DC6D9B" w:rsidP="00CD363C">
            <w:pPr>
              <w:pStyle w:val="TableParagraph"/>
              <w:ind w:left="200" w:right="124"/>
              <w:jc w:val="both"/>
              <w:rPr>
                <w:i/>
              </w:rPr>
            </w:pPr>
            <w:r>
              <w:rPr>
                <w:i/>
              </w:rPr>
              <w:t>2020. gada beigās grāmatojums, atzīstot finanšu nomas īstermiņa daļu:</w:t>
            </w:r>
          </w:p>
        </w:tc>
      </w:tr>
      <w:tr w:rsidR="00DC6D9B" w14:paraId="23331B06" w14:textId="77777777" w:rsidTr="00535ACC">
        <w:trPr>
          <w:trHeight w:val="332"/>
        </w:trPr>
        <w:tc>
          <w:tcPr>
            <w:tcW w:w="1070" w:type="dxa"/>
          </w:tcPr>
          <w:p w14:paraId="4BC0D347" w14:textId="77777777" w:rsidR="00DC6D9B" w:rsidRDefault="00DC6D9B" w:rsidP="00CD363C">
            <w:pPr>
              <w:pStyle w:val="TableParagraph"/>
              <w:ind w:left="200" w:right="124"/>
              <w:jc w:val="both"/>
              <w:rPr>
                <w:i/>
              </w:rPr>
            </w:pPr>
            <w:r>
              <w:rPr>
                <w:i/>
              </w:rPr>
              <w:t>D</w:t>
            </w:r>
          </w:p>
        </w:tc>
        <w:tc>
          <w:tcPr>
            <w:tcW w:w="1631" w:type="dxa"/>
          </w:tcPr>
          <w:p w14:paraId="3F7615F2" w14:textId="77777777" w:rsidR="00DC6D9B" w:rsidRDefault="00DC6D9B" w:rsidP="00CD363C">
            <w:pPr>
              <w:pStyle w:val="TableParagraph"/>
              <w:ind w:right="124"/>
              <w:jc w:val="both"/>
              <w:rPr>
                <w:i/>
              </w:rPr>
            </w:pPr>
            <w:r>
              <w:rPr>
                <w:i/>
              </w:rPr>
              <w:t>2315</w:t>
            </w:r>
          </w:p>
        </w:tc>
        <w:tc>
          <w:tcPr>
            <w:tcW w:w="4205" w:type="dxa"/>
          </w:tcPr>
          <w:p w14:paraId="3034C5DF" w14:textId="77777777" w:rsidR="00DC6D9B" w:rsidRDefault="00DC6D9B" w:rsidP="00CD363C">
            <w:pPr>
              <w:pStyle w:val="TableParagraph"/>
              <w:ind w:left="480" w:right="124"/>
              <w:jc w:val="both"/>
              <w:rPr>
                <w:i/>
              </w:rPr>
            </w:pPr>
            <w:r>
              <w:rPr>
                <w:i/>
              </w:rPr>
              <w:t>Prasības par finanšu nomu</w:t>
            </w:r>
          </w:p>
        </w:tc>
        <w:tc>
          <w:tcPr>
            <w:tcW w:w="1702" w:type="dxa"/>
          </w:tcPr>
          <w:p w14:paraId="7397D77F" w14:textId="77777777" w:rsidR="00DC6D9B" w:rsidRDefault="00DC6D9B" w:rsidP="00CD363C">
            <w:pPr>
              <w:pStyle w:val="TableParagraph"/>
              <w:ind w:left="137" w:right="124"/>
              <w:jc w:val="both"/>
              <w:rPr>
                <w:i/>
              </w:rPr>
            </w:pPr>
            <w:r>
              <w:rPr>
                <w:i/>
              </w:rPr>
              <w:t>5 402,69 EUR</w:t>
            </w:r>
          </w:p>
        </w:tc>
      </w:tr>
      <w:tr w:rsidR="00DC6D9B" w14:paraId="16024196" w14:textId="77777777" w:rsidTr="00535ACC">
        <w:trPr>
          <w:trHeight w:val="332"/>
        </w:trPr>
        <w:tc>
          <w:tcPr>
            <w:tcW w:w="1070" w:type="dxa"/>
          </w:tcPr>
          <w:p w14:paraId="7AA080A1" w14:textId="77777777" w:rsidR="00DC6D9B" w:rsidRDefault="00DC6D9B" w:rsidP="00CD363C">
            <w:pPr>
              <w:pStyle w:val="TableParagraph"/>
              <w:ind w:left="200" w:right="124"/>
              <w:jc w:val="both"/>
              <w:rPr>
                <w:i/>
              </w:rPr>
            </w:pPr>
            <w:r>
              <w:rPr>
                <w:i/>
              </w:rPr>
              <w:t>K</w:t>
            </w:r>
          </w:p>
        </w:tc>
        <w:tc>
          <w:tcPr>
            <w:tcW w:w="1631" w:type="dxa"/>
          </w:tcPr>
          <w:p w14:paraId="7A739D51" w14:textId="77777777" w:rsidR="00DC6D9B" w:rsidRDefault="00DC6D9B" w:rsidP="00CD363C">
            <w:pPr>
              <w:pStyle w:val="TableParagraph"/>
              <w:ind w:right="124"/>
              <w:jc w:val="both"/>
              <w:rPr>
                <w:i/>
              </w:rPr>
            </w:pPr>
            <w:r>
              <w:rPr>
                <w:i/>
              </w:rPr>
              <w:t>1421</w:t>
            </w:r>
          </w:p>
        </w:tc>
        <w:tc>
          <w:tcPr>
            <w:tcW w:w="4205" w:type="dxa"/>
          </w:tcPr>
          <w:p w14:paraId="40671DF1" w14:textId="77777777" w:rsidR="00DC6D9B" w:rsidRDefault="00DC6D9B" w:rsidP="00CD363C">
            <w:pPr>
              <w:pStyle w:val="TableParagraph"/>
              <w:ind w:left="480" w:right="124"/>
              <w:jc w:val="both"/>
              <w:rPr>
                <w:i/>
              </w:rPr>
            </w:pPr>
            <w:r>
              <w:rPr>
                <w:i/>
              </w:rPr>
              <w:t>Ilgtermiņa prasības par finanšu nomu</w:t>
            </w:r>
          </w:p>
        </w:tc>
        <w:tc>
          <w:tcPr>
            <w:tcW w:w="1702" w:type="dxa"/>
          </w:tcPr>
          <w:p w14:paraId="4EF48795" w14:textId="77777777" w:rsidR="00DC6D9B" w:rsidRDefault="00DC6D9B" w:rsidP="00CD363C">
            <w:pPr>
              <w:pStyle w:val="TableParagraph"/>
              <w:ind w:left="137" w:right="124"/>
              <w:jc w:val="both"/>
              <w:rPr>
                <w:i/>
              </w:rPr>
            </w:pPr>
            <w:r>
              <w:rPr>
                <w:i/>
              </w:rPr>
              <w:t>5 402,69 EUR</w:t>
            </w:r>
          </w:p>
        </w:tc>
      </w:tr>
      <w:tr w:rsidR="00DC6D9B" w14:paraId="244BF105" w14:textId="77777777" w:rsidTr="00535ACC">
        <w:trPr>
          <w:trHeight w:val="333"/>
        </w:trPr>
        <w:tc>
          <w:tcPr>
            <w:tcW w:w="8608" w:type="dxa"/>
            <w:gridSpan w:val="4"/>
          </w:tcPr>
          <w:p w14:paraId="6F9AE4E4" w14:textId="77777777" w:rsidR="00DC6D9B" w:rsidRDefault="00DC6D9B" w:rsidP="00CD363C">
            <w:pPr>
              <w:pStyle w:val="TableParagraph"/>
              <w:ind w:left="200" w:right="124"/>
              <w:jc w:val="both"/>
              <w:rPr>
                <w:i/>
              </w:rPr>
            </w:pPr>
            <w:r>
              <w:rPr>
                <w:i/>
              </w:rPr>
              <w:t>2021. gada beigās grāmatojums, atzīstot finanšu ieņēmumus par finanšu nomu:</w:t>
            </w:r>
          </w:p>
        </w:tc>
      </w:tr>
      <w:tr w:rsidR="00DC6D9B" w14:paraId="43BE0FE8" w14:textId="77777777" w:rsidTr="00535ACC">
        <w:trPr>
          <w:trHeight w:val="585"/>
        </w:trPr>
        <w:tc>
          <w:tcPr>
            <w:tcW w:w="1070" w:type="dxa"/>
          </w:tcPr>
          <w:p w14:paraId="106A1FC4" w14:textId="77777777" w:rsidR="00DC6D9B" w:rsidRDefault="00DC6D9B" w:rsidP="00CD363C">
            <w:pPr>
              <w:pStyle w:val="TableParagraph"/>
              <w:ind w:left="200" w:right="124"/>
              <w:jc w:val="both"/>
              <w:rPr>
                <w:i/>
              </w:rPr>
            </w:pPr>
            <w:r>
              <w:rPr>
                <w:i/>
              </w:rPr>
              <w:t>D</w:t>
            </w:r>
          </w:p>
        </w:tc>
        <w:tc>
          <w:tcPr>
            <w:tcW w:w="1631" w:type="dxa"/>
          </w:tcPr>
          <w:p w14:paraId="5251589A" w14:textId="77777777" w:rsidR="00DC6D9B" w:rsidRDefault="00DC6D9B" w:rsidP="00CD363C">
            <w:pPr>
              <w:pStyle w:val="TableParagraph"/>
              <w:ind w:right="124"/>
              <w:jc w:val="both"/>
              <w:rPr>
                <w:i/>
              </w:rPr>
            </w:pPr>
            <w:r>
              <w:rPr>
                <w:i/>
              </w:rPr>
              <w:t>2317</w:t>
            </w:r>
          </w:p>
        </w:tc>
        <w:tc>
          <w:tcPr>
            <w:tcW w:w="4205" w:type="dxa"/>
          </w:tcPr>
          <w:p w14:paraId="15C0E0D8" w14:textId="77777777" w:rsidR="00DC6D9B" w:rsidRDefault="00DC6D9B" w:rsidP="00CD363C">
            <w:pPr>
              <w:pStyle w:val="TableParagraph"/>
              <w:ind w:left="480" w:right="124"/>
              <w:jc w:val="both"/>
              <w:rPr>
                <w:i/>
              </w:rPr>
            </w:pPr>
            <w:r>
              <w:rPr>
                <w:i/>
              </w:rPr>
              <w:t>Prasības par procentiem un citiem maksājumiem</w:t>
            </w:r>
          </w:p>
        </w:tc>
        <w:tc>
          <w:tcPr>
            <w:tcW w:w="1702" w:type="dxa"/>
          </w:tcPr>
          <w:p w14:paraId="237E6A3B" w14:textId="77777777" w:rsidR="00DC6D9B" w:rsidRDefault="00DC6D9B" w:rsidP="00CD363C">
            <w:pPr>
              <w:pStyle w:val="TableParagraph"/>
              <w:ind w:left="137" w:right="124"/>
              <w:jc w:val="both"/>
              <w:rPr>
                <w:i/>
              </w:rPr>
            </w:pPr>
            <w:r>
              <w:rPr>
                <w:i/>
              </w:rPr>
              <w:t>4 597,31 EUR</w:t>
            </w:r>
          </w:p>
        </w:tc>
      </w:tr>
      <w:tr w:rsidR="00DC6D9B" w14:paraId="5367E2DC" w14:textId="77777777" w:rsidTr="00535ACC">
        <w:trPr>
          <w:trHeight w:val="333"/>
        </w:trPr>
        <w:tc>
          <w:tcPr>
            <w:tcW w:w="1070" w:type="dxa"/>
          </w:tcPr>
          <w:p w14:paraId="6D751324" w14:textId="77777777" w:rsidR="00DC6D9B" w:rsidRDefault="00DC6D9B" w:rsidP="00CD363C">
            <w:pPr>
              <w:pStyle w:val="TableParagraph"/>
              <w:ind w:left="200" w:right="124"/>
              <w:jc w:val="both"/>
              <w:rPr>
                <w:i/>
              </w:rPr>
            </w:pPr>
            <w:r>
              <w:rPr>
                <w:i/>
              </w:rPr>
              <w:t>K</w:t>
            </w:r>
          </w:p>
        </w:tc>
        <w:tc>
          <w:tcPr>
            <w:tcW w:w="1631" w:type="dxa"/>
          </w:tcPr>
          <w:p w14:paraId="3F6C4071" w14:textId="77777777" w:rsidR="00DC6D9B" w:rsidRDefault="00DC6D9B" w:rsidP="00CD363C">
            <w:pPr>
              <w:pStyle w:val="TableParagraph"/>
              <w:ind w:right="124"/>
              <w:jc w:val="both"/>
              <w:rPr>
                <w:i/>
              </w:rPr>
            </w:pPr>
            <w:r>
              <w:rPr>
                <w:i/>
              </w:rPr>
              <w:t>8120</w:t>
            </w:r>
          </w:p>
        </w:tc>
        <w:tc>
          <w:tcPr>
            <w:tcW w:w="4205" w:type="dxa"/>
          </w:tcPr>
          <w:p w14:paraId="36F10C56" w14:textId="77777777" w:rsidR="00DC6D9B" w:rsidRDefault="00DC6D9B" w:rsidP="00CD363C">
            <w:pPr>
              <w:pStyle w:val="TableParagraph"/>
              <w:ind w:left="480" w:right="124"/>
              <w:jc w:val="both"/>
              <w:rPr>
                <w:i/>
              </w:rPr>
            </w:pPr>
            <w:r>
              <w:rPr>
                <w:i/>
              </w:rPr>
              <w:t>Procentu ieņēmumi</w:t>
            </w:r>
          </w:p>
        </w:tc>
        <w:tc>
          <w:tcPr>
            <w:tcW w:w="1702" w:type="dxa"/>
          </w:tcPr>
          <w:p w14:paraId="58731E8D" w14:textId="77777777" w:rsidR="00DC6D9B" w:rsidRDefault="00DC6D9B" w:rsidP="00CD363C">
            <w:pPr>
              <w:pStyle w:val="TableParagraph"/>
              <w:ind w:left="137" w:right="124"/>
              <w:jc w:val="both"/>
              <w:rPr>
                <w:i/>
              </w:rPr>
            </w:pPr>
            <w:r>
              <w:rPr>
                <w:i/>
              </w:rPr>
              <w:t>4 597,31 EUR</w:t>
            </w:r>
          </w:p>
        </w:tc>
      </w:tr>
      <w:tr w:rsidR="00DC6D9B" w14:paraId="1516FFD1" w14:textId="77777777" w:rsidTr="00535ACC">
        <w:trPr>
          <w:trHeight w:val="333"/>
        </w:trPr>
        <w:tc>
          <w:tcPr>
            <w:tcW w:w="8608" w:type="dxa"/>
            <w:gridSpan w:val="4"/>
          </w:tcPr>
          <w:p w14:paraId="5376F161" w14:textId="77777777" w:rsidR="00DC6D9B" w:rsidRDefault="00DC6D9B" w:rsidP="00CD363C">
            <w:pPr>
              <w:pStyle w:val="TableParagraph"/>
              <w:ind w:left="200" w:right="124"/>
              <w:jc w:val="both"/>
              <w:rPr>
                <w:i/>
              </w:rPr>
            </w:pPr>
            <w:r>
              <w:rPr>
                <w:i/>
              </w:rPr>
              <w:t>2021. gada beigās grāmatojums, saņemot maksājumu par finanšu nomu:</w:t>
            </w:r>
          </w:p>
        </w:tc>
      </w:tr>
      <w:tr w:rsidR="00DC6D9B" w14:paraId="6161C9DF" w14:textId="77777777" w:rsidTr="00535ACC">
        <w:trPr>
          <w:trHeight w:val="585"/>
        </w:trPr>
        <w:tc>
          <w:tcPr>
            <w:tcW w:w="1070" w:type="dxa"/>
          </w:tcPr>
          <w:p w14:paraId="2E60A5C8" w14:textId="77777777" w:rsidR="00DC6D9B" w:rsidRDefault="00DC6D9B" w:rsidP="00CD363C">
            <w:pPr>
              <w:pStyle w:val="TableParagraph"/>
              <w:ind w:left="200" w:right="124"/>
              <w:jc w:val="both"/>
              <w:rPr>
                <w:i/>
              </w:rPr>
            </w:pPr>
            <w:r>
              <w:rPr>
                <w:i/>
              </w:rPr>
              <w:t>D</w:t>
            </w:r>
          </w:p>
        </w:tc>
        <w:tc>
          <w:tcPr>
            <w:tcW w:w="1631" w:type="dxa"/>
          </w:tcPr>
          <w:p w14:paraId="4CC4AD9E" w14:textId="77777777" w:rsidR="00DC6D9B" w:rsidRDefault="00DC6D9B" w:rsidP="00CD363C">
            <w:pPr>
              <w:pStyle w:val="TableParagraph"/>
              <w:ind w:right="124"/>
              <w:jc w:val="both"/>
              <w:rPr>
                <w:i/>
              </w:rPr>
            </w:pPr>
            <w:r>
              <w:rPr>
                <w:i/>
              </w:rPr>
              <w:t>2620</w:t>
            </w:r>
          </w:p>
        </w:tc>
        <w:tc>
          <w:tcPr>
            <w:tcW w:w="4205" w:type="dxa"/>
          </w:tcPr>
          <w:p w14:paraId="30455693" w14:textId="77777777" w:rsidR="00DC6D9B" w:rsidRDefault="00DC6D9B" w:rsidP="00CD363C">
            <w:pPr>
              <w:pStyle w:val="TableParagraph"/>
              <w:tabs>
                <w:tab w:val="left" w:pos="1749"/>
                <w:tab w:val="left" w:pos="2637"/>
                <w:tab w:val="left" w:pos="3623"/>
              </w:tabs>
              <w:ind w:left="480"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2" w:type="dxa"/>
          </w:tcPr>
          <w:p w14:paraId="6F170683" w14:textId="77777777" w:rsidR="00DC6D9B" w:rsidRDefault="00DC6D9B" w:rsidP="00CD363C">
            <w:pPr>
              <w:pStyle w:val="TableParagraph"/>
              <w:ind w:left="137" w:right="124"/>
              <w:jc w:val="both"/>
              <w:rPr>
                <w:i/>
              </w:rPr>
            </w:pPr>
            <w:r>
              <w:rPr>
                <w:i/>
              </w:rPr>
              <w:t>10 000,00 EUR</w:t>
            </w:r>
          </w:p>
        </w:tc>
      </w:tr>
      <w:tr w:rsidR="00DC6D9B" w14:paraId="257D760F" w14:textId="77777777" w:rsidTr="00535ACC">
        <w:trPr>
          <w:trHeight w:val="312"/>
        </w:trPr>
        <w:tc>
          <w:tcPr>
            <w:tcW w:w="1070" w:type="dxa"/>
          </w:tcPr>
          <w:p w14:paraId="7F8A5AA2" w14:textId="77777777" w:rsidR="00DC6D9B" w:rsidRDefault="00DC6D9B" w:rsidP="00CD363C">
            <w:pPr>
              <w:pStyle w:val="TableParagraph"/>
              <w:ind w:left="200" w:right="124"/>
              <w:jc w:val="both"/>
              <w:rPr>
                <w:i/>
              </w:rPr>
            </w:pPr>
            <w:r>
              <w:rPr>
                <w:i/>
              </w:rPr>
              <w:t>K</w:t>
            </w:r>
          </w:p>
        </w:tc>
        <w:tc>
          <w:tcPr>
            <w:tcW w:w="1631" w:type="dxa"/>
          </w:tcPr>
          <w:p w14:paraId="79C3E4E5" w14:textId="77777777" w:rsidR="00DC6D9B" w:rsidRDefault="00DC6D9B" w:rsidP="00CD363C">
            <w:pPr>
              <w:pStyle w:val="TableParagraph"/>
              <w:ind w:right="124"/>
              <w:jc w:val="both"/>
              <w:rPr>
                <w:i/>
              </w:rPr>
            </w:pPr>
            <w:r>
              <w:rPr>
                <w:i/>
              </w:rPr>
              <w:t>2315</w:t>
            </w:r>
          </w:p>
        </w:tc>
        <w:tc>
          <w:tcPr>
            <w:tcW w:w="4205" w:type="dxa"/>
          </w:tcPr>
          <w:p w14:paraId="6B3122B2" w14:textId="77777777" w:rsidR="00DC6D9B" w:rsidRDefault="00DC6D9B" w:rsidP="00CD363C">
            <w:pPr>
              <w:pStyle w:val="TableParagraph"/>
              <w:ind w:left="480" w:right="124"/>
              <w:jc w:val="both"/>
              <w:rPr>
                <w:i/>
              </w:rPr>
            </w:pPr>
            <w:r>
              <w:rPr>
                <w:i/>
              </w:rPr>
              <w:t>Prasības par finanšu nomu</w:t>
            </w:r>
          </w:p>
        </w:tc>
        <w:tc>
          <w:tcPr>
            <w:tcW w:w="1702" w:type="dxa"/>
          </w:tcPr>
          <w:p w14:paraId="570CEA18" w14:textId="77777777" w:rsidR="00DC6D9B" w:rsidRDefault="00DC6D9B" w:rsidP="00CD363C">
            <w:pPr>
              <w:pStyle w:val="TableParagraph"/>
              <w:ind w:left="137" w:right="124"/>
              <w:jc w:val="both"/>
              <w:rPr>
                <w:i/>
              </w:rPr>
            </w:pPr>
            <w:r>
              <w:rPr>
                <w:i/>
              </w:rPr>
              <w:t>5 402,69 EUR</w:t>
            </w:r>
          </w:p>
        </w:tc>
      </w:tr>
      <w:tr w:rsidR="00DC6D9B" w14:paraId="64491B85" w14:textId="77777777" w:rsidTr="00535ACC">
        <w:trPr>
          <w:trHeight w:val="521"/>
        </w:trPr>
        <w:tc>
          <w:tcPr>
            <w:tcW w:w="1070" w:type="dxa"/>
          </w:tcPr>
          <w:p w14:paraId="5926E109" w14:textId="77777777" w:rsidR="00DC6D9B" w:rsidRDefault="00DC6D9B" w:rsidP="00CD363C">
            <w:pPr>
              <w:pStyle w:val="TableParagraph"/>
              <w:ind w:left="200" w:right="124"/>
              <w:jc w:val="both"/>
              <w:rPr>
                <w:i/>
              </w:rPr>
            </w:pPr>
            <w:r>
              <w:rPr>
                <w:i/>
              </w:rPr>
              <w:t>K</w:t>
            </w:r>
          </w:p>
        </w:tc>
        <w:tc>
          <w:tcPr>
            <w:tcW w:w="1631" w:type="dxa"/>
          </w:tcPr>
          <w:p w14:paraId="4393E9F7" w14:textId="77777777" w:rsidR="00DC6D9B" w:rsidRDefault="00DC6D9B" w:rsidP="00CD363C">
            <w:pPr>
              <w:pStyle w:val="TableParagraph"/>
              <w:ind w:right="124"/>
              <w:jc w:val="both"/>
              <w:rPr>
                <w:i/>
              </w:rPr>
            </w:pPr>
            <w:r>
              <w:rPr>
                <w:i/>
              </w:rPr>
              <w:t>2317</w:t>
            </w:r>
          </w:p>
        </w:tc>
        <w:tc>
          <w:tcPr>
            <w:tcW w:w="4205" w:type="dxa"/>
          </w:tcPr>
          <w:p w14:paraId="1C837E73"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7B96D3D2" w14:textId="77777777" w:rsidR="00DC6D9B" w:rsidRDefault="00DC6D9B" w:rsidP="00CD363C">
            <w:pPr>
              <w:pStyle w:val="TableParagraph"/>
              <w:ind w:left="137" w:right="124"/>
              <w:jc w:val="both"/>
              <w:rPr>
                <w:i/>
              </w:rPr>
            </w:pPr>
            <w:r>
              <w:rPr>
                <w:i/>
              </w:rPr>
              <w:t>4 597,31 EUR</w:t>
            </w:r>
          </w:p>
        </w:tc>
      </w:tr>
    </w:tbl>
    <w:p w14:paraId="63B19D73" w14:textId="77777777" w:rsidR="00DC6D9B" w:rsidRDefault="00DC6D9B" w:rsidP="00CD363C">
      <w:pPr>
        <w:spacing w:after="0" w:line="240" w:lineRule="auto"/>
        <w:ind w:right="124"/>
        <w:jc w:val="both"/>
        <w:sectPr w:rsidR="00DC6D9B">
          <w:footerReference w:type="default" r:id="rId74"/>
          <w:pgSz w:w="11910" w:h="16840"/>
          <w:pgMar w:top="860" w:right="500" w:bottom="1120" w:left="1080" w:header="0" w:footer="930" w:gutter="0"/>
          <w:pgNumType w:start="345"/>
          <w:cols w:space="720"/>
        </w:sectPr>
      </w:pPr>
    </w:p>
    <w:tbl>
      <w:tblPr>
        <w:tblW w:w="0" w:type="auto"/>
        <w:tblInd w:w="350" w:type="dxa"/>
        <w:tblLayout w:type="fixed"/>
        <w:tblCellMar>
          <w:left w:w="0" w:type="dxa"/>
          <w:right w:w="0" w:type="dxa"/>
        </w:tblCellMar>
        <w:tblLook w:val="01E0" w:firstRow="1" w:lastRow="1" w:firstColumn="1" w:lastColumn="1" w:noHBand="0" w:noVBand="0"/>
      </w:tblPr>
      <w:tblGrid>
        <w:gridCol w:w="996"/>
        <w:gridCol w:w="1662"/>
        <w:gridCol w:w="4250"/>
        <w:gridCol w:w="1703"/>
      </w:tblGrid>
      <w:tr w:rsidR="00DC6D9B" w14:paraId="76CF8218" w14:textId="77777777" w:rsidTr="00535ACC">
        <w:trPr>
          <w:trHeight w:val="287"/>
        </w:trPr>
        <w:tc>
          <w:tcPr>
            <w:tcW w:w="8611" w:type="dxa"/>
            <w:gridSpan w:val="4"/>
          </w:tcPr>
          <w:p w14:paraId="2FF22057" w14:textId="77777777" w:rsidR="00DC6D9B" w:rsidRDefault="00DC6D9B" w:rsidP="00CD363C">
            <w:pPr>
              <w:pStyle w:val="TableParagraph"/>
              <w:ind w:left="200" w:right="124"/>
              <w:jc w:val="both"/>
              <w:rPr>
                <w:i/>
              </w:rPr>
            </w:pPr>
            <w:r>
              <w:rPr>
                <w:i/>
              </w:rPr>
              <w:t>2021. gada beigās grāmatojums, atzīstot finanšu nomas īstermiņa daļu:</w:t>
            </w:r>
          </w:p>
        </w:tc>
      </w:tr>
      <w:tr w:rsidR="00DC6D9B" w14:paraId="724BA93A" w14:textId="77777777" w:rsidTr="00535ACC">
        <w:trPr>
          <w:trHeight w:val="332"/>
        </w:trPr>
        <w:tc>
          <w:tcPr>
            <w:tcW w:w="996" w:type="dxa"/>
          </w:tcPr>
          <w:p w14:paraId="11BEC06B" w14:textId="77777777" w:rsidR="00DC6D9B" w:rsidRDefault="00DC6D9B" w:rsidP="00CD363C">
            <w:pPr>
              <w:pStyle w:val="TableParagraph"/>
              <w:ind w:left="200" w:right="124"/>
              <w:jc w:val="both"/>
              <w:rPr>
                <w:i/>
              </w:rPr>
            </w:pPr>
            <w:r>
              <w:rPr>
                <w:i/>
              </w:rPr>
              <w:t>D</w:t>
            </w:r>
          </w:p>
        </w:tc>
        <w:tc>
          <w:tcPr>
            <w:tcW w:w="1662" w:type="dxa"/>
          </w:tcPr>
          <w:p w14:paraId="5DE87959" w14:textId="77777777" w:rsidR="00DC6D9B" w:rsidRDefault="00DC6D9B" w:rsidP="00CD363C">
            <w:pPr>
              <w:pStyle w:val="TableParagraph"/>
              <w:ind w:right="124"/>
              <w:jc w:val="both"/>
              <w:rPr>
                <w:i/>
              </w:rPr>
            </w:pPr>
            <w:r>
              <w:rPr>
                <w:i/>
              </w:rPr>
              <w:t>2315</w:t>
            </w:r>
          </w:p>
        </w:tc>
        <w:tc>
          <w:tcPr>
            <w:tcW w:w="4250" w:type="dxa"/>
          </w:tcPr>
          <w:p w14:paraId="3A84392D" w14:textId="77777777" w:rsidR="00DC6D9B" w:rsidRDefault="00DC6D9B" w:rsidP="00CD363C">
            <w:pPr>
              <w:pStyle w:val="TableParagraph"/>
              <w:ind w:left="523" w:right="124"/>
              <w:jc w:val="both"/>
              <w:rPr>
                <w:i/>
              </w:rPr>
            </w:pPr>
            <w:r>
              <w:rPr>
                <w:i/>
              </w:rPr>
              <w:t>Prasības par finanšu nomu</w:t>
            </w:r>
          </w:p>
        </w:tc>
        <w:tc>
          <w:tcPr>
            <w:tcW w:w="1703" w:type="dxa"/>
          </w:tcPr>
          <w:p w14:paraId="7D92581F" w14:textId="77777777" w:rsidR="00DC6D9B" w:rsidRDefault="00DC6D9B" w:rsidP="00CD363C">
            <w:pPr>
              <w:pStyle w:val="TableParagraph"/>
              <w:ind w:left="135" w:right="124"/>
              <w:jc w:val="both"/>
              <w:rPr>
                <w:i/>
              </w:rPr>
            </w:pPr>
            <w:r>
              <w:rPr>
                <w:i/>
              </w:rPr>
              <w:t>5 834,90 EUR</w:t>
            </w:r>
          </w:p>
        </w:tc>
      </w:tr>
      <w:tr w:rsidR="00DC6D9B" w14:paraId="5CE578AF" w14:textId="77777777" w:rsidTr="00535ACC">
        <w:trPr>
          <w:trHeight w:val="333"/>
        </w:trPr>
        <w:tc>
          <w:tcPr>
            <w:tcW w:w="996" w:type="dxa"/>
          </w:tcPr>
          <w:p w14:paraId="5BA7FB99" w14:textId="77777777" w:rsidR="00DC6D9B" w:rsidRDefault="00DC6D9B" w:rsidP="00CD363C">
            <w:pPr>
              <w:pStyle w:val="TableParagraph"/>
              <w:ind w:left="200" w:right="124"/>
              <w:jc w:val="both"/>
              <w:rPr>
                <w:i/>
              </w:rPr>
            </w:pPr>
            <w:r>
              <w:rPr>
                <w:i/>
              </w:rPr>
              <w:t>K</w:t>
            </w:r>
          </w:p>
        </w:tc>
        <w:tc>
          <w:tcPr>
            <w:tcW w:w="1662" w:type="dxa"/>
          </w:tcPr>
          <w:p w14:paraId="566BFB37" w14:textId="77777777" w:rsidR="00DC6D9B" w:rsidRDefault="00DC6D9B" w:rsidP="00CD363C">
            <w:pPr>
              <w:pStyle w:val="TableParagraph"/>
              <w:ind w:right="124"/>
              <w:jc w:val="both"/>
              <w:rPr>
                <w:i/>
              </w:rPr>
            </w:pPr>
            <w:r>
              <w:rPr>
                <w:i/>
              </w:rPr>
              <w:t>1421</w:t>
            </w:r>
          </w:p>
        </w:tc>
        <w:tc>
          <w:tcPr>
            <w:tcW w:w="4250" w:type="dxa"/>
          </w:tcPr>
          <w:p w14:paraId="079156A2" w14:textId="77777777" w:rsidR="00DC6D9B" w:rsidRDefault="00DC6D9B" w:rsidP="00CD363C">
            <w:pPr>
              <w:pStyle w:val="TableParagraph"/>
              <w:ind w:right="124"/>
              <w:jc w:val="both"/>
              <w:rPr>
                <w:i/>
              </w:rPr>
            </w:pPr>
            <w:r>
              <w:rPr>
                <w:i/>
              </w:rPr>
              <w:t>Ilgtermiņa prasības par finanšu nomu</w:t>
            </w:r>
          </w:p>
        </w:tc>
        <w:tc>
          <w:tcPr>
            <w:tcW w:w="1703" w:type="dxa"/>
          </w:tcPr>
          <w:p w14:paraId="6DB53CAC" w14:textId="77777777" w:rsidR="00DC6D9B" w:rsidRDefault="00DC6D9B" w:rsidP="00CD363C">
            <w:pPr>
              <w:pStyle w:val="TableParagraph"/>
              <w:ind w:left="135" w:right="124"/>
              <w:jc w:val="both"/>
              <w:rPr>
                <w:i/>
              </w:rPr>
            </w:pPr>
            <w:r>
              <w:rPr>
                <w:i/>
              </w:rPr>
              <w:t>5 834,90 EUR</w:t>
            </w:r>
          </w:p>
        </w:tc>
      </w:tr>
      <w:tr w:rsidR="00DC6D9B" w14:paraId="2B3F2101" w14:textId="77777777" w:rsidTr="00535ACC">
        <w:trPr>
          <w:trHeight w:val="333"/>
        </w:trPr>
        <w:tc>
          <w:tcPr>
            <w:tcW w:w="8611" w:type="dxa"/>
            <w:gridSpan w:val="4"/>
          </w:tcPr>
          <w:p w14:paraId="6A53C87C" w14:textId="77777777" w:rsidR="00DC6D9B" w:rsidRDefault="00DC6D9B" w:rsidP="00CD363C">
            <w:pPr>
              <w:pStyle w:val="TableParagraph"/>
              <w:ind w:left="200" w:right="124"/>
              <w:jc w:val="both"/>
              <w:rPr>
                <w:i/>
              </w:rPr>
            </w:pPr>
            <w:r>
              <w:rPr>
                <w:i/>
              </w:rPr>
              <w:t>2022. gada beigās grāmatojums, atzīstot finanšu ieņēmumus par finanšu nomu:</w:t>
            </w:r>
          </w:p>
        </w:tc>
      </w:tr>
      <w:tr w:rsidR="00DC6D9B" w14:paraId="1ACA2187" w14:textId="77777777" w:rsidTr="00535ACC">
        <w:trPr>
          <w:trHeight w:val="585"/>
        </w:trPr>
        <w:tc>
          <w:tcPr>
            <w:tcW w:w="996" w:type="dxa"/>
          </w:tcPr>
          <w:p w14:paraId="2FE1E2AE" w14:textId="77777777" w:rsidR="00DC6D9B" w:rsidRDefault="00DC6D9B" w:rsidP="00CD363C">
            <w:pPr>
              <w:pStyle w:val="TableParagraph"/>
              <w:ind w:left="200" w:right="124"/>
              <w:jc w:val="both"/>
              <w:rPr>
                <w:i/>
              </w:rPr>
            </w:pPr>
            <w:r>
              <w:rPr>
                <w:i/>
              </w:rPr>
              <w:t>D</w:t>
            </w:r>
          </w:p>
        </w:tc>
        <w:tc>
          <w:tcPr>
            <w:tcW w:w="1662" w:type="dxa"/>
          </w:tcPr>
          <w:p w14:paraId="07C1F359" w14:textId="77777777" w:rsidR="00DC6D9B" w:rsidRDefault="00DC6D9B" w:rsidP="00CD363C">
            <w:pPr>
              <w:pStyle w:val="TableParagraph"/>
              <w:ind w:left="636" w:right="124"/>
              <w:jc w:val="both"/>
              <w:rPr>
                <w:i/>
              </w:rPr>
            </w:pPr>
            <w:r>
              <w:rPr>
                <w:i/>
              </w:rPr>
              <w:t>2317</w:t>
            </w:r>
          </w:p>
        </w:tc>
        <w:tc>
          <w:tcPr>
            <w:tcW w:w="4250" w:type="dxa"/>
          </w:tcPr>
          <w:p w14:paraId="36A15168" w14:textId="77777777" w:rsidR="00DC6D9B" w:rsidRDefault="00DC6D9B" w:rsidP="00CD363C">
            <w:pPr>
              <w:pStyle w:val="TableParagraph"/>
              <w:tabs>
                <w:tab w:val="left" w:pos="1547"/>
                <w:tab w:val="left" w:pos="2092"/>
                <w:tab w:val="left" w:pos="3112"/>
                <w:tab w:val="left" w:pos="3572"/>
              </w:tabs>
              <w:ind w:left="523" w:right="124"/>
              <w:jc w:val="both"/>
              <w:rPr>
                <w:i/>
              </w:rPr>
            </w:pPr>
            <w:r>
              <w:rPr>
                <w:i/>
              </w:rPr>
              <w:t>Prasības</w:t>
            </w:r>
            <w:r>
              <w:rPr>
                <w:i/>
              </w:rPr>
              <w:tab/>
              <w:t>par</w:t>
            </w:r>
            <w:r>
              <w:rPr>
                <w:i/>
              </w:rPr>
              <w:tab/>
              <w:t>procentu</w:t>
            </w:r>
            <w:r>
              <w:rPr>
                <w:i/>
              </w:rPr>
              <w:tab/>
              <w:t>un</w:t>
            </w:r>
            <w:r>
              <w:rPr>
                <w:i/>
              </w:rPr>
              <w:tab/>
              <w:t>citiem maksājumiem</w:t>
            </w:r>
          </w:p>
        </w:tc>
        <w:tc>
          <w:tcPr>
            <w:tcW w:w="1703" w:type="dxa"/>
          </w:tcPr>
          <w:p w14:paraId="65BCE5D6" w14:textId="77777777" w:rsidR="00DC6D9B" w:rsidRDefault="00DC6D9B" w:rsidP="00CD363C">
            <w:pPr>
              <w:pStyle w:val="TableParagraph"/>
              <w:ind w:left="135" w:right="124"/>
              <w:jc w:val="both"/>
              <w:rPr>
                <w:i/>
              </w:rPr>
            </w:pPr>
            <w:r>
              <w:rPr>
                <w:i/>
              </w:rPr>
              <w:t>4 165,10 EUR</w:t>
            </w:r>
          </w:p>
        </w:tc>
      </w:tr>
      <w:tr w:rsidR="00DC6D9B" w14:paraId="041916C6" w14:textId="77777777" w:rsidTr="00535ACC">
        <w:trPr>
          <w:trHeight w:val="332"/>
        </w:trPr>
        <w:tc>
          <w:tcPr>
            <w:tcW w:w="996" w:type="dxa"/>
          </w:tcPr>
          <w:p w14:paraId="57750944" w14:textId="77777777" w:rsidR="00DC6D9B" w:rsidRDefault="00DC6D9B" w:rsidP="00CD363C">
            <w:pPr>
              <w:pStyle w:val="TableParagraph"/>
              <w:ind w:left="200" w:right="124"/>
              <w:jc w:val="both"/>
              <w:rPr>
                <w:i/>
              </w:rPr>
            </w:pPr>
            <w:r>
              <w:rPr>
                <w:i/>
              </w:rPr>
              <w:t>K</w:t>
            </w:r>
          </w:p>
        </w:tc>
        <w:tc>
          <w:tcPr>
            <w:tcW w:w="1662" w:type="dxa"/>
          </w:tcPr>
          <w:p w14:paraId="3FF14BA5" w14:textId="77777777" w:rsidR="00DC6D9B" w:rsidRDefault="00DC6D9B" w:rsidP="00CD363C">
            <w:pPr>
              <w:pStyle w:val="TableParagraph"/>
              <w:ind w:left="636" w:right="124"/>
              <w:jc w:val="both"/>
              <w:rPr>
                <w:i/>
              </w:rPr>
            </w:pPr>
            <w:r>
              <w:rPr>
                <w:i/>
              </w:rPr>
              <w:t>8120</w:t>
            </w:r>
          </w:p>
        </w:tc>
        <w:tc>
          <w:tcPr>
            <w:tcW w:w="4250" w:type="dxa"/>
          </w:tcPr>
          <w:p w14:paraId="26EFDFE5" w14:textId="77777777" w:rsidR="00DC6D9B" w:rsidRDefault="00DC6D9B" w:rsidP="00CD363C">
            <w:pPr>
              <w:pStyle w:val="TableParagraph"/>
              <w:ind w:left="523" w:right="124"/>
              <w:jc w:val="both"/>
              <w:rPr>
                <w:i/>
              </w:rPr>
            </w:pPr>
            <w:r>
              <w:rPr>
                <w:i/>
              </w:rPr>
              <w:t>Procentu ieņēmumi</w:t>
            </w:r>
          </w:p>
        </w:tc>
        <w:tc>
          <w:tcPr>
            <w:tcW w:w="1703" w:type="dxa"/>
          </w:tcPr>
          <w:p w14:paraId="5B6D1DB2" w14:textId="77777777" w:rsidR="00DC6D9B" w:rsidRDefault="00DC6D9B" w:rsidP="00CD363C">
            <w:pPr>
              <w:pStyle w:val="TableParagraph"/>
              <w:ind w:left="135" w:right="124"/>
              <w:jc w:val="both"/>
              <w:rPr>
                <w:i/>
              </w:rPr>
            </w:pPr>
            <w:r>
              <w:rPr>
                <w:i/>
              </w:rPr>
              <w:t>4 165,10 EUR</w:t>
            </w:r>
          </w:p>
        </w:tc>
      </w:tr>
      <w:tr w:rsidR="00DC6D9B" w14:paraId="6CE1158D" w14:textId="77777777" w:rsidTr="00535ACC">
        <w:trPr>
          <w:trHeight w:val="332"/>
        </w:trPr>
        <w:tc>
          <w:tcPr>
            <w:tcW w:w="8611" w:type="dxa"/>
            <w:gridSpan w:val="4"/>
          </w:tcPr>
          <w:p w14:paraId="518B6CFD" w14:textId="77777777" w:rsidR="00DC6D9B" w:rsidRDefault="00DC6D9B" w:rsidP="00CD363C">
            <w:pPr>
              <w:pStyle w:val="TableParagraph"/>
              <w:ind w:left="200" w:right="124"/>
              <w:jc w:val="both"/>
              <w:rPr>
                <w:i/>
              </w:rPr>
            </w:pPr>
            <w:r>
              <w:rPr>
                <w:i/>
              </w:rPr>
              <w:t>2022. gada beigās grāmatojums, saņemot maksājumu par finanšu nomu:</w:t>
            </w:r>
          </w:p>
        </w:tc>
      </w:tr>
      <w:tr w:rsidR="00DC6D9B" w14:paraId="498417BB" w14:textId="77777777" w:rsidTr="00535ACC">
        <w:trPr>
          <w:trHeight w:val="585"/>
        </w:trPr>
        <w:tc>
          <w:tcPr>
            <w:tcW w:w="996" w:type="dxa"/>
          </w:tcPr>
          <w:p w14:paraId="1204B4CB" w14:textId="77777777" w:rsidR="00DC6D9B" w:rsidRDefault="00DC6D9B" w:rsidP="00CD363C">
            <w:pPr>
              <w:pStyle w:val="TableParagraph"/>
              <w:ind w:left="200" w:right="124"/>
              <w:jc w:val="both"/>
              <w:rPr>
                <w:i/>
              </w:rPr>
            </w:pPr>
            <w:r>
              <w:rPr>
                <w:i/>
              </w:rPr>
              <w:t>D</w:t>
            </w:r>
          </w:p>
        </w:tc>
        <w:tc>
          <w:tcPr>
            <w:tcW w:w="1662" w:type="dxa"/>
          </w:tcPr>
          <w:p w14:paraId="599878E1" w14:textId="77777777" w:rsidR="00DC6D9B" w:rsidRDefault="00DC6D9B" w:rsidP="00CD363C">
            <w:pPr>
              <w:pStyle w:val="TableParagraph"/>
              <w:ind w:left="636" w:right="124"/>
              <w:jc w:val="both"/>
              <w:rPr>
                <w:i/>
              </w:rPr>
            </w:pPr>
            <w:r>
              <w:rPr>
                <w:i/>
              </w:rPr>
              <w:t>2620</w:t>
            </w:r>
          </w:p>
        </w:tc>
        <w:tc>
          <w:tcPr>
            <w:tcW w:w="4250" w:type="dxa"/>
          </w:tcPr>
          <w:p w14:paraId="4962453A" w14:textId="77777777" w:rsidR="00DC6D9B" w:rsidRDefault="00DC6D9B" w:rsidP="00CD363C">
            <w:pPr>
              <w:pStyle w:val="TableParagraph"/>
              <w:tabs>
                <w:tab w:val="left" w:pos="1792"/>
                <w:tab w:val="left" w:pos="2680"/>
                <w:tab w:val="left" w:pos="3666"/>
              </w:tabs>
              <w:ind w:left="523"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2"/>
              </w:rPr>
              <w:t xml:space="preserve"> </w:t>
            </w:r>
            <w:r>
              <w:rPr>
                <w:i/>
              </w:rPr>
              <w:t>institūcijās</w:t>
            </w:r>
          </w:p>
        </w:tc>
        <w:tc>
          <w:tcPr>
            <w:tcW w:w="1703" w:type="dxa"/>
          </w:tcPr>
          <w:p w14:paraId="5A0694B7" w14:textId="77777777" w:rsidR="00DC6D9B" w:rsidRDefault="00DC6D9B" w:rsidP="00CD363C">
            <w:pPr>
              <w:pStyle w:val="TableParagraph"/>
              <w:ind w:left="135" w:right="124"/>
              <w:jc w:val="both"/>
              <w:rPr>
                <w:i/>
              </w:rPr>
            </w:pPr>
            <w:r>
              <w:rPr>
                <w:i/>
              </w:rPr>
              <w:t>10 000,00 EUR</w:t>
            </w:r>
          </w:p>
        </w:tc>
      </w:tr>
      <w:tr w:rsidR="00DC6D9B" w14:paraId="596D630B" w14:textId="77777777" w:rsidTr="00535ACC">
        <w:trPr>
          <w:trHeight w:val="313"/>
        </w:trPr>
        <w:tc>
          <w:tcPr>
            <w:tcW w:w="996" w:type="dxa"/>
          </w:tcPr>
          <w:p w14:paraId="6B8F464F" w14:textId="77777777" w:rsidR="00DC6D9B" w:rsidRDefault="00DC6D9B" w:rsidP="00CD363C">
            <w:pPr>
              <w:pStyle w:val="TableParagraph"/>
              <w:ind w:left="200" w:right="124"/>
              <w:jc w:val="both"/>
              <w:rPr>
                <w:i/>
              </w:rPr>
            </w:pPr>
            <w:r>
              <w:rPr>
                <w:i/>
              </w:rPr>
              <w:t>K</w:t>
            </w:r>
          </w:p>
        </w:tc>
        <w:tc>
          <w:tcPr>
            <w:tcW w:w="1662" w:type="dxa"/>
          </w:tcPr>
          <w:p w14:paraId="72893BAF" w14:textId="77777777" w:rsidR="00DC6D9B" w:rsidRDefault="00DC6D9B" w:rsidP="00CD363C">
            <w:pPr>
              <w:pStyle w:val="TableParagraph"/>
              <w:ind w:left="636" w:right="124"/>
              <w:jc w:val="both"/>
              <w:rPr>
                <w:i/>
              </w:rPr>
            </w:pPr>
            <w:r>
              <w:rPr>
                <w:i/>
              </w:rPr>
              <w:t>2315</w:t>
            </w:r>
          </w:p>
        </w:tc>
        <w:tc>
          <w:tcPr>
            <w:tcW w:w="4250" w:type="dxa"/>
          </w:tcPr>
          <w:p w14:paraId="15C39380" w14:textId="77777777" w:rsidR="00DC6D9B" w:rsidRDefault="00DC6D9B" w:rsidP="00CD363C">
            <w:pPr>
              <w:pStyle w:val="TableParagraph"/>
              <w:ind w:left="523" w:right="124"/>
              <w:jc w:val="both"/>
              <w:rPr>
                <w:i/>
              </w:rPr>
            </w:pPr>
            <w:r>
              <w:rPr>
                <w:i/>
              </w:rPr>
              <w:t>Prasības par finanšu nomu</w:t>
            </w:r>
          </w:p>
        </w:tc>
        <w:tc>
          <w:tcPr>
            <w:tcW w:w="1703" w:type="dxa"/>
          </w:tcPr>
          <w:p w14:paraId="0AFE50C6" w14:textId="77777777" w:rsidR="00DC6D9B" w:rsidRDefault="00DC6D9B" w:rsidP="00CD363C">
            <w:pPr>
              <w:pStyle w:val="TableParagraph"/>
              <w:ind w:left="135" w:right="124"/>
              <w:jc w:val="both"/>
              <w:rPr>
                <w:i/>
              </w:rPr>
            </w:pPr>
            <w:r>
              <w:rPr>
                <w:i/>
              </w:rPr>
              <w:t>5 834,90 EUR</w:t>
            </w:r>
          </w:p>
        </w:tc>
      </w:tr>
      <w:tr w:rsidR="00DC6D9B" w14:paraId="7C463897" w14:textId="77777777" w:rsidTr="00535ACC">
        <w:trPr>
          <w:trHeight w:val="566"/>
        </w:trPr>
        <w:tc>
          <w:tcPr>
            <w:tcW w:w="996" w:type="dxa"/>
          </w:tcPr>
          <w:p w14:paraId="547D6FCA" w14:textId="77777777" w:rsidR="00DC6D9B" w:rsidRDefault="00DC6D9B" w:rsidP="00CD363C">
            <w:pPr>
              <w:pStyle w:val="TableParagraph"/>
              <w:ind w:left="200" w:right="124"/>
              <w:jc w:val="both"/>
              <w:rPr>
                <w:i/>
              </w:rPr>
            </w:pPr>
            <w:r>
              <w:rPr>
                <w:i/>
              </w:rPr>
              <w:t>K</w:t>
            </w:r>
          </w:p>
        </w:tc>
        <w:tc>
          <w:tcPr>
            <w:tcW w:w="1662" w:type="dxa"/>
          </w:tcPr>
          <w:p w14:paraId="6B368D91" w14:textId="77777777" w:rsidR="00DC6D9B" w:rsidRDefault="00DC6D9B" w:rsidP="00CD363C">
            <w:pPr>
              <w:pStyle w:val="TableParagraph"/>
              <w:ind w:left="636" w:right="124"/>
              <w:jc w:val="both"/>
              <w:rPr>
                <w:i/>
              </w:rPr>
            </w:pPr>
            <w:r>
              <w:rPr>
                <w:i/>
              </w:rPr>
              <w:t>2317</w:t>
            </w:r>
          </w:p>
        </w:tc>
        <w:tc>
          <w:tcPr>
            <w:tcW w:w="4250" w:type="dxa"/>
          </w:tcPr>
          <w:p w14:paraId="26E1F72D" w14:textId="77777777" w:rsidR="00DC6D9B" w:rsidRDefault="00DC6D9B" w:rsidP="00CD363C">
            <w:pPr>
              <w:pStyle w:val="TableParagraph"/>
              <w:tabs>
                <w:tab w:val="left" w:pos="1547"/>
                <w:tab w:val="left" w:pos="2092"/>
                <w:tab w:val="left" w:pos="3112"/>
                <w:tab w:val="left" w:pos="3572"/>
              </w:tabs>
              <w:ind w:left="523" w:right="124"/>
              <w:jc w:val="both"/>
              <w:rPr>
                <w:i/>
              </w:rPr>
            </w:pPr>
            <w:r>
              <w:rPr>
                <w:i/>
              </w:rPr>
              <w:t>Prasības</w:t>
            </w:r>
            <w:r>
              <w:rPr>
                <w:i/>
              </w:rPr>
              <w:tab/>
              <w:t>par</w:t>
            </w:r>
            <w:r>
              <w:rPr>
                <w:i/>
              </w:rPr>
              <w:tab/>
              <w:t>procentu</w:t>
            </w:r>
            <w:r>
              <w:rPr>
                <w:i/>
              </w:rPr>
              <w:tab/>
              <w:t>un</w:t>
            </w:r>
            <w:r>
              <w:rPr>
                <w:i/>
              </w:rPr>
              <w:tab/>
              <w:t>citiem maksājumiem</w:t>
            </w:r>
          </w:p>
        </w:tc>
        <w:tc>
          <w:tcPr>
            <w:tcW w:w="1703" w:type="dxa"/>
          </w:tcPr>
          <w:p w14:paraId="45D44ACB" w14:textId="77777777" w:rsidR="00DC6D9B" w:rsidRDefault="00DC6D9B" w:rsidP="00CD363C">
            <w:pPr>
              <w:pStyle w:val="TableParagraph"/>
              <w:ind w:left="135" w:right="124"/>
              <w:jc w:val="both"/>
              <w:rPr>
                <w:i/>
              </w:rPr>
            </w:pPr>
            <w:r>
              <w:rPr>
                <w:i/>
              </w:rPr>
              <w:t>4 165,10 EUR</w:t>
            </w:r>
          </w:p>
        </w:tc>
      </w:tr>
      <w:tr w:rsidR="00DC6D9B" w14:paraId="737D44E6" w14:textId="77777777" w:rsidTr="00535ACC">
        <w:trPr>
          <w:trHeight w:val="333"/>
        </w:trPr>
        <w:tc>
          <w:tcPr>
            <w:tcW w:w="8611" w:type="dxa"/>
            <w:gridSpan w:val="4"/>
          </w:tcPr>
          <w:p w14:paraId="2CF5F9CF" w14:textId="77777777" w:rsidR="00DC6D9B" w:rsidRDefault="00DC6D9B" w:rsidP="00CD363C">
            <w:pPr>
              <w:pStyle w:val="TableParagraph"/>
              <w:ind w:left="200" w:right="124"/>
              <w:jc w:val="both"/>
              <w:rPr>
                <w:i/>
              </w:rPr>
            </w:pPr>
            <w:r>
              <w:rPr>
                <w:i/>
              </w:rPr>
              <w:t>2022. gada beigās grāmatojums, atzīstot finanšu nomas īstermiņa daļu:</w:t>
            </w:r>
          </w:p>
        </w:tc>
      </w:tr>
      <w:tr w:rsidR="00DC6D9B" w14:paraId="5A3B0EE7" w14:textId="77777777" w:rsidTr="00535ACC">
        <w:trPr>
          <w:trHeight w:val="332"/>
        </w:trPr>
        <w:tc>
          <w:tcPr>
            <w:tcW w:w="996" w:type="dxa"/>
          </w:tcPr>
          <w:p w14:paraId="27C92F6E" w14:textId="77777777" w:rsidR="00DC6D9B" w:rsidRDefault="00DC6D9B" w:rsidP="00CD363C">
            <w:pPr>
              <w:pStyle w:val="TableParagraph"/>
              <w:ind w:left="200" w:right="124"/>
              <w:jc w:val="both"/>
              <w:rPr>
                <w:i/>
              </w:rPr>
            </w:pPr>
            <w:r>
              <w:rPr>
                <w:i/>
              </w:rPr>
              <w:t>D</w:t>
            </w:r>
          </w:p>
        </w:tc>
        <w:tc>
          <w:tcPr>
            <w:tcW w:w="1662" w:type="dxa"/>
          </w:tcPr>
          <w:p w14:paraId="6C2D5CCF" w14:textId="77777777" w:rsidR="00DC6D9B" w:rsidRDefault="00DC6D9B" w:rsidP="00CD363C">
            <w:pPr>
              <w:pStyle w:val="TableParagraph"/>
              <w:ind w:left="636" w:right="124"/>
              <w:jc w:val="both"/>
              <w:rPr>
                <w:i/>
              </w:rPr>
            </w:pPr>
            <w:r>
              <w:rPr>
                <w:i/>
              </w:rPr>
              <w:t>2315</w:t>
            </w:r>
          </w:p>
        </w:tc>
        <w:tc>
          <w:tcPr>
            <w:tcW w:w="4250" w:type="dxa"/>
          </w:tcPr>
          <w:p w14:paraId="234E66D7" w14:textId="77777777" w:rsidR="00DC6D9B" w:rsidRDefault="00DC6D9B" w:rsidP="00CD363C">
            <w:pPr>
              <w:pStyle w:val="TableParagraph"/>
              <w:ind w:left="523" w:right="124"/>
              <w:jc w:val="both"/>
              <w:rPr>
                <w:i/>
              </w:rPr>
            </w:pPr>
            <w:r>
              <w:rPr>
                <w:i/>
              </w:rPr>
              <w:t>Prasības par finanšu nomu</w:t>
            </w:r>
          </w:p>
        </w:tc>
        <w:tc>
          <w:tcPr>
            <w:tcW w:w="1703" w:type="dxa"/>
          </w:tcPr>
          <w:p w14:paraId="11CC007A" w14:textId="77777777" w:rsidR="00DC6D9B" w:rsidRDefault="00DC6D9B" w:rsidP="00CD363C">
            <w:pPr>
              <w:pStyle w:val="TableParagraph"/>
              <w:ind w:left="135" w:right="124"/>
              <w:jc w:val="both"/>
              <w:rPr>
                <w:i/>
              </w:rPr>
            </w:pPr>
            <w:r>
              <w:rPr>
                <w:i/>
              </w:rPr>
              <w:t>6 301,70 EUR</w:t>
            </w:r>
          </w:p>
        </w:tc>
      </w:tr>
      <w:tr w:rsidR="00DC6D9B" w14:paraId="456865E1" w14:textId="77777777" w:rsidTr="00535ACC">
        <w:trPr>
          <w:trHeight w:val="333"/>
        </w:trPr>
        <w:tc>
          <w:tcPr>
            <w:tcW w:w="996" w:type="dxa"/>
          </w:tcPr>
          <w:p w14:paraId="26B791CE" w14:textId="77777777" w:rsidR="00DC6D9B" w:rsidRDefault="00DC6D9B" w:rsidP="00CD363C">
            <w:pPr>
              <w:pStyle w:val="TableParagraph"/>
              <w:ind w:left="200" w:right="124"/>
              <w:jc w:val="both"/>
              <w:rPr>
                <w:i/>
              </w:rPr>
            </w:pPr>
            <w:r>
              <w:rPr>
                <w:i/>
              </w:rPr>
              <w:t>K</w:t>
            </w:r>
          </w:p>
        </w:tc>
        <w:tc>
          <w:tcPr>
            <w:tcW w:w="1662" w:type="dxa"/>
          </w:tcPr>
          <w:p w14:paraId="6B61562A" w14:textId="77777777" w:rsidR="00DC6D9B" w:rsidRDefault="00DC6D9B" w:rsidP="00CD363C">
            <w:pPr>
              <w:pStyle w:val="TableParagraph"/>
              <w:ind w:left="636" w:right="124"/>
              <w:jc w:val="both"/>
              <w:rPr>
                <w:i/>
              </w:rPr>
            </w:pPr>
            <w:r>
              <w:rPr>
                <w:i/>
              </w:rPr>
              <w:t>1421</w:t>
            </w:r>
          </w:p>
        </w:tc>
        <w:tc>
          <w:tcPr>
            <w:tcW w:w="4250" w:type="dxa"/>
          </w:tcPr>
          <w:p w14:paraId="10336A4B" w14:textId="77777777" w:rsidR="00DC6D9B" w:rsidRDefault="00DC6D9B" w:rsidP="00CD363C">
            <w:pPr>
              <w:pStyle w:val="TableParagraph"/>
              <w:ind w:right="124"/>
              <w:jc w:val="both"/>
              <w:rPr>
                <w:i/>
              </w:rPr>
            </w:pPr>
            <w:r>
              <w:rPr>
                <w:i/>
              </w:rPr>
              <w:t>Ilgtermiņa prasības par finanšu nomu</w:t>
            </w:r>
          </w:p>
        </w:tc>
        <w:tc>
          <w:tcPr>
            <w:tcW w:w="1703" w:type="dxa"/>
          </w:tcPr>
          <w:p w14:paraId="1F817B6A" w14:textId="77777777" w:rsidR="00DC6D9B" w:rsidRDefault="00DC6D9B" w:rsidP="00CD363C">
            <w:pPr>
              <w:pStyle w:val="TableParagraph"/>
              <w:ind w:left="135" w:right="124"/>
              <w:jc w:val="both"/>
              <w:rPr>
                <w:i/>
              </w:rPr>
            </w:pPr>
            <w:r>
              <w:rPr>
                <w:i/>
              </w:rPr>
              <w:t>6 301,70 EUR</w:t>
            </w:r>
          </w:p>
        </w:tc>
      </w:tr>
      <w:tr w:rsidR="00DC6D9B" w14:paraId="4E6458BC" w14:textId="77777777" w:rsidTr="00535ACC">
        <w:trPr>
          <w:trHeight w:val="333"/>
        </w:trPr>
        <w:tc>
          <w:tcPr>
            <w:tcW w:w="8611" w:type="dxa"/>
            <w:gridSpan w:val="4"/>
          </w:tcPr>
          <w:p w14:paraId="51193072" w14:textId="77777777" w:rsidR="00DC6D9B" w:rsidRDefault="00DC6D9B" w:rsidP="00CD363C">
            <w:pPr>
              <w:pStyle w:val="TableParagraph"/>
              <w:ind w:left="200" w:right="124"/>
              <w:jc w:val="both"/>
              <w:rPr>
                <w:i/>
              </w:rPr>
            </w:pPr>
            <w:r>
              <w:rPr>
                <w:i/>
              </w:rPr>
              <w:t>2023. gada beigās grāmatojums, atzīstot finanšu ieņēmumus par finanšu nomu:</w:t>
            </w:r>
          </w:p>
        </w:tc>
      </w:tr>
      <w:tr w:rsidR="00DC6D9B" w14:paraId="2735F71A" w14:textId="77777777" w:rsidTr="00535ACC">
        <w:trPr>
          <w:trHeight w:val="585"/>
        </w:trPr>
        <w:tc>
          <w:tcPr>
            <w:tcW w:w="996" w:type="dxa"/>
          </w:tcPr>
          <w:p w14:paraId="7AACFD89" w14:textId="77777777" w:rsidR="00DC6D9B" w:rsidRDefault="00DC6D9B" w:rsidP="00CD363C">
            <w:pPr>
              <w:pStyle w:val="TableParagraph"/>
              <w:ind w:left="200" w:right="124"/>
              <w:jc w:val="both"/>
              <w:rPr>
                <w:i/>
              </w:rPr>
            </w:pPr>
            <w:r>
              <w:rPr>
                <w:i/>
              </w:rPr>
              <w:t>D</w:t>
            </w:r>
          </w:p>
        </w:tc>
        <w:tc>
          <w:tcPr>
            <w:tcW w:w="1662" w:type="dxa"/>
          </w:tcPr>
          <w:p w14:paraId="5987576C" w14:textId="77777777" w:rsidR="00DC6D9B" w:rsidRDefault="00DC6D9B" w:rsidP="00CD363C">
            <w:pPr>
              <w:pStyle w:val="TableParagraph"/>
              <w:ind w:left="636" w:right="124"/>
              <w:jc w:val="both"/>
              <w:rPr>
                <w:i/>
              </w:rPr>
            </w:pPr>
            <w:r>
              <w:rPr>
                <w:i/>
              </w:rPr>
              <w:t>2317</w:t>
            </w:r>
          </w:p>
        </w:tc>
        <w:tc>
          <w:tcPr>
            <w:tcW w:w="4250" w:type="dxa"/>
          </w:tcPr>
          <w:p w14:paraId="38319E61" w14:textId="77777777" w:rsidR="00DC6D9B" w:rsidRDefault="00DC6D9B" w:rsidP="00CD363C">
            <w:pPr>
              <w:pStyle w:val="TableParagraph"/>
              <w:tabs>
                <w:tab w:val="left" w:pos="1547"/>
                <w:tab w:val="left" w:pos="2092"/>
                <w:tab w:val="left" w:pos="3112"/>
                <w:tab w:val="left" w:pos="3572"/>
              </w:tabs>
              <w:ind w:left="523" w:right="124"/>
              <w:jc w:val="both"/>
              <w:rPr>
                <w:i/>
              </w:rPr>
            </w:pPr>
            <w:r>
              <w:rPr>
                <w:i/>
              </w:rPr>
              <w:t>Prasības</w:t>
            </w:r>
            <w:r>
              <w:rPr>
                <w:i/>
              </w:rPr>
              <w:tab/>
              <w:t>par</w:t>
            </w:r>
            <w:r>
              <w:rPr>
                <w:i/>
              </w:rPr>
              <w:tab/>
              <w:t>procentu</w:t>
            </w:r>
            <w:r>
              <w:rPr>
                <w:i/>
              </w:rPr>
              <w:tab/>
              <w:t>un</w:t>
            </w:r>
            <w:r>
              <w:rPr>
                <w:i/>
              </w:rPr>
              <w:tab/>
              <w:t>citiem maksājumiem</w:t>
            </w:r>
          </w:p>
        </w:tc>
        <w:tc>
          <w:tcPr>
            <w:tcW w:w="1703" w:type="dxa"/>
          </w:tcPr>
          <w:p w14:paraId="6295C867" w14:textId="77777777" w:rsidR="00DC6D9B" w:rsidRDefault="00DC6D9B" w:rsidP="00CD363C">
            <w:pPr>
              <w:pStyle w:val="TableParagraph"/>
              <w:ind w:left="135" w:right="124"/>
              <w:jc w:val="both"/>
              <w:rPr>
                <w:i/>
              </w:rPr>
            </w:pPr>
            <w:r>
              <w:rPr>
                <w:i/>
              </w:rPr>
              <w:t>3 698,30 EUR</w:t>
            </w:r>
          </w:p>
        </w:tc>
      </w:tr>
      <w:tr w:rsidR="00DC6D9B" w14:paraId="137D29D0" w14:textId="77777777" w:rsidTr="00535ACC">
        <w:trPr>
          <w:trHeight w:val="332"/>
        </w:trPr>
        <w:tc>
          <w:tcPr>
            <w:tcW w:w="996" w:type="dxa"/>
          </w:tcPr>
          <w:p w14:paraId="5C55788F" w14:textId="77777777" w:rsidR="00DC6D9B" w:rsidRDefault="00DC6D9B" w:rsidP="00CD363C">
            <w:pPr>
              <w:pStyle w:val="TableParagraph"/>
              <w:ind w:left="200" w:right="124"/>
              <w:jc w:val="both"/>
              <w:rPr>
                <w:i/>
              </w:rPr>
            </w:pPr>
            <w:r>
              <w:rPr>
                <w:i/>
              </w:rPr>
              <w:t>K</w:t>
            </w:r>
          </w:p>
        </w:tc>
        <w:tc>
          <w:tcPr>
            <w:tcW w:w="1662" w:type="dxa"/>
          </w:tcPr>
          <w:p w14:paraId="55FEF72A" w14:textId="77777777" w:rsidR="00DC6D9B" w:rsidRDefault="00DC6D9B" w:rsidP="00CD363C">
            <w:pPr>
              <w:pStyle w:val="TableParagraph"/>
              <w:ind w:left="636" w:right="124"/>
              <w:jc w:val="both"/>
              <w:rPr>
                <w:i/>
              </w:rPr>
            </w:pPr>
            <w:r>
              <w:rPr>
                <w:i/>
              </w:rPr>
              <w:t>8120</w:t>
            </w:r>
          </w:p>
        </w:tc>
        <w:tc>
          <w:tcPr>
            <w:tcW w:w="4250" w:type="dxa"/>
          </w:tcPr>
          <w:p w14:paraId="315CF1B5" w14:textId="77777777" w:rsidR="00DC6D9B" w:rsidRDefault="00DC6D9B" w:rsidP="00CD363C">
            <w:pPr>
              <w:pStyle w:val="TableParagraph"/>
              <w:ind w:left="523" w:right="124"/>
              <w:jc w:val="both"/>
              <w:rPr>
                <w:i/>
              </w:rPr>
            </w:pPr>
            <w:r>
              <w:rPr>
                <w:i/>
              </w:rPr>
              <w:t>Procentu ieņēmumi</w:t>
            </w:r>
          </w:p>
        </w:tc>
        <w:tc>
          <w:tcPr>
            <w:tcW w:w="1703" w:type="dxa"/>
          </w:tcPr>
          <w:p w14:paraId="55B1725C" w14:textId="77777777" w:rsidR="00DC6D9B" w:rsidRDefault="00DC6D9B" w:rsidP="00CD363C">
            <w:pPr>
              <w:pStyle w:val="TableParagraph"/>
              <w:ind w:left="135" w:right="124"/>
              <w:jc w:val="both"/>
              <w:rPr>
                <w:i/>
              </w:rPr>
            </w:pPr>
            <w:r>
              <w:rPr>
                <w:i/>
              </w:rPr>
              <w:t>3 698,30 EUR</w:t>
            </w:r>
          </w:p>
        </w:tc>
      </w:tr>
      <w:tr w:rsidR="00DC6D9B" w14:paraId="489705D2" w14:textId="77777777" w:rsidTr="00535ACC">
        <w:trPr>
          <w:trHeight w:val="332"/>
        </w:trPr>
        <w:tc>
          <w:tcPr>
            <w:tcW w:w="8611" w:type="dxa"/>
            <w:gridSpan w:val="4"/>
          </w:tcPr>
          <w:p w14:paraId="43B9C3BD" w14:textId="77777777" w:rsidR="00DC6D9B" w:rsidRDefault="00DC6D9B" w:rsidP="00CD363C">
            <w:pPr>
              <w:pStyle w:val="TableParagraph"/>
              <w:ind w:left="200" w:right="124"/>
              <w:jc w:val="both"/>
              <w:rPr>
                <w:i/>
              </w:rPr>
            </w:pPr>
            <w:r>
              <w:rPr>
                <w:i/>
              </w:rPr>
              <w:t>2023. gada beigās grāmatojums, saņemot maksājumu par finanšu nomu:</w:t>
            </w:r>
          </w:p>
        </w:tc>
      </w:tr>
      <w:tr w:rsidR="00DC6D9B" w14:paraId="1D1E4C9B" w14:textId="77777777" w:rsidTr="00535ACC">
        <w:trPr>
          <w:trHeight w:val="585"/>
        </w:trPr>
        <w:tc>
          <w:tcPr>
            <w:tcW w:w="996" w:type="dxa"/>
          </w:tcPr>
          <w:p w14:paraId="64C73329" w14:textId="77777777" w:rsidR="00DC6D9B" w:rsidRDefault="00DC6D9B" w:rsidP="00CD363C">
            <w:pPr>
              <w:pStyle w:val="TableParagraph"/>
              <w:ind w:left="200" w:right="124"/>
              <w:jc w:val="both"/>
              <w:rPr>
                <w:i/>
              </w:rPr>
            </w:pPr>
            <w:r>
              <w:rPr>
                <w:i/>
              </w:rPr>
              <w:t>D</w:t>
            </w:r>
          </w:p>
        </w:tc>
        <w:tc>
          <w:tcPr>
            <w:tcW w:w="1662" w:type="dxa"/>
          </w:tcPr>
          <w:p w14:paraId="49029EFC" w14:textId="77777777" w:rsidR="00DC6D9B" w:rsidRDefault="00DC6D9B" w:rsidP="00CD363C">
            <w:pPr>
              <w:pStyle w:val="TableParagraph"/>
              <w:ind w:left="636" w:right="124"/>
              <w:jc w:val="both"/>
              <w:rPr>
                <w:i/>
              </w:rPr>
            </w:pPr>
            <w:r>
              <w:rPr>
                <w:i/>
              </w:rPr>
              <w:t>2620</w:t>
            </w:r>
          </w:p>
        </w:tc>
        <w:tc>
          <w:tcPr>
            <w:tcW w:w="4250" w:type="dxa"/>
          </w:tcPr>
          <w:p w14:paraId="049A0364" w14:textId="77777777" w:rsidR="00DC6D9B" w:rsidRDefault="00DC6D9B" w:rsidP="00CD363C">
            <w:pPr>
              <w:pStyle w:val="TableParagraph"/>
              <w:tabs>
                <w:tab w:val="left" w:pos="1792"/>
                <w:tab w:val="left" w:pos="2680"/>
                <w:tab w:val="left" w:pos="3666"/>
              </w:tabs>
              <w:ind w:left="523"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3" w:type="dxa"/>
          </w:tcPr>
          <w:p w14:paraId="2380BEA4" w14:textId="77777777" w:rsidR="00DC6D9B" w:rsidRDefault="00DC6D9B" w:rsidP="00CD363C">
            <w:pPr>
              <w:pStyle w:val="TableParagraph"/>
              <w:ind w:left="135" w:right="124"/>
              <w:jc w:val="both"/>
              <w:rPr>
                <w:i/>
              </w:rPr>
            </w:pPr>
            <w:r>
              <w:rPr>
                <w:i/>
              </w:rPr>
              <w:t>10 000,00 EUR</w:t>
            </w:r>
          </w:p>
        </w:tc>
      </w:tr>
      <w:tr w:rsidR="00DC6D9B" w14:paraId="4E1E0187" w14:textId="77777777" w:rsidTr="00535ACC">
        <w:trPr>
          <w:trHeight w:val="313"/>
        </w:trPr>
        <w:tc>
          <w:tcPr>
            <w:tcW w:w="996" w:type="dxa"/>
          </w:tcPr>
          <w:p w14:paraId="2E6DA489" w14:textId="77777777" w:rsidR="00DC6D9B" w:rsidRDefault="00DC6D9B" w:rsidP="00CD363C">
            <w:pPr>
              <w:pStyle w:val="TableParagraph"/>
              <w:ind w:left="200" w:right="124"/>
              <w:jc w:val="both"/>
              <w:rPr>
                <w:i/>
              </w:rPr>
            </w:pPr>
            <w:r>
              <w:rPr>
                <w:i/>
              </w:rPr>
              <w:t>K</w:t>
            </w:r>
          </w:p>
        </w:tc>
        <w:tc>
          <w:tcPr>
            <w:tcW w:w="1662" w:type="dxa"/>
          </w:tcPr>
          <w:p w14:paraId="3F4DE786" w14:textId="77777777" w:rsidR="00DC6D9B" w:rsidRDefault="00DC6D9B" w:rsidP="00CD363C">
            <w:pPr>
              <w:pStyle w:val="TableParagraph"/>
              <w:ind w:left="636" w:right="124"/>
              <w:jc w:val="both"/>
              <w:rPr>
                <w:i/>
              </w:rPr>
            </w:pPr>
            <w:r>
              <w:rPr>
                <w:i/>
              </w:rPr>
              <w:t>2315</w:t>
            </w:r>
          </w:p>
        </w:tc>
        <w:tc>
          <w:tcPr>
            <w:tcW w:w="4250" w:type="dxa"/>
          </w:tcPr>
          <w:p w14:paraId="2AB7CBA9" w14:textId="77777777" w:rsidR="00DC6D9B" w:rsidRDefault="00DC6D9B" w:rsidP="00CD363C">
            <w:pPr>
              <w:pStyle w:val="TableParagraph"/>
              <w:ind w:left="523" w:right="124"/>
              <w:jc w:val="both"/>
              <w:rPr>
                <w:i/>
              </w:rPr>
            </w:pPr>
            <w:r>
              <w:rPr>
                <w:i/>
              </w:rPr>
              <w:t>Prasības par finanšu nomu</w:t>
            </w:r>
          </w:p>
        </w:tc>
        <w:tc>
          <w:tcPr>
            <w:tcW w:w="1703" w:type="dxa"/>
          </w:tcPr>
          <w:p w14:paraId="680CCCE9" w14:textId="77777777" w:rsidR="00DC6D9B" w:rsidRDefault="00DC6D9B" w:rsidP="00CD363C">
            <w:pPr>
              <w:pStyle w:val="TableParagraph"/>
              <w:ind w:left="135" w:right="124"/>
              <w:jc w:val="both"/>
              <w:rPr>
                <w:i/>
              </w:rPr>
            </w:pPr>
            <w:r>
              <w:rPr>
                <w:i/>
              </w:rPr>
              <w:t>6 301,70 EUR</w:t>
            </w:r>
          </w:p>
        </w:tc>
      </w:tr>
      <w:tr w:rsidR="00DC6D9B" w14:paraId="44DDED53" w14:textId="77777777" w:rsidTr="00535ACC">
        <w:trPr>
          <w:trHeight w:val="566"/>
        </w:trPr>
        <w:tc>
          <w:tcPr>
            <w:tcW w:w="996" w:type="dxa"/>
          </w:tcPr>
          <w:p w14:paraId="702D6DAF" w14:textId="77777777" w:rsidR="00DC6D9B" w:rsidRDefault="00DC6D9B" w:rsidP="00CD363C">
            <w:pPr>
              <w:pStyle w:val="TableParagraph"/>
              <w:ind w:left="200" w:right="124"/>
              <w:jc w:val="both"/>
              <w:rPr>
                <w:i/>
              </w:rPr>
            </w:pPr>
            <w:r>
              <w:rPr>
                <w:i/>
              </w:rPr>
              <w:t>K</w:t>
            </w:r>
          </w:p>
        </w:tc>
        <w:tc>
          <w:tcPr>
            <w:tcW w:w="1662" w:type="dxa"/>
          </w:tcPr>
          <w:p w14:paraId="19D5C405" w14:textId="77777777" w:rsidR="00DC6D9B" w:rsidRDefault="00DC6D9B" w:rsidP="00CD363C">
            <w:pPr>
              <w:pStyle w:val="TableParagraph"/>
              <w:ind w:left="636" w:right="124"/>
              <w:jc w:val="both"/>
              <w:rPr>
                <w:i/>
              </w:rPr>
            </w:pPr>
            <w:r>
              <w:rPr>
                <w:i/>
              </w:rPr>
              <w:t>2317</w:t>
            </w:r>
          </w:p>
        </w:tc>
        <w:tc>
          <w:tcPr>
            <w:tcW w:w="4250" w:type="dxa"/>
          </w:tcPr>
          <w:p w14:paraId="38CDA798" w14:textId="77777777" w:rsidR="00DC6D9B" w:rsidRDefault="00DC6D9B" w:rsidP="00CD363C">
            <w:pPr>
              <w:pStyle w:val="TableParagraph"/>
              <w:ind w:left="523" w:right="124"/>
              <w:jc w:val="both"/>
              <w:rPr>
                <w:i/>
              </w:rPr>
            </w:pPr>
            <w:r>
              <w:rPr>
                <w:i/>
              </w:rPr>
              <w:t>Prasības par procentiem un citiem maksājumiem</w:t>
            </w:r>
          </w:p>
        </w:tc>
        <w:tc>
          <w:tcPr>
            <w:tcW w:w="1703" w:type="dxa"/>
          </w:tcPr>
          <w:p w14:paraId="44A33967" w14:textId="77777777" w:rsidR="00DC6D9B" w:rsidRDefault="00DC6D9B" w:rsidP="00CD363C">
            <w:pPr>
              <w:pStyle w:val="TableParagraph"/>
              <w:ind w:left="135" w:right="124"/>
              <w:jc w:val="both"/>
              <w:rPr>
                <w:i/>
              </w:rPr>
            </w:pPr>
            <w:r>
              <w:rPr>
                <w:i/>
              </w:rPr>
              <w:t>3 698,30 EUR</w:t>
            </w:r>
          </w:p>
        </w:tc>
      </w:tr>
      <w:tr w:rsidR="00DC6D9B" w14:paraId="6FEC6D67" w14:textId="77777777" w:rsidTr="00535ACC">
        <w:trPr>
          <w:trHeight w:val="333"/>
        </w:trPr>
        <w:tc>
          <w:tcPr>
            <w:tcW w:w="8611" w:type="dxa"/>
            <w:gridSpan w:val="4"/>
          </w:tcPr>
          <w:p w14:paraId="10E658E1" w14:textId="77777777" w:rsidR="00DC6D9B" w:rsidRDefault="00DC6D9B" w:rsidP="00CD363C">
            <w:pPr>
              <w:pStyle w:val="TableParagraph"/>
              <w:ind w:left="200" w:right="124"/>
              <w:jc w:val="both"/>
              <w:rPr>
                <w:i/>
              </w:rPr>
            </w:pPr>
            <w:r>
              <w:rPr>
                <w:i/>
              </w:rPr>
              <w:t>2023. gada beigās grāmatojums, atzīstot finanšu nomas īstermiņa daļu:</w:t>
            </w:r>
          </w:p>
        </w:tc>
      </w:tr>
      <w:tr w:rsidR="00DC6D9B" w14:paraId="775E5E9A" w14:textId="77777777" w:rsidTr="00535ACC">
        <w:trPr>
          <w:trHeight w:val="332"/>
        </w:trPr>
        <w:tc>
          <w:tcPr>
            <w:tcW w:w="996" w:type="dxa"/>
          </w:tcPr>
          <w:p w14:paraId="5C2DF510" w14:textId="77777777" w:rsidR="00DC6D9B" w:rsidRDefault="00DC6D9B" w:rsidP="00CD363C">
            <w:pPr>
              <w:pStyle w:val="TableParagraph"/>
              <w:ind w:left="200" w:right="124"/>
              <w:jc w:val="both"/>
              <w:rPr>
                <w:i/>
              </w:rPr>
            </w:pPr>
            <w:r>
              <w:rPr>
                <w:i/>
              </w:rPr>
              <w:t>D</w:t>
            </w:r>
          </w:p>
        </w:tc>
        <w:tc>
          <w:tcPr>
            <w:tcW w:w="1662" w:type="dxa"/>
          </w:tcPr>
          <w:p w14:paraId="6A1F4F56" w14:textId="77777777" w:rsidR="00DC6D9B" w:rsidRDefault="00DC6D9B" w:rsidP="00CD363C">
            <w:pPr>
              <w:pStyle w:val="TableParagraph"/>
              <w:ind w:left="636" w:right="124"/>
              <w:jc w:val="both"/>
              <w:rPr>
                <w:i/>
              </w:rPr>
            </w:pPr>
            <w:r>
              <w:rPr>
                <w:i/>
              </w:rPr>
              <w:t>2315</w:t>
            </w:r>
          </w:p>
        </w:tc>
        <w:tc>
          <w:tcPr>
            <w:tcW w:w="4250" w:type="dxa"/>
          </w:tcPr>
          <w:p w14:paraId="4E337EFE" w14:textId="77777777" w:rsidR="00DC6D9B" w:rsidRDefault="00DC6D9B" w:rsidP="00CD363C">
            <w:pPr>
              <w:pStyle w:val="TableParagraph"/>
              <w:ind w:left="523" w:right="124"/>
              <w:jc w:val="both"/>
              <w:rPr>
                <w:i/>
              </w:rPr>
            </w:pPr>
            <w:r>
              <w:rPr>
                <w:i/>
              </w:rPr>
              <w:t>Prasības par finanšu nomu</w:t>
            </w:r>
          </w:p>
        </w:tc>
        <w:tc>
          <w:tcPr>
            <w:tcW w:w="1703" w:type="dxa"/>
          </w:tcPr>
          <w:p w14:paraId="289BAD91" w14:textId="77777777" w:rsidR="00DC6D9B" w:rsidRDefault="00DC6D9B" w:rsidP="00CD363C">
            <w:pPr>
              <w:pStyle w:val="TableParagraph"/>
              <w:ind w:left="135" w:right="124"/>
              <w:jc w:val="both"/>
              <w:rPr>
                <w:i/>
              </w:rPr>
            </w:pPr>
            <w:r>
              <w:rPr>
                <w:i/>
              </w:rPr>
              <w:t>6 805,83 EUR</w:t>
            </w:r>
          </w:p>
        </w:tc>
      </w:tr>
      <w:tr w:rsidR="00DC6D9B" w14:paraId="5600FFEB" w14:textId="77777777" w:rsidTr="00535ACC">
        <w:trPr>
          <w:trHeight w:val="333"/>
        </w:trPr>
        <w:tc>
          <w:tcPr>
            <w:tcW w:w="996" w:type="dxa"/>
          </w:tcPr>
          <w:p w14:paraId="7A602C5C" w14:textId="77777777" w:rsidR="00DC6D9B" w:rsidRDefault="00DC6D9B" w:rsidP="00CD363C">
            <w:pPr>
              <w:pStyle w:val="TableParagraph"/>
              <w:ind w:left="200" w:right="124"/>
              <w:jc w:val="both"/>
              <w:rPr>
                <w:i/>
              </w:rPr>
            </w:pPr>
            <w:r>
              <w:rPr>
                <w:i/>
              </w:rPr>
              <w:t>K</w:t>
            </w:r>
          </w:p>
        </w:tc>
        <w:tc>
          <w:tcPr>
            <w:tcW w:w="1662" w:type="dxa"/>
          </w:tcPr>
          <w:p w14:paraId="5692AD59" w14:textId="77777777" w:rsidR="00DC6D9B" w:rsidRDefault="00DC6D9B" w:rsidP="00CD363C">
            <w:pPr>
              <w:pStyle w:val="TableParagraph"/>
              <w:ind w:left="636" w:right="124"/>
              <w:jc w:val="both"/>
              <w:rPr>
                <w:i/>
              </w:rPr>
            </w:pPr>
            <w:r>
              <w:rPr>
                <w:i/>
              </w:rPr>
              <w:t>1421</w:t>
            </w:r>
          </w:p>
        </w:tc>
        <w:tc>
          <w:tcPr>
            <w:tcW w:w="4250" w:type="dxa"/>
          </w:tcPr>
          <w:p w14:paraId="541106C6" w14:textId="77777777" w:rsidR="00DC6D9B" w:rsidRDefault="00DC6D9B" w:rsidP="00CD363C">
            <w:pPr>
              <w:pStyle w:val="TableParagraph"/>
              <w:ind w:right="124"/>
              <w:jc w:val="both"/>
              <w:rPr>
                <w:i/>
              </w:rPr>
            </w:pPr>
            <w:r>
              <w:rPr>
                <w:i/>
              </w:rPr>
              <w:t>Ilgtermiņa prasības par finanšu nomu</w:t>
            </w:r>
          </w:p>
        </w:tc>
        <w:tc>
          <w:tcPr>
            <w:tcW w:w="1703" w:type="dxa"/>
          </w:tcPr>
          <w:p w14:paraId="2C3DB2CC" w14:textId="77777777" w:rsidR="00DC6D9B" w:rsidRDefault="00DC6D9B" w:rsidP="00CD363C">
            <w:pPr>
              <w:pStyle w:val="TableParagraph"/>
              <w:ind w:left="135" w:right="124"/>
              <w:jc w:val="both"/>
              <w:rPr>
                <w:i/>
              </w:rPr>
            </w:pPr>
            <w:r>
              <w:rPr>
                <w:i/>
              </w:rPr>
              <w:t>6 805,83 EUR</w:t>
            </w:r>
          </w:p>
        </w:tc>
      </w:tr>
      <w:tr w:rsidR="00DC6D9B" w14:paraId="245293D0" w14:textId="77777777" w:rsidTr="00535ACC">
        <w:trPr>
          <w:trHeight w:val="332"/>
        </w:trPr>
        <w:tc>
          <w:tcPr>
            <w:tcW w:w="8611" w:type="dxa"/>
            <w:gridSpan w:val="4"/>
          </w:tcPr>
          <w:p w14:paraId="7F66C2F8" w14:textId="77777777" w:rsidR="00DC6D9B" w:rsidRDefault="00DC6D9B" w:rsidP="00CD363C">
            <w:pPr>
              <w:pStyle w:val="TableParagraph"/>
              <w:ind w:left="200" w:right="124"/>
              <w:jc w:val="both"/>
              <w:rPr>
                <w:i/>
              </w:rPr>
            </w:pPr>
            <w:r>
              <w:rPr>
                <w:i/>
              </w:rPr>
              <w:t>2024. gada beigās grāmatojums, atzīstot finanšu ieņēmumus par finanšu nomu:</w:t>
            </w:r>
          </w:p>
        </w:tc>
      </w:tr>
      <w:tr w:rsidR="00DC6D9B" w14:paraId="74ED3750" w14:textId="77777777" w:rsidTr="00535ACC">
        <w:trPr>
          <w:trHeight w:val="586"/>
        </w:trPr>
        <w:tc>
          <w:tcPr>
            <w:tcW w:w="996" w:type="dxa"/>
          </w:tcPr>
          <w:p w14:paraId="0EFD65D0" w14:textId="77777777" w:rsidR="00DC6D9B" w:rsidRDefault="00DC6D9B" w:rsidP="00CD363C">
            <w:pPr>
              <w:pStyle w:val="TableParagraph"/>
              <w:ind w:left="200" w:right="124"/>
              <w:jc w:val="both"/>
              <w:rPr>
                <w:i/>
              </w:rPr>
            </w:pPr>
            <w:r>
              <w:rPr>
                <w:i/>
              </w:rPr>
              <w:t>D</w:t>
            </w:r>
          </w:p>
        </w:tc>
        <w:tc>
          <w:tcPr>
            <w:tcW w:w="1662" w:type="dxa"/>
          </w:tcPr>
          <w:p w14:paraId="2A378879" w14:textId="77777777" w:rsidR="00DC6D9B" w:rsidRDefault="00DC6D9B" w:rsidP="00CD363C">
            <w:pPr>
              <w:pStyle w:val="TableParagraph"/>
              <w:ind w:left="636" w:right="124"/>
              <w:jc w:val="both"/>
              <w:rPr>
                <w:i/>
              </w:rPr>
            </w:pPr>
            <w:r>
              <w:rPr>
                <w:i/>
              </w:rPr>
              <w:t>2317</w:t>
            </w:r>
          </w:p>
        </w:tc>
        <w:tc>
          <w:tcPr>
            <w:tcW w:w="4250" w:type="dxa"/>
          </w:tcPr>
          <w:p w14:paraId="2F7B4E5E" w14:textId="77777777" w:rsidR="00DC6D9B" w:rsidRDefault="00DC6D9B" w:rsidP="00CD363C">
            <w:pPr>
              <w:pStyle w:val="TableParagraph"/>
              <w:ind w:left="523" w:right="124"/>
              <w:jc w:val="both"/>
              <w:rPr>
                <w:i/>
              </w:rPr>
            </w:pPr>
            <w:r>
              <w:rPr>
                <w:i/>
              </w:rPr>
              <w:t>Prasības par procentiem un citiem maksājumiem</w:t>
            </w:r>
          </w:p>
        </w:tc>
        <w:tc>
          <w:tcPr>
            <w:tcW w:w="1703" w:type="dxa"/>
          </w:tcPr>
          <w:p w14:paraId="287A3FC5" w14:textId="77777777" w:rsidR="00DC6D9B" w:rsidRDefault="00DC6D9B" w:rsidP="00CD363C">
            <w:pPr>
              <w:pStyle w:val="TableParagraph"/>
              <w:ind w:left="135" w:right="124"/>
              <w:jc w:val="both"/>
              <w:rPr>
                <w:i/>
              </w:rPr>
            </w:pPr>
            <w:r>
              <w:rPr>
                <w:i/>
              </w:rPr>
              <w:t>3 194,17 EUR</w:t>
            </w:r>
          </w:p>
        </w:tc>
      </w:tr>
      <w:tr w:rsidR="00DC6D9B" w14:paraId="0FF0C18B" w14:textId="77777777" w:rsidTr="00535ACC">
        <w:trPr>
          <w:trHeight w:val="332"/>
        </w:trPr>
        <w:tc>
          <w:tcPr>
            <w:tcW w:w="996" w:type="dxa"/>
          </w:tcPr>
          <w:p w14:paraId="4B6FF498" w14:textId="77777777" w:rsidR="00DC6D9B" w:rsidRDefault="00DC6D9B" w:rsidP="00CD363C">
            <w:pPr>
              <w:pStyle w:val="TableParagraph"/>
              <w:ind w:left="200" w:right="124"/>
              <w:jc w:val="both"/>
              <w:rPr>
                <w:i/>
              </w:rPr>
            </w:pPr>
            <w:r>
              <w:rPr>
                <w:i/>
              </w:rPr>
              <w:t>K</w:t>
            </w:r>
          </w:p>
        </w:tc>
        <w:tc>
          <w:tcPr>
            <w:tcW w:w="1662" w:type="dxa"/>
          </w:tcPr>
          <w:p w14:paraId="210740DD" w14:textId="77777777" w:rsidR="00DC6D9B" w:rsidRDefault="00DC6D9B" w:rsidP="00CD363C">
            <w:pPr>
              <w:pStyle w:val="TableParagraph"/>
              <w:ind w:left="636" w:right="124"/>
              <w:jc w:val="both"/>
              <w:rPr>
                <w:i/>
              </w:rPr>
            </w:pPr>
            <w:r>
              <w:rPr>
                <w:i/>
              </w:rPr>
              <w:t>8120</w:t>
            </w:r>
          </w:p>
        </w:tc>
        <w:tc>
          <w:tcPr>
            <w:tcW w:w="4250" w:type="dxa"/>
          </w:tcPr>
          <w:p w14:paraId="2E50295D" w14:textId="77777777" w:rsidR="00DC6D9B" w:rsidRDefault="00DC6D9B" w:rsidP="00CD363C">
            <w:pPr>
              <w:pStyle w:val="TableParagraph"/>
              <w:ind w:left="523" w:right="124"/>
              <w:jc w:val="both"/>
              <w:rPr>
                <w:i/>
              </w:rPr>
            </w:pPr>
            <w:r>
              <w:rPr>
                <w:i/>
              </w:rPr>
              <w:t>Procentu ieņēmumi</w:t>
            </w:r>
          </w:p>
        </w:tc>
        <w:tc>
          <w:tcPr>
            <w:tcW w:w="1703" w:type="dxa"/>
          </w:tcPr>
          <w:p w14:paraId="544FAEC6" w14:textId="77777777" w:rsidR="00DC6D9B" w:rsidRDefault="00DC6D9B" w:rsidP="00CD363C">
            <w:pPr>
              <w:pStyle w:val="TableParagraph"/>
              <w:ind w:left="135" w:right="124"/>
              <w:jc w:val="both"/>
              <w:rPr>
                <w:i/>
              </w:rPr>
            </w:pPr>
            <w:r>
              <w:rPr>
                <w:i/>
              </w:rPr>
              <w:t>3 194,17 EUR</w:t>
            </w:r>
          </w:p>
        </w:tc>
      </w:tr>
      <w:tr w:rsidR="00DC6D9B" w14:paraId="30A14522" w14:textId="77777777" w:rsidTr="00535ACC">
        <w:trPr>
          <w:trHeight w:val="332"/>
        </w:trPr>
        <w:tc>
          <w:tcPr>
            <w:tcW w:w="8611" w:type="dxa"/>
            <w:gridSpan w:val="4"/>
          </w:tcPr>
          <w:p w14:paraId="223D9C48" w14:textId="77777777" w:rsidR="00DC6D9B" w:rsidRDefault="00DC6D9B" w:rsidP="00CD363C">
            <w:pPr>
              <w:pStyle w:val="TableParagraph"/>
              <w:ind w:left="200" w:right="124"/>
              <w:jc w:val="both"/>
              <w:rPr>
                <w:i/>
              </w:rPr>
            </w:pPr>
            <w:r>
              <w:rPr>
                <w:i/>
              </w:rPr>
              <w:t>2024. gada beigās grāmatojums, saņemot maksājumu par finanšu nomu:</w:t>
            </w:r>
          </w:p>
        </w:tc>
      </w:tr>
      <w:tr w:rsidR="00DC6D9B" w14:paraId="75D862A4" w14:textId="77777777" w:rsidTr="00535ACC">
        <w:trPr>
          <w:trHeight w:val="585"/>
        </w:trPr>
        <w:tc>
          <w:tcPr>
            <w:tcW w:w="996" w:type="dxa"/>
          </w:tcPr>
          <w:p w14:paraId="35E5EE10" w14:textId="77777777" w:rsidR="00DC6D9B" w:rsidRDefault="00DC6D9B" w:rsidP="00CD363C">
            <w:pPr>
              <w:pStyle w:val="TableParagraph"/>
              <w:ind w:left="200" w:right="124"/>
              <w:jc w:val="both"/>
              <w:rPr>
                <w:i/>
              </w:rPr>
            </w:pPr>
            <w:r>
              <w:rPr>
                <w:i/>
              </w:rPr>
              <w:t>D</w:t>
            </w:r>
          </w:p>
        </w:tc>
        <w:tc>
          <w:tcPr>
            <w:tcW w:w="1662" w:type="dxa"/>
          </w:tcPr>
          <w:p w14:paraId="50EAA4F1" w14:textId="77777777" w:rsidR="00DC6D9B" w:rsidRDefault="00DC6D9B" w:rsidP="00CD363C">
            <w:pPr>
              <w:pStyle w:val="TableParagraph"/>
              <w:ind w:left="636" w:right="124"/>
              <w:jc w:val="both"/>
              <w:rPr>
                <w:i/>
              </w:rPr>
            </w:pPr>
            <w:r>
              <w:rPr>
                <w:i/>
              </w:rPr>
              <w:t>2620</w:t>
            </w:r>
          </w:p>
        </w:tc>
        <w:tc>
          <w:tcPr>
            <w:tcW w:w="4250" w:type="dxa"/>
          </w:tcPr>
          <w:p w14:paraId="54C6962E" w14:textId="77777777" w:rsidR="00DC6D9B" w:rsidRDefault="00DC6D9B" w:rsidP="00CD363C">
            <w:pPr>
              <w:pStyle w:val="TableParagraph"/>
              <w:tabs>
                <w:tab w:val="left" w:pos="1792"/>
                <w:tab w:val="left" w:pos="2680"/>
                <w:tab w:val="left" w:pos="3666"/>
              </w:tabs>
              <w:ind w:left="523"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3" w:type="dxa"/>
          </w:tcPr>
          <w:p w14:paraId="617C3A60" w14:textId="77777777" w:rsidR="00DC6D9B" w:rsidRDefault="00DC6D9B" w:rsidP="00CD363C">
            <w:pPr>
              <w:pStyle w:val="TableParagraph"/>
              <w:ind w:left="135" w:right="124"/>
              <w:jc w:val="both"/>
              <w:rPr>
                <w:i/>
              </w:rPr>
            </w:pPr>
            <w:r>
              <w:rPr>
                <w:i/>
              </w:rPr>
              <w:t>10 000,00 EUR</w:t>
            </w:r>
          </w:p>
        </w:tc>
      </w:tr>
      <w:tr w:rsidR="00DC6D9B" w14:paraId="02147D49" w14:textId="77777777" w:rsidTr="00535ACC">
        <w:trPr>
          <w:trHeight w:val="313"/>
        </w:trPr>
        <w:tc>
          <w:tcPr>
            <w:tcW w:w="996" w:type="dxa"/>
          </w:tcPr>
          <w:p w14:paraId="094D31C1" w14:textId="77777777" w:rsidR="00DC6D9B" w:rsidRDefault="00DC6D9B" w:rsidP="00CD363C">
            <w:pPr>
              <w:pStyle w:val="TableParagraph"/>
              <w:ind w:left="200" w:right="124"/>
              <w:jc w:val="both"/>
              <w:rPr>
                <w:i/>
              </w:rPr>
            </w:pPr>
            <w:r>
              <w:rPr>
                <w:i/>
              </w:rPr>
              <w:t>K</w:t>
            </w:r>
          </w:p>
        </w:tc>
        <w:tc>
          <w:tcPr>
            <w:tcW w:w="1662" w:type="dxa"/>
          </w:tcPr>
          <w:p w14:paraId="717A7C79" w14:textId="77777777" w:rsidR="00DC6D9B" w:rsidRDefault="00DC6D9B" w:rsidP="00CD363C">
            <w:pPr>
              <w:pStyle w:val="TableParagraph"/>
              <w:ind w:left="636" w:right="124"/>
              <w:jc w:val="both"/>
              <w:rPr>
                <w:i/>
              </w:rPr>
            </w:pPr>
            <w:r>
              <w:rPr>
                <w:i/>
              </w:rPr>
              <w:t>2315</w:t>
            </w:r>
          </w:p>
        </w:tc>
        <w:tc>
          <w:tcPr>
            <w:tcW w:w="4250" w:type="dxa"/>
          </w:tcPr>
          <w:p w14:paraId="0306131D" w14:textId="77777777" w:rsidR="00DC6D9B" w:rsidRDefault="00DC6D9B" w:rsidP="00CD363C">
            <w:pPr>
              <w:pStyle w:val="TableParagraph"/>
              <w:ind w:left="523" w:right="124"/>
              <w:jc w:val="both"/>
              <w:rPr>
                <w:i/>
              </w:rPr>
            </w:pPr>
            <w:r>
              <w:rPr>
                <w:i/>
              </w:rPr>
              <w:t>Prasības par finanšu nomu</w:t>
            </w:r>
          </w:p>
        </w:tc>
        <w:tc>
          <w:tcPr>
            <w:tcW w:w="1703" w:type="dxa"/>
          </w:tcPr>
          <w:p w14:paraId="1B17FB68" w14:textId="77777777" w:rsidR="00DC6D9B" w:rsidRDefault="00DC6D9B" w:rsidP="00CD363C">
            <w:pPr>
              <w:pStyle w:val="TableParagraph"/>
              <w:ind w:left="135" w:right="124"/>
              <w:jc w:val="both"/>
              <w:rPr>
                <w:i/>
              </w:rPr>
            </w:pPr>
            <w:r>
              <w:rPr>
                <w:i/>
              </w:rPr>
              <w:t>6 805,83 EUR</w:t>
            </w:r>
          </w:p>
        </w:tc>
      </w:tr>
      <w:tr w:rsidR="00DC6D9B" w14:paraId="7595676C" w14:textId="77777777" w:rsidTr="00535ACC">
        <w:trPr>
          <w:trHeight w:val="565"/>
        </w:trPr>
        <w:tc>
          <w:tcPr>
            <w:tcW w:w="996" w:type="dxa"/>
          </w:tcPr>
          <w:p w14:paraId="6716FBFC" w14:textId="77777777" w:rsidR="00DC6D9B" w:rsidRDefault="00DC6D9B" w:rsidP="00CD363C">
            <w:pPr>
              <w:pStyle w:val="TableParagraph"/>
              <w:ind w:left="200" w:right="124"/>
              <w:jc w:val="both"/>
              <w:rPr>
                <w:i/>
              </w:rPr>
            </w:pPr>
            <w:r>
              <w:rPr>
                <w:i/>
              </w:rPr>
              <w:t>K</w:t>
            </w:r>
          </w:p>
        </w:tc>
        <w:tc>
          <w:tcPr>
            <w:tcW w:w="1662" w:type="dxa"/>
          </w:tcPr>
          <w:p w14:paraId="77CDE1AA" w14:textId="77777777" w:rsidR="00DC6D9B" w:rsidRDefault="00DC6D9B" w:rsidP="00CD363C">
            <w:pPr>
              <w:pStyle w:val="TableParagraph"/>
              <w:ind w:left="636" w:right="124"/>
              <w:jc w:val="both"/>
              <w:rPr>
                <w:i/>
              </w:rPr>
            </w:pPr>
            <w:r>
              <w:rPr>
                <w:i/>
              </w:rPr>
              <w:t>2317</w:t>
            </w:r>
          </w:p>
        </w:tc>
        <w:tc>
          <w:tcPr>
            <w:tcW w:w="4250" w:type="dxa"/>
          </w:tcPr>
          <w:p w14:paraId="305735EA" w14:textId="77777777" w:rsidR="00DC6D9B" w:rsidRDefault="00DC6D9B" w:rsidP="00CD363C">
            <w:pPr>
              <w:pStyle w:val="TableParagraph"/>
              <w:ind w:left="523" w:right="124"/>
              <w:jc w:val="both"/>
              <w:rPr>
                <w:i/>
              </w:rPr>
            </w:pPr>
            <w:r>
              <w:rPr>
                <w:i/>
              </w:rPr>
              <w:t>Prasības par procentiem un citiem maksājumiem</w:t>
            </w:r>
          </w:p>
        </w:tc>
        <w:tc>
          <w:tcPr>
            <w:tcW w:w="1703" w:type="dxa"/>
          </w:tcPr>
          <w:p w14:paraId="1CBC0EED" w14:textId="77777777" w:rsidR="00DC6D9B" w:rsidRDefault="00DC6D9B" w:rsidP="00CD363C">
            <w:pPr>
              <w:pStyle w:val="TableParagraph"/>
              <w:ind w:left="135" w:right="124"/>
              <w:jc w:val="both"/>
              <w:rPr>
                <w:i/>
              </w:rPr>
            </w:pPr>
            <w:r>
              <w:rPr>
                <w:i/>
              </w:rPr>
              <w:t>3 194,17 EUR</w:t>
            </w:r>
          </w:p>
        </w:tc>
      </w:tr>
      <w:tr w:rsidR="00DC6D9B" w14:paraId="3EE5B0A5" w14:textId="77777777" w:rsidTr="00535ACC">
        <w:trPr>
          <w:trHeight w:val="333"/>
        </w:trPr>
        <w:tc>
          <w:tcPr>
            <w:tcW w:w="8611" w:type="dxa"/>
            <w:gridSpan w:val="4"/>
          </w:tcPr>
          <w:p w14:paraId="7FAD8574" w14:textId="77777777" w:rsidR="00DC6D9B" w:rsidRDefault="00DC6D9B" w:rsidP="00CD363C">
            <w:pPr>
              <w:pStyle w:val="TableParagraph"/>
              <w:ind w:left="200" w:right="124"/>
              <w:jc w:val="both"/>
              <w:rPr>
                <w:i/>
              </w:rPr>
            </w:pPr>
            <w:r>
              <w:rPr>
                <w:i/>
              </w:rPr>
              <w:t>2024. gada beigās grāmatojums, atzīstot finanšu nomas īstermiņa daļu:</w:t>
            </w:r>
          </w:p>
        </w:tc>
      </w:tr>
      <w:tr w:rsidR="00DC6D9B" w14:paraId="5DC70C36" w14:textId="77777777" w:rsidTr="00535ACC">
        <w:trPr>
          <w:trHeight w:val="333"/>
        </w:trPr>
        <w:tc>
          <w:tcPr>
            <w:tcW w:w="996" w:type="dxa"/>
          </w:tcPr>
          <w:p w14:paraId="0CB68D60" w14:textId="77777777" w:rsidR="00DC6D9B" w:rsidRDefault="00DC6D9B" w:rsidP="00CD363C">
            <w:pPr>
              <w:pStyle w:val="TableParagraph"/>
              <w:ind w:left="200" w:right="124"/>
              <w:jc w:val="both"/>
              <w:rPr>
                <w:i/>
              </w:rPr>
            </w:pPr>
            <w:r>
              <w:rPr>
                <w:i/>
              </w:rPr>
              <w:t>D</w:t>
            </w:r>
          </w:p>
        </w:tc>
        <w:tc>
          <w:tcPr>
            <w:tcW w:w="1662" w:type="dxa"/>
          </w:tcPr>
          <w:p w14:paraId="525A50C6" w14:textId="77777777" w:rsidR="00DC6D9B" w:rsidRDefault="00DC6D9B" w:rsidP="00CD363C">
            <w:pPr>
              <w:pStyle w:val="TableParagraph"/>
              <w:ind w:left="636" w:right="124"/>
              <w:jc w:val="both"/>
              <w:rPr>
                <w:i/>
              </w:rPr>
            </w:pPr>
            <w:r>
              <w:rPr>
                <w:i/>
              </w:rPr>
              <w:t>2315</w:t>
            </w:r>
          </w:p>
        </w:tc>
        <w:tc>
          <w:tcPr>
            <w:tcW w:w="4250" w:type="dxa"/>
          </w:tcPr>
          <w:p w14:paraId="6DD99EE8" w14:textId="77777777" w:rsidR="00DC6D9B" w:rsidRDefault="00DC6D9B" w:rsidP="00CD363C">
            <w:pPr>
              <w:pStyle w:val="TableParagraph"/>
              <w:ind w:left="523" w:right="124"/>
              <w:jc w:val="both"/>
              <w:rPr>
                <w:i/>
              </w:rPr>
            </w:pPr>
            <w:r>
              <w:rPr>
                <w:i/>
              </w:rPr>
              <w:t>Prasības par finanšu nomu</w:t>
            </w:r>
          </w:p>
        </w:tc>
        <w:tc>
          <w:tcPr>
            <w:tcW w:w="1703" w:type="dxa"/>
          </w:tcPr>
          <w:p w14:paraId="50B22876" w14:textId="77777777" w:rsidR="00DC6D9B" w:rsidRDefault="00DC6D9B" w:rsidP="00CD363C">
            <w:pPr>
              <w:pStyle w:val="TableParagraph"/>
              <w:ind w:left="135" w:right="124"/>
              <w:jc w:val="both"/>
              <w:rPr>
                <w:i/>
              </w:rPr>
            </w:pPr>
            <w:r>
              <w:rPr>
                <w:i/>
              </w:rPr>
              <w:t>7 350,30 EUR</w:t>
            </w:r>
          </w:p>
        </w:tc>
      </w:tr>
      <w:tr w:rsidR="00DC6D9B" w14:paraId="36F9AA2F" w14:textId="77777777" w:rsidTr="00535ACC">
        <w:trPr>
          <w:trHeight w:val="333"/>
        </w:trPr>
        <w:tc>
          <w:tcPr>
            <w:tcW w:w="996" w:type="dxa"/>
          </w:tcPr>
          <w:p w14:paraId="382C4930" w14:textId="77777777" w:rsidR="00DC6D9B" w:rsidRDefault="00DC6D9B" w:rsidP="00CD363C">
            <w:pPr>
              <w:pStyle w:val="TableParagraph"/>
              <w:ind w:left="200" w:right="124"/>
              <w:jc w:val="both"/>
              <w:rPr>
                <w:i/>
              </w:rPr>
            </w:pPr>
            <w:r>
              <w:rPr>
                <w:i/>
              </w:rPr>
              <w:t>K</w:t>
            </w:r>
          </w:p>
        </w:tc>
        <w:tc>
          <w:tcPr>
            <w:tcW w:w="1662" w:type="dxa"/>
          </w:tcPr>
          <w:p w14:paraId="16007A8D" w14:textId="77777777" w:rsidR="00DC6D9B" w:rsidRDefault="00DC6D9B" w:rsidP="00CD363C">
            <w:pPr>
              <w:pStyle w:val="TableParagraph"/>
              <w:ind w:left="636" w:right="124"/>
              <w:jc w:val="both"/>
              <w:rPr>
                <w:i/>
              </w:rPr>
            </w:pPr>
            <w:r>
              <w:rPr>
                <w:i/>
              </w:rPr>
              <w:t>1421</w:t>
            </w:r>
          </w:p>
        </w:tc>
        <w:tc>
          <w:tcPr>
            <w:tcW w:w="4250" w:type="dxa"/>
          </w:tcPr>
          <w:p w14:paraId="2B6A2AF9" w14:textId="77777777" w:rsidR="00DC6D9B" w:rsidRDefault="00DC6D9B" w:rsidP="00CD363C">
            <w:pPr>
              <w:pStyle w:val="TableParagraph"/>
              <w:ind w:right="124"/>
              <w:jc w:val="both"/>
              <w:rPr>
                <w:i/>
              </w:rPr>
            </w:pPr>
            <w:r>
              <w:rPr>
                <w:i/>
              </w:rPr>
              <w:t>Ilgtermiņa prasības par finanšu nomu</w:t>
            </w:r>
          </w:p>
        </w:tc>
        <w:tc>
          <w:tcPr>
            <w:tcW w:w="1703" w:type="dxa"/>
          </w:tcPr>
          <w:p w14:paraId="22FF4B54" w14:textId="77777777" w:rsidR="00DC6D9B" w:rsidRDefault="00DC6D9B" w:rsidP="00CD363C">
            <w:pPr>
              <w:pStyle w:val="TableParagraph"/>
              <w:ind w:left="135" w:right="124"/>
              <w:jc w:val="both"/>
              <w:rPr>
                <w:i/>
              </w:rPr>
            </w:pPr>
            <w:r>
              <w:rPr>
                <w:i/>
              </w:rPr>
              <w:t>7 350,30 EUR</w:t>
            </w:r>
          </w:p>
        </w:tc>
      </w:tr>
      <w:tr w:rsidR="00DC6D9B" w14:paraId="393FDFDE" w14:textId="77777777" w:rsidTr="00535ACC">
        <w:trPr>
          <w:trHeight w:val="332"/>
        </w:trPr>
        <w:tc>
          <w:tcPr>
            <w:tcW w:w="8611" w:type="dxa"/>
            <w:gridSpan w:val="4"/>
          </w:tcPr>
          <w:p w14:paraId="2302B0A8" w14:textId="77777777" w:rsidR="00DC6D9B" w:rsidRDefault="00DC6D9B" w:rsidP="00CD363C">
            <w:pPr>
              <w:pStyle w:val="TableParagraph"/>
              <w:ind w:left="200" w:right="124"/>
              <w:jc w:val="both"/>
              <w:rPr>
                <w:i/>
              </w:rPr>
            </w:pPr>
            <w:r>
              <w:rPr>
                <w:i/>
              </w:rPr>
              <w:t>2025. gada beigās grāmatojums, atzīstot finanšu ieņēmumus par finanšu nomu:</w:t>
            </w:r>
          </w:p>
        </w:tc>
      </w:tr>
      <w:tr w:rsidR="00DC6D9B" w14:paraId="6ECF092D" w14:textId="77777777" w:rsidTr="00535ACC">
        <w:trPr>
          <w:trHeight w:val="586"/>
        </w:trPr>
        <w:tc>
          <w:tcPr>
            <w:tcW w:w="996" w:type="dxa"/>
          </w:tcPr>
          <w:p w14:paraId="627C2263" w14:textId="77777777" w:rsidR="00DC6D9B" w:rsidRDefault="00DC6D9B" w:rsidP="00CD363C">
            <w:pPr>
              <w:pStyle w:val="TableParagraph"/>
              <w:ind w:left="200" w:right="124"/>
              <w:jc w:val="both"/>
              <w:rPr>
                <w:i/>
              </w:rPr>
            </w:pPr>
            <w:r>
              <w:rPr>
                <w:i/>
              </w:rPr>
              <w:t>D</w:t>
            </w:r>
          </w:p>
        </w:tc>
        <w:tc>
          <w:tcPr>
            <w:tcW w:w="1662" w:type="dxa"/>
          </w:tcPr>
          <w:p w14:paraId="4F400888" w14:textId="77777777" w:rsidR="00DC6D9B" w:rsidRDefault="00DC6D9B" w:rsidP="00CD363C">
            <w:pPr>
              <w:pStyle w:val="TableParagraph"/>
              <w:ind w:right="124"/>
              <w:jc w:val="both"/>
              <w:rPr>
                <w:i/>
              </w:rPr>
            </w:pPr>
            <w:r>
              <w:rPr>
                <w:i/>
              </w:rPr>
              <w:t>2317</w:t>
            </w:r>
          </w:p>
        </w:tc>
        <w:tc>
          <w:tcPr>
            <w:tcW w:w="4250" w:type="dxa"/>
          </w:tcPr>
          <w:p w14:paraId="669417B4" w14:textId="77777777" w:rsidR="00DC6D9B" w:rsidRDefault="00DC6D9B" w:rsidP="00CD363C">
            <w:pPr>
              <w:pStyle w:val="TableParagraph"/>
              <w:tabs>
                <w:tab w:val="left" w:pos="1430"/>
                <w:tab w:val="left" w:pos="1946"/>
                <w:tab w:val="left" w:pos="3143"/>
                <w:tab w:val="left" w:pos="3575"/>
              </w:tabs>
              <w:ind w:left="434" w:right="124"/>
              <w:jc w:val="both"/>
              <w:rPr>
                <w:i/>
              </w:rPr>
            </w:pPr>
            <w:r>
              <w:rPr>
                <w:i/>
              </w:rPr>
              <w:t>Prasības</w:t>
            </w:r>
            <w:r>
              <w:rPr>
                <w:i/>
              </w:rPr>
              <w:tab/>
              <w:t>par</w:t>
            </w:r>
            <w:r>
              <w:rPr>
                <w:i/>
              </w:rPr>
              <w:tab/>
              <w:t>procentiem</w:t>
            </w:r>
            <w:r>
              <w:rPr>
                <w:i/>
              </w:rPr>
              <w:tab/>
              <w:t>un</w:t>
            </w:r>
            <w:r>
              <w:rPr>
                <w:i/>
              </w:rPr>
              <w:tab/>
            </w:r>
            <w:r>
              <w:rPr>
                <w:i/>
                <w:spacing w:val="-1"/>
              </w:rPr>
              <w:t xml:space="preserve">citiem </w:t>
            </w:r>
            <w:r>
              <w:rPr>
                <w:i/>
              </w:rPr>
              <w:t>maksājumiem</w:t>
            </w:r>
          </w:p>
        </w:tc>
        <w:tc>
          <w:tcPr>
            <w:tcW w:w="1703" w:type="dxa"/>
          </w:tcPr>
          <w:p w14:paraId="5A5E4D79" w14:textId="77777777" w:rsidR="00DC6D9B" w:rsidRDefault="00DC6D9B" w:rsidP="00CD363C">
            <w:pPr>
              <w:pStyle w:val="TableParagraph"/>
              <w:ind w:left="135" w:right="124"/>
              <w:jc w:val="both"/>
              <w:rPr>
                <w:i/>
              </w:rPr>
            </w:pPr>
            <w:r>
              <w:rPr>
                <w:i/>
              </w:rPr>
              <w:t>2 649,70 EUR</w:t>
            </w:r>
          </w:p>
        </w:tc>
      </w:tr>
      <w:tr w:rsidR="00DC6D9B" w14:paraId="10A7DC91" w14:textId="77777777" w:rsidTr="00535ACC">
        <w:trPr>
          <w:trHeight w:val="332"/>
        </w:trPr>
        <w:tc>
          <w:tcPr>
            <w:tcW w:w="996" w:type="dxa"/>
          </w:tcPr>
          <w:p w14:paraId="179FE49B" w14:textId="77777777" w:rsidR="00DC6D9B" w:rsidRDefault="00DC6D9B" w:rsidP="00CD363C">
            <w:pPr>
              <w:pStyle w:val="TableParagraph"/>
              <w:ind w:left="200" w:right="124"/>
              <w:jc w:val="both"/>
              <w:rPr>
                <w:i/>
              </w:rPr>
            </w:pPr>
            <w:r>
              <w:rPr>
                <w:i/>
              </w:rPr>
              <w:t>K</w:t>
            </w:r>
          </w:p>
        </w:tc>
        <w:tc>
          <w:tcPr>
            <w:tcW w:w="1662" w:type="dxa"/>
          </w:tcPr>
          <w:p w14:paraId="6C11DF74" w14:textId="77777777" w:rsidR="00DC6D9B" w:rsidRDefault="00DC6D9B" w:rsidP="00CD363C">
            <w:pPr>
              <w:pStyle w:val="TableParagraph"/>
              <w:ind w:right="124"/>
              <w:jc w:val="both"/>
              <w:rPr>
                <w:i/>
              </w:rPr>
            </w:pPr>
            <w:r>
              <w:rPr>
                <w:i/>
              </w:rPr>
              <w:t>8120</w:t>
            </w:r>
          </w:p>
        </w:tc>
        <w:tc>
          <w:tcPr>
            <w:tcW w:w="4250" w:type="dxa"/>
          </w:tcPr>
          <w:p w14:paraId="04B65A7B" w14:textId="77777777" w:rsidR="00DC6D9B" w:rsidRDefault="00DC6D9B" w:rsidP="00CD363C">
            <w:pPr>
              <w:pStyle w:val="TableParagraph"/>
              <w:ind w:left="434" w:right="124"/>
              <w:jc w:val="both"/>
              <w:rPr>
                <w:i/>
              </w:rPr>
            </w:pPr>
            <w:r>
              <w:rPr>
                <w:i/>
              </w:rPr>
              <w:t>Procentu ieņēmumi</w:t>
            </w:r>
          </w:p>
        </w:tc>
        <w:tc>
          <w:tcPr>
            <w:tcW w:w="1703" w:type="dxa"/>
          </w:tcPr>
          <w:p w14:paraId="62B9E58A" w14:textId="77777777" w:rsidR="00DC6D9B" w:rsidRDefault="00DC6D9B" w:rsidP="00CD363C">
            <w:pPr>
              <w:pStyle w:val="TableParagraph"/>
              <w:ind w:left="135" w:right="124"/>
              <w:jc w:val="both"/>
              <w:rPr>
                <w:i/>
              </w:rPr>
            </w:pPr>
            <w:r>
              <w:rPr>
                <w:i/>
              </w:rPr>
              <w:t>2 649,70 EUR</w:t>
            </w:r>
          </w:p>
        </w:tc>
      </w:tr>
      <w:tr w:rsidR="00DC6D9B" w14:paraId="71CA30C6" w14:textId="77777777" w:rsidTr="00535ACC">
        <w:trPr>
          <w:trHeight w:val="287"/>
        </w:trPr>
        <w:tc>
          <w:tcPr>
            <w:tcW w:w="6908" w:type="dxa"/>
            <w:gridSpan w:val="3"/>
          </w:tcPr>
          <w:p w14:paraId="12C55CB4" w14:textId="77777777" w:rsidR="00DC6D9B" w:rsidRDefault="00DC6D9B" w:rsidP="00CD363C">
            <w:pPr>
              <w:pStyle w:val="TableParagraph"/>
              <w:ind w:left="255" w:right="124"/>
              <w:jc w:val="both"/>
              <w:rPr>
                <w:i/>
              </w:rPr>
            </w:pPr>
            <w:r>
              <w:rPr>
                <w:i/>
              </w:rPr>
              <w:t>2025. gada beigās grāmatojums, saņemot maksājumu par finanšu nomu:</w:t>
            </w:r>
          </w:p>
        </w:tc>
        <w:tc>
          <w:tcPr>
            <w:tcW w:w="1703" w:type="dxa"/>
          </w:tcPr>
          <w:p w14:paraId="38821772" w14:textId="77777777" w:rsidR="00DC6D9B" w:rsidRDefault="00DC6D9B" w:rsidP="00CD363C">
            <w:pPr>
              <w:pStyle w:val="TableParagraph"/>
              <w:ind w:right="124"/>
              <w:jc w:val="both"/>
              <w:rPr>
                <w:sz w:val="20"/>
              </w:rPr>
            </w:pPr>
          </w:p>
        </w:tc>
      </w:tr>
    </w:tbl>
    <w:p w14:paraId="74BE1D41" w14:textId="77777777" w:rsidR="00DC6D9B" w:rsidRDefault="00DC6D9B" w:rsidP="00CD363C">
      <w:pPr>
        <w:spacing w:after="0" w:line="240" w:lineRule="auto"/>
        <w:ind w:right="124"/>
        <w:jc w:val="both"/>
        <w:rPr>
          <w:sz w:val="20"/>
        </w:rPr>
        <w:sectPr w:rsidR="00DC6D9B">
          <w:pgSz w:w="11910" w:h="16840"/>
          <w:pgMar w:top="880" w:right="500" w:bottom="1120" w:left="1080" w:header="0" w:footer="930" w:gutter="0"/>
          <w:cols w:space="720"/>
        </w:sectPr>
      </w:pPr>
    </w:p>
    <w:tbl>
      <w:tblPr>
        <w:tblW w:w="0" w:type="auto"/>
        <w:tblInd w:w="350" w:type="dxa"/>
        <w:tblLayout w:type="fixed"/>
        <w:tblCellMar>
          <w:left w:w="0" w:type="dxa"/>
          <w:right w:w="0" w:type="dxa"/>
        </w:tblCellMar>
        <w:tblLook w:val="01E0" w:firstRow="1" w:lastRow="1" w:firstColumn="1" w:lastColumn="1" w:noHBand="0" w:noVBand="0"/>
      </w:tblPr>
      <w:tblGrid>
        <w:gridCol w:w="1070"/>
        <w:gridCol w:w="1574"/>
        <w:gridCol w:w="4294"/>
        <w:gridCol w:w="1717"/>
      </w:tblGrid>
      <w:tr w:rsidR="00DC6D9B" w14:paraId="1DB2A2D6" w14:textId="77777777" w:rsidTr="00535ACC">
        <w:trPr>
          <w:trHeight w:val="541"/>
        </w:trPr>
        <w:tc>
          <w:tcPr>
            <w:tcW w:w="1070" w:type="dxa"/>
          </w:tcPr>
          <w:p w14:paraId="3C75343C" w14:textId="77777777" w:rsidR="00DC6D9B" w:rsidRDefault="00DC6D9B" w:rsidP="00CD363C">
            <w:pPr>
              <w:pStyle w:val="TableParagraph"/>
              <w:ind w:left="200" w:right="124"/>
              <w:jc w:val="both"/>
              <w:rPr>
                <w:i/>
              </w:rPr>
            </w:pPr>
            <w:r>
              <w:rPr>
                <w:i/>
              </w:rPr>
              <w:t>D</w:t>
            </w:r>
          </w:p>
        </w:tc>
        <w:tc>
          <w:tcPr>
            <w:tcW w:w="1574" w:type="dxa"/>
          </w:tcPr>
          <w:p w14:paraId="7761B1BE" w14:textId="77777777" w:rsidR="00DC6D9B" w:rsidRDefault="00DC6D9B" w:rsidP="00CD363C">
            <w:pPr>
              <w:pStyle w:val="TableParagraph"/>
              <w:ind w:right="124"/>
              <w:jc w:val="both"/>
              <w:rPr>
                <w:i/>
              </w:rPr>
            </w:pPr>
            <w:r>
              <w:rPr>
                <w:i/>
              </w:rPr>
              <w:t>2620</w:t>
            </w:r>
          </w:p>
        </w:tc>
        <w:tc>
          <w:tcPr>
            <w:tcW w:w="4294" w:type="dxa"/>
          </w:tcPr>
          <w:p w14:paraId="79ECBEF4" w14:textId="77777777" w:rsidR="00DC6D9B" w:rsidRDefault="00DC6D9B" w:rsidP="00CD363C">
            <w:pPr>
              <w:pStyle w:val="TableParagraph"/>
              <w:ind w:left="448" w:right="124"/>
              <w:jc w:val="both"/>
              <w:rPr>
                <w:i/>
              </w:rPr>
            </w:pPr>
            <w:r>
              <w:rPr>
                <w:i/>
              </w:rPr>
              <w:t>Norēķinu konti Valsts kasē, kredītiestādēs vai citās institūcijās</w:t>
            </w:r>
          </w:p>
        </w:tc>
        <w:tc>
          <w:tcPr>
            <w:tcW w:w="1717" w:type="dxa"/>
          </w:tcPr>
          <w:p w14:paraId="0A669D71" w14:textId="77777777" w:rsidR="00DC6D9B" w:rsidRDefault="00DC6D9B" w:rsidP="00CD363C">
            <w:pPr>
              <w:pStyle w:val="TableParagraph"/>
              <w:ind w:left="105" w:right="124"/>
              <w:jc w:val="both"/>
              <w:rPr>
                <w:i/>
              </w:rPr>
            </w:pPr>
            <w:r>
              <w:rPr>
                <w:i/>
              </w:rPr>
              <w:t>10 000,00 EUR</w:t>
            </w:r>
          </w:p>
        </w:tc>
      </w:tr>
      <w:tr w:rsidR="00DC6D9B" w14:paraId="4CF96BC7" w14:textId="77777777" w:rsidTr="00535ACC">
        <w:trPr>
          <w:trHeight w:val="878"/>
        </w:trPr>
        <w:tc>
          <w:tcPr>
            <w:tcW w:w="1070" w:type="dxa"/>
          </w:tcPr>
          <w:p w14:paraId="691DBAB7" w14:textId="77777777" w:rsidR="00DC6D9B" w:rsidRDefault="00DC6D9B" w:rsidP="00CD363C">
            <w:pPr>
              <w:pStyle w:val="TableParagraph"/>
              <w:ind w:left="200" w:right="124"/>
              <w:jc w:val="both"/>
              <w:rPr>
                <w:i/>
              </w:rPr>
            </w:pPr>
            <w:r>
              <w:rPr>
                <w:i/>
              </w:rPr>
              <w:t>K K</w:t>
            </w:r>
          </w:p>
        </w:tc>
        <w:tc>
          <w:tcPr>
            <w:tcW w:w="1574" w:type="dxa"/>
          </w:tcPr>
          <w:p w14:paraId="3490E98E" w14:textId="77777777" w:rsidR="00DC6D9B" w:rsidRDefault="00DC6D9B" w:rsidP="00CD363C">
            <w:pPr>
              <w:pStyle w:val="TableParagraph"/>
              <w:ind w:left="711" w:right="124"/>
              <w:jc w:val="both"/>
              <w:rPr>
                <w:i/>
              </w:rPr>
            </w:pPr>
            <w:r>
              <w:rPr>
                <w:i/>
              </w:rPr>
              <w:t>2315</w:t>
            </w:r>
          </w:p>
          <w:p w14:paraId="365CB5B8" w14:textId="77777777" w:rsidR="00DC6D9B" w:rsidRDefault="00DC6D9B" w:rsidP="00CD363C">
            <w:pPr>
              <w:pStyle w:val="TableParagraph"/>
              <w:ind w:left="711" w:right="124"/>
              <w:jc w:val="both"/>
              <w:rPr>
                <w:i/>
              </w:rPr>
            </w:pPr>
            <w:r>
              <w:rPr>
                <w:i/>
              </w:rPr>
              <w:t>2317</w:t>
            </w:r>
          </w:p>
        </w:tc>
        <w:tc>
          <w:tcPr>
            <w:tcW w:w="4294" w:type="dxa"/>
          </w:tcPr>
          <w:p w14:paraId="1DB4121D" w14:textId="77777777" w:rsidR="00DC6D9B" w:rsidRDefault="00DC6D9B" w:rsidP="00CD363C">
            <w:pPr>
              <w:pStyle w:val="TableParagraph"/>
              <w:ind w:left="448" w:right="124"/>
              <w:jc w:val="both"/>
              <w:rPr>
                <w:i/>
              </w:rPr>
            </w:pPr>
            <w:r>
              <w:rPr>
                <w:i/>
              </w:rPr>
              <w:t>Prasības par finanšu nomu</w:t>
            </w:r>
          </w:p>
          <w:p w14:paraId="202793D7" w14:textId="77777777" w:rsidR="00DC6D9B" w:rsidRDefault="00DC6D9B" w:rsidP="00CD363C">
            <w:pPr>
              <w:pStyle w:val="TableParagraph"/>
              <w:tabs>
                <w:tab w:val="left" w:pos="1494"/>
                <w:tab w:val="left" w:pos="2063"/>
                <w:tab w:val="left" w:pos="3106"/>
                <w:tab w:val="left" w:pos="3588"/>
              </w:tabs>
              <w:ind w:left="448" w:right="124"/>
              <w:jc w:val="both"/>
              <w:rPr>
                <w:i/>
              </w:rPr>
            </w:pPr>
            <w:r>
              <w:rPr>
                <w:i/>
              </w:rPr>
              <w:t>Prasības</w:t>
            </w:r>
            <w:r>
              <w:rPr>
                <w:i/>
              </w:rPr>
              <w:tab/>
              <w:t>par</w:t>
            </w:r>
            <w:r>
              <w:rPr>
                <w:i/>
              </w:rPr>
              <w:tab/>
              <w:t>procentu</w:t>
            </w:r>
            <w:r>
              <w:rPr>
                <w:i/>
              </w:rPr>
              <w:tab/>
              <w:t>un</w:t>
            </w:r>
            <w:r>
              <w:rPr>
                <w:i/>
              </w:rPr>
              <w:tab/>
              <w:t>citiem maksājumiem</w:t>
            </w:r>
          </w:p>
        </w:tc>
        <w:tc>
          <w:tcPr>
            <w:tcW w:w="1717" w:type="dxa"/>
          </w:tcPr>
          <w:p w14:paraId="295F6684" w14:textId="77777777" w:rsidR="00DC6D9B" w:rsidRDefault="00DC6D9B" w:rsidP="00CD363C">
            <w:pPr>
              <w:pStyle w:val="TableParagraph"/>
              <w:ind w:left="105" w:right="124"/>
              <w:jc w:val="both"/>
              <w:rPr>
                <w:i/>
              </w:rPr>
            </w:pPr>
            <w:r>
              <w:rPr>
                <w:i/>
              </w:rPr>
              <w:t>7 350,30</w:t>
            </w:r>
            <w:r>
              <w:rPr>
                <w:i/>
                <w:spacing w:val="2"/>
              </w:rPr>
              <w:t xml:space="preserve"> </w:t>
            </w:r>
            <w:r>
              <w:rPr>
                <w:i/>
              </w:rPr>
              <w:t>EUR</w:t>
            </w:r>
          </w:p>
          <w:p w14:paraId="4BEC8D66" w14:textId="77777777" w:rsidR="00DC6D9B" w:rsidRDefault="00DC6D9B" w:rsidP="00CD363C">
            <w:pPr>
              <w:pStyle w:val="TableParagraph"/>
              <w:ind w:left="105" w:right="124"/>
              <w:jc w:val="both"/>
              <w:rPr>
                <w:i/>
              </w:rPr>
            </w:pPr>
            <w:r>
              <w:rPr>
                <w:i/>
              </w:rPr>
              <w:t>2 649,70</w:t>
            </w:r>
            <w:r>
              <w:rPr>
                <w:i/>
                <w:spacing w:val="2"/>
              </w:rPr>
              <w:t xml:space="preserve"> </w:t>
            </w:r>
            <w:r>
              <w:rPr>
                <w:i/>
              </w:rPr>
              <w:t>EUR</w:t>
            </w:r>
          </w:p>
        </w:tc>
      </w:tr>
      <w:tr w:rsidR="00DC6D9B" w14:paraId="39A0757F" w14:textId="77777777" w:rsidTr="00535ACC">
        <w:trPr>
          <w:trHeight w:val="333"/>
        </w:trPr>
        <w:tc>
          <w:tcPr>
            <w:tcW w:w="8655" w:type="dxa"/>
            <w:gridSpan w:val="4"/>
          </w:tcPr>
          <w:p w14:paraId="17A89673" w14:textId="77777777" w:rsidR="00DC6D9B" w:rsidRDefault="00DC6D9B" w:rsidP="00CD363C">
            <w:pPr>
              <w:pStyle w:val="TableParagraph"/>
              <w:ind w:left="200" w:right="124"/>
              <w:jc w:val="both"/>
              <w:rPr>
                <w:i/>
              </w:rPr>
            </w:pPr>
            <w:r>
              <w:rPr>
                <w:i/>
              </w:rPr>
              <w:t>2025. gada beigās grāmatojums, atzīstot finanšu nomas īstermiņa daļu:</w:t>
            </w:r>
          </w:p>
        </w:tc>
      </w:tr>
      <w:tr w:rsidR="00DC6D9B" w14:paraId="663B95E3" w14:textId="77777777" w:rsidTr="00535ACC">
        <w:trPr>
          <w:trHeight w:val="332"/>
        </w:trPr>
        <w:tc>
          <w:tcPr>
            <w:tcW w:w="1070" w:type="dxa"/>
          </w:tcPr>
          <w:p w14:paraId="5BC85A0F" w14:textId="77777777" w:rsidR="00DC6D9B" w:rsidRDefault="00DC6D9B" w:rsidP="00CD363C">
            <w:pPr>
              <w:pStyle w:val="TableParagraph"/>
              <w:ind w:left="200" w:right="124"/>
              <w:jc w:val="both"/>
              <w:rPr>
                <w:i/>
              </w:rPr>
            </w:pPr>
            <w:r>
              <w:rPr>
                <w:i/>
              </w:rPr>
              <w:t>D</w:t>
            </w:r>
          </w:p>
        </w:tc>
        <w:tc>
          <w:tcPr>
            <w:tcW w:w="1574" w:type="dxa"/>
          </w:tcPr>
          <w:p w14:paraId="3033D1E2" w14:textId="77777777" w:rsidR="00DC6D9B" w:rsidRDefault="00DC6D9B" w:rsidP="00CD363C">
            <w:pPr>
              <w:pStyle w:val="TableParagraph"/>
              <w:ind w:right="124"/>
              <w:jc w:val="both"/>
              <w:rPr>
                <w:i/>
              </w:rPr>
            </w:pPr>
            <w:r>
              <w:rPr>
                <w:i/>
              </w:rPr>
              <w:t>2315</w:t>
            </w:r>
          </w:p>
        </w:tc>
        <w:tc>
          <w:tcPr>
            <w:tcW w:w="4294" w:type="dxa"/>
          </w:tcPr>
          <w:p w14:paraId="4F079C2C" w14:textId="77777777" w:rsidR="00DC6D9B" w:rsidRDefault="00DC6D9B" w:rsidP="00CD363C">
            <w:pPr>
              <w:pStyle w:val="TableParagraph"/>
              <w:ind w:left="448" w:right="124"/>
              <w:jc w:val="both"/>
              <w:rPr>
                <w:i/>
              </w:rPr>
            </w:pPr>
            <w:r>
              <w:rPr>
                <w:i/>
              </w:rPr>
              <w:t>Prasības par finanšu nomu</w:t>
            </w:r>
          </w:p>
        </w:tc>
        <w:tc>
          <w:tcPr>
            <w:tcW w:w="1717" w:type="dxa"/>
          </w:tcPr>
          <w:p w14:paraId="71FF325A" w14:textId="77777777" w:rsidR="00DC6D9B" w:rsidRDefault="00DC6D9B" w:rsidP="00CD363C">
            <w:pPr>
              <w:pStyle w:val="TableParagraph"/>
              <w:ind w:left="105" w:right="124"/>
              <w:jc w:val="both"/>
              <w:rPr>
                <w:i/>
              </w:rPr>
            </w:pPr>
            <w:r>
              <w:rPr>
                <w:i/>
              </w:rPr>
              <w:t>7 938,32 EUR</w:t>
            </w:r>
          </w:p>
        </w:tc>
      </w:tr>
      <w:tr w:rsidR="00DC6D9B" w14:paraId="74CD0C2B" w14:textId="77777777" w:rsidTr="00535ACC">
        <w:trPr>
          <w:trHeight w:val="332"/>
        </w:trPr>
        <w:tc>
          <w:tcPr>
            <w:tcW w:w="1070" w:type="dxa"/>
          </w:tcPr>
          <w:p w14:paraId="16F21496" w14:textId="77777777" w:rsidR="00DC6D9B" w:rsidRDefault="00DC6D9B" w:rsidP="00CD363C">
            <w:pPr>
              <w:pStyle w:val="TableParagraph"/>
              <w:ind w:left="200" w:right="124"/>
              <w:jc w:val="both"/>
              <w:rPr>
                <w:i/>
              </w:rPr>
            </w:pPr>
            <w:r>
              <w:rPr>
                <w:i/>
              </w:rPr>
              <w:t>K</w:t>
            </w:r>
          </w:p>
        </w:tc>
        <w:tc>
          <w:tcPr>
            <w:tcW w:w="1574" w:type="dxa"/>
          </w:tcPr>
          <w:p w14:paraId="600C8047" w14:textId="77777777" w:rsidR="00DC6D9B" w:rsidRDefault="00DC6D9B" w:rsidP="00CD363C">
            <w:pPr>
              <w:pStyle w:val="TableParagraph"/>
              <w:ind w:right="124"/>
              <w:jc w:val="both"/>
              <w:rPr>
                <w:i/>
              </w:rPr>
            </w:pPr>
            <w:r>
              <w:rPr>
                <w:i/>
              </w:rPr>
              <w:t>1421</w:t>
            </w:r>
          </w:p>
        </w:tc>
        <w:tc>
          <w:tcPr>
            <w:tcW w:w="4294" w:type="dxa"/>
          </w:tcPr>
          <w:p w14:paraId="5AA21010" w14:textId="77777777" w:rsidR="00DC6D9B" w:rsidRDefault="00DC6D9B" w:rsidP="00CD363C">
            <w:pPr>
              <w:pStyle w:val="TableParagraph"/>
              <w:ind w:left="448" w:right="124"/>
              <w:jc w:val="both"/>
              <w:rPr>
                <w:i/>
              </w:rPr>
            </w:pPr>
            <w:r>
              <w:rPr>
                <w:i/>
              </w:rPr>
              <w:t>Ilgtermiņa prasības par finanšu nomu</w:t>
            </w:r>
          </w:p>
        </w:tc>
        <w:tc>
          <w:tcPr>
            <w:tcW w:w="1717" w:type="dxa"/>
          </w:tcPr>
          <w:p w14:paraId="164F21B6" w14:textId="77777777" w:rsidR="00DC6D9B" w:rsidRDefault="00DC6D9B" w:rsidP="00CD363C">
            <w:pPr>
              <w:pStyle w:val="TableParagraph"/>
              <w:ind w:left="105" w:right="124"/>
              <w:jc w:val="both"/>
              <w:rPr>
                <w:i/>
              </w:rPr>
            </w:pPr>
            <w:r>
              <w:rPr>
                <w:i/>
              </w:rPr>
              <w:t>7 938,32 EUR</w:t>
            </w:r>
          </w:p>
        </w:tc>
      </w:tr>
      <w:tr w:rsidR="00DC6D9B" w14:paraId="5F6F82E0" w14:textId="77777777" w:rsidTr="00535ACC">
        <w:trPr>
          <w:trHeight w:val="333"/>
        </w:trPr>
        <w:tc>
          <w:tcPr>
            <w:tcW w:w="8655" w:type="dxa"/>
            <w:gridSpan w:val="4"/>
          </w:tcPr>
          <w:p w14:paraId="7958D1A4" w14:textId="77777777" w:rsidR="00DC6D9B" w:rsidRDefault="00DC6D9B" w:rsidP="00CD363C">
            <w:pPr>
              <w:pStyle w:val="TableParagraph"/>
              <w:ind w:left="200" w:right="124"/>
              <w:jc w:val="both"/>
              <w:rPr>
                <w:i/>
              </w:rPr>
            </w:pPr>
            <w:r>
              <w:rPr>
                <w:i/>
              </w:rPr>
              <w:t>2026. gada beigās grāmatojums, atzīstot finanšu ieņēmumus par finanšu nomu:</w:t>
            </w:r>
          </w:p>
        </w:tc>
      </w:tr>
      <w:tr w:rsidR="00DC6D9B" w14:paraId="5BE936E9" w14:textId="77777777" w:rsidTr="00535ACC">
        <w:trPr>
          <w:trHeight w:val="585"/>
        </w:trPr>
        <w:tc>
          <w:tcPr>
            <w:tcW w:w="1070" w:type="dxa"/>
          </w:tcPr>
          <w:p w14:paraId="53FCC6C8" w14:textId="77777777" w:rsidR="00DC6D9B" w:rsidRDefault="00DC6D9B" w:rsidP="00CD363C">
            <w:pPr>
              <w:pStyle w:val="TableParagraph"/>
              <w:ind w:left="200" w:right="124"/>
              <w:jc w:val="both"/>
              <w:rPr>
                <w:i/>
              </w:rPr>
            </w:pPr>
            <w:r>
              <w:rPr>
                <w:i/>
              </w:rPr>
              <w:t>D</w:t>
            </w:r>
          </w:p>
        </w:tc>
        <w:tc>
          <w:tcPr>
            <w:tcW w:w="1574" w:type="dxa"/>
          </w:tcPr>
          <w:p w14:paraId="2362C6B7" w14:textId="77777777" w:rsidR="00DC6D9B" w:rsidRDefault="00DC6D9B" w:rsidP="00CD363C">
            <w:pPr>
              <w:pStyle w:val="TableParagraph"/>
              <w:ind w:right="124"/>
              <w:jc w:val="both"/>
              <w:rPr>
                <w:i/>
              </w:rPr>
            </w:pPr>
            <w:r>
              <w:rPr>
                <w:i/>
              </w:rPr>
              <w:t>2317</w:t>
            </w:r>
          </w:p>
        </w:tc>
        <w:tc>
          <w:tcPr>
            <w:tcW w:w="4294" w:type="dxa"/>
          </w:tcPr>
          <w:p w14:paraId="1F6E2F14" w14:textId="77777777" w:rsidR="00DC6D9B" w:rsidRDefault="00DC6D9B" w:rsidP="00CD363C">
            <w:pPr>
              <w:pStyle w:val="TableParagraph"/>
              <w:tabs>
                <w:tab w:val="left" w:pos="1444"/>
                <w:tab w:val="left" w:pos="1960"/>
                <w:tab w:val="left" w:pos="3157"/>
                <w:tab w:val="left" w:pos="3589"/>
              </w:tabs>
              <w:ind w:left="448" w:right="124"/>
              <w:jc w:val="both"/>
              <w:rPr>
                <w:i/>
              </w:rPr>
            </w:pPr>
            <w:r>
              <w:rPr>
                <w:i/>
              </w:rPr>
              <w:t>Prasības</w:t>
            </w:r>
            <w:r>
              <w:rPr>
                <w:i/>
              </w:rPr>
              <w:tab/>
              <w:t>par</w:t>
            </w:r>
            <w:r>
              <w:rPr>
                <w:i/>
              </w:rPr>
              <w:tab/>
              <w:t>procentiem</w:t>
            </w:r>
            <w:r>
              <w:rPr>
                <w:i/>
              </w:rPr>
              <w:tab/>
              <w:t>un</w:t>
            </w:r>
            <w:r>
              <w:rPr>
                <w:i/>
              </w:rPr>
              <w:tab/>
            </w:r>
            <w:r>
              <w:rPr>
                <w:i/>
                <w:spacing w:val="-1"/>
              </w:rPr>
              <w:t xml:space="preserve">citiem </w:t>
            </w:r>
            <w:r>
              <w:rPr>
                <w:i/>
              </w:rPr>
              <w:t>maksājumiem</w:t>
            </w:r>
          </w:p>
        </w:tc>
        <w:tc>
          <w:tcPr>
            <w:tcW w:w="1717" w:type="dxa"/>
          </w:tcPr>
          <w:p w14:paraId="6110C883" w14:textId="77777777" w:rsidR="00DC6D9B" w:rsidRDefault="00DC6D9B" w:rsidP="00CD363C">
            <w:pPr>
              <w:pStyle w:val="TableParagraph"/>
              <w:ind w:left="105" w:right="124"/>
              <w:jc w:val="both"/>
              <w:rPr>
                <w:i/>
              </w:rPr>
            </w:pPr>
            <w:r>
              <w:rPr>
                <w:i/>
              </w:rPr>
              <w:t>2 061,68 EUR</w:t>
            </w:r>
          </w:p>
        </w:tc>
      </w:tr>
      <w:tr w:rsidR="00DC6D9B" w14:paraId="34D67D97" w14:textId="77777777" w:rsidTr="00535ACC">
        <w:trPr>
          <w:trHeight w:val="333"/>
        </w:trPr>
        <w:tc>
          <w:tcPr>
            <w:tcW w:w="1070" w:type="dxa"/>
          </w:tcPr>
          <w:p w14:paraId="1CEC6303" w14:textId="77777777" w:rsidR="00DC6D9B" w:rsidRDefault="00DC6D9B" w:rsidP="00CD363C">
            <w:pPr>
              <w:pStyle w:val="TableParagraph"/>
              <w:ind w:left="200" w:right="124"/>
              <w:jc w:val="both"/>
              <w:rPr>
                <w:i/>
              </w:rPr>
            </w:pPr>
            <w:r>
              <w:rPr>
                <w:i/>
              </w:rPr>
              <w:t>K</w:t>
            </w:r>
          </w:p>
        </w:tc>
        <w:tc>
          <w:tcPr>
            <w:tcW w:w="1574" w:type="dxa"/>
          </w:tcPr>
          <w:p w14:paraId="339F1FD1" w14:textId="77777777" w:rsidR="00DC6D9B" w:rsidRDefault="00DC6D9B" w:rsidP="00CD363C">
            <w:pPr>
              <w:pStyle w:val="TableParagraph"/>
              <w:ind w:right="124"/>
              <w:jc w:val="both"/>
              <w:rPr>
                <w:i/>
              </w:rPr>
            </w:pPr>
            <w:r>
              <w:rPr>
                <w:i/>
              </w:rPr>
              <w:t>8120</w:t>
            </w:r>
          </w:p>
        </w:tc>
        <w:tc>
          <w:tcPr>
            <w:tcW w:w="4294" w:type="dxa"/>
          </w:tcPr>
          <w:p w14:paraId="7A945177" w14:textId="77777777" w:rsidR="00DC6D9B" w:rsidRDefault="00DC6D9B" w:rsidP="00CD363C">
            <w:pPr>
              <w:pStyle w:val="TableParagraph"/>
              <w:ind w:left="448" w:right="124"/>
              <w:jc w:val="both"/>
              <w:rPr>
                <w:i/>
              </w:rPr>
            </w:pPr>
            <w:r>
              <w:rPr>
                <w:i/>
              </w:rPr>
              <w:t>Procentu ieņēmumi</w:t>
            </w:r>
          </w:p>
        </w:tc>
        <w:tc>
          <w:tcPr>
            <w:tcW w:w="1717" w:type="dxa"/>
          </w:tcPr>
          <w:p w14:paraId="27063971" w14:textId="77777777" w:rsidR="00DC6D9B" w:rsidRDefault="00DC6D9B" w:rsidP="00CD363C">
            <w:pPr>
              <w:pStyle w:val="TableParagraph"/>
              <w:ind w:left="105" w:right="124"/>
              <w:jc w:val="both"/>
              <w:rPr>
                <w:i/>
              </w:rPr>
            </w:pPr>
            <w:r>
              <w:rPr>
                <w:i/>
              </w:rPr>
              <w:t>2 061,68 EUR</w:t>
            </w:r>
          </w:p>
        </w:tc>
      </w:tr>
      <w:tr w:rsidR="00DC6D9B" w14:paraId="55311153" w14:textId="77777777" w:rsidTr="00535ACC">
        <w:trPr>
          <w:trHeight w:val="333"/>
        </w:trPr>
        <w:tc>
          <w:tcPr>
            <w:tcW w:w="8655" w:type="dxa"/>
            <w:gridSpan w:val="4"/>
          </w:tcPr>
          <w:p w14:paraId="239CE605" w14:textId="77777777" w:rsidR="00DC6D9B" w:rsidRDefault="00DC6D9B" w:rsidP="00CD363C">
            <w:pPr>
              <w:pStyle w:val="TableParagraph"/>
              <w:ind w:left="200" w:right="124"/>
              <w:jc w:val="both"/>
              <w:rPr>
                <w:i/>
              </w:rPr>
            </w:pPr>
            <w:r>
              <w:rPr>
                <w:i/>
              </w:rPr>
              <w:t>2026. gada beigās grāmatojums, saņemot maksājumu par finanšu nomu</w:t>
            </w:r>
          </w:p>
        </w:tc>
      </w:tr>
      <w:tr w:rsidR="00DC6D9B" w14:paraId="2A23296B" w14:textId="77777777" w:rsidTr="00535ACC">
        <w:trPr>
          <w:trHeight w:val="585"/>
        </w:trPr>
        <w:tc>
          <w:tcPr>
            <w:tcW w:w="1070" w:type="dxa"/>
          </w:tcPr>
          <w:p w14:paraId="5672903E" w14:textId="77777777" w:rsidR="00DC6D9B" w:rsidRDefault="00DC6D9B" w:rsidP="00CD363C">
            <w:pPr>
              <w:pStyle w:val="TableParagraph"/>
              <w:ind w:left="200" w:right="124"/>
              <w:jc w:val="both"/>
              <w:rPr>
                <w:i/>
              </w:rPr>
            </w:pPr>
            <w:r>
              <w:rPr>
                <w:i/>
              </w:rPr>
              <w:t>D</w:t>
            </w:r>
          </w:p>
        </w:tc>
        <w:tc>
          <w:tcPr>
            <w:tcW w:w="1574" w:type="dxa"/>
          </w:tcPr>
          <w:p w14:paraId="0414745E" w14:textId="77777777" w:rsidR="00DC6D9B" w:rsidRDefault="00DC6D9B" w:rsidP="00CD363C">
            <w:pPr>
              <w:pStyle w:val="TableParagraph"/>
              <w:ind w:right="124"/>
              <w:jc w:val="both"/>
              <w:rPr>
                <w:i/>
              </w:rPr>
            </w:pPr>
            <w:r>
              <w:rPr>
                <w:i/>
              </w:rPr>
              <w:t>2620</w:t>
            </w:r>
          </w:p>
        </w:tc>
        <w:tc>
          <w:tcPr>
            <w:tcW w:w="4294" w:type="dxa"/>
          </w:tcPr>
          <w:p w14:paraId="1FC0E576" w14:textId="77777777" w:rsidR="00DC6D9B" w:rsidRDefault="00DC6D9B" w:rsidP="00CD363C">
            <w:pPr>
              <w:pStyle w:val="TableParagraph"/>
              <w:ind w:left="460" w:right="124"/>
              <w:jc w:val="both"/>
              <w:rPr>
                <w:i/>
              </w:rPr>
            </w:pPr>
            <w:r>
              <w:rPr>
                <w:i/>
              </w:rPr>
              <w:t>Norēķinu konti Valsts kasē, kredītiestādēs vai citās institūcijās</w:t>
            </w:r>
          </w:p>
        </w:tc>
        <w:tc>
          <w:tcPr>
            <w:tcW w:w="1717" w:type="dxa"/>
          </w:tcPr>
          <w:p w14:paraId="462F92E5" w14:textId="77777777" w:rsidR="00DC6D9B" w:rsidRDefault="00DC6D9B" w:rsidP="00CD363C">
            <w:pPr>
              <w:pStyle w:val="TableParagraph"/>
              <w:ind w:left="113" w:right="124"/>
              <w:jc w:val="both"/>
              <w:rPr>
                <w:i/>
              </w:rPr>
            </w:pPr>
            <w:r>
              <w:rPr>
                <w:i/>
              </w:rPr>
              <w:t>10 000,00 EUR</w:t>
            </w:r>
          </w:p>
        </w:tc>
      </w:tr>
      <w:tr w:rsidR="00DC6D9B" w14:paraId="786B6AE9" w14:textId="77777777" w:rsidTr="00535ACC">
        <w:trPr>
          <w:trHeight w:val="312"/>
        </w:trPr>
        <w:tc>
          <w:tcPr>
            <w:tcW w:w="1070" w:type="dxa"/>
          </w:tcPr>
          <w:p w14:paraId="21F8B9A0" w14:textId="77777777" w:rsidR="00DC6D9B" w:rsidRDefault="00DC6D9B" w:rsidP="00CD363C">
            <w:pPr>
              <w:pStyle w:val="TableParagraph"/>
              <w:ind w:left="200" w:right="124"/>
              <w:jc w:val="both"/>
              <w:rPr>
                <w:i/>
              </w:rPr>
            </w:pPr>
            <w:r>
              <w:rPr>
                <w:i/>
              </w:rPr>
              <w:t>K</w:t>
            </w:r>
          </w:p>
        </w:tc>
        <w:tc>
          <w:tcPr>
            <w:tcW w:w="1574" w:type="dxa"/>
          </w:tcPr>
          <w:p w14:paraId="5DF5FB1A" w14:textId="77777777" w:rsidR="00DC6D9B" w:rsidRDefault="00DC6D9B" w:rsidP="00CD363C">
            <w:pPr>
              <w:pStyle w:val="TableParagraph"/>
              <w:ind w:right="124"/>
              <w:jc w:val="both"/>
              <w:rPr>
                <w:i/>
              </w:rPr>
            </w:pPr>
            <w:r>
              <w:rPr>
                <w:i/>
              </w:rPr>
              <w:t>2315</w:t>
            </w:r>
          </w:p>
        </w:tc>
        <w:tc>
          <w:tcPr>
            <w:tcW w:w="4294" w:type="dxa"/>
          </w:tcPr>
          <w:p w14:paraId="40AEF554" w14:textId="77777777" w:rsidR="00DC6D9B" w:rsidRDefault="00DC6D9B" w:rsidP="00CD363C">
            <w:pPr>
              <w:pStyle w:val="TableParagraph"/>
              <w:ind w:left="460" w:right="124"/>
              <w:jc w:val="both"/>
              <w:rPr>
                <w:i/>
              </w:rPr>
            </w:pPr>
            <w:r>
              <w:rPr>
                <w:i/>
              </w:rPr>
              <w:t>Prasības par finanšu nomu</w:t>
            </w:r>
          </w:p>
        </w:tc>
        <w:tc>
          <w:tcPr>
            <w:tcW w:w="1717" w:type="dxa"/>
          </w:tcPr>
          <w:p w14:paraId="13066C0A" w14:textId="77777777" w:rsidR="00DC6D9B" w:rsidRDefault="00DC6D9B" w:rsidP="00CD363C">
            <w:pPr>
              <w:pStyle w:val="TableParagraph"/>
              <w:ind w:left="113" w:right="124"/>
              <w:jc w:val="both"/>
              <w:rPr>
                <w:i/>
              </w:rPr>
            </w:pPr>
            <w:r>
              <w:rPr>
                <w:i/>
              </w:rPr>
              <w:t>7 938,32 EUR</w:t>
            </w:r>
          </w:p>
        </w:tc>
      </w:tr>
      <w:tr w:rsidR="00DC6D9B" w14:paraId="0FAC5F93" w14:textId="77777777" w:rsidTr="00535ACC">
        <w:trPr>
          <w:trHeight w:val="313"/>
        </w:trPr>
        <w:tc>
          <w:tcPr>
            <w:tcW w:w="1070" w:type="dxa"/>
          </w:tcPr>
          <w:p w14:paraId="4BF15E16" w14:textId="77777777" w:rsidR="00DC6D9B" w:rsidRDefault="00DC6D9B" w:rsidP="00CD363C">
            <w:pPr>
              <w:pStyle w:val="TableParagraph"/>
              <w:ind w:left="200" w:right="124"/>
              <w:jc w:val="both"/>
              <w:rPr>
                <w:i/>
              </w:rPr>
            </w:pPr>
            <w:r>
              <w:rPr>
                <w:i/>
              </w:rPr>
              <w:t>K</w:t>
            </w:r>
          </w:p>
        </w:tc>
        <w:tc>
          <w:tcPr>
            <w:tcW w:w="1574" w:type="dxa"/>
          </w:tcPr>
          <w:p w14:paraId="05B34C23" w14:textId="77777777" w:rsidR="00DC6D9B" w:rsidRDefault="00DC6D9B" w:rsidP="00CD363C">
            <w:pPr>
              <w:pStyle w:val="TableParagraph"/>
              <w:ind w:right="124"/>
              <w:jc w:val="both"/>
              <w:rPr>
                <w:i/>
              </w:rPr>
            </w:pPr>
            <w:r>
              <w:rPr>
                <w:i/>
              </w:rPr>
              <w:t>2317</w:t>
            </w:r>
          </w:p>
        </w:tc>
        <w:tc>
          <w:tcPr>
            <w:tcW w:w="4294" w:type="dxa"/>
          </w:tcPr>
          <w:p w14:paraId="4A7C7B88" w14:textId="77777777" w:rsidR="00DC6D9B" w:rsidRDefault="00DC6D9B" w:rsidP="00CD363C">
            <w:pPr>
              <w:pStyle w:val="TableParagraph"/>
              <w:ind w:left="460" w:right="124"/>
              <w:jc w:val="both"/>
              <w:rPr>
                <w:i/>
              </w:rPr>
            </w:pPr>
            <w:r>
              <w:rPr>
                <w:i/>
              </w:rPr>
              <w:t>Prasības par procentiem</w:t>
            </w:r>
          </w:p>
        </w:tc>
        <w:tc>
          <w:tcPr>
            <w:tcW w:w="1717" w:type="dxa"/>
          </w:tcPr>
          <w:p w14:paraId="249BFFAD" w14:textId="77777777" w:rsidR="00DC6D9B" w:rsidRDefault="00DC6D9B" w:rsidP="00CD363C">
            <w:pPr>
              <w:pStyle w:val="TableParagraph"/>
              <w:ind w:left="113" w:right="124"/>
              <w:jc w:val="both"/>
              <w:rPr>
                <w:i/>
              </w:rPr>
            </w:pPr>
            <w:r>
              <w:rPr>
                <w:i/>
              </w:rPr>
              <w:t>2 061,68 EUR</w:t>
            </w:r>
          </w:p>
        </w:tc>
      </w:tr>
      <w:tr w:rsidR="00DC6D9B" w14:paraId="1168A0D3" w14:textId="77777777" w:rsidTr="00535ACC">
        <w:trPr>
          <w:trHeight w:val="333"/>
        </w:trPr>
        <w:tc>
          <w:tcPr>
            <w:tcW w:w="8655" w:type="dxa"/>
            <w:gridSpan w:val="4"/>
          </w:tcPr>
          <w:p w14:paraId="62DB4811" w14:textId="77777777" w:rsidR="00DC6D9B" w:rsidRDefault="00DC6D9B" w:rsidP="00CD363C">
            <w:pPr>
              <w:pStyle w:val="TableParagraph"/>
              <w:ind w:left="200" w:right="124"/>
              <w:jc w:val="both"/>
              <w:rPr>
                <w:i/>
              </w:rPr>
            </w:pPr>
            <w:r>
              <w:rPr>
                <w:i/>
              </w:rPr>
              <w:t>2026. gada beigās grāmatojums, atzīstot finanšu nomas īstermiņa daļu:</w:t>
            </w:r>
          </w:p>
        </w:tc>
      </w:tr>
      <w:tr w:rsidR="00DC6D9B" w14:paraId="4A6DF839" w14:textId="77777777" w:rsidTr="00535ACC">
        <w:trPr>
          <w:trHeight w:val="332"/>
        </w:trPr>
        <w:tc>
          <w:tcPr>
            <w:tcW w:w="1070" w:type="dxa"/>
          </w:tcPr>
          <w:p w14:paraId="75EE80A9" w14:textId="77777777" w:rsidR="00DC6D9B" w:rsidRDefault="00DC6D9B" w:rsidP="00CD363C">
            <w:pPr>
              <w:pStyle w:val="TableParagraph"/>
              <w:ind w:left="200" w:right="124"/>
              <w:jc w:val="both"/>
              <w:rPr>
                <w:i/>
              </w:rPr>
            </w:pPr>
            <w:r>
              <w:rPr>
                <w:i/>
              </w:rPr>
              <w:t>D</w:t>
            </w:r>
          </w:p>
        </w:tc>
        <w:tc>
          <w:tcPr>
            <w:tcW w:w="1574" w:type="dxa"/>
          </w:tcPr>
          <w:p w14:paraId="59CAD492" w14:textId="77777777" w:rsidR="00DC6D9B" w:rsidRDefault="00DC6D9B" w:rsidP="00CD363C">
            <w:pPr>
              <w:pStyle w:val="TableParagraph"/>
              <w:ind w:right="124"/>
              <w:jc w:val="both"/>
              <w:rPr>
                <w:i/>
              </w:rPr>
            </w:pPr>
            <w:r>
              <w:rPr>
                <w:i/>
              </w:rPr>
              <w:t>2315</w:t>
            </w:r>
          </w:p>
        </w:tc>
        <w:tc>
          <w:tcPr>
            <w:tcW w:w="4294" w:type="dxa"/>
          </w:tcPr>
          <w:p w14:paraId="5549C492" w14:textId="77777777" w:rsidR="00DC6D9B" w:rsidRDefault="00DC6D9B" w:rsidP="00CD363C">
            <w:pPr>
              <w:pStyle w:val="TableParagraph"/>
              <w:ind w:left="460" w:right="124"/>
              <w:jc w:val="both"/>
              <w:rPr>
                <w:i/>
              </w:rPr>
            </w:pPr>
            <w:r>
              <w:rPr>
                <w:i/>
              </w:rPr>
              <w:t>Prasības par finanšu nomu</w:t>
            </w:r>
          </w:p>
        </w:tc>
        <w:tc>
          <w:tcPr>
            <w:tcW w:w="1717" w:type="dxa"/>
          </w:tcPr>
          <w:p w14:paraId="0A070596" w14:textId="77777777" w:rsidR="00DC6D9B" w:rsidRDefault="00DC6D9B" w:rsidP="00CD363C">
            <w:pPr>
              <w:pStyle w:val="TableParagraph"/>
              <w:ind w:left="113" w:right="124"/>
              <w:jc w:val="both"/>
              <w:rPr>
                <w:i/>
              </w:rPr>
            </w:pPr>
            <w:r>
              <w:rPr>
                <w:i/>
              </w:rPr>
              <w:t>8 573,39 EUR</w:t>
            </w:r>
          </w:p>
        </w:tc>
      </w:tr>
      <w:tr w:rsidR="00DC6D9B" w14:paraId="4B5204E9" w14:textId="77777777" w:rsidTr="00535ACC">
        <w:trPr>
          <w:trHeight w:val="333"/>
        </w:trPr>
        <w:tc>
          <w:tcPr>
            <w:tcW w:w="1070" w:type="dxa"/>
          </w:tcPr>
          <w:p w14:paraId="77D88D67" w14:textId="77777777" w:rsidR="00DC6D9B" w:rsidRDefault="00DC6D9B" w:rsidP="00CD363C">
            <w:pPr>
              <w:pStyle w:val="TableParagraph"/>
              <w:ind w:left="200" w:right="124"/>
              <w:jc w:val="both"/>
              <w:rPr>
                <w:i/>
              </w:rPr>
            </w:pPr>
            <w:r>
              <w:rPr>
                <w:i/>
              </w:rPr>
              <w:t>K</w:t>
            </w:r>
          </w:p>
        </w:tc>
        <w:tc>
          <w:tcPr>
            <w:tcW w:w="1574" w:type="dxa"/>
          </w:tcPr>
          <w:p w14:paraId="49B59B6F" w14:textId="77777777" w:rsidR="00DC6D9B" w:rsidRDefault="00DC6D9B" w:rsidP="00CD363C">
            <w:pPr>
              <w:pStyle w:val="TableParagraph"/>
              <w:ind w:right="124"/>
              <w:jc w:val="both"/>
              <w:rPr>
                <w:i/>
              </w:rPr>
            </w:pPr>
            <w:r>
              <w:rPr>
                <w:i/>
              </w:rPr>
              <w:t>1421</w:t>
            </w:r>
          </w:p>
        </w:tc>
        <w:tc>
          <w:tcPr>
            <w:tcW w:w="4294" w:type="dxa"/>
          </w:tcPr>
          <w:p w14:paraId="5718C445" w14:textId="77777777" w:rsidR="00DC6D9B" w:rsidRDefault="00DC6D9B" w:rsidP="00CD363C">
            <w:pPr>
              <w:pStyle w:val="TableParagraph"/>
              <w:ind w:left="460" w:right="124"/>
              <w:jc w:val="both"/>
              <w:rPr>
                <w:i/>
              </w:rPr>
            </w:pPr>
            <w:r>
              <w:rPr>
                <w:i/>
              </w:rPr>
              <w:t>Ilgtermiņa prasības par finanšu nomu</w:t>
            </w:r>
          </w:p>
        </w:tc>
        <w:tc>
          <w:tcPr>
            <w:tcW w:w="1717" w:type="dxa"/>
          </w:tcPr>
          <w:p w14:paraId="6C2E67D3" w14:textId="77777777" w:rsidR="00DC6D9B" w:rsidRDefault="00DC6D9B" w:rsidP="00CD363C">
            <w:pPr>
              <w:pStyle w:val="TableParagraph"/>
              <w:ind w:left="113" w:right="124"/>
              <w:jc w:val="both"/>
              <w:rPr>
                <w:i/>
              </w:rPr>
            </w:pPr>
            <w:r>
              <w:rPr>
                <w:i/>
              </w:rPr>
              <w:t>8 573,39 EUR</w:t>
            </w:r>
          </w:p>
        </w:tc>
      </w:tr>
      <w:tr w:rsidR="00DC6D9B" w14:paraId="3DC58BE9" w14:textId="77777777" w:rsidTr="00535ACC">
        <w:trPr>
          <w:trHeight w:val="332"/>
        </w:trPr>
        <w:tc>
          <w:tcPr>
            <w:tcW w:w="8655" w:type="dxa"/>
            <w:gridSpan w:val="4"/>
          </w:tcPr>
          <w:p w14:paraId="249330D8" w14:textId="77777777" w:rsidR="00DC6D9B" w:rsidRDefault="00DC6D9B" w:rsidP="00CD363C">
            <w:pPr>
              <w:pStyle w:val="TableParagraph"/>
              <w:ind w:left="200" w:right="124"/>
              <w:jc w:val="both"/>
              <w:rPr>
                <w:i/>
              </w:rPr>
            </w:pPr>
            <w:r>
              <w:rPr>
                <w:i/>
              </w:rPr>
              <w:t>2027. gada beigās grāmatojums, atzīstot finanšu ieņēmumus par finanšu nomu:</w:t>
            </w:r>
          </w:p>
        </w:tc>
      </w:tr>
      <w:tr w:rsidR="00DC6D9B" w14:paraId="7A3FBC99" w14:textId="77777777" w:rsidTr="00535ACC">
        <w:trPr>
          <w:trHeight w:val="586"/>
        </w:trPr>
        <w:tc>
          <w:tcPr>
            <w:tcW w:w="1070" w:type="dxa"/>
          </w:tcPr>
          <w:p w14:paraId="5E954162" w14:textId="77777777" w:rsidR="00DC6D9B" w:rsidRDefault="00DC6D9B" w:rsidP="00CD363C">
            <w:pPr>
              <w:pStyle w:val="TableParagraph"/>
              <w:ind w:left="200" w:right="124"/>
              <w:jc w:val="both"/>
              <w:rPr>
                <w:i/>
              </w:rPr>
            </w:pPr>
            <w:r>
              <w:rPr>
                <w:i/>
              </w:rPr>
              <w:t>D</w:t>
            </w:r>
          </w:p>
        </w:tc>
        <w:tc>
          <w:tcPr>
            <w:tcW w:w="1574" w:type="dxa"/>
          </w:tcPr>
          <w:p w14:paraId="1EFA4158" w14:textId="77777777" w:rsidR="00DC6D9B" w:rsidRDefault="00DC6D9B" w:rsidP="00CD363C">
            <w:pPr>
              <w:pStyle w:val="TableParagraph"/>
              <w:ind w:right="124"/>
              <w:jc w:val="both"/>
              <w:rPr>
                <w:i/>
              </w:rPr>
            </w:pPr>
            <w:r>
              <w:rPr>
                <w:i/>
              </w:rPr>
              <w:t>2317</w:t>
            </w:r>
          </w:p>
        </w:tc>
        <w:tc>
          <w:tcPr>
            <w:tcW w:w="4294" w:type="dxa"/>
          </w:tcPr>
          <w:p w14:paraId="01A9804C" w14:textId="77777777" w:rsidR="00DC6D9B" w:rsidRDefault="00DC6D9B" w:rsidP="00CD363C">
            <w:pPr>
              <w:pStyle w:val="TableParagraph"/>
              <w:tabs>
                <w:tab w:val="left" w:pos="1454"/>
                <w:tab w:val="left" w:pos="1969"/>
                <w:tab w:val="left" w:pos="3164"/>
                <w:tab w:val="left" w:pos="3593"/>
              </w:tabs>
              <w:ind w:left="460"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5EABA758" w14:textId="77777777" w:rsidR="00DC6D9B" w:rsidRDefault="00DC6D9B" w:rsidP="00CD363C">
            <w:pPr>
              <w:pStyle w:val="TableParagraph"/>
              <w:ind w:left="113" w:right="124"/>
              <w:jc w:val="both"/>
              <w:rPr>
                <w:i/>
              </w:rPr>
            </w:pPr>
            <w:r>
              <w:rPr>
                <w:i/>
              </w:rPr>
              <w:t>1 426,61 EUR</w:t>
            </w:r>
          </w:p>
        </w:tc>
      </w:tr>
      <w:tr w:rsidR="00DC6D9B" w14:paraId="180EFC9D" w14:textId="77777777" w:rsidTr="00535ACC">
        <w:trPr>
          <w:trHeight w:val="332"/>
        </w:trPr>
        <w:tc>
          <w:tcPr>
            <w:tcW w:w="1070" w:type="dxa"/>
          </w:tcPr>
          <w:p w14:paraId="7A3338E2" w14:textId="77777777" w:rsidR="00DC6D9B" w:rsidRDefault="00DC6D9B" w:rsidP="00CD363C">
            <w:pPr>
              <w:pStyle w:val="TableParagraph"/>
              <w:ind w:left="200" w:right="124"/>
              <w:jc w:val="both"/>
              <w:rPr>
                <w:i/>
              </w:rPr>
            </w:pPr>
            <w:r>
              <w:rPr>
                <w:i/>
              </w:rPr>
              <w:t>K</w:t>
            </w:r>
          </w:p>
        </w:tc>
        <w:tc>
          <w:tcPr>
            <w:tcW w:w="1574" w:type="dxa"/>
          </w:tcPr>
          <w:p w14:paraId="1A1A2752" w14:textId="77777777" w:rsidR="00DC6D9B" w:rsidRDefault="00DC6D9B" w:rsidP="00CD363C">
            <w:pPr>
              <w:pStyle w:val="TableParagraph"/>
              <w:ind w:right="124"/>
              <w:jc w:val="both"/>
              <w:rPr>
                <w:i/>
              </w:rPr>
            </w:pPr>
            <w:r>
              <w:rPr>
                <w:i/>
              </w:rPr>
              <w:t>8120</w:t>
            </w:r>
          </w:p>
        </w:tc>
        <w:tc>
          <w:tcPr>
            <w:tcW w:w="4294" w:type="dxa"/>
          </w:tcPr>
          <w:p w14:paraId="786339F2" w14:textId="77777777" w:rsidR="00DC6D9B" w:rsidRDefault="00DC6D9B" w:rsidP="00CD363C">
            <w:pPr>
              <w:pStyle w:val="TableParagraph"/>
              <w:ind w:left="460" w:right="124"/>
              <w:jc w:val="both"/>
              <w:rPr>
                <w:i/>
              </w:rPr>
            </w:pPr>
            <w:r>
              <w:rPr>
                <w:i/>
              </w:rPr>
              <w:t>Procentu ieņēmumi</w:t>
            </w:r>
          </w:p>
        </w:tc>
        <w:tc>
          <w:tcPr>
            <w:tcW w:w="1717" w:type="dxa"/>
          </w:tcPr>
          <w:p w14:paraId="11B2EBDB" w14:textId="77777777" w:rsidR="00DC6D9B" w:rsidRDefault="00DC6D9B" w:rsidP="00CD363C">
            <w:pPr>
              <w:pStyle w:val="TableParagraph"/>
              <w:ind w:left="113" w:right="124"/>
              <w:jc w:val="both"/>
              <w:rPr>
                <w:i/>
              </w:rPr>
            </w:pPr>
            <w:r>
              <w:rPr>
                <w:i/>
              </w:rPr>
              <w:t>1 426,61 EUR</w:t>
            </w:r>
          </w:p>
        </w:tc>
      </w:tr>
      <w:tr w:rsidR="00DC6D9B" w14:paraId="51CEE914" w14:textId="77777777" w:rsidTr="00535ACC">
        <w:trPr>
          <w:trHeight w:val="332"/>
        </w:trPr>
        <w:tc>
          <w:tcPr>
            <w:tcW w:w="8655" w:type="dxa"/>
            <w:gridSpan w:val="4"/>
          </w:tcPr>
          <w:p w14:paraId="11FDD487" w14:textId="77777777" w:rsidR="00DC6D9B" w:rsidRDefault="00DC6D9B" w:rsidP="00CD363C">
            <w:pPr>
              <w:pStyle w:val="TableParagraph"/>
              <w:ind w:left="255" w:right="124"/>
              <w:jc w:val="both"/>
              <w:rPr>
                <w:i/>
              </w:rPr>
            </w:pPr>
            <w:r>
              <w:rPr>
                <w:i/>
              </w:rPr>
              <w:t>2027. gada beigās grāmatojums, saņemot maksājumu par finanšu nomu:</w:t>
            </w:r>
          </w:p>
        </w:tc>
      </w:tr>
      <w:tr w:rsidR="00DC6D9B" w14:paraId="0D1D37ED" w14:textId="77777777" w:rsidTr="00535ACC">
        <w:trPr>
          <w:trHeight w:val="585"/>
        </w:trPr>
        <w:tc>
          <w:tcPr>
            <w:tcW w:w="1070" w:type="dxa"/>
          </w:tcPr>
          <w:p w14:paraId="09D07A49" w14:textId="77777777" w:rsidR="00DC6D9B" w:rsidRDefault="00DC6D9B" w:rsidP="00CD363C">
            <w:pPr>
              <w:pStyle w:val="TableParagraph"/>
              <w:ind w:left="200" w:right="124"/>
              <w:jc w:val="both"/>
              <w:rPr>
                <w:i/>
              </w:rPr>
            </w:pPr>
            <w:r>
              <w:rPr>
                <w:i/>
              </w:rPr>
              <w:t>D</w:t>
            </w:r>
          </w:p>
        </w:tc>
        <w:tc>
          <w:tcPr>
            <w:tcW w:w="1574" w:type="dxa"/>
          </w:tcPr>
          <w:p w14:paraId="1DF00A14" w14:textId="77777777" w:rsidR="00DC6D9B" w:rsidRDefault="00DC6D9B" w:rsidP="00CD363C">
            <w:pPr>
              <w:pStyle w:val="TableParagraph"/>
              <w:ind w:right="124"/>
              <w:jc w:val="both"/>
              <w:rPr>
                <w:i/>
              </w:rPr>
            </w:pPr>
            <w:r>
              <w:rPr>
                <w:i/>
              </w:rPr>
              <w:t>2620</w:t>
            </w:r>
          </w:p>
        </w:tc>
        <w:tc>
          <w:tcPr>
            <w:tcW w:w="4294" w:type="dxa"/>
          </w:tcPr>
          <w:p w14:paraId="1CBF66A7" w14:textId="77777777" w:rsidR="00DC6D9B" w:rsidRDefault="00DC6D9B" w:rsidP="00CD363C">
            <w:pPr>
              <w:pStyle w:val="TableParagraph"/>
              <w:ind w:left="422" w:right="124"/>
              <w:jc w:val="both"/>
              <w:rPr>
                <w:i/>
              </w:rPr>
            </w:pPr>
            <w:r>
              <w:rPr>
                <w:i/>
              </w:rPr>
              <w:t>Norēķinu konti Valsts kasē, kredītiestādēs vai citās institūcijās</w:t>
            </w:r>
          </w:p>
        </w:tc>
        <w:tc>
          <w:tcPr>
            <w:tcW w:w="1717" w:type="dxa"/>
          </w:tcPr>
          <w:p w14:paraId="75D1CFC9" w14:textId="77777777" w:rsidR="00DC6D9B" w:rsidRDefault="00DC6D9B" w:rsidP="00CD363C">
            <w:pPr>
              <w:pStyle w:val="TableParagraph"/>
              <w:ind w:left="74" w:right="124"/>
              <w:jc w:val="both"/>
              <w:rPr>
                <w:i/>
              </w:rPr>
            </w:pPr>
            <w:r>
              <w:rPr>
                <w:i/>
              </w:rPr>
              <w:t>10 000,00 EUR</w:t>
            </w:r>
          </w:p>
        </w:tc>
      </w:tr>
      <w:tr w:rsidR="00DC6D9B" w14:paraId="216B339E" w14:textId="77777777" w:rsidTr="00535ACC">
        <w:trPr>
          <w:trHeight w:val="313"/>
        </w:trPr>
        <w:tc>
          <w:tcPr>
            <w:tcW w:w="1070" w:type="dxa"/>
          </w:tcPr>
          <w:p w14:paraId="34F733C6" w14:textId="77777777" w:rsidR="00DC6D9B" w:rsidRDefault="00DC6D9B" w:rsidP="00CD363C">
            <w:pPr>
              <w:pStyle w:val="TableParagraph"/>
              <w:ind w:left="200" w:right="124"/>
              <w:jc w:val="both"/>
              <w:rPr>
                <w:i/>
              </w:rPr>
            </w:pPr>
            <w:r>
              <w:rPr>
                <w:i/>
              </w:rPr>
              <w:t>K</w:t>
            </w:r>
          </w:p>
        </w:tc>
        <w:tc>
          <w:tcPr>
            <w:tcW w:w="1574" w:type="dxa"/>
          </w:tcPr>
          <w:p w14:paraId="0A8A0102" w14:textId="77777777" w:rsidR="00DC6D9B" w:rsidRDefault="00DC6D9B" w:rsidP="00CD363C">
            <w:pPr>
              <w:pStyle w:val="TableParagraph"/>
              <w:ind w:right="124"/>
              <w:jc w:val="both"/>
              <w:rPr>
                <w:i/>
              </w:rPr>
            </w:pPr>
            <w:r>
              <w:rPr>
                <w:i/>
              </w:rPr>
              <w:t>2315</w:t>
            </w:r>
          </w:p>
        </w:tc>
        <w:tc>
          <w:tcPr>
            <w:tcW w:w="4294" w:type="dxa"/>
          </w:tcPr>
          <w:p w14:paraId="6B55678A" w14:textId="77777777" w:rsidR="00DC6D9B" w:rsidRDefault="00DC6D9B" w:rsidP="00CD363C">
            <w:pPr>
              <w:pStyle w:val="TableParagraph"/>
              <w:ind w:left="422" w:right="124"/>
              <w:jc w:val="both"/>
              <w:rPr>
                <w:i/>
              </w:rPr>
            </w:pPr>
            <w:r>
              <w:rPr>
                <w:i/>
              </w:rPr>
              <w:t>Prasības par finanšu nomu</w:t>
            </w:r>
          </w:p>
        </w:tc>
        <w:tc>
          <w:tcPr>
            <w:tcW w:w="1717" w:type="dxa"/>
          </w:tcPr>
          <w:p w14:paraId="467213B7" w14:textId="77777777" w:rsidR="00DC6D9B" w:rsidRDefault="00DC6D9B" w:rsidP="00CD363C">
            <w:pPr>
              <w:pStyle w:val="TableParagraph"/>
              <w:ind w:left="74" w:right="124"/>
              <w:jc w:val="both"/>
              <w:rPr>
                <w:i/>
              </w:rPr>
            </w:pPr>
            <w:r>
              <w:rPr>
                <w:i/>
              </w:rPr>
              <w:t>8 573,39 EUR</w:t>
            </w:r>
          </w:p>
        </w:tc>
      </w:tr>
      <w:tr w:rsidR="00DC6D9B" w14:paraId="6427160F" w14:textId="77777777" w:rsidTr="00535ACC">
        <w:trPr>
          <w:trHeight w:val="565"/>
        </w:trPr>
        <w:tc>
          <w:tcPr>
            <w:tcW w:w="1070" w:type="dxa"/>
          </w:tcPr>
          <w:p w14:paraId="28A7E999" w14:textId="77777777" w:rsidR="00DC6D9B" w:rsidRDefault="00DC6D9B" w:rsidP="00CD363C">
            <w:pPr>
              <w:pStyle w:val="TableParagraph"/>
              <w:ind w:left="200" w:right="124"/>
              <w:jc w:val="both"/>
              <w:rPr>
                <w:i/>
              </w:rPr>
            </w:pPr>
            <w:r>
              <w:rPr>
                <w:i/>
              </w:rPr>
              <w:t>K</w:t>
            </w:r>
          </w:p>
        </w:tc>
        <w:tc>
          <w:tcPr>
            <w:tcW w:w="1574" w:type="dxa"/>
          </w:tcPr>
          <w:p w14:paraId="4CB96B12" w14:textId="77777777" w:rsidR="00DC6D9B" w:rsidRDefault="00DC6D9B" w:rsidP="00CD363C">
            <w:pPr>
              <w:pStyle w:val="TableParagraph"/>
              <w:ind w:right="124"/>
              <w:jc w:val="both"/>
              <w:rPr>
                <w:i/>
              </w:rPr>
            </w:pPr>
            <w:r>
              <w:rPr>
                <w:i/>
              </w:rPr>
              <w:t>2317</w:t>
            </w:r>
          </w:p>
        </w:tc>
        <w:tc>
          <w:tcPr>
            <w:tcW w:w="4294" w:type="dxa"/>
          </w:tcPr>
          <w:p w14:paraId="004D7F3D" w14:textId="77777777" w:rsidR="00DC6D9B" w:rsidRDefault="00DC6D9B" w:rsidP="00CD363C">
            <w:pPr>
              <w:pStyle w:val="TableParagraph"/>
              <w:tabs>
                <w:tab w:val="left" w:pos="1415"/>
                <w:tab w:val="left" w:pos="1931"/>
                <w:tab w:val="left" w:pos="3126"/>
                <w:tab w:val="left" w:pos="3555"/>
              </w:tabs>
              <w:ind w:left="422"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3816F7A4" w14:textId="77777777" w:rsidR="00DC6D9B" w:rsidRDefault="00DC6D9B" w:rsidP="00CD363C">
            <w:pPr>
              <w:pStyle w:val="TableParagraph"/>
              <w:ind w:left="74" w:right="124"/>
              <w:jc w:val="both"/>
              <w:rPr>
                <w:i/>
              </w:rPr>
            </w:pPr>
            <w:r>
              <w:rPr>
                <w:i/>
              </w:rPr>
              <w:t>1 426,61 EUR</w:t>
            </w:r>
          </w:p>
        </w:tc>
      </w:tr>
      <w:tr w:rsidR="00DC6D9B" w14:paraId="1903D7D8" w14:textId="77777777" w:rsidTr="00535ACC">
        <w:trPr>
          <w:trHeight w:val="333"/>
        </w:trPr>
        <w:tc>
          <w:tcPr>
            <w:tcW w:w="8655" w:type="dxa"/>
            <w:gridSpan w:val="4"/>
          </w:tcPr>
          <w:p w14:paraId="4A86309D" w14:textId="77777777" w:rsidR="00DC6D9B" w:rsidRDefault="00DC6D9B" w:rsidP="00CD363C">
            <w:pPr>
              <w:pStyle w:val="TableParagraph"/>
              <w:ind w:left="200" w:right="124"/>
              <w:jc w:val="both"/>
              <w:rPr>
                <w:i/>
              </w:rPr>
            </w:pPr>
            <w:r>
              <w:rPr>
                <w:i/>
              </w:rPr>
              <w:t>2027. gada beigās grāmatojums, atzīstot finanšu nomas īstermiņa daļu:</w:t>
            </w:r>
          </w:p>
        </w:tc>
      </w:tr>
      <w:tr w:rsidR="00DC6D9B" w14:paraId="78AF22AD" w14:textId="77777777" w:rsidTr="00535ACC">
        <w:trPr>
          <w:trHeight w:val="333"/>
        </w:trPr>
        <w:tc>
          <w:tcPr>
            <w:tcW w:w="1070" w:type="dxa"/>
          </w:tcPr>
          <w:p w14:paraId="437C4705" w14:textId="77777777" w:rsidR="00DC6D9B" w:rsidRDefault="00DC6D9B" w:rsidP="00CD363C">
            <w:pPr>
              <w:pStyle w:val="TableParagraph"/>
              <w:ind w:left="200" w:right="124"/>
              <w:jc w:val="both"/>
              <w:rPr>
                <w:i/>
              </w:rPr>
            </w:pPr>
            <w:r>
              <w:rPr>
                <w:i/>
              </w:rPr>
              <w:t>D</w:t>
            </w:r>
          </w:p>
        </w:tc>
        <w:tc>
          <w:tcPr>
            <w:tcW w:w="1574" w:type="dxa"/>
          </w:tcPr>
          <w:p w14:paraId="11BD6495" w14:textId="77777777" w:rsidR="00DC6D9B" w:rsidRDefault="00DC6D9B" w:rsidP="00CD363C">
            <w:pPr>
              <w:pStyle w:val="TableParagraph"/>
              <w:ind w:right="124"/>
              <w:jc w:val="both"/>
              <w:rPr>
                <w:i/>
              </w:rPr>
            </w:pPr>
            <w:r>
              <w:rPr>
                <w:i/>
              </w:rPr>
              <w:t>2315</w:t>
            </w:r>
          </w:p>
        </w:tc>
        <w:tc>
          <w:tcPr>
            <w:tcW w:w="4294" w:type="dxa"/>
          </w:tcPr>
          <w:p w14:paraId="29C872D6" w14:textId="77777777" w:rsidR="00DC6D9B" w:rsidRDefault="00DC6D9B" w:rsidP="00CD363C">
            <w:pPr>
              <w:pStyle w:val="TableParagraph"/>
              <w:ind w:left="422" w:right="124"/>
              <w:jc w:val="both"/>
              <w:rPr>
                <w:i/>
              </w:rPr>
            </w:pPr>
            <w:r>
              <w:rPr>
                <w:i/>
              </w:rPr>
              <w:t>Prasības par finanšu nomu</w:t>
            </w:r>
          </w:p>
        </w:tc>
        <w:tc>
          <w:tcPr>
            <w:tcW w:w="1717" w:type="dxa"/>
          </w:tcPr>
          <w:p w14:paraId="09EA32E5" w14:textId="77777777" w:rsidR="00DC6D9B" w:rsidRDefault="00DC6D9B" w:rsidP="00CD363C">
            <w:pPr>
              <w:pStyle w:val="TableParagraph"/>
              <w:ind w:left="74" w:right="124"/>
              <w:jc w:val="both"/>
              <w:rPr>
                <w:i/>
              </w:rPr>
            </w:pPr>
            <w:r>
              <w:rPr>
                <w:i/>
              </w:rPr>
              <w:t>9 259,26 EUR</w:t>
            </w:r>
          </w:p>
        </w:tc>
      </w:tr>
      <w:tr w:rsidR="00DC6D9B" w14:paraId="15FEF6BB" w14:textId="77777777" w:rsidTr="00535ACC">
        <w:trPr>
          <w:trHeight w:val="333"/>
        </w:trPr>
        <w:tc>
          <w:tcPr>
            <w:tcW w:w="1070" w:type="dxa"/>
          </w:tcPr>
          <w:p w14:paraId="71D23C7B" w14:textId="77777777" w:rsidR="00DC6D9B" w:rsidRDefault="00DC6D9B" w:rsidP="00CD363C">
            <w:pPr>
              <w:pStyle w:val="TableParagraph"/>
              <w:ind w:left="200" w:right="124"/>
              <w:jc w:val="both"/>
              <w:rPr>
                <w:i/>
              </w:rPr>
            </w:pPr>
            <w:r>
              <w:rPr>
                <w:i/>
              </w:rPr>
              <w:t>K</w:t>
            </w:r>
          </w:p>
        </w:tc>
        <w:tc>
          <w:tcPr>
            <w:tcW w:w="1574" w:type="dxa"/>
          </w:tcPr>
          <w:p w14:paraId="296741C8" w14:textId="77777777" w:rsidR="00DC6D9B" w:rsidRDefault="00DC6D9B" w:rsidP="00CD363C">
            <w:pPr>
              <w:pStyle w:val="TableParagraph"/>
              <w:ind w:right="124"/>
              <w:jc w:val="both"/>
              <w:rPr>
                <w:i/>
              </w:rPr>
            </w:pPr>
            <w:r>
              <w:rPr>
                <w:i/>
              </w:rPr>
              <w:t>1421</w:t>
            </w:r>
          </w:p>
        </w:tc>
        <w:tc>
          <w:tcPr>
            <w:tcW w:w="4294" w:type="dxa"/>
          </w:tcPr>
          <w:p w14:paraId="79535C4F" w14:textId="77777777" w:rsidR="00DC6D9B" w:rsidRDefault="00DC6D9B" w:rsidP="00CD363C">
            <w:pPr>
              <w:pStyle w:val="TableParagraph"/>
              <w:ind w:left="422" w:right="124"/>
              <w:jc w:val="both"/>
              <w:rPr>
                <w:i/>
              </w:rPr>
            </w:pPr>
            <w:r>
              <w:rPr>
                <w:i/>
              </w:rPr>
              <w:t>Ilgtermiņa prasības par finanšu nomu</w:t>
            </w:r>
          </w:p>
        </w:tc>
        <w:tc>
          <w:tcPr>
            <w:tcW w:w="1717" w:type="dxa"/>
          </w:tcPr>
          <w:p w14:paraId="0E094DEB" w14:textId="77777777" w:rsidR="00DC6D9B" w:rsidRDefault="00DC6D9B" w:rsidP="00CD363C">
            <w:pPr>
              <w:pStyle w:val="TableParagraph"/>
              <w:ind w:left="74" w:right="124"/>
              <w:jc w:val="both"/>
              <w:rPr>
                <w:i/>
              </w:rPr>
            </w:pPr>
            <w:r>
              <w:rPr>
                <w:i/>
              </w:rPr>
              <w:t>9 259,26 EUR</w:t>
            </w:r>
          </w:p>
        </w:tc>
      </w:tr>
      <w:tr w:rsidR="00DC6D9B" w14:paraId="1263E3B4" w14:textId="77777777" w:rsidTr="00535ACC">
        <w:trPr>
          <w:trHeight w:val="332"/>
        </w:trPr>
        <w:tc>
          <w:tcPr>
            <w:tcW w:w="8655" w:type="dxa"/>
            <w:gridSpan w:val="4"/>
          </w:tcPr>
          <w:p w14:paraId="714C2CE9" w14:textId="77777777" w:rsidR="00DC6D9B" w:rsidRDefault="00DC6D9B" w:rsidP="00CD363C">
            <w:pPr>
              <w:pStyle w:val="TableParagraph"/>
              <w:ind w:left="200" w:right="124"/>
              <w:jc w:val="both"/>
              <w:rPr>
                <w:i/>
              </w:rPr>
            </w:pPr>
            <w:r>
              <w:rPr>
                <w:i/>
              </w:rPr>
              <w:t>2028. gada beigās grāmatojums, atzīstot finanšu ieņēmumus par finanšu nomu:</w:t>
            </w:r>
          </w:p>
        </w:tc>
      </w:tr>
      <w:tr w:rsidR="00DC6D9B" w14:paraId="67B7E532" w14:textId="77777777" w:rsidTr="00535ACC">
        <w:trPr>
          <w:trHeight w:val="586"/>
        </w:trPr>
        <w:tc>
          <w:tcPr>
            <w:tcW w:w="1070" w:type="dxa"/>
          </w:tcPr>
          <w:p w14:paraId="1D232A03" w14:textId="77777777" w:rsidR="00DC6D9B" w:rsidRDefault="00DC6D9B" w:rsidP="00CD363C">
            <w:pPr>
              <w:pStyle w:val="TableParagraph"/>
              <w:ind w:left="200" w:right="124"/>
              <w:jc w:val="both"/>
              <w:rPr>
                <w:i/>
              </w:rPr>
            </w:pPr>
            <w:r>
              <w:rPr>
                <w:i/>
              </w:rPr>
              <w:t>D</w:t>
            </w:r>
          </w:p>
        </w:tc>
        <w:tc>
          <w:tcPr>
            <w:tcW w:w="1574" w:type="dxa"/>
          </w:tcPr>
          <w:p w14:paraId="690F82B7" w14:textId="77777777" w:rsidR="00DC6D9B" w:rsidRDefault="00DC6D9B" w:rsidP="00CD363C">
            <w:pPr>
              <w:pStyle w:val="TableParagraph"/>
              <w:ind w:right="124"/>
              <w:jc w:val="both"/>
              <w:rPr>
                <w:i/>
              </w:rPr>
            </w:pPr>
            <w:r>
              <w:rPr>
                <w:i/>
              </w:rPr>
              <w:t>2317</w:t>
            </w:r>
          </w:p>
        </w:tc>
        <w:tc>
          <w:tcPr>
            <w:tcW w:w="4294" w:type="dxa"/>
          </w:tcPr>
          <w:p w14:paraId="13168737" w14:textId="77777777" w:rsidR="00DC6D9B" w:rsidRDefault="00DC6D9B" w:rsidP="00CD363C">
            <w:pPr>
              <w:pStyle w:val="TableParagraph"/>
              <w:tabs>
                <w:tab w:val="left" w:pos="1538"/>
                <w:tab w:val="left" w:pos="2053"/>
                <w:tab w:val="left" w:pos="3248"/>
                <w:tab w:val="left" w:pos="3679"/>
              </w:tabs>
              <w:ind w:left="544"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624E0F90" w14:textId="77777777" w:rsidR="00DC6D9B" w:rsidRDefault="00DC6D9B" w:rsidP="00CD363C">
            <w:pPr>
              <w:pStyle w:val="TableParagraph"/>
              <w:ind w:left="197" w:right="124"/>
              <w:jc w:val="both"/>
              <w:rPr>
                <w:i/>
              </w:rPr>
            </w:pPr>
            <w:r>
              <w:rPr>
                <w:i/>
              </w:rPr>
              <w:t>740,74 EUR</w:t>
            </w:r>
          </w:p>
        </w:tc>
      </w:tr>
      <w:tr w:rsidR="00DC6D9B" w14:paraId="2104270F" w14:textId="77777777" w:rsidTr="00535ACC">
        <w:trPr>
          <w:trHeight w:val="332"/>
        </w:trPr>
        <w:tc>
          <w:tcPr>
            <w:tcW w:w="1070" w:type="dxa"/>
          </w:tcPr>
          <w:p w14:paraId="14E09FDC" w14:textId="77777777" w:rsidR="00DC6D9B" w:rsidRDefault="00DC6D9B" w:rsidP="00CD363C">
            <w:pPr>
              <w:pStyle w:val="TableParagraph"/>
              <w:ind w:left="200" w:right="124"/>
              <w:jc w:val="both"/>
              <w:rPr>
                <w:i/>
              </w:rPr>
            </w:pPr>
            <w:r>
              <w:rPr>
                <w:i/>
              </w:rPr>
              <w:t>K</w:t>
            </w:r>
          </w:p>
        </w:tc>
        <w:tc>
          <w:tcPr>
            <w:tcW w:w="1574" w:type="dxa"/>
          </w:tcPr>
          <w:p w14:paraId="08617598" w14:textId="77777777" w:rsidR="00DC6D9B" w:rsidRDefault="00DC6D9B" w:rsidP="00CD363C">
            <w:pPr>
              <w:pStyle w:val="TableParagraph"/>
              <w:ind w:right="124"/>
              <w:jc w:val="both"/>
              <w:rPr>
                <w:i/>
              </w:rPr>
            </w:pPr>
            <w:r>
              <w:rPr>
                <w:i/>
              </w:rPr>
              <w:t>8120</w:t>
            </w:r>
          </w:p>
        </w:tc>
        <w:tc>
          <w:tcPr>
            <w:tcW w:w="4294" w:type="dxa"/>
          </w:tcPr>
          <w:p w14:paraId="1DE90450" w14:textId="77777777" w:rsidR="00DC6D9B" w:rsidRDefault="00DC6D9B" w:rsidP="00CD363C">
            <w:pPr>
              <w:pStyle w:val="TableParagraph"/>
              <w:ind w:left="544" w:right="124"/>
              <w:jc w:val="both"/>
              <w:rPr>
                <w:i/>
              </w:rPr>
            </w:pPr>
            <w:r>
              <w:rPr>
                <w:i/>
              </w:rPr>
              <w:t>Procentu ieņēmumi</w:t>
            </w:r>
          </w:p>
        </w:tc>
        <w:tc>
          <w:tcPr>
            <w:tcW w:w="1717" w:type="dxa"/>
          </w:tcPr>
          <w:p w14:paraId="0F573E77" w14:textId="77777777" w:rsidR="00DC6D9B" w:rsidRDefault="00DC6D9B" w:rsidP="00CD363C">
            <w:pPr>
              <w:pStyle w:val="TableParagraph"/>
              <w:ind w:left="197" w:right="124"/>
              <w:jc w:val="both"/>
              <w:rPr>
                <w:i/>
              </w:rPr>
            </w:pPr>
            <w:r>
              <w:rPr>
                <w:i/>
              </w:rPr>
              <w:t>740,74 EUR</w:t>
            </w:r>
          </w:p>
        </w:tc>
      </w:tr>
      <w:tr w:rsidR="00DC6D9B" w14:paraId="424F2874" w14:textId="77777777" w:rsidTr="00535ACC">
        <w:trPr>
          <w:trHeight w:val="332"/>
        </w:trPr>
        <w:tc>
          <w:tcPr>
            <w:tcW w:w="8655" w:type="dxa"/>
            <w:gridSpan w:val="4"/>
          </w:tcPr>
          <w:p w14:paraId="375B3D65" w14:textId="77777777" w:rsidR="00DC6D9B" w:rsidRDefault="00DC6D9B" w:rsidP="00CD363C">
            <w:pPr>
              <w:pStyle w:val="TableParagraph"/>
              <w:ind w:left="255" w:right="124"/>
              <w:jc w:val="both"/>
              <w:rPr>
                <w:i/>
              </w:rPr>
            </w:pPr>
            <w:r>
              <w:rPr>
                <w:i/>
              </w:rPr>
              <w:t>2028. gada beigās grāmatojums, saņemot maksājumu par finanšu nomu:</w:t>
            </w:r>
          </w:p>
        </w:tc>
      </w:tr>
      <w:tr w:rsidR="00DC6D9B" w14:paraId="7235C542" w14:textId="77777777" w:rsidTr="00535ACC">
        <w:trPr>
          <w:trHeight w:val="586"/>
        </w:trPr>
        <w:tc>
          <w:tcPr>
            <w:tcW w:w="1070" w:type="dxa"/>
          </w:tcPr>
          <w:p w14:paraId="71CFBF08" w14:textId="77777777" w:rsidR="00DC6D9B" w:rsidRDefault="00DC6D9B" w:rsidP="00CD363C">
            <w:pPr>
              <w:pStyle w:val="TableParagraph"/>
              <w:ind w:left="200" w:right="124"/>
              <w:jc w:val="both"/>
              <w:rPr>
                <w:i/>
              </w:rPr>
            </w:pPr>
            <w:r>
              <w:rPr>
                <w:i/>
              </w:rPr>
              <w:t>D</w:t>
            </w:r>
          </w:p>
        </w:tc>
        <w:tc>
          <w:tcPr>
            <w:tcW w:w="1574" w:type="dxa"/>
          </w:tcPr>
          <w:p w14:paraId="49E08E64" w14:textId="77777777" w:rsidR="00DC6D9B" w:rsidRDefault="00DC6D9B" w:rsidP="00CD363C">
            <w:pPr>
              <w:pStyle w:val="TableParagraph"/>
              <w:ind w:right="124"/>
              <w:jc w:val="both"/>
              <w:rPr>
                <w:i/>
              </w:rPr>
            </w:pPr>
            <w:r>
              <w:rPr>
                <w:i/>
              </w:rPr>
              <w:t>2620</w:t>
            </w:r>
          </w:p>
        </w:tc>
        <w:tc>
          <w:tcPr>
            <w:tcW w:w="4294" w:type="dxa"/>
          </w:tcPr>
          <w:p w14:paraId="46C36F2A" w14:textId="77777777" w:rsidR="00DC6D9B" w:rsidRDefault="00DC6D9B" w:rsidP="00CD363C">
            <w:pPr>
              <w:pStyle w:val="TableParagraph"/>
              <w:ind w:left="498" w:right="124"/>
              <w:jc w:val="both"/>
              <w:rPr>
                <w:i/>
              </w:rPr>
            </w:pPr>
            <w:r>
              <w:rPr>
                <w:i/>
              </w:rPr>
              <w:t>Norēķinu konti Valsts kasē, kredītiestādēs vai citās institūcijās</w:t>
            </w:r>
          </w:p>
        </w:tc>
        <w:tc>
          <w:tcPr>
            <w:tcW w:w="1717" w:type="dxa"/>
          </w:tcPr>
          <w:p w14:paraId="528C7A1E" w14:textId="77777777" w:rsidR="00DC6D9B" w:rsidRDefault="00DC6D9B" w:rsidP="00CD363C">
            <w:pPr>
              <w:pStyle w:val="TableParagraph"/>
              <w:ind w:left="151" w:right="124"/>
              <w:jc w:val="both"/>
              <w:rPr>
                <w:i/>
              </w:rPr>
            </w:pPr>
            <w:r>
              <w:rPr>
                <w:i/>
              </w:rPr>
              <w:t>10 000,00 EUR</w:t>
            </w:r>
          </w:p>
        </w:tc>
      </w:tr>
      <w:tr w:rsidR="00DC6D9B" w14:paraId="294C56DC" w14:textId="77777777" w:rsidTr="00535ACC">
        <w:trPr>
          <w:trHeight w:val="313"/>
        </w:trPr>
        <w:tc>
          <w:tcPr>
            <w:tcW w:w="1070" w:type="dxa"/>
          </w:tcPr>
          <w:p w14:paraId="13DD788E" w14:textId="77777777" w:rsidR="00DC6D9B" w:rsidRDefault="00DC6D9B" w:rsidP="00CD363C">
            <w:pPr>
              <w:pStyle w:val="TableParagraph"/>
              <w:ind w:left="200" w:right="124"/>
              <w:jc w:val="both"/>
              <w:rPr>
                <w:i/>
              </w:rPr>
            </w:pPr>
            <w:r>
              <w:rPr>
                <w:i/>
              </w:rPr>
              <w:t>K</w:t>
            </w:r>
          </w:p>
        </w:tc>
        <w:tc>
          <w:tcPr>
            <w:tcW w:w="1574" w:type="dxa"/>
          </w:tcPr>
          <w:p w14:paraId="32669190" w14:textId="77777777" w:rsidR="00DC6D9B" w:rsidRDefault="00DC6D9B" w:rsidP="00CD363C">
            <w:pPr>
              <w:pStyle w:val="TableParagraph"/>
              <w:ind w:right="124"/>
              <w:jc w:val="both"/>
              <w:rPr>
                <w:i/>
              </w:rPr>
            </w:pPr>
            <w:r>
              <w:rPr>
                <w:i/>
              </w:rPr>
              <w:t>2315</w:t>
            </w:r>
          </w:p>
        </w:tc>
        <w:tc>
          <w:tcPr>
            <w:tcW w:w="4294" w:type="dxa"/>
          </w:tcPr>
          <w:p w14:paraId="23EB2113" w14:textId="77777777" w:rsidR="00DC6D9B" w:rsidRDefault="00DC6D9B" w:rsidP="00CD363C">
            <w:pPr>
              <w:pStyle w:val="TableParagraph"/>
              <w:ind w:left="498" w:right="124"/>
              <w:jc w:val="both"/>
              <w:rPr>
                <w:i/>
              </w:rPr>
            </w:pPr>
            <w:r>
              <w:rPr>
                <w:i/>
              </w:rPr>
              <w:t>Prasība par finanšu nomu</w:t>
            </w:r>
          </w:p>
        </w:tc>
        <w:tc>
          <w:tcPr>
            <w:tcW w:w="1717" w:type="dxa"/>
          </w:tcPr>
          <w:p w14:paraId="0E608EA0" w14:textId="77777777" w:rsidR="00DC6D9B" w:rsidRDefault="00DC6D9B" w:rsidP="00CD363C">
            <w:pPr>
              <w:pStyle w:val="TableParagraph"/>
              <w:ind w:left="151" w:right="124"/>
              <w:jc w:val="both"/>
              <w:rPr>
                <w:i/>
              </w:rPr>
            </w:pPr>
            <w:r>
              <w:rPr>
                <w:i/>
              </w:rPr>
              <w:t>9 259,26 EUR</w:t>
            </w:r>
          </w:p>
        </w:tc>
      </w:tr>
      <w:tr w:rsidR="00DC6D9B" w14:paraId="327DA176" w14:textId="77777777" w:rsidTr="00535ACC">
        <w:trPr>
          <w:trHeight w:val="520"/>
        </w:trPr>
        <w:tc>
          <w:tcPr>
            <w:tcW w:w="1070" w:type="dxa"/>
          </w:tcPr>
          <w:p w14:paraId="70ACFB61" w14:textId="77777777" w:rsidR="00DC6D9B" w:rsidRDefault="00DC6D9B" w:rsidP="00CD363C">
            <w:pPr>
              <w:pStyle w:val="TableParagraph"/>
              <w:ind w:left="200" w:right="124"/>
              <w:jc w:val="both"/>
              <w:rPr>
                <w:i/>
              </w:rPr>
            </w:pPr>
            <w:r>
              <w:rPr>
                <w:i/>
              </w:rPr>
              <w:t>K</w:t>
            </w:r>
          </w:p>
        </w:tc>
        <w:tc>
          <w:tcPr>
            <w:tcW w:w="1574" w:type="dxa"/>
          </w:tcPr>
          <w:p w14:paraId="3734A0B0" w14:textId="77777777" w:rsidR="00DC6D9B" w:rsidRDefault="00DC6D9B" w:rsidP="00CD363C">
            <w:pPr>
              <w:pStyle w:val="TableParagraph"/>
              <w:ind w:right="124"/>
              <w:jc w:val="both"/>
              <w:rPr>
                <w:i/>
              </w:rPr>
            </w:pPr>
            <w:r>
              <w:rPr>
                <w:i/>
              </w:rPr>
              <w:t>2317</w:t>
            </w:r>
          </w:p>
        </w:tc>
        <w:tc>
          <w:tcPr>
            <w:tcW w:w="4294" w:type="dxa"/>
          </w:tcPr>
          <w:p w14:paraId="790561DE" w14:textId="77777777" w:rsidR="00DC6D9B" w:rsidRDefault="00DC6D9B" w:rsidP="00CD363C">
            <w:pPr>
              <w:pStyle w:val="TableParagraph"/>
              <w:tabs>
                <w:tab w:val="left" w:pos="1492"/>
                <w:tab w:val="left" w:pos="2008"/>
                <w:tab w:val="left" w:pos="3202"/>
                <w:tab w:val="left" w:pos="3632"/>
              </w:tabs>
              <w:ind w:left="498"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5E886AFF" w14:textId="77777777" w:rsidR="00DC6D9B" w:rsidRDefault="00DC6D9B" w:rsidP="00CD363C">
            <w:pPr>
              <w:pStyle w:val="TableParagraph"/>
              <w:ind w:left="151" w:right="124"/>
              <w:jc w:val="both"/>
              <w:rPr>
                <w:i/>
              </w:rPr>
            </w:pPr>
            <w:r>
              <w:rPr>
                <w:i/>
              </w:rPr>
              <w:t>740,74 EUR</w:t>
            </w:r>
          </w:p>
        </w:tc>
      </w:tr>
    </w:tbl>
    <w:p w14:paraId="18A80A21" w14:textId="77777777" w:rsidR="00DC6D9B" w:rsidRDefault="00DC6D9B" w:rsidP="00CD363C">
      <w:pPr>
        <w:spacing w:after="0" w:line="240" w:lineRule="auto"/>
        <w:ind w:right="124"/>
        <w:jc w:val="both"/>
        <w:sectPr w:rsidR="00DC6D9B">
          <w:pgSz w:w="11910" w:h="16840"/>
          <w:pgMar w:top="880" w:right="500" w:bottom="1120" w:left="1080" w:header="0" w:footer="930" w:gutter="0"/>
          <w:cols w:space="720"/>
        </w:sectPr>
      </w:pPr>
    </w:p>
    <w:p w14:paraId="01995ACD" w14:textId="77777777" w:rsidR="00DC6D9B" w:rsidRDefault="00DC6D9B" w:rsidP="00CD363C">
      <w:pPr>
        <w:pStyle w:val="Virsraksts4"/>
        <w:numPr>
          <w:ilvl w:val="2"/>
          <w:numId w:val="32"/>
        </w:numPr>
        <w:tabs>
          <w:tab w:val="left" w:pos="879"/>
        </w:tabs>
        <w:spacing w:before="0"/>
        <w:ind w:right="124"/>
        <w:jc w:val="both"/>
      </w:pPr>
      <w:r>
        <w:rPr>
          <w:color w:val="002069"/>
        </w:rPr>
        <w:t>Piemērs – Operatīvās nomas uzskaite no nomnieka</w:t>
      </w:r>
      <w:r>
        <w:rPr>
          <w:color w:val="002069"/>
          <w:spacing w:val="-3"/>
        </w:rPr>
        <w:t xml:space="preserve"> </w:t>
      </w:r>
      <w:r>
        <w:rPr>
          <w:color w:val="002069"/>
        </w:rPr>
        <w:t>puses</w:t>
      </w:r>
    </w:p>
    <w:p w14:paraId="733D1089" w14:textId="77777777" w:rsidR="00DC6D9B" w:rsidRPr="00A13C30" w:rsidRDefault="00A13C30" w:rsidP="00CD363C">
      <w:pPr>
        <w:pStyle w:val="Pamatteksts"/>
        <w:ind w:left="338" w:right="124"/>
        <w:jc w:val="both"/>
        <w:rPr>
          <w:sz w:val="24"/>
          <w:szCs w:val="24"/>
        </w:rPr>
      </w:pPr>
      <w:r w:rsidRPr="00A13C30">
        <w:rPr>
          <w:sz w:val="24"/>
          <w:szCs w:val="24"/>
        </w:rPr>
        <w:t xml:space="preserve">899. </w:t>
      </w:r>
      <w:r w:rsidR="00DC6D9B" w:rsidRPr="00A13C30">
        <w:rPr>
          <w:sz w:val="24"/>
          <w:szCs w:val="24"/>
        </w:rPr>
        <w:t>Budžeta iestāde 02.01.2019. noslēdz operatīvās nomas līgumu par mikroskopa nomu. Nomas termiņš 3 gadi, nomas</w:t>
      </w:r>
      <w:r w:rsidR="00DC6D9B" w:rsidRPr="00A13C30">
        <w:rPr>
          <w:spacing w:val="-4"/>
          <w:sz w:val="24"/>
          <w:szCs w:val="24"/>
        </w:rPr>
        <w:t xml:space="preserve"> </w:t>
      </w:r>
      <w:r w:rsidR="00DC6D9B" w:rsidRPr="00A13C30">
        <w:rPr>
          <w:sz w:val="24"/>
          <w:szCs w:val="24"/>
        </w:rPr>
        <w:t>maksa</w:t>
      </w:r>
      <w:r w:rsidR="00DC6D9B" w:rsidRPr="00A13C30">
        <w:rPr>
          <w:spacing w:val="-4"/>
          <w:sz w:val="24"/>
          <w:szCs w:val="24"/>
        </w:rPr>
        <w:t xml:space="preserve"> </w:t>
      </w:r>
      <w:r w:rsidR="00DC6D9B" w:rsidRPr="00A13C30">
        <w:rPr>
          <w:sz w:val="24"/>
          <w:szCs w:val="24"/>
        </w:rPr>
        <w:t>950,00</w:t>
      </w:r>
      <w:r w:rsidR="00DC6D9B" w:rsidRPr="00A13C30">
        <w:rPr>
          <w:spacing w:val="-5"/>
          <w:sz w:val="24"/>
          <w:szCs w:val="24"/>
        </w:rPr>
        <w:t xml:space="preserve"> </w:t>
      </w:r>
      <w:r w:rsidR="00DC6D9B" w:rsidRPr="00A13C30">
        <w:rPr>
          <w:sz w:val="24"/>
          <w:szCs w:val="24"/>
        </w:rPr>
        <w:t>EUR</w:t>
      </w:r>
      <w:r w:rsidR="00DC6D9B" w:rsidRPr="00A13C30">
        <w:rPr>
          <w:spacing w:val="-8"/>
          <w:sz w:val="24"/>
          <w:szCs w:val="24"/>
        </w:rPr>
        <w:t xml:space="preserve"> </w:t>
      </w:r>
      <w:r w:rsidR="00DC6D9B" w:rsidRPr="00A13C30">
        <w:rPr>
          <w:sz w:val="24"/>
          <w:szCs w:val="24"/>
        </w:rPr>
        <w:t>gadā.</w:t>
      </w:r>
      <w:r w:rsidR="00DC6D9B" w:rsidRPr="00A13C30">
        <w:rPr>
          <w:spacing w:val="-5"/>
          <w:sz w:val="24"/>
          <w:szCs w:val="24"/>
        </w:rPr>
        <w:t xml:space="preserve"> </w:t>
      </w:r>
      <w:r w:rsidR="00DC6D9B" w:rsidRPr="00A13C30">
        <w:rPr>
          <w:sz w:val="24"/>
          <w:szCs w:val="24"/>
        </w:rPr>
        <w:t>Saskaņā</w:t>
      </w:r>
      <w:r w:rsidR="00DC6D9B" w:rsidRPr="00A13C30">
        <w:rPr>
          <w:spacing w:val="-4"/>
          <w:sz w:val="24"/>
          <w:szCs w:val="24"/>
        </w:rPr>
        <w:t xml:space="preserve"> </w:t>
      </w:r>
      <w:r w:rsidR="00DC6D9B" w:rsidRPr="00A13C30">
        <w:rPr>
          <w:sz w:val="24"/>
          <w:szCs w:val="24"/>
        </w:rPr>
        <w:t>ar</w:t>
      </w:r>
      <w:r w:rsidR="00DC6D9B" w:rsidRPr="00A13C30">
        <w:rPr>
          <w:spacing w:val="-5"/>
          <w:sz w:val="24"/>
          <w:szCs w:val="24"/>
        </w:rPr>
        <w:t xml:space="preserve"> </w:t>
      </w:r>
      <w:r w:rsidR="00DC6D9B" w:rsidRPr="00A13C30">
        <w:rPr>
          <w:sz w:val="24"/>
          <w:szCs w:val="24"/>
        </w:rPr>
        <w:t>līgumu</w:t>
      </w:r>
      <w:r w:rsidR="00DC6D9B" w:rsidRPr="00A13C30">
        <w:rPr>
          <w:spacing w:val="-5"/>
          <w:sz w:val="24"/>
          <w:szCs w:val="24"/>
        </w:rPr>
        <w:t xml:space="preserve"> </w:t>
      </w:r>
      <w:r w:rsidR="00DC6D9B" w:rsidRPr="00A13C30">
        <w:rPr>
          <w:sz w:val="24"/>
          <w:szCs w:val="24"/>
        </w:rPr>
        <w:t>budžeta</w:t>
      </w:r>
      <w:r w:rsidR="00DC6D9B" w:rsidRPr="00A13C30">
        <w:rPr>
          <w:spacing w:val="-4"/>
          <w:sz w:val="24"/>
          <w:szCs w:val="24"/>
        </w:rPr>
        <w:t xml:space="preserve"> </w:t>
      </w:r>
      <w:r w:rsidR="00DC6D9B" w:rsidRPr="00A13C30">
        <w:rPr>
          <w:sz w:val="24"/>
          <w:szCs w:val="24"/>
        </w:rPr>
        <w:t>iestāde</w:t>
      </w:r>
      <w:r w:rsidR="00DC6D9B" w:rsidRPr="00A13C30">
        <w:rPr>
          <w:spacing w:val="-6"/>
          <w:sz w:val="24"/>
          <w:szCs w:val="24"/>
        </w:rPr>
        <w:t xml:space="preserve"> </w:t>
      </w:r>
      <w:r w:rsidR="00DC6D9B" w:rsidRPr="00A13C30">
        <w:rPr>
          <w:sz w:val="24"/>
          <w:szCs w:val="24"/>
        </w:rPr>
        <w:t>veic</w:t>
      </w:r>
      <w:r w:rsidR="00DC6D9B" w:rsidRPr="00A13C30">
        <w:rPr>
          <w:spacing w:val="-4"/>
          <w:sz w:val="24"/>
          <w:szCs w:val="24"/>
        </w:rPr>
        <w:t xml:space="preserve"> </w:t>
      </w:r>
      <w:r w:rsidR="00DC6D9B" w:rsidRPr="00A13C30">
        <w:rPr>
          <w:sz w:val="24"/>
          <w:szCs w:val="24"/>
        </w:rPr>
        <w:t>nomas</w:t>
      </w:r>
      <w:r w:rsidR="00DC6D9B" w:rsidRPr="00A13C30">
        <w:rPr>
          <w:spacing w:val="-4"/>
          <w:sz w:val="24"/>
          <w:szCs w:val="24"/>
        </w:rPr>
        <w:t xml:space="preserve"> </w:t>
      </w:r>
      <w:r w:rsidR="00DC6D9B" w:rsidRPr="00A13C30">
        <w:rPr>
          <w:sz w:val="24"/>
          <w:szCs w:val="24"/>
        </w:rPr>
        <w:t>maksājumus</w:t>
      </w:r>
      <w:r w:rsidR="00DC6D9B" w:rsidRPr="00A13C30">
        <w:rPr>
          <w:spacing w:val="-4"/>
          <w:sz w:val="24"/>
          <w:szCs w:val="24"/>
        </w:rPr>
        <w:t xml:space="preserve"> </w:t>
      </w:r>
      <w:r w:rsidR="00DC6D9B" w:rsidRPr="00A13C30">
        <w:rPr>
          <w:sz w:val="24"/>
          <w:szCs w:val="24"/>
        </w:rPr>
        <w:t>vienu</w:t>
      </w:r>
      <w:r w:rsidR="00DC6D9B" w:rsidRPr="00A13C30">
        <w:rPr>
          <w:spacing w:val="-3"/>
          <w:sz w:val="24"/>
          <w:szCs w:val="24"/>
        </w:rPr>
        <w:t xml:space="preserve"> </w:t>
      </w:r>
      <w:r w:rsidR="00DC6D9B" w:rsidRPr="00A13C30">
        <w:rPr>
          <w:sz w:val="24"/>
          <w:szCs w:val="24"/>
        </w:rPr>
        <w:t>reizi</w:t>
      </w:r>
      <w:r w:rsidR="00DC6D9B" w:rsidRPr="00A13C30">
        <w:rPr>
          <w:spacing w:val="-4"/>
          <w:sz w:val="24"/>
          <w:szCs w:val="24"/>
        </w:rPr>
        <w:t xml:space="preserve"> </w:t>
      </w:r>
      <w:r w:rsidR="00DC6D9B" w:rsidRPr="00A13C30">
        <w:rPr>
          <w:sz w:val="24"/>
          <w:szCs w:val="24"/>
        </w:rPr>
        <w:t>gada beigās. Piemērā tiek pieņemts, ka budžeta iestāde izdevumus atzīst gada beigās. Budžeta iestāde nav PVN maksātājs.</w:t>
      </w:r>
    </w:p>
    <w:p w14:paraId="08B03C1A" w14:textId="77777777" w:rsidR="00DC6D9B" w:rsidRPr="00A13C30" w:rsidRDefault="00DC6D9B" w:rsidP="00CD363C">
      <w:pPr>
        <w:pStyle w:val="Pamatteksts"/>
        <w:ind w:left="338" w:right="124"/>
        <w:jc w:val="both"/>
        <w:rPr>
          <w:sz w:val="24"/>
          <w:szCs w:val="24"/>
        </w:rPr>
      </w:pPr>
      <w:r w:rsidRPr="00A13C30">
        <w:rPr>
          <w:sz w:val="24"/>
          <w:szCs w:val="24"/>
        </w:rPr>
        <w:t>Budžeta iestāde veic sekojošus grāmatojumus atbilstošajā pārskata periodā:</w:t>
      </w:r>
    </w:p>
    <w:p w14:paraId="6BFE78DA" w14:textId="77777777" w:rsidR="00DC6D9B" w:rsidRPr="00A13C30" w:rsidRDefault="00DC6D9B" w:rsidP="00CD363C">
      <w:pPr>
        <w:pStyle w:val="Pamatteksts"/>
        <w:ind w:right="124"/>
        <w:jc w:val="both"/>
        <w:rPr>
          <w:sz w:val="24"/>
          <w:szCs w:val="24"/>
        </w:rPr>
      </w:pPr>
    </w:p>
    <w:tbl>
      <w:tblPr>
        <w:tblW w:w="0" w:type="auto"/>
        <w:tblInd w:w="350" w:type="dxa"/>
        <w:tblLayout w:type="fixed"/>
        <w:tblCellMar>
          <w:left w:w="0" w:type="dxa"/>
          <w:right w:w="0" w:type="dxa"/>
        </w:tblCellMar>
        <w:tblLook w:val="01E0" w:firstRow="1" w:lastRow="1" w:firstColumn="1" w:lastColumn="1" w:noHBand="0" w:noVBand="0"/>
      </w:tblPr>
      <w:tblGrid>
        <w:gridCol w:w="582"/>
        <w:gridCol w:w="1179"/>
        <w:gridCol w:w="4861"/>
        <w:gridCol w:w="1761"/>
      </w:tblGrid>
      <w:tr w:rsidR="00DC6D9B" w14:paraId="6E520D16" w14:textId="77777777" w:rsidTr="00535ACC">
        <w:trPr>
          <w:trHeight w:val="268"/>
        </w:trPr>
        <w:tc>
          <w:tcPr>
            <w:tcW w:w="8383" w:type="dxa"/>
            <w:gridSpan w:val="4"/>
          </w:tcPr>
          <w:p w14:paraId="1C6F2102" w14:textId="77777777" w:rsidR="00DC6D9B" w:rsidRDefault="00DC6D9B" w:rsidP="00CD363C">
            <w:pPr>
              <w:pStyle w:val="TableParagraph"/>
              <w:ind w:left="200" w:right="124"/>
              <w:jc w:val="both"/>
              <w:rPr>
                <w:i/>
              </w:rPr>
            </w:pPr>
            <w:r>
              <w:rPr>
                <w:i/>
              </w:rPr>
              <w:t>2019. gada beigās grāmatojums, atzīstot operatīvās nomas izdevumus</w:t>
            </w:r>
          </w:p>
        </w:tc>
      </w:tr>
      <w:tr w:rsidR="00DC6D9B" w14:paraId="7DD596B6" w14:textId="77777777" w:rsidTr="00535ACC">
        <w:trPr>
          <w:trHeight w:val="313"/>
        </w:trPr>
        <w:tc>
          <w:tcPr>
            <w:tcW w:w="582" w:type="dxa"/>
          </w:tcPr>
          <w:p w14:paraId="5CCCEA25" w14:textId="77777777" w:rsidR="00DC6D9B" w:rsidRDefault="00DC6D9B" w:rsidP="00CD363C">
            <w:pPr>
              <w:pStyle w:val="TableParagraph"/>
              <w:ind w:left="200" w:right="124"/>
              <w:jc w:val="both"/>
              <w:rPr>
                <w:i/>
              </w:rPr>
            </w:pPr>
            <w:r>
              <w:rPr>
                <w:i/>
              </w:rPr>
              <w:t>D</w:t>
            </w:r>
          </w:p>
        </w:tc>
        <w:tc>
          <w:tcPr>
            <w:tcW w:w="1179" w:type="dxa"/>
          </w:tcPr>
          <w:p w14:paraId="3C3F6FAC" w14:textId="77777777" w:rsidR="00DC6D9B" w:rsidRDefault="00DC6D9B" w:rsidP="00CD363C">
            <w:pPr>
              <w:pStyle w:val="TableParagraph"/>
              <w:ind w:left="222" w:right="124"/>
              <w:jc w:val="both"/>
              <w:rPr>
                <w:i/>
              </w:rPr>
            </w:pPr>
            <w:r>
              <w:rPr>
                <w:i/>
              </w:rPr>
              <w:t>7000*</w:t>
            </w:r>
          </w:p>
        </w:tc>
        <w:tc>
          <w:tcPr>
            <w:tcW w:w="4861" w:type="dxa"/>
          </w:tcPr>
          <w:p w14:paraId="68ABF857" w14:textId="77777777" w:rsidR="00DC6D9B" w:rsidRDefault="00DC6D9B" w:rsidP="00CD363C">
            <w:pPr>
              <w:pStyle w:val="TableParagraph"/>
              <w:ind w:left="405" w:right="124"/>
              <w:jc w:val="both"/>
              <w:rPr>
                <w:i/>
              </w:rPr>
            </w:pPr>
            <w:r>
              <w:rPr>
                <w:i/>
              </w:rPr>
              <w:t>Pamatdarbības izdevumi</w:t>
            </w:r>
          </w:p>
        </w:tc>
        <w:tc>
          <w:tcPr>
            <w:tcW w:w="1761" w:type="dxa"/>
          </w:tcPr>
          <w:p w14:paraId="28632029" w14:textId="77777777" w:rsidR="00DC6D9B" w:rsidRDefault="00DC6D9B" w:rsidP="00CD363C">
            <w:pPr>
              <w:pStyle w:val="TableParagraph"/>
              <w:ind w:left="138" w:right="124"/>
              <w:jc w:val="both"/>
              <w:rPr>
                <w:i/>
              </w:rPr>
            </w:pPr>
            <w:r>
              <w:rPr>
                <w:i/>
              </w:rPr>
              <w:t>950,00 EUR</w:t>
            </w:r>
          </w:p>
        </w:tc>
      </w:tr>
      <w:tr w:rsidR="00DC6D9B" w14:paraId="1D085258" w14:textId="77777777" w:rsidTr="00535ACC">
        <w:trPr>
          <w:trHeight w:val="344"/>
        </w:trPr>
        <w:tc>
          <w:tcPr>
            <w:tcW w:w="582" w:type="dxa"/>
          </w:tcPr>
          <w:p w14:paraId="0603D1CF" w14:textId="77777777" w:rsidR="00DC6D9B" w:rsidRDefault="00DC6D9B" w:rsidP="00CD363C">
            <w:pPr>
              <w:pStyle w:val="TableParagraph"/>
              <w:ind w:left="200" w:right="124"/>
              <w:jc w:val="both"/>
              <w:rPr>
                <w:i/>
              </w:rPr>
            </w:pPr>
            <w:r>
              <w:rPr>
                <w:i/>
              </w:rPr>
              <w:t>K</w:t>
            </w:r>
          </w:p>
        </w:tc>
        <w:tc>
          <w:tcPr>
            <w:tcW w:w="1179" w:type="dxa"/>
          </w:tcPr>
          <w:p w14:paraId="5B94B841" w14:textId="77777777" w:rsidR="00DC6D9B" w:rsidRDefault="00DC6D9B" w:rsidP="00CD363C">
            <w:pPr>
              <w:pStyle w:val="TableParagraph"/>
              <w:ind w:left="222" w:right="124"/>
              <w:jc w:val="both"/>
              <w:rPr>
                <w:i/>
              </w:rPr>
            </w:pPr>
            <w:r>
              <w:rPr>
                <w:i/>
              </w:rPr>
              <w:t>5316</w:t>
            </w:r>
          </w:p>
        </w:tc>
        <w:tc>
          <w:tcPr>
            <w:tcW w:w="4861" w:type="dxa"/>
          </w:tcPr>
          <w:p w14:paraId="736D8F72" w14:textId="77777777" w:rsidR="00DC6D9B" w:rsidRDefault="00DC6D9B" w:rsidP="00CD363C">
            <w:pPr>
              <w:pStyle w:val="TableParagraph"/>
              <w:ind w:left="405" w:right="124"/>
              <w:jc w:val="both"/>
              <w:rPr>
                <w:i/>
              </w:rPr>
            </w:pPr>
            <w:r>
              <w:rPr>
                <w:i/>
              </w:rPr>
              <w:t>Īstermiņa saistības par operatīvo nomu</w:t>
            </w:r>
          </w:p>
        </w:tc>
        <w:tc>
          <w:tcPr>
            <w:tcW w:w="1761" w:type="dxa"/>
          </w:tcPr>
          <w:p w14:paraId="4D24EF97" w14:textId="77777777" w:rsidR="00DC6D9B" w:rsidRDefault="00DC6D9B" w:rsidP="00CD363C">
            <w:pPr>
              <w:pStyle w:val="TableParagraph"/>
              <w:ind w:left="138" w:right="124"/>
              <w:jc w:val="both"/>
              <w:rPr>
                <w:i/>
              </w:rPr>
            </w:pPr>
            <w:r>
              <w:rPr>
                <w:i/>
              </w:rPr>
              <w:t>950,00 EUR</w:t>
            </w:r>
          </w:p>
        </w:tc>
      </w:tr>
      <w:tr w:rsidR="00DC6D9B" w14:paraId="69919CDA" w14:textId="77777777" w:rsidTr="00535ACC">
        <w:trPr>
          <w:trHeight w:val="558"/>
        </w:trPr>
        <w:tc>
          <w:tcPr>
            <w:tcW w:w="8383" w:type="dxa"/>
            <w:gridSpan w:val="4"/>
          </w:tcPr>
          <w:p w14:paraId="634BAF51" w14:textId="77777777" w:rsidR="00DC6D9B" w:rsidRDefault="00DC6D9B" w:rsidP="00CD363C">
            <w:pPr>
              <w:pStyle w:val="TableParagraph"/>
              <w:ind w:left="200" w:right="124"/>
              <w:jc w:val="both"/>
              <w:rPr>
                <w:i/>
                <w:sz w:val="20"/>
              </w:rPr>
            </w:pPr>
            <w:r>
              <w:rPr>
                <w:i/>
                <w:sz w:val="20"/>
              </w:rPr>
              <w:t>* budžeta iestāde izstrādā kontu plānu pamatdarbības izdevumu uzskaitei atbilstoši budžeta izdevumu ekonomisko kategoriju klasifikācijai</w:t>
            </w:r>
          </w:p>
        </w:tc>
      </w:tr>
      <w:tr w:rsidR="00DC6D9B" w14:paraId="059283E6" w14:textId="77777777" w:rsidTr="00535ACC">
        <w:trPr>
          <w:trHeight w:val="323"/>
        </w:trPr>
        <w:tc>
          <w:tcPr>
            <w:tcW w:w="8383" w:type="dxa"/>
            <w:gridSpan w:val="4"/>
          </w:tcPr>
          <w:p w14:paraId="123B3CA7" w14:textId="77777777" w:rsidR="00DC6D9B" w:rsidRDefault="00DC6D9B" w:rsidP="00CD363C">
            <w:pPr>
              <w:pStyle w:val="TableParagraph"/>
              <w:ind w:left="200" w:right="124"/>
              <w:jc w:val="both"/>
              <w:rPr>
                <w:i/>
              </w:rPr>
            </w:pPr>
            <w:r>
              <w:rPr>
                <w:i/>
              </w:rPr>
              <w:t>2019. gada beigās grāmatojums, veicot operatīvās nomas maksājumu</w:t>
            </w:r>
          </w:p>
        </w:tc>
      </w:tr>
      <w:tr w:rsidR="00DC6D9B" w14:paraId="36AF7A11" w14:textId="77777777" w:rsidTr="00535ACC">
        <w:trPr>
          <w:trHeight w:val="313"/>
        </w:trPr>
        <w:tc>
          <w:tcPr>
            <w:tcW w:w="582" w:type="dxa"/>
          </w:tcPr>
          <w:p w14:paraId="60DACEFE" w14:textId="77777777" w:rsidR="00DC6D9B" w:rsidRDefault="00DC6D9B" w:rsidP="00CD363C">
            <w:pPr>
              <w:pStyle w:val="TableParagraph"/>
              <w:ind w:left="200" w:right="124"/>
              <w:jc w:val="both"/>
              <w:rPr>
                <w:i/>
              </w:rPr>
            </w:pPr>
            <w:r>
              <w:rPr>
                <w:i/>
              </w:rPr>
              <w:t>D</w:t>
            </w:r>
          </w:p>
        </w:tc>
        <w:tc>
          <w:tcPr>
            <w:tcW w:w="1179" w:type="dxa"/>
          </w:tcPr>
          <w:p w14:paraId="4543C834" w14:textId="77777777" w:rsidR="00DC6D9B" w:rsidRDefault="00DC6D9B" w:rsidP="00CD363C">
            <w:pPr>
              <w:pStyle w:val="TableParagraph"/>
              <w:ind w:left="222" w:right="124"/>
              <w:jc w:val="both"/>
              <w:rPr>
                <w:i/>
              </w:rPr>
            </w:pPr>
            <w:r>
              <w:rPr>
                <w:i/>
              </w:rPr>
              <w:t>5316</w:t>
            </w:r>
          </w:p>
        </w:tc>
        <w:tc>
          <w:tcPr>
            <w:tcW w:w="4861" w:type="dxa"/>
          </w:tcPr>
          <w:p w14:paraId="54645C3D" w14:textId="77777777" w:rsidR="00DC6D9B" w:rsidRDefault="00DC6D9B" w:rsidP="00CD363C">
            <w:pPr>
              <w:pStyle w:val="TableParagraph"/>
              <w:ind w:left="405" w:right="124"/>
              <w:jc w:val="both"/>
              <w:rPr>
                <w:i/>
              </w:rPr>
            </w:pPr>
            <w:r>
              <w:rPr>
                <w:i/>
              </w:rPr>
              <w:t>Īstermiņa saistības par operatīvo nomu</w:t>
            </w:r>
          </w:p>
        </w:tc>
        <w:tc>
          <w:tcPr>
            <w:tcW w:w="1761" w:type="dxa"/>
          </w:tcPr>
          <w:p w14:paraId="293378D6" w14:textId="77777777" w:rsidR="00DC6D9B" w:rsidRDefault="00DC6D9B" w:rsidP="00CD363C">
            <w:pPr>
              <w:pStyle w:val="TableParagraph"/>
              <w:ind w:left="138" w:right="124"/>
              <w:jc w:val="both"/>
              <w:rPr>
                <w:i/>
              </w:rPr>
            </w:pPr>
            <w:r>
              <w:rPr>
                <w:i/>
              </w:rPr>
              <w:t>950,00 EUR</w:t>
            </w:r>
          </w:p>
        </w:tc>
      </w:tr>
      <w:tr w:rsidR="00DC6D9B" w14:paraId="3C0500D4" w14:textId="77777777" w:rsidTr="00535ACC">
        <w:trPr>
          <w:trHeight w:val="540"/>
        </w:trPr>
        <w:tc>
          <w:tcPr>
            <w:tcW w:w="582" w:type="dxa"/>
          </w:tcPr>
          <w:p w14:paraId="04EAAD3B" w14:textId="77777777" w:rsidR="00DC6D9B" w:rsidRDefault="00DC6D9B" w:rsidP="00CD363C">
            <w:pPr>
              <w:pStyle w:val="TableParagraph"/>
              <w:ind w:left="200" w:right="124"/>
              <w:jc w:val="both"/>
              <w:rPr>
                <w:i/>
              </w:rPr>
            </w:pPr>
            <w:r>
              <w:rPr>
                <w:i/>
              </w:rPr>
              <w:t>K</w:t>
            </w:r>
          </w:p>
        </w:tc>
        <w:tc>
          <w:tcPr>
            <w:tcW w:w="1179" w:type="dxa"/>
          </w:tcPr>
          <w:p w14:paraId="3A0455C0" w14:textId="77777777" w:rsidR="00DC6D9B" w:rsidRDefault="00DC6D9B" w:rsidP="00CD363C">
            <w:pPr>
              <w:pStyle w:val="TableParagraph"/>
              <w:ind w:left="222" w:right="124"/>
              <w:jc w:val="both"/>
              <w:rPr>
                <w:i/>
              </w:rPr>
            </w:pPr>
            <w:r>
              <w:rPr>
                <w:i/>
              </w:rPr>
              <w:t>2620</w:t>
            </w:r>
          </w:p>
        </w:tc>
        <w:tc>
          <w:tcPr>
            <w:tcW w:w="4861" w:type="dxa"/>
          </w:tcPr>
          <w:p w14:paraId="535A6BC2" w14:textId="77777777" w:rsidR="00DC6D9B" w:rsidRDefault="00DC6D9B" w:rsidP="00CD363C">
            <w:pPr>
              <w:pStyle w:val="TableParagraph"/>
              <w:ind w:left="405" w:right="124"/>
              <w:jc w:val="both"/>
              <w:rPr>
                <w:i/>
              </w:rPr>
            </w:pPr>
            <w:r>
              <w:rPr>
                <w:i/>
              </w:rPr>
              <w:t>Norēķinu konti Valsts kasē, kredītiestādēs vai citās institūcijās</w:t>
            </w:r>
          </w:p>
        </w:tc>
        <w:tc>
          <w:tcPr>
            <w:tcW w:w="1761" w:type="dxa"/>
          </w:tcPr>
          <w:p w14:paraId="4EE4D67B" w14:textId="77777777" w:rsidR="00DC6D9B" w:rsidRDefault="00DC6D9B" w:rsidP="00CD363C">
            <w:pPr>
              <w:pStyle w:val="TableParagraph"/>
              <w:ind w:left="138" w:right="124"/>
              <w:jc w:val="both"/>
              <w:rPr>
                <w:i/>
              </w:rPr>
            </w:pPr>
            <w:r>
              <w:rPr>
                <w:i/>
              </w:rPr>
              <w:t>950,00 EUR</w:t>
            </w:r>
          </w:p>
        </w:tc>
      </w:tr>
    </w:tbl>
    <w:p w14:paraId="26FD9E2F" w14:textId="77777777" w:rsidR="00DC6D9B" w:rsidRDefault="00DC6D9B" w:rsidP="00CD363C">
      <w:pPr>
        <w:spacing w:after="0" w:line="240" w:lineRule="auto"/>
        <w:ind w:left="338" w:right="124"/>
        <w:jc w:val="both"/>
        <w:rPr>
          <w:i/>
        </w:rPr>
      </w:pPr>
      <w:r>
        <w:rPr>
          <w:i/>
        </w:rPr>
        <w:t>Informāciju par operatīvajā nomā saņemto mikroskopu pārskata gada beigās budžeta iestāde uzrāda zembilances kodā 0100 “Zembilances aktīvi”.</w:t>
      </w:r>
    </w:p>
    <w:p w14:paraId="6AAA2A64" w14:textId="77777777" w:rsidR="00DC6D9B" w:rsidRDefault="00DC6D9B" w:rsidP="00CD363C">
      <w:pPr>
        <w:pStyle w:val="Pamatteksts"/>
        <w:ind w:right="124"/>
        <w:jc w:val="both"/>
        <w:rPr>
          <w:i/>
          <w:sz w:val="9"/>
        </w:rPr>
      </w:pPr>
    </w:p>
    <w:tbl>
      <w:tblPr>
        <w:tblW w:w="0" w:type="auto"/>
        <w:tblInd w:w="350" w:type="dxa"/>
        <w:tblLayout w:type="fixed"/>
        <w:tblCellMar>
          <w:left w:w="0" w:type="dxa"/>
          <w:right w:w="0" w:type="dxa"/>
        </w:tblCellMar>
        <w:tblLook w:val="01E0" w:firstRow="1" w:lastRow="1" w:firstColumn="1" w:lastColumn="1" w:noHBand="0" w:noVBand="0"/>
      </w:tblPr>
      <w:tblGrid>
        <w:gridCol w:w="582"/>
        <w:gridCol w:w="1179"/>
        <w:gridCol w:w="4860"/>
        <w:gridCol w:w="2629"/>
      </w:tblGrid>
      <w:tr w:rsidR="00DC6D9B" w14:paraId="520E9C0D" w14:textId="77777777" w:rsidTr="00535ACC">
        <w:trPr>
          <w:trHeight w:val="268"/>
        </w:trPr>
        <w:tc>
          <w:tcPr>
            <w:tcW w:w="9250" w:type="dxa"/>
            <w:gridSpan w:val="4"/>
          </w:tcPr>
          <w:p w14:paraId="1D293CCF" w14:textId="77777777" w:rsidR="00DC6D9B" w:rsidRDefault="00DC6D9B" w:rsidP="00CD363C">
            <w:pPr>
              <w:pStyle w:val="TableParagraph"/>
              <w:ind w:left="200" w:right="124"/>
              <w:jc w:val="both"/>
              <w:rPr>
                <w:i/>
              </w:rPr>
            </w:pPr>
            <w:r>
              <w:rPr>
                <w:i/>
              </w:rPr>
              <w:t>2020. gada beigās grāmatojums, atzīstot operatīvās nomas izdevumus</w:t>
            </w:r>
          </w:p>
        </w:tc>
      </w:tr>
      <w:tr w:rsidR="00DC6D9B" w14:paraId="55735FF9" w14:textId="77777777" w:rsidTr="00535ACC">
        <w:trPr>
          <w:trHeight w:val="312"/>
        </w:trPr>
        <w:tc>
          <w:tcPr>
            <w:tcW w:w="582" w:type="dxa"/>
          </w:tcPr>
          <w:p w14:paraId="15858A2C" w14:textId="77777777" w:rsidR="00DC6D9B" w:rsidRDefault="00DC6D9B" w:rsidP="00CD363C">
            <w:pPr>
              <w:pStyle w:val="TableParagraph"/>
              <w:ind w:left="200" w:right="124"/>
              <w:jc w:val="both"/>
              <w:rPr>
                <w:i/>
              </w:rPr>
            </w:pPr>
            <w:r>
              <w:rPr>
                <w:i/>
              </w:rPr>
              <w:t>D</w:t>
            </w:r>
          </w:p>
        </w:tc>
        <w:tc>
          <w:tcPr>
            <w:tcW w:w="1179" w:type="dxa"/>
          </w:tcPr>
          <w:p w14:paraId="3F127F98" w14:textId="77777777" w:rsidR="00DC6D9B" w:rsidRDefault="00DC6D9B" w:rsidP="00CD363C">
            <w:pPr>
              <w:pStyle w:val="TableParagraph"/>
              <w:ind w:left="222" w:right="124"/>
              <w:jc w:val="both"/>
              <w:rPr>
                <w:i/>
              </w:rPr>
            </w:pPr>
            <w:r>
              <w:rPr>
                <w:i/>
              </w:rPr>
              <w:t>7000*</w:t>
            </w:r>
          </w:p>
        </w:tc>
        <w:tc>
          <w:tcPr>
            <w:tcW w:w="4860" w:type="dxa"/>
          </w:tcPr>
          <w:p w14:paraId="43B5BA3E" w14:textId="77777777" w:rsidR="00DC6D9B" w:rsidRDefault="00DC6D9B" w:rsidP="00CD363C">
            <w:pPr>
              <w:pStyle w:val="TableParagraph"/>
              <w:ind w:left="405" w:right="124"/>
              <w:jc w:val="both"/>
              <w:rPr>
                <w:i/>
              </w:rPr>
            </w:pPr>
            <w:r>
              <w:rPr>
                <w:i/>
              </w:rPr>
              <w:t>Pamatdarbības izdevumi</w:t>
            </w:r>
          </w:p>
        </w:tc>
        <w:tc>
          <w:tcPr>
            <w:tcW w:w="2629" w:type="dxa"/>
          </w:tcPr>
          <w:p w14:paraId="2DB6B610" w14:textId="77777777" w:rsidR="00DC6D9B" w:rsidRDefault="00DC6D9B" w:rsidP="00CD363C">
            <w:pPr>
              <w:pStyle w:val="TableParagraph"/>
              <w:ind w:left="139" w:right="124"/>
              <w:jc w:val="both"/>
              <w:rPr>
                <w:i/>
              </w:rPr>
            </w:pPr>
            <w:r>
              <w:rPr>
                <w:i/>
              </w:rPr>
              <w:t>950,00 EUR</w:t>
            </w:r>
          </w:p>
        </w:tc>
      </w:tr>
      <w:tr w:rsidR="00DC6D9B" w14:paraId="04D466B7" w14:textId="77777777" w:rsidTr="00535ACC">
        <w:trPr>
          <w:trHeight w:val="341"/>
        </w:trPr>
        <w:tc>
          <w:tcPr>
            <w:tcW w:w="582" w:type="dxa"/>
          </w:tcPr>
          <w:p w14:paraId="4635BD55" w14:textId="77777777" w:rsidR="00DC6D9B" w:rsidRDefault="00DC6D9B" w:rsidP="00CD363C">
            <w:pPr>
              <w:pStyle w:val="TableParagraph"/>
              <w:ind w:left="200" w:right="124"/>
              <w:jc w:val="both"/>
              <w:rPr>
                <w:i/>
              </w:rPr>
            </w:pPr>
            <w:r>
              <w:rPr>
                <w:i/>
              </w:rPr>
              <w:t>K</w:t>
            </w:r>
          </w:p>
        </w:tc>
        <w:tc>
          <w:tcPr>
            <w:tcW w:w="1179" w:type="dxa"/>
          </w:tcPr>
          <w:p w14:paraId="16AD329C" w14:textId="77777777" w:rsidR="00DC6D9B" w:rsidRDefault="00DC6D9B" w:rsidP="00CD363C">
            <w:pPr>
              <w:pStyle w:val="TableParagraph"/>
              <w:ind w:left="222" w:right="124"/>
              <w:jc w:val="both"/>
              <w:rPr>
                <w:i/>
              </w:rPr>
            </w:pPr>
            <w:r>
              <w:rPr>
                <w:i/>
              </w:rPr>
              <w:t>5316</w:t>
            </w:r>
          </w:p>
        </w:tc>
        <w:tc>
          <w:tcPr>
            <w:tcW w:w="4860" w:type="dxa"/>
          </w:tcPr>
          <w:p w14:paraId="0D7B3E27"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4C0C097A" w14:textId="77777777" w:rsidR="00DC6D9B" w:rsidRDefault="00DC6D9B" w:rsidP="00CD363C">
            <w:pPr>
              <w:pStyle w:val="TableParagraph"/>
              <w:ind w:left="139" w:right="124"/>
              <w:jc w:val="both"/>
              <w:rPr>
                <w:i/>
              </w:rPr>
            </w:pPr>
            <w:r>
              <w:rPr>
                <w:i/>
              </w:rPr>
              <w:t>950,00 EUR</w:t>
            </w:r>
          </w:p>
        </w:tc>
      </w:tr>
      <w:tr w:rsidR="00DC6D9B" w14:paraId="1FB355B9" w14:textId="77777777" w:rsidTr="00535ACC">
        <w:trPr>
          <w:trHeight w:val="606"/>
        </w:trPr>
        <w:tc>
          <w:tcPr>
            <w:tcW w:w="9250" w:type="dxa"/>
            <w:gridSpan w:val="4"/>
          </w:tcPr>
          <w:p w14:paraId="63752257" w14:textId="77777777" w:rsidR="00DC6D9B" w:rsidRDefault="00DC6D9B" w:rsidP="00CD363C">
            <w:pPr>
              <w:pStyle w:val="TableParagraph"/>
              <w:ind w:left="200" w:right="124"/>
              <w:jc w:val="both"/>
              <w:rPr>
                <w:i/>
              </w:rPr>
            </w:pPr>
            <w:r>
              <w:rPr>
                <w:i/>
              </w:rPr>
              <w:t>*</w:t>
            </w:r>
            <w:r>
              <w:rPr>
                <w:i/>
                <w:spacing w:val="-15"/>
              </w:rPr>
              <w:t xml:space="preserve"> </w:t>
            </w:r>
            <w:r>
              <w:rPr>
                <w:i/>
              </w:rPr>
              <w:t>budžeta</w:t>
            </w:r>
            <w:r>
              <w:rPr>
                <w:i/>
                <w:spacing w:val="-15"/>
              </w:rPr>
              <w:t xml:space="preserve"> </w:t>
            </w:r>
            <w:r>
              <w:rPr>
                <w:i/>
              </w:rPr>
              <w:t>iestāde</w:t>
            </w:r>
            <w:r>
              <w:rPr>
                <w:i/>
                <w:spacing w:val="-16"/>
              </w:rPr>
              <w:t xml:space="preserve"> </w:t>
            </w:r>
            <w:r>
              <w:rPr>
                <w:i/>
              </w:rPr>
              <w:t>izstrādā</w:t>
            </w:r>
            <w:r>
              <w:rPr>
                <w:i/>
                <w:spacing w:val="-15"/>
              </w:rPr>
              <w:t xml:space="preserve"> </w:t>
            </w:r>
            <w:r>
              <w:rPr>
                <w:i/>
              </w:rPr>
              <w:t>kontu</w:t>
            </w:r>
            <w:r>
              <w:rPr>
                <w:i/>
                <w:spacing w:val="-14"/>
              </w:rPr>
              <w:t xml:space="preserve"> </w:t>
            </w:r>
            <w:r>
              <w:rPr>
                <w:i/>
              </w:rPr>
              <w:t>plānu</w:t>
            </w:r>
            <w:r>
              <w:rPr>
                <w:i/>
                <w:spacing w:val="-15"/>
              </w:rPr>
              <w:t xml:space="preserve"> </w:t>
            </w:r>
            <w:r>
              <w:rPr>
                <w:i/>
              </w:rPr>
              <w:t>pamatdarbības</w:t>
            </w:r>
            <w:r>
              <w:rPr>
                <w:i/>
                <w:spacing w:val="-14"/>
              </w:rPr>
              <w:t xml:space="preserve"> </w:t>
            </w:r>
            <w:r>
              <w:rPr>
                <w:i/>
              </w:rPr>
              <w:t>izdevumu</w:t>
            </w:r>
            <w:r>
              <w:rPr>
                <w:i/>
                <w:spacing w:val="-16"/>
              </w:rPr>
              <w:t xml:space="preserve"> </w:t>
            </w:r>
            <w:r>
              <w:rPr>
                <w:i/>
              </w:rPr>
              <w:t>uzskaitei</w:t>
            </w:r>
            <w:r>
              <w:rPr>
                <w:i/>
                <w:spacing w:val="-13"/>
              </w:rPr>
              <w:t xml:space="preserve"> </w:t>
            </w:r>
            <w:r>
              <w:rPr>
                <w:i/>
              </w:rPr>
              <w:t>atbilstoši</w:t>
            </w:r>
            <w:r>
              <w:rPr>
                <w:i/>
                <w:spacing w:val="-16"/>
              </w:rPr>
              <w:t xml:space="preserve"> </w:t>
            </w:r>
            <w:r>
              <w:rPr>
                <w:i/>
              </w:rPr>
              <w:t>budžeta</w:t>
            </w:r>
            <w:r>
              <w:rPr>
                <w:i/>
                <w:spacing w:val="-14"/>
              </w:rPr>
              <w:t xml:space="preserve"> </w:t>
            </w:r>
            <w:r>
              <w:rPr>
                <w:i/>
              </w:rPr>
              <w:t>izdevumu ekonomisko kategoriju</w:t>
            </w:r>
            <w:r>
              <w:rPr>
                <w:i/>
                <w:spacing w:val="-4"/>
              </w:rPr>
              <w:t xml:space="preserve"> </w:t>
            </w:r>
            <w:r>
              <w:rPr>
                <w:i/>
              </w:rPr>
              <w:t>klasifikācijai</w:t>
            </w:r>
          </w:p>
        </w:tc>
      </w:tr>
      <w:tr w:rsidR="00DC6D9B" w14:paraId="3118F9F5" w14:textId="77777777" w:rsidTr="00535ACC">
        <w:trPr>
          <w:trHeight w:val="323"/>
        </w:trPr>
        <w:tc>
          <w:tcPr>
            <w:tcW w:w="9250" w:type="dxa"/>
            <w:gridSpan w:val="4"/>
          </w:tcPr>
          <w:p w14:paraId="3DEC662F" w14:textId="77777777" w:rsidR="00DC6D9B" w:rsidRDefault="00DC6D9B" w:rsidP="00CD363C">
            <w:pPr>
              <w:pStyle w:val="TableParagraph"/>
              <w:ind w:left="200" w:right="124"/>
              <w:jc w:val="both"/>
              <w:rPr>
                <w:i/>
              </w:rPr>
            </w:pPr>
            <w:r>
              <w:rPr>
                <w:i/>
              </w:rPr>
              <w:t>2020. gada beigās grāmatojums, veicot operatīvās nomas maksājumu</w:t>
            </w:r>
          </w:p>
        </w:tc>
      </w:tr>
      <w:tr w:rsidR="00DC6D9B" w14:paraId="3E7140D8" w14:textId="77777777" w:rsidTr="00535ACC">
        <w:trPr>
          <w:trHeight w:val="313"/>
        </w:trPr>
        <w:tc>
          <w:tcPr>
            <w:tcW w:w="582" w:type="dxa"/>
          </w:tcPr>
          <w:p w14:paraId="263A0086" w14:textId="77777777" w:rsidR="00DC6D9B" w:rsidRDefault="00DC6D9B" w:rsidP="00CD363C">
            <w:pPr>
              <w:pStyle w:val="TableParagraph"/>
              <w:ind w:left="200" w:right="124"/>
              <w:jc w:val="both"/>
              <w:rPr>
                <w:i/>
              </w:rPr>
            </w:pPr>
            <w:r>
              <w:rPr>
                <w:i/>
              </w:rPr>
              <w:t>D</w:t>
            </w:r>
          </w:p>
        </w:tc>
        <w:tc>
          <w:tcPr>
            <w:tcW w:w="1179" w:type="dxa"/>
          </w:tcPr>
          <w:p w14:paraId="1A32EA53" w14:textId="77777777" w:rsidR="00DC6D9B" w:rsidRDefault="00DC6D9B" w:rsidP="00CD363C">
            <w:pPr>
              <w:pStyle w:val="TableParagraph"/>
              <w:ind w:left="222" w:right="124"/>
              <w:jc w:val="both"/>
              <w:rPr>
                <w:i/>
              </w:rPr>
            </w:pPr>
            <w:r>
              <w:rPr>
                <w:i/>
              </w:rPr>
              <w:t>5316</w:t>
            </w:r>
          </w:p>
        </w:tc>
        <w:tc>
          <w:tcPr>
            <w:tcW w:w="4860" w:type="dxa"/>
          </w:tcPr>
          <w:p w14:paraId="2E543D3B"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70BDDA6B" w14:textId="77777777" w:rsidR="00DC6D9B" w:rsidRDefault="00DC6D9B" w:rsidP="00CD363C">
            <w:pPr>
              <w:pStyle w:val="TableParagraph"/>
              <w:ind w:left="139" w:right="124"/>
              <w:jc w:val="both"/>
              <w:rPr>
                <w:i/>
              </w:rPr>
            </w:pPr>
            <w:r>
              <w:rPr>
                <w:i/>
              </w:rPr>
              <w:t>950,00 EUR</w:t>
            </w:r>
          </w:p>
        </w:tc>
      </w:tr>
      <w:tr w:rsidR="00DC6D9B" w14:paraId="143DB965" w14:textId="77777777" w:rsidTr="00535ACC">
        <w:trPr>
          <w:trHeight w:val="615"/>
        </w:trPr>
        <w:tc>
          <w:tcPr>
            <w:tcW w:w="582" w:type="dxa"/>
          </w:tcPr>
          <w:p w14:paraId="19D16F9E" w14:textId="77777777" w:rsidR="00DC6D9B" w:rsidRDefault="00DC6D9B" w:rsidP="00CD363C">
            <w:pPr>
              <w:pStyle w:val="TableParagraph"/>
              <w:ind w:left="200" w:right="124"/>
              <w:jc w:val="both"/>
              <w:rPr>
                <w:i/>
              </w:rPr>
            </w:pPr>
            <w:r>
              <w:rPr>
                <w:i/>
              </w:rPr>
              <w:t>K</w:t>
            </w:r>
          </w:p>
        </w:tc>
        <w:tc>
          <w:tcPr>
            <w:tcW w:w="1179" w:type="dxa"/>
          </w:tcPr>
          <w:p w14:paraId="12B3CF60" w14:textId="77777777" w:rsidR="00DC6D9B" w:rsidRDefault="00DC6D9B" w:rsidP="00CD363C">
            <w:pPr>
              <w:pStyle w:val="TableParagraph"/>
              <w:ind w:left="222" w:right="124"/>
              <w:jc w:val="both"/>
              <w:rPr>
                <w:i/>
              </w:rPr>
            </w:pPr>
            <w:r>
              <w:rPr>
                <w:i/>
              </w:rPr>
              <w:t>2620</w:t>
            </w:r>
          </w:p>
        </w:tc>
        <w:tc>
          <w:tcPr>
            <w:tcW w:w="4860" w:type="dxa"/>
          </w:tcPr>
          <w:p w14:paraId="17275A96" w14:textId="77777777" w:rsidR="00DC6D9B" w:rsidRDefault="00DC6D9B" w:rsidP="00CD363C">
            <w:pPr>
              <w:pStyle w:val="TableParagraph"/>
              <w:ind w:left="405" w:right="124"/>
              <w:jc w:val="both"/>
              <w:rPr>
                <w:i/>
              </w:rPr>
            </w:pPr>
            <w:r>
              <w:rPr>
                <w:i/>
              </w:rPr>
              <w:t>Norēķinu konti Valsts kasē, kredītiestādēs vai citās institūcijās</w:t>
            </w:r>
          </w:p>
        </w:tc>
        <w:tc>
          <w:tcPr>
            <w:tcW w:w="2629" w:type="dxa"/>
          </w:tcPr>
          <w:p w14:paraId="5BCAF59F" w14:textId="77777777" w:rsidR="00DC6D9B" w:rsidRDefault="00DC6D9B" w:rsidP="00CD363C">
            <w:pPr>
              <w:pStyle w:val="TableParagraph"/>
              <w:ind w:left="139" w:right="124"/>
              <w:jc w:val="both"/>
              <w:rPr>
                <w:i/>
              </w:rPr>
            </w:pPr>
            <w:r>
              <w:rPr>
                <w:i/>
              </w:rPr>
              <w:t>950,00 EUR</w:t>
            </w:r>
          </w:p>
        </w:tc>
      </w:tr>
      <w:tr w:rsidR="00DC6D9B" w14:paraId="12ABE60C" w14:textId="77777777" w:rsidTr="00535ACC">
        <w:trPr>
          <w:trHeight w:val="343"/>
        </w:trPr>
        <w:tc>
          <w:tcPr>
            <w:tcW w:w="9250" w:type="dxa"/>
            <w:gridSpan w:val="4"/>
          </w:tcPr>
          <w:p w14:paraId="1EFE08FF" w14:textId="77777777" w:rsidR="00DC6D9B" w:rsidRDefault="00DC6D9B" w:rsidP="00CD363C">
            <w:pPr>
              <w:pStyle w:val="TableParagraph"/>
              <w:ind w:left="200" w:right="124"/>
              <w:jc w:val="both"/>
              <w:rPr>
                <w:i/>
              </w:rPr>
            </w:pPr>
            <w:r>
              <w:rPr>
                <w:i/>
              </w:rPr>
              <w:t>2021. gada beigās grāmatojums, atzīstot operatīvās nomas izdevumus</w:t>
            </w:r>
          </w:p>
        </w:tc>
      </w:tr>
      <w:tr w:rsidR="00DC6D9B" w14:paraId="3BB24AF7" w14:textId="77777777" w:rsidTr="00535ACC">
        <w:trPr>
          <w:trHeight w:val="313"/>
        </w:trPr>
        <w:tc>
          <w:tcPr>
            <w:tcW w:w="582" w:type="dxa"/>
          </w:tcPr>
          <w:p w14:paraId="67A511CE" w14:textId="77777777" w:rsidR="00DC6D9B" w:rsidRDefault="00DC6D9B" w:rsidP="00CD363C">
            <w:pPr>
              <w:pStyle w:val="TableParagraph"/>
              <w:ind w:left="200" w:right="124"/>
              <w:jc w:val="both"/>
              <w:rPr>
                <w:i/>
              </w:rPr>
            </w:pPr>
            <w:r>
              <w:rPr>
                <w:i/>
              </w:rPr>
              <w:t>D</w:t>
            </w:r>
          </w:p>
        </w:tc>
        <w:tc>
          <w:tcPr>
            <w:tcW w:w="1179" w:type="dxa"/>
          </w:tcPr>
          <w:p w14:paraId="42A8F58F" w14:textId="77777777" w:rsidR="00DC6D9B" w:rsidRDefault="00DC6D9B" w:rsidP="00CD363C">
            <w:pPr>
              <w:pStyle w:val="TableParagraph"/>
              <w:ind w:left="222" w:right="124"/>
              <w:jc w:val="both"/>
              <w:rPr>
                <w:i/>
              </w:rPr>
            </w:pPr>
            <w:r>
              <w:rPr>
                <w:i/>
              </w:rPr>
              <w:t>7000*</w:t>
            </w:r>
          </w:p>
        </w:tc>
        <w:tc>
          <w:tcPr>
            <w:tcW w:w="4860" w:type="dxa"/>
          </w:tcPr>
          <w:p w14:paraId="66E1541A" w14:textId="77777777" w:rsidR="00DC6D9B" w:rsidRDefault="00DC6D9B" w:rsidP="00CD363C">
            <w:pPr>
              <w:pStyle w:val="TableParagraph"/>
              <w:ind w:left="405" w:right="124"/>
              <w:jc w:val="both"/>
              <w:rPr>
                <w:i/>
              </w:rPr>
            </w:pPr>
            <w:r>
              <w:rPr>
                <w:i/>
              </w:rPr>
              <w:t>Pamatdarbības izdevumi</w:t>
            </w:r>
          </w:p>
        </w:tc>
        <w:tc>
          <w:tcPr>
            <w:tcW w:w="2629" w:type="dxa"/>
          </w:tcPr>
          <w:p w14:paraId="6D644B86" w14:textId="77777777" w:rsidR="00DC6D9B" w:rsidRDefault="00DC6D9B" w:rsidP="00CD363C">
            <w:pPr>
              <w:pStyle w:val="TableParagraph"/>
              <w:ind w:left="139" w:right="124"/>
              <w:jc w:val="both"/>
              <w:rPr>
                <w:i/>
              </w:rPr>
            </w:pPr>
            <w:r>
              <w:rPr>
                <w:i/>
              </w:rPr>
              <w:t>950,00 EUR</w:t>
            </w:r>
          </w:p>
        </w:tc>
      </w:tr>
      <w:tr w:rsidR="00DC6D9B" w14:paraId="55207B5D" w14:textId="77777777" w:rsidTr="00535ACC">
        <w:trPr>
          <w:trHeight w:val="343"/>
        </w:trPr>
        <w:tc>
          <w:tcPr>
            <w:tcW w:w="582" w:type="dxa"/>
          </w:tcPr>
          <w:p w14:paraId="41F2C62A" w14:textId="77777777" w:rsidR="00DC6D9B" w:rsidRDefault="00DC6D9B" w:rsidP="00CD363C">
            <w:pPr>
              <w:pStyle w:val="TableParagraph"/>
              <w:ind w:left="200" w:right="124"/>
              <w:jc w:val="both"/>
              <w:rPr>
                <w:i/>
              </w:rPr>
            </w:pPr>
            <w:r>
              <w:rPr>
                <w:i/>
              </w:rPr>
              <w:t>K</w:t>
            </w:r>
          </w:p>
        </w:tc>
        <w:tc>
          <w:tcPr>
            <w:tcW w:w="1179" w:type="dxa"/>
          </w:tcPr>
          <w:p w14:paraId="19A90A55" w14:textId="77777777" w:rsidR="00DC6D9B" w:rsidRDefault="00DC6D9B" w:rsidP="00CD363C">
            <w:pPr>
              <w:pStyle w:val="TableParagraph"/>
              <w:ind w:left="222" w:right="124"/>
              <w:jc w:val="both"/>
              <w:rPr>
                <w:i/>
              </w:rPr>
            </w:pPr>
            <w:r>
              <w:rPr>
                <w:i/>
              </w:rPr>
              <w:t>5316</w:t>
            </w:r>
          </w:p>
        </w:tc>
        <w:tc>
          <w:tcPr>
            <w:tcW w:w="4860" w:type="dxa"/>
          </w:tcPr>
          <w:p w14:paraId="04FE26E4"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25269B4C" w14:textId="77777777" w:rsidR="00DC6D9B" w:rsidRDefault="00DC6D9B" w:rsidP="00CD363C">
            <w:pPr>
              <w:pStyle w:val="TableParagraph"/>
              <w:ind w:left="139" w:right="124"/>
              <w:jc w:val="both"/>
              <w:rPr>
                <w:i/>
              </w:rPr>
            </w:pPr>
            <w:r>
              <w:rPr>
                <w:i/>
              </w:rPr>
              <w:t>950,00 EUR</w:t>
            </w:r>
          </w:p>
        </w:tc>
      </w:tr>
      <w:tr w:rsidR="00DC6D9B" w14:paraId="062A6B19" w14:textId="77777777" w:rsidTr="00535ACC">
        <w:trPr>
          <w:trHeight w:val="559"/>
        </w:trPr>
        <w:tc>
          <w:tcPr>
            <w:tcW w:w="9250" w:type="dxa"/>
            <w:gridSpan w:val="4"/>
          </w:tcPr>
          <w:p w14:paraId="5A2986EF" w14:textId="77777777" w:rsidR="00DC6D9B" w:rsidRDefault="00DC6D9B" w:rsidP="00CD363C">
            <w:pPr>
              <w:pStyle w:val="TableParagraph"/>
              <w:ind w:left="200" w:right="124"/>
              <w:jc w:val="both"/>
              <w:rPr>
                <w:i/>
                <w:sz w:val="20"/>
              </w:rPr>
            </w:pPr>
            <w:r>
              <w:rPr>
                <w:i/>
                <w:sz w:val="20"/>
              </w:rPr>
              <w:t>* budžeta iestāde izstrādā kontu plānu pamatdarbības izdevumu uzskaitei atbilstoši budžeta izdevumu ekonomisko kategoriju klasifikācijai</w:t>
            </w:r>
          </w:p>
        </w:tc>
      </w:tr>
      <w:tr w:rsidR="00DC6D9B" w14:paraId="61096D74" w14:textId="77777777" w:rsidTr="00535ACC">
        <w:trPr>
          <w:trHeight w:val="322"/>
        </w:trPr>
        <w:tc>
          <w:tcPr>
            <w:tcW w:w="9250" w:type="dxa"/>
            <w:gridSpan w:val="4"/>
          </w:tcPr>
          <w:p w14:paraId="245B639E" w14:textId="77777777" w:rsidR="00DC6D9B" w:rsidRDefault="00DC6D9B" w:rsidP="00CD363C">
            <w:pPr>
              <w:pStyle w:val="TableParagraph"/>
              <w:ind w:left="255" w:right="124"/>
              <w:jc w:val="both"/>
              <w:rPr>
                <w:i/>
              </w:rPr>
            </w:pPr>
            <w:r>
              <w:rPr>
                <w:i/>
              </w:rPr>
              <w:t>2021. gada beigās grāmatojums, veicot operatīvās nomas maksājumu</w:t>
            </w:r>
          </w:p>
        </w:tc>
      </w:tr>
      <w:tr w:rsidR="00DC6D9B" w14:paraId="1CD61470" w14:textId="77777777" w:rsidTr="00535ACC">
        <w:trPr>
          <w:trHeight w:val="313"/>
        </w:trPr>
        <w:tc>
          <w:tcPr>
            <w:tcW w:w="582" w:type="dxa"/>
          </w:tcPr>
          <w:p w14:paraId="41B8D8CD" w14:textId="77777777" w:rsidR="00DC6D9B" w:rsidRDefault="00DC6D9B" w:rsidP="00CD363C">
            <w:pPr>
              <w:pStyle w:val="TableParagraph"/>
              <w:ind w:left="200" w:right="124"/>
              <w:jc w:val="both"/>
              <w:rPr>
                <w:i/>
              </w:rPr>
            </w:pPr>
            <w:r>
              <w:rPr>
                <w:i/>
              </w:rPr>
              <w:t>D</w:t>
            </w:r>
          </w:p>
        </w:tc>
        <w:tc>
          <w:tcPr>
            <w:tcW w:w="1179" w:type="dxa"/>
          </w:tcPr>
          <w:p w14:paraId="6B620C42" w14:textId="77777777" w:rsidR="00DC6D9B" w:rsidRDefault="00DC6D9B" w:rsidP="00CD363C">
            <w:pPr>
              <w:pStyle w:val="TableParagraph"/>
              <w:ind w:left="222" w:right="124"/>
              <w:jc w:val="both"/>
              <w:rPr>
                <w:i/>
              </w:rPr>
            </w:pPr>
            <w:r>
              <w:rPr>
                <w:i/>
              </w:rPr>
              <w:t>5316</w:t>
            </w:r>
          </w:p>
        </w:tc>
        <w:tc>
          <w:tcPr>
            <w:tcW w:w="4860" w:type="dxa"/>
          </w:tcPr>
          <w:p w14:paraId="2B7D2D60"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7C4276D7" w14:textId="77777777" w:rsidR="00DC6D9B" w:rsidRDefault="00DC6D9B" w:rsidP="00CD363C">
            <w:pPr>
              <w:pStyle w:val="TableParagraph"/>
              <w:ind w:left="139" w:right="124"/>
              <w:jc w:val="both"/>
              <w:rPr>
                <w:i/>
              </w:rPr>
            </w:pPr>
            <w:r>
              <w:rPr>
                <w:i/>
              </w:rPr>
              <w:t>950,00 EUR</w:t>
            </w:r>
          </w:p>
        </w:tc>
      </w:tr>
      <w:tr w:rsidR="00DC6D9B" w14:paraId="7BEAA616" w14:textId="77777777" w:rsidTr="00535ACC">
        <w:trPr>
          <w:trHeight w:val="541"/>
        </w:trPr>
        <w:tc>
          <w:tcPr>
            <w:tcW w:w="582" w:type="dxa"/>
          </w:tcPr>
          <w:p w14:paraId="5BDAC9C1" w14:textId="77777777" w:rsidR="00DC6D9B" w:rsidRDefault="00DC6D9B" w:rsidP="00CD363C">
            <w:pPr>
              <w:pStyle w:val="TableParagraph"/>
              <w:ind w:left="200" w:right="124"/>
              <w:jc w:val="both"/>
              <w:rPr>
                <w:i/>
              </w:rPr>
            </w:pPr>
            <w:r>
              <w:rPr>
                <w:i/>
              </w:rPr>
              <w:t>K</w:t>
            </w:r>
          </w:p>
        </w:tc>
        <w:tc>
          <w:tcPr>
            <w:tcW w:w="1179" w:type="dxa"/>
          </w:tcPr>
          <w:p w14:paraId="737ACC60" w14:textId="77777777" w:rsidR="00DC6D9B" w:rsidRDefault="00DC6D9B" w:rsidP="00CD363C">
            <w:pPr>
              <w:pStyle w:val="TableParagraph"/>
              <w:ind w:left="222" w:right="124"/>
              <w:jc w:val="both"/>
              <w:rPr>
                <w:i/>
              </w:rPr>
            </w:pPr>
            <w:r>
              <w:rPr>
                <w:i/>
              </w:rPr>
              <w:t>2620</w:t>
            </w:r>
          </w:p>
        </w:tc>
        <w:tc>
          <w:tcPr>
            <w:tcW w:w="4860" w:type="dxa"/>
          </w:tcPr>
          <w:p w14:paraId="48FF61DB" w14:textId="77777777" w:rsidR="00DC6D9B" w:rsidRDefault="00DC6D9B" w:rsidP="00CD363C">
            <w:pPr>
              <w:pStyle w:val="TableParagraph"/>
              <w:ind w:left="405" w:right="124"/>
              <w:jc w:val="both"/>
              <w:rPr>
                <w:i/>
              </w:rPr>
            </w:pPr>
            <w:r>
              <w:rPr>
                <w:i/>
              </w:rPr>
              <w:t>Norēķinu konti Valsts kasē, kredītiestādēs vai citās institūcijās</w:t>
            </w:r>
          </w:p>
        </w:tc>
        <w:tc>
          <w:tcPr>
            <w:tcW w:w="2629" w:type="dxa"/>
          </w:tcPr>
          <w:p w14:paraId="0859E674" w14:textId="77777777" w:rsidR="00DC6D9B" w:rsidRDefault="00DC6D9B" w:rsidP="00CD363C">
            <w:pPr>
              <w:pStyle w:val="TableParagraph"/>
              <w:ind w:left="139" w:right="124"/>
              <w:jc w:val="both"/>
              <w:rPr>
                <w:i/>
              </w:rPr>
            </w:pPr>
            <w:r>
              <w:rPr>
                <w:i/>
              </w:rPr>
              <w:t>950,00 EUR</w:t>
            </w:r>
          </w:p>
        </w:tc>
      </w:tr>
    </w:tbl>
    <w:p w14:paraId="73F291CD" w14:textId="77777777" w:rsidR="00DC6D9B" w:rsidRDefault="00DC6D9B" w:rsidP="00CD363C">
      <w:pPr>
        <w:spacing w:after="0" w:line="240" w:lineRule="auto"/>
        <w:ind w:left="338" w:right="124"/>
        <w:jc w:val="both"/>
        <w:rPr>
          <w:i/>
        </w:rPr>
      </w:pPr>
      <w:r>
        <w:t xml:space="preserve">Pēc līguma termiņa beigām </w:t>
      </w:r>
      <w:r>
        <w:rPr>
          <w:i/>
        </w:rPr>
        <w:t>zembilances kodā 0100 “Zembilances aktīvi” izslēdz informāciju par nomā saņemto mikroskopu.</w:t>
      </w:r>
    </w:p>
    <w:p w14:paraId="3BD05065" w14:textId="77777777" w:rsidR="00537588" w:rsidRDefault="00537588" w:rsidP="00CD363C">
      <w:pPr>
        <w:pStyle w:val="Virsraksts4"/>
        <w:numPr>
          <w:ilvl w:val="2"/>
          <w:numId w:val="32"/>
        </w:numPr>
        <w:tabs>
          <w:tab w:val="left" w:pos="879"/>
        </w:tabs>
        <w:spacing w:before="0"/>
        <w:ind w:right="124"/>
        <w:jc w:val="both"/>
      </w:pPr>
      <w:r>
        <w:rPr>
          <w:color w:val="002069"/>
        </w:rPr>
        <w:t>Piemērs – Operatīvās nomas uzskaite no iznomātāja</w:t>
      </w:r>
      <w:r>
        <w:rPr>
          <w:color w:val="002069"/>
          <w:spacing w:val="-4"/>
        </w:rPr>
        <w:t xml:space="preserve"> </w:t>
      </w:r>
      <w:r>
        <w:rPr>
          <w:color w:val="002069"/>
        </w:rPr>
        <w:t>puses</w:t>
      </w:r>
    </w:p>
    <w:p w14:paraId="41A91453" w14:textId="77777777" w:rsidR="00537588" w:rsidRPr="00A13C30" w:rsidRDefault="00A13C30" w:rsidP="00CD363C">
      <w:pPr>
        <w:pStyle w:val="Pamatteksts"/>
        <w:tabs>
          <w:tab w:val="left" w:pos="9781"/>
        </w:tabs>
        <w:ind w:left="338" w:right="124"/>
        <w:jc w:val="both"/>
        <w:rPr>
          <w:sz w:val="24"/>
          <w:szCs w:val="24"/>
        </w:rPr>
      </w:pPr>
      <w:r w:rsidRPr="00A13C30">
        <w:rPr>
          <w:sz w:val="24"/>
          <w:szCs w:val="24"/>
        </w:rPr>
        <w:t>900.</w:t>
      </w:r>
      <w:r>
        <w:rPr>
          <w:sz w:val="24"/>
          <w:szCs w:val="24"/>
        </w:rPr>
        <w:t xml:space="preserve"> </w:t>
      </w:r>
      <w:r w:rsidR="00537588" w:rsidRPr="00A13C30">
        <w:rPr>
          <w:sz w:val="24"/>
          <w:szCs w:val="24"/>
        </w:rPr>
        <w:t>Budžeta</w:t>
      </w:r>
      <w:r w:rsidR="00537588" w:rsidRPr="00A13C30">
        <w:rPr>
          <w:spacing w:val="-7"/>
          <w:sz w:val="24"/>
          <w:szCs w:val="24"/>
        </w:rPr>
        <w:t xml:space="preserve"> </w:t>
      </w:r>
      <w:r w:rsidR="00537588" w:rsidRPr="00A13C30">
        <w:rPr>
          <w:sz w:val="24"/>
          <w:szCs w:val="24"/>
        </w:rPr>
        <w:t>iestāde</w:t>
      </w:r>
      <w:r w:rsidR="00537588" w:rsidRPr="00A13C30">
        <w:rPr>
          <w:spacing w:val="-6"/>
          <w:sz w:val="24"/>
          <w:szCs w:val="24"/>
        </w:rPr>
        <w:t xml:space="preserve"> </w:t>
      </w:r>
      <w:r w:rsidR="00537588" w:rsidRPr="00A13C30">
        <w:rPr>
          <w:sz w:val="24"/>
          <w:szCs w:val="24"/>
        </w:rPr>
        <w:t>02.01.2019.</w:t>
      </w:r>
      <w:r w:rsidR="00537588" w:rsidRPr="00A13C30">
        <w:rPr>
          <w:spacing w:val="-6"/>
          <w:sz w:val="24"/>
          <w:szCs w:val="24"/>
        </w:rPr>
        <w:t xml:space="preserve"> </w:t>
      </w:r>
      <w:r w:rsidR="00537588" w:rsidRPr="00A13C30">
        <w:rPr>
          <w:sz w:val="24"/>
          <w:szCs w:val="24"/>
        </w:rPr>
        <w:t>iegādājas</w:t>
      </w:r>
      <w:r w:rsidR="00537588" w:rsidRPr="00A13C30">
        <w:rPr>
          <w:spacing w:val="-6"/>
          <w:sz w:val="24"/>
          <w:szCs w:val="24"/>
        </w:rPr>
        <w:t xml:space="preserve"> </w:t>
      </w:r>
      <w:r w:rsidR="00537588" w:rsidRPr="00A13C30">
        <w:rPr>
          <w:sz w:val="24"/>
          <w:szCs w:val="24"/>
        </w:rPr>
        <w:t>mikroskopu</w:t>
      </w:r>
      <w:r w:rsidR="00537588" w:rsidRPr="00A13C30">
        <w:rPr>
          <w:spacing w:val="-6"/>
          <w:sz w:val="24"/>
          <w:szCs w:val="24"/>
        </w:rPr>
        <w:t xml:space="preserve"> </w:t>
      </w:r>
      <w:r w:rsidR="00537588" w:rsidRPr="00A13C30">
        <w:rPr>
          <w:sz w:val="24"/>
          <w:szCs w:val="24"/>
        </w:rPr>
        <w:t>par</w:t>
      </w:r>
      <w:r w:rsidR="00537588" w:rsidRPr="00A13C30">
        <w:rPr>
          <w:spacing w:val="-5"/>
          <w:sz w:val="24"/>
          <w:szCs w:val="24"/>
        </w:rPr>
        <w:t xml:space="preserve"> </w:t>
      </w:r>
      <w:r w:rsidR="00537588" w:rsidRPr="00A13C30">
        <w:rPr>
          <w:sz w:val="24"/>
          <w:szCs w:val="24"/>
        </w:rPr>
        <w:t>vērtību</w:t>
      </w:r>
      <w:r w:rsidR="00537588" w:rsidRPr="00A13C30">
        <w:rPr>
          <w:spacing w:val="-6"/>
          <w:sz w:val="24"/>
          <w:szCs w:val="24"/>
        </w:rPr>
        <w:t xml:space="preserve"> </w:t>
      </w:r>
      <w:r w:rsidR="00537588" w:rsidRPr="00A13C30">
        <w:rPr>
          <w:sz w:val="24"/>
          <w:szCs w:val="24"/>
        </w:rPr>
        <w:t>5</w:t>
      </w:r>
      <w:r w:rsidR="00537588" w:rsidRPr="00A13C30">
        <w:rPr>
          <w:spacing w:val="-6"/>
          <w:sz w:val="24"/>
          <w:szCs w:val="24"/>
        </w:rPr>
        <w:t xml:space="preserve"> </w:t>
      </w:r>
      <w:r w:rsidR="00537588" w:rsidRPr="00A13C30">
        <w:rPr>
          <w:sz w:val="24"/>
          <w:szCs w:val="24"/>
        </w:rPr>
        <w:t>000,00</w:t>
      </w:r>
      <w:r w:rsidR="00537588" w:rsidRPr="00A13C30">
        <w:rPr>
          <w:spacing w:val="-6"/>
          <w:sz w:val="24"/>
          <w:szCs w:val="24"/>
        </w:rPr>
        <w:t xml:space="preserve"> </w:t>
      </w:r>
      <w:r w:rsidR="00537588" w:rsidRPr="00A13C30">
        <w:rPr>
          <w:sz w:val="24"/>
          <w:szCs w:val="24"/>
        </w:rPr>
        <w:t>EUR,</w:t>
      </w:r>
      <w:r w:rsidR="00537588" w:rsidRPr="00A13C30">
        <w:rPr>
          <w:spacing w:val="-6"/>
          <w:sz w:val="24"/>
          <w:szCs w:val="24"/>
        </w:rPr>
        <w:t xml:space="preserve"> </w:t>
      </w:r>
      <w:r w:rsidR="00537588" w:rsidRPr="00A13C30">
        <w:rPr>
          <w:sz w:val="24"/>
          <w:szCs w:val="24"/>
        </w:rPr>
        <w:t>ar</w:t>
      </w:r>
      <w:r w:rsidR="00537588" w:rsidRPr="00A13C30">
        <w:rPr>
          <w:spacing w:val="-5"/>
          <w:sz w:val="24"/>
          <w:szCs w:val="24"/>
        </w:rPr>
        <w:t xml:space="preserve"> </w:t>
      </w:r>
      <w:r w:rsidR="00537588" w:rsidRPr="00A13C30">
        <w:rPr>
          <w:sz w:val="24"/>
          <w:szCs w:val="24"/>
        </w:rPr>
        <w:t>lietderīgās</w:t>
      </w:r>
      <w:r w:rsidR="00537588" w:rsidRPr="00A13C30">
        <w:rPr>
          <w:spacing w:val="-5"/>
          <w:sz w:val="24"/>
          <w:szCs w:val="24"/>
        </w:rPr>
        <w:t xml:space="preserve"> </w:t>
      </w:r>
      <w:r w:rsidR="00537588" w:rsidRPr="00A13C30">
        <w:rPr>
          <w:sz w:val="24"/>
          <w:szCs w:val="24"/>
        </w:rPr>
        <w:t>lietošanas</w:t>
      </w:r>
      <w:r w:rsidR="00537588" w:rsidRPr="00A13C30">
        <w:rPr>
          <w:spacing w:val="-8"/>
          <w:sz w:val="24"/>
          <w:szCs w:val="24"/>
        </w:rPr>
        <w:t xml:space="preserve"> </w:t>
      </w:r>
      <w:r w:rsidR="00537588" w:rsidRPr="00A13C30">
        <w:rPr>
          <w:sz w:val="24"/>
          <w:szCs w:val="24"/>
        </w:rPr>
        <w:t>laiku</w:t>
      </w:r>
      <w:r w:rsidR="00537588" w:rsidRPr="00A13C30">
        <w:rPr>
          <w:spacing w:val="-6"/>
          <w:sz w:val="24"/>
          <w:szCs w:val="24"/>
        </w:rPr>
        <w:t xml:space="preserve"> </w:t>
      </w:r>
      <w:r w:rsidR="00537588" w:rsidRPr="00A13C30">
        <w:rPr>
          <w:sz w:val="24"/>
          <w:szCs w:val="24"/>
        </w:rPr>
        <w:t>5 gadi,</w:t>
      </w:r>
      <w:r w:rsidR="00537588" w:rsidRPr="00A13C30">
        <w:rPr>
          <w:spacing w:val="-12"/>
          <w:sz w:val="24"/>
          <w:szCs w:val="24"/>
        </w:rPr>
        <w:t xml:space="preserve"> </w:t>
      </w:r>
      <w:r w:rsidR="00537588" w:rsidRPr="00A13C30">
        <w:rPr>
          <w:sz w:val="24"/>
          <w:szCs w:val="24"/>
        </w:rPr>
        <w:t>un</w:t>
      </w:r>
      <w:r w:rsidR="00537588" w:rsidRPr="00A13C30">
        <w:rPr>
          <w:spacing w:val="-14"/>
          <w:sz w:val="24"/>
          <w:szCs w:val="24"/>
        </w:rPr>
        <w:t xml:space="preserve"> </w:t>
      </w:r>
      <w:r w:rsidR="00537588" w:rsidRPr="00A13C30">
        <w:rPr>
          <w:sz w:val="24"/>
          <w:szCs w:val="24"/>
        </w:rPr>
        <w:t>tajā</w:t>
      </w:r>
      <w:r w:rsidR="00537588" w:rsidRPr="00A13C30">
        <w:rPr>
          <w:spacing w:val="-11"/>
          <w:sz w:val="24"/>
          <w:szCs w:val="24"/>
        </w:rPr>
        <w:t xml:space="preserve"> </w:t>
      </w:r>
      <w:r w:rsidR="00537588" w:rsidRPr="00A13C30">
        <w:rPr>
          <w:sz w:val="24"/>
          <w:szCs w:val="24"/>
        </w:rPr>
        <w:t>pašā</w:t>
      </w:r>
      <w:r w:rsidR="00537588" w:rsidRPr="00A13C30">
        <w:rPr>
          <w:spacing w:val="-14"/>
          <w:sz w:val="24"/>
          <w:szCs w:val="24"/>
        </w:rPr>
        <w:t xml:space="preserve"> </w:t>
      </w:r>
      <w:r w:rsidR="00537588" w:rsidRPr="00A13C30">
        <w:rPr>
          <w:sz w:val="24"/>
          <w:szCs w:val="24"/>
        </w:rPr>
        <w:t>datumā</w:t>
      </w:r>
      <w:r w:rsidR="00537588" w:rsidRPr="00A13C30">
        <w:rPr>
          <w:spacing w:val="-11"/>
          <w:sz w:val="24"/>
          <w:szCs w:val="24"/>
        </w:rPr>
        <w:t xml:space="preserve"> </w:t>
      </w:r>
      <w:r w:rsidR="00537588" w:rsidRPr="00A13C30">
        <w:rPr>
          <w:sz w:val="24"/>
          <w:szCs w:val="24"/>
        </w:rPr>
        <w:t>noslēdz</w:t>
      </w:r>
      <w:r w:rsidR="00537588" w:rsidRPr="00A13C30">
        <w:rPr>
          <w:spacing w:val="-14"/>
          <w:sz w:val="24"/>
          <w:szCs w:val="24"/>
        </w:rPr>
        <w:t xml:space="preserve"> </w:t>
      </w:r>
      <w:r w:rsidR="00537588" w:rsidRPr="00A13C30">
        <w:rPr>
          <w:sz w:val="24"/>
          <w:szCs w:val="24"/>
        </w:rPr>
        <w:t>operatīvās</w:t>
      </w:r>
      <w:r w:rsidR="00537588" w:rsidRPr="00A13C30">
        <w:rPr>
          <w:spacing w:val="-12"/>
          <w:sz w:val="24"/>
          <w:szCs w:val="24"/>
        </w:rPr>
        <w:t xml:space="preserve"> </w:t>
      </w:r>
      <w:r w:rsidR="00537588" w:rsidRPr="00A13C30">
        <w:rPr>
          <w:sz w:val="24"/>
          <w:szCs w:val="24"/>
        </w:rPr>
        <w:t>nomas</w:t>
      </w:r>
      <w:r w:rsidR="00537588" w:rsidRPr="00A13C30">
        <w:rPr>
          <w:spacing w:val="-11"/>
          <w:sz w:val="24"/>
          <w:szCs w:val="24"/>
        </w:rPr>
        <w:t xml:space="preserve"> </w:t>
      </w:r>
      <w:r w:rsidR="00537588" w:rsidRPr="00A13C30">
        <w:rPr>
          <w:sz w:val="24"/>
          <w:szCs w:val="24"/>
        </w:rPr>
        <w:t>līgumu</w:t>
      </w:r>
      <w:r w:rsidR="00537588" w:rsidRPr="00A13C30">
        <w:rPr>
          <w:spacing w:val="-12"/>
          <w:sz w:val="24"/>
          <w:szCs w:val="24"/>
        </w:rPr>
        <w:t xml:space="preserve"> </w:t>
      </w:r>
      <w:r w:rsidR="00537588" w:rsidRPr="00A13C30">
        <w:rPr>
          <w:sz w:val="24"/>
          <w:szCs w:val="24"/>
        </w:rPr>
        <w:t>ar</w:t>
      </w:r>
      <w:r w:rsidR="00537588" w:rsidRPr="00A13C30">
        <w:rPr>
          <w:spacing w:val="-11"/>
          <w:sz w:val="24"/>
          <w:szCs w:val="24"/>
        </w:rPr>
        <w:t xml:space="preserve"> </w:t>
      </w:r>
      <w:r w:rsidR="00537588" w:rsidRPr="00A13C30">
        <w:rPr>
          <w:sz w:val="24"/>
          <w:szCs w:val="24"/>
        </w:rPr>
        <w:t>citu</w:t>
      </w:r>
      <w:r w:rsidR="00537588" w:rsidRPr="00A13C30">
        <w:rPr>
          <w:spacing w:val="-14"/>
          <w:sz w:val="24"/>
          <w:szCs w:val="24"/>
        </w:rPr>
        <w:t xml:space="preserve"> </w:t>
      </w:r>
      <w:r w:rsidR="00537588" w:rsidRPr="00A13C30">
        <w:rPr>
          <w:sz w:val="24"/>
          <w:szCs w:val="24"/>
        </w:rPr>
        <w:t>iestādi</w:t>
      </w:r>
      <w:r w:rsidR="00537588" w:rsidRPr="00A13C30">
        <w:rPr>
          <w:spacing w:val="-11"/>
          <w:sz w:val="24"/>
          <w:szCs w:val="24"/>
        </w:rPr>
        <w:t xml:space="preserve"> </w:t>
      </w:r>
      <w:r w:rsidR="00537588" w:rsidRPr="00A13C30">
        <w:rPr>
          <w:sz w:val="24"/>
          <w:szCs w:val="24"/>
        </w:rPr>
        <w:t>par</w:t>
      </w:r>
      <w:r w:rsidR="00537588" w:rsidRPr="00A13C30">
        <w:rPr>
          <w:spacing w:val="-11"/>
          <w:sz w:val="24"/>
          <w:szCs w:val="24"/>
        </w:rPr>
        <w:t xml:space="preserve"> </w:t>
      </w:r>
      <w:r w:rsidR="00537588" w:rsidRPr="00A13C30">
        <w:rPr>
          <w:sz w:val="24"/>
          <w:szCs w:val="24"/>
        </w:rPr>
        <w:t>mikroskopa</w:t>
      </w:r>
      <w:r w:rsidR="00537588" w:rsidRPr="00A13C30">
        <w:rPr>
          <w:spacing w:val="-12"/>
          <w:sz w:val="24"/>
          <w:szCs w:val="24"/>
        </w:rPr>
        <w:t xml:space="preserve"> </w:t>
      </w:r>
      <w:r w:rsidR="00537588" w:rsidRPr="00A13C30">
        <w:rPr>
          <w:sz w:val="24"/>
          <w:szCs w:val="24"/>
        </w:rPr>
        <w:t>iznomāšanu.</w:t>
      </w:r>
      <w:r w:rsidR="00537588" w:rsidRPr="00A13C30">
        <w:rPr>
          <w:spacing w:val="-11"/>
          <w:sz w:val="24"/>
          <w:szCs w:val="24"/>
        </w:rPr>
        <w:t xml:space="preserve"> </w:t>
      </w:r>
      <w:r w:rsidR="00537588" w:rsidRPr="00A13C30">
        <w:rPr>
          <w:sz w:val="24"/>
          <w:szCs w:val="24"/>
        </w:rPr>
        <w:t>Nomas līguma termiņš ir trīs gadi, ar nomas maksu 950,00 EUR</w:t>
      </w:r>
      <w:r w:rsidR="00537588" w:rsidRPr="00A13C30">
        <w:rPr>
          <w:spacing w:val="-5"/>
          <w:sz w:val="24"/>
          <w:szCs w:val="24"/>
        </w:rPr>
        <w:t xml:space="preserve"> </w:t>
      </w:r>
      <w:r w:rsidR="00537588" w:rsidRPr="00A13C30">
        <w:rPr>
          <w:sz w:val="24"/>
          <w:szCs w:val="24"/>
        </w:rPr>
        <w:t>gadā.</w:t>
      </w:r>
    </w:p>
    <w:p w14:paraId="0E7D81A2" w14:textId="77777777" w:rsidR="00537588" w:rsidRPr="00A13C30" w:rsidRDefault="00537588" w:rsidP="00CD363C">
      <w:pPr>
        <w:pStyle w:val="Pamatteksts"/>
        <w:ind w:left="338" w:right="124"/>
        <w:jc w:val="both"/>
        <w:rPr>
          <w:sz w:val="24"/>
          <w:szCs w:val="24"/>
        </w:rPr>
      </w:pPr>
      <w:r w:rsidRPr="00A13C30">
        <w:rPr>
          <w:sz w:val="24"/>
          <w:szCs w:val="24"/>
        </w:rPr>
        <w:t>Budžeta iestāde veic sekojošus grāmatojumus atbilstošajā pārskata periodā:</w:t>
      </w:r>
    </w:p>
    <w:p w14:paraId="7FE2D048" w14:textId="77777777" w:rsidR="00537588" w:rsidRDefault="00537588" w:rsidP="00CD363C">
      <w:pPr>
        <w:spacing w:after="0" w:line="240" w:lineRule="auto"/>
        <w:ind w:right="124"/>
        <w:jc w:val="both"/>
        <w:sectPr w:rsidR="00537588">
          <w:pgSz w:w="11910" w:h="16840"/>
          <w:pgMar w:top="760" w:right="500" w:bottom="1120" w:left="1080" w:header="0" w:footer="930" w:gutter="0"/>
          <w:cols w:space="720"/>
        </w:sectPr>
      </w:pPr>
    </w:p>
    <w:tbl>
      <w:tblPr>
        <w:tblW w:w="0" w:type="auto"/>
        <w:tblInd w:w="345" w:type="dxa"/>
        <w:tblLayout w:type="fixed"/>
        <w:tblCellMar>
          <w:left w:w="0" w:type="dxa"/>
          <w:right w:w="0" w:type="dxa"/>
        </w:tblCellMar>
        <w:tblLook w:val="01E0" w:firstRow="1" w:lastRow="1" w:firstColumn="1" w:lastColumn="1" w:noHBand="0" w:noVBand="0"/>
      </w:tblPr>
      <w:tblGrid>
        <w:gridCol w:w="706"/>
        <w:gridCol w:w="1248"/>
        <w:gridCol w:w="4916"/>
        <w:gridCol w:w="1593"/>
      </w:tblGrid>
      <w:tr w:rsidR="00537588" w14:paraId="05B9C01C" w14:textId="77777777" w:rsidTr="00535ACC">
        <w:trPr>
          <w:trHeight w:val="286"/>
        </w:trPr>
        <w:tc>
          <w:tcPr>
            <w:tcW w:w="8463" w:type="dxa"/>
            <w:gridSpan w:val="4"/>
          </w:tcPr>
          <w:p w14:paraId="3B5D4F58" w14:textId="77777777" w:rsidR="00537588" w:rsidRDefault="00537588" w:rsidP="00CD363C">
            <w:pPr>
              <w:pStyle w:val="TableParagraph"/>
              <w:ind w:left="200" w:right="124"/>
              <w:jc w:val="both"/>
              <w:rPr>
                <w:i/>
              </w:rPr>
            </w:pPr>
            <w:r>
              <w:rPr>
                <w:i/>
              </w:rPr>
              <w:t>Iegādātā mikroskopa sākotnējā atzīšana 2019. gada 2. janvārī</w:t>
            </w:r>
          </w:p>
        </w:tc>
      </w:tr>
      <w:tr w:rsidR="00537588" w14:paraId="663D4499" w14:textId="77777777" w:rsidTr="00535ACC">
        <w:trPr>
          <w:trHeight w:val="331"/>
        </w:trPr>
        <w:tc>
          <w:tcPr>
            <w:tcW w:w="706" w:type="dxa"/>
          </w:tcPr>
          <w:p w14:paraId="420B9D2E" w14:textId="77777777" w:rsidR="00537588" w:rsidRDefault="00537588" w:rsidP="00CD363C">
            <w:pPr>
              <w:pStyle w:val="TableParagraph"/>
              <w:ind w:left="200" w:right="124"/>
              <w:jc w:val="both"/>
              <w:rPr>
                <w:i/>
              </w:rPr>
            </w:pPr>
            <w:r>
              <w:rPr>
                <w:i/>
              </w:rPr>
              <w:t>D</w:t>
            </w:r>
          </w:p>
        </w:tc>
        <w:tc>
          <w:tcPr>
            <w:tcW w:w="1248" w:type="dxa"/>
          </w:tcPr>
          <w:p w14:paraId="5299D197" w14:textId="77777777" w:rsidR="00537588" w:rsidRDefault="00537588" w:rsidP="00CD363C">
            <w:pPr>
              <w:pStyle w:val="TableParagraph"/>
              <w:ind w:left="345" w:right="124"/>
              <w:jc w:val="both"/>
              <w:rPr>
                <w:i/>
              </w:rPr>
            </w:pPr>
            <w:r>
              <w:rPr>
                <w:i/>
              </w:rPr>
              <w:t>1230</w:t>
            </w:r>
          </w:p>
        </w:tc>
        <w:tc>
          <w:tcPr>
            <w:tcW w:w="4916" w:type="dxa"/>
          </w:tcPr>
          <w:p w14:paraId="720A6C90" w14:textId="77777777" w:rsidR="00537588" w:rsidRDefault="00537588" w:rsidP="00CD363C">
            <w:pPr>
              <w:pStyle w:val="TableParagraph"/>
              <w:ind w:left="459" w:right="124"/>
              <w:jc w:val="both"/>
              <w:rPr>
                <w:i/>
              </w:rPr>
            </w:pPr>
            <w:r>
              <w:rPr>
                <w:i/>
              </w:rPr>
              <w:t>Pārējie pamatlīdzekļi</w:t>
            </w:r>
          </w:p>
        </w:tc>
        <w:tc>
          <w:tcPr>
            <w:tcW w:w="1593" w:type="dxa"/>
          </w:tcPr>
          <w:p w14:paraId="14F3C0EF" w14:textId="77777777" w:rsidR="00537588" w:rsidRDefault="00537588" w:rsidP="00CD363C">
            <w:pPr>
              <w:pStyle w:val="TableParagraph"/>
              <w:ind w:left="135" w:right="124"/>
              <w:jc w:val="both"/>
              <w:rPr>
                <w:i/>
              </w:rPr>
            </w:pPr>
            <w:r>
              <w:rPr>
                <w:i/>
              </w:rPr>
              <w:t>5 000,00 EUR</w:t>
            </w:r>
          </w:p>
        </w:tc>
      </w:tr>
      <w:tr w:rsidR="00537588" w14:paraId="1D2BC7EB" w14:textId="77777777" w:rsidTr="00535ACC">
        <w:trPr>
          <w:trHeight w:val="373"/>
        </w:trPr>
        <w:tc>
          <w:tcPr>
            <w:tcW w:w="706" w:type="dxa"/>
          </w:tcPr>
          <w:p w14:paraId="577D8F20" w14:textId="77777777" w:rsidR="00537588" w:rsidRDefault="00537588" w:rsidP="00CD363C">
            <w:pPr>
              <w:pStyle w:val="TableParagraph"/>
              <w:ind w:left="200" w:right="124"/>
              <w:jc w:val="both"/>
              <w:rPr>
                <w:i/>
              </w:rPr>
            </w:pPr>
            <w:r>
              <w:rPr>
                <w:i/>
              </w:rPr>
              <w:t>K</w:t>
            </w:r>
          </w:p>
        </w:tc>
        <w:tc>
          <w:tcPr>
            <w:tcW w:w="1248" w:type="dxa"/>
          </w:tcPr>
          <w:p w14:paraId="06E8ADE6" w14:textId="77777777" w:rsidR="00537588" w:rsidRDefault="00537588" w:rsidP="00CD363C">
            <w:pPr>
              <w:pStyle w:val="TableParagraph"/>
              <w:ind w:left="345" w:right="124"/>
              <w:jc w:val="both"/>
              <w:rPr>
                <w:i/>
              </w:rPr>
            </w:pPr>
            <w:r>
              <w:rPr>
                <w:i/>
              </w:rPr>
              <w:t>5311</w:t>
            </w:r>
          </w:p>
        </w:tc>
        <w:tc>
          <w:tcPr>
            <w:tcW w:w="4916" w:type="dxa"/>
          </w:tcPr>
          <w:p w14:paraId="2763F9EB" w14:textId="77777777" w:rsidR="00537588" w:rsidRDefault="00537588" w:rsidP="00CD363C">
            <w:pPr>
              <w:pStyle w:val="TableParagraph"/>
              <w:ind w:left="459" w:right="124"/>
              <w:jc w:val="both"/>
              <w:rPr>
                <w:i/>
              </w:rPr>
            </w:pPr>
            <w:r>
              <w:rPr>
                <w:i/>
              </w:rPr>
              <w:t>Saistības pret piegādātājiem un darbuzņēmējiem</w:t>
            </w:r>
          </w:p>
        </w:tc>
        <w:tc>
          <w:tcPr>
            <w:tcW w:w="1593" w:type="dxa"/>
          </w:tcPr>
          <w:p w14:paraId="41776A0A" w14:textId="77777777" w:rsidR="00537588" w:rsidRDefault="00537588" w:rsidP="00CD363C">
            <w:pPr>
              <w:pStyle w:val="TableParagraph"/>
              <w:ind w:left="135" w:right="124"/>
              <w:jc w:val="both"/>
              <w:rPr>
                <w:i/>
              </w:rPr>
            </w:pPr>
            <w:r>
              <w:rPr>
                <w:i/>
              </w:rPr>
              <w:t>5 000,00 EUR</w:t>
            </w:r>
          </w:p>
        </w:tc>
      </w:tr>
      <w:tr w:rsidR="00537588" w14:paraId="4CC93E6A" w14:textId="77777777" w:rsidTr="00535ACC">
        <w:trPr>
          <w:trHeight w:val="385"/>
        </w:trPr>
        <w:tc>
          <w:tcPr>
            <w:tcW w:w="8463" w:type="dxa"/>
            <w:gridSpan w:val="4"/>
          </w:tcPr>
          <w:p w14:paraId="33A14462" w14:textId="77777777" w:rsidR="00537588" w:rsidRDefault="00537588" w:rsidP="00CD363C">
            <w:pPr>
              <w:pStyle w:val="TableParagraph"/>
              <w:ind w:left="200" w:right="124"/>
              <w:jc w:val="both"/>
              <w:rPr>
                <w:i/>
              </w:rPr>
            </w:pPr>
            <w:r>
              <w:rPr>
                <w:i/>
              </w:rPr>
              <w:t>2019. gada beigās grāmatojums, atzīstot aprēķināto nolietojumu par periodu:</w:t>
            </w:r>
          </w:p>
        </w:tc>
      </w:tr>
      <w:tr w:rsidR="00537588" w14:paraId="5DC83866" w14:textId="77777777" w:rsidTr="00535ACC">
        <w:trPr>
          <w:trHeight w:val="345"/>
        </w:trPr>
        <w:tc>
          <w:tcPr>
            <w:tcW w:w="706" w:type="dxa"/>
          </w:tcPr>
          <w:p w14:paraId="5F6C480A" w14:textId="77777777" w:rsidR="00537588" w:rsidRDefault="00537588" w:rsidP="00CD363C">
            <w:pPr>
              <w:pStyle w:val="TableParagraph"/>
              <w:ind w:left="200" w:right="124"/>
              <w:jc w:val="both"/>
              <w:rPr>
                <w:i/>
              </w:rPr>
            </w:pPr>
            <w:r>
              <w:rPr>
                <w:i/>
              </w:rPr>
              <w:t>D</w:t>
            </w:r>
          </w:p>
        </w:tc>
        <w:tc>
          <w:tcPr>
            <w:tcW w:w="1248" w:type="dxa"/>
          </w:tcPr>
          <w:p w14:paraId="5814982D" w14:textId="77777777" w:rsidR="00537588" w:rsidRDefault="00537588" w:rsidP="00CD363C">
            <w:pPr>
              <w:pStyle w:val="TableParagraph"/>
              <w:ind w:left="345" w:right="124"/>
              <w:jc w:val="both"/>
              <w:rPr>
                <w:i/>
              </w:rPr>
            </w:pPr>
            <w:r>
              <w:rPr>
                <w:i/>
              </w:rPr>
              <w:t>7000</w:t>
            </w:r>
          </w:p>
        </w:tc>
        <w:tc>
          <w:tcPr>
            <w:tcW w:w="4916" w:type="dxa"/>
          </w:tcPr>
          <w:p w14:paraId="291EC972" w14:textId="77777777" w:rsidR="00537588" w:rsidRDefault="00537588" w:rsidP="00CD363C">
            <w:pPr>
              <w:pStyle w:val="TableParagraph"/>
              <w:ind w:left="459" w:right="124"/>
              <w:jc w:val="both"/>
              <w:rPr>
                <w:i/>
              </w:rPr>
            </w:pPr>
            <w:r>
              <w:rPr>
                <w:i/>
              </w:rPr>
              <w:t>Pamatdarbības izdevumi</w:t>
            </w:r>
          </w:p>
        </w:tc>
        <w:tc>
          <w:tcPr>
            <w:tcW w:w="1593" w:type="dxa"/>
          </w:tcPr>
          <w:p w14:paraId="1D22DEC0" w14:textId="77777777" w:rsidR="00537588" w:rsidRDefault="00537588" w:rsidP="00CD363C">
            <w:pPr>
              <w:pStyle w:val="TableParagraph"/>
              <w:ind w:left="135" w:right="124"/>
              <w:jc w:val="both"/>
              <w:rPr>
                <w:i/>
              </w:rPr>
            </w:pPr>
            <w:r>
              <w:rPr>
                <w:i/>
              </w:rPr>
              <w:t>916,66 EUR</w:t>
            </w:r>
          </w:p>
        </w:tc>
      </w:tr>
      <w:tr w:rsidR="00537588" w14:paraId="20334644" w14:textId="77777777" w:rsidTr="00535ACC">
        <w:trPr>
          <w:trHeight w:val="625"/>
        </w:trPr>
        <w:tc>
          <w:tcPr>
            <w:tcW w:w="706" w:type="dxa"/>
          </w:tcPr>
          <w:p w14:paraId="65289A49" w14:textId="77777777" w:rsidR="00537588" w:rsidRDefault="00537588" w:rsidP="00CD363C">
            <w:pPr>
              <w:pStyle w:val="TableParagraph"/>
              <w:ind w:left="200" w:right="124"/>
              <w:jc w:val="both"/>
              <w:rPr>
                <w:i/>
              </w:rPr>
            </w:pPr>
            <w:r>
              <w:rPr>
                <w:i/>
              </w:rPr>
              <w:t>K</w:t>
            </w:r>
          </w:p>
        </w:tc>
        <w:tc>
          <w:tcPr>
            <w:tcW w:w="1248" w:type="dxa"/>
          </w:tcPr>
          <w:p w14:paraId="61B3DEAD" w14:textId="77777777" w:rsidR="00537588" w:rsidRDefault="00537588" w:rsidP="00CD363C">
            <w:pPr>
              <w:pStyle w:val="TableParagraph"/>
              <w:ind w:left="345" w:right="124"/>
              <w:jc w:val="both"/>
              <w:rPr>
                <w:i/>
              </w:rPr>
            </w:pPr>
            <w:r>
              <w:rPr>
                <w:i/>
              </w:rPr>
              <w:t>1293</w:t>
            </w:r>
          </w:p>
        </w:tc>
        <w:tc>
          <w:tcPr>
            <w:tcW w:w="4916" w:type="dxa"/>
          </w:tcPr>
          <w:p w14:paraId="4C726BDD" w14:textId="77777777" w:rsidR="00537588" w:rsidRDefault="00537588" w:rsidP="00CD363C">
            <w:pPr>
              <w:pStyle w:val="TableParagraph"/>
              <w:tabs>
                <w:tab w:val="left" w:pos="1277"/>
                <w:tab w:val="left" w:pos="2728"/>
                <w:tab w:val="left" w:pos="3752"/>
              </w:tabs>
              <w:ind w:left="459" w:right="124"/>
              <w:jc w:val="both"/>
              <w:rPr>
                <w:i/>
              </w:rPr>
            </w:pPr>
            <w:r>
              <w:rPr>
                <w:i/>
              </w:rPr>
              <w:t>Pārējo</w:t>
            </w:r>
            <w:r>
              <w:rPr>
                <w:i/>
              </w:rPr>
              <w:tab/>
              <w:t>pamatlīdzekļu</w:t>
            </w:r>
            <w:r>
              <w:rPr>
                <w:i/>
              </w:rPr>
              <w:tab/>
              <w:t>uzkrātais</w:t>
            </w:r>
            <w:r>
              <w:rPr>
                <w:i/>
              </w:rPr>
              <w:tab/>
            </w:r>
            <w:r>
              <w:rPr>
                <w:i/>
                <w:spacing w:val="-1"/>
              </w:rPr>
              <w:t xml:space="preserve">nolietojums </w:t>
            </w:r>
            <w:r>
              <w:rPr>
                <w:i/>
              </w:rPr>
              <w:t>(5 000,00/60*11)</w:t>
            </w:r>
          </w:p>
        </w:tc>
        <w:tc>
          <w:tcPr>
            <w:tcW w:w="1593" w:type="dxa"/>
          </w:tcPr>
          <w:p w14:paraId="5CA0CF08" w14:textId="77777777" w:rsidR="00537588" w:rsidRDefault="00537588" w:rsidP="00CD363C">
            <w:pPr>
              <w:pStyle w:val="TableParagraph"/>
              <w:ind w:left="135" w:right="124"/>
              <w:jc w:val="both"/>
              <w:rPr>
                <w:i/>
              </w:rPr>
            </w:pPr>
            <w:r>
              <w:rPr>
                <w:i/>
              </w:rPr>
              <w:t>916,66 EUR</w:t>
            </w:r>
          </w:p>
        </w:tc>
      </w:tr>
      <w:tr w:rsidR="00537588" w14:paraId="38909954" w14:textId="77777777" w:rsidTr="00535ACC">
        <w:trPr>
          <w:trHeight w:val="352"/>
        </w:trPr>
        <w:tc>
          <w:tcPr>
            <w:tcW w:w="8463" w:type="dxa"/>
            <w:gridSpan w:val="4"/>
          </w:tcPr>
          <w:p w14:paraId="6A1B68CE" w14:textId="77777777" w:rsidR="00537588" w:rsidRDefault="00537588" w:rsidP="00CD363C">
            <w:pPr>
              <w:pStyle w:val="TableParagraph"/>
              <w:ind w:left="255" w:right="124"/>
              <w:jc w:val="both"/>
              <w:rPr>
                <w:i/>
              </w:rPr>
            </w:pPr>
            <w:r>
              <w:rPr>
                <w:i/>
              </w:rPr>
              <w:t>2019. gada beigās grāmatojums, atzīstot nomas ieņēmumus:</w:t>
            </w:r>
          </w:p>
        </w:tc>
      </w:tr>
      <w:tr w:rsidR="00537588" w14:paraId="47A41D62" w14:textId="77777777" w:rsidTr="00535ACC">
        <w:trPr>
          <w:trHeight w:val="313"/>
        </w:trPr>
        <w:tc>
          <w:tcPr>
            <w:tcW w:w="706" w:type="dxa"/>
          </w:tcPr>
          <w:p w14:paraId="1E56F3F9" w14:textId="77777777" w:rsidR="00537588" w:rsidRDefault="00537588" w:rsidP="00CD363C">
            <w:pPr>
              <w:pStyle w:val="TableParagraph"/>
              <w:ind w:left="200" w:right="124"/>
              <w:jc w:val="both"/>
              <w:rPr>
                <w:i/>
              </w:rPr>
            </w:pPr>
            <w:r>
              <w:rPr>
                <w:i/>
              </w:rPr>
              <w:t>D</w:t>
            </w:r>
          </w:p>
        </w:tc>
        <w:tc>
          <w:tcPr>
            <w:tcW w:w="1248" w:type="dxa"/>
          </w:tcPr>
          <w:p w14:paraId="08DA63BD" w14:textId="77777777" w:rsidR="00537588" w:rsidRDefault="00537588" w:rsidP="00CD363C">
            <w:pPr>
              <w:pStyle w:val="TableParagraph"/>
              <w:ind w:left="345" w:right="124"/>
              <w:jc w:val="both"/>
              <w:rPr>
                <w:i/>
              </w:rPr>
            </w:pPr>
            <w:r>
              <w:rPr>
                <w:i/>
              </w:rPr>
              <w:t>2316</w:t>
            </w:r>
          </w:p>
        </w:tc>
        <w:tc>
          <w:tcPr>
            <w:tcW w:w="4916" w:type="dxa"/>
          </w:tcPr>
          <w:p w14:paraId="3D30F9B1" w14:textId="77777777" w:rsidR="00537588" w:rsidRDefault="00537588" w:rsidP="00CD363C">
            <w:pPr>
              <w:pStyle w:val="TableParagraph"/>
              <w:ind w:left="459" w:right="124"/>
              <w:jc w:val="both"/>
              <w:rPr>
                <w:i/>
              </w:rPr>
            </w:pPr>
            <w:r>
              <w:rPr>
                <w:i/>
              </w:rPr>
              <w:t>Prasības par operatīvo nomu</w:t>
            </w:r>
          </w:p>
        </w:tc>
        <w:tc>
          <w:tcPr>
            <w:tcW w:w="1593" w:type="dxa"/>
          </w:tcPr>
          <w:p w14:paraId="1AE7BF57" w14:textId="77777777" w:rsidR="00537588" w:rsidRDefault="00537588" w:rsidP="00CD363C">
            <w:pPr>
              <w:pStyle w:val="TableParagraph"/>
              <w:ind w:left="135" w:right="124"/>
              <w:jc w:val="both"/>
              <w:rPr>
                <w:i/>
              </w:rPr>
            </w:pPr>
            <w:r>
              <w:rPr>
                <w:i/>
              </w:rPr>
              <w:t>950,00 EUR</w:t>
            </w:r>
          </w:p>
        </w:tc>
      </w:tr>
      <w:tr w:rsidR="00537588" w14:paraId="1B0815B5" w14:textId="77777777" w:rsidTr="00535ACC">
        <w:trPr>
          <w:trHeight w:val="373"/>
        </w:trPr>
        <w:tc>
          <w:tcPr>
            <w:tcW w:w="706" w:type="dxa"/>
          </w:tcPr>
          <w:p w14:paraId="7E081BF4" w14:textId="77777777" w:rsidR="00537588" w:rsidRDefault="00537588" w:rsidP="00CD363C">
            <w:pPr>
              <w:pStyle w:val="TableParagraph"/>
              <w:ind w:left="200" w:right="124"/>
              <w:jc w:val="both"/>
              <w:rPr>
                <w:i/>
              </w:rPr>
            </w:pPr>
            <w:r>
              <w:rPr>
                <w:i/>
              </w:rPr>
              <w:t>K</w:t>
            </w:r>
          </w:p>
        </w:tc>
        <w:tc>
          <w:tcPr>
            <w:tcW w:w="1248" w:type="dxa"/>
          </w:tcPr>
          <w:p w14:paraId="18255A4D" w14:textId="77777777" w:rsidR="00537588" w:rsidRDefault="00537588" w:rsidP="00CD363C">
            <w:pPr>
              <w:pStyle w:val="TableParagraph"/>
              <w:ind w:left="345" w:right="124"/>
              <w:jc w:val="both"/>
              <w:rPr>
                <w:i/>
              </w:rPr>
            </w:pPr>
            <w:r>
              <w:rPr>
                <w:i/>
              </w:rPr>
              <w:t>6000</w:t>
            </w:r>
          </w:p>
        </w:tc>
        <w:tc>
          <w:tcPr>
            <w:tcW w:w="4916" w:type="dxa"/>
          </w:tcPr>
          <w:p w14:paraId="6C05FCC9" w14:textId="77777777" w:rsidR="00537588" w:rsidRDefault="00537588" w:rsidP="00CD363C">
            <w:pPr>
              <w:pStyle w:val="TableParagraph"/>
              <w:ind w:left="459" w:right="124"/>
              <w:jc w:val="both"/>
              <w:rPr>
                <w:i/>
              </w:rPr>
            </w:pPr>
            <w:r>
              <w:rPr>
                <w:i/>
              </w:rPr>
              <w:t>Pamatdarbības ieņēmumi</w:t>
            </w:r>
          </w:p>
        </w:tc>
        <w:tc>
          <w:tcPr>
            <w:tcW w:w="1593" w:type="dxa"/>
          </w:tcPr>
          <w:p w14:paraId="3CBF896E" w14:textId="77777777" w:rsidR="00537588" w:rsidRDefault="00537588" w:rsidP="00CD363C">
            <w:pPr>
              <w:pStyle w:val="TableParagraph"/>
              <w:ind w:left="135" w:right="124"/>
              <w:jc w:val="both"/>
              <w:rPr>
                <w:i/>
              </w:rPr>
            </w:pPr>
            <w:r>
              <w:rPr>
                <w:i/>
              </w:rPr>
              <w:t>950,00 EUR</w:t>
            </w:r>
          </w:p>
        </w:tc>
      </w:tr>
      <w:tr w:rsidR="00537588" w14:paraId="4039D044" w14:textId="77777777" w:rsidTr="00535ACC">
        <w:trPr>
          <w:trHeight w:val="352"/>
        </w:trPr>
        <w:tc>
          <w:tcPr>
            <w:tcW w:w="8463" w:type="dxa"/>
            <w:gridSpan w:val="4"/>
          </w:tcPr>
          <w:p w14:paraId="203584F1" w14:textId="77777777" w:rsidR="00537588" w:rsidRDefault="00537588" w:rsidP="00CD363C">
            <w:pPr>
              <w:pStyle w:val="TableParagraph"/>
              <w:ind w:left="200" w:right="124"/>
              <w:jc w:val="both"/>
              <w:rPr>
                <w:i/>
              </w:rPr>
            </w:pPr>
            <w:r>
              <w:rPr>
                <w:i/>
              </w:rPr>
              <w:t>2019. gada beigās grāmatojums, saņemot maksājumu par operatīvo nomu:</w:t>
            </w:r>
          </w:p>
        </w:tc>
      </w:tr>
      <w:tr w:rsidR="00537588" w14:paraId="5D35B473" w14:textId="77777777" w:rsidTr="00535ACC">
        <w:trPr>
          <w:trHeight w:val="272"/>
        </w:trPr>
        <w:tc>
          <w:tcPr>
            <w:tcW w:w="706" w:type="dxa"/>
          </w:tcPr>
          <w:p w14:paraId="04F79BD2" w14:textId="77777777" w:rsidR="00537588" w:rsidRDefault="00537588" w:rsidP="00CD363C">
            <w:pPr>
              <w:pStyle w:val="TableParagraph"/>
              <w:ind w:left="200" w:right="124"/>
              <w:jc w:val="both"/>
              <w:rPr>
                <w:i/>
              </w:rPr>
            </w:pPr>
            <w:r>
              <w:rPr>
                <w:i/>
              </w:rPr>
              <w:t>D</w:t>
            </w:r>
          </w:p>
        </w:tc>
        <w:tc>
          <w:tcPr>
            <w:tcW w:w="1248" w:type="dxa"/>
          </w:tcPr>
          <w:p w14:paraId="2A2175F9" w14:textId="77777777" w:rsidR="00537588" w:rsidRDefault="00537588" w:rsidP="00CD363C">
            <w:pPr>
              <w:pStyle w:val="TableParagraph"/>
              <w:ind w:left="345" w:right="124"/>
              <w:jc w:val="both"/>
              <w:rPr>
                <w:i/>
              </w:rPr>
            </w:pPr>
            <w:r>
              <w:rPr>
                <w:i/>
              </w:rPr>
              <w:t>2620</w:t>
            </w:r>
          </w:p>
        </w:tc>
        <w:tc>
          <w:tcPr>
            <w:tcW w:w="4916" w:type="dxa"/>
            <w:vMerge w:val="restart"/>
          </w:tcPr>
          <w:p w14:paraId="60B78B26" w14:textId="77777777" w:rsidR="00537588" w:rsidRDefault="00537588" w:rsidP="00CD363C">
            <w:pPr>
              <w:pStyle w:val="TableParagraph"/>
              <w:ind w:left="459" w:right="124"/>
              <w:jc w:val="both"/>
              <w:rPr>
                <w:i/>
              </w:rPr>
            </w:pPr>
            <w:r>
              <w:rPr>
                <w:i/>
              </w:rPr>
              <w:t>Norēķinu konti Valsts kasē, kredītiestādēs vai citās institūcijās</w:t>
            </w:r>
          </w:p>
        </w:tc>
        <w:tc>
          <w:tcPr>
            <w:tcW w:w="1593" w:type="dxa"/>
          </w:tcPr>
          <w:p w14:paraId="7C622BC2" w14:textId="77777777" w:rsidR="00537588" w:rsidRDefault="00537588" w:rsidP="00CD363C">
            <w:pPr>
              <w:pStyle w:val="TableParagraph"/>
              <w:ind w:right="124"/>
              <w:jc w:val="both"/>
              <w:rPr>
                <w:sz w:val="20"/>
              </w:rPr>
            </w:pPr>
          </w:p>
        </w:tc>
      </w:tr>
      <w:tr w:rsidR="00537588" w14:paraId="5C25BA69" w14:textId="77777777" w:rsidTr="00535ACC">
        <w:trPr>
          <w:trHeight w:val="292"/>
        </w:trPr>
        <w:tc>
          <w:tcPr>
            <w:tcW w:w="706" w:type="dxa"/>
          </w:tcPr>
          <w:p w14:paraId="70588D18" w14:textId="77777777" w:rsidR="00537588" w:rsidRDefault="00537588" w:rsidP="00CD363C">
            <w:pPr>
              <w:pStyle w:val="TableParagraph"/>
              <w:ind w:right="124"/>
              <w:jc w:val="both"/>
              <w:rPr>
                <w:sz w:val="20"/>
              </w:rPr>
            </w:pPr>
          </w:p>
        </w:tc>
        <w:tc>
          <w:tcPr>
            <w:tcW w:w="1248" w:type="dxa"/>
          </w:tcPr>
          <w:p w14:paraId="1029D273" w14:textId="77777777" w:rsidR="00537588" w:rsidRDefault="00537588" w:rsidP="00CD363C">
            <w:pPr>
              <w:pStyle w:val="TableParagraph"/>
              <w:ind w:right="124"/>
              <w:jc w:val="both"/>
              <w:rPr>
                <w:sz w:val="20"/>
              </w:rPr>
            </w:pPr>
          </w:p>
        </w:tc>
        <w:tc>
          <w:tcPr>
            <w:tcW w:w="4916" w:type="dxa"/>
            <w:vMerge/>
            <w:tcBorders>
              <w:top w:val="nil"/>
            </w:tcBorders>
          </w:tcPr>
          <w:p w14:paraId="2F7B3BA7" w14:textId="77777777" w:rsidR="00537588" w:rsidRDefault="00537588" w:rsidP="00CD363C">
            <w:pPr>
              <w:spacing w:after="0" w:line="240" w:lineRule="auto"/>
              <w:ind w:right="124"/>
              <w:jc w:val="both"/>
              <w:rPr>
                <w:sz w:val="2"/>
                <w:szCs w:val="2"/>
              </w:rPr>
            </w:pPr>
          </w:p>
        </w:tc>
        <w:tc>
          <w:tcPr>
            <w:tcW w:w="1593" w:type="dxa"/>
          </w:tcPr>
          <w:p w14:paraId="25AC4026" w14:textId="77777777" w:rsidR="00537588" w:rsidRDefault="00537588" w:rsidP="00CD363C">
            <w:pPr>
              <w:pStyle w:val="TableParagraph"/>
              <w:ind w:left="135" w:right="124"/>
              <w:jc w:val="both"/>
              <w:rPr>
                <w:i/>
              </w:rPr>
            </w:pPr>
            <w:r>
              <w:rPr>
                <w:i/>
              </w:rPr>
              <w:t>950,00 EUR</w:t>
            </w:r>
          </w:p>
        </w:tc>
      </w:tr>
      <w:tr w:rsidR="00537588" w14:paraId="312C8C47" w14:textId="77777777" w:rsidTr="00535ACC">
        <w:trPr>
          <w:trHeight w:val="373"/>
        </w:trPr>
        <w:tc>
          <w:tcPr>
            <w:tcW w:w="706" w:type="dxa"/>
          </w:tcPr>
          <w:p w14:paraId="2E6D285C" w14:textId="77777777" w:rsidR="00537588" w:rsidRDefault="00537588" w:rsidP="00CD363C">
            <w:pPr>
              <w:pStyle w:val="TableParagraph"/>
              <w:ind w:left="200" w:right="124"/>
              <w:jc w:val="both"/>
              <w:rPr>
                <w:i/>
              </w:rPr>
            </w:pPr>
            <w:r>
              <w:rPr>
                <w:i/>
              </w:rPr>
              <w:t>K</w:t>
            </w:r>
          </w:p>
        </w:tc>
        <w:tc>
          <w:tcPr>
            <w:tcW w:w="1248" w:type="dxa"/>
          </w:tcPr>
          <w:p w14:paraId="2CB21F93" w14:textId="77777777" w:rsidR="00537588" w:rsidRDefault="00537588" w:rsidP="00CD363C">
            <w:pPr>
              <w:pStyle w:val="TableParagraph"/>
              <w:ind w:left="345" w:right="124"/>
              <w:jc w:val="both"/>
              <w:rPr>
                <w:i/>
              </w:rPr>
            </w:pPr>
            <w:r>
              <w:rPr>
                <w:i/>
              </w:rPr>
              <w:t>2316</w:t>
            </w:r>
          </w:p>
        </w:tc>
        <w:tc>
          <w:tcPr>
            <w:tcW w:w="4916" w:type="dxa"/>
          </w:tcPr>
          <w:p w14:paraId="48720F30" w14:textId="77777777" w:rsidR="00537588" w:rsidRDefault="00537588" w:rsidP="00CD363C">
            <w:pPr>
              <w:pStyle w:val="TableParagraph"/>
              <w:ind w:left="459" w:right="124"/>
              <w:jc w:val="both"/>
              <w:rPr>
                <w:i/>
              </w:rPr>
            </w:pPr>
            <w:r>
              <w:rPr>
                <w:i/>
              </w:rPr>
              <w:t>Prasības par operatīvo nomu</w:t>
            </w:r>
          </w:p>
        </w:tc>
        <w:tc>
          <w:tcPr>
            <w:tcW w:w="1593" w:type="dxa"/>
          </w:tcPr>
          <w:p w14:paraId="5ABD7489" w14:textId="77777777" w:rsidR="00537588" w:rsidRDefault="00537588" w:rsidP="00CD363C">
            <w:pPr>
              <w:pStyle w:val="TableParagraph"/>
              <w:ind w:left="135" w:right="124"/>
              <w:jc w:val="both"/>
              <w:rPr>
                <w:i/>
              </w:rPr>
            </w:pPr>
            <w:r>
              <w:rPr>
                <w:i/>
              </w:rPr>
              <w:t>950,00 EUR</w:t>
            </w:r>
          </w:p>
        </w:tc>
      </w:tr>
      <w:tr w:rsidR="00537588" w14:paraId="624C70A0" w14:textId="77777777" w:rsidTr="00535ACC">
        <w:trPr>
          <w:trHeight w:val="353"/>
        </w:trPr>
        <w:tc>
          <w:tcPr>
            <w:tcW w:w="8463" w:type="dxa"/>
            <w:gridSpan w:val="4"/>
          </w:tcPr>
          <w:p w14:paraId="150E57D6" w14:textId="77777777" w:rsidR="00537588" w:rsidRDefault="00537588" w:rsidP="00CD363C">
            <w:pPr>
              <w:pStyle w:val="TableParagraph"/>
              <w:ind w:left="200" w:right="124"/>
              <w:jc w:val="both"/>
              <w:rPr>
                <w:i/>
              </w:rPr>
            </w:pPr>
            <w:r>
              <w:rPr>
                <w:i/>
              </w:rPr>
              <w:t>2020. gada beigās grāmatojums, atzīstot aprēķināto nolietojumu par periodu:</w:t>
            </w:r>
          </w:p>
        </w:tc>
      </w:tr>
      <w:tr w:rsidR="00537588" w14:paraId="0245655D" w14:textId="77777777" w:rsidTr="00535ACC">
        <w:trPr>
          <w:trHeight w:val="313"/>
        </w:trPr>
        <w:tc>
          <w:tcPr>
            <w:tcW w:w="706" w:type="dxa"/>
          </w:tcPr>
          <w:p w14:paraId="298999B2" w14:textId="77777777" w:rsidR="00537588" w:rsidRDefault="00537588" w:rsidP="00CD363C">
            <w:pPr>
              <w:pStyle w:val="TableParagraph"/>
              <w:ind w:left="200" w:right="124"/>
              <w:jc w:val="both"/>
              <w:rPr>
                <w:i/>
              </w:rPr>
            </w:pPr>
            <w:r>
              <w:rPr>
                <w:i/>
              </w:rPr>
              <w:t>D</w:t>
            </w:r>
          </w:p>
        </w:tc>
        <w:tc>
          <w:tcPr>
            <w:tcW w:w="1248" w:type="dxa"/>
          </w:tcPr>
          <w:p w14:paraId="1EDA06E6" w14:textId="77777777" w:rsidR="00537588" w:rsidRDefault="00537588" w:rsidP="00CD363C">
            <w:pPr>
              <w:pStyle w:val="TableParagraph"/>
              <w:ind w:left="345" w:right="124"/>
              <w:jc w:val="both"/>
              <w:rPr>
                <w:i/>
              </w:rPr>
            </w:pPr>
            <w:r>
              <w:rPr>
                <w:i/>
              </w:rPr>
              <w:t>7000</w:t>
            </w:r>
          </w:p>
        </w:tc>
        <w:tc>
          <w:tcPr>
            <w:tcW w:w="4916" w:type="dxa"/>
          </w:tcPr>
          <w:p w14:paraId="2D47791A" w14:textId="77777777" w:rsidR="00537588" w:rsidRDefault="00537588" w:rsidP="00CD363C">
            <w:pPr>
              <w:pStyle w:val="TableParagraph"/>
              <w:ind w:left="459" w:right="124"/>
              <w:jc w:val="both"/>
              <w:rPr>
                <w:i/>
              </w:rPr>
            </w:pPr>
            <w:r>
              <w:rPr>
                <w:i/>
              </w:rPr>
              <w:t>Pamatdarbības izdevumi</w:t>
            </w:r>
          </w:p>
        </w:tc>
        <w:tc>
          <w:tcPr>
            <w:tcW w:w="1593" w:type="dxa"/>
          </w:tcPr>
          <w:p w14:paraId="29FDA23A" w14:textId="77777777" w:rsidR="00537588" w:rsidRDefault="00537588" w:rsidP="00CD363C">
            <w:pPr>
              <w:pStyle w:val="TableParagraph"/>
              <w:ind w:left="135" w:right="124"/>
              <w:jc w:val="both"/>
              <w:rPr>
                <w:i/>
              </w:rPr>
            </w:pPr>
            <w:r>
              <w:rPr>
                <w:i/>
              </w:rPr>
              <w:t>1 000,00 EUR</w:t>
            </w:r>
          </w:p>
        </w:tc>
      </w:tr>
      <w:tr w:rsidR="00537588" w14:paraId="1DEA0A96" w14:textId="77777777" w:rsidTr="00535ACC">
        <w:trPr>
          <w:trHeight w:val="625"/>
        </w:trPr>
        <w:tc>
          <w:tcPr>
            <w:tcW w:w="706" w:type="dxa"/>
          </w:tcPr>
          <w:p w14:paraId="3B4E4F8B" w14:textId="77777777" w:rsidR="00537588" w:rsidRDefault="00537588" w:rsidP="00CD363C">
            <w:pPr>
              <w:pStyle w:val="TableParagraph"/>
              <w:ind w:left="200" w:right="124"/>
              <w:jc w:val="both"/>
              <w:rPr>
                <w:i/>
              </w:rPr>
            </w:pPr>
            <w:r>
              <w:rPr>
                <w:i/>
              </w:rPr>
              <w:t>K</w:t>
            </w:r>
          </w:p>
        </w:tc>
        <w:tc>
          <w:tcPr>
            <w:tcW w:w="1248" w:type="dxa"/>
          </w:tcPr>
          <w:p w14:paraId="464E4829" w14:textId="77777777" w:rsidR="00537588" w:rsidRDefault="00537588" w:rsidP="00CD363C">
            <w:pPr>
              <w:pStyle w:val="TableParagraph"/>
              <w:ind w:left="345" w:right="124"/>
              <w:jc w:val="both"/>
              <w:rPr>
                <w:i/>
              </w:rPr>
            </w:pPr>
            <w:r>
              <w:rPr>
                <w:i/>
              </w:rPr>
              <w:t>1293</w:t>
            </w:r>
          </w:p>
        </w:tc>
        <w:tc>
          <w:tcPr>
            <w:tcW w:w="4916" w:type="dxa"/>
          </w:tcPr>
          <w:p w14:paraId="4433345F" w14:textId="77777777" w:rsidR="00537588" w:rsidRDefault="00537588" w:rsidP="00CD363C">
            <w:pPr>
              <w:pStyle w:val="TableParagraph"/>
              <w:tabs>
                <w:tab w:val="left" w:pos="1277"/>
                <w:tab w:val="left" w:pos="2728"/>
                <w:tab w:val="left" w:pos="3752"/>
              </w:tabs>
              <w:ind w:left="459" w:right="124"/>
              <w:jc w:val="both"/>
              <w:rPr>
                <w:i/>
              </w:rPr>
            </w:pPr>
            <w:r>
              <w:rPr>
                <w:i/>
              </w:rPr>
              <w:t>Pārējo</w:t>
            </w:r>
            <w:r>
              <w:rPr>
                <w:i/>
              </w:rPr>
              <w:tab/>
              <w:t>pamatlīdzekļu</w:t>
            </w:r>
            <w:r>
              <w:rPr>
                <w:i/>
              </w:rPr>
              <w:tab/>
              <w:t>uzkrātais</w:t>
            </w:r>
            <w:r>
              <w:rPr>
                <w:i/>
              </w:rPr>
              <w:tab/>
            </w:r>
            <w:r>
              <w:rPr>
                <w:i/>
                <w:spacing w:val="-1"/>
              </w:rPr>
              <w:t xml:space="preserve">nolietojums </w:t>
            </w:r>
            <w:r>
              <w:rPr>
                <w:i/>
              </w:rPr>
              <w:t>(5 000,00/60*12)</w:t>
            </w:r>
          </w:p>
        </w:tc>
        <w:tc>
          <w:tcPr>
            <w:tcW w:w="1593" w:type="dxa"/>
          </w:tcPr>
          <w:p w14:paraId="7B6CF46E" w14:textId="77777777" w:rsidR="00537588" w:rsidRDefault="00537588" w:rsidP="00CD363C">
            <w:pPr>
              <w:pStyle w:val="TableParagraph"/>
              <w:ind w:left="135" w:right="124"/>
              <w:jc w:val="both"/>
              <w:rPr>
                <w:i/>
              </w:rPr>
            </w:pPr>
            <w:r>
              <w:rPr>
                <w:i/>
              </w:rPr>
              <w:t>1 000,00 EUR</w:t>
            </w:r>
          </w:p>
        </w:tc>
      </w:tr>
      <w:tr w:rsidR="00537588" w14:paraId="6E888F35" w14:textId="77777777" w:rsidTr="00535ACC">
        <w:trPr>
          <w:trHeight w:val="353"/>
        </w:trPr>
        <w:tc>
          <w:tcPr>
            <w:tcW w:w="8463" w:type="dxa"/>
            <w:gridSpan w:val="4"/>
          </w:tcPr>
          <w:p w14:paraId="36A4E240" w14:textId="77777777" w:rsidR="00537588" w:rsidRDefault="00537588" w:rsidP="00CD363C">
            <w:pPr>
              <w:pStyle w:val="TableParagraph"/>
              <w:ind w:left="200" w:right="124"/>
              <w:jc w:val="both"/>
              <w:rPr>
                <w:i/>
              </w:rPr>
            </w:pPr>
            <w:r>
              <w:rPr>
                <w:i/>
              </w:rPr>
              <w:t>2020. gada beigās grāmatojums, atzīstot nomas ieņēmumus:</w:t>
            </w:r>
          </w:p>
        </w:tc>
      </w:tr>
      <w:tr w:rsidR="00537588" w14:paraId="69D04D5A" w14:textId="77777777" w:rsidTr="00535ACC">
        <w:trPr>
          <w:trHeight w:val="313"/>
        </w:trPr>
        <w:tc>
          <w:tcPr>
            <w:tcW w:w="706" w:type="dxa"/>
          </w:tcPr>
          <w:p w14:paraId="07EADBEB" w14:textId="77777777" w:rsidR="00537588" w:rsidRDefault="00537588" w:rsidP="00CD363C">
            <w:pPr>
              <w:pStyle w:val="TableParagraph"/>
              <w:ind w:left="200" w:right="124"/>
              <w:jc w:val="both"/>
              <w:rPr>
                <w:i/>
              </w:rPr>
            </w:pPr>
            <w:r>
              <w:rPr>
                <w:i/>
              </w:rPr>
              <w:t>D</w:t>
            </w:r>
          </w:p>
        </w:tc>
        <w:tc>
          <w:tcPr>
            <w:tcW w:w="1248" w:type="dxa"/>
          </w:tcPr>
          <w:p w14:paraId="58037CFE" w14:textId="77777777" w:rsidR="00537588" w:rsidRDefault="00537588" w:rsidP="00CD363C">
            <w:pPr>
              <w:pStyle w:val="TableParagraph"/>
              <w:ind w:left="345" w:right="124"/>
              <w:jc w:val="both"/>
              <w:rPr>
                <w:i/>
              </w:rPr>
            </w:pPr>
            <w:r>
              <w:rPr>
                <w:i/>
              </w:rPr>
              <w:t>2316</w:t>
            </w:r>
          </w:p>
        </w:tc>
        <w:tc>
          <w:tcPr>
            <w:tcW w:w="4916" w:type="dxa"/>
          </w:tcPr>
          <w:p w14:paraId="18DF0613" w14:textId="77777777" w:rsidR="00537588" w:rsidRDefault="00537588" w:rsidP="00CD363C">
            <w:pPr>
              <w:pStyle w:val="TableParagraph"/>
              <w:ind w:left="459" w:right="124"/>
              <w:jc w:val="both"/>
              <w:rPr>
                <w:i/>
              </w:rPr>
            </w:pPr>
            <w:r>
              <w:rPr>
                <w:i/>
              </w:rPr>
              <w:t>Prasības par operatīvo nomu</w:t>
            </w:r>
          </w:p>
        </w:tc>
        <w:tc>
          <w:tcPr>
            <w:tcW w:w="1593" w:type="dxa"/>
          </w:tcPr>
          <w:p w14:paraId="3EF8CCA9" w14:textId="77777777" w:rsidR="00537588" w:rsidRDefault="00537588" w:rsidP="00CD363C">
            <w:pPr>
              <w:pStyle w:val="TableParagraph"/>
              <w:ind w:left="135" w:right="124"/>
              <w:jc w:val="both"/>
              <w:rPr>
                <w:i/>
              </w:rPr>
            </w:pPr>
            <w:r>
              <w:rPr>
                <w:i/>
              </w:rPr>
              <w:t>950,00 EUR</w:t>
            </w:r>
          </w:p>
        </w:tc>
      </w:tr>
      <w:tr w:rsidR="00537588" w14:paraId="59B83168" w14:textId="77777777" w:rsidTr="00535ACC">
        <w:trPr>
          <w:trHeight w:val="372"/>
        </w:trPr>
        <w:tc>
          <w:tcPr>
            <w:tcW w:w="706" w:type="dxa"/>
          </w:tcPr>
          <w:p w14:paraId="77346D5A" w14:textId="77777777" w:rsidR="00537588" w:rsidRDefault="00537588" w:rsidP="00CD363C">
            <w:pPr>
              <w:pStyle w:val="TableParagraph"/>
              <w:ind w:left="200" w:right="124"/>
              <w:jc w:val="both"/>
              <w:rPr>
                <w:i/>
              </w:rPr>
            </w:pPr>
            <w:r>
              <w:rPr>
                <w:i/>
              </w:rPr>
              <w:t>K</w:t>
            </w:r>
          </w:p>
        </w:tc>
        <w:tc>
          <w:tcPr>
            <w:tcW w:w="1248" w:type="dxa"/>
          </w:tcPr>
          <w:p w14:paraId="315418F9" w14:textId="77777777" w:rsidR="00537588" w:rsidRDefault="00537588" w:rsidP="00CD363C">
            <w:pPr>
              <w:pStyle w:val="TableParagraph"/>
              <w:ind w:left="345" w:right="124"/>
              <w:jc w:val="both"/>
              <w:rPr>
                <w:i/>
              </w:rPr>
            </w:pPr>
            <w:r>
              <w:rPr>
                <w:i/>
              </w:rPr>
              <w:t>6000</w:t>
            </w:r>
          </w:p>
        </w:tc>
        <w:tc>
          <w:tcPr>
            <w:tcW w:w="4916" w:type="dxa"/>
          </w:tcPr>
          <w:p w14:paraId="024EC4EE" w14:textId="77777777" w:rsidR="00537588" w:rsidRDefault="00537588" w:rsidP="00CD363C">
            <w:pPr>
              <w:pStyle w:val="TableParagraph"/>
              <w:ind w:left="459" w:right="124"/>
              <w:jc w:val="both"/>
              <w:rPr>
                <w:i/>
              </w:rPr>
            </w:pPr>
            <w:r>
              <w:rPr>
                <w:i/>
              </w:rPr>
              <w:t>Pamatdarbības ieņēmumi</w:t>
            </w:r>
          </w:p>
        </w:tc>
        <w:tc>
          <w:tcPr>
            <w:tcW w:w="1593" w:type="dxa"/>
          </w:tcPr>
          <w:p w14:paraId="22E581FB" w14:textId="77777777" w:rsidR="00537588" w:rsidRDefault="00537588" w:rsidP="00CD363C">
            <w:pPr>
              <w:pStyle w:val="TableParagraph"/>
              <w:ind w:left="135" w:right="124"/>
              <w:jc w:val="both"/>
              <w:rPr>
                <w:i/>
              </w:rPr>
            </w:pPr>
            <w:r>
              <w:rPr>
                <w:i/>
              </w:rPr>
              <w:t>950,00 EUR</w:t>
            </w:r>
          </w:p>
        </w:tc>
      </w:tr>
      <w:tr w:rsidR="00537588" w14:paraId="2C705266" w14:textId="77777777" w:rsidTr="00535ACC">
        <w:trPr>
          <w:trHeight w:val="352"/>
        </w:trPr>
        <w:tc>
          <w:tcPr>
            <w:tcW w:w="8463" w:type="dxa"/>
            <w:gridSpan w:val="4"/>
          </w:tcPr>
          <w:p w14:paraId="0A4C4E9B" w14:textId="77777777" w:rsidR="00537588" w:rsidRDefault="00537588" w:rsidP="00CD363C">
            <w:pPr>
              <w:pStyle w:val="TableParagraph"/>
              <w:ind w:left="200" w:right="124"/>
              <w:jc w:val="both"/>
              <w:rPr>
                <w:i/>
              </w:rPr>
            </w:pPr>
            <w:r>
              <w:rPr>
                <w:i/>
              </w:rPr>
              <w:t>2020. gada beigās grāmatojums, saņemot maksājumu par operatīvo nomu:</w:t>
            </w:r>
          </w:p>
        </w:tc>
      </w:tr>
      <w:tr w:rsidR="00537588" w14:paraId="349548D8" w14:textId="77777777" w:rsidTr="00535ACC">
        <w:trPr>
          <w:trHeight w:val="567"/>
        </w:trPr>
        <w:tc>
          <w:tcPr>
            <w:tcW w:w="706" w:type="dxa"/>
          </w:tcPr>
          <w:p w14:paraId="6C15CE78" w14:textId="77777777" w:rsidR="00537588" w:rsidRDefault="00537588" w:rsidP="00CD363C">
            <w:pPr>
              <w:pStyle w:val="TableParagraph"/>
              <w:ind w:left="200" w:right="124"/>
              <w:jc w:val="both"/>
              <w:rPr>
                <w:i/>
              </w:rPr>
            </w:pPr>
            <w:r>
              <w:rPr>
                <w:i/>
              </w:rPr>
              <w:t>D</w:t>
            </w:r>
          </w:p>
        </w:tc>
        <w:tc>
          <w:tcPr>
            <w:tcW w:w="1248" w:type="dxa"/>
          </w:tcPr>
          <w:p w14:paraId="1B9ED35F" w14:textId="77777777" w:rsidR="00537588" w:rsidRDefault="00537588" w:rsidP="00CD363C">
            <w:pPr>
              <w:pStyle w:val="TableParagraph"/>
              <w:ind w:left="345" w:right="124"/>
              <w:jc w:val="both"/>
              <w:rPr>
                <w:i/>
              </w:rPr>
            </w:pPr>
            <w:r>
              <w:rPr>
                <w:i/>
              </w:rPr>
              <w:t>2620</w:t>
            </w:r>
          </w:p>
        </w:tc>
        <w:tc>
          <w:tcPr>
            <w:tcW w:w="4916" w:type="dxa"/>
          </w:tcPr>
          <w:p w14:paraId="371FAE11" w14:textId="77777777" w:rsidR="00537588" w:rsidRDefault="00537588" w:rsidP="00CD363C">
            <w:pPr>
              <w:pStyle w:val="TableParagraph"/>
              <w:ind w:left="459" w:right="124"/>
              <w:jc w:val="both"/>
              <w:rPr>
                <w:i/>
              </w:rPr>
            </w:pPr>
            <w:r>
              <w:rPr>
                <w:i/>
              </w:rPr>
              <w:t>Norēķinu konti Valsts kasē, kredītiestādēs vai citās institūcijās</w:t>
            </w:r>
          </w:p>
        </w:tc>
        <w:tc>
          <w:tcPr>
            <w:tcW w:w="1593" w:type="dxa"/>
          </w:tcPr>
          <w:p w14:paraId="556591C0" w14:textId="77777777" w:rsidR="00537588" w:rsidRDefault="00537588" w:rsidP="00CD363C">
            <w:pPr>
              <w:pStyle w:val="TableParagraph"/>
              <w:ind w:left="135" w:right="124"/>
              <w:jc w:val="both"/>
              <w:rPr>
                <w:i/>
              </w:rPr>
            </w:pPr>
            <w:r>
              <w:rPr>
                <w:i/>
              </w:rPr>
              <w:t>950,00 EUR</w:t>
            </w:r>
          </w:p>
        </w:tc>
      </w:tr>
      <w:tr w:rsidR="00537588" w14:paraId="717BAF79" w14:textId="77777777" w:rsidTr="00535ACC">
        <w:trPr>
          <w:trHeight w:val="372"/>
        </w:trPr>
        <w:tc>
          <w:tcPr>
            <w:tcW w:w="706" w:type="dxa"/>
          </w:tcPr>
          <w:p w14:paraId="5E1854FE" w14:textId="77777777" w:rsidR="00537588" w:rsidRDefault="00537588" w:rsidP="00CD363C">
            <w:pPr>
              <w:pStyle w:val="TableParagraph"/>
              <w:ind w:left="200" w:right="124"/>
              <w:jc w:val="both"/>
              <w:rPr>
                <w:i/>
              </w:rPr>
            </w:pPr>
            <w:r>
              <w:rPr>
                <w:i/>
              </w:rPr>
              <w:t>K</w:t>
            </w:r>
          </w:p>
        </w:tc>
        <w:tc>
          <w:tcPr>
            <w:tcW w:w="1248" w:type="dxa"/>
          </w:tcPr>
          <w:p w14:paraId="66817BE6" w14:textId="77777777" w:rsidR="00537588" w:rsidRDefault="00537588" w:rsidP="00CD363C">
            <w:pPr>
              <w:pStyle w:val="TableParagraph"/>
              <w:ind w:left="345" w:right="124"/>
              <w:jc w:val="both"/>
              <w:rPr>
                <w:i/>
              </w:rPr>
            </w:pPr>
            <w:r>
              <w:rPr>
                <w:i/>
              </w:rPr>
              <w:t>2316</w:t>
            </w:r>
          </w:p>
        </w:tc>
        <w:tc>
          <w:tcPr>
            <w:tcW w:w="4916" w:type="dxa"/>
          </w:tcPr>
          <w:p w14:paraId="107B086A" w14:textId="77777777" w:rsidR="00537588" w:rsidRDefault="00537588" w:rsidP="00CD363C">
            <w:pPr>
              <w:pStyle w:val="TableParagraph"/>
              <w:ind w:left="459" w:right="124"/>
              <w:jc w:val="both"/>
              <w:rPr>
                <w:i/>
              </w:rPr>
            </w:pPr>
            <w:r>
              <w:rPr>
                <w:i/>
              </w:rPr>
              <w:t>Prasības par operatīvo nomu</w:t>
            </w:r>
          </w:p>
        </w:tc>
        <w:tc>
          <w:tcPr>
            <w:tcW w:w="1593" w:type="dxa"/>
          </w:tcPr>
          <w:p w14:paraId="5AFE8686" w14:textId="77777777" w:rsidR="00537588" w:rsidRDefault="00537588" w:rsidP="00CD363C">
            <w:pPr>
              <w:pStyle w:val="TableParagraph"/>
              <w:ind w:left="135" w:right="124"/>
              <w:jc w:val="both"/>
              <w:rPr>
                <w:i/>
              </w:rPr>
            </w:pPr>
            <w:r>
              <w:rPr>
                <w:i/>
              </w:rPr>
              <w:t>950,00 EUR</w:t>
            </w:r>
          </w:p>
        </w:tc>
      </w:tr>
      <w:tr w:rsidR="00537588" w14:paraId="0E4248B7" w14:textId="77777777" w:rsidTr="00535ACC">
        <w:trPr>
          <w:trHeight w:val="352"/>
        </w:trPr>
        <w:tc>
          <w:tcPr>
            <w:tcW w:w="8463" w:type="dxa"/>
            <w:gridSpan w:val="4"/>
          </w:tcPr>
          <w:p w14:paraId="3107AB45" w14:textId="77777777" w:rsidR="00537588" w:rsidRDefault="00537588" w:rsidP="00CD363C">
            <w:pPr>
              <w:pStyle w:val="TableParagraph"/>
              <w:ind w:left="200" w:right="124"/>
              <w:jc w:val="both"/>
              <w:rPr>
                <w:i/>
              </w:rPr>
            </w:pPr>
            <w:r>
              <w:rPr>
                <w:i/>
              </w:rPr>
              <w:t>2021. gada beigās grāmatojums, atzīstot aprēķināto nolietojumu par periodu:</w:t>
            </w:r>
          </w:p>
        </w:tc>
      </w:tr>
      <w:tr w:rsidR="00537588" w14:paraId="54C537D7" w14:textId="77777777" w:rsidTr="00535ACC">
        <w:trPr>
          <w:trHeight w:val="314"/>
        </w:trPr>
        <w:tc>
          <w:tcPr>
            <w:tcW w:w="706" w:type="dxa"/>
          </w:tcPr>
          <w:p w14:paraId="1FEC555F" w14:textId="77777777" w:rsidR="00537588" w:rsidRDefault="00537588" w:rsidP="00CD363C">
            <w:pPr>
              <w:pStyle w:val="TableParagraph"/>
              <w:ind w:left="200" w:right="124"/>
              <w:jc w:val="both"/>
              <w:rPr>
                <w:i/>
              </w:rPr>
            </w:pPr>
            <w:r>
              <w:rPr>
                <w:i/>
              </w:rPr>
              <w:t>D</w:t>
            </w:r>
          </w:p>
        </w:tc>
        <w:tc>
          <w:tcPr>
            <w:tcW w:w="1248" w:type="dxa"/>
          </w:tcPr>
          <w:p w14:paraId="4893DC87" w14:textId="77777777" w:rsidR="00537588" w:rsidRDefault="00537588" w:rsidP="00CD363C">
            <w:pPr>
              <w:pStyle w:val="TableParagraph"/>
              <w:ind w:left="345" w:right="124"/>
              <w:jc w:val="both"/>
              <w:rPr>
                <w:i/>
              </w:rPr>
            </w:pPr>
            <w:r>
              <w:rPr>
                <w:i/>
              </w:rPr>
              <w:t>7000</w:t>
            </w:r>
          </w:p>
        </w:tc>
        <w:tc>
          <w:tcPr>
            <w:tcW w:w="4916" w:type="dxa"/>
          </w:tcPr>
          <w:p w14:paraId="6B7FF7AA" w14:textId="77777777" w:rsidR="00537588" w:rsidRDefault="00537588" w:rsidP="00CD363C">
            <w:pPr>
              <w:pStyle w:val="TableParagraph"/>
              <w:ind w:left="459" w:right="124"/>
              <w:jc w:val="both"/>
              <w:rPr>
                <w:i/>
              </w:rPr>
            </w:pPr>
            <w:r>
              <w:rPr>
                <w:i/>
              </w:rPr>
              <w:t>Pamatdarbības izdevumi</w:t>
            </w:r>
          </w:p>
        </w:tc>
        <w:tc>
          <w:tcPr>
            <w:tcW w:w="1593" w:type="dxa"/>
          </w:tcPr>
          <w:p w14:paraId="274D1FAF" w14:textId="77777777" w:rsidR="00537588" w:rsidRDefault="00537588" w:rsidP="00CD363C">
            <w:pPr>
              <w:pStyle w:val="TableParagraph"/>
              <w:ind w:left="135" w:right="124"/>
              <w:jc w:val="both"/>
              <w:rPr>
                <w:i/>
              </w:rPr>
            </w:pPr>
            <w:r>
              <w:rPr>
                <w:i/>
              </w:rPr>
              <w:t>1 000,00 EUR</w:t>
            </w:r>
          </w:p>
        </w:tc>
      </w:tr>
      <w:tr w:rsidR="00537588" w14:paraId="06942B50" w14:textId="77777777" w:rsidTr="00535ACC">
        <w:trPr>
          <w:trHeight w:val="625"/>
        </w:trPr>
        <w:tc>
          <w:tcPr>
            <w:tcW w:w="706" w:type="dxa"/>
          </w:tcPr>
          <w:p w14:paraId="2CFC26F2" w14:textId="77777777" w:rsidR="00537588" w:rsidRDefault="00537588" w:rsidP="00CD363C">
            <w:pPr>
              <w:pStyle w:val="TableParagraph"/>
              <w:ind w:left="200" w:right="124"/>
              <w:jc w:val="both"/>
              <w:rPr>
                <w:i/>
              </w:rPr>
            </w:pPr>
            <w:r>
              <w:rPr>
                <w:i/>
              </w:rPr>
              <w:t>K</w:t>
            </w:r>
          </w:p>
        </w:tc>
        <w:tc>
          <w:tcPr>
            <w:tcW w:w="1248" w:type="dxa"/>
          </w:tcPr>
          <w:p w14:paraId="606EE4B5" w14:textId="77777777" w:rsidR="00537588" w:rsidRDefault="00537588" w:rsidP="00CD363C">
            <w:pPr>
              <w:pStyle w:val="TableParagraph"/>
              <w:ind w:left="345" w:right="124"/>
              <w:jc w:val="both"/>
              <w:rPr>
                <w:i/>
              </w:rPr>
            </w:pPr>
            <w:r>
              <w:rPr>
                <w:i/>
              </w:rPr>
              <w:t>1293</w:t>
            </w:r>
          </w:p>
        </w:tc>
        <w:tc>
          <w:tcPr>
            <w:tcW w:w="4916" w:type="dxa"/>
          </w:tcPr>
          <w:p w14:paraId="1948E8F2" w14:textId="77777777" w:rsidR="00537588" w:rsidRDefault="00537588" w:rsidP="00CD363C">
            <w:pPr>
              <w:pStyle w:val="TableParagraph"/>
              <w:tabs>
                <w:tab w:val="left" w:pos="1277"/>
                <w:tab w:val="left" w:pos="2728"/>
                <w:tab w:val="left" w:pos="3752"/>
              </w:tabs>
              <w:ind w:left="459" w:right="124"/>
              <w:jc w:val="both"/>
              <w:rPr>
                <w:i/>
              </w:rPr>
            </w:pPr>
            <w:r>
              <w:rPr>
                <w:i/>
              </w:rPr>
              <w:t>Pārējo</w:t>
            </w:r>
            <w:r>
              <w:rPr>
                <w:i/>
              </w:rPr>
              <w:tab/>
              <w:t>pamatlīdzekļu</w:t>
            </w:r>
            <w:r>
              <w:rPr>
                <w:i/>
              </w:rPr>
              <w:tab/>
              <w:t>uzkrātais</w:t>
            </w:r>
            <w:r>
              <w:rPr>
                <w:i/>
              </w:rPr>
              <w:tab/>
            </w:r>
            <w:r>
              <w:rPr>
                <w:i/>
                <w:spacing w:val="-1"/>
              </w:rPr>
              <w:t xml:space="preserve">nolietojums </w:t>
            </w:r>
            <w:r>
              <w:rPr>
                <w:i/>
              </w:rPr>
              <w:t>(5 000,00/60*12)</w:t>
            </w:r>
          </w:p>
        </w:tc>
        <w:tc>
          <w:tcPr>
            <w:tcW w:w="1593" w:type="dxa"/>
          </w:tcPr>
          <w:p w14:paraId="1D1D42B0" w14:textId="77777777" w:rsidR="00537588" w:rsidRDefault="00537588" w:rsidP="00CD363C">
            <w:pPr>
              <w:pStyle w:val="TableParagraph"/>
              <w:ind w:left="135" w:right="124"/>
              <w:jc w:val="both"/>
              <w:rPr>
                <w:i/>
              </w:rPr>
            </w:pPr>
            <w:r>
              <w:rPr>
                <w:i/>
              </w:rPr>
              <w:t>1 000,00 EUR</w:t>
            </w:r>
          </w:p>
        </w:tc>
      </w:tr>
      <w:tr w:rsidR="00537588" w14:paraId="41CF617A" w14:textId="77777777" w:rsidTr="00535ACC">
        <w:trPr>
          <w:trHeight w:val="352"/>
        </w:trPr>
        <w:tc>
          <w:tcPr>
            <w:tcW w:w="8463" w:type="dxa"/>
            <w:gridSpan w:val="4"/>
          </w:tcPr>
          <w:p w14:paraId="7D4E5993" w14:textId="77777777" w:rsidR="00537588" w:rsidRDefault="00537588" w:rsidP="00CD363C">
            <w:pPr>
              <w:pStyle w:val="TableParagraph"/>
              <w:ind w:left="200" w:right="124"/>
              <w:jc w:val="both"/>
              <w:rPr>
                <w:i/>
              </w:rPr>
            </w:pPr>
            <w:r>
              <w:rPr>
                <w:i/>
              </w:rPr>
              <w:t>2021. gada beigās grāmatojums, atzīstot nomas ieņēmumus</w:t>
            </w:r>
          </w:p>
        </w:tc>
      </w:tr>
      <w:tr w:rsidR="00537588" w14:paraId="40A7816B" w14:textId="77777777" w:rsidTr="00535ACC">
        <w:trPr>
          <w:trHeight w:val="313"/>
        </w:trPr>
        <w:tc>
          <w:tcPr>
            <w:tcW w:w="706" w:type="dxa"/>
          </w:tcPr>
          <w:p w14:paraId="4BDB4F93" w14:textId="77777777" w:rsidR="00537588" w:rsidRDefault="00537588" w:rsidP="00CD363C">
            <w:pPr>
              <w:pStyle w:val="TableParagraph"/>
              <w:ind w:left="200" w:right="124"/>
              <w:jc w:val="both"/>
              <w:rPr>
                <w:i/>
              </w:rPr>
            </w:pPr>
            <w:r>
              <w:rPr>
                <w:i/>
              </w:rPr>
              <w:t>D</w:t>
            </w:r>
          </w:p>
        </w:tc>
        <w:tc>
          <w:tcPr>
            <w:tcW w:w="1248" w:type="dxa"/>
          </w:tcPr>
          <w:p w14:paraId="37889478" w14:textId="77777777" w:rsidR="00537588" w:rsidRDefault="00537588" w:rsidP="00CD363C">
            <w:pPr>
              <w:pStyle w:val="TableParagraph"/>
              <w:ind w:left="345" w:right="124"/>
              <w:jc w:val="both"/>
              <w:rPr>
                <w:i/>
              </w:rPr>
            </w:pPr>
            <w:r>
              <w:rPr>
                <w:i/>
              </w:rPr>
              <w:t>2316</w:t>
            </w:r>
          </w:p>
        </w:tc>
        <w:tc>
          <w:tcPr>
            <w:tcW w:w="4916" w:type="dxa"/>
          </w:tcPr>
          <w:p w14:paraId="0DB47FD0" w14:textId="77777777" w:rsidR="00537588" w:rsidRDefault="00537588" w:rsidP="00CD363C">
            <w:pPr>
              <w:pStyle w:val="TableParagraph"/>
              <w:ind w:left="459" w:right="124"/>
              <w:jc w:val="both"/>
              <w:rPr>
                <w:i/>
              </w:rPr>
            </w:pPr>
            <w:r>
              <w:rPr>
                <w:i/>
              </w:rPr>
              <w:t>Prasības par operatīvo omu</w:t>
            </w:r>
          </w:p>
        </w:tc>
        <w:tc>
          <w:tcPr>
            <w:tcW w:w="1593" w:type="dxa"/>
          </w:tcPr>
          <w:p w14:paraId="6097F539" w14:textId="77777777" w:rsidR="00537588" w:rsidRDefault="00537588" w:rsidP="00CD363C">
            <w:pPr>
              <w:pStyle w:val="TableParagraph"/>
              <w:ind w:left="135" w:right="124"/>
              <w:jc w:val="both"/>
              <w:rPr>
                <w:i/>
              </w:rPr>
            </w:pPr>
            <w:r>
              <w:rPr>
                <w:i/>
              </w:rPr>
              <w:t>950,00 EUR</w:t>
            </w:r>
          </w:p>
        </w:tc>
      </w:tr>
      <w:tr w:rsidR="00537588" w14:paraId="5AF24AA5" w14:textId="77777777" w:rsidTr="00535ACC">
        <w:trPr>
          <w:trHeight w:val="373"/>
        </w:trPr>
        <w:tc>
          <w:tcPr>
            <w:tcW w:w="706" w:type="dxa"/>
          </w:tcPr>
          <w:p w14:paraId="751CCD6B" w14:textId="77777777" w:rsidR="00537588" w:rsidRDefault="00537588" w:rsidP="00CD363C">
            <w:pPr>
              <w:pStyle w:val="TableParagraph"/>
              <w:ind w:left="200" w:right="124"/>
              <w:jc w:val="both"/>
              <w:rPr>
                <w:i/>
              </w:rPr>
            </w:pPr>
            <w:r>
              <w:rPr>
                <w:i/>
              </w:rPr>
              <w:t>K</w:t>
            </w:r>
          </w:p>
        </w:tc>
        <w:tc>
          <w:tcPr>
            <w:tcW w:w="1248" w:type="dxa"/>
          </w:tcPr>
          <w:p w14:paraId="6D01831F" w14:textId="77777777" w:rsidR="00537588" w:rsidRDefault="00537588" w:rsidP="00CD363C">
            <w:pPr>
              <w:pStyle w:val="TableParagraph"/>
              <w:ind w:left="345" w:right="124"/>
              <w:jc w:val="both"/>
              <w:rPr>
                <w:i/>
              </w:rPr>
            </w:pPr>
            <w:r>
              <w:rPr>
                <w:i/>
              </w:rPr>
              <w:t>6000</w:t>
            </w:r>
          </w:p>
        </w:tc>
        <w:tc>
          <w:tcPr>
            <w:tcW w:w="4916" w:type="dxa"/>
          </w:tcPr>
          <w:p w14:paraId="6E1022D6" w14:textId="77777777" w:rsidR="00537588" w:rsidRDefault="00537588" w:rsidP="00CD363C">
            <w:pPr>
              <w:pStyle w:val="TableParagraph"/>
              <w:ind w:left="459" w:right="124"/>
              <w:jc w:val="both"/>
              <w:rPr>
                <w:i/>
              </w:rPr>
            </w:pPr>
            <w:r>
              <w:rPr>
                <w:i/>
              </w:rPr>
              <w:t>Pamatdarbības ieņēmumi</w:t>
            </w:r>
          </w:p>
        </w:tc>
        <w:tc>
          <w:tcPr>
            <w:tcW w:w="1593" w:type="dxa"/>
          </w:tcPr>
          <w:p w14:paraId="7C155F34" w14:textId="77777777" w:rsidR="00537588" w:rsidRDefault="00537588" w:rsidP="00CD363C">
            <w:pPr>
              <w:pStyle w:val="TableParagraph"/>
              <w:ind w:left="135" w:right="124"/>
              <w:jc w:val="both"/>
              <w:rPr>
                <w:i/>
              </w:rPr>
            </w:pPr>
            <w:r>
              <w:rPr>
                <w:i/>
              </w:rPr>
              <w:t>950,00 EUR</w:t>
            </w:r>
          </w:p>
        </w:tc>
      </w:tr>
      <w:tr w:rsidR="00537588" w14:paraId="0CFF6E9F" w14:textId="77777777" w:rsidTr="00535ACC">
        <w:trPr>
          <w:trHeight w:val="352"/>
        </w:trPr>
        <w:tc>
          <w:tcPr>
            <w:tcW w:w="8463" w:type="dxa"/>
            <w:gridSpan w:val="4"/>
          </w:tcPr>
          <w:p w14:paraId="1C26866B" w14:textId="77777777" w:rsidR="00537588" w:rsidRDefault="00537588" w:rsidP="00CD363C">
            <w:pPr>
              <w:pStyle w:val="TableParagraph"/>
              <w:ind w:left="200" w:right="124"/>
              <w:jc w:val="both"/>
              <w:rPr>
                <w:i/>
              </w:rPr>
            </w:pPr>
            <w:r>
              <w:rPr>
                <w:i/>
              </w:rPr>
              <w:t>2021. gada beigās grāmatojums saņemot maksājumu par operatīvo nomu</w:t>
            </w:r>
          </w:p>
        </w:tc>
      </w:tr>
      <w:tr w:rsidR="00537588" w14:paraId="782DAB10" w14:textId="77777777" w:rsidTr="00535ACC">
        <w:trPr>
          <w:trHeight w:val="272"/>
        </w:trPr>
        <w:tc>
          <w:tcPr>
            <w:tcW w:w="706" w:type="dxa"/>
          </w:tcPr>
          <w:p w14:paraId="3E4382A2" w14:textId="77777777" w:rsidR="00537588" w:rsidRDefault="00537588" w:rsidP="00CD363C">
            <w:pPr>
              <w:pStyle w:val="TableParagraph"/>
              <w:ind w:left="200" w:right="124"/>
              <w:jc w:val="both"/>
              <w:rPr>
                <w:i/>
              </w:rPr>
            </w:pPr>
            <w:r>
              <w:rPr>
                <w:i/>
              </w:rPr>
              <w:t>D</w:t>
            </w:r>
          </w:p>
        </w:tc>
        <w:tc>
          <w:tcPr>
            <w:tcW w:w="1248" w:type="dxa"/>
          </w:tcPr>
          <w:p w14:paraId="3EF75585" w14:textId="77777777" w:rsidR="00537588" w:rsidRDefault="00537588" w:rsidP="00CD363C">
            <w:pPr>
              <w:pStyle w:val="TableParagraph"/>
              <w:ind w:left="345" w:right="124"/>
              <w:jc w:val="both"/>
              <w:rPr>
                <w:i/>
              </w:rPr>
            </w:pPr>
            <w:r>
              <w:rPr>
                <w:i/>
              </w:rPr>
              <w:t>2620</w:t>
            </w:r>
          </w:p>
        </w:tc>
        <w:tc>
          <w:tcPr>
            <w:tcW w:w="4916" w:type="dxa"/>
            <w:vMerge w:val="restart"/>
          </w:tcPr>
          <w:p w14:paraId="3198B2E6" w14:textId="77777777" w:rsidR="00537588" w:rsidRDefault="00537588" w:rsidP="00CD363C">
            <w:pPr>
              <w:pStyle w:val="TableParagraph"/>
              <w:ind w:left="459" w:right="124"/>
              <w:jc w:val="both"/>
              <w:rPr>
                <w:i/>
              </w:rPr>
            </w:pPr>
            <w:r>
              <w:rPr>
                <w:i/>
              </w:rPr>
              <w:t>Norēķinu konti Valsts kasē, kredītiestādēs vai citās institūcijās</w:t>
            </w:r>
          </w:p>
        </w:tc>
        <w:tc>
          <w:tcPr>
            <w:tcW w:w="1593" w:type="dxa"/>
          </w:tcPr>
          <w:p w14:paraId="4A13E464" w14:textId="77777777" w:rsidR="00537588" w:rsidRDefault="00537588" w:rsidP="00CD363C">
            <w:pPr>
              <w:pStyle w:val="TableParagraph"/>
              <w:ind w:right="124"/>
              <w:jc w:val="both"/>
              <w:rPr>
                <w:sz w:val="20"/>
              </w:rPr>
            </w:pPr>
          </w:p>
        </w:tc>
      </w:tr>
      <w:tr w:rsidR="00537588" w14:paraId="2837D619" w14:textId="77777777" w:rsidTr="00535ACC">
        <w:trPr>
          <w:trHeight w:val="292"/>
        </w:trPr>
        <w:tc>
          <w:tcPr>
            <w:tcW w:w="706" w:type="dxa"/>
          </w:tcPr>
          <w:p w14:paraId="0B0883BF" w14:textId="77777777" w:rsidR="00537588" w:rsidRDefault="00537588" w:rsidP="00CD363C">
            <w:pPr>
              <w:pStyle w:val="TableParagraph"/>
              <w:ind w:right="124"/>
              <w:jc w:val="both"/>
              <w:rPr>
                <w:sz w:val="20"/>
              </w:rPr>
            </w:pPr>
          </w:p>
        </w:tc>
        <w:tc>
          <w:tcPr>
            <w:tcW w:w="1248" w:type="dxa"/>
          </w:tcPr>
          <w:p w14:paraId="60B2DE79" w14:textId="77777777" w:rsidR="00537588" w:rsidRDefault="00537588" w:rsidP="00CD363C">
            <w:pPr>
              <w:pStyle w:val="TableParagraph"/>
              <w:ind w:right="124"/>
              <w:jc w:val="both"/>
              <w:rPr>
                <w:sz w:val="20"/>
              </w:rPr>
            </w:pPr>
          </w:p>
        </w:tc>
        <w:tc>
          <w:tcPr>
            <w:tcW w:w="4916" w:type="dxa"/>
            <w:vMerge/>
            <w:tcBorders>
              <w:top w:val="nil"/>
            </w:tcBorders>
          </w:tcPr>
          <w:p w14:paraId="490DA89D" w14:textId="77777777" w:rsidR="00537588" w:rsidRDefault="00537588" w:rsidP="00CD363C">
            <w:pPr>
              <w:spacing w:after="0" w:line="240" w:lineRule="auto"/>
              <w:ind w:right="124"/>
              <w:jc w:val="both"/>
              <w:rPr>
                <w:sz w:val="2"/>
                <w:szCs w:val="2"/>
              </w:rPr>
            </w:pPr>
          </w:p>
        </w:tc>
        <w:tc>
          <w:tcPr>
            <w:tcW w:w="1593" w:type="dxa"/>
          </w:tcPr>
          <w:p w14:paraId="2C0A7504" w14:textId="77777777" w:rsidR="00537588" w:rsidRDefault="00537588" w:rsidP="00CD363C">
            <w:pPr>
              <w:pStyle w:val="TableParagraph"/>
              <w:ind w:left="135" w:right="124"/>
              <w:jc w:val="both"/>
              <w:rPr>
                <w:i/>
              </w:rPr>
            </w:pPr>
            <w:r>
              <w:rPr>
                <w:i/>
              </w:rPr>
              <w:t>950,00 EUR</w:t>
            </w:r>
          </w:p>
        </w:tc>
      </w:tr>
      <w:tr w:rsidR="00537588" w14:paraId="4F46AB5C" w14:textId="77777777" w:rsidTr="00535ACC">
        <w:trPr>
          <w:trHeight w:val="289"/>
        </w:trPr>
        <w:tc>
          <w:tcPr>
            <w:tcW w:w="706" w:type="dxa"/>
          </w:tcPr>
          <w:p w14:paraId="011D470A" w14:textId="77777777" w:rsidR="00537588" w:rsidRDefault="00537588" w:rsidP="00CD363C">
            <w:pPr>
              <w:pStyle w:val="TableParagraph"/>
              <w:ind w:left="200" w:right="124"/>
              <w:jc w:val="both"/>
              <w:rPr>
                <w:i/>
              </w:rPr>
            </w:pPr>
            <w:r>
              <w:rPr>
                <w:i/>
              </w:rPr>
              <w:t>K</w:t>
            </w:r>
          </w:p>
        </w:tc>
        <w:tc>
          <w:tcPr>
            <w:tcW w:w="1248" w:type="dxa"/>
          </w:tcPr>
          <w:p w14:paraId="5B3B08D2" w14:textId="77777777" w:rsidR="00537588" w:rsidRDefault="00537588" w:rsidP="00CD363C">
            <w:pPr>
              <w:pStyle w:val="TableParagraph"/>
              <w:ind w:left="345" w:right="124"/>
              <w:jc w:val="both"/>
              <w:rPr>
                <w:i/>
              </w:rPr>
            </w:pPr>
            <w:r>
              <w:rPr>
                <w:i/>
              </w:rPr>
              <w:t>2316</w:t>
            </w:r>
          </w:p>
        </w:tc>
        <w:tc>
          <w:tcPr>
            <w:tcW w:w="4916" w:type="dxa"/>
          </w:tcPr>
          <w:p w14:paraId="02CE575B" w14:textId="77777777" w:rsidR="00537588" w:rsidRDefault="00537588" w:rsidP="00CD363C">
            <w:pPr>
              <w:pStyle w:val="TableParagraph"/>
              <w:ind w:left="459" w:right="124"/>
              <w:jc w:val="both"/>
              <w:rPr>
                <w:i/>
              </w:rPr>
            </w:pPr>
            <w:r>
              <w:rPr>
                <w:i/>
              </w:rPr>
              <w:t>Prasības par operatīvo nomu</w:t>
            </w:r>
          </w:p>
        </w:tc>
        <w:tc>
          <w:tcPr>
            <w:tcW w:w="1593" w:type="dxa"/>
          </w:tcPr>
          <w:p w14:paraId="40F9EEB0" w14:textId="77777777" w:rsidR="00537588" w:rsidRDefault="00537588" w:rsidP="00CD363C">
            <w:pPr>
              <w:pStyle w:val="TableParagraph"/>
              <w:ind w:left="135" w:right="124"/>
              <w:jc w:val="both"/>
              <w:rPr>
                <w:i/>
              </w:rPr>
            </w:pPr>
            <w:r>
              <w:rPr>
                <w:i/>
              </w:rPr>
              <w:t>950,00 EUR</w:t>
            </w:r>
          </w:p>
        </w:tc>
      </w:tr>
    </w:tbl>
    <w:p w14:paraId="6528B599" w14:textId="77777777" w:rsidR="00537588" w:rsidRDefault="00537588" w:rsidP="00CD363C">
      <w:pPr>
        <w:pStyle w:val="Pamatteksts"/>
        <w:ind w:right="124"/>
        <w:jc w:val="both"/>
        <w:rPr>
          <w:sz w:val="19"/>
        </w:rPr>
      </w:pPr>
    </w:p>
    <w:p w14:paraId="65CB8BDE" w14:textId="77777777" w:rsidR="00537588" w:rsidRPr="00A13C30" w:rsidRDefault="00A13C30" w:rsidP="00CD363C">
      <w:pPr>
        <w:pStyle w:val="Pamatteksts"/>
        <w:ind w:left="338" w:right="124"/>
        <w:jc w:val="both"/>
        <w:rPr>
          <w:sz w:val="24"/>
          <w:szCs w:val="24"/>
        </w:rPr>
      </w:pPr>
      <w:r>
        <w:rPr>
          <w:sz w:val="24"/>
          <w:szCs w:val="24"/>
        </w:rPr>
        <w:t xml:space="preserve">901. </w:t>
      </w:r>
      <w:r w:rsidR="00537588" w:rsidRPr="00A13C30">
        <w:rPr>
          <w:sz w:val="24"/>
          <w:szCs w:val="24"/>
        </w:rPr>
        <w:t>Budžeta iestāde pēc nomas termiņa beigām turpina aprēķināt mikroskopa nolietojumu atlikušajā lietderīgās lietošanas laikā.</w:t>
      </w:r>
    </w:p>
    <w:p w14:paraId="4CC1A2F5" w14:textId="77777777" w:rsidR="00AE3E23" w:rsidRPr="00A13C30" w:rsidRDefault="00AE3E23" w:rsidP="00CD363C">
      <w:pPr>
        <w:tabs>
          <w:tab w:val="left" w:pos="345"/>
        </w:tabs>
        <w:spacing w:after="0" w:line="240" w:lineRule="auto"/>
        <w:ind w:right="124"/>
        <w:jc w:val="both"/>
        <w:rPr>
          <w:rFonts w:ascii="Times New Roman" w:hAnsi="Times New Roman" w:cs="Times New Roman"/>
          <w:b/>
          <w:sz w:val="24"/>
          <w:szCs w:val="24"/>
        </w:rPr>
      </w:pPr>
    </w:p>
    <w:p w14:paraId="3B956CA4" w14:textId="77777777" w:rsidR="00480B32" w:rsidRPr="00530C51" w:rsidRDefault="00480B32" w:rsidP="00CD363C">
      <w:pPr>
        <w:spacing w:after="0" w:line="240" w:lineRule="auto"/>
        <w:ind w:right="124"/>
        <w:jc w:val="both"/>
        <w:rPr>
          <w:rFonts w:ascii="Times New Roman" w:hAnsi="Times New Roman" w:cs="Times New Roman"/>
        </w:rPr>
      </w:pPr>
    </w:p>
    <w:p w14:paraId="6E75AF09" w14:textId="77777777" w:rsidR="00480B32" w:rsidRPr="00480B32" w:rsidRDefault="00480B32" w:rsidP="00CD363C">
      <w:pPr>
        <w:spacing w:after="0" w:line="240" w:lineRule="auto"/>
        <w:ind w:right="124"/>
        <w:jc w:val="both"/>
        <w:rPr>
          <w:rFonts w:ascii="Times New Roman" w:hAnsi="Times New Roman" w:cs="Times New Roman"/>
          <w:sz w:val="24"/>
          <w:szCs w:val="24"/>
        </w:rPr>
      </w:pPr>
    </w:p>
    <w:p w14:paraId="33C8D5D8" w14:textId="77777777" w:rsidR="00537588" w:rsidRDefault="00537588" w:rsidP="00CD363C">
      <w:pPr>
        <w:pStyle w:val="Virsraksts4"/>
        <w:tabs>
          <w:tab w:val="left" w:pos="879"/>
        </w:tabs>
        <w:spacing w:before="0"/>
        <w:ind w:left="878" w:right="124"/>
        <w:jc w:val="both"/>
      </w:pPr>
      <w:r>
        <w:rPr>
          <w:color w:val="002069"/>
        </w:rPr>
        <w:t>20.5.7.Piemērs – Operatīvās nomas uzskaite no iznomātāja</w:t>
      </w:r>
      <w:r>
        <w:rPr>
          <w:color w:val="002069"/>
          <w:spacing w:val="-4"/>
        </w:rPr>
        <w:t xml:space="preserve"> </w:t>
      </w:r>
      <w:r>
        <w:rPr>
          <w:color w:val="002069"/>
        </w:rPr>
        <w:t>puses</w:t>
      </w:r>
    </w:p>
    <w:p w14:paraId="3AC096C3" w14:textId="77777777" w:rsidR="00537588" w:rsidRPr="00A13C30" w:rsidRDefault="00A13C30" w:rsidP="00CD363C">
      <w:pPr>
        <w:pStyle w:val="Pamatteksts"/>
        <w:ind w:left="338" w:right="124"/>
        <w:jc w:val="both"/>
        <w:rPr>
          <w:sz w:val="24"/>
          <w:szCs w:val="24"/>
        </w:rPr>
      </w:pPr>
      <w:r>
        <w:rPr>
          <w:sz w:val="24"/>
          <w:szCs w:val="24"/>
        </w:rPr>
        <w:t xml:space="preserve">902. </w:t>
      </w:r>
      <w:r w:rsidR="00537588" w:rsidRPr="00A13C30">
        <w:rPr>
          <w:sz w:val="24"/>
          <w:szCs w:val="24"/>
        </w:rPr>
        <w:t xml:space="preserve">Budžeta iestāde 02.01.2019. noslēdz operatīvās nomas līgumu ar citu iestādi par telpu </w:t>
      </w:r>
      <w:r w:rsidR="00DA21FE">
        <w:rPr>
          <w:sz w:val="24"/>
          <w:szCs w:val="24"/>
        </w:rPr>
        <w:t>i</w:t>
      </w:r>
      <w:r w:rsidR="00537588" w:rsidRPr="00A13C30">
        <w:rPr>
          <w:sz w:val="24"/>
          <w:szCs w:val="24"/>
        </w:rPr>
        <w:t>znomāšanu. Nomas līguma termiņš ir trīs gadi. Līgums paredz nomas maksājumus sekojošā kārtībā: 1.gadā – 1 000,00 EUR, 2.gadā – 2 000,00 EUR, 3.gadā – 1 500, 00 EUR. Kopējā līguma summa 4 500,00 EUR. Budžeta iestāde nav PVN maksātāja.</w:t>
      </w:r>
    </w:p>
    <w:p w14:paraId="096481C6" w14:textId="77777777" w:rsidR="00537588" w:rsidRPr="00A13C30" w:rsidRDefault="00537588" w:rsidP="00CD363C">
      <w:pPr>
        <w:pStyle w:val="Pamatteksts"/>
        <w:ind w:left="338" w:right="-142"/>
        <w:jc w:val="both"/>
        <w:rPr>
          <w:sz w:val="24"/>
          <w:szCs w:val="24"/>
        </w:rPr>
      </w:pPr>
      <w:r w:rsidRPr="00A13C30">
        <w:rPr>
          <w:sz w:val="24"/>
          <w:szCs w:val="24"/>
        </w:rPr>
        <w:t xml:space="preserve">Budžeta iestāde atzīst operatīvās nomas maksājumus kā pamatdarbības ieņēmumus </w:t>
      </w:r>
      <w:r w:rsidRPr="00A13C30">
        <w:rPr>
          <w:sz w:val="24"/>
          <w:szCs w:val="24"/>
          <w:u w:val="single"/>
        </w:rPr>
        <w:t>lineāri nomas termiņa</w:t>
      </w:r>
      <w:r w:rsidRPr="00A13C30">
        <w:rPr>
          <w:sz w:val="24"/>
          <w:szCs w:val="24"/>
        </w:rPr>
        <w:t xml:space="preserve"> </w:t>
      </w:r>
      <w:r w:rsidRPr="00A13C30">
        <w:rPr>
          <w:sz w:val="24"/>
          <w:szCs w:val="24"/>
          <w:u w:val="single"/>
        </w:rPr>
        <w:t>laikā – 1 500 EUR gadā (4 500 EUR/ 3 gadi).</w:t>
      </w:r>
    </w:p>
    <w:p w14:paraId="6FD32E9E" w14:textId="77777777" w:rsidR="00537588" w:rsidRPr="00A13C30" w:rsidRDefault="00537588" w:rsidP="00CD363C">
      <w:pPr>
        <w:pStyle w:val="Pamatteksts"/>
        <w:ind w:right="-142"/>
        <w:jc w:val="both"/>
        <w:rPr>
          <w:sz w:val="24"/>
          <w:szCs w:val="24"/>
        </w:rPr>
      </w:pPr>
    </w:p>
    <w:p w14:paraId="13B04B41" w14:textId="77777777" w:rsidR="00537588" w:rsidRPr="00A13C30" w:rsidRDefault="00537588" w:rsidP="00CD363C">
      <w:pPr>
        <w:pStyle w:val="Pamatteksts"/>
        <w:ind w:left="338" w:right="-142"/>
        <w:jc w:val="both"/>
        <w:rPr>
          <w:sz w:val="24"/>
          <w:szCs w:val="24"/>
        </w:rPr>
      </w:pPr>
      <w:r w:rsidRPr="00A13C30">
        <w:rPr>
          <w:sz w:val="24"/>
          <w:szCs w:val="24"/>
        </w:rPr>
        <w:t>Budžeta iestāde veic sekojošus grāmatojumus atbilstošajā pārskata periodā:</w:t>
      </w:r>
    </w:p>
    <w:p w14:paraId="6D43A6CC" w14:textId="77777777" w:rsidR="00537588" w:rsidRDefault="00537588" w:rsidP="00CD363C">
      <w:pPr>
        <w:pStyle w:val="Pamatteksts"/>
        <w:ind w:right="-142"/>
        <w:jc w:val="both"/>
        <w:rPr>
          <w:sz w:val="20"/>
        </w:rPr>
      </w:pPr>
    </w:p>
    <w:p w14:paraId="5762C410" w14:textId="77777777" w:rsidR="00537588" w:rsidRDefault="00537588" w:rsidP="00CD363C">
      <w:pPr>
        <w:pStyle w:val="Pamatteksts"/>
        <w:ind w:right="-142"/>
        <w:jc w:val="both"/>
        <w:rPr>
          <w:sz w:val="11"/>
        </w:rPr>
      </w:pPr>
    </w:p>
    <w:tbl>
      <w:tblPr>
        <w:tblW w:w="0" w:type="auto"/>
        <w:tblInd w:w="100" w:type="dxa"/>
        <w:tblLayout w:type="fixed"/>
        <w:tblCellMar>
          <w:left w:w="0" w:type="dxa"/>
          <w:right w:w="0" w:type="dxa"/>
        </w:tblCellMar>
        <w:tblLook w:val="01E0" w:firstRow="1" w:lastRow="1" w:firstColumn="1" w:lastColumn="1" w:noHBand="0" w:noVBand="0"/>
      </w:tblPr>
      <w:tblGrid>
        <w:gridCol w:w="632"/>
        <w:gridCol w:w="1320"/>
        <w:gridCol w:w="4998"/>
        <w:gridCol w:w="1676"/>
      </w:tblGrid>
      <w:tr w:rsidR="00537588" w14:paraId="78158AA5" w14:textId="77777777" w:rsidTr="00535ACC">
        <w:trPr>
          <w:trHeight w:val="268"/>
        </w:trPr>
        <w:tc>
          <w:tcPr>
            <w:tcW w:w="8626" w:type="dxa"/>
            <w:gridSpan w:val="4"/>
          </w:tcPr>
          <w:p w14:paraId="03087FA5" w14:textId="77777777" w:rsidR="00537588" w:rsidRDefault="00537588" w:rsidP="00CD363C">
            <w:pPr>
              <w:pStyle w:val="TableParagraph"/>
              <w:ind w:left="200" w:right="-142"/>
              <w:jc w:val="both"/>
              <w:rPr>
                <w:i/>
              </w:rPr>
            </w:pPr>
            <w:r>
              <w:rPr>
                <w:i/>
              </w:rPr>
              <w:t>1. gada beigās grāmatojums, izrakstot rēķinu un atzīstot nomas ieņēmumus:</w:t>
            </w:r>
          </w:p>
        </w:tc>
      </w:tr>
      <w:tr w:rsidR="00537588" w14:paraId="4F23B468" w14:textId="77777777" w:rsidTr="00535ACC">
        <w:trPr>
          <w:trHeight w:val="313"/>
        </w:trPr>
        <w:tc>
          <w:tcPr>
            <w:tcW w:w="632" w:type="dxa"/>
          </w:tcPr>
          <w:p w14:paraId="6D74D480" w14:textId="77777777" w:rsidR="00537588" w:rsidRDefault="00537588" w:rsidP="00CD363C">
            <w:pPr>
              <w:pStyle w:val="TableParagraph"/>
              <w:ind w:left="200" w:right="-142"/>
              <w:jc w:val="both"/>
              <w:rPr>
                <w:i/>
              </w:rPr>
            </w:pPr>
            <w:r>
              <w:rPr>
                <w:i/>
              </w:rPr>
              <w:t>D</w:t>
            </w:r>
          </w:p>
        </w:tc>
        <w:tc>
          <w:tcPr>
            <w:tcW w:w="1320" w:type="dxa"/>
          </w:tcPr>
          <w:p w14:paraId="36092D4F" w14:textId="77777777" w:rsidR="00537588" w:rsidRDefault="00537588" w:rsidP="00CD363C">
            <w:pPr>
              <w:pStyle w:val="TableParagraph"/>
              <w:ind w:right="-142"/>
              <w:jc w:val="both"/>
              <w:rPr>
                <w:i/>
              </w:rPr>
            </w:pPr>
            <w:r>
              <w:rPr>
                <w:i/>
              </w:rPr>
              <w:t>2316</w:t>
            </w:r>
          </w:p>
        </w:tc>
        <w:tc>
          <w:tcPr>
            <w:tcW w:w="4998" w:type="dxa"/>
          </w:tcPr>
          <w:p w14:paraId="191BFE74" w14:textId="77777777" w:rsidR="00537588" w:rsidRDefault="00537588" w:rsidP="00CD363C">
            <w:pPr>
              <w:pStyle w:val="TableParagraph"/>
              <w:ind w:left="461" w:right="-142"/>
              <w:jc w:val="both"/>
              <w:rPr>
                <w:i/>
              </w:rPr>
            </w:pPr>
            <w:r>
              <w:rPr>
                <w:i/>
              </w:rPr>
              <w:t>Prasības par operatīvo omu</w:t>
            </w:r>
          </w:p>
        </w:tc>
        <w:tc>
          <w:tcPr>
            <w:tcW w:w="1676" w:type="dxa"/>
          </w:tcPr>
          <w:p w14:paraId="61FD57F1" w14:textId="77777777" w:rsidR="00537588" w:rsidRDefault="00537588" w:rsidP="00CD363C">
            <w:pPr>
              <w:pStyle w:val="TableParagraph"/>
              <w:ind w:left="55" w:right="-142"/>
              <w:jc w:val="both"/>
              <w:rPr>
                <w:i/>
              </w:rPr>
            </w:pPr>
            <w:r>
              <w:rPr>
                <w:i/>
              </w:rPr>
              <w:t>1 000,00 EUR</w:t>
            </w:r>
          </w:p>
        </w:tc>
      </w:tr>
      <w:tr w:rsidR="00537588" w14:paraId="0A2452DA" w14:textId="77777777" w:rsidTr="00535ACC">
        <w:trPr>
          <w:trHeight w:val="333"/>
        </w:trPr>
        <w:tc>
          <w:tcPr>
            <w:tcW w:w="632" w:type="dxa"/>
          </w:tcPr>
          <w:p w14:paraId="27CCDD4A" w14:textId="77777777" w:rsidR="00537588" w:rsidRDefault="00537588" w:rsidP="00CD363C">
            <w:pPr>
              <w:pStyle w:val="TableParagraph"/>
              <w:ind w:left="200" w:right="-142"/>
              <w:jc w:val="both"/>
              <w:rPr>
                <w:i/>
              </w:rPr>
            </w:pPr>
            <w:r>
              <w:rPr>
                <w:i/>
              </w:rPr>
              <w:t>D</w:t>
            </w:r>
          </w:p>
        </w:tc>
        <w:tc>
          <w:tcPr>
            <w:tcW w:w="1320" w:type="dxa"/>
          </w:tcPr>
          <w:p w14:paraId="79521BBF" w14:textId="77777777" w:rsidR="00537588" w:rsidRDefault="00537588" w:rsidP="00CD363C">
            <w:pPr>
              <w:pStyle w:val="TableParagraph"/>
              <w:ind w:right="-142"/>
              <w:jc w:val="both"/>
              <w:rPr>
                <w:i/>
              </w:rPr>
            </w:pPr>
            <w:r>
              <w:rPr>
                <w:i/>
              </w:rPr>
              <w:t>2364</w:t>
            </w:r>
          </w:p>
        </w:tc>
        <w:tc>
          <w:tcPr>
            <w:tcW w:w="4998" w:type="dxa"/>
          </w:tcPr>
          <w:p w14:paraId="5DFF739C" w14:textId="77777777" w:rsidR="00537588" w:rsidRDefault="00537588" w:rsidP="00CD363C">
            <w:pPr>
              <w:pStyle w:val="TableParagraph"/>
              <w:ind w:left="461" w:right="-142"/>
              <w:jc w:val="both"/>
              <w:rPr>
                <w:i/>
              </w:rPr>
            </w:pPr>
            <w:r>
              <w:rPr>
                <w:i/>
              </w:rPr>
              <w:t>Uzkrātie ieņēmumi par pakalpojumiem</w:t>
            </w:r>
          </w:p>
        </w:tc>
        <w:tc>
          <w:tcPr>
            <w:tcW w:w="1676" w:type="dxa"/>
          </w:tcPr>
          <w:p w14:paraId="2C030004" w14:textId="77777777" w:rsidR="00537588" w:rsidRDefault="00537588" w:rsidP="00CD363C">
            <w:pPr>
              <w:pStyle w:val="TableParagraph"/>
              <w:ind w:left="55" w:right="-142"/>
              <w:jc w:val="both"/>
              <w:rPr>
                <w:i/>
              </w:rPr>
            </w:pPr>
            <w:r>
              <w:rPr>
                <w:i/>
              </w:rPr>
              <w:t>500,00 EUR</w:t>
            </w:r>
          </w:p>
        </w:tc>
      </w:tr>
      <w:tr w:rsidR="00537588" w14:paraId="78C89B19" w14:textId="77777777" w:rsidTr="00535ACC">
        <w:trPr>
          <w:trHeight w:val="373"/>
        </w:trPr>
        <w:tc>
          <w:tcPr>
            <w:tcW w:w="632" w:type="dxa"/>
          </w:tcPr>
          <w:p w14:paraId="2E8B2DEB" w14:textId="77777777" w:rsidR="00537588" w:rsidRDefault="00537588" w:rsidP="00CD363C">
            <w:pPr>
              <w:pStyle w:val="TableParagraph"/>
              <w:ind w:left="200" w:right="-142"/>
              <w:jc w:val="both"/>
              <w:rPr>
                <w:i/>
              </w:rPr>
            </w:pPr>
            <w:r>
              <w:rPr>
                <w:i/>
              </w:rPr>
              <w:t>K</w:t>
            </w:r>
          </w:p>
        </w:tc>
        <w:tc>
          <w:tcPr>
            <w:tcW w:w="1320" w:type="dxa"/>
          </w:tcPr>
          <w:p w14:paraId="2C6D571B" w14:textId="77777777" w:rsidR="00537588" w:rsidRDefault="00537588" w:rsidP="00CD363C">
            <w:pPr>
              <w:pStyle w:val="TableParagraph"/>
              <w:ind w:right="-142"/>
              <w:jc w:val="both"/>
              <w:rPr>
                <w:i/>
              </w:rPr>
            </w:pPr>
            <w:r>
              <w:rPr>
                <w:i/>
              </w:rPr>
              <w:t>6000</w:t>
            </w:r>
          </w:p>
        </w:tc>
        <w:tc>
          <w:tcPr>
            <w:tcW w:w="4998" w:type="dxa"/>
          </w:tcPr>
          <w:p w14:paraId="79B36C44" w14:textId="77777777" w:rsidR="00537588" w:rsidRDefault="00537588" w:rsidP="00CD363C">
            <w:pPr>
              <w:pStyle w:val="TableParagraph"/>
              <w:ind w:left="461" w:right="-142"/>
              <w:jc w:val="both"/>
              <w:rPr>
                <w:i/>
              </w:rPr>
            </w:pPr>
            <w:r>
              <w:rPr>
                <w:i/>
              </w:rPr>
              <w:t>Pamatdarbības ieņēmumi</w:t>
            </w:r>
          </w:p>
        </w:tc>
        <w:tc>
          <w:tcPr>
            <w:tcW w:w="1676" w:type="dxa"/>
          </w:tcPr>
          <w:p w14:paraId="734D5526" w14:textId="77777777" w:rsidR="00537588" w:rsidRDefault="00537588" w:rsidP="00CD363C">
            <w:pPr>
              <w:pStyle w:val="TableParagraph"/>
              <w:ind w:left="55" w:right="-142"/>
              <w:jc w:val="both"/>
              <w:rPr>
                <w:i/>
              </w:rPr>
            </w:pPr>
            <w:r>
              <w:rPr>
                <w:i/>
              </w:rPr>
              <w:t>1 500,00 EUR</w:t>
            </w:r>
          </w:p>
        </w:tc>
      </w:tr>
      <w:tr w:rsidR="00537588" w14:paraId="7E0DFF94" w14:textId="77777777" w:rsidTr="00535ACC">
        <w:trPr>
          <w:trHeight w:val="352"/>
        </w:trPr>
        <w:tc>
          <w:tcPr>
            <w:tcW w:w="8626" w:type="dxa"/>
            <w:gridSpan w:val="4"/>
          </w:tcPr>
          <w:p w14:paraId="42F2F782" w14:textId="77777777" w:rsidR="00537588" w:rsidRDefault="00537588" w:rsidP="00CD363C">
            <w:pPr>
              <w:pStyle w:val="TableParagraph"/>
              <w:ind w:left="200" w:right="-142"/>
              <w:jc w:val="both"/>
              <w:rPr>
                <w:i/>
              </w:rPr>
            </w:pPr>
            <w:r>
              <w:rPr>
                <w:i/>
              </w:rPr>
              <w:t>Grāmatojums saņemot maksājumu par operatīvo nomu:</w:t>
            </w:r>
          </w:p>
        </w:tc>
      </w:tr>
      <w:tr w:rsidR="00537588" w14:paraId="5DB8DBC5" w14:textId="77777777" w:rsidTr="00535ACC">
        <w:trPr>
          <w:trHeight w:val="272"/>
        </w:trPr>
        <w:tc>
          <w:tcPr>
            <w:tcW w:w="632" w:type="dxa"/>
          </w:tcPr>
          <w:p w14:paraId="7A12CA4C" w14:textId="77777777" w:rsidR="00537588" w:rsidRDefault="00537588" w:rsidP="00CD363C">
            <w:pPr>
              <w:pStyle w:val="TableParagraph"/>
              <w:ind w:left="200" w:right="-142"/>
              <w:jc w:val="both"/>
              <w:rPr>
                <w:i/>
              </w:rPr>
            </w:pPr>
            <w:r>
              <w:rPr>
                <w:i/>
              </w:rPr>
              <w:t>D</w:t>
            </w:r>
          </w:p>
        </w:tc>
        <w:tc>
          <w:tcPr>
            <w:tcW w:w="1320" w:type="dxa"/>
          </w:tcPr>
          <w:p w14:paraId="3DE7B76D" w14:textId="77777777" w:rsidR="00537588" w:rsidRDefault="00537588" w:rsidP="00CD363C">
            <w:pPr>
              <w:pStyle w:val="TableParagraph"/>
              <w:ind w:right="-142"/>
              <w:jc w:val="both"/>
              <w:rPr>
                <w:i/>
              </w:rPr>
            </w:pPr>
            <w:r>
              <w:rPr>
                <w:i/>
              </w:rPr>
              <w:t>2620</w:t>
            </w:r>
          </w:p>
        </w:tc>
        <w:tc>
          <w:tcPr>
            <w:tcW w:w="4998" w:type="dxa"/>
            <w:vMerge w:val="restart"/>
          </w:tcPr>
          <w:p w14:paraId="7D74A723" w14:textId="77777777" w:rsidR="00537588" w:rsidRDefault="00537588" w:rsidP="00CD363C">
            <w:pPr>
              <w:pStyle w:val="TableParagraph"/>
              <w:ind w:left="461" w:right="-142"/>
              <w:jc w:val="both"/>
              <w:rPr>
                <w:i/>
              </w:rPr>
            </w:pPr>
            <w:r>
              <w:rPr>
                <w:i/>
              </w:rPr>
              <w:t>Norēķinu konti Valsts kasē, kredītiestādēs vai citās institūcijās</w:t>
            </w:r>
          </w:p>
        </w:tc>
        <w:tc>
          <w:tcPr>
            <w:tcW w:w="1676" w:type="dxa"/>
          </w:tcPr>
          <w:p w14:paraId="7F3CE20C" w14:textId="77777777" w:rsidR="00537588" w:rsidRDefault="00537588" w:rsidP="00CD363C">
            <w:pPr>
              <w:pStyle w:val="TableParagraph"/>
              <w:ind w:right="-142"/>
              <w:jc w:val="both"/>
              <w:rPr>
                <w:sz w:val="20"/>
              </w:rPr>
            </w:pPr>
          </w:p>
        </w:tc>
      </w:tr>
      <w:tr w:rsidR="00537588" w14:paraId="7DD65D28" w14:textId="77777777" w:rsidTr="00535ACC">
        <w:trPr>
          <w:trHeight w:val="292"/>
        </w:trPr>
        <w:tc>
          <w:tcPr>
            <w:tcW w:w="632" w:type="dxa"/>
          </w:tcPr>
          <w:p w14:paraId="17D406AF" w14:textId="77777777" w:rsidR="00537588" w:rsidRDefault="00537588" w:rsidP="00CD363C">
            <w:pPr>
              <w:pStyle w:val="TableParagraph"/>
              <w:ind w:right="-142"/>
              <w:jc w:val="both"/>
              <w:rPr>
                <w:sz w:val="20"/>
              </w:rPr>
            </w:pPr>
          </w:p>
        </w:tc>
        <w:tc>
          <w:tcPr>
            <w:tcW w:w="1320" w:type="dxa"/>
          </w:tcPr>
          <w:p w14:paraId="3C11338D" w14:textId="77777777" w:rsidR="00537588" w:rsidRDefault="00537588" w:rsidP="00CD363C">
            <w:pPr>
              <w:pStyle w:val="TableParagraph"/>
              <w:ind w:right="-142"/>
              <w:jc w:val="both"/>
              <w:rPr>
                <w:sz w:val="20"/>
              </w:rPr>
            </w:pPr>
          </w:p>
        </w:tc>
        <w:tc>
          <w:tcPr>
            <w:tcW w:w="4998" w:type="dxa"/>
            <w:vMerge/>
            <w:tcBorders>
              <w:top w:val="nil"/>
            </w:tcBorders>
          </w:tcPr>
          <w:p w14:paraId="7AF3891A" w14:textId="77777777" w:rsidR="00537588" w:rsidRDefault="00537588" w:rsidP="00CD363C">
            <w:pPr>
              <w:spacing w:after="0" w:line="240" w:lineRule="auto"/>
              <w:ind w:right="-142"/>
              <w:jc w:val="both"/>
              <w:rPr>
                <w:sz w:val="2"/>
                <w:szCs w:val="2"/>
              </w:rPr>
            </w:pPr>
          </w:p>
        </w:tc>
        <w:tc>
          <w:tcPr>
            <w:tcW w:w="1676" w:type="dxa"/>
          </w:tcPr>
          <w:p w14:paraId="6BDFA553" w14:textId="77777777" w:rsidR="00537588" w:rsidRDefault="00537588" w:rsidP="00CD363C">
            <w:pPr>
              <w:pStyle w:val="TableParagraph"/>
              <w:ind w:left="55" w:right="-142"/>
              <w:jc w:val="both"/>
              <w:rPr>
                <w:i/>
              </w:rPr>
            </w:pPr>
            <w:r>
              <w:rPr>
                <w:i/>
              </w:rPr>
              <w:t>1 000,00 EUR</w:t>
            </w:r>
          </w:p>
        </w:tc>
      </w:tr>
      <w:tr w:rsidR="00537588" w14:paraId="46BB6F23" w14:textId="77777777" w:rsidTr="00535ACC">
        <w:trPr>
          <w:trHeight w:val="373"/>
        </w:trPr>
        <w:tc>
          <w:tcPr>
            <w:tcW w:w="632" w:type="dxa"/>
          </w:tcPr>
          <w:p w14:paraId="23C0B90D" w14:textId="77777777" w:rsidR="00537588" w:rsidRDefault="00537588" w:rsidP="00CD363C">
            <w:pPr>
              <w:pStyle w:val="TableParagraph"/>
              <w:ind w:left="200" w:right="-142"/>
              <w:jc w:val="both"/>
              <w:rPr>
                <w:i/>
              </w:rPr>
            </w:pPr>
            <w:r>
              <w:rPr>
                <w:i/>
              </w:rPr>
              <w:t>K</w:t>
            </w:r>
          </w:p>
        </w:tc>
        <w:tc>
          <w:tcPr>
            <w:tcW w:w="1320" w:type="dxa"/>
          </w:tcPr>
          <w:p w14:paraId="3387E265" w14:textId="77777777" w:rsidR="00537588" w:rsidRDefault="00537588" w:rsidP="00CD363C">
            <w:pPr>
              <w:pStyle w:val="TableParagraph"/>
              <w:ind w:right="-142"/>
              <w:jc w:val="both"/>
              <w:rPr>
                <w:i/>
              </w:rPr>
            </w:pPr>
            <w:r>
              <w:rPr>
                <w:i/>
              </w:rPr>
              <w:t>2316</w:t>
            </w:r>
          </w:p>
        </w:tc>
        <w:tc>
          <w:tcPr>
            <w:tcW w:w="4998" w:type="dxa"/>
          </w:tcPr>
          <w:p w14:paraId="7F04F8C8" w14:textId="77777777" w:rsidR="00537588" w:rsidRDefault="00537588" w:rsidP="00CD363C">
            <w:pPr>
              <w:pStyle w:val="TableParagraph"/>
              <w:ind w:left="461" w:right="-142"/>
              <w:jc w:val="both"/>
              <w:rPr>
                <w:i/>
              </w:rPr>
            </w:pPr>
            <w:r>
              <w:rPr>
                <w:i/>
              </w:rPr>
              <w:t>Prasības par operatīvo nomu</w:t>
            </w:r>
          </w:p>
        </w:tc>
        <w:tc>
          <w:tcPr>
            <w:tcW w:w="1676" w:type="dxa"/>
          </w:tcPr>
          <w:p w14:paraId="7CC9046B" w14:textId="77777777" w:rsidR="00537588" w:rsidRDefault="00537588" w:rsidP="00CD363C">
            <w:pPr>
              <w:pStyle w:val="TableParagraph"/>
              <w:ind w:left="55" w:right="-142"/>
              <w:jc w:val="both"/>
              <w:rPr>
                <w:i/>
              </w:rPr>
            </w:pPr>
            <w:r>
              <w:rPr>
                <w:i/>
              </w:rPr>
              <w:t>1 000,00 EUR</w:t>
            </w:r>
          </w:p>
        </w:tc>
      </w:tr>
      <w:tr w:rsidR="00537588" w14:paraId="5B67B7FF" w14:textId="77777777" w:rsidTr="00535ACC">
        <w:trPr>
          <w:trHeight w:val="352"/>
        </w:trPr>
        <w:tc>
          <w:tcPr>
            <w:tcW w:w="8626" w:type="dxa"/>
            <w:gridSpan w:val="4"/>
          </w:tcPr>
          <w:p w14:paraId="1FA36BB5" w14:textId="77777777" w:rsidR="00537588" w:rsidRDefault="00537588" w:rsidP="00CD363C">
            <w:pPr>
              <w:pStyle w:val="TableParagraph"/>
              <w:ind w:left="200" w:right="-142"/>
              <w:jc w:val="both"/>
              <w:rPr>
                <w:i/>
              </w:rPr>
            </w:pPr>
            <w:r>
              <w:rPr>
                <w:i/>
              </w:rPr>
              <w:t>2. gada beigās grāmatojums, izrakstot rēķinu un atzīstot nomas ieņēmumus:</w:t>
            </w:r>
          </w:p>
        </w:tc>
      </w:tr>
      <w:tr w:rsidR="00537588" w14:paraId="091E494C" w14:textId="77777777" w:rsidTr="00535ACC">
        <w:trPr>
          <w:trHeight w:val="313"/>
        </w:trPr>
        <w:tc>
          <w:tcPr>
            <w:tcW w:w="632" w:type="dxa"/>
          </w:tcPr>
          <w:p w14:paraId="350AA926" w14:textId="77777777" w:rsidR="00537588" w:rsidRDefault="00537588" w:rsidP="00CD363C">
            <w:pPr>
              <w:pStyle w:val="TableParagraph"/>
              <w:ind w:left="200" w:right="-142"/>
              <w:jc w:val="both"/>
              <w:rPr>
                <w:i/>
              </w:rPr>
            </w:pPr>
            <w:r>
              <w:rPr>
                <w:i/>
              </w:rPr>
              <w:t>D</w:t>
            </w:r>
          </w:p>
        </w:tc>
        <w:tc>
          <w:tcPr>
            <w:tcW w:w="1320" w:type="dxa"/>
          </w:tcPr>
          <w:p w14:paraId="7507E5C7" w14:textId="77777777" w:rsidR="00537588" w:rsidRDefault="00537588" w:rsidP="00CD363C">
            <w:pPr>
              <w:pStyle w:val="TableParagraph"/>
              <w:ind w:left="273" w:right="-142"/>
              <w:jc w:val="both"/>
              <w:rPr>
                <w:i/>
              </w:rPr>
            </w:pPr>
            <w:r>
              <w:rPr>
                <w:i/>
              </w:rPr>
              <w:t>2316</w:t>
            </w:r>
          </w:p>
        </w:tc>
        <w:tc>
          <w:tcPr>
            <w:tcW w:w="4998" w:type="dxa"/>
          </w:tcPr>
          <w:p w14:paraId="4B06EE5D" w14:textId="77777777" w:rsidR="00537588" w:rsidRDefault="00537588" w:rsidP="00CD363C">
            <w:pPr>
              <w:pStyle w:val="TableParagraph"/>
              <w:ind w:left="629" w:right="-142"/>
              <w:jc w:val="both"/>
              <w:rPr>
                <w:i/>
              </w:rPr>
            </w:pPr>
            <w:r>
              <w:rPr>
                <w:i/>
              </w:rPr>
              <w:t>Prasības par operatīvo omu</w:t>
            </w:r>
          </w:p>
        </w:tc>
        <w:tc>
          <w:tcPr>
            <w:tcW w:w="1676" w:type="dxa"/>
          </w:tcPr>
          <w:p w14:paraId="63F3555A" w14:textId="77777777" w:rsidR="00537588" w:rsidRDefault="00537588" w:rsidP="00CD363C">
            <w:pPr>
              <w:pStyle w:val="TableParagraph"/>
              <w:ind w:right="-142"/>
              <w:jc w:val="both"/>
              <w:rPr>
                <w:i/>
              </w:rPr>
            </w:pPr>
            <w:r>
              <w:rPr>
                <w:i/>
              </w:rPr>
              <w:t>2 000,00 EUR</w:t>
            </w:r>
          </w:p>
        </w:tc>
      </w:tr>
      <w:tr w:rsidR="00537588" w14:paraId="0DE7F721" w14:textId="77777777" w:rsidTr="00535ACC">
        <w:trPr>
          <w:trHeight w:val="333"/>
        </w:trPr>
        <w:tc>
          <w:tcPr>
            <w:tcW w:w="632" w:type="dxa"/>
          </w:tcPr>
          <w:p w14:paraId="69EE95CA" w14:textId="77777777" w:rsidR="00537588" w:rsidRDefault="00537588" w:rsidP="00CD363C">
            <w:pPr>
              <w:pStyle w:val="TableParagraph"/>
              <w:ind w:left="200" w:right="-142"/>
              <w:jc w:val="both"/>
              <w:rPr>
                <w:i/>
              </w:rPr>
            </w:pPr>
            <w:r>
              <w:rPr>
                <w:i/>
              </w:rPr>
              <w:t>K</w:t>
            </w:r>
          </w:p>
        </w:tc>
        <w:tc>
          <w:tcPr>
            <w:tcW w:w="1320" w:type="dxa"/>
          </w:tcPr>
          <w:p w14:paraId="00F55488" w14:textId="77777777" w:rsidR="00537588" w:rsidRDefault="00537588" w:rsidP="00CD363C">
            <w:pPr>
              <w:pStyle w:val="TableParagraph"/>
              <w:ind w:left="273" w:right="-142"/>
              <w:jc w:val="both"/>
              <w:rPr>
                <w:i/>
              </w:rPr>
            </w:pPr>
            <w:r>
              <w:rPr>
                <w:i/>
              </w:rPr>
              <w:t>2364</w:t>
            </w:r>
          </w:p>
        </w:tc>
        <w:tc>
          <w:tcPr>
            <w:tcW w:w="4998" w:type="dxa"/>
          </w:tcPr>
          <w:p w14:paraId="5EB89954" w14:textId="77777777" w:rsidR="00537588" w:rsidRDefault="00537588" w:rsidP="00CD363C">
            <w:pPr>
              <w:pStyle w:val="TableParagraph"/>
              <w:ind w:left="629" w:right="-142"/>
              <w:jc w:val="both"/>
              <w:rPr>
                <w:i/>
              </w:rPr>
            </w:pPr>
            <w:r>
              <w:rPr>
                <w:i/>
              </w:rPr>
              <w:t>Uzkrātie ieņēmumi par pakalpojumiem</w:t>
            </w:r>
          </w:p>
        </w:tc>
        <w:tc>
          <w:tcPr>
            <w:tcW w:w="1676" w:type="dxa"/>
          </w:tcPr>
          <w:p w14:paraId="6ADF26FF" w14:textId="77777777" w:rsidR="00537588" w:rsidRDefault="00537588" w:rsidP="00CD363C">
            <w:pPr>
              <w:pStyle w:val="TableParagraph"/>
              <w:ind w:left="223" w:right="-142"/>
              <w:jc w:val="both"/>
              <w:rPr>
                <w:i/>
              </w:rPr>
            </w:pPr>
            <w:r>
              <w:rPr>
                <w:i/>
              </w:rPr>
              <w:t>500,00 EUR</w:t>
            </w:r>
          </w:p>
        </w:tc>
      </w:tr>
      <w:tr w:rsidR="00537588" w14:paraId="40BE802B" w14:textId="77777777" w:rsidTr="00535ACC">
        <w:trPr>
          <w:trHeight w:val="371"/>
        </w:trPr>
        <w:tc>
          <w:tcPr>
            <w:tcW w:w="632" w:type="dxa"/>
          </w:tcPr>
          <w:p w14:paraId="17007572" w14:textId="77777777" w:rsidR="00537588" w:rsidRDefault="00537588" w:rsidP="00CD363C">
            <w:pPr>
              <w:pStyle w:val="TableParagraph"/>
              <w:ind w:left="200" w:right="-142"/>
              <w:jc w:val="both"/>
              <w:rPr>
                <w:i/>
              </w:rPr>
            </w:pPr>
            <w:r>
              <w:rPr>
                <w:i/>
              </w:rPr>
              <w:t>K</w:t>
            </w:r>
          </w:p>
        </w:tc>
        <w:tc>
          <w:tcPr>
            <w:tcW w:w="1320" w:type="dxa"/>
          </w:tcPr>
          <w:p w14:paraId="07A662B2" w14:textId="77777777" w:rsidR="00537588" w:rsidRDefault="00537588" w:rsidP="00CD363C">
            <w:pPr>
              <w:pStyle w:val="TableParagraph"/>
              <w:ind w:left="273" w:right="-142"/>
              <w:jc w:val="both"/>
              <w:rPr>
                <w:i/>
              </w:rPr>
            </w:pPr>
            <w:r>
              <w:rPr>
                <w:i/>
              </w:rPr>
              <w:t>6000</w:t>
            </w:r>
          </w:p>
        </w:tc>
        <w:tc>
          <w:tcPr>
            <w:tcW w:w="4998" w:type="dxa"/>
          </w:tcPr>
          <w:p w14:paraId="1524F6B2" w14:textId="77777777" w:rsidR="00537588" w:rsidRDefault="00537588" w:rsidP="00CD363C">
            <w:pPr>
              <w:pStyle w:val="TableParagraph"/>
              <w:ind w:left="629" w:right="-142"/>
              <w:jc w:val="both"/>
              <w:rPr>
                <w:i/>
              </w:rPr>
            </w:pPr>
            <w:r>
              <w:rPr>
                <w:i/>
              </w:rPr>
              <w:t>Pamatdarbības ieņēmumi</w:t>
            </w:r>
          </w:p>
        </w:tc>
        <w:tc>
          <w:tcPr>
            <w:tcW w:w="1676" w:type="dxa"/>
          </w:tcPr>
          <w:p w14:paraId="4618CEB3" w14:textId="77777777" w:rsidR="00537588" w:rsidRDefault="00537588" w:rsidP="00CD363C">
            <w:pPr>
              <w:pStyle w:val="TableParagraph"/>
              <w:ind w:right="-142"/>
              <w:jc w:val="both"/>
              <w:rPr>
                <w:i/>
              </w:rPr>
            </w:pPr>
            <w:r>
              <w:rPr>
                <w:i/>
              </w:rPr>
              <w:t>1 500,00 EUR</w:t>
            </w:r>
          </w:p>
        </w:tc>
      </w:tr>
      <w:tr w:rsidR="00537588" w14:paraId="49C24F1D" w14:textId="77777777" w:rsidTr="00535ACC">
        <w:trPr>
          <w:trHeight w:val="352"/>
        </w:trPr>
        <w:tc>
          <w:tcPr>
            <w:tcW w:w="8626" w:type="dxa"/>
            <w:gridSpan w:val="4"/>
          </w:tcPr>
          <w:p w14:paraId="6747D4F9" w14:textId="77777777" w:rsidR="00537588" w:rsidRDefault="00537588" w:rsidP="00CD363C">
            <w:pPr>
              <w:pStyle w:val="TableParagraph"/>
              <w:ind w:left="200" w:right="-142"/>
              <w:jc w:val="both"/>
              <w:rPr>
                <w:i/>
              </w:rPr>
            </w:pPr>
            <w:r>
              <w:rPr>
                <w:i/>
              </w:rPr>
              <w:t>Grāmatojums saņemot maksājumu par operatīvo nomu</w:t>
            </w:r>
          </w:p>
        </w:tc>
      </w:tr>
      <w:tr w:rsidR="00537588" w14:paraId="62BF1A62" w14:textId="77777777" w:rsidTr="00535ACC">
        <w:trPr>
          <w:trHeight w:val="273"/>
        </w:trPr>
        <w:tc>
          <w:tcPr>
            <w:tcW w:w="632" w:type="dxa"/>
          </w:tcPr>
          <w:p w14:paraId="3E61F2A3" w14:textId="77777777" w:rsidR="00537588" w:rsidRDefault="00537588" w:rsidP="00CD363C">
            <w:pPr>
              <w:pStyle w:val="TableParagraph"/>
              <w:ind w:left="200" w:right="-142"/>
              <w:jc w:val="both"/>
              <w:rPr>
                <w:i/>
              </w:rPr>
            </w:pPr>
            <w:r>
              <w:rPr>
                <w:i/>
              </w:rPr>
              <w:t>D</w:t>
            </w:r>
          </w:p>
        </w:tc>
        <w:tc>
          <w:tcPr>
            <w:tcW w:w="1320" w:type="dxa"/>
          </w:tcPr>
          <w:p w14:paraId="4EA62EA8" w14:textId="77777777" w:rsidR="00537588" w:rsidRDefault="00537588" w:rsidP="00CD363C">
            <w:pPr>
              <w:pStyle w:val="TableParagraph"/>
              <w:ind w:left="273" w:right="-142"/>
              <w:jc w:val="both"/>
              <w:rPr>
                <w:i/>
              </w:rPr>
            </w:pPr>
            <w:r>
              <w:rPr>
                <w:i/>
              </w:rPr>
              <w:t>2620</w:t>
            </w:r>
          </w:p>
        </w:tc>
        <w:tc>
          <w:tcPr>
            <w:tcW w:w="4998" w:type="dxa"/>
            <w:vMerge w:val="restart"/>
          </w:tcPr>
          <w:p w14:paraId="5858BBE5" w14:textId="77777777" w:rsidR="00537588" w:rsidRDefault="00537588" w:rsidP="00CD363C">
            <w:pPr>
              <w:pStyle w:val="TableParagraph"/>
              <w:ind w:left="629" w:right="-142"/>
              <w:jc w:val="both"/>
              <w:rPr>
                <w:i/>
              </w:rPr>
            </w:pPr>
            <w:r>
              <w:rPr>
                <w:i/>
              </w:rPr>
              <w:t>Norēķinu konti Valsts kasē, kredītiestādēs vai citās institūcijās</w:t>
            </w:r>
          </w:p>
        </w:tc>
        <w:tc>
          <w:tcPr>
            <w:tcW w:w="1676" w:type="dxa"/>
          </w:tcPr>
          <w:p w14:paraId="5F2D2A5D" w14:textId="77777777" w:rsidR="00537588" w:rsidRDefault="00537588" w:rsidP="00CD363C">
            <w:pPr>
              <w:pStyle w:val="TableParagraph"/>
              <w:ind w:right="-142"/>
              <w:jc w:val="both"/>
              <w:rPr>
                <w:sz w:val="20"/>
              </w:rPr>
            </w:pPr>
          </w:p>
        </w:tc>
      </w:tr>
      <w:tr w:rsidR="00537588" w14:paraId="5234B4B3" w14:textId="77777777" w:rsidTr="00535ACC">
        <w:trPr>
          <w:trHeight w:val="292"/>
        </w:trPr>
        <w:tc>
          <w:tcPr>
            <w:tcW w:w="632" w:type="dxa"/>
          </w:tcPr>
          <w:p w14:paraId="58641152" w14:textId="77777777" w:rsidR="00537588" w:rsidRDefault="00537588" w:rsidP="00CD363C">
            <w:pPr>
              <w:pStyle w:val="TableParagraph"/>
              <w:ind w:right="-142"/>
              <w:jc w:val="both"/>
              <w:rPr>
                <w:sz w:val="20"/>
              </w:rPr>
            </w:pPr>
          </w:p>
        </w:tc>
        <w:tc>
          <w:tcPr>
            <w:tcW w:w="1320" w:type="dxa"/>
          </w:tcPr>
          <w:p w14:paraId="11F949F6" w14:textId="77777777" w:rsidR="00537588" w:rsidRDefault="00537588" w:rsidP="00CD363C">
            <w:pPr>
              <w:pStyle w:val="TableParagraph"/>
              <w:ind w:right="-142"/>
              <w:jc w:val="both"/>
              <w:rPr>
                <w:sz w:val="20"/>
              </w:rPr>
            </w:pPr>
          </w:p>
        </w:tc>
        <w:tc>
          <w:tcPr>
            <w:tcW w:w="4998" w:type="dxa"/>
            <w:vMerge/>
            <w:tcBorders>
              <w:top w:val="nil"/>
            </w:tcBorders>
          </w:tcPr>
          <w:p w14:paraId="23972DAC" w14:textId="77777777" w:rsidR="00537588" w:rsidRDefault="00537588" w:rsidP="00CD363C">
            <w:pPr>
              <w:spacing w:after="0" w:line="240" w:lineRule="auto"/>
              <w:ind w:right="-142"/>
              <w:jc w:val="both"/>
              <w:rPr>
                <w:sz w:val="2"/>
                <w:szCs w:val="2"/>
              </w:rPr>
            </w:pPr>
          </w:p>
        </w:tc>
        <w:tc>
          <w:tcPr>
            <w:tcW w:w="1676" w:type="dxa"/>
          </w:tcPr>
          <w:p w14:paraId="79BFE803" w14:textId="77777777" w:rsidR="00537588" w:rsidRDefault="00537588" w:rsidP="00CD363C">
            <w:pPr>
              <w:pStyle w:val="TableParagraph"/>
              <w:ind w:right="-142"/>
              <w:jc w:val="both"/>
              <w:rPr>
                <w:i/>
              </w:rPr>
            </w:pPr>
            <w:r>
              <w:rPr>
                <w:i/>
              </w:rPr>
              <w:t>2 000,00 EUR</w:t>
            </w:r>
          </w:p>
        </w:tc>
      </w:tr>
      <w:tr w:rsidR="00537588" w14:paraId="2D2C450B" w14:textId="77777777" w:rsidTr="00535ACC">
        <w:trPr>
          <w:trHeight w:val="373"/>
        </w:trPr>
        <w:tc>
          <w:tcPr>
            <w:tcW w:w="632" w:type="dxa"/>
          </w:tcPr>
          <w:p w14:paraId="4B050960" w14:textId="77777777" w:rsidR="00537588" w:rsidRDefault="00537588" w:rsidP="00CD363C">
            <w:pPr>
              <w:pStyle w:val="TableParagraph"/>
              <w:ind w:left="200" w:right="-142"/>
              <w:jc w:val="both"/>
              <w:rPr>
                <w:i/>
              </w:rPr>
            </w:pPr>
            <w:r>
              <w:rPr>
                <w:i/>
              </w:rPr>
              <w:t>K</w:t>
            </w:r>
          </w:p>
        </w:tc>
        <w:tc>
          <w:tcPr>
            <w:tcW w:w="1320" w:type="dxa"/>
          </w:tcPr>
          <w:p w14:paraId="1B457341" w14:textId="77777777" w:rsidR="00537588" w:rsidRDefault="00537588" w:rsidP="00CD363C">
            <w:pPr>
              <w:pStyle w:val="TableParagraph"/>
              <w:ind w:left="273" w:right="-142"/>
              <w:jc w:val="both"/>
              <w:rPr>
                <w:i/>
              </w:rPr>
            </w:pPr>
            <w:r>
              <w:rPr>
                <w:i/>
              </w:rPr>
              <w:t>2316</w:t>
            </w:r>
          </w:p>
        </w:tc>
        <w:tc>
          <w:tcPr>
            <w:tcW w:w="4998" w:type="dxa"/>
          </w:tcPr>
          <w:p w14:paraId="5263541D" w14:textId="77777777" w:rsidR="00537588" w:rsidRDefault="00537588" w:rsidP="00CD363C">
            <w:pPr>
              <w:pStyle w:val="TableParagraph"/>
              <w:ind w:left="629" w:right="-142"/>
              <w:jc w:val="both"/>
              <w:rPr>
                <w:i/>
              </w:rPr>
            </w:pPr>
            <w:r>
              <w:rPr>
                <w:i/>
              </w:rPr>
              <w:t>Prasības par operatīvo nomu</w:t>
            </w:r>
          </w:p>
        </w:tc>
        <w:tc>
          <w:tcPr>
            <w:tcW w:w="1676" w:type="dxa"/>
          </w:tcPr>
          <w:p w14:paraId="479EABA9" w14:textId="77777777" w:rsidR="00537588" w:rsidRDefault="00537588" w:rsidP="00CD363C">
            <w:pPr>
              <w:pStyle w:val="TableParagraph"/>
              <w:ind w:right="-142"/>
              <w:jc w:val="both"/>
              <w:rPr>
                <w:i/>
              </w:rPr>
            </w:pPr>
            <w:r>
              <w:rPr>
                <w:i/>
              </w:rPr>
              <w:t>2 000,00 EUR</w:t>
            </w:r>
          </w:p>
        </w:tc>
      </w:tr>
      <w:tr w:rsidR="00537588" w14:paraId="3440FE7B" w14:textId="77777777" w:rsidTr="00535ACC">
        <w:trPr>
          <w:trHeight w:val="352"/>
        </w:trPr>
        <w:tc>
          <w:tcPr>
            <w:tcW w:w="8626" w:type="dxa"/>
            <w:gridSpan w:val="4"/>
          </w:tcPr>
          <w:p w14:paraId="166177E3" w14:textId="77777777" w:rsidR="00537588" w:rsidRDefault="00537588" w:rsidP="00CD363C">
            <w:pPr>
              <w:pStyle w:val="TableParagraph"/>
              <w:ind w:left="200" w:right="-142"/>
              <w:jc w:val="both"/>
              <w:rPr>
                <w:i/>
              </w:rPr>
            </w:pPr>
            <w:r>
              <w:rPr>
                <w:i/>
              </w:rPr>
              <w:t>3. gada beigās grāmatojums, izrakstot rēķinu un atzīstot nomas ieņēmumus:</w:t>
            </w:r>
          </w:p>
        </w:tc>
      </w:tr>
      <w:tr w:rsidR="00537588" w14:paraId="4E3819B6" w14:textId="77777777" w:rsidTr="00535ACC">
        <w:trPr>
          <w:trHeight w:val="313"/>
        </w:trPr>
        <w:tc>
          <w:tcPr>
            <w:tcW w:w="632" w:type="dxa"/>
          </w:tcPr>
          <w:p w14:paraId="3C6F854F" w14:textId="77777777" w:rsidR="00537588" w:rsidRDefault="00537588" w:rsidP="00CD363C">
            <w:pPr>
              <w:pStyle w:val="TableParagraph"/>
              <w:ind w:left="200" w:right="-142"/>
              <w:jc w:val="both"/>
              <w:rPr>
                <w:i/>
              </w:rPr>
            </w:pPr>
            <w:r>
              <w:rPr>
                <w:i/>
              </w:rPr>
              <w:t>D</w:t>
            </w:r>
          </w:p>
        </w:tc>
        <w:tc>
          <w:tcPr>
            <w:tcW w:w="1320" w:type="dxa"/>
          </w:tcPr>
          <w:p w14:paraId="1D59EC43" w14:textId="77777777" w:rsidR="00537588" w:rsidRDefault="00537588" w:rsidP="00CD363C">
            <w:pPr>
              <w:pStyle w:val="TableParagraph"/>
              <w:ind w:right="-142"/>
              <w:jc w:val="both"/>
              <w:rPr>
                <w:i/>
              </w:rPr>
            </w:pPr>
            <w:r>
              <w:rPr>
                <w:i/>
              </w:rPr>
              <w:t>2316</w:t>
            </w:r>
          </w:p>
        </w:tc>
        <w:tc>
          <w:tcPr>
            <w:tcW w:w="4998" w:type="dxa"/>
          </w:tcPr>
          <w:p w14:paraId="1DC98189" w14:textId="77777777" w:rsidR="00537588" w:rsidRDefault="00537588" w:rsidP="00CD363C">
            <w:pPr>
              <w:pStyle w:val="TableParagraph"/>
              <w:ind w:left="461" w:right="-142"/>
              <w:jc w:val="both"/>
              <w:rPr>
                <w:i/>
              </w:rPr>
            </w:pPr>
            <w:r>
              <w:rPr>
                <w:i/>
              </w:rPr>
              <w:t>Prasības par operatīvo omu</w:t>
            </w:r>
          </w:p>
        </w:tc>
        <w:tc>
          <w:tcPr>
            <w:tcW w:w="1676" w:type="dxa"/>
          </w:tcPr>
          <w:p w14:paraId="567B2B47" w14:textId="77777777" w:rsidR="00537588" w:rsidRDefault="00537588" w:rsidP="00CD363C">
            <w:pPr>
              <w:pStyle w:val="TableParagraph"/>
              <w:ind w:left="55" w:right="-142"/>
              <w:jc w:val="both"/>
              <w:rPr>
                <w:i/>
              </w:rPr>
            </w:pPr>
            <w:r>
              <w:rPr>
                <w:i/>
              </w:rPr>
              <w:t>1 500,00 EUR</w:t>
            </w:r>
          </w:p>
        </w:tc>
      </w:tr>
      <w:tr w:rsidR="00537588" w14:paraId="0CDD3DA2" w14:textId="77777777" w:rsidTr="00535ACC">
        <w:trPr>
          <w:trHeight w:val="373"/>
        </w:trPr>
        <w:tc>
          <w:tcPr>
            <w:tcW w:w="632" w:type="dxa"/>
          </w:tcPr>
          <w:p w14:paraId="593F2991" w14:textId="77777777" w:rsidR="00537588" w:rsidRDefault="00537588" w:rsidP="00CD363C">
            <w:pPr>
              <w:pStyle w:val="TableParagraph"/>
              <w:ind w:left="200" w:right="-142"/>
              <w:jc w:val="both"/>
              <w:rPr>
                <w:i/>
              </w:rPr>
            </w:pPr>
            <w:r>
              <w:rPr>
                <w:i/>
              </w:rPr>
              <w:t>K</w:t>
            </w:r>
          </w:p>
        </w:tc>
        <w:tc>
          <w:tcPr>
            <w:tcW w:w="1320" w:type="dxa"/>
          </w:tcPr>
          <w:p w14:paraId="672A8055" w14:textId="77777777" w:rsidR="00537588" w:rsidRDefault="00537588" w:rsidP="00CD363C">
            <w:pPr>
              <w:pStyle w:val="TableParagraph"/>
              <w:ind w:right="-142"/>
              <w:jc w:val="both"/>
              <w:rPr>
                <w:i/>
              </w:rPr>
            </w:pPr>
            <w:r>
              <w:rPr>
                <w:i/>
              </w:rPr>
              <w:t>6000</w:t>
            </w:r>
          </w:p>
        </w:tc>
        <w:tc>
          <w:tcPr>
            <w:tcW w:w="4998" w:type="dxa"/>
          </w:tcPr>
          <w:p w14:paraId="648A22DB" w14:textId="77777777" w:rsidR="00537588" w:rsidRDefault="00537588" w:rsidP="00CD363C">
            <w:pPr>
              <w:pStyle w:val="TableParagraph"/>
              <w:ind w:left="461" w:right="-142"/>
              <w:jc w:val="both"/>
              <w:rPr>
                <w:i/>
              </w:rPr>
            </w:pPr>
            <w:r>
              <w:rPr>
                <w:i/>
              </w:rPr>
              <w:t>Pamatdarbības ieņēmumi</w:t>
            </w:r>
          </w:p>
        </w:tc>
        <w:tc>
          <w:tcPr>
            <w:tcW w:w="1676" w:type="dxa"/>
          </w:tcPr>
          <w:p w14:paraId="22680D91" w14:textId="77777777" w:rsidR="00537588" w:rsidRDefault="00537588" w:rsidP="00CD363C">
            <w:pPr>
              <w:pStyle w:val="TableParagraph"/>
              <w:ind w:left="55" w:right="-142"/>
              <w:jc w:val="both"/>
              <w:rPr>
                <w:i/>
              </w:rPr>
            </w:pPr>
            <w:r>
              <w:rPr>
                <w:i/>
              </w:rPr>
              <w:t>1 500,00 EUR</w:t>
            </w:r>
          </w:p>
        </w:tc>
      </w:tr>
      <w:tr w:rsidR="00537588" w14:paraId="68FD2CB1" w14:textId="77777777" w:rsidTr="00535ACC">
        <w:trPr>
          <w:trHeight w:val="352"/>
        </w:trPr>
        <w:tc>
          <w:tcPr>
            <w:tcW w:w="8626" w:type="dxa"/>
            <w:gridSpan w:val="4"/>
          </w:tcPr>
          <w:p w14:paraId="1E922E0B" w14:textId="77777777" w:rsidR="00537588" w:rsidRDefault="00537588" w:rsidP="00CD363C">
            <w:pPr>
              <w:pStyle w:val="TableParagraph"/>
              <w:ind w:left="200" w:right="-142"/>
              <w:jc w:val="both"/>
              <w:rPr>
                <w:i/>
              </w:rPr>
            </w:pPr>
            <w:r>
              <w:rPr>
                <w:i/>
              </w:rPr>
              <w:t>Grāmatojums saņemot maksājumu par operatīvo nomu</w:t>
            </w:r>
          </w:p>
        </w:tc>
      </w:tr>
      <w:tr w:rsidR="00537588" w14:paraId="70081D09" w14:textId="77777777" w:rsidTr="00535ACC">
        <w:trPr>
          <w:trHeight w:val="272"/>
        </w:trPr>
        <w:tc>
          <w:tcPr>
            <w:tcW w:w="632" w:type="dxa"/>
          </w:tcPr>
          <w:p w14:paraId="53A87431" w14:textId="77777777" w:rsidR="00537588" w:rsidRDefault="00537588" w:rsidP="00CD363C">
            <w:pPr>
              <w:pStyle w:val="TableParagraph"/>
              <w:ind w:left="200" w:right="-142"/>
              <w:jc w:val="both"/>
              <w:rPr>
                <w:i/>
              </w:rPr>
            </w:pPr>
            <w:r>
              <w:rPr>
                <w:i/>
              </w:rPr>
              <w:t>D</w:t>
            </w:r>
          </w:p>
        </w:tc>
        <w:tc>
          <w:tcPr>
            <w:tcW w:w="1320" w:type="dxa"/>
          </w:tcPr>
          <w:p w14:paraId="007E593E" w14:textId="77777777" w:rsidR="00537588" w:rsidRDefault="00537588" w:rsidP="00CD363C">
            <w:pPr>
              <w:pStyle w:val="TableParagraph"/>
              <w:ind w:right="-142"/>
              <w:jc w:val="both"/>
              <w:rPr>
                <w:i/>
              </w:rPr>
            </w:pPr>
            <w:r>
              <w:rPr>
                <w:i/>
              </w:rPr>
              <w:t>2620</w:t>
            </w:r>
          </w:p>
        </w:tc>
        <w:tc>
          <w:tcPr>
            <w:tcW w:w="4998" w:type="dxa"/>
            <w:vMerge w:val="restart"/>
          </w:tcPr>
          <w:p w14:paraId="0A32400C" w14:textId="77777777" w:rsidR="00537588" w:rsidRDefault="00537588" w:rsidP="00CD363C">
            <w:pPr>
              <w:pStyle w:val="TableParagraph"/>
              <w:ind w:left="461" w:right="-142"/>
              <w:jc w:val="both"/>
              <w:rPr>
                <w:i/>
              </w:rPr>
            </w:pPr>
            <w:r>
              <w:rPr>
                <w:i/>
              </w:rPr>
              <w:t>Norēķinu konti Valsts kasē, kredītiestādēs vai citās institūcijās</w:t>
            </w:r>
          </w:p>
        </w:tc>
        <w:tc>
          <w:tcPr>
            <w:tcW w:w="1676" w:type="dxa"/>
          </w:tcPr>
          <w:p w14:paraId="44CFB964" w14:textId="77777777" w:rsidR="00537588" w:rsidRDefault="00537588" w:rsidP="00CD363C">
            <w:pPr>
              <w:pStyle w:val="TableParagraph"/>
              <w:ind w:right="-142"/>
              <w:jc w:val="both"/>
              <w:rPr>
                <w:sz w:val="20"/>
              </w:rPr>
            </w:pPr>
          </w:p>
        </w:tc>
      </w:tr>
      <w:tr w:rsidR="00537588" w14:paraId="793BE204" w14:textId="77777777" w:rsidTr="00535ACC">
        <w:trPr>
          <w:trHeight w:val="292"/>
        </w:trPr>
        <w:tc>
          <w:tcPr>
            <w:tcW w:w="632" w:type="dxa"/>
          </w:tcPr>
          <w:p w14:paraId="024ED36A" w14:textId="77777777" w:rsidR="00537588" w:rsidRDefault="00537588" w:rsidP="00CD363C">
            <w:pPr>
              <w:pStyle w:val="TableParagraph"/>
              <w:ind w:right="-142"/>
              <w:jc w:val="both"/>
            </w:pPr>
          </w:p>
        </w:tc>
        <w:tc>
          <w:tcPr>
            <w:tcW w:w="1320" w:type="dxa"/>
          </w:tcPr>
          <w:p w14:paraId="251147C6" w14:textId="77777777" w:rsidR="00537588" w:rsidRDefault="00537588" w:rsidP="00CD363C">
            <w:pPr>
              <w:pStyle w:val="TableParagraph"/>
              <w:ind w:right="-142"/>
              <w:jc w:val="both"/>
            </w:pPr>
          </w:p>
        </w:tc>
        <w:tc>
          <w:tcPr>
            <w:tcW w:w="4998" w:type="dxa"/>
            <w:vMerge/>
            <w:tcBorders>
              <w:top w:val="nil"/>
            </w:tcBorders>
          </w:tcPr>
          <w:p w14:paraId="22FB4E9A" w14:textId="77777777" w:rsidR="00537588" w:rsidRDefault="00537588" w:rsidP="00CD363C">
            <w:pPr>
              <w:spacing w:after="0" w:line="240" w:lineRule="auto"/>
              <w:ind w:right="-142"/>
              <w:jc w:val="both"/>
              <w:rPr>
                <w:sz w:val="2"/>
                <w:szCs w:val="2"/>
              </w:rPr>
            </w:pPr>
          </w:p>
        </w:tc>
        <w:tc>
          <w:tcPr>
            <w:tcW w:w="1676" w:type="dxa"/>
          </w:tcPr>
          <w:p w14:paraId="1E0321FE" w14:textId="77777777" w:rsidR="00537588" w:rsidRDefault="00537588" w:rsidP="00CD363C">
            <w:pPr>
              <w:pStyle w:val="TableParagraph"/>
              <w:ind w:left="55" w:right="-142"/>
              <w:jc w:val="both"/>
              <w:rPr>
                <w:i/>
              </w:rPr>
            </w:pPr>
            <w:r>
              <w:rPr>
                <w:i/>
              </w:rPr>
              <w:t>1 500,00 EUR</w:t>
            </w:r>
          </w:p>
        </w:tc>
      </w:tr>
      <w:tr w:rsidR="00537588" w14:paraId="55B4D16F" w14:textId="77777777" w:rsidTr="00535ACC">
        <w:trPr>
          <w:trHeight w:val="289"/>
        </w:trPr>
        <w:tc>
          <w:tcPr>
            <w:tcW w:w="632" w:type="dxa"/>
          </w:tcPr>
          <w:p w14:paraId="095A9E01" w14:textId="77777777" w:rsidR="00537588" w:rsidRDefault="00537588" w:rsidP="00CD363C">
            <w:pPr>
              <w:pStyle w:val="TableParagraph"/>
              <w:ind w:left="200" w:right="-142"/>
              <w:jc w:val="both"/>
              <w:rPr>
                <w:i/>
              </w:rPr>
            </w:pPr>
            <w:r>
              <w:rPr>
                <w:i/>
              </w:rPr>
              <w:t>K</w:t>
            </w:r>
          </w:p>
        </w:tc>
        <w:tc>
          <w:tcPr>
            <w:tcW w:w="1320" w:type="dxa"/>
          </w:tcPr>
          <w:p w14:paraId="746C4B3A" w14:textId="77777777" w:rsidR="00537588" w:rsidRDefault="00537588" w:rsidP="00CD363C">
            <w:pPr>
              <w:pStyle w:val="TableParagraph"/>
              <w:ind w:right="-142"/>
              <w:jc w:val="both"/>
              <w:rPr>
                <w:i/>
              </w:rPr>
            </w:pPr>
            <w:r>
              <w:rPr>
                <w:i/>
              </w:rPr>
              <w:t>2316</w:t>
            </w:r>
          </w:p>
        </w:tc>
        <w:tc>
          <w:tcPr>
            <w:tcW w:w="4998" w:type="dxa"/>
          </w:tcPr>
          <w:p w14:paraId="798ED91E" w14:textId="77777777" w:rsidR="00537588" w:rsidRDefault="00537588" w:rsidP="00CD363C">
            <w:pPr>
              <w:pStyle w:val="TableParagraph"/>
              <w:ind w:left="461" w:right="-142"/>
              <w:jc w:val="both"/>
              <w:rPr>
                <w:i/>
              </w:rPr>
            </w:pPr>
            <w:r>
              <w:rPr>
                <w:i/>
              </w:rPr>
              <w:t>Prasības par operatīvo nomu</w:t>
            </w:r>
          </w:p>
        </w:tc>
        <w:tc>
          <w:tcPr>
            <w:tcW w:w="1676" w:type="dxa"/>
          </w:tcPr>
          <w:p w14:paraId="782C4736" w14:textId="77777777" w:rsidR="00537588" w:rsidRDefault="00537588" w:rsidP="00CD363C">
            <w:pPr>
              <w:pStyle w:val="TableParagraph"/>
              <w:ind w:left="55" w:right="-142"/>
              <w:jc w:val="both"/>
              <w:rPr>
                <w:i/>
              </w:rPr>
            </w:pPr>
            <w:r>
              <w:rPr>
                <w:i/>
              </w:rPr>
              <w:t>1 500,00 EUR</w:t>
            </w:r>
          </w:p>
        </w:tc>
      </w:tr>
    </w:tbl>
    <w:p w14:paraId="14D3820B" w14:textId="77777777" w:rsidR="00B2173C" w:rsidRPr="00B2173C" w:rsidRDefault="00B2173C" w:rsidP="00CD363C">
      <w:pPr>
        <w:tabs>
          <w:tab w:val="left" w:pos="345"/>
        </w:tabs>
        <w:spacing w:after="0" w:line="240" w:lineRule="auto"/>
        <w:ind w:right="-142"/>
        <w:jc w:val="both"/>
        <w:rPr>
          <w:rFonts w:ascii="Times New Roman" w:hAnsi="Times New Roman" w:cs="Times New Roman"/>
          <w:sz w:val="24"/>
          <w:szCs w:val="24"/>
        </w:rPr>
      </w:pPr>
    </w:p>
    <w:p w14:paraId="113096FF" w14:textId="77777777" w:rsidR="00A40E3F" w:rsidRPr="00A40E3F" w:rsidRDefault="00A40E3F" w:rsidP="00CD363C">
      <w:pPr>
        <w:spacing w:after="0" w:line="240" w:lineRule="auto"/>
        <w:ind w:right="-142"/>
        <w:jc w:val="both"/>
        <w:rPr>
          <w:rFonts w:ascii="Times New Roman" w:hAnsi="Times New Roman" w:cs="Times New Roman"/>
          <w:sz w:val="24"/>
          <w:szCs w:val="24"/>
        </w:rPr>
      </w:pPr>
    </w:p>
    <w:p w14:paraId="101D748E" w14:textId="77777777" w:rsidR="00175452" w:rsidRPr="00A40E3F" w:rsidRDefault="00175452" w:rsidP="00CD363C">
      <w:pPr>
        <w:tabs>
          <w:tab w:val="left" w:pos="180"/>
        </w:tabs>
        <w:spacing w:after="0" w:line="240" w:lineRule="auto"/>
        <w:ind w:right="-142"/>
        <w:jc w:val="both"/>
        <w:rPr>
          <w:rFonts w:ascii="Times New Roman" w:hAnsi="Times New Roman" w:cs="Times New Roman"/>
          <w:b/>
          <w:sz w:val="24"/>
          <w:szCs w:val="24"/>
        </w:rPr>
      </w:pPr>
    </w:p>
    <w:p w14:paraId="550D1CBD" w14:textId="77777777" w:rsidR="009368D8" w:rsidRPr="00A40E3F" w:rsidRDefault="009368D8" w:rsidP="00CD363C">
      <w:pPr>
        <w:spacing w:after="0" w:line="240" w:lineRule="auto"/>
        <w:ind w:right="-142"/>
        <w:jc w:val="both"/>
        <w:rPr>
          <w:rFonts w:ascii="Times New Roman" w:hAnsi="Times New Roman" w:cs="Times New Roman"/>
          <w:b/>
          <w:sz w:val="28"/>
          <w:szCs w:val="28"/>
        </w:rPr>
      </w:pPr>
    </w:p>
    <w:p w14:paraId="73145E7E" w14:textId="77777777" w:rsidR="009368D8" w:rsidRPr="00A40E3F" w:rsidRDefault="009368D8" w:rsidP="00CD363C">
      <w:pPr>
        <w:spacing w:after="0" w:line="240" w:lineRule="auto"/>
        <w:ind w:right="-142"/>
        <w:jc w:val="both"/>
        <w:rPr>
          <w:rFonts w:ascii="Times New Roman" w:hAnsi="Times New Roman" w:cs="Times New Roman"/>
          <w:b/>
          <w:sz w:val="28"/>
          <w:szCs w:val="28"/>
        </w:rPr>
      </w:pPr>
    </w:p>
    <w:p w14:paraId="6F79EDD3" w14:textId="77777777" w:rsidR="00427287" w:rsidRPr="00A40E3F" w:rsidRDefault="00427287" w:rsidP="00CD363C">
      <w:pPr>
        <w:spacing w:after="0" w:line="240" w:lineRule="auto"/>
        <w:ind w:right="-142"/>
        <w:jc w:val="both"/>
        <w:rPr>
          <w:rFonts w:ascii="Times New Roman" w:hAnsi="Times New Roman" w:cs="Times New Roman"/>
          <w:b/>
          <w:sz w:val="28"/>
          <w:szCs w:val="28"/>
        </w:rPr>
      </w:pPr>
    </w:p>
    <w:p w14:paraId="33A5A0C7" w14:textId="77777777" w:rsidR="00427287" w:rsidRPr="00A40E3F" w:rsidRDefault="00427287" w:rsidP="00CD363C">
      <w:pPr>
        <w:spacing w:after="0" w:line="240" w:lineRule="auto"/>
        <w:ind w:right="-142"/>
        <w:jc w:val="both"/>
        <w:rPr>
          <w:rFonts w:ascii="Times New Roman" w:hAnsi="Times New Roman" w:cs="Times New Roman"/>
          <w:b/>
          <w:sz w:val="24"/>
          <w:szCs w:val="24"/>
        </w:rPr>
      </w:pPr>
    </w:p>
    <w:p w14:paraId="7415C623" w14:textId="77777777" w:rsidR="00427287" w:rsidRPr="00A40E3F" w:rsidRDefault="00427287" w:rsidP="00CD363C">
      <w:pPr>
        <w:spacing w:after="0" w:line="240" w:lineRule="auto"/>
        <w:ind w:right="-142"/>
        <w:jc w:val="both"/>
        <w:rPr>
          <w:rFonts w:ascii="Times New Roman" w:hAnsi="Times New Roman" w:cs="Times New Roman"/>
          <w:b/>
          <w:sz w:val="24"/>
          <w:szCs w:val="24"/>
        </w:rPr>
      </w:pPr>
    </w:p>
    <w:p w14:paraId="025F1060" w14:textId="77777777" w:rsidR="00DA2D0D" w:rsidRDefault="00DA2D0D" w:rsidP="00CD363C">
      <w:pPr>
        <w:pStyle w:val="Sarakstarindkopa"/>
        <w:spacing w:after="0" w:line="240" w:lineRule="auto"/>
        <w:ind w:left="660" w:right="-142"/>
        <w:jc w:val="both"/>
        <w:rPr>
          <w:rFonts w:ascii="Times New Roman" w:hAnsi="Times New Roman" w:cs="Times New Roman"/>
          <w:b/>
          <w:sz w:val="24"/>
          <w:szCs w:val="24"/>
        </w:rPr>
      </w:pPr>
    </w:p>
    <w:p w14:paraId="1403D678" w14:textId="77777777" w:rsidR="00DA2D0D" w:rsidRDefault="00DA2D0D" w:rsidP="00CD363C">
      <w:pPr>
        <w:pStyle w:val="Sarakstarindkopa"/>
        <w:spacing w:after="0" w:line="240" w:lineRule="auto"/>
        <w:ind w:left="660" w:right="-142"/>
        <w:jc w:val="both"/>
        <w:rPr>
          <w:rFonts w:ascii="Times New Roman" w:hAnsi="Times New Roman" w:cs="Times New Roman"/>
          <w:b/>
          <w:sz w:val="24"/>
          <w:szCs w:val="24"/>
        </w:rPr>
      </w:pPr>
    </w:p>
    <w:p w14:paraId="724777C9" w14:textId="77777777" w:rsidR="00694AF3" w:rsidRPr="00A13C30" w:rsidRDefault="00B14C37" w:rsidP="00CD363C">
      <w:pPr>
        <w:pStyle w:val="Sarakstarindkopa"/>
        <w:spacing w:after="0" w:line="240" w:lineRule="auto"/>
        <w:ind w:left="660" w:right="-142"/>
        <w:jc w:val="center"/>
        <w:rPr>
          <w:rFonts w:ascii="Times New Roman" w:hAnsi="Times New Roman" w:cs="Times New Roman"/>
          <w:b/>
          <w:sz w:val="24"/>
          <w:szCs w:val="24"/>
        </w:rPr>
      </w:pPr>
      <w:r w:rsidRPr="00A13C30">
        <w:rPr>
          <w:rFonts w:ascii="Times New Roman" w:hAnsi="Times New Roman" w:cs="Times New Roman"/>
          <w:b/>
          <w:sz w:val="24"/>
          <w:szCs w:val="24"/>
        </w:rPr>
        <w:t>21.Finanšu instrumentu uzskaite</w:t>
      </w:r>
    </w:p>
    <w:p w14:paraId="3ACB41B9" w14:textId="77777777" w:rsidR="00CE0850" w:rsidRPr="00A13C30" w:rsidRDefault="00B14C37" w:rsidP="00CD363C">
      <w:pPr>
        <w:spacing w:after="0" w:line="240" w:lineRule="auto"/>
        <w:ind w:right="407"/>
        <w:jc w:val="both"/>
        <w:rPr>
          <w:rFonts w:ascii="Times New Roman" w:hAnsi="Times New Roman" w:cs="Times New Roman"/>
          <w:b/>
          <w:bCs/>
          <w:sz w:val="24"/>
          <w:szCs w:val="24"/>
        </w:rPr>
      </w:pPr>
      <w:r w:rsidRPr="00A13C30">
        <w:rPr>
          <w:rFonts w:ascii="Times New Roman" w:hAnsi="Times New Roman" w:cs="Times New Roman"/>
          <w:b/>
          <w:bCs/>
          <w:sz w:val="24"/>
          <w:szCs w:val="24"/>
        </w:rPr>
        <w:t>21.1. Finanšu instrumentu sākotnējā atzīšana, novērtēšana. Finanšu instrumentu klasifikācija</w:t>
      </w:r>
    </w:p>
    <w:p w14:paraId="22A518AC" w14:textId="77777777" w:rsidR="00B14C37" w:rsidRPr="00A13C30" w:rsidRDefault="00A13C30"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A13C30">
        <w:rPr>
          <w:rFonts w:ascii="Times New Roman" w:hAnsi="Times New Roman" w:cs="Times New Roman"/>
          <w:sz w:val="24"/>
          <w:szCs w:val="24"/>
        </w:rPr>
        <w:t>903.</w:t>
      </w:r>
      <w:r w:rsidR="00B14C37" w:rsidRPr="00A13C30">
        <w:rPr>
          <w:rFonts w:ascii="Times New Roman" w:hAnsi="Times New Roman" w:cs="Times New Roman"/>
          <w:sz w:val="24"/>
          <w:szCs w:val="24"/>
        </w:rPr>
        <w:t>Finanšu instruments ir sekojošs finanšu aktīvs un finanšu</w:t>
      </w:r>
      <w:r w:rsidR="00B14C37" w:rsidRPr="00A13C30">
        <w:rPr>
          <w:rFonts w:ascii="Times New Roman" w:hAnsi="Times New Roman" w:cs="Times New Roman"/>
          <w:spacing w:val="-9"/>
          <w:sz w:val="24"/>
          <w:szCs w:val="24"/>
        </w:rPr>
        <w:t xml:space="preserve"> </w:t>
      </w:r>
      <w:r w:rsidR="00B14C37" w:rsidRPr="00A13C30">
        <w:rPr>
          <w:rFonts w:ascii="Times New Roman" w:hAnsi="Times New Roman" w:cs="Times New Roman"/>
          <w:sz w:val="24"/>
          <w:szCs w:val="24"/>
        </w:rPr>
        <w:t>saistības:</w:t>
      </w:r>
    </w:p>
    <w:p w14:paraId="32B03662" w14:textId="77777777" w:rsidR="00B14C37" w:rsidRPr="00A13C30" w:rsidRDefault="00B14C37"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finanšu ieguldījums (piemēram, aizdevums, vērtspapīrs,</w:t>
      </w:r>
      <w:r w:rsidRPr="00A13C30">
        <w:rPr>
          <w:rFonts w:ascii="Times New Roman" w:hAnsi="Times New Roman" w:cs="Times New Roman"/>
          <w:spacing w:val="-4"/>
          <w:sz w:val="24"/>
          <w:szCs w:val="24"/>
        </w:rPr>
        <w:t xml:space="preserve"> </w:t>
      </w:r>
      <w:r w:rsidRPr="00A13C30">
        <w:rPr>
          <w:rFonts w:ascii="Times New Roman" w:hAnsi="Times New Roman" w:cs="Times New Roman"/>
          <w:sz w:val="24"/>
          <w:szCs w:val="24"/>
        </w:rPr>
        <w:t>noguldījums);</w:t>
      </w:r>
    </w:p>
    <w:p w14:paraId="2D231469" w14:textId="77777777" w:rsidR="00B14C37" w:rsidRPr="00A13C30" w:rsidRDefault="00B14C37"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prasības,</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kas</w:t>
      </w:r>
      <w:r w:rsidRPr="00A13C30">
        <w:rPr>
          <w:rFonts w:ascii="Times New Roman" w:hAnsi="Times New Roman" w:cs="Times New Roman"/>
          <w:spacing w:val="-5"/>
          <w:sz w:val="24"/>
          <w:szCs w:val="24"/>
        </w:rPr>
        <w:t xml:space="preserve"> </w:t>
      </w:r>
      <w:r w:rsidRPr="00A13C30">
        <w:rPr>
          <w:rFonts w:ascii="Times New Roman" w:hAnsi="Times New Roman" w:cs="Times New Roman"/>
          <w:sz w:val="24"/>
          <w:szCs w:val="24"/>
        </w:rPr>
        <w:t>radušās</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aktīva</w:t>
      </w:r>
      <w:r w:rsidRPr="00A13C30">
        <w:rPr>
          <w:rFonts w:ascii="Times New Roman" w:hAnsi="Times New Roman" w:cs="Times New Roman"/>
          <w:spacing w:val="-5"/>
          <w:sz w:val="24"/>
          <w:szCs w:val="24"/>
        </w:rPr>
        <w:t xml:space="preserve"> </w:t>
      </w:r>
      <w:r w:rsidRPr="00A13C30">
        <w:rPr>
          <w:rFonts w:ascii="Times New Roman" w:hAnsi="Times New Roman" w:cs="Times New Roman"/>
          <w:sz w:val="24"/>
          <w:szCs w:val="24"/>
        </w:rPr>
        <w:t>atsavināšanas</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rezultātā,</w:t>
      </w:r>
      <w:r w:rsidRPr="00A13C30">
        <w:rPr>
          <w:rFonts w:ascii="Times New Roman" w:hAnsi="Times New Roman" w:cs="Times New Roman"/>
          <w:spacing w:val="-8"/>
          <w:sz w:val="24"/>
          <w:szCs w:val="24"/>
        </w:rPr>
        <w:t xml:space="preserve"> </w:t>
      </w:r>
      <w:r w:rsidRPr="00A13C30">
        <w:rPr>
          <w:rFonts w:ascii="Times New Roman" w:hAnsi="Times New Roman" w:cs="Times New Roman"/>
          <w:sz w:val="24"/>
          <w:szCs w:val="24"/>
        </w:rPr>
        <w:t>ja</w:t>
      </w:r>
      <w:r w:rsidRPr="00A13C30">
        <w:rPr>
          <w:rFonts w:ascii="Times New Roman" w:hAnsi="Times New Roman" w:cs="Times New Roman"/>
          <w:spacing w:val="-7"/>
          <w:sz w:val="24"/>
          <w:szCs w:val="24"/>
        </w:rPr>
        <w:t xml:space="preserve"> </w:t>
      </w:r>
      <w:r w:rsidRPr="00A13C30">
        <w:rPr>
          <w:rFonts w:ascii="Times New Roman" w:hAnsi="Times New Roman" w:cs="Times New Roman"/>
          <w:sz w:val="24"/>
          <w:szCs w:val="24"/>
        </w:rPr>
        <w:t>maksājumu</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atliek</w:t>
      </w:r>
      <w:r w:rsidRPr="00A13C30">
        <w:rPr>
          <w:rFonts w:ascii="Times New Roman" w:hAnsi="Times New Roman" w:cs="Times New Roman"/>
          <w:spacing w:val="-8"/>
          <w:sz w:val="24"/>
          <w:szCs w:val="24"/>
        </w:rPr>
        <w:t xml:space="preserve"> </w:t>
      </w:r>
      <w:r w:rsidRPr="00A13C30">
        <w:rPr>
          <w:rFonts w:ascii="Times New Roman" w:hAnsi="Times New Roman" w:cs="Times New Roman"/>
          <w:sz w:val="24"/>
          <w:szCs w:val="24"/>
        </w:rPr>
        <w:t>ilgāk</w:t>
      </w:r>
      <w:r w:rsidRPr="00A13C30">
        <w:rPr>
          <w:rFonts w:ascii="Times New Roman" w:hAnsi="Times New Roman" w:cs="Times New Roman"/>
          <w:spacing w:val="-7"/>
          <w:sz w:val="24"/>
          <w:szCs w:val="24"/>
        </w:rPr>
        <w:t xml:space="preserve"> </w:t>
      </w:r>
      <w:r w:rsidRPr="00A13C30">
        <w:rPr>
          <w:rFonts w:ascii="Times New Roman" w:hAnsi="Times New Roman" w:cs="Times New Roman"/>
          <w:sz w:val="24"/>
          <w:szCs w:val="24"/>
        </w:rPr>
        <w:t>nekā</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12</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mēnešus;</w:t>
      </w:r>
    </w:p>
    <w:p w14:paraId="35D2CC93" w14:textId="77777777" w:rsidR="00B14C37" w:rsidRPr="00A13C30" w:rsidRDefault="00B14C37"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aizņēmums, saņemtais noguldījums un emitētais</w:t>
      </w:r>
      <w:r w:rsidRPr="00A13C30">
        <w:rPr>
          <w:rFonts w:ascii="Times New Roman" w:hAnsi="Times New Roman" w:cs="Times New Roman"/>
          <w:spacing w:val="-2"/>
          <w:sz w:val="24"/>
          <w:szCs w:val="24"/>
        </w:rPr>
        <w:t xml:space="preserve"> </w:t>
      </w:r>
      <w:r w:rsidRPr="00A13C30">
        <w:rPr>
          <w:rFonts w:ascii="Times New Roman" w:hAnsi="Times New Roman" w:cs="Times New Roman"/>
          <w:sz w:val="24"/>
          <w:szCs w:val="24"/>
        </w:rPr>
        <w:t>vērtspapīrs;</w:t>
      </w:r>
    </w:p>
    <w:p w14:paraId="72FEE15E" w14:textId="77777777" w:rsidR="00B14C37" w:rsidRPr="00A13C30" w:rsidRDefault="00B14C37"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saistības, kas radušās aktīva iegādes vai izveidošanas rezultātā, ja maksājumu atliek ilgāk nekā 12</w:t>
      </w:r>
      <w:r w:rsidRPr="00A13C30">
        <w:rPr>
          <w:rFonts w:ascii="Times New Roman" w:hAnsi="Times New Roman" w:cs="Times New Roman"/>
          <w:spacing w:val="-1"/>
          <w:sz w:val="24"/>
          <w:szCs w:val="24"/>
        </w:rPr>
        <w:t xml:space="preserve"> </w:t>
      </w:r>
      <w:r w:rsidRPr="00A13C30">
        <w:rPr>
          <w:rFonts w:ascii="Times New Roman" w:hAnsi="Times New Roman" w:cs="Times New Roman"/>
          <w:sz w:val="24"/>
          <w:szCs w:val="24"/>
        </w:rPr>
        <w:t>mēnešus;</w:t>
      </w:r>
    </w:p>
    <w:p w14:paraId="3718B54E" w14:textId="77777777" w:rsidR="00B14C37" w:rsidRPr="00A13C30" w:rsidRDefault="00B14C37"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atvasinātais finanšu</w:t>
      </w:r>
      <w:r w:rsidRPr="00A13C30">
        <w:rPr>
          <w:rFonts w:ascii="Times New Roman" w:hAnsi="Times New Roman" w:cs="Times New Roman"/>
          <w:spacing w:val="-3"/>
          <w:sz w:val="24"/>
          <w:szCs w:val="24"/>
        </w:rPr>
        <w:t xml:space="preserve"> </w:t>
      </w:r>
      <w:r w:rsidRPr="00A13C30">
        <w:rPr>
          <w:rFonts w:ascii="Times New Roman" w:hAnsi="Times New Roman" w:cs="Times New Roman"/>
          <w:sz w:val="24"/>
          <w:szCs w:val="24"/>
        </w:rPr>
        <w:t>instruments.</w:t>
      </w:r>
    </w:p>
    <w:p w14:paraId="49F04960" w14:textId="77777777" w:rsidR="00B14C37" w:rsidRPr="00A13C30" w:rsidRDefault="00A13C30"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A13C30">
        <w:rPr>
          <w:rFonts w:ascii="Times New Roman" w:hAnsi="Times New Roman" w:cs="Times New Roman"/>
          <w:sz w:val="24"/>
          <w:szCs w:val="24"/>
        </w:rPr>
        <w:t>904.</w:t>
      </w:r>
      <w:r w:rsidR="00B14C37" w:rsidRPr="00A13C30">
        <w:rPr>
          <w:rFonts w:ascii="Times New Roman" w:hAnsi="Times New Roman" w:cs="Times New Roman"/>
          <w:sz w:val="24"/>
          <w:szCs w:val="24"/>
        </w:rPr>
        <w:t>Budžeta iestāde finanšu instrumentu atzīst un uzrāda pārskatā par finansiālo stāvokli tikai un vienīgi tad, kad budžeta iestāde kļūst par attiecīgā finanšu instrumenta līguma līgumslēdzēja pusi, un attiecīgais finanšu instruments atbilst finanšu aktīva vai finanšu saistību definējumam un atzīšanas kritērijiem.</w:t>
      </w:r>
    </w:p>
    <w:p w14:paraId="223BD220" w14:textId="77777777" w:rsidR="00B14C37" w:rsidRPr="00A13C30" w:rsidRDefault="00A13C30"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A13C30">
        <w:rPr>
          <w:rFonts w:ascii="Times New Roman" w:hAnsi="Times New Roman" w:cs="Times New Roman"/>
          <w:sz w:val="24"/>
          <w:szCs w:val="24"/>
        </w:rPr>
        <w:t>905.</w:t>
      </w:r>
      <w:r w:rsidR="00B14C37" w:rsidRPr="00A13C30">
        <w:rPr>
          <w:rFonts w:ascii="Times New Roman" w:hAnsi="Times New Roman" w:cs="Times New Roman"/>
          <w:sz w:val="24"/>
          <w:szCs w:val="24"/>
        </w:rPr>
        <w:t>1. attēlā parādīts finanšu instrumentu sadalījums pa finanšu instrumentu kategorijām atbilstoši normatīvo aktu prasībām. Minētās kategorijas attiecas uz finanšu instrumentu novērtēšanu, turpmāko uzskaiti un ieņēmumu vai izdevumu atzīšanu. Papildus grāmatvedības uzskaitē analītiski nodala atvasināto finanšu instrumentu</w:t>
      </w:r>
      <w:r w:rsidR="00B14C37" w:rsidRPr="00A13C30">
        <w:rPr>
          <w:rFonts w:ascii="Times New Roman" w:hAnsi="Times New Roman" w:cs="Times New Roman"/>
          <w:spacing w:val="-4"/>
          <w:sz w:val="24"/>
          <w:szCs w:val="24"/>
        </w:rPr>
        <w:t xml:space="preserve"> </w:t>
      </w:r>
      <w:r w:rsidR="00B14C37" w:rsidRPr="00A13C30">
        <w:rPr>
          <w:rFonts w:ascii="Times New Roman" w:hAnsi="Times New Roman" w:cs="Times New Roman"/>
          <w:sz w:val="24"/>
          <w:szCs w:val="24"/>
        </w:rPr>
        <w:t>uzskaiti.</w:t>
      </w:r>
    </w:p>
    <w:p w14:paraId="6BF8DED4" w14:textId="77777777" w:rsidR="00A13C30" w:rsidRDefault="00A13C30" w:rsidP="00CD363C">
      <w:pPr>
        <w:spacing w:after="0" w:line="240" w:lineRule="auto"/>
        <w:ind w:left="3115" w:right="407"/>
        <w:jc w:val="both"/>
        <w:rPr>
          <w:b/>
          <w:sz w:val="36"/>
        </w:rPr>
      </w:pPr>
      <w:r>
        <w:rPr>
          <w:b/>
          <w:color w:val="002069"/>
          <w:sz w:val="36"/>
        </w:rPr>
        <w:t>Finanšu instrumenti</w:t>
      </w:r>
    </w:p>
    <w:p w14:paraId="4589569D" w14:textId="77777777" w:rsidR="00F62C41" w:rsidRPr="00F62C41" w:rsidRDefault="00F62C41" w:rsidP="00CD363C">
      <w:pPr>
        <w:spacing w:after="0" w:line="240" w:lineRule="auto"/>
        <w:ind w:right="-142"/>
        <w:jc w:val="both"/>
        <w:rPr>
          <w:rFonts w:ascii="Times New Roman" w:hAnsi="Times New Roman" w:cs="Times New Roman"/>
          <w:b/>
          <w:sz w:val="24"/>
          <w:szCs w:val="24"/>
        </w:rPr>
      </w:pPr>
    </w:p>
    <w:p w14:paraId="40CC9895" w14:textId="77777777" w:rsidR="00B63262" w:rsidRPr="00F62C41" w:rsidRDefault="00870ECE" w:rsidP="00CD363C">
      <w:pPr>
        <w:pStyle w:val="Sarakstarindkopa"/>
        <w:spacing w:after="0" w:line="240" w:lineRule="auto"/>
        <w:ind w:right="-142"/>
        <w:jc w:val="both"/>
        <w:rPr>
          <w:rFonts w:ascii="Times New Roman" w:hAnsi="Times New Roman" w:cs="Times New Roman"/>
          <w:b/>
          <w:sz w:val="24"/>
          <w:szCs w:val="24"/>
        </w:rPr>
      </w:pPr>
      <w:r>
        <w:rPr>
          <w:noProof/>
          <w:sz w:val="20"/>
        </w:rPr>
        <mc:AlternateContent>
          <mc:Choice Requires="wpg">
            <w:drawing>
              <wp:inline distT="0" distB="0" distL="0" distR="0" wp14:anchorId="532B58E1" wp14:editId="40FD90C5">
                <wp:extent cx="5948680" cy="3180080"/>
                <wp:effectExtent l="0" t="4445" r="4445" b="0"/>
                <wp:docPr id="50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3180080"/>
                          <a:chOff x="0" y="0"/>
                          <a:chExt cx="9368" cy="3824"/>
                        </a:xfrm>
                      </wpg:grpSpPr>
                      <wps:wsp>
                        <wps:cNvPr id="503" name="Rectangle 129"/>
                        <wps:cNvSpPr>
                          <a:spLocks noChangeArrowheads="1"/>
                        </wps:cNvSpPr>
                        <wps:spPr bwMode="auto">
                          <a:xfrm>
                            <a:off x="2" y="19"/>
                            <a:ext cx="3679" cy="34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130"/>
                        <wps:cNvSpPr>
                          <a:spLocks noChangeArrowheads="1"/>
                        </wps:cNvSpPr>
                        <wps:spPr bwMode="auto">
                          <a:xfrm>
                            <a:off x="3681" y="10"/>
                            <a:ext cx="3679" cy="347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131"/>
                        <wps:cNvSpPr>
                          <a:spLocks noChangeArrowheads="1"/>
                        </wps:cNvSpPr>
                        <wps:spPr bwMode="auto">
                          <a:xfrm>
                            <a:off x="3681" y="10"/>
                            <a:ext cx="3679" cy="347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132"/>
                        <wps:cNvSpPr>
                          <a:spLocks noChangeArrowheads="1"/>
                        </wps:cNvSpPr>
                        <wps:spPr bwMode="auto">
                          <a:xfrm>
                            <a:off x="7360" y="10"/>
                            <a:ext cx="1997" cy="347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133"/>
                        <wps:cNvSpPr>
                          <a:spLocks noChangeArrowheads="1"/>
                        </wps:cNvSpPr>
                        <wps:spPr bwMode="auto">
                          <a:xfrm>
                            <a:off x="7360" y="10"/>
                            <a:ext cx="1997" cy="347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134"/>
                        <wps:cNvSpPr>
                          <a:spLocks noChangeArrowheads="1"/>
                        </wps:cNvSpPr>
                        <wps:spPr bwMode="auto">
                          <a:xfrm>
                            <a:off x="0" y="3535"/>
                            <a:ext cx="9360" cy="288"/>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Text Box 135"/>
                        <wps:cNvSpPr txBox="1">
                          <a:spLocks noChangeArrowheads="1"/>
                        </wps:cNvSpPr>
                        <wps:spPr bwMode="auto">
                          <a:xfrm>
                            <a:off x="7564" y="1229"/>
                            <a:ext cx="1612"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4B67" w14:textId="77777777" w:rsidR="00335490" w:rsidRDefault="00335490" w:rsidP="00A13C30">
                              <w:pPr>
                                <w:spacing w:before="15" w:line="216" w:lineRule="auto"/>
                                <w:ind w:right="18" w:hanging="2"/>
                                <w:jc w:val="center"/>
                                <w:rPr>
                                  <w:b/>
                                  <w:sz w:val="32"/>
                                </w:rPr>
                              </w:pPr>
                              <w:r>
                                <w:rPr>
                                  <w:b/>
                                  <w:color w:val="002069"/>
                                  <w:sz w:val="32"/>
                                </w:rPr>
                                <w:t xml:space="preserve">Atvasināti finanšu </w:t>
                              </w:r>
                              <w:r>
                                <w:rPr>
                                  <w:b/>
                                  <w:color w:val="002069"/>
                                  <w:spacing w:val="-1"/>
                                  <w:sz w:val="32"/>
                                </w:rPr>
                                <w:t>instrumenti</w:t>
                              </w:r>
                            </w:p>
                          </w:txbxContent>
                        </wps:txbx>
                        <wps:bodyPr rot="0" vert="horz" wrap="square" lIns="0" tIns="0" rIns="0" bIns="0" anchor="t" anchorCtr="0" upright="1">
                          <a:noAutofit/>
                        </wps:bodyPr>
                      </wps:wsp>
                      <wps:wsp>
                        <wps:cNvPr id="510" name="Text Box 136"/>
                        <wps:cNvSpPr txBox="1">
                          <a:spLocks noChangeArrowheads="1"/>
                        </wps:cNvSpPr>
                        <wps:spPr bwMode="auto">
                          <a:xfrm>
                            <a:off x="3779" y="83"/>
                            <a:ext cx="304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3870" w14:textId="77777777" w:rsidR="00335490" w:rsidRDefault="00335490" w:rsidP="00A13C30">
                              <w:pPr>
                                <w:spacing w:line="354" w:lineRule="exact"/>
                                <w:rPr>
                                  <w:b/>
                                  <w:sz w:val="32"/>
                                </w:rPr>
                              </w:pPr>
                              <w:r>
                                <w:rPr>
                                  <w:b/>
                                  <w:color w:val="002069"/>
                                  <w:sz w:val="32"/>
                                </w:rPr>
                                <w:t>Finanšu saistības</w:t>
                              </w:r>
                            </w:p>
                            <w:p w14:paraId="361CE373" w14:textId="77777777" w:rsidR="00335490" w:rsidRDefault="00335490" w:rsidP="00673865">
                              <w:pPr>
                                <w:widowControl w:val="0"/>
                                <w:numPr>
                                  <w:ilvl w:val="0"/>
                                  <w:numId w:val="37"/>
                                </w:numPr>
                                <w:tabs>
                                  <w:tab w:val="left" w:pos="180"/>
                                </w:tabs>
                                <w:autoSpaceDE w:val="0"/>
                                <w:autoSpaceDN w:val="0"/>
                                <w:spacing w:before="122" w:after="0" w:line="216" w:lineRule="auto"/>
                                <w:ind w:right="18"/>
                                <w:rPr>
                                  <w:sz w:val="26"/>
                                </w:rPr>
                              </w:pPr>
                              <w:r>
                                <w:rPr>
                                  <w:sz w:val="26"/>
                                </w:rPr>
                                <w:t>Patiesajā vērtībā</w:t>
                              </w:r>
                              <w:r>
                                <w:rPr>
                                  <w:spacing w:val="-12"/>
                                  <w:sz w:val="26"/>
                                </w:rPr>
                                <w:t xml:space="preserve"> </w:t>
                              </w:r>
                              <w:r>
                                <w:rPr>
                                  <w:sz w:val="26"/>
                                </w:rPr>
                                <w:t>novērtētas finanšu</w:t>
                              </w:r>
                              <w:r>
                                <w:rPr>
                                  <w:spacing w:val="-2"/>
                                  <w:sz w:val="26"/>
                                </w:rPr>
                                <w:t xml:space="preserve"> </w:t>
                              </w:r>
                              <w:r>
                                <w:rPr>
                                  <w:sz w:val="26"/>
                                </w:rPr>
                                <w:t>saistības</w:t>
                              </w:r>
                            </w:p>
                            <w:p w14:paraId="0D4E868D" w14:textId="77777777" w:rsidR="00335490" w:rsidRDefault="00335490" w:rsidP="00673865">
                              <w:pPr>
                                <w:widowControl w:val="0"/>
                                <w:numPr>
                                  <w:ilvl w:val="0"/>
                                  <w:numId w:val="37"/>
                                </w:numPr>
                                <w:tabs>
                                  <w:tab w:val="left" w:pos="180"/>
                                </w:tabs>
                                <w:autoSpaceDE w:val="0"/>
                                <w:autoSpaceDN w:val="0"/>
                                <w:spacing w:before="21" w:after="0" w:line="240" w:lineRule="auto"/>
                                <w:rPr>
                                  <w:sz w:val="26"/>
                                </w:rPr>
                              </w:pPr>
                              <w:r>
                                <w:rPr>
                                  <w:sz w:val="26"/>
                                </w:rPr>
                                <w:t>Pārējās finanšu</w:t>
                              </w:r>
                              <w:r>
                                <w:rPr>
                                  <w:spacing w:val="-5"/>
                                  <w:sz w:val="26"/>
                                </w:rPr>
                                <w:t xml:space="preserve"> </w:t>
                              </w:r>
                              <w:r>
                                <w:rPr>
                                  <w:sz w:val="26"/>
                                </w:rPr>
                                <w:t>saistības</w:t>
                              </w:r>
                            </w:p>
                          </w:txbxContent>
                        </wps:txbx>
                        <wps:bodyPr rot="0" vert="horz" wrap="square" lIns="0" tIns="0" rIns="0" bIns="0" anchor="t" anchorCtr="0" upright="1">
                          <a:noAutofit/>
                        </wps:bodyPr>
                      </wps:wsp>
                      <wps:wsp>
                        <wps:cNvPr id="511" name="Text Box 137"/>
                        <wps:cNvSpPr txBox="1">
                          <a:spLocks noChangeArrowheads="1"/>
                        </wps:cNvSpPr>
                        <wps:spPr bwMode="auto">
                          <a:xfrm>
                            <a:off x="99" y="92"/>
                            <a:ext cx="3245"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19C8" w14:textId="77777777" w:rsidR="00335490" w:rsidRDefault="00335490" w:rsidP="00A13C30">
                              <w:pPr>
                                <w:spacing w:line="354" w:lineRule="exact"/>
                                <w:rPr>
                                  <w:b/>
                                  <w:sz w:val="32"/>
                                </w:rPr>
                              </w:pPr>
                              <w:r>
                                <w:rPr>
                                  <w:b/>
                                  <w:color w:val="002069"/>
                                  <w:sz w:val="32"/>
                                </w:rPr>
                                <w:t>Finanšu aktīvi</w:t>
                              </w:r>
                            </w:p>
                            <w:p w14:paraId="39A60A43" w14:textId="77777777" w:rsidR="00335490" w:rsidRDefault="00335490" w:rsidP="00673865">
                              <w:pPr>
                                <w:widowControl w:val="0"/>
                                <w:numPr>
                                  <w:ilvl w:val="0"/>
                                  <w:numId w:val="36"/>
                                </w:numPr>
                                <w:tabs>
                                  <w:tab w:val="left" w:pos="180"/>
                                </w:tabs>
                                <w:autoSpaceDE w:val="0"/>
                                <w:autoSpaceDN w:val="0"/>
                                <w:spacing w:before="122" w:after="0" w:line="216" w:lineRule="auto"/>
                                <w:ind w:right="366"/>
                                <w:rPr>
                                  <w:sz w:val="26"/>
                                </w:rPr>
                              </w:pPr>
                              <w:r>
                                <w:rPr>
                                  <w:sz w:val="26"/>
                                </w:rPr>
                                <w:t>Patiesajā vērtībā</w:t>
                              </w:r>
                              <w:r>
                                <w:rPr>
                                  <w:spacing w:val="-11"/>
                                  <w:sz w:val="26"/>
                                </w:rPr>
                                <w:t xml:space="preserve"> </w:t>
                              </w:r>
                              <w:r>
                                <w:rPr>
                                  <w:sz w:val="26"/>
                                </w:rPr>
                                <w:t>novērtēti finanšu</w:t>
                              </w:r>
                              <w:r>
                                <w:rPr>
                                  <w:spacing w:val="-2"/>
                                  <w:sz w:val="26"/>
                                </w:rPr>
                                <w:t xml:space="preserve"> </w:t>
                              </w:r>
                              <w:r>
                                <w:rPr>
                                  <w:sz w:val="26"/>
                                </w:rPr>
                                <w:t>aktīv</w:t>
                              </w:r>
                            </w:p>
                            <w:p w14:paraId="31E488CD" w14:textId="77777777" w:rsidR="00335490" w:rsidRDefault="00335490" w:rsidP="00673865">
                              <w:pPr>
                                <w:widowControl w:val="0"/>
                                <w:numPr>
                                  <w:ilvl w:val="0"/>
                                  <w:numId w:val="36"/>
                                </w:numPr>
                                <w:tabs>
                                  <w:tab w:val="left" w:pos="180"/>
                                </w:tabs>
                                <w:autoSpaceDE w:val="0"/>
                                <w:autoSpaceDN w:val="0"/>
                                <w:spacing w:before="45" w:after="0" w:line="216" w:lineRule="auto"/>
                                <w:ind w:right="170"/>
                                <w:rPr>
                                  <w:sz w:val="26"/>
                                </w:rPr>
                              </w:pPr>
                              <w:r>
                                <w:rPr>
                                  <w:sz w:val="26"/>
                                </w:rPr>
                                <w:t>Līdz termiņa beigām</w:t>
                              </w:r>
                              <w:r>
                                <w:rPr>
                                  <w:spacing w:val="-6"/>
                                  <w:sz w:val="26"/>
                                </w:rPr>
                                <w:t xml:space="preserve"> </w:t>
                              </w:r>
                              <w:r>
                                <w:rPr>
                                  <w:sz w:val="26"/>
                                </w:rPr>
                                <w:t>turētie ieguldījumi</w:t>
                              </w:r>
                            </w:p>
                            <w:p w14:paraId="2760FFDC" w14:textId="77777777" w:rsidR="00335490" w:rsidRDefault="00335490" w:rsidP="00673865">
                              <w:pPr>
                                <w:widowControl w:val="0"/>
                                <w:numPr>
                                  <w:ilvl w:val="0"/>
                                  <w:numId w:val="36"/>
                                </w:numPr>
                                <w:tabs>
                                  <w:tab w:val="left" w:pos="180"/>
                                </w:tabs>
                                <w:autoSpaceDE w:val="0"/>
                                <w:autoSpaceDN w:val="0"/>
                                <w:spacing w:before="21" w:after="0" w:line="240" w:lineRule="auto"/>
                                <w:rPr>
                                  <w:sz w:val="26"/>
                                </w:rPr>
                              </w:pPr>
                              <w:r>
                                <w:rPr>
                                  <w:sz w:val="26"/>
                                </w:rPr>
                                <w:t>Aizdevumi un</w:t>
                              </w:r>
                              <w:r>
                                <w:rPr>
                                  <w:spacing w:val="3"/>
                                  <w:sz w:val="26"/>
                                </w:rPr>
                                <w:t xml:space="preserve"> </w:t>
                              </w:r>
                              <w:r>
                                <w:rPr>
                                  <w:sz w:val="26"/>
                                </w:rPr>
                                <w:t>prasības</w:t>
                              </w:r>
                            </w:p>
                            <w:p w14:paraId="4F44572A" w14:textId="77777777" w:rsidR="00335490" w:rsidRDefault="00335490" w:rsidP="00673865">
                              <w:pPr>
                                <w:widowControl w:val="0"/>
                                <w:numPr>
                                  <w:ilvl w:val="0"/>
                                  <w:numId w:val="36"/>
                                </w:numPr>
                                <w:tabs>
                                  <w:tab w:val="left" w:pos="180"/>
                                </w:tabs>
                                <w:autoSpaceDE w:val="0"/>
                                <w:autoSpaceDN w:val="0"/>
                                <w:spacing w:before="16" w:after="0" w:line="284" w:lineRule="exact"/>
                                <w:rPr>
                                  <w:sz w:val="26"/>
                                </w:rPr>
                              </w:pPr>
                              <w:r>
                                <w:rPr>
                                  <w:sz w:val="26"/>
                                </w:rPr>
                                <w:t>Pārdošanai pieejamie</w:t>
                              </w:r>
                              <w:r>
                                <w:rPr>
                                  <w:spacing w:val="-10"/>
                                  <w:sz w:val="26"/>
                                </w:rPr>
                                <w:t xml:space="preserve"> </w:t>
                              </w:r>
                              <w:r>
                                <w:rPr>
                                  <w:sz w:val="26"/>
                                </w:rPr>
                                <w:t>finanšu</w:t>
                              </w:r>
                            </w:p>
                            <w:p w14:paraId="0BD0C199" w14:textId="77777777" w:rsidR="00335490" w:rsidRDefault="00335490" w:rsidP="00A13C30">
                              <w:pPr>
                                <w:spacing w:line="284" w:lineRule="exact"/>
                                <w:ind w:left="180"/>
                                <w:rPr>
                                  <w:sz w:val="26"/>
                                </w:rPr>
                              </w:pPr>
                              <w:r>
                                <w:rPr>
                                  <w:sz w:val="26"/>
                                </w:rPr>
                                <w:t>aktīvi</w:t>
                              </w:r>
                            </w:p>
                          </w:txbxContent>
                        </wps:txbx>
                        <wps:bodyPr rot="0" vert="horz" wrap="square" lIns="0" tIns="0" rIns="0" bIns="0" anchor="t" anchorCtr="0" upright="1">
                          <a:noAutofit/>
                        </wps:bodyPr>
                      </wps:wsp>
                    </wpg:wgp>
                  </a:graphicData>
                </a:graphic>
              </wp:inline>
            </w:drawing>
          </mc:Choice>
          <mc:Fallback>
            <w:pict>
              <v:group w14:anchorId="532B58E1" id="Group 128" o:spid="_x0000_s1083" style="width:468.4pt;height:250.4pt;mso-position-horizontal-relative:char;mso-position-vertical-relative:line" coordsize="9368,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">
                <v:rect id="Rectangle 129" o:spid="_x0000_s1084" style="position:absolute;left:2;top:19;width:3679;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" fillcolor="#f1f1f1" stroked="f"/>
                <v:rect id="Rectangle 130" o:spid="_x0000_s1085" style="position:absolute;left:3681;top:10;width:3679;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" fillcolor="#f1f1f1" stroked="f"/>
                <v:rect id="Rectangle 131" o:spid="_x0000_s1086" style="position:absolute;left:3681;top:10;width:3679;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" filled="f" strokecolor="white" strokeweight="1pt"/>
                <v:rect id="Rectangle 132" o:spid="_x0000_s1087" style="position:absolute;left:7360;top:10;width:1997;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" fillcolor="#f1f1f1" stroked="f"/>
                <v:rect id="Rectangle 133" o:spid="_x0000_s1088" style="position:absolute;left:7360;top:10;width:1997;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" filled="f" strokecolor="white" strokeweight="1pt"/>
                <v:rect id="Rectangle 134" o:spid="_x0000_s1089" style="position:absolute;top:3535;width:93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" fillcolor="#b8cde4" stroked="f"/>
                <v:shape id="Text Box 135" o:spid="_x0000_s1090" type="#_x0000_t202" style="position:absolute;left:7564;top:1229;width:161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0C0C4B67" w14:textId="77777777" w:rsidR="00335490" w:rsidRDefault="00335490" w:rsidP="00A13C30">
                        <w:pPr>
                          <w:spacing w:before="15" w:line="216" w:lineRule="auto"/>
                          <w:ind w:right="18" w:hanging="2"/>
                          <w:jc w:val="center"/>
                          <w:rPr>
                            <w:b/>
                            <w:sz w:val="32"/>
                          </w:rPr>
                        </w:pPr>
                        <w:r>
                          <w:rPr>
                            <w:b/>
                            <w:color w:val="002069"/>
                            <w:sz w:val="32"/>
                          </w:rPr>
                          <w:t xml:space="preserve">Atvasināti finanšu </w:t>
                        </w:r>
                        <w:r>
                          <w:rPr>
                            <w:b/>
                            <w:color w:val="002069"/>
                            <w:spacing w:val="-1"/>
                            <w:sz w:val="32"/>
                          </w:rPr>
                          <w:t>instrumenti</w:t>
                        </w:r>
                      </w:p>
                    </w:txbxContent>
                  </v:textbox>
                </v:shape>
                <v:shape id="Text Box 136" o:spid="_x0000_s1091" type="#_x0000_t202" style="position:absolute;left:3779;top:83;width:304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D573870" w14:textId="77777777" w:rsidR="00335490" w:rsidRDefault="00335490" w:rsidP="00A13C30">
                        <w:pPr>
                          <w:spacing w:line="354" w:lineRule="exact"/>
                          <w:rPr>
                            <w:b/>
                            <w:sz w:val="32"/>
                          </w:rPr>
                        </w:pPr>
                        <w:r>
                          <w:rPr>
                            <w:b/>
                            <w:color w:val="002069"/>
                            <w:sz w:val="32"/>
                          </w:rPr>
                          <w:t>Finanšu saistības</w:t>
                        </w:r>
                      </w:p>
                      <w:p w14:paraId="361CE373" w14:textId="77777777" w:rsidR="00335490" w:rsidRDefault="00335490" w:rsidP="00673865">
                        <w:pPr>
                          <w:widowControl w:val="0"/>
                          <w:numPr>
                            <w:ilvl w:val="0"/>
                            <w:numId w:val="37"/>
                          </w:numPr>
                          <w:tabs>
                            <w:tab w:val="left" w:pos="180"/>
                          </w:tabs>
                          <w:autoSpaceDE w:val="0"/>
                          <w:autoSpaceDN w:val="0"/>
                          <w:spacing w:before="122" w:after="0" w:line="216" w:lineRule="auto"/>
                          <w:ind w:right="18"/>
                          <w:rPr>
                            <w:sz w:val="26"/>
                          </w:rPr>
                        </w:pPr>
                        <w:r>
                          <w:rPr>
                            <w:sz w:val="26"/>
                          </w:rPr>
                          <w:t>Patiesajā vērtībā</w:t>
                        </w:r>
                        <w:r>
                          <w:rPr>
                            <w:spacing w:val="-12"/>
                            <w:sz w:val="26"/>
                          </w:rPr>
                          <w:t xml:space="preserve"> </w:t>
                        </w:r>
                        <w:r>
                          <w:rPr>
                            <w:sz w:val="26"/>
                          </w:rPr>
                          <w:t>novērtētas finanšu</w:t>
                        </w:r>
                        <w:r>
                          <w:rPr>
                            <w:spacing w:val="-2"/>
                            <w:sz w:val="26"/>
                          </w:rPr>
                          <w:t xml:space="preserve"> </w:t>
                        </w:r>
                        <w:r>
                          <w:rPr>
                            <w:sz w:val="26"/>
                          </w:rPr>
                          <w:t>saistības</w:t>
                        </w:r>
                      </w:p>
                      <w:p w14:paraId="0D4E868D" w14:textId="77777777" w:rsidR="00335490" w:rsidRDefault="00335490" w:rsidP="00673865">
                        <w:pPr>
                          <w:widowControl w:val="0"/>
                          <w:numPr>
                            <w:ilvl w:val="0"/>
                            <w:numId w:val="37"/>
                          </w:numPr>
                          <w:tabs>
                            <w:tab w:val="left" w:pos="180"/>
                          </w:tabs>
                          <w:autoSpaceDE w:val="0"/>
                          <w:autoSpaceDN w:val="0"/>
                          <w:spacing w:before="21" w:after="0" w:line="240" w:lineRule="auto"/>
                          <w:rPr>
                            <w:sz w:val="26"/>
                          </w:rPr>
                        </w:pPr>
                        <w:r>
                          <w:rPr>
                            <w:sz w:val="26"/>
                          </w:rPr>
                          <w:t>Pārējās finanšu</w:t>
                        </w:r>
                        <w:r>
                          <w:rPr>
                            <w:spacing w:val="-5"/>
                            <w:sz w:val="26"/>
                          </w:rPr>
                          <w:t xml:space="preserve"> </w:t>
                        </w:r>
                        <w:r>
                          <w:rPr>
                            <w:sz w:val="26"/>
                          </w:rPr>
                          <w:t>saistības</w:t>
                        </w:r>
                      </w:p>
                    </w:txbxContent>
                  </v:textbox>
                </v:shape>
                <v:shape id="Text Box 137" o:spid="_x0000_s1092" type="#_x0000_t202" style="position:absolute;left:99;top:92;width:324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61EC19C8" w14:textId="77777777" w:rsidR="00335490" w:rsidRDefault="00335490" w:rsidP="00A13C30">
                        <w:pPr>
                          <w:spacing w:line="354" w:lineRule="exact"/>
                          <w:rPr>
                            <w:b/>
                            <w:sz w:val="32"/>
                          </w:rPr>
                        </w:pPr>
                        <w:r>
                          <w:rPr>
                            <w:b/>
                            <w:color w:val="002069"/>
                            <w:sz w:val="32"/>
                          </w:rPr>
                          <w:t>Finanšu aktīvi</w:t>
                        </w:r>
                      </w:p>
                      <w:p w14:paraId="39A60A43" w14:textId="77777777" w:rsidR="00335490" w:rsidRDefault="00335490" w:rsidP="00673865">
                        <w:pPr>
                          <w:widowControl w:val="0"/>
                          <w:numPr>
                            <w:ilvl w:val="0"/>
                            <w:numId w:val="36"/>
                          </w:numPr>
                          <w:tabs>
                            <w:tab w:val="left" w:pos="180"/>
                          </w:tabs>
                          <w:autoSpaceDE w:val="0"/>
                          <w:autoSpaceDN w:val="0"/>
                          <w:spacing w:before="122" w:after="0" w:line="216" w:lineRule="auto"/>
                          <w:ind w:right="366"/>
                          <w:rPr>
                            <w:sz w:val="26"/>
                          </w:rPr>
                        </w:pPr>
                        <w:r>
                          <w:rPr>
                            <w:sz w:val="26"/>
                          </w:rPr>
                          <w:t>Patiesajā vērtībā</w:t>
                        </w:r>
                        <w:r>
                          <w:rPr>
                            <w:spacing w:val="-11"/>
                            <w:sz w:val="26"/>
                          </w:rPr>
                          <w:t xml:space="preserve"> </w:t>
                        </w:r>
                        <w:r>
                          <w:rPr>
                            <w:sz w:val="26"/>
                          </w:rPr>
                          <w:t>novērtēti finanšu</w:t>
                        </w:r>
                        <w:r>
                          <w:rPr>
                            <w:spacing w:val="-2"/>
                            <w:sz w:val="26"/>
                          </w:rPr>
                          <w:t xml:space="preserve"> </w:t>
                        </w:r>
                        <w:r>
                          <w:rPr>
                            <w:sz w:val="26"/>
                          </w:rPr>
                          <w:t>aktīv</w:t>
                        </w:r>
                      </w:p>
                      <w:p w14:paraId="31E488CD" w14:textId="77777777" w:rsidR="00335490" w:rsidRDefault="00335490" w:rsidP="00673865">
                        <w:pPr>
                          <w:widowControl w:val="0"/>
                          <w:numPr>
                            <w:ilvl w:val="0"/>
                            <w:numId w:val="36"/>
                          </w:numPr>
                          <w:tabs>
                            <w:tab w:val="left" w:pos="180"/>
                          </w:tabs>
                          <w:autoSpaceDE w:val="0"/>
                          <w:autoSpaceDN w:val="0"/>
                          <w:spacing w:before="45" w:after="0" w:line="216" w:lineRule="auto"/>
                          <w:ind w:right="170"/>
                          <w:rPr>
                            <w:sz w:val="26"/>
                          </w:rPr>
                        </w:pPr>
                        <w:r>
                          <w:rPr>
                            <w:sz w:val="26"/>
                          </w:rPr>
                          <w:t>Līdz termiņa beigām</w:t>
                        </w:r>
                        <w:r>
                          <w:rPr>
                            <w:spacing w:val="-6"/>
                            <w:sz w:val="26"/>
                          </w:rPr>
                          <w:t xml:space="preserve"> </w:t>
                        </w:r>
                        <w:r>
                          <w:rPr>
                            <w:sz w:val="26"/>
                          </w:rPr>
                          <w:t>turētie ieguldījumi</w:t>
                        </w:r>
                      </w:p>
                      <w:p w14:paraId="2760FFDC" w14:textId="77777777" w:rsidR="00335490" w:rsidRDefault="00335490" w:rsidP="00673865">
                        <w:pPr>
                          <w:widowControl w:val="0"/>
                          <w:numPr>
                            <w:ilvl w:val="0"/>
                            <w:numId w:val="36"/>
                          </w:numPr>
                          <w:tabs>
                            <w:tab w:val="left" w:pos="180"/>
                          </w:tabs>
                          <w:autoSpaceDE w:val="0"/>
                          <w:autoSpaceDN w:val="0"/>
                          <w:spacing w:before="21" w:after="0" w:line="240" w:lineRule="auto"/>
                          <w:rPr>
                            <w:sz w:val="26"/>
                          </w:rPr>
                        </w:pPr>
                        <w:r>
                          <w:rPr>
                            <w:sz w:val="26"/>
                          </w:rPr>
                          <w:t>Aizdevumi un</w:t>
                        </w:r>
                        <w:r>
                          <w:rPr>
                            <w:spacing w:val="3"/>
                            <w:sz w:val="26"/>
                          </w:rPr>
                          <w:t xml:space="preserve"> </w:t>
                        </w:r>
                        <w:r>
                          <w:rPr>
                            <w:sz w:val="26"/>
                          </w:rPr>
                          <w:t>prasības</w:t>
                        </w:r>
                      </w:p>
                      <w:p w14:paraId="4F44572A" w14:textId="77777777" w:rsidR="00335490" w:rsidRDefault="00335490" w:rsidP="00673865">
                        <w:pPr>
                          <w:widowControl w:val="0"/>
                          <w:numPr>
                            <w:ilvl w:val="0"/>
                            <w:numId w:val="36"/>
                          </w:numPr>
                          <w:tabs>
                            <w:tab w:val="left" w:pos="180"/>
                          </w:tabs>
                          <w:autoSpaceDE w:val="0"/>
                          <w:autoSpaceDN w:val="0"/>
                          <w:spacing w:before="16" w:after="0" w:line="284" w:lineRule="exact"/>
                          <w:rPr>
                            <w:sz w:val="26"/>
                          </w:rPr>
                        </w:pPr>
                        <w:r>
                          <w:rPr>
                            <w:sz w:val="26"/>
                          </w:rPr>
                          <w:t>Pārdošanai pieejamie</w:t>
                        </w:r>
                        <w:r>
                          <w:rPr>
                            <w:spacing w:val="-10"/>
                            <w:sz w:val="26"/>
                          </w:rPr>
                          <w:t xml:space="preserve"> </w:t>
                        </w:r>
                        <w:r>
                          <w:rPr>
                            <w:sz w:val="26"/>
                          </w:rPr>
                          <w:t>finanšu</w:t>
                        </w:r>
                      </w:p>
                      <w:p w14:paraId="0BD0C199" w14:textId="77777777" w:rsidR="00335490" w:rsidRDefault="00335490" w:rsidP="00A13C30">
                        <w:pPr>
                          <w:spacing w:line="284" w:lineRule="exact"/>
                          <w:ind w:left="180"/>
                          <w:rPr>
                            <w:sz w:val="26"/>
                          </w:rPr>
                        </w:pPr>
                        <w:r>
                          <w:rPr>
                            <w:sz w:val="26"/>
                          </w:rPr>
                          <w:t>aktīvi</w:t>
                        </w:r>
                      </w:p>
                    </w:txbxContent>
                  </v:textbox>
                </v:shape>
                <w10:anchorlock/>
              </v:group>
            </w:pict>
          </mc:Fallback>
        </mc:AlternateContent>
      </w:r>
    </w:p>
    <w:p w14:paraId="040653EA" w14:textId="77777777" w:rsidR="00A13C30" w:rsidRPr="00A13C30" w:rsidRDefault="00A13C30" w:rsidP="00CD363C">
      <w:pPr>
        <w:pStyle w:val="Sarakstarindkopa"/>
        <w:numPr>
          <w:ilvl w:val="0"/>
          <w:numId w:val="38"/>
        </w:numPr>
        <w:spacing w:after="0" w:line="240" w:lineRule="auto"/>
        <w:ind w:right="-142"/>
        <w:jc w:val="both"/>
        <w:rPr>
          <w:i/>
          <w:sz w:val="20"/>
        </w:rPr>
      </w:pPr>
      <w:r>
        <w:rPr>
          <w:i/>
          <w:sz w:val="20"/>
        </w:rPr>
        <w:t xml:space="preserve">attēls </w:t>
      </w:r>
      <w:r w:rsidRPr="00A13C30">
        <w:rPr>
          <w:i/>
          <w:sz w:val="20"/>
        </w:rPr>
        <w:t>Finanšu instrumentu iedalījums</w:t>
      </w:r>
    </w:p>
    <w:p w14:paraId="01CDEBF0" w14:textId="77777777" w:rsidR="00DC15D2" w:rsidRPr="00DC15D2" w:rsidRDefault="00DC15D2" w:rsidP="00CD363C">
      <w:pPr>
        <w:pStyle w:val="Pamatteksts"/>
        <w:ind w:right="-142"/>
        <w:jc w:val="both"/>
        <w:rPr>
          <w:sz w:val="24"/>
          <w:szCs w:val="24"/>
        </w:rPr>
      </w:pPr>
    </w:p>
    <w:p w14:paraId="53E104F1" w14:textId="77777777" w:rsidR="00090DA6" w:rsidRDefault="00090DA6" w:rsidP="00CD363C">
      <w:pPr>
        <w:pStyle w:val="Pamatteksts"/>
        <w:ind w:right="-142"/>
        <w:jc w:val="both"/>
        <w:rPr>
          <w:b/>
          <w:sz w:val="24"/>
          <w:szCs w:val="24"/>
        </w:rPr>
      </w:pPr>
    </w:p>
    <w:p w14:paraId="7A877894" w14:textId="77777777" w:rsidR="00A13C30" w:rsidRDefault="00A13C30" w:rsidP="00CD363C">
      <w:pPr>
        <w:pStyle w:val="Virsraksts4"/>
        <w:spacing w:before="0"/>
        <w:ind w:left="338" w:right="-142"/>
        <w:jc w:val="both"/>
      </w:pPr>
      <w:r>
        <w:rPr>
          <w:color w:val="002069"/>
        </w:rPr>
        <w:t>Finanšu aktīvu sākotnējā atzīšana</w:t>
      </w:r>
    </w:p>
    <w:p w14:paraId="3A29AD3E" w14:textId="77777777" w:rsidR="00A13C30" w:rsidRPr="00192E56" w:rsidRDefault="00475C16" w:rsidP="00CD363C">
      <w:pPr>
        <w:widowControl w:val="0"/>
        <w:tabs>
          <w:tab w:val="left" w:pos="1018"/>
        </w:tabs>
        <w:autoSpaceDE w:val="0"/>
        <w:autoSpaceDN w:val="0"/>
        <w:spacing w:after="0" w:line="240" w:lineRule="auto"/>
        <w:ind w:right="-142"/>
        <w:jc w:val="both"/>
        <w:rPr>
          <w:rFonts w:ascii="Times New Roman" w:hAnsi="Times New Roman" w:cs="Times New Roman"/>
        </w:rPr>
      </w:pPr>
      <w:r w:rsidRPr="00192E56">
        <w:rPr>
          <w:rFonts w:ascii="Times New Roman" w:hAnsi="Times New Roman" w:cs="Times New Roman"/>
        </w:rPr>
        <w:t xml:space="preserve">906.   </w:t>
      </w:r>
      <w:r w:rsidR="00A13C30" w:rsidRPr="00192E56">
        <w:rPr>
          <w:rFonts w:ascii="Times New Roman" w:hAnsi="Times New Roman" w:cs="Times New Roman"/>
        </w:rPr>
        <w:t>Budžeta iestāde grāmatvedības uzskaitē atzīst finanšu instrumentu (finanšu aktīvu) darījuma dienā (piemēram, naudas līdzekļu pārskaitīšanas dienā), pamatojoties uz darījumu apliecinošiem dokumentiem, un veic sekojošu</w:t>
      </w:r>
      <w:r w:rsidR="00A13C30" w:rsidRPr="00192E56">
        <w:rPr>
          <w:rFonts w:ascii="Times New Roman" w:hAnsi="Times New Roman" w:cs="Times New Roman"/>
          <w:spacing w:val="-1"/>
        </w:rPr>
        <w:t xml:space="preserve"> </w:t>
      </w:r>
      <w:r w:rsidR="00A13C30" w:rsidRPr="00192E56">
        <w:rPr>
          <w:rFonts w:ascii="Times New Roman" w:hAnsi="Times New Roman" w:cs="Times New Roman"/>
        </w:rPr>
        <w:t>grāmatojumu:</w:t>
      </w:r>
    </w:p>
    <w:p w14:paraId="6BE7F784" w14:textId="77777777" w:rsidR="00090DA6" w:rsidRPr="00192E56" w:rsidRDefault="00A13C30" w:rsidP="00CD363C">
      <w:pPr>
        <w:pStyle w:val="Pamatteksts"/>
        <w:ind w:right="-142"/>
        <w:jc w:val="both"/>
        <w:rPr>
          <w:b/>
          <w:sz w:val="24"/>
          <w:szCs w:val="24"/>
        </w:rPr>
      </w:pPr>
      <w:r w:rsidRPr="00192E56">
        <w:rPr>
          <w:b/>
          <w:sz w:val="24"/>
          <w:szCs w:val="24"/>
        </w:rPr>
        <w:t xml:space="preserve">    D    1330   Ilgtermiņa aizdevumi</w:t>
      </w:r>
    </w:p>
    <w:p w14:paraId="3D0F748B" w14:textId="77777777" w:rsidR="00A13C30" w:rsidRPr="00192E56" w:rsidRDefault="00A13C30" w:rsidP="00CD363C">
      <w:pPr>
        <w:pStyle w:val="Pamatteksts"/>
        <w:ind w:right="-142"/>
        <w:jc w:val="both"/>
        <w:rPr>
          <w:b/>
          <w:sz w:val="24"/>
          <w:szCs w:val="24"/>
        </w:rPr>
      </w:pPr>
      <w:r w:rsidRPr="00192E56">
        <w:rPr>
          <w:b/>
          <w:sz w:val="24"/>
          <w:szCs w:val="24"/>
        </w:rPr>
        <w:t xml:space="preserve">    D    1349   Ilgtermiņa finanšu ieguldījumi vērtspapīros</w:t>
      </w:r>
    </w:p>
    <w:p w14:paraId="14F6E06D" w14:textId="77777777" w:rsidR="00A13C30" w:rsidRPr="00192E56" w:rsidRDefault="00A13C30" w:rsidP="00CD363C">
      <w:pPr>
        <w:pStyle w:val="Pamatteksts"/>
        <w:ind w:right="-142"/>
        <w:jc w:val="both"/>
        <w:rPr>
          <w:b/>
          <w:sz w:val="24"/>
          <w:szCs w:val="24"/>
        </w:rPr>
      </w:pPr>
      <w:r w:rsidRPr="00192E56">
        <w:rPr>
          <w:b/>
          <w:sz w:val="24"/>
          <w:szCs w:val="24"/>
        </w:rPr>
        <w:t xml:space="preserve">    D    1359   Pārējie ilgtermiņa finanšu ieguldījumi</w:t>
      </w:r>
    </w:p>
    <w:p w14:paraId="5E0C6699" w14:textId="77777777" w:rsidR="00A13C30" w:rsidRPr="00192E56" w:rsidRDefault="00A13C30" w:rsidP="00CD363C">
      <w:pPr>
        <w:pStyle w:val="Pamatteksts"/>
        <w:ind w:right="-142"/>
        <w:jc w:val="both"/>
        <w:rPr>
          <w:b/>
          <w:sz w:val="24"/>
          <w:szCs w:val="24"/>
        </w:rPr>
      </w:pPr>
      <w:r w:rsidRPr="00192E56">
        <w:rPr>
          <w:b/>
          <w:sz w:val="24"/>
          <w:szCs w:val="24"/>
        </w:rPr>
        <w:t xml:space="preserve">    D    1369   </w:t>
      </w:r>
      <w:r w:rsidR="00475C16" w:rsidRPr="00192E56">
        <w:rPr>
          <w:b/>
          <w:sz w:val="24"/>
          <w:szCs w:val="24"/>
        </w:rPr>
        <w:t>Ilgtermiņa noguldījumi</w:t>
      </w:r>
    </w:p>
    <w:p w14:paraId="1CC8F3D8" w14:textId="77777777" w:rsidR="00475C16" w:rsidRPr="00192E56" w:rsidRDefault="00475C16" w:rsidP="00CD363C">
      <w:pPr>
        <w:pStyle w:val="Pamatteksts"/>
        <w:ind w:right="-142"/>
        <w:jc w:val="both"/>
        <w:rPr>
          <w:b/>
          <w:sz w:val="24"/>
          <w:szCs w:val="24"/>
        </w:rPr>
      </w:pPr>
      <w:r w:rsidRPr="00192E56">
        <w:rPr>
          <w:b/>
          <w:sz w:val="24"/>
          <w:szCs w:val="24"/>
        </w:rPr>
        <w:t xml:space="preserve">    D    1379   Pārējie turējumā nodotie ilgtermiņa finanšu ieguldījumi</w:t>
      </w:r>
    </w:p>
    <w:p w14:paraId="643F6D66" w14:textId="77777777" w:rsidR="00475C16" w:rsidRPr="00192E56" w:rsidRDefault="00475C16" w:rsidP="00CD363C">
      <w:pPr>
        <w:pStyle w:val="Pamatteksts"/>
        <w:ind w:right="-142"/>
        <w:jc w:val="both"/>
        <w:rPr>
          <w:b/>
          <w:sz w:val="24"/>
          <w:szCs w:val="24"/>
        </w:rPr>
      </w:pPr>
      <w:r w:rsidRPr="00192E56">
        <w:rPr>
          <w:b/>
          <w:sz w:val="24"/>
          <w:szCs w:val="24"/>
        </w:rPr>
        <w:t xml:space="preserve">    D    2549   Pārējie īstermiņa finanšu ieguldījumi vērtspapīros</w:t>
      </w:r>
    </w:p>
    <w:p w14:paraId="7054CA47" w14:textId="77777777" w:rsidR="00475C16" w:rsidRPr="00192E56" w:rsidRDefault="00475C16" w:rsidP="00CD363C">
      <w:pPr>
        <w:pStyle w:val="Pamatteksts"/>
        <w:ind w:right="-142"/>
        <w:jc w:val="both"/>
        <w:rPr>
          <w:b/>
          <w:sz w:val="24"/>
          <w:szCs w:val="24"/>
        </w:rPr>
      </w:pPr>
      <w:r w:rsidRPr="00192E56">
        <w:rPr>
          <w:b/>
          <w:sz w:val="24"/>
          <w:szCs w:val="24"/>
        </w:rPr>
        <w:t xml:space="preserve">    D    2530   Īstermiņa aizdevumi un ilgtermiņa aizdevumu īstermiņa daļa</w:t>
      </w:r>
    </w:p>
    <w:p w14:paraId="7FE0F907" w14:textId="77777777" w:rsidR="00475C16" w:rsidRPr="00192E56" w:rsidRDefault="00475C16" w:rsidP="00CD363C">
      <w:pPr>
        <w:pStyle w:val="Pamatteksts"/>
        <w:ind w:right="-142"/>
        <w:jc w:val="both"/>
        <w:rPr>
          <w:b/>
          <w:sz w:val="24"/>
          <w:szCs w:val="24"/>
        </w:rPr>
      </w:pPr>
      <w:r w:rsidRPr="00192E56">
        <w:rPr>
          <w:b/>
          <w:sz w:val="24"/>
          <w:szCs w:val="24"/>
        </w:rPr>
        <w:t xml:space="preserve">    D    2559   Pārējie īstermiņa finanšu ieguldījumi</w:t>
      </w:r>
    </w:p>
    <w:p w14:paraId="74BE8FD4" w14:textId="77777777" w:rsidR="00475C16" w:rsidRPr="00192E56" w:rsidRDefault="00475C16" w:rsidP="00CD363C">
      <w:pPr>
        <w:pStyle w:val="Pamatteksts"/>
        <w:ind w:right="-142"/>
        <w:jc w:val="both"/>
        <w:rPr>
          <w:b/>
          <w:sz w:val="24"/>
          <w:szCs w:val="24"/>
        </w:rPr>
      </w:pPr>
      <w:r w:rsidRPr="00192E56">
        <w:rPr>
          <w:b/>
          <w:sz w:val="24"/>
          <w:szCs w:val="24"/>
        </w:rPr>
        <w:t xml:space="preserve">    D    2569   Īstermiņa noguldījumi</w:t>
      </w:r>
    </w:p>
    <w:p w14:paraId="4DA0B5D2" w14:textId="77777777" w:rsidR="00475C16" w:rsidRPr="00192E56" w:rsidRDefault="00475C16" w:rsidP="00CD363C">
      <w:pPr>
        <w:pStyle w:val="Pamatteksts"/>
        <w:ind w:right="-142"/>
        <w:jc w:val="both"/>
        <w:rPr>
          <w:b/>
          <w:sz w:val="24"/>
          <w:szCs w:val="24"/>
        </w:rPr>
      </w:pPr>
      <w:r w:rsidRPr="00192E56">
        <w:rPr>
          <w:b/>
          <w:sz w:val="24"/>
          <w:szCs w:val="24"/>
        </w:rPr>
        <w:t xml:space="preserve">    K    2620   Norēķinu konti valsts kasē, kredītiestādēs vai citās institūcijās    </w:t>
      </w:r>
    </w:p>
    <w:p w14:paraId="296C123B" w14:textId="77777777" w:rsidR="00090DA6" w:rsidRPr="00192E56" w:rsidRDefault="00475C16" w:rsidP="00CD363C">
      <w:pPr>
        <w:pStyle w:val="Pamatteksts"/>
        <w:ind w:right="-142"/>
        <w:jc w:val="both"/>
        <w:rPr>
          <w:b/>
          <w:sz w:val="24"/>
          <w:szCs w:val="24"/>
        </w:rPr>
      </w:pPr>
      <w:r w:rsidRPr="00192E56">
        <w:rPr>
          <w:b/>
          <w:sz w:val="24"/>
          <w:szCs w:val="24"/>
        </w:rPr>
        <w:t xml:space="preserve">    K    5000   Saistības</w:t>
      </w:r>
    </w:p>
    <w:p w14:paraId="32042C37" w14:textId="77777777" w:rsidR="00475C16" w:rsidRPr="00192E56" w:rsidRDefault="00475C16" w:rsidP="00CD363C">
      <w:pPr>
        <w:pStyle w:val="Pamatteksts"/>
        <w:ind w:right="-142"/>
        <w:jc w:val="both"/>
        <w:rPr>
          <w:b/>
          <w:sz w:val="24"/>
          <w:szCs w:val="24"/>
        </w:rPr>
      </w:pPr>
      <w:r w:rsidRPr="00192E56">
        <w:rPr>
          <w:b/>
          <w:sz w:val="24"/>
          <w:szCs w:val="24"/>
        </w:rPr>
        <w:t xml:space="preserve">    K    1389   Avansa maksājumi par ilgtermiņa finanšu ieguldījumiem</w:t>
      </w:r>
    </w:p>
    <w:p w14:paraId="6520F818" w14:textId="77777777" w:rsidR="00475C16" w:rsidRPr="00192E56" w:rsidRDefault="00475C16" w:rsidP="00CD363C">
      <w:pPr>
        <w:widowControl w:val="0"/>
        <w:tabs>
          <w:tab w:val="left" w:pos="1018"/>
        </w:tabs>
        <w:autoSpaceDE w:val="0"/>
        <w:autoSpaceDN w:val="0"/>
        <w:spacing w:after="0" w:line="240" w:lineRule="auto"/>
        <w:ind w:right="407"/>
        <w:jc w:val="both"/>
        <w:rPr>
          <w:rFonts w:ascii="Times New Roman" w:hAnsi="Times New Roman" w:cs="Times New Roman"/>
        </w:rPr>
      </w:pPr>
      <w:r w:rsidRPr="00192E56">
        <w:rPr>
          <w:rFonts w:ascii="Times New Roman" w:hAnsi="Times New Roman" w:cs="Times New Roman"/>
        </w:rPr>
        <w:t>907.   Ja saskaņā ar līgumu budžeta iestādei rodas tiesības saņemt finanšu aktīvu pirms faktiskā naudas pārskaitīšanas datuma, budžeta iestāde līgumu reģistrē budžeta iestādes uzskaites sistēmā atsevišķā reģistrā.</w:t>
      </w:r>
    </w:p>
    <w:p w14:paraId="3CDAA0D0" w14:textId="77777777" w:rsidR="00475C16" w:rsidRPr="00192E56" w:rsidRDefault="00475C16"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rPr>
      </w:pPr>
      <w:r w:rsidRPr="00192E56">
        <w:rPr>
          <w:rFonts w:ascii="Times New Roman" w:hAnsi="Times New Roman" w:cs="Times New Roman"/>
        </w:rPr>
        <w:t>908.   Visus finanšu aktīvus pēc sākotnējās atzīšanas klasificē</w:t>
      </w:r>
      <w:r w:rsidRPr="00192E56">
        <w:rPr>
          <w:rFonts w:ascii="Times New Roman" w:hAnsi="Times New Roman" w:cs="Times New Roman"/>
          <w:spacing w:val="-9"/>
        </w:rPr>
        <w:t xml:space="preserve"> </w:t>
      </w:r>
      <w:r w:rsidRPr="00192E56">
        <w:rPr>
          <w:rFonts w:ascii="Times New Roman" w:hAnsi="Times New Roman" w:cs="Times New Roman"/>
        </w:rPr>
        <w:t>šādi:</w:t>
      </w:r>
    </w:p>
    <w:p w14:paraId="2A581B37" w14:textId="77777777" w:rsidR="00475C16" w:rsidRPr="00192E56" w:rsidRDefault="00475C16" w:rsidP="00CD363C">
      <w:pPr>
        <w:pStyle w:val="Sarakstarindkopa"/>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rPr>
      </w:pPr>
      <w:r w:rsidRPr="00192E56">
        <w:rPr>
          <w:rFonts w:ascii="Times New Roman" w:hAnsi="Times New Roman" w:cs="Times New Roman"/>
          <w:b/>
        </w:rPr>
        <w:t xml:space="preserve">patiesajā vērtībā novērtēti finanšu aktīvi </w:t>
      </w:r>
      <w:r w:rsidRPr="00192E56">
        <w:rPr>
          <w:rFonts w:ascii="Times New Roman" w:hAnsi="Times New Roman" w:cs="Times New Roman"/>
        </w:rPr>
        <w:t>– finanšu aktīvi, kurus budžeta iestāde tur tirdzniecībai un kuri atbilst patiesajā vērtībā novērtētā finanšu aktīva definīcijai. Šajā kategorijā uzskaita</w:t>
      </w:r>
      <w:r w:rsidRPr="00192E56">
        <w:rPr>
          <w:rFonts w:ascii="Times New Roman" w:hAnsi="Times New Roman" w:cs="Times New Roman"/>
          <w:spacing w:val="-11"/>
        </w:rPr>
        <w:t xml:space="preserve"> </w:t>
      </w:r>
      <w:r w:rsidRPr="00192E56">
        <w:rPr>
          <w:rFonts w:ascii="Times New Roman" w:hAnsi="Times New Roman" w:cs="Times New Roman"/>
        </w:rPr>
        <w:t>atvasinātos</w:t>
      </w:r>
      <w:r w:rsidRPr="00192E56">
        <w:rPr>
          <w:rFonts w:ascii="Times New Roman" w:hAnsi="Times New Roman" w:cs="Times New Roman"/>
          <w:spacing w:val="-10"/>
        </w:rPr>
        <w:t xml:space="preserve"> </w:t>
      </w:r>
      <w:r w:rsidRPr="00192E56">
        <w:rPr>
          <w:rFonts w:ascii="Times New Roman" w:hAnsi="Times New Roman" w:cs="Times New Roman"/>
        </w:rPr>
        <w:t>finanšu</w:t>
      </w:r>
      <w:r w:rsidRPr="00192E56">
        <w:rPr>
          <w:rFonts w:ascii="Times New Roman" w:hAnsi="Times New Roman" w:cs="Times New Roman"/>
          <w:spacing w:val="-12"/>
        </w:rPr>
        <w:t xml:space="preserve"> </w:t>
      </w:r>
      <w:r w:rsidRPr="00192E56">
        <w:rPr>
          <w:rFonts w:ascii="Times New Roman" w:hAnsi="Times New Roman" w:cs="Times New Roman"/>
        </w:rPr>
        <w:t>instrumentus.</w:t>
      </w:r>
      <w:r w:rsidRPr="00192E56">
        <w:rPr>
          <w:rFonts w:ascii="Times New Roman" w:hAnsi="Times New Roman" w:cs="Times New Roman"/>
          <w:spacing w:val="-9"/>
        </w:rPr>
        <w:t xml:space="preserve"> </w:t>
      </w:r>
      <w:r w:rsidRPr="00192E56">
        <w:rPr>
          <w:rFonts w:ascii="Times New Roman" w:hAnsi="Times New Roman" w:cs="Times New Roman"/>
        </w:rPr>
        <w:t>Šajā</w:t>
      </w:r>
      <w:r w:rsidRPr="00192E56">
        <w:rPr>
          <w:rFonts w:ascii="Times New Roman" w:hAnsi="Times New Roman" w:cs="Times New Roman"/>
          <w:spacing w:val="-11"/>
        </w:rPr>
        <w:t xml:space="preserve"> </w:t>
      </w:r>
      <w:r w:rsidRPr="00192E56">
        <w:rPr>
          <w:rFonts w:ascii="Times New Roman" w:hAnsi="Times New Roman" w:cs="Times New Roman"/>
        </w:rPr>
        <w:t>kategorijā</w:t>
      </w:r>
      <w:r w:rsidRPr="00192E56">
        <w:rPr>
          <w:rFonts w:ascii="Times New Roman" w:hAnsi="Times New Roman" w:cs="Times New Roman"/>
          <w:spacing w:val="-12"/>
        </w:rPr>
        <w:t xml:space="preserve"> </w:t>
      </w:r>
      <w:r w:rsidRPr="00192E56">
        <w:rPr>
          <w:rFonts w:ascii="Times New Roman" w:hAnsi="Times New Roman" w:cs="Times New Roman"/>
        </w:rPr>
        <w:t>finanšu</w:t>
      </w:r>
      <w:r w:rsidRPr="00192E56">
        <w:rPr>
          <w:rFonts w:ascii="Times New Roman" w:hAnsi="Times New Roman" w:cs="Times New Roman"/>
          <w:spacing w:val="-13"/>
        </w:rPr>
        <w:t xml:space="preserve"> </w:t>
      </w:r>
      <w:r w:rsidRPr="00192E56">
        <w:rPr>
          <w:rFonts w:ascii="Times New Roman" w:hAnsi="Times New Roman" w:cs="Times New Roman"/>
        </w:rPr>
        <w:t>instrumentu</w:t>
      </w:r>
      <w:r w:rsidRPr="00192E56">
        <w:rPr>
          <w:rFonts w:ascii="Times New Roman" w:hAnsi="Times New Roman" w:cs="Times New Roman"/>
          <w:spacing w:val="-11"/>
        </w:rPr>
        <w:t xml:space="preserve"> </w:t>
      </w:r>
      <w:r w:rsidRPr="00192E56">
        <w:rPr>
          <w:rFonts w:ascii="Times New Roman" w:hAnsi="Times New Roman" w:cs="Times New Roman"/>
        </w:rPr>
        <w:t>var</w:t>
      </w:r>
      <w:r w:rsidRPr="00192E56">
        <w:rPr>
          <w:rFonts w:ascii="Times New Roman" w:hAnsi="Times New Roman" w:cs="Times New Roman"/>
          <w:spacing w:val="-10"/>
        </w:rPr>
        <w:t xml:space="preserve"> </w:t>
      </w:r>
      <w:r w:rsidRPr="00192E56">
        <w:rPr>
          <w:rFonts w:ascii="Times New Roman" w:hAnsi="Times New Roman" w:cs="Times New Roman"/>
        </w:rPr>
        <w:t>klasificēt</w:t>
      </w:r>
      <w:r w:rsidRPr="00192E56">
        <w:rPr>
          <w:rFonts w:ascii="Times New Roman" w:hAnsi="Times New Roman" w:cs="Times New Roman"/>
          <w:spacing w:val="-12"/>
        </w:rPr>
        <w:t xml:space="preserve"> </w:t>
      </w:r>
      <w:r w:rsidRPr="00192E56">
        <w:rPr>
          <w:rFonts w:ascii="Times New Roman" w:hAnsi="Times New Roman" w:cs="Times New Roman"/>
        </w:rPr>
        <w:t>tikai to</w:t>
      </w:r>
      <w:r w:rsidRPr="00192E56">
        <w:rPr>
          <w:rFonts w:ascii="Times New Roman" w:hAnsi="Times New Roman" w:cs="Times New Roman"/>
          <w:spacing w:val="-5"/>
        </w:rPr>
        <w:t xml:space="preserve"> </w:t>
      </w:r>
      <w:r w:rsidRPr="00192E56">
        <w:rPr>
          <w:rFonts w:ascii="Times New Roman" w:hAnsi="Times New Roman" w:cs="Times New Roman"/>
        </w:rPr>
        <w:t>sākotnēji</w:t>
      </w:r>
      <w:r w:rsidRPr="00192E56">
        <w:rPr>
          <w:rFonts w:ascii="Times New Roman" w:hAnsi="Times New Roman" w:cs="Times New Roman"/>
          <w:spacing w:val="-4"/>
        </w:rPr>
        <w:t xml:space="preserve"> </w:t>
      </w:r>
      <w:r w:rsidRPr="00192E56">
        <w:rPr>
          <w:rFonts w:ascii="Times New Roman" w:hAnsi="Times New Roman" w:cs="Times New Roman"/>
        </w:rPr>
        <w:t>atzīstot.</w:t>
      </w:r>
      <w:r w:rsidRPr="00192E56">
        <w:rPr>
          <w:rFonts w:ascii="Times New Roman" w:hAnsi="Times New Roman" w:cs="Times New Roman"/>
          <w:spacing w:val="-3"/>
        </w:rPr>
        <w:t xml:space="preserve"> </w:t>
      </w:r>
      <w:r w:rsidRPr="00192E56">
        <w:rPr>
          <w:rFonts w:ascii="Times New Roman" w:hAnsi="Times New Roman" w:cs="Times New Roman"/>
          <w:i/>
        </w:rPr>
        <w:t>Piemēram,</w:t>
      </w:r>
      <w:r w:rsidRPr="00192E56">
        <w:rPr>
          <w:rFonts w:ascii="Times New Roman" w:hAnsi="Times New Roman" w:cs="Times New Roman"/>
          <w:i/>
          <w:spacing w:val="-5"/>
        </w:rPr>
        <w:t xml:space="preserve"> </w:t>
      </w:r>
      <w:r w:rsidRPr="00192E56">
        <w:rPr>
          <w:rFonts w:ascii="Times New Roman" w:hAnsi="Times New Roman" w:cs="Times New Roman"/>
          <w:i/>
        </w:rPr>
        <w:t>ieguldījumi</w:t>
      </w:r>
      <w:r w:rsidRPr="00192E56">
        <w:rPr>
          <w:rFonts w:ascii="Times New Roman" w:hAnsi="Times New Roman" w:cs="Times New Roman"/>
          <w:i/>
          <w:spacing w:val="-4"/>
        </w:rPr>
        <w:t xml:space="preserve"> </w:t>
      </w:r>
      <w:r w:rsidRPr="00192E56">
        <w:rPr>
          <w:rFonts w:ascii="Times New Roman" w:hAnsi="Times New Roman" w:cs="Times New Roman"/>
          <w:i/>
        </w:rPr>
        <w:t>obligācijās</w:t>
      </w:r>
      <w:r w:rsidRPr="00192E56">
        <w:rPr>
          <w:rFonts w:ascii="Times New Roman" w:hAnsi="Times New Roman" w:cs="Times New Roman"/>
          <w:i/>
          <w:spacing w:val="-6"/>
        </w:rPr>
        <w:t xml:space="preserve"> </w:t>
      </w:r>
      <w:r w:rsidRPr="00192E56">
        <w:rPr>
          <w:rFonts w:ascii="Times New Roman" w:hAnsi="Times New Roman" w:cs="Times New Roman"/>
          <w:i/>
        </w:rPr>
        <w:t>un</w:t>
      </w:r>
      <w:r w:rsidRPr="00192E56">
        <w:rPr>
          <w:rFonts w:ascii="Times New Roman" w:hAnsi="Times New Roman" w:cs="Times New Roman"/>
          <w:i/>
          <w:spacing w:val="-5"/>
        </w:rPr>
        <w:t xml:space="preserve"> </w:t>
      </w:r>
      <w:r w:rsidRPr="00192E56">
        <w:rPr>
          <w:rFonts w:ascii="Times New Roman" w:hAnsi="Times New Roman" w:cs="Times New Roman"/>
          <w:i/>
        </w:rPr>
        <w:t>akcijās,</w:t>
      </w:r>
      <w:r w:rsidRPr="00192E56">
        <w:rPr>
          <w:rFonts w:ascii="Times New Roman" w:hAnsi="Times New Roman" w:cs="Times New Roman"/>
          <w:i/>
          <w:spacing w:val="-6"/>
        </w:rPr>
        <w:t xml:space="preserve"> </w:t>
      </w:r>
      <w:r w:rsidRPr="00192E56">
        <w:rPr>
          <w:rFonts w:ascii="Times New Roman" w:hAnsi="Times New Roman" w:cs="Times New Roman"/>
          <w:i/>
        </w:rPr>
        <w:t>ko</w:t>
      </w:r>
      <w:r w:rsidRPr="00192E56">
        <w:rPr>
          <w:rFonts w:ascii="Times New Roman" w:hAnsi="Times New Roman" w:cs="Times New Roman"/>
          <w:i/>
          <w:spacing w:val="-4"/>
        </w:rPr>
        <w:t xml:space="preserve"> </w:t>
      </w:r>
      <w:r w:rsidRPr="00192E56">
        <w:rPr>
          <w:rFonts w:ascii="Times New Roman" w:hAnsi="Times New Roman" w:cs="Times New Roman"/>
          <w:i/>
        </w:rPr>
        <w:t>budžeta</w:t>
      </w:r>
      <w:r w:rsidRPr="00192E56">
        <w:rPr>
          <w:rFonts w:ascii="Times New Roman" w:hAnsi="Times New Roman" w:cs="Times New Roman"/>
          <w:i/>
          <w:spacing w:val="-7"/>
        </w:rPr>
        <w:t xml:space="preserve"> </w:t>
      </w:r>
      <w:r w:rsidRPr="00192E56">
        <w:rPr>
          <w:rFonts w:ascii="Times New Roman" w:hAnsi="Times New Roman" w:cs="Times New Roman"/>
          <w:i/>
        </w:rPr>
        <w:t>iestāde</w:t>
      </w:r>
      <w:r w:rsidRPr="00192E56">
        <w:rPr>
          <w:rFonts w:ascii="Times New Roman" w:hAnsi="Times New Roman" w:cs="Times New Roman"/>
          <w:i/>
          <w:spacing w:val="-4"/>
        </w:rPr>
        <w:t xml:space="preserve"> </w:t>
      </w:r>
      <w:r w:rsidRPr="00192E56">
        <w:rPr>
          <w:rFonts w:ascii="Times New Roman" w:hAnsi="Times New Roman" w:cs="Times New Roman"/>
          <w:i/>
        </w:rPr>
        <w:t>iegādājās ar</w:t>
      </w:r>
      <w:r w:rsidRPr="00192E56">
        <w:rPr>
          <w:rFonts w:ascii="Times New Roman" w:hAnsi="Times New Roman" w:cs="Times New Roman"/>
          <w:i/>
          <w:spacing w:val="-12"/>
        </w:rPr>
        <w:t xml:space="preserve"> </w:t>
      </w:r>
      <w:r w:rsidRPr="00192E56">
        <w:rPr>
          <w:rFonts w:ascii="Times New Roman" w:hAnsi="Times New Roman" w:cs="Times New Roman"/>
          <w:i/>
        </w:rPr>
        <w:t>sākotnējo</w:t>
      </w:r>
      <w:r w:rsidRPr="00192E56">
        <w:rPr>
          <w:rFonts w:ascii="Times New Roman" w:hAnsi="Times New Roman" w:cs="Times New Roman"/>
          <w:i/>
          <w:spacing w:val="-12"/>
        </w:rPr>
        <w:t xml:space="preserve"> </w:t>
      </w:r>
      <w:r w:rsidRPr="00192E56">
        <w:rPr>
          <w:rFonts w:ascii="Times New Roman" w:hAnsi="Times New Roman" w:cs="Times New Roman"/>
          <w:i/>
        </w:rPr>
        <w:t>mērķi</w:t>
      </w:r>
      <w:r w:rsidRPr="00192E56">
        <w:rPr>
          <w:rFonts w:ascii="Times New Roman" w:hAnsi="Times New Roman" w:cs="Times New Roman"/>
          <w:i/>
          <w:spacing w:val="-12"/>
        </w:rPr>
        <w:t xml:space="preserve"> </w:t>
      </w:r>
      <w:r w:rsidRPr="00192E56">
        <w:rPr>
          <w:rFonts w:ascii="Times New Roman" w:hAnsi="Times New Roman" w:cs="Times New Roman"/>
          <w:i/>
        </w:rPr>
        <w:t>turēt</w:t>
      </w:r>
      <w:r w:rsidRPr="00192E56">
        <w:rPr>
          <w:rFonts w:ascii="Times New Roman" w:hAnsi="Times New Roman" w:cs="Times New Roman"/>
          <w:i/>
          <w:spacing w:val="-11"/>
        </w:rPr>
        <w:t xml:space="preserve"> </w:t>
      </w:r>
      <w:r w:rsidRPr="00192E56">
        <w:rPr>
          <w:rFonts w:ascii="Times New Roman" w:hAnsi="Times New Roman" w:cs="Times New Roman"/>
          <w:i/>
        </w:rPr>
        <w:t>tos</w:t>
      </w:r>
      <w:r w:rsidRPr="00192E56">
        <w:rPr>
          <w:rFonts w:ascii="Times New Roman" w:hAnsi="Times New Roman" w:cs="Times New Roman"/>
          <w:i/>
          <w:spacing w:val="-15"/>
        </w:rPr>
        <w:t xml:space="preserve"> </w:t>
      </w:r>
      <w:r w:rsidRPr="00192E56">
        <w:rPr>
          <w:rFonts w:ascii="Times New Roman" w:hAnsi="Times New Roman" w:cs="Times New Roman"/>
          <w:i/>
        </w:rPr>
        <w:t>tirdzniecībai.</w:t>
      </w:r>
      <w:r w:rsidRPr="00192E56">
        <w:rPr>
          <w:rFonts w:ascii="Times New Roman" w:hAnsi="Times New Roman" w:cs="Times New Roman"/>
          <w:i/>
          <w:spacing w:val="-14"/>
        </w:rPr>
        <w:t xml:space="preserve"> </w:t>
      </w:r>
      <w:r w:rsidRPr="00192E56">
        <w:rPr>
          <w:rFonts w:ascii="Times New Roman" w:hAnsi="Times New Roman" w:cs="Times New Roman"/>
        </w:rPr>
        <w:t>Turpmākā</w:t>
      </w:r>
      <w:r w:rsidRPr="00192E56">
        <w:rPr>
          <w:rFonts w:ascii="Times New Roman" w:hAnsi="Times New Roman" w:cs="Times New Roman"/>
          <w:spacing w:val="-12"/>
        </w:rPr>
        <w:t xml:space="preserve"> </w:t>
      </w:r>
      <w:r w:rsidRPr="00192E56">
        <w:rPr>
          <w:rFonts w:ascii="Times New Roman" w:hAnsi="Times New Roman" w:cs="Times New Roman"/>
        </w:rPr>
        <w:t>finanšu</w:t>
      </w:r>
      <w:r w:rsidRPr="00192E56">
        <w:rPr>
          <w:rFonts w:ascii="Times New Roman" w:hAnsi="Times New Roman" w:cs="Times New Roman"/>
          <w:spacing w:val="-14"/>
        </w:rPr>
        <w:t xml:space="preserve"> </w:t>
      </w:r>
      <w:r w:rsidRPr="00192E56">
        <w:rPr>
          <w:rFonts w:ascii="Times New Roman" w:hAnsi="Times New Roman" w:cs="Times New Roman"/>
        </w:rPr>
        <w:t>instrumenta</w:t>
      </w:r>
      <w:r w:rsidRPr="00192E56">
        <w:rPr>
          <w:rFonts w:ascii="Times New Roman" w:hAnsi="Times New Roman" w:cs="Times New Roman"/>
          <w:spacing w:val="-11"/>
        </w:rPr>
        <w:t xml:space="preserve"> </w:t>
      </w:r>
      <w:r w:rsidRPr="00192E56">
        <w:rPr>
          <w:rFonts w:ascii="Times New Roman" w:hAnsi="Times New Roman" w:cs="Times New Roman"/>
        </w:rPr>
        <w:t>pārklasifikācija</w:t>
      </w:r>
      <w:r w:rsidRPr="00192E56">
        <w:rPr>
          <w:rFonts w:ascii="Times New Roman" w:hAnsi="Times New Roman" w:cs="Times New Roman"/>
          <w:spacing w:val="-13"/>
        </w:rPr>
        <w:t xml:space="preserve"> </w:t>
      </w:r>
      <w:r w:rsidRPr="00192E56">
        <w:rPr>
          <w:rFonts w:ascii="Times New Roman" w:hAnsi="Times New Roman" w:cs="Times New Roman"/>
        </w:rPr>
        <w:t>no</w:t>
      </w:r>
      <w:r w:rsidRPr="00192E56">
        <w:rPr>
          <w:rFonts w:ascii="Times New Roman" w:hAnsi="Times New Roman" w:cs="Times New Roman"/>
          <w:spacing w:val="-12"/>
        </w:rPr>
        <w:t xml:space="preserve"> </w:t>
      </w:r>
      <w:r w:rsidRPr="00192E56">
        <w:rPr>
          <w:rFonts w:ascii="Times New Roman" w:hAnsi="Times New Roman" w:cs="Times New Roman"/>
        </w:rPr>
        <w:t>citas finanšu instrumentu kategorijas uz šo nav</w:t>
      </w:r>
      <w:r w:rsidRPr="00192E56">
        <w:rPr>
          <w:rFonts w:ascii="Times New Roman" w:hAnsi="Times New Roman" w:cs="Times New Roman"/>
          <w:spacing w:val="-9"/>
        </w:rPr>
        <w:t xml:space="preserve"> </w:t>
      </w:r>
      <w:r w:rsidRPr="00192E56">
        <w:rPr>
          <w:rFonts w:ascii="Times New Roman" w:hAnsi="Times New Roman" w:cs="Times New Roman"/>
        </w:rPr>
        <w:t>atļauta;</w:t>
      </w:r>
    </w:p>
    <w:p w14:paraId="1118C3AE" w14:textId="77777777" w:rsidR="00475C16" w:rsidRPr="00192E56" w:rsidRDefault="00475C16" w:rsidP="00CD363C">
      <w:pPr>
        <w:pStyle w:val="Sarakstarindkopa"/>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rPr>
      </w:pPr>
      <w:r w:rsidRPr="00192E56">
        <w:rPr>
          <w:rFonts w:ascii="Times New Roman" w:hAnsi="Times New Roman" w:cs="Times New Roman"/>
          <w:b/>
        </w:rPr>
        <w:t xml:space="preserve">līdz termiņa beigām turētie ieguldījumi </w:t>
      </w:r>
      <w:r w:rsidRPr="00192E56">
        <w:rPr>
          <w:rFonts w:ascii="Times New Roman" w:hAnsi="Times New Roman" w:cs="Times New Roman"/>
        </w:rPr>
        <w:t xml:space="preserve">– finanšu aktīvi ar fiksētiem vai nosakāmiem maksājumiem un fiksētu termiņu, kurus budžeta iestāde plāno turēt līdz termiņa beigām, un aizdevumi un prasības, kuri tiek kotēti aktīvā tirgū. </w:t>
      </w:r>
      <w:r w:rsidRPr="00192E56">
        <w:rPr>
          <w:rFonts w:ascii="Times New Roman" w:hAnsi="Times New Roman" w:cs="Times New Roman"/>
          <w:i/>
        </w:rPr>
        <w:t xml:space="preserve">Piemēram, ieguldījumi obligācijās un citos parāda instrumentos, kurus budžeta iestāde neplāno pārdot pirms to termiņa beigām, ietilpst šajā kategorijā. </w:t>
      </w:r>
      <w:r w:rsidRPr="00192E56">
        <w:rPr>
          <w:rFonts w:ascii="Times New Roman" w:hAnsi="Times New Roman" w:cs="Times New Roman"/>
        </w:rPr>
        <w:t>Tā kā ieguldījumiem akcijās un citos pašu kapitāla instrumentos parasti nav termiņa, šos finanšu instrumentus nevar klasificēt kā līdz termiņa beigām turētos</w:t>
      </w:r>
      <w:r w:rsidRPr="00192E56">
        <w:rPr>
          <w:rFonts w:ascii="Times New Roman" w:hAnsi="Times New Roman" w:cs="Times New Roman"/>
          <w:spacing w:val="-23"/>
        </w:rPr>
        <w:t xml:space="preserve"> </w:t>
      </w:r>
      <w:r w:rsidRPr="00192E56">
        <w:rPr>
          <w:rFonts w:ascii="Times New Roman" w:hAnsi="Times New Roman" w:cs="Times New Roman"/>
        </w:rPr>
        <w:t>ieguldījumus.</w:t>
      </w:r>
    </w:p>
    <w:p w14:paraId="7E17B49C" w14:textId="77777777" w:rsidR="00475C16" w:rsidRPr="00192E56" w:rsidRDefault="00475C16" w:rsidP="00CD363C">
      <w:pPr>
        <w:pStyle w:val="Sarakstarindkopa"/>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rPr>
      </w:pPr>
      <w:r w:rsidRPr="00192E56">
        <w:rPr>
          <w:rFonts w:ascii="Times New Roman" w:hAnsi="Times New Roman" w:cs="Times New Roman"/>
        </w:rPr>
        <w:t>Aizdevumus</w:t>
      </w:r>
      <w:r w:rsidRPr="00192E56">
        <w:rPr>
          <w:rFonts w:ascii="Times New Roman" w:hAnsi="Times New Roman" w:cs="Times New Roman"/>
          <w:spacing w:val="-6"/>
        </w:rPr>
        <w:t xml:space="preserve"> </w:t>
      </w:r>
      <w:r w:rsidRPr="00192E56">
        <w:rPr>
          <w:rFonts w:ascii="Times New Roman" w:hAnsi="Times New Roman" w:cs="Times New Roman"/>
        </w:rPr>
        <w:t>un</w:t>
      </w:r>
      <w:r w:rsidRPr="00192E56">
        <w:rPr>
          <w:rFonts w:ascii="Times New Roman" w:hAnsi="Times New Roman" w:cs="Times New Roman"/>
          <w:spacing w:val="-7"/>
        </w:rPr>
        <w:t xml:space="preserve"> </w:t>
      </w:r>
      <w:r w:rsidRPr="00192E56">
        <w:rPr>
          <w:rFonts w:ascii="Times New Roman" w:hAnsi="Times New Roman" w:cs="Times New Roman"/>
        </w:rPr>
        <w:t>prasības,</w:t>
      </w:r>
      <w:r w:rsidRPr="00192E56">
        <w:rPr>
          <w:rFonts w:ascii="Times New Roman" w:hAnsi="Times New Roman" w:cs="Times New Roman"/>
          <w:spacing w:val="-7"/>
        </w:rPr>
        <w:t xml:space="preserve"> </w:t>
      </w:r>
      <w:r w:rsidRPr="00192E56">
        <w:rPr>
          <w:rFonts w:ascii="Times New Roman" w:hAnsi="Times New Roman" w:cs="Times New Roman"/>
          <w:spacing w:val="-3"/>
        </w:rPr>
        <w:t>kā</w:t>
      </w:r>
      <w:r w:rsidRPr="00192E56">
        <w:rPr>
          <w:rFonts w:ascii="Times New Roman" w:hAnsi="Times New Roman" w:cs="Times New Roman"/>
          <w:spacing w:val="-7"/>
        </w:rPr>
        <w:t xml:space="preserve"> </w:t>
      </w:r>
      <w:r w:rsidRPr="00192E56">
        <w:rPr>
          <w:rFonts w:ascii="Times New Roman" w:hAnsi="Times New Roman" w:cs="Times New Roman"/>
        </w:rPr>
        <w:t>arī</w:t>
      </w:r>
      <w:r w:rsidRPr="00192E56">
        <w:rPr>
          <w:rFonts w:ascii="Times New Roman" w:hAnsi="Times New Roman" w:cs="Times New Roman"/>
          <w:spacing w:val="-7"/>
        </w:rPr>
        <w:t xml:space="preserve"> </w:t>
      </w:r>
      <w:r w:rsidRPr="00192E56">
        <w:rPr>
          <w:rFonts w:ascii="Times New Roman" w:hAnsi="Times New Roman" w:cs="Times New Roman"/>
        </w:rPr>
        <w:t>finanšu</w:t>
      </w:r>
      <w:r w:rsidRPr="00192E56">
        <w:rPr>
          <w:rFonts w:ascii="Times New Roman" w:hAnsi="Times New Roman" w:cs="Times New Roman"/>
          <w:spacing w:val="-10"/>
        </w:rPr>
        <w:t xml:space="preserve"> </w:t>
      </w:r>
      <w:r w:rsidRPr="00192E56">
        <w:rPr>
          <w:rFonts w:ascii="Times New Roman" w:hAnsi="Times New Roman" w:cs="Times New Roman"/>
        </w:rPr>
        <w:t>aktīvus,</w:t>
      </w:r>
      <w:r w:rsidRPr="00192E56">
        <w:rPr>
          <w:rFonts w:ascii="Times New Roman" w:hAnsi="Times New Roman" w:cs="Times New Roman"/>
          <w:spacing w:val="-6"/>
        </w:rPr>
        <w:t xml:space="preserve"> </w:t>
      </w:r>
      <w:r w:rsidRPr="00192E56">
        <w:rPr>
          <w:rFonts w:ascii="Times New Roman" w:hAnsi="Times New Roman" w:cs="Times New Roman"/>
        </w:rPr>
        <w:t>kas</w:t>
      </w:r>
      <w:r w:rsidRPr="00192E56">
        <w:rPr>
          <w:rFonts w:ascii="Times New Roman" w:hAnsi="Times New Roman" w:cs="Times New Roman"/>
          <w:spacing w:val="-9"/>
        </w:rPr>
        <w:t xml:space="preserve"> </w:t>
      </w:r>
      <w:r w:rsidRPr="00192E56">
        <w:rPr>
          <w:rFonts w:ascii="Times New Roman" w:hAnsi="Times New Roman" w:cs="Times New Roman"/>
        </w:rPr>
        <w:t>tiek</w:t>
      </w:r>
      <w:r w:rsidRPr="00192E56">
        <w:rPr>
          <w:rFonts w:ascii="Times New Roman" w:hAnsi="Times New Roman" w:cs="Times New Roman"/>
          <w:spacing w:val="-10"/>
        </w:rPr>
        <w:t xml:space="preserve"> </w:t>
      </w:r>
      <w:r w:rsidRPr="00192E56">
        <w:rPr>
          <w:rFonts w:ascii="Times New Roman" w:hAnsi="Times New Roman" w:cs="Times New Roman"/>
        </w:rPr>
        <w:t>turēti</w:t>
      </w:r>
      <w:r w:rsidRPr="00192E56">
        <w:rPr>
          <w:rFonts w:ascii="Times New Roman" w:hAnsi="Times New Roman" w:cs="Times New Roman"/>
          <w:spacing w:val="-8"/>
        </w:rPr>
        <w:t xml:space="preserve"> </w:t>
      </w:r>
      <w:r w:rsidRPr="00192E56">
        <w:rPr>
          <w:rFonts w:ascii="Times New Roman" w:hAnsi="Times New Roman" w:cs="Times New Roman"/>
        </w:rPr>
        <w:t>tirdzniecībai,</w:t>
      </w:r>
      <w:r w:rsidRPr="00192E56">
        <w:rPr>
          <w:rFonts w:ascii="Times New Roman" w:hAnsi="Times New Roman" w:cs="Times New Roman"/>
          <w:spacing w:val="-10"/>
        </w:rPr>
        <w:t xml:space="preserve"> </w:t>
      </w:r>
      <w:r w:rsidRPr="00192E56">
        <w:rPr>
          <w:rFonts w:ascii="Times New Roman" w:hAnsi="Times New Roman" w:cs="Times New Roman"/>
        </w:rPr>
        <w:t>ieskaitot</w:t>
      </w:r>
      <w:r w:rsidRPr="00192E56">
        <w:rPr>
          <w:rFonts w:ascii="Times New Roman" w:hAnsi="Times New Roman" w:cs="Times New Roman"/>
          <w:spacing w:val="-6"/>
        </w:rPr>
        <w:t xml:space="preserve"> </w:t>
      </w:r>
      <w:r w:rsidRPr="00192E56">
        <w:rPr>
          <w:rFonts w:ascii="Times New Roman" w:hAnsi="Times New Roman" w:cs="Times New Roman"/>
        </w:rPr>
        <w:t>atvasinātos finanšu instrumentus, nevar klasificēt kā līdz termiņa beigām turētos</w:t>
      </w:r>
      <w:r w:rsidRPr="00192E56">
        <w:rPr>
          <w:rFonts w:ascii="Times New Roman" w:hAnsi="Times New Roman" w:cs="Times New Roman"/>
          <w:spacing w:val="-12"/>
        </w:rPr>
        <w:t xml:space="preserve"> </w:t>
      </w:r>
      <w:r w:rsidRPr="00192E56">
        <w:rPr>
          <w:rFonts w:ascii="Times New Roman" w:hAnsi="Times New Roman" w:cs="Times New Roman"/>
        </w:rPr>
        <w:t>ieguldījumus;</w:t>
      </w:r>
    </w:p>
    <w:p w14:paraId="6E78D308" w14:textId="77777777" w:rsidR="00475C16" w:rsidRPr="00192E56" w:rsidRDefault="00475C16" w:rsidP="00CD363C">
      <w:pPr>
        <w:pStyle w:val="Sarakstarindkopa"/>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i/>
        </w:rPr>
      </w:pPr>
      <w:r w:rsidRPr="00192E56">
        <w:rPr>
          <w:rFonts w:ascii="Times New Roman" w:hAnsi="Times New Roman" w:cs="Times New Roman"/>
          <w:b/>
        </w:rPr>
        <w:t xml:space="preserve">aizdevumi un prasības </w:t>
      </w:r>
      <w:r w:rsidRPr="00192E56">
        <w:rPr>
          <w:rFonts w:ascii="Times New Roman" w:hAnsi="Times New Roman" w:cs="Times New Roman"/>
        </w:rPr>
        <w:t>– tādi neatvasināti finanšu aktīvi ar fiksētiem vai nosakāmiem maksājumiem, kuri netiek kotēti aktīvā tirgū</w:t>
      </w:r>
      <w:r w:rsidRPr="00192E56">
        <w:rPr>
          <w:rFonts w:ascii="Times New Roman" w:hAnsi="Times New Roman" w:cs="Times New Roman"/>
          <w:i/>
        </w:rPr>
        <w:t>, piemēram, aizdevums citai budžeta</w:t>
      </w:r>
      <w:r w:rsidRPr="00192E56">
        <w:rPr>
          <w:rFonts w:ascii="Times New Roman" w:hAnsi="Times New Roman" w:cs="Times New Roman"/>
          <w:i/>
          <w:spacing w:val="-19"/>
        </w:rPr>
        <w:t xml:space="preserve"> </w:t>
      </w:r>
      <w:r w:rsidRPr="00192E56">
        <w:rPr>
          <w:rFonts w:ascii="Times New Roman" w:hAnsi="Times New Roman" w:cs="Times New Roman"/>
          <w:i/>
        </w:rPr>
        <w:t>iestādei;</w:t>
      </w:r>
    </w:p>
    <w:p w14:paraId="2C44DE9B" w14:textId="77777777" w:rsidR="00475C16" w:rsidRPr="00192E56" w:rsidRDefault="00475C16" w:rsidP="00CD363C">
      <w:pPr>
        <w:pStyle w:val="Sarakstarindkopa"/>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i/>
        </w:rPr>
      </w:pPr>
      <w:r w:rsidRPr="00192E56">
        <w:rPr>
          <w:rFonts w:ascii="Times New Roman" w:hAnsi="Times New Roman" w:cs="Times New Roman"/>
          <w:b/>
        </w:rPr>
        <w:t xml:space="preserve">pārdošanai pieejami finanšu aktīvi </w:t>
      </w:r>
      <w:r w:rsidRPr="00192E56">
        <w:rPr>
          <w:rFonts w:ascii="Times New Roman" w:hAnsi="Times New Roman" w:cs="Times New Roman"/>
        </w:rPr>
        <w:t>– tādi finanšu aktīvi, kas neatbilst citām finanšu instrumentu kategorijām, vai budžeta iestāde izvēlas klasificēt finanšu aktīvu kā pārdošanai pieejamu finanšu aktīvu. Finanšu aktīvus, kas tiek turēti tirdzniecībai, ieskaitot atvasinātos finanšu instrumentus, nevar klasificēt kā pārdošanai pieejamus finanšu aktīvus, tos klasificē kā patiesajā vērtībā novērtētus finanšu aktīvus</w:t>
      </w:r>
      <w:r w:rsidRPr="00192E56">
        <w:rPr>
          <w:rFonts w:ascii="Times New Roman" w:hAnsi="Times New Roman" w:cs="Times New Roman"/>
          <w:i/>
        </w:rPr>
        <w:t>. Pārdošanai pieejami finanšu aktīvi ir, piemēram, budžeta iestādes iegādātās citu uzņēmumu akcijas, obligācijas vai citi vērtspapīri, kas nav klasificējami kā līdzdalība radniecīgā vai asociētā</w:t>
      </w:r>
      <w:r w:rsidRPr="00192E56">
        <w:rPr>
          <w:rFonts w:ascii="Times New Roman" w:hAnsi="Times New Roman" w:cs="Times New Roman"/>
          <w:i/>
          <w:spacing w:val="-11"/>
        </w:rPr>
        <w:t xml:space="preserve"> </w:t>
      </w:r>
      <w:r w:rsidRPr="00192E56">
        <w:rPr>
          <w:rFonts w:ascii="Times New Roman" w:hAnsi="Times New Roman" w:cs="Times New Roman"/>
          <w:i/>
        </w:rPr>
        <w:t>kapitālsabiedrībā.</w:t>
      </w:r>
    </w:p>
    <w:p w14:paraId="691CAE28" w14:textId="77777777" w:rsidR="00475C16" w:rsidRPr="00192E56" w:rsidRDefault="00475C16" w:rsidP="00CD363C">
      <w:pPr>
        <w:pStyle w:val="Virsraksts4"/>
        <w:spacing w:before="0"/>
        <w:ind w:left="338" w:right="407"/>
        <w:jc w:val="both"/>
      </w:pPr>
      <w:r w:rsidRPr="00192E56">
        <w:rPr>
          <w:color w:val="002069"/>
        </w:rPr>
        <w:t>Finanšu saistību sākotnējā</w:t>
      </w:r>
      <w:r w:rsidRPr="00192E56">
        <w:rPr>
          <w:color w:val="002069"/>
          <w:spacing w:val="-16"/>
        </w:rPr>
        <w:t xml:space="preserve"> </w:t>
      </w:r>
      <w:r w:rsidRPr="00192E56">
        <w:rPr>
          <w:color w:val="002069"/>
        </w:rPr>
        <w:t>atzīšana</w:t>
      </w:r>
    </w:p>
    <w:p w14:paraId="0C522A2C" w14:textId="77777777" w:rsidR="00475C16" w:rsidRPr="00192E56" w:rsidRDefault="00475C16"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909.Budžeta iestāde, atzīstot grāmatvedības uzskaitē finanšu saistības (piemēram, aizņēmumu), darījuma dienā (piemēram, naudas līdzekļu pārskaitīšanas dienā) veic sekojošu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grāmatojumu:</w:t>
      </w:r>
    </w:p>
    <w:p w14:paraId="47289434" w14:textId="77777777" w:rsidR="00475C16" w:rsidRPr="00192E56" w:rsidRDefault="00475C16" w:rsidP="00CD363C">
      <w:pPr>
        <w:pStyle w:val="Pamatteksts"/>
        <w:ind w:right="407"/>
        <w:jc w:val="both"/>
        <w:rPr>
          <w:sz w:val="24"/>
          <w:szCs w:val="24"/>
        </w:rPr>
      </w:pPr>
    </w:p>
    <w:p w14:paraId="7ACA6DE5" w14:textId="77777777" w:rsidR="00475C16" w:rsidRPr="00192E56" w:rsidRDefault="00DA21FE" w:rsidP="00CD363C">
      <w:pPr>
        <w:pStyle w:val="Pamatteksts"/>
        <w:ind w:right="407"/>
        <w:jc w:val="both"/>
        <w:rPr>
          <w:b/>
          <w:sz w:val="24"/>
          <w:szCs w:val="24"/>
        </w:rPr>
      </w:pPr>
      <w:r w:rsidRPr="00192E56">
        <w:rPr>
          <w:b/>
          <w:sz w:val="24"/>
          <w:szCs w:val="24"/>
        </w:rPr>
        <w:t xml:space="preserve">    D    2620   Naudas līdzekļi</w:t>
      </w:r>
    </w:p>
    <w:p w14:paraId="42E6F6AF" w14:textId="77777777" w:rsidR="00DA21FE" w:rsidRPr="00192E56" w:rsidRDefault="00DA21FE" w:rsidP="00CD363C">
      <w:pPr>
        <w:pStyle w:val="Pamatteksts"/>
        <w:ind w:right="407"/>
        <w:jc w:val="both"/>
        <w:rPr>
          <w:b/>
          <w:sz w:val="24"/>
          <w:szCs w:val="24"/>
        </w:rPr>
      </w:pPr>
      <w:r w:rsidRPr="00192E56">
        <w:rPr>
          <w:b/>
          <w:sz w:val="24"/>
          <w:szCs w:val="24"/>
        </w:rPr>
        <w:t xml:space="preserve">    K    5119   Ilgtermiņa aizņēmumi</w:t>
      </w:r>
    </w:p>
    <w:p w14:paraId="3192613B" w14:textId="77777777" w:rsidR="00DA21FE" w:rsidRPr="00192E56" w:rsidRDefault="00DA21FE" w:rsidP="00CD363C">
      <w:pPr>
        <w:pStyle w:val="Pamatteksts"/>
        <w:ind w:right="407"/>
        <w:jc w:val="both"/>
        <w:rPr>
          <w:b/>
          <w:sz w:val="24"/>
          <w:szCs w:val="24"/>
        </w:rPr>
      </w:pPr>
      <w:r w:rsidRPr="00192E56">
        <w:rPr>
          <w:b/>
          <w:sz w:val="24"/>
          <w:szCs w:val="24"/>
        </w:rPr>
        <w:t xml:space="preserve">    K    5171*  Saņemtie ilgtermiņa noguldījumi</w:t>
      </w:r>
    </w:p>
    <w:p w14:paraId="57A8DD1D" w14:textId="77777777" w:rsidR="00DA21FE" w:rsidRPr="00192E56" w:rsidRDefault="00DA21FE" w:rsidP="00CD363C">
      <w:pPr>
        <w:pStyle w:val="Pamatteksts"/>
        <w:ind w:right="407"/>
        <w:jc w:val="both"/>
        <w:rPr>
          <w:b/>
          <w:sz w:val="24"/>
          <w:szCs w:val="24"/>
        </w:rPr>
      </w:pPr>
      <w:r w:rsidRPr="00192E56">
        <w:rPr>
          <w:b/>
          <w:sz w:val="24"/>
          <w:szCs w:val="24"/>
        </w:rPr>
        <w:t xml:space="preserve">    K    5199   Pārējās iepriekš neklasificētās ilgtermiņa saistības</w:t>
      </w:r>
    </w:p>
    <w:p w14:paraId="043782B9" w14:textId="77777777" w:rsidR="00DA21FE" w:rsidRPr="00192E56" w:rsidRDefault="00DA21FE" w:rsidP="00CD363C">
      <w:pPr>
        <w:pStyle w:val="Pamatteksts"/>
        <w:ind w:right="407"/>
        <w:jc w:val="both"/>
        <w:rPr>
          <w:b/>
          <w:sz w:val="24"/>
          <w:szCs w:val="24"/>
        </w:rPr>
      </w:pPr>
      <w:r w:rsidRPr="00192E56">
        <w:rPr>
          <w:b/>
          <w:sz w:val="24"/>
          <w:szCs w:val="24"/>
        </w:rPr>
        <w:t xml:space="preserve">    K    5219   Īstermiņa aizņēmumi un ilgtermiņa aizņēmumu īstermiņa daļa</w:t>
      </w:r>
    </w:p>
    <w:p w14:paraId="609E96DF" w14:textId="77777777" w:rsidR="00DA21FE" w:rsidRPr="00192E56" w:rsidRDefault="00DA21FE" w:rsidP="00CD363C">
      <w:pPr>
        <w:pStyle w:val="Pamatteksts"/>
        <w:ind w:right="407"/>
        <w:jc w:val="both"/>
        <w:rPr>
          <w:b/>
          <w:sz w:val="24"/>
          <w:szCs w:val="24"/>
        </w:rPr>
      </w:pPr>
      <w:r w:rsidRPr="00192E56">
        <w:rPr>
          <w:b/>
          <w:sz w:val="24"/>
          <w:szCs w:val="24"/>
        </w:rPr>
        <w:t xml:space="preserve">    K    5521*  Saņemtie īstermiņa noguldījumi</w:t>
      </w:r>
    </w:p>
    <w:p w14:paraId="3F0ED489" w14:textId="77777777" w:rsidR="008B64E2" w:rsidRPr="00192E56" w:rsidRDefault="00DA21FE" w:rsidP="00CD363C">
      <w:pPr>
        <w:pStyle w:val="Pamatteksts"/>
        <w:ind w:right="407"/>
        <w:jc w:val="both"/>
        <w:rPr>
          <w:b/>
          <w:sz w:val="24"/>
          <w:szCs w:val="24"/>
        </w:rPr>
      </w:pPr>
      <w:r w:rsidRPr="00192E56">
        <w:rPr>
          <w:b/>
          <w:sz w:val="24"/>
          <w:szCs w:val="24"/>
        </w:rPr>
        <w:t xml:space="preserve">    K    5819   Pārējās īstermiņa sai</w:t>
      </w:r>
      <w:r w:rsidR="00424C78">
        <w:rPr>
          <w:b/>
          <w:sz w:val="24"/>
          <w:szCs w:val="24"/>
        </w:rPr>
        <w:t>s</w:t>
      </w:r>
      <w:r w:rsidRPr="00192E56">
        <w:rPr>
          <w:b/>
          <w:sz w:val="24"/>
          <w:szCs w:val="24"/>
        </w:rPr>
        <w:t>tības</w:t>
      </w:r>
    </w:p>
    <w:p w14:paraId="36FC5859" w14:textId="77777777" w:rsidR="00DA21FE" w:rsidRPr="00192E56" w:rsidRDefault="00DA21FE" w:rsidP="00CD363C">
      <w:pPr>
        <w:spacing w:after="0" w:line="240" w:lineRule="auto"/>
        <w:ind w:left="1474" w:right="407"/>
        <w:jc w:val="both"/>
        <w:rPr>
          <w:rFonts w:ascii="Times New Roman" w:hAnsi="Times New Roman" w:cs="Times New Roman"/>
          <w:i/>
          <w:sz w:val="24"/>
          <w:szCs w:val="24"/>
        </w:rPr>
      </w:pPr>
      <w:r w:rsidRPr="00192E56">
        <w:rPr>
          <w:rFonts w:ascii="Times New Roman" w:hAnsi="Times New Roman" w:cs="Times New Roman"/>
          <w:i/>
          <w:sz w:val="24"/>
          <w:szCs w:val="24"/>
        </w:rPr>
        <w:t>*attiecas tikai uz Valsts kasi</w:t>
      </w:r>
    </w:p>
    <w:p w14:paraId="09D61A3D" w14:textId="77777777" w:rsidR="00192E56" w:rsidRPr="00192E56" w:rsidRDefault="00192E56" w:rsidP="00CD363C">
      <w:pPr>
        <w:pStyle w:val="Sarakstarindkopa"/>
        <w:widowControl w:val="0"/>
        <w:numPr>
          <w:ilvl w:val="0"/>
          <w:numId w:val="40"/>
        </w:numPr>
        <w:tabs>
          <w:tab w:val="left" w:pos="1017"/>
          <w:tab w:val="left" w:pos="1018"/>
        </w:tabs>
        <w:autoSpaceDE w:val="0"/>
        <w:autoSpaceDN w:val="0"/>
        <w:spacing w:after="0" w:line="240" w:lineRule="auto"/>
        <w:ind w:right="407"/>
        <w:jc w:val="both"/>
        <w:rPr>
          <w:rFonts w:ascii="Times New Roman" w:hAnsi="Times New Roman" w:cs="Times New Roman"/>
          <w:sz w:val="24"/>
          <w:szCs w:val="24"/>
        </w:rPr>
      </w:pPr>
      <w:bookmarkStart w:id="72" w:name="_Hlk12970294"/>
      <w:r w:rsidRPr="00192E56">
        <w:rPr>
          <w:rFonts w:ascii="Times New Roman" w:hAnsi="Times New Roman" w:cs="Times New Roman"/>
          <w:sz w:val="24"/>
          <w:szCs w:val="24"/>
        </w:rPr>
        <w:t>Finanšu saistības pēc sākotnējās atzīšanas klasificē</w:t>
      </w:r>
      <w:r w:rsidRPr="00192E56">
        <w:rPr>
          <w:rFonts w:ascii="Times New Roman" w:hAnsi="Times New Roman" w:cs="Times New Roman"/>
          <w:spacing w:val="-2"/>
          <w:sz w:val="24"/>
          <w:szCs w:val="24"/>
        </w:rPr>
        <w:t xml:space="preserve"> </w:t>
      </w:r>
      <w:r w:rsidRPr="00192E56">
        <w:rPr>
          <w:rFonts w:ascii="Times New Roman" w:hAnsi="Times New Roman" w:cs="Times New Roman"/>
          <w:sz w:val="24"/>
          <w:szCs w:val="24"/>
        </w:rPr>
        <w:t>šādi:</w:t>
      </w:r>
    </w:p>
    <w:p w14:paraId="75B949B5" w14:textId="77777777" w:rsidR="00192E56" w:rsidRPr="00192E56" w:rsidRDefault="00192E56"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192E56">
        <w:rPr>
          <w:rFonts w:ascii="Times New Roman" w:hAnsi="Times New Roman" w:cs="Times New Roman"/>
          <w:b/>
          <w:sz w:val="24"/>
          <w:szCs w:val="24"/>
        </w:rPr>
        <w:t xml:space="preserve">patiesajā vērtībā novērtētas finanšu saistības </w:t>
      </w:r>
      <w:r w:rsidRPr="00192E56">
        <w:rPr>
          <w:rFonts w:ascii="Times New Roman" w:hAnsi="Times New Roman" w:cs="Times New Roman"/>
          <w:sz w:val="24"/>
          <w:szCs w:val="24"/>
        </w:rPr>
        <w:t>– finanšu saistības, kuras budžeta iestāde tur tirdzniecībai un kuras atbilst patiesajā vērtībā novērtētu finanšu saistību definīcijai. Šajā kategorijā uzskaita finanšu saistības par atvasinātiem finanšu</w:t>
      </w:r>
      <w:r w:rsidRPr="00192E56">
        <w:rPr>
          <w:rFonts w:ascii="Times New Roman" w:hAnsi="Times New Roman" w:cs="Times New Roman"/>
          <w:spacing w:val="-16"/>
          <w:sz w:val="24"/>
          <w:szCs w:val="24"/>
        </w:rPr>
        <w:t xml:space="preserve"> </w:t>
      </w:r>
      <w:r w:rsidRPr="00192E56">
        <w:rPr>
          <w:rFonts w:ascii="Times New Roman" w:hAnsi="Times New Roman" w:cs="Times New Roman"/>
          <w:sz w:val="24"/>
          <w:szCs w:val="24"/>
        </w:rPr>
        <w:t>instrumentiem;</w:t>
      </w:r>
    </w:p>
    <w:p w14:paraId="604DA3C1" w14:textId="77777777" w:rsidR="00192E56" w:rsidRPr="00192E56" w:rsidRDefault="00192E56" w:rsidP="00CD363C">
      <w:pPr>
        <w:pStyle w:val="Sarakstarindkopa"/>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192E56">
        <w:rPr>
          <w:rFonts w:ascii="Times New Roman" w:hAnsi="Times New Roman" w:cs="Times New Roman"/>
          <w:b/>
          <w:sz w:val="24"/>
          <w:szCs w:val="24"/>
        </w:rPr>
        <w:t>pārējās finanšu saistības</w:t>
      </w:r>
      <w:r w:rsidRPr="00192E56">
        <w:rPr>
          <w:rFonts w:ascii="Times New Roman" w:hAnsi="Times New Roman" w:cs="Times New Roman"/>
          <w:sz w:val="24"/>
          <w:szCs w:val="24"/>
        </w:rPr>
        <w:t xml:space="preserve">, </w:t>
      </w:r>
      <w:r w:rsidRPr="00192E56">
        <w:rPr>
          <w:rFonts w:ascii="Times New Roman" w:hAnsi="Times New Roman" w:cs="Times New Roman"/>
          <w:i/>
          <w:sz w:val="24"/>
          <w:szCs w:val="24"/>
        </w:rPr>
        <w:t xml:space="preserve">piemēram, aizņēmums bankā, </w:t>
      </w:r>
      <w:r w:rsidRPr="00192E56">
        <w:rPr>
          <w:rFonts w:ascii="Times New Roman" w:hAnsi="Times New Roman" w:cs="Times New Roman"/>
          <w:sz w:val="24"/>
          <w:szCs w:val="24"/>
        </w:rPr>
        <w:t>izņemot finanšu garantiju līgumus. Finanšu garantiju līgumus budžeta iestāde uzskaita kā uzkrājumus vai iespējamās saistības (attiecībā uz izsniegtajām garantijām) vai iespējamos aktīvus (attiecībā uz saņemtajām garantijām</w:t>
      </w:r>
      <w:bookmarkEnd w:id="72"/>
      <w:r w:rsidRPr="00192E56">
        <w:rPr>
          <w:rFonts w:ascii="Times New Roman" w:hAnsi="Times New Roman" w:cs="Times New Roman"/>
          <w:sz w:val="24"/>
          <w:szCs w:val="24"/>
        </w:rPr>
        <w:t>).</w:t>
      </w:r>
    </w:p>
    <w:p w14:paraId="1D901ED3" w14:textId="77777777" w:rsidR="00192E56" w:rsidRPr="00192E56" w:rsidRDefault="00192E56" w:rsidP="00CD363C">
      <w:pPr>
        <w:spacing w:after="0" w:line="240" w:lineRule="auto"/>
        <w:ind w:right="407"/>
        <w:jc w:val="both"/>
        <w:rPr>
          <w:rFonts w:ascii="Times New Roman" w:hAnsi="Times New Roman" w:cs="Times New Roman"/>
          <w:iCs/>
          <w:sz w:val="24"/>
          <w:szCs w:val="24"/>
        </w:rPr>
      </w:pPr>
    </w:p>
    <w:tbl>
      <w:tblPr>
        <w:tblW w:w="0" w:type="auto"/>
        <w:tblInd w:w="1228" w:type="dxa"/>
        <w:tblLayout w:type="fixed"/>
        <w:tblCellMar>
          <w:left w:w="0" w:type="dxa"/>
          <w:right w:w="0" w:type="dxa"/>
        </w:tblCellMar>
        <w:tblLook w:val="01E0" w:firstRow="1" w:lastRow="1" w:firstColumn="1" w:lastColumn="1" w:noHBand="0" w:noVBand="0"/>
      </w:tblPr>
      <w:tblGrid>
        <w:gridCol w:w="626"/>
        <w:gridCol w:w="979"/>
        <w:gridCol w:w="5036"/>
      </w:tblGrid>
      <w:tr w:rsidR="008B64E2" w:rsidRPr="00192E56" w14:paraId="5E2440AF" w14:textId="77777777" w:rsidTr="00175452">
        <w:trPr>
          <w:trHeight w:val="289"/>
        </w:trPr>
        <w:tc>
          <w:tcPr>
            <w:tcW w:w="626" w:type="dxa"/>
          </w:tcPr>
          <w:p w14:paraId="3CFB33DC" w14:textId="77777777" w:rsidR="008B64E2" w:rsidRPr="00192E56" w:rsidRDefault="008B64E2" w:rsidP="00CD363C">
            <w:pPr>
              <w:spacing w:after="0" w:line="240" w:lineRule="auto"/>
              <w:ind w:right="407"/>
              <w:jc w:val="both"/>
              <w:rPr>
                <w:rFonts w:ascii="Times New Roman" w:hAnsi="Times New Roman" w:cs="Times New Roman"/>
                <w:i/>
                <w:sz w:val="24"/>
                <w:szCs w:val="24"/>
              </w:rPr>
            </w:pPr>
          </w:p>
        </w:tc>
        <w:tc>
          <w:tcPr>
            <w:tcW w:w="979" w:type="dxa"/>
          </w:tcPr>
          <w:p w14:paraId="0C014309" w14:textId="77777777" w:rsidR="008B64E2" w:rsidRPr="00192E56" w:rsidRDefault="008B64E2" w:rsidP="00CD363C">
            <w:pPr>
              <w:pStyle w:val="TableParagraph"/>
              <w:ind w:left="265" w:right="407"/>
              <w:jc w:val="both"/>
              <w:rPr>
                <w:i/>
                <w:sz w:val="24"/>
                <w:szCs w:val="24"/>
              </w:rPr>
            </w:pPr>
          </w:p>
        </w:tc>
        <w:tc>
          <w:tcPr>
            <w:tcW w:w="5036" w:type="dxa"/>
          </w:tcPr>
          <w:p w14:paraId="27756805" w14:textId="77777777" w:rsidR="008B64E2" w:rsidRPr="00192E56" w:rsidRDefault="008B64E2" w:rsidP="00CD363C">
            <w:pPr>
              <w:pStyle w:val="TableParagraph"/>
              <w:ind w:left="270" w:right="407"/>
              <w:jc w:val="both"/>
              <w:rPr>
                <w:i/>
                <w:sz w:val="24"/>
                <w:szCs w:val="24"/>
              </w:rPr>
            </w:pPr>
          </w:p>
        </w:tc>
      </w:tr>
    </w:tbl>
    <w:p w14:paraId="2FD2749C" w14:textId="77777777" w:rsidR="00192E56" w:rsidRPr="00192E56" w:rsidRDefault="00192E56" w:rsidP="00CD363C">
      <w:pPr>
        <w:pStyle w:val="Virsraksts4"/>
        <w:spacing w:before="0"/>
        <w:ind w:left="338" w:right="407"/>
        <w:jc w:val="both"/>
      </w:pPr>
      <w:r w:rsidRPr="00192E56">
        <w:rPr>
          <w:color w:val="002069"/>
        </w:rPr>
        <w:t>Finanšu instrumentu sākotnējā novērtēšana</w:t>
      </w:r>
    </w:p>
    <w:p w14:paraId="37D041E4" w14:textId="77777777" w:rsidR="00192E56" w:rsidRPr="00192E56" w:rsidRDefault="00192E56" w:rsidP="00CD363C">
      <w:pPr>
        <w:widowControl w:val="0"/>
        <w:tabs>
          <w:tab w:val="left" w:pos="1018"/>
          <w:tab w:val="left" w:pos="9356"/>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911.   Pie sākotnējās atzīšanas finanšu instrumentu novērtē patiesajā vērtībā un novērtējumam jābūt ticamam. Novērtējums ir ticams, ja finanšu instrumenta patiesā vērtība noteikta, izmantojot vienu no šīm</w:t>
      </w:r>
      <w:r w:rsidRPr="00192E56">
        <w:rPr>
          <w:rFonts w:ascii="Times New Roman" w:hAnsi="Times New Roman" w:cs="Times New Roman"/>
          <w:spacing w:val="-3"/>
          <w:sz w:val="24"/>
          <w:szCs w:val="24"/>
        </w:rPr>
        <w:t xml:space="preserve"> </w:t>
      </w:r>
      <w:r w:rsidRPr="00192E56">
        <w:rPr>
          <w:rFonts w:ascii="Times New Roman" w:hAnsi="Times New Roman" w:cs="Times New Roman"/>
          <w:sz w:val="24"/>
          <w:szCs w:val="24"/>
        </w:rPr>
        <w:t>metodēm:</w:t>
      </w:r>
    </w:p>
    <w:p w14:paraId="4B7C8AAA" w14:textId="77777777" w:rsidR="00192E56" w:rsidRPr="00192E56" w:rsidRDefault="00192E56" w:rsidP="00CD363C">
      <w:pPr>
        <w:pStyle w:val="Pamatteksts"/>
        <w:ind w:left="1778" w:right="407" w:hanging="342"/>
        <w:jc w:val="both"/>
        <w:rPr>
          <w:sz w:val="24"/>
          <w:szCs w:val="24"/>
        </w:rPr>
      </w:pPr>
      <w:r w:rsidRPr="00192E56">
        <w:rPr>
          <w:noProof/>
          <w:position w:val="-4"/>
          <w:sz w:val="24"/>
          <w:szCs w:val="24"/>
        </w:rPr>
        <w:drawing>
          <wp:inline distT="0" distB="0" distL="0" distR="0" wp14:anchorId="5AA7B805" wp14:editId="6F4B8B94">
            <wp:extent cx="101345" cy="133350"/>
            <wp:effectExtent l="0" t="0" r="0" b="0"/>
            <wp:docPr id="737"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421.png"/>
                    <pic:cNvPicPr/>
                  </pic:nvPicPr>
                  <pic:blipFill>
                    <a:blip r:embed="rId41" cstate="print"/>
                    <a:stretch>
                      <a:fillRect/>
                    </a:stretch>
                  </pic:blipFill>
                  <pic:spPr>
                    <a:xfrm>
                      <a:off x="0" y="0"/>
                      <a:ext cx="101345" cy="133350"/>
                    </a:xfrm>
                    <a:prstGeom prst="rect">
                      <a:avLst/>
                    </a:prstGeom>
                  </pic:spPr>
                </pic:pic>
              </a:graphicData>
            </a:graphic>
          </wp:inline>
        </w:drawing>
      </w:r>
      <w:r w:rsidRPr="00192E56">
        <w:rPr>
          <w:sz w:val="24"/>
          <w:szCs w:val="24"/>
        </w:rPr>
        <w:t xml:space="preserve">   </w:t>
      </w:r>
      <w:r w:rsidRPr="00192E56">
        <w:rPr>
          <w:spacing w:val="-19"/>
          <w:sz w:val="24"/>
          <w:szCs w:val="24"/>
        </w:rPr>
        <w:t xml:space="preserve"> </w:t>
      </w:r>
      <w:r w:rsidRPr="00192E56">
        <w:rPr>
          <w:sz w:val="24"/>
          <w:szCs w:val="24"/>
        </w:rPr>
        <w:t>konkrētā finanšu instrumenta darījuma cena vai identisku aktīvu vai saistību kotētās cenas aktīvos</w:t>
      </w:r>
      <w:r w:rsidRPr="00192E56">
        <w:rPr>
          <w:spacing w:val="-1"/>
          <w:sz w:val="24"/>
          <w:szCs w:val="24"/>
        </w:rPr>
        <w:t xml:space="preserve"> </w:t>
      </w:r>
      <w:r w:rsidRPr="00192E56">
        <w:rPr>
          <w:sz w:val="24"/>
          <w:szCs w:val="24"/>
        </w:rPr>
        <w:t>tirgos;</w:t>
      </w:r>
    </w:p>
    <w:p w14:paraId="03E07680" w14:textId="77777777" w:rsidR="00192E56" w:rsidRPr="00192E56" w:rsidRDefault="00192E56" w:rsidP="00CD363C">
      <w:pPr>
        <w:pStyle w:val="Pamatteksts"/>
        <w:ind w:left="1778" w:right="407" w:hanging="363"/>
        <w:jc w:val="both"/>
        <w:rPr>
          <w:sz w:val="24"/>
          <w:szCs w:val="24"/>
        </w:rPr>
      </w:pPr>
      <w:r w:rsidRPr="00192E56">
        <w:rPr>
          <w:noProof/>
          <w:position w:val="-4"/>
          <w:sz w:val="24"/>
          <w:szCs w:val="24"/>
        </w:rPr>
        <w:drawing>
          <wp:inline distT="0" distB="0" distL="0" distR="0" wp14:anchorId="40369EF5" wp14:editId="0A7CEFF4">
            <wp:extent cx="115061" cy="133350"/>
            <wp:effectExtent l="0" t="0" r="0" b="0"/>
            <wp:docPr id="739"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408.png"/>
                    <pic:cNvPicPr/>
                  </pic:nvPicPr>
                  <pic:blipFill>
                    <a:blip r:embed="rId34" cstate="print"/>
                    <a:stretch>
                      <a:fillRect/>
                    </a:stretch>
                  </pic:blipFill>
                  <pic:spPr>
                    <a:xfrm>
                      <a:off x="0" y="0"/>
                      <a:ext cx="115061" cy="133350"/>
                    </a:xfrm>
                    <a:prstGeom prst="rect">
                      <a:avLst/>
                    </a:prstGeom>
                  </pic:spPr>
                </pic:pic>
              </a:graphicData>
            </a:graphic>
          </wp:inline>
        </w:drawing>
      </w:r>
      <w:r w:rsidRPr="00192E56">
        <w:rPr>
          <w:sz w:val="24"/>
          <w:szCs w:val="24"/>
        </w:rPr>
        <w:t xml:space="preserve">   </w:t>
      </w:r>
      <w:r w:rsidRPr="00192E56">
        <w:rPr>
          <w:spacing w:val="-19"/>
          <w:sz w:val="24"/>
          <w:szCs w:val="24"/>
        </w:rPr>
        <w:t xml:space="preserve"> </w:t>
      </w:r>
      <w:r w:rsidRPr="00192E56">
        <w:rPr>
          <w:sz w:val="24"/>
          <w:szCs w:val="24"/>
        </w:rPr>
        <w:t>ja finanšu instrumentam nav tirgus cenas, bet šāda cena ir atsevišķām tā komponentēm vai līdzīgiem finanšu instrumentiem, šī instrumenta tirgus cenu var noteikt, ņemot vērā tā komponenšu vai līdzīgo finanšu instrumentu tirgus</w:t>
      </w:r>
      <w:r w:rsidRPr="00192E56">
        <w:rPr>
          <w:spacing w:val="-6"/>
          <w:sz w:val="24"/>
          <w:szCs w:val="24"/>
        </w:rPr>
        <w:t xml:space="preserve"> </w:t>
      </w:r>
      <w:r w:rsidRPr="00192E56">
        <w:rPr>
          <w:sz w:val="24"/>
          <w:szCs w:val="24"/>
        </w:rPr>
        <w:t>cenu;</w:t>
      </w:r>
    </w:p>
    <w:p w14:paraId="552EBEB3" w14:textId="77777777" w:rsidR="00192E56" w:rsidRPr="00192E56" w:rsidRDefault="00192E56" w:rsidP="00CD363C">
      <w:pPr>
        <w:pStyle w:val="Pamatteksts"/>
        <w:ind w:left="1778" w:right="407" w:hanging="358"/>
        <w:jc w:val="both"/>
        <w:rPr>
          <w:sz w:val="24"/>
          <w:szCs w:val="24"/>
        </w:rPr>
      </w:pPr>
      <w:r w:rsidRPr="00192E56">
        <w:rPr>
          <w:noProof/>
          <w:position w:val="-4"/>
          <w:sz w:val="24"/>
          <w:szCs w:val="24"/>
        </w:rPr>
        <w:drawing>
          <wp:inline distT="0" distB="0" distL="0" distR="0" wp14:anchorId="760E1A09" wp14:editId="1609C688">
            <wp:extent cx="112014" cy="133350"/>
            <wp:effectExtent l="0" t="0" r="0" b="0"/>
            <wp:docPr id="741"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409.png"/>
                    <pic:cNvPicPr/>
                  </pic:nvPicPr>
                  <pic:blipFill>
                    <a:blip r:embed="rId35" cstate="print"/>
                    <a:stretch>
                      <a:fillRect/>
                    </a:stretch>
                  </pic:blipFill>
                  <pic:spPr>
                    <a:xfrm>
                      <a:off x="0" y="0"/>
                      <a:ext cx="112014" cy="133350"/>
                    </a:xfrm>
                    <a:prstGeom prst="rect">
                      <a:avLst/>
                    </a:prstGeom>
                  </pic:spPr>
                </pic:pic>
              </a:graphicData>
            </a:graphic>
          </wp:inline>
        </w:drawing>
      </w:r>
      <w:r w:rsidRPr="00192E56">
        <w:rPr>
          <w:sz w:val="24"/>
          <w:szCs w:val="24"/>
        </w:rPr>
        <w:t xml:space="preserve">   </w:t>
      </w:r>
      <w:r w:rsidRPr="00192E56">
        <w:rPr>
          <w:spacing w:val="-19"/>
          <w:sz w:val="24"/>
          <w:szCs w:val="24"/>
        </w:rPr>
        <w:t xml:space="preserve"> </w:t>
      </w:r>
      <w:r w:rsidRPr="00192E56">
        <w:rPr>
          <w:sz w:val="24"/>
          <w:szCs w:val="24"/>
        </w:rPr>
        <w:t>ja nav iespējams noteikt finanšu instrumenta tirgus cenu, tā patieso vērtību nosaka, pamatojoties uz vērtību, kas aprēķināta, izmantojot vispāratzītas un piemērotas novērtēšanas metodes, ja aprēķinātā vērtība parāda šī instrumenta iespējamo tirgus cenu. Patiesās vērtības novērtēšanas metodi izstrādā komisija vai speciālists. Novērtēšanas metodes aktualitāti pārskata ne retāk kā reizi pārskata</w:t>
      </w:r>
      <w:r w:rsidRPr="00192E56">
        <w:rPr>
          <w:spacing w:val="-6"/>
          <w:sz w:val="24"/>
          <w:szCs w:val="24"/>
        </w:rPr>
        <w:t xml:space="preserve"> </w:t>
      </w:r>
      <w:r w:rsidRPr="00192E56">
        <w:rPr>
          <w:sz w:val="24"/>
          <w:szCs w:val="24"/>
        </w:rPr>
        <w:t>gadā.</w:t>
      </w:r>
    </w:p>
    <w:p w14:paraId="7D56CDB0" w14:textId="77777777" w:rsidR="008B64E2" w:rsidRPr="00192E56" w:rsidRDefault="008B64E2" w:rsidP="00CD363C">
      <w:pPr>
        <w:spacing w:after="0" w:line="240" w:lineRule="auto"/>
        <w:ind w:right="407"/>
        <w:jc w:val="both"/>
        <w:rPr>
          <w:rFonts w:ascii="Times New Roman" w:hAnsi="Times New Roman" w:cs="Times New Roman"/>
          <w:sz w:val="24"/>
          <w:szCs w:val="24"/>
        </w:rPr>
      </w:pPr>
    </w:p>
    <w:p w14:paraId="061DD207" w14:textId="77777777" w:rsidR="00192E56" w:rsidRPr="00192E56" w:rsidRDefault="00192E5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911.Izmaksas,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kuras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ir</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tieši</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attiecināmas</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uz</w:t>
      </w:r>
      <w:r w:rsidRPr="00192E56">
        <w:rPr>
          <w:rFonts w:ascii="Times New Roman" w:hAnsi="Times New Roman" w:cs="Times New Roman"/>
          <w:spacing w:val="-13"/>
          <w:sz w:val="24"/>
          <w:szCs w:val="24"/>
        </w:rPr>
        <w:t xml:space="preserve"> </w:t>
      </w:r>
      <w:r w:rsidRPr="00192E56">
        <w:rPr>
          <w:rFonts w:ascii="Times New Roman" w:hAnsi="Times New Roman" w:cs="Times New Roman"/>
          <w:sz w:val="24"/>
          <w:szCs w:val="24"/>
        </w:rPr>
        <w:t>finanšu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instrumenta</w:t>
      </w:r>
      <w:r w:rsidRPr="00192E56">
        <w:rPr>
          <w:rFonts w:ascii="Times New Roman" w:hAnsi="Times New Roman" w:cs="Times New Roman"/>
          <w:spacing w:val="-11"/>
          <w:sz w:val="24"/>
          <w:szCs w:val="24"/>
        </w:rPr>
        <w:t xml:space="preserve"> </w:t>
      </w:r>
      <w:r w:rsidRPr="00192E56">
        <w:rPr>
          <w:rFonts w:ascii="Times New Roman" w:hAnsi="Times New Roman" w:cs="Times New Roman"/>
          <w:sz w:val="24"/>
          <w:szCs w:val="24"/>
        </w:rPr>
        <w:t>iegādi</w:t>
      </w:r>
      <w:r w:rsidRPr="00192E56">
        <w:rPr>
          <w:rFonts w:ascii="Times New Roman" w:hAnsi="Times New Roman" w:cs="Times New Roman"/>
          <w:spacing w:val="-4"/>
          <w:sz w:val="24"/>
          <w:szCs w:val="24"/>
        </w:rPr>
        <w:t xml:space="preserve"> </w:t>
      </w:r>
      <w:r w:rsidRPr="00192E56">
        <w:rPr>
          <w:rFonts w:ascii="Times New Roman" w:hAnsi="Times New Roman" w:cs="Times New Roman"/>
          <w:sz w:val="24"/>
          <w:szCs w:val="24"/>
        </w:rPr>
        <w:t>vai</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emisiju</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(piemēram,</w:t>
      </w:r>
      <w:r w:rsidRPr="00192E56">
        <w:rPr>
          <w:rFonts w:ascii="Times New Roman" w:hAnsi="Times New Roman" w:cs="Times New Roman"/>
          <w:spacing w:val="-11"/>
          <w:sz w:val="24"/>
          <w:szCs w:val="24"/>
        </w:rPr>
        <w:t xml:space="preserve"> </w:t>
      </w:r>
      <w:r w:rsidRPr="00192E56">
        <w:rPr>
          <w:rFonts w:ascii="Times New Roman" w:hAnsi="Times New Roman" w:cs="Times New Roman"/>
          <w:sz w:val="24"/>
          <w:szCs w:val="24"/>
        </w:rPr>
        <w:t>aizņēmuma saņemšanas</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izmaksas,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komisijas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maksas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tirdzniecības</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aģentiem,</w:t>
      </w:r>
      <w:r w:rsidRPr="00192E56">
        <w:rPr>
          <w:rFonts w:ascii="Times New Roman" w:hAnsi="Times New Roman" w:cs="Times New Roman"/>
          <w:spacing w:val="-11"/>
          <w:sz w:val="24"/>
          <w:szCs w:val="24"/>
        </w:rPr>
        <w:t xml:space="preserve"> </w:t>
      </w:r>
      <w:r w:rsidRPr="00192E56">
        <w:rPr>
          <w:rFonts w:ascii="Times New Roman" w:hAnsi="Times New Roman" w:cs="Times New Roman"/>
          <w:sz w:val="24"/>
          <w:szCs w:val="24"/>
        </w:rPr>
        <w:t>brokeriem),</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atzīst</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finanšu</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izdevumos dienā, kad saņemts pakalpojums saskaņā ar attaisnojuma dokumentu vai saskaņā ar līguma nosacījumiem.</w:t>
      </w:r>
      <w:r w:rsidRPr="00192E56">
        <w:rPr>
          <w:rFonts w:ascii="Times New Roman" w:hAnsi="Times New Roman" w:cs="Times New Roman"/>
          <w:spacing w:val="-8"/>
          <w:sz w:val="24"/>
          <w:szCs w:val="24"/>
        </w:rPr>
        <w:t xml:space="preserve"> </w:t>
      </w:r>
      <w:r w:rsidRPr="00192E56">
        <w:rPr>
          <w:rFonts w:ascii="Times New Roman" w:hAnsi="Times New Roman" w:cs="Times New Roman"/>
          <w:i/>
          <w:sz w:val="24"/>
          <w:szCs w:val="24"/>
        </w:rPr>
        <w:t>Piemēram,</w:t>
      </w:r>
      <w:r w:rsidRPr="00192E56">
        <w:rPr>
          <w:rFonts w:ascii="Times New Roman" w:hAnsi="Times New Roman" w:cs="Times New Roman"/>
          <w:i/>
          <w:spacing w:val="-10"/>
          <w:sz w:val="24"/>
          <w:szCs w:val="24"/>
        </w:rPr>
        <w:t xml:space="preserve"> </w:t>
      </w:r>
      <w:r w:rsidRPr="00192E56">
        <w:rPr>
          <w:rFonts w:ascii="Times New Roman" w:hAnsi="Times New Roman" w:cs="Times New Roman"/>
          <w:i/>
          <w:sz w:val="24"/>
          <w:szCs w:val="24"/>
        </w:rPr>
        <w:t>budžeta</w:t>
      </w:r>
      <w:r w:rsidRPr="00192E56">
        <w:rPr>
          <w:rFonts w:ascii="Times New Roman" w:hAnsi="Times New Roman" w:cs="Times New Roman"/>
          <w:i/>
          <w:spacing w:val="-10"/>
          <w:sz w:val="24"/>
          <w:szCs w:val="24"/>
        </w:rPr>
        <w:t xml:space="preserve"> </w:t>
      </w:r>
      <w:r w:rsidRPr="00192E56">
        <w:rPr>
          <w:rFonts w:ascii="Times New Roman" w:hAnsi="Times New Roman" w:cs="Times New Roman"/>
          <w:i/>
          <w:sz w:val="24"/>
          <w:szCs w:val="24"/>
        </w:rPr>
        <w:t>iestāde</w:t>
      </w:r>
      <w:r w:rsidRPr="00192E56">
        <w:rPr>
          <w:rFonts w:ascii="Times New Roman" w:hAnsi="Times New Roman" w:cs="Times New Roman"/>
          <w:i/>
          <w:spacing w:val="-8"/>
          <w:sz w:val="24"/>
          <w:szCs w:val="24"/>
        </w:rPr>
        <w:t xml:space="preserve"> </w:t>
      </w:r>
      <w:r w:rsidRPr="00192E56">
        <w:rPr>
          <w:rFonts w:ascii="Times New Roman" w:hAnsi="Times New Roman" w:cs="Times New Roman"/>
          <w:i/>
          <w:sz w:val="24"/>
          <w:szCs w:val="24"/>
        </w:rPr>
        <w:t>iegādājas</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vērtspapīrus</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100</w:t>
      </w:r>
      <w:r w:rsidRPr="00192E56">
        <w:rPr>
          <w:rFonts w:ascii="Times New Roman" w:hAnsi="Times New Roman" w:cs="Times New Roman"/>
          <w:i/>
          <w:spacing w:val="-1"/>
          <w:sz w:val="24"/>
          <w:szCs w:val="24"/>
        </w:rPr>
        <w:t xml:space="preserve"> </w:t>
      </w:r>
      <w:r w:rsidRPr="00192E56">
        <w:rPr>
          <w:rFonts w:ascii="Times New Roman" w:hAnsi="Times New Roman" w:cs="Times New Roman"/>
          <w:i/>
          <w:sz w:val="24"/>
          <w:szCs w:val="24"/>
        </w:rPr>
        <w:t>000,00</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EUR</w:t>
      </w:r>
      <w:r w:rsidRPr="00192E56">
        <w:rPr>
          <w:rFonts w:ascii="Times New Roman" w:hAnsi="Times New Roman" w:cs="Times New Roman"/>
          <w:i/>
          <w:spacing w:val="-12"/>
          <w:sz w:val="24"/>
          <w:szCs w:val="24"/>
        </w:rPr>
        <w:t xml:space="preserve"> </w:t>
      </w:r>
      <w:r w:rsidRPr="00192E56">
        <w:rPr>
          <w:rFonts w:ascii="Times New Roman" w:hAnsi="Times New Roman" w:cs="Times New Roman"/>
          <w:i/>
          <w:sz w:val="24"/>
          <w:szCs w:val="24"/>
        </w:rPr>
        <w:t>vērtībā.</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 xml:space="preserve">Darījuma komisijas maksa tirdzniecības aģentam par sniegto pakalpojumu 500,00 EUR. Finanšu aktīva sākotnējās atzīšanas dienā atzīst vērtspapīrus 100 000,00 EUR vērtībā. Budžeta iestāde finanšu izdevumus 500,00 EUR apmērā atzīst saskaņā ar darījuma attaisnojuma dokumentu (piemēram, rēķinu) kā finanšu izdevumus. </w:t>
      </w:r>
      <w:r w:rsidRPr="00192E56">
        <w:rPr>
          <w:rFonts w:ascii="Times New Roman" w:hAnsi="Times New Roman" w:cs="Times New Roman"/>
          <w:sz w:val="24"/>
          <w:szCs w:val="24"/>
        </w:rPr>
        <w:t>Izmaksas, kuras radušās valsts budžeta finanšu uzskaites darījumu ietvaros, atzīst pamatdarbības izdevumos.</w:t>
      </w:r>
    </w:p>
    <w:p w14:paraId="410EF809" w14:textId="77777777" w:rsidR="00192E56" w:rsidRPr="00192E56" w:rsidRDefault="00192E5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912.   Finanšu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instrumentu,</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kuru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iespējams</w:t>
      </w:r>
      <w:r w:rsidRPr="00192E56">
        <w:rPr>
          <w:rFonts w:ascii="Times New Roman" w:hAnsi="Times New Roman" w:cs="Times New Roman"/>
          <w:spacing w:val="-7"/>
          <w:sz w:val="24"/>
          <w:szCs w:val="24"/>
        </w:rPr>
        <w:t xml:space="preserve"> </w:t>
      </w:r>
      <w:r w:rsidRPr="00192E56">
        <w:rPr>
          <w:rFonts w:ascii="Times New Roman" w:hAnsi="Times New Roman" w:cs="Times New Roman"/>
          <w:sz w:val="24"/>
          <w:szCs w:val="24"/>
        </w:rPr>
        <w:t>realizēt</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jebkurā</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laikā</w:t>
      </w:r>
      <w:r w:rsidRPr="00192E56">
        <w:rPr>
          <w:rFonts w:ascii="Times New Roman" w:hAnsi="Times New Roman" w:cs="Times New Roman"/>
          <w:spacing w:val="-7"/>
          <w:sz w:val="24"/>
          <w:szCs w:val="24"/>
        </w:rPr>
        <w:t xml:space="preserve"> </w:t>
      </w:r>
      <w:r w:rsidRPr="00192E56">
        <w:rPr>
          <w:rFonts w:ascii="Times New Roman" w:hAnsi="Times New Roman" w:cs="Times New Roman"/>
          <w:sz w:val="24"/>
          <w:szCs w:val="24"/>
        </w:rPr>
        <w:t>un</w:t>
      </w:r>
      <w:r w:rsidRPr="00192E56">
        <w:rPr>
          <w:rFonts w:ascii="Times New Roman" w:hAnsi="Times New Roman" w:cs="Times New Roman"/>
          <w:spacing w:val="-7"/>
          <w:sz w:val="24"/>
          <w:szCs w:val="24"/>
        </w:rPr>
        <w:t xml:space="preserve"> </w:t>
      </w:r>
      <w:r w:rsidRPr="00192E56">
        <w:rPr>
          <w:rFonts w:ascii="Times New Roman" w:hAnsi="Times New Roman" w:cs="Times New Roman"/>
          <w:sz w:val="24"/>
          <w:szCs w:val="24"/>
        </w:rPr>
        <w:t>kuru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paredzēts</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turēt</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mazāk</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par</w:t>
      </w:r>
      <w:r w:rsidRPr="00192E56">
        <w:rPr>
          <w:rFonts w:ascii="Times New Roman" w:hAnsi="Times New Roman" w:cs="Times New Roman"/>
          <w:spacing w:val="-6"/>
          <w:sz w:val="24"/>
          <w:szCs w:val="24"/>
        </w:rPr>
        <w:t xml:space="preserve"> </w:t>
      </w:r>
      <w:r w:rsidRPr="00192E56">
        <w:rPr>
          <w:rFonts w:ascii="Times New Roman" w:hAnsi="Times New Roman" w:cs="Times New Roman"/>
          <w:sz w:val="24"/>
          <w:szCs w:val="24"/>
        </w:rPr>
        <w:t>gadu,</w:t>
      </w:r>
      <w:r w:rsidRPr="00192E56">
        <w:rPr>
          <w:rFonts w:ascii="Times New Roman" w:hAnsi="Times New Roman" w:cs="Times New Roman"/>
          <w:spacing w:val="-6"/>
          <w:sz w:val="24"/>
          <w:szCs w:val="24"/>
        </w:rPr>
        <w:t xml:space="preserve"> </w:t>
      </w:r>
      <w:r w:rsidRPr="00192E56">
        <w:rPr>
          <w:rFonts w:ascii="Times New Roman" w:hAnsi="Times New Roman" w:cs="Times New Roman"/>
          <w:sz w:val="24"/>
          <w:szCs w:val="24"/>
        </w:rPr>
        <w:t>kā arī finanšu instrumentu, kuru paredzēts atsavināt, izņemot vispārējās valdības sektora struktūru ietvaros atsavināmo instrumentu, klasificē īstermiņa finanšu ieguldījumu vai īstermiņa saistību sastāvā. Pārējos finanšu instrumentus klasificē ilgtermiņa finanšu ieguldījumu vai ilgtermiņa saistību sastāvā.</w:t>
      </w:r>
    </w:p>
    <w:p w14:paraId="764E5286" w14:textId="77777777" w:rsidR="00840849" w:rsidRDefault="00840849"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5C0D60B" w14:textId="77777777" w:rsidR="008B64E2" w:rsidRPr="00840849" w:rsidRDefault="00840849" w:rsidP="00CD363C">
      <w:pPr>
        <w:spacing w:after="0" w:line="240" w:lineRule="auto"/>
        <w:ind w:right="407"/>
        <w:jc w:val="both"/>
        <w:rPr>
          <w:rFonts w:ascii="Times New Roman" w:hAnsi="Times New Roman" w:cs="Times New Roman"/>
          <w:b/>
          <w:bCs/>
          <w:sz w:val="24"/>
          <w:szCs w:val="24"/>
        </w:rPr>
      </w:pPr>
      <w:r w:rsidRPr="00840849">
        <w:rPr>
          <w:rFonts w:ascii="Times New Roman" w:hAnsi="Times New Roman" w:cs="Times New Roman"/>
          <w:b/>
          <w:bCs/>
          <w:sz w:val="24"/>
          <w:szCs w:val="24"/>
        </w:rPr>
        <w:t>21.2. Finanšu instrumentu turpmākā novērtēšana</w:t>
      </w:r>
    </w:p>
    <w:p w14:paraId="41E0251C" w14:textId="77777777" w:rsidR="00840849" w:rsidRPr="00535ACC" w:rsidRDefault="00840849"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913.   Katra pārskata perioda beigās budžeta iestāde novērtē finanšu instrumentus atbilstoši zemāk norādītajiem</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uzskaites</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principiem.</w:t>
      </w:r>
      <w:r w:rsidRPr="00535ACC">
        <w:rPr>
          <w:rFonts w:ascii="Times New Roman" w:hAnsi="Times New Roman" w:cs="Times New Roman"/>
          <w:spacing w:val="-5"/>
          <w:sz w:val="24"/>
          <w:szCs w:val="24"/>
        </w:rPr>
        <w:t xml:space="preserve"> </w:t>
      </w:r>
      <w:r w:rsidRPr="00535ACC">
        <w:rPr>
          <w:rFonts w:ascii="Times New Roman" w:hAnsi="Times New Roman" w:cs="Times New Roman"/>
          <w:sz w:val="24"/>
          <w:szCs w:val="24"/>
        </w:rPr>
        <w:t>Ilustratīvi</w:t>
      </w:r>
      <w:r w:rsidRPr="00535ACC">
        <w:rPr>
          <w:rFonts w:ascii="Times New Roman" w:hAnsi="Times New Roman" w:cs="Times New Roman"/>
          <w:spacing w:val="-5"/>
          <w:sz w:val="24"/>
          <w:szCs w:val="24"/>
        </w:rPr>
        <w:t xml:space="preserve"> </w:t>
      </w:r>
      <w:r w:rsidRPr="00535ACC">
        <w:rPr>
          <w:rFonts w:ascii="Times New Roman" w:hAnsi="Times New Roman" w:cs="Times New Roman"/>
          <w:sz w:val="24"/>
          <w:szCs w:val="24"/>
        </w:rPr>
        <w:t>piemēri</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instrumentu</w:t>
      </w:r>
      <w:r w:rsidRPr="00535ACC">
        <w:rPr>
          <w:rFonts w:ascii="Times New Roman" w:hAnsi="Times New Roman" w:cs="Times New Roman"/>
          <w:spacing w:val="-8"/>
          <w:sz w:val="24"/>
          <w:szCs w:val="24"/>
        </w:rPr>
        <w:t xml:space="preserve"> </w:t>
      </w:r>
      <w:r w:rsidRPr="00535ACC">
        <w:rPr>
          <w:rFonts w:ascii="Times New Roman" w:hAnsi="Times New Roman" w:cs="Times New Roman"/>
          <w:sz w:val="24"/>
          <w:szCs w:val="24"/>
        </w:rPr>
        <w:t>uzskaitei</w:t>
      </w:r>
      <w:r w:rsidRPr="00535ACC">
        <w:rPr>
          <w:rFonts w:ascii="Times New Roman" w:hAnsi="Times New Roman" w:cs="Times New Roman"/>
          <w:spacing w:val="-4"/>
          <w:sz w:val="24"/>
          <w:szCs w:val="24"/>
        </w:rPr>
        <w:t xml:space="preserve"> </w:t>
      </w:r>
      <w:r w:rsidRPr="00535ACC">
        <w:rPr>
          <w:rFonts w:ascii="Times New Roman" w:hAnsi="Times New Roman" w:cs="Times New Roman"/>
          <w:sz w:val="24"/>
          <w:szCs w:val="24"/>
        </w:rPr>
        <w:t>sniegti</w:t>
      </w:r>
      <w:r w:rsidRPr="00535ACC">
        <w:rPr>
          <w:rFonts w:ascii="Times New Roman" w:hAnsi="Times New Roman" w:cs="Times New Roman"/>
          <w:spacing w:val="-5"/>
          <w:sz w:val="24"/>
          <w:szCs w:val="24"/>
        </w:rPr>
        <w:t xml:space="preserve"> </w:t>
      </w:r>
      <w:r w:rsidR="00370E9C" w:rsidRPr="00370E9C">
        <w:rPr>
          <w:rFonts w:ascii="Times New Roman" w:hAnsi="Times New Roman" w:cs="Times New Roman"/>
          <w:sz w:val="24"/>
          <w:szCs w:val="24"/>
        </w:rPr>
        <w:t>21.8</w:t>
      </w:r>
      <w:r w:rsidRPr="00370E9C">
        <w:rPr>
          <w:rFonts w:ascii="Times New Roman" w:hAnsi="Times New Roman" w:cs="Times New Roman"/>
          <w:spacing w:val="-6"/>
          <w:sz w:val="24"/>
          <w:szCs w:val="24"/>
        </w:rPr>
        <w:t xml:space="preserve"> </w:t>
      </w:r>
      <w:r w:rsidRPr="00370E9C">
        <w:rPr>
          <w:rFonts w:ascii="Times New Roman" w:hAnsi="Times New Roman" w:cs="Times New Roman"/>
          <w:sz w:val="24"/>
          <w:szCs w:val="24"/>
        </w:rPr>
        <w:t>nodaļā</w:t>
      </w:r>
      <w:r w:rsidRPr="00535ACC">
        <w:rPr>
          <w:rFonts w:ascii="Times New Roman" w:hAnsi="Times New Roman" w:cs="Times New Roman"/>
          <w:color w:val="0462C1"/>
          <w:sz w:val="24"/>
          <w:szCs w:val="24"/>
          <w:u w:val="single" w:color="0462C1"/>
        </w:rPr>
        <w:t xml:space="preserve"> “</w:t>
      </w:r>
      <w:hyperlink w:anchor="_bookmark357" w:history="1">
        <w:r w:rsidRPr="00535ACC">
          <w:rPr>
            <w:rFonts w:ascii="Times New Roman" w:hAnsi="Times New Roman" w:cs="Times New Roman"/>
            <w:color w:val="0462C1"/>
            <w:sz w:val="24"/>
            <w:szCs w:val="24"/>
            <w:u w:val="single" w:color="0462C1"/>
          </w:rPr>
          <w:t>Praktiski piemēri un informācijas atklāšanas</w:t>
        </w:r>
        <w:r w:rsidRPr="00535ACC">
          <w:rPr>
            <w:rFonts w:ascii="Times New Roman" w:hAnsi="Times New Roman" w:cs="Times New Roman"/>
            <w:color w:val="0462C1"/>
            <w:spacing w:val="-2"/>
            <w:sz w:val="24"/>
            <w:szCs w:val="24"/>
            <w:u w:val="single" w:color="0462C1"/>
          </w:rPr>
          <w:t xml:space="preserve"> </w:t>
        </w:r>
        <w:r w:rsidRPr="00535ACC">
          <w:rPr>
            <w:rFonts w:ascii="Times New Roman" w:hAnsi="Times New Roman" w:cs="Times New Roman"/>
            <w:color w:val="0462C1"/>
            <w:sz w:val="24"/>
            <w:szCs w:val="24"/>
            <w:u w:val="single" w:color="0462C1"/>
          </w:rPr>
          <w:t>paraugi</w:t>
        </w:r>
      </w:hyperlink>
      <w:r w:rsidRPr="00535ACC">
        <w:rPr>
          <w:rFonts w:ascii="Times New Roman" w:hAnsi="Times New Roman" w:cs="Times New Roman"/>
          <w:color w:val="0462C1"/>
          <w:sz w:val="24"/>
          <w:szCs w:val="24"/>
          <w:u w:val="single" w:color="0462C1"/>
        </w:rPr>
        <w:t>”</w:t>
      </w:r>
      <w:r w:rsidRPr="00535ACC">
        <w:rPr>
          <w:rFonts w:ascii="Times New Roman" w:hAnsi="Times New Roman" w:cs="Times New Roman"/>
          <w:sz w:val="24"/>
          <w:szCs w:val="24"/>
        </w:rPr>
        <w:t>.</w:t>
      </w:r>
    </w:p>
    <w:p w14:paraId="4EFC7717" w14:textId="77777777" w:rsidR="00840849" w:rsidRPr="00535ACC" w:rsidRDefault="00840849" w:rsidP="00CD363C">
      <w:pPr>
        <w:pStyle w:val="Virsraksts4"/>
        <w:spacing w:before="0"/>
        <w:ind w:left="338" w:right="407"/>
        <w:jc w:val="both"/>
      </w:pPr>
      <w:r w:rsidRPr="00535ACC">
        <w:rPr>
          <w:color w:val="002069"/>
        </w:rPr>
        <w:t>Finanšu aktīvu turpmākā novērtēšana</w:t>
      </w:r>
    </w:p>
    <w:p w14:paraId="467197FA" w14:textId="77777777" w:rsidR="00840849" w:rsidRPr="00535ACC" w:rsidRDefault="0084084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914.   Turpmāk katra pārskata perioda beigās budžeta iestāde uzskaita finanšu aktīvus atbilstoši 1. tabulā norādītajiem uzskaites principiem un</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novērtē:</w:t>
      </w:r>
    </w:p>
    <w:p w14:paraId="0EE03DDF"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patiesajā vērtībā novērtētos finanšu aktīvus novērtē to patiesajā vērtībā pārskata</w:t>
      </w:r>
      <w:r w:rsidRPr="00535ACC">
        <w:rPr>
          <w:rFonts w:ascii="Times New Roman" w:hAnsi="Times New Roman" w:cs="Times New Roman"/>
          <w:spacing w:val="-17"/>
          <w:sz w:val="24"/>
          <w:szCs w:val="24"/>
        </w:rPr>
        <w:t xml:space="preserve"> </w:t>
      </w:r>
      <w:r w:rsidRPr="00535ACC">
        <w:rPr>
          <w:rFonts w:ascii="Times New Roman" w:hAnsi="Times New Roman" w:cs="Times New Roman"/>
          <w:sz w:val="24"/>
          <w:szCs w:val="24"/>
        </w:rPr>
        <w:t>datumā;</w:t>
      </w:r>
    </w:p>
    <w:p w14:paraId="4BB244A4"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līdz termiņa beigām turētos ieguldījumus novērtē to amortizētajā</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vērtībā;</w:t>
      </w:r>
    </w:p>
    <w:p w14:paraId="11001D00"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aizdevumus un prasības novērtē to amortizētajā</w:t>
      </w:r>
      <w:r w:rsidRPr="00535ACC">
        <w:rPr>
          <w:rFonts w:ascii="Times New Roman" w:hAnsi="Times New Roman" w:cs="Times New Roman"/>
          <w:spacing w:val="-4"/>
          <w:sz w:val="24"/>
          <w:szCs w:val="24"/>
        </w:rPr>
        <w:t xml:space="preserve"> </w:t>
      </w:r>
      <w:r w:rsidRPr="00535ACC">
        <w:rPr>
          <w:rFonts w:ascii="Times New Roman" w:hAnsi="Times New Roman" w:cs="Times New Roman"/>
          <w:sz w:val="24"/>
          <w:szCs w:val="24"/>
        </w:rPr>
        <w:t>vērtībā;</w:t>
      </w:r>
    </w:p>
    <w:p w14:paraId="4C653F2C"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pārdošanai</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pieejamus</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aktīvus</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novērtē</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to</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patiesajā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vērtībā</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pārskata</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datumā,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izņemot</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tādus pārdošanai pieejamus finanšu aktīvus, kurus netirgo aktīvā tirgū (nekotētie pašu kapitāla instrumenti) un kuru patieso vērtību nevar novērtēt. Šādiem finanšu instrumentiem to</w:t>
      </w:r>
      <w:r w:rsidRPr="00535ACC">
        <w:rPr>
          <w:rFonts w:ascii="Times New Roman" w:hAnsi="Times New Roman" w:cs="Times New Roman"/>
          <w:spacing w:val="-36"/>
          <w:sz w:val="24"/>
          <w:szCs w:val="24"/>
        </w:rPr>
        <w:t xml:space="preserve"> </w:t>
      </w:r>
      <w:r w:rsidRPr="00535ACC">
        <w:rPr>
          <w:rFonts w:ascii="Times New Roman" w:hAnsi="Times New Roman" w:cs="Times New Roman"/>
          <w:sz w:val="24"/>
          <w:szCs w:val="24"/>
        </w:rPr>
        <w:t>turpmākai novērtēšanai izmanto izmaksu vērtību.</w:t>
      </w:r>
    </w:p>
    <w:p w14:paraId="63356156" w14:textId="77777777" w:rsidR="00840849" w:rsidRPr="00535ACC" w:rsidRDefault="00840849" w:rsidP="00CD363C">
      <w:pPr>
        <w:spacing w:after="0" w:line="240" w:lineRule="auto"/>
        <w:ind w:right="407"/>
        <w:jc w:val="both"/>
        <w:rPr>
          <w:rFonts w:ascii="Times New Roman" w:hAnsi="Times New Roman" w:cs="Times New Roman"/>
          <w:sz w:val="24"/>
          <w:szCs w:val="24"/>
        </w:rPr>
      </w:pPr>
    </w:p>
    <w:p w14:paraId="11E3FEBB" w14:textId="77777777" w:rsidR="00840849" w:rsidRDefault="00840849" w:rsidP="00CD363C">
      <w:pPr>
        <w:pStyle w:val="Sarakstarindkopa"/>
        <w:widowControl w:val="0"/>
        <w:numPr>
          <w:ilvl w:val="0"/>
          <w:numId w:val="43"/>
        </w:numPr>
        <w:tabs>
          <w:tab w:val="left" w:pos="6271"/>
        </w:tabs>
        <w:autoSpaceDE w:val="0"/>
        <w:autoSpaceDN w:val="0"/>
        <w:spacing w:after="0" w:line="240" w:lineRule="auto"/>
        <w:ind w:right="-142" w:firstLine="5781"/>
        <w:contextualSpacing w:val="0"/>
        <w:jc w:val="both"/>
        <w:rPr>
          <w:i/>
          <w:sz w:val="18"/>
        </w:rPr>
      </w:pPr>
      <w:r>
        <w:rPr>
          <w:i/>
          <w:sz w:val="20"/>
        </w:rPr>
        <w:t>tabula. Finanšu aktīvu turpmākā</w:t>
      </w:r>
      <w:r>
        <w:rPr>
          <w:i/>
          <w:spacing w:val="-2"/>
          <w:sz w:val="20"/>
        </w:rPr>
        <w:t xml:space="preserve"> </w:t>
      </w:r>
      <w:r>
        <w:rPr>
          <w:i/>
          <w:sz w:val="20"/>
        </w:rPr>
        <w:t>novērtēšana</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55"/>
        <w:gridCol w:w="1136"/>
        <w:gridCol w:w="1417"/>
        <w:gridCol w:w="1844"/>
        <w:gridCol w:w="1845"/>
        <w:gridCol w:w="1703"/>
      </w:tblGrid>
      <w:tr w:rsidR="00840849" w14:paraId="0D0CAB84" w14:textId="77777777" w:rsidTr="00535ACC">
        <w:trPr>
          <w:trHeight w:val="921"/>
        </w:trPr>
        <w:tc>
          <w:tcPr>
            <w:tcW w:w="1555" w:type="dxa"/>
            <w:shd w:val="clear" w:color="auto" w:fill="F1F1F1"/>
          </w:tcPr>
          <w:p w14:paraId="72B00148" w14:textId="77777777" w:rsidR="00840849" w:rsidRDefault="00840849" w:rsidP="00CD363C">
            <w:pPr>
              <w:pStyle w:val="TableParagraph"/>
              <w:ind w:right="-142"/>
              <w:jc w:val="both"/>
              <w:rPr>
                <w:i/>
                <w:sz w:val="30"/>
              </w:rPr>
            </w:pPr>
          </w:p>
          <w:p w14:paraId="652E0D95" w14:textId="77777777" w:rsidR="00840849" w:rsidRDefault="00840849" w:rsidP="00CD363C">
            <w:pPr>
              <w:pStyle w:val="TableParagraph"/>
              <w:ind w:left="122" w:right="-142"/>
              <w:jc w:val="both"/>
              <w:rPr>
                <w:b/>
                <w:sz w:val="20"/>
              </w:rPr>
            </w:pPr>
            <w:r>
              <w:rPr>
                <w:b/>
                <w:sz w:val="20"/>
              </w:rPr>
              <w:t>Finanšu aktīvs</w:t>
            </w:r>
          </w:p>
        </w:tc>
        <w:tc>
          <w:tcPr>
            <w:tcW w:w="1136" w:type="dxa"/>
            <w:shd w:val="clear" w:color="auto" w:fill="F1F1F1"/>
          </w:tcPr>
          <w:p w14:paraId="32CBF2A8" w14:textId="77777777" w:rsidR="00840849" w:rsidRDefault="00840849" w:rsidP="00CD363C">
            <w:pPr>
              <w:pStyle w:val="TableParagraph"/>
              <w:ind w:right="-142"/>
              <w:jc w:val="both"/>
              <w:rPr>
                <w:i/>
                <w:sz w:val="20"/>
              </w:rPr>
            </w:pPr>
          </w:p>
          <w:p w14:paraId="5528F597" w14:textId="77777777" w:rsidR="00840849" w:rsidRDefault="00840849" w:rsidP="00CD363C">
            <w:pPr>
              <w:pStyle w:val="TableParagraph"/>
              <w:ind w:left="187" w:right="-142" w:hanging="77"/>
              <w:jc w:val="both"/>
              <w:rPr>
                <w:b/>
                <w:sz w:val="20"/>
              </w:rPr>
            </w:pPr>
            <w:r>
              <w:rPr>
                <w:b/>
                <w:w w:val="95"/>
                <w:sz w:val="20"/>
              </w:rPr>
              <w:t xml:space="preserve">Sākotnējā </w:t>
            </w:r>
            <w:r>
              <w:rPr>
                <w:b/>
                <w:sz w:val="20"/>
              </w:rPr>
              <w:t>atzīšana</w:t>
            </w:r>
          </w:p>
        </w:tc>
        <w:tc>
          <w:tcPr>
            <w:tcW w:w="1417" w:type="dxa"/>
            <w:shd w:val="clear" w:color="auto" w:fill="F1F1F1"/>
          </w:tcPr>
          <w:p w14:paraId="1F62848A" w14:textId="77777777" w:rsidR="00840849" w:rsidRDefault="00840849" w:rsidP="00CD363C">
            <w:pPr>
              <w:pStyle w:val="TableParagraph"/>
              <w:ind w:right="-142"/>
              <w:jc w:val="both"/>
              <w:rPr>
                <w:i/>
                <w:sz w:val="20"/>
              </w:rPr>
            </w:pPr>
          </w:p>
          <w:p w14:paraId="21835E14" w14:textId="77777777" w:rsidR="00840849" w:rsidRDefault="00840849" w:rsidP="00CD363C">
            <w:pPr>
              <w:pStyle w:val="TableParagraph"/>
              <w:ind w:left="160" w:right="-142" w:firstLine="57"/>
              <w:jc w:val="both"/>
              <w:rPr>
                <w:b/>
                <w:sz w:val="20"/>
              </w:rPr>
            </w:pPr>
            <w:r>
              <w:rPr>
                <w:b/>
                <w:sz w:val="20"/>
              </w:rPr>
              <w:t xml:space="preserve">Turpmākā </w:t>
            </w:r>
            <w:r>
              <w:rPr>
                <w:b/>
                <w:w w:val="95"/>
                <w:sz w:val="20"/>
              </w:rPr>
              <w:t>novērtēšana</w:t>
            </w:r>
          </w:p>
        </w:tc>
        <w:tc>
          <w:tcPr>
            <w:tcW w:w="1844" w:type="dxa"/>
            <w:shd w:val="clear" w:color="auto" w:fill="F1F1F1"/>
          </w:tcPr>
          <w:p w14:paraId="47BCE4BB" w14:textId="77777777" w:rsidR="00840849" w:rsidRDefault="00840849" w:rsidP="00CD363C">
            <w:pPr>
              <w:pStyle w:val="TableParagraph"/>
              <w:ind w:right="-142"/>
              <w:jc w:val="both"/>
              <w:rPr>
                <w:i/>
                <w:sz w:val="20"/>
              </w:rPr>
            </w:pPr>
          </w:p>
          <w:p w14:paraId="349FAE01" w14:textId="77777777" w:rsidR="00840849" w:rsidRDefault="00840849" w:rsidP="00CD363C">
            <w:pPr>
              <w:pStyle w:val="TableParagraph"/>
              <w:ind w:left="260" w:right="-142" w:hanging="84"/>
              <w:jc w:val="both"/>
              <w:rPr>
                <w:b/>
                <w:sz w:val="20"/>
              </w:rPr>
            </w:pPr>
            <w:r>
              <w:rPr>
                <w:b/>
                <w:sz w:val="20"/>
              </w:rPr>
              <w:t>Patiesās vērtības izmaiņas atzīst</w:t>
            </w:r>
          </w:p>
        </w:tc>
        <w:tc>
          <w:tcPr>
            <w:tcW w:w="1845" w:type="dxa"/>
            <w:shd w:val="clear" w:color="auto" w:fill="F1F1F1"/>
          </w:tcPr>
          <w:p w14:paraId="6CE32E8F" w14:textId="77777777" w:rsidR="00840849" w:rsidRDefault="00840849" w:rsidP="00CD363C">
            <w:pPr>
              <w:pStyle w:val="TableParagraph"/>
              <w:ind w:right="-142"/>
              <w:jc w:val="both"/>
              <w:rPr>
                <w:i/>
                <w:sz w:val="20"/>
              </w:rPr>
            </w:pPr>
          </w:p>
          <w:p w14:paraId="627E07C0" w14:textId="77777777" w:rsidR="00840849" w:rsidRDefault="00840849" w:rsidP="00CD363C">
            <w:pPr>
              <w:pStyle w:val="TableParagraph"/>
              <w:ind w:left="149" w:right="-142" w:firstLine="353"/>
              <w:jc w:val="both"/>
              <w:rPr>
                <w:b/>
                <w:sz w:val="20"/>
              </w:rPr>
            </w:pPr>
            <w:r>
              <w:rPr>
                <w:b/>
                <w:sz w:val="20"/>
              </w:rPr>
              <w:t>Procentu ieņēmumus atzīst</w:t>
            </w:r>
          </w:p>
        </w:tc>
        <w:tc>
          <w:tcPr>
            <w:tcW w:w="1703" w:type="dxa"/>
            <w:shd w:val="clear" w:color="auto" w:fill="F1F1F1"/>
          </w:tcPr>
          <w:p w14:paraId="17FC4EDB" w14:textId="77777777" w:rsidR="00840849" w:rsidRDefault="00840849" w:rsidP="00CD363C">
            <w:pPr>
              <w:pStyle w:val="TableParagraph"/>
              <w:ind w:left="196" w:right="-142" w:firstLine="3"/>
              <w:jc w:val="both"/>
              <w:rPr>
                <w:b/>
                <w:sz w:val="20"/>
              </w:rPr>
            </w:pPr>
            <w:r>
              <w:rPr>
                <w:b/>
                <w:sz w:val="20"/>
              </w:rPr>
              <w:t xml:space="preserve">Izdevumus no vērtības </w:t>
            </w:r>
            <w:r>
              <w:rPr>
                <w:b/>
                <w:spacing w:val="-1"/>
                <w:sz w:val="20"/>
              </w:rPr>
              <w:t>samazinājuma</w:t>
            </w:r>
          </w:p>
          <w:p w14:paraId="4569F5EF" w14:textId="77777777" w:rsidR="00840849" w:rsidRDefault="00840849" w:rsidP="00CD363C">
            <w:pPr>
              <w:pStyle w:val="TableParagraph"/>
              <w:ind w:left="296" w:right="-142"/>
              <w:jc w:val="both"/>
              <w:rPr>
                <w:b/>
                <w:sz w:val="20"/>
              </w:rPr>
            </w:pPr>
            <w:r>
              <w:rPr>
                <w:b/>
                <w:sz w:val="20"/>
              </w:rPr>
              <w:t>atzīst</w:t>
            </w:r>
          </w:p>
        </w:tc>
      </w:tr>
      <w:tr w:rsidR="00840849" w14:paraId="2BC48613" w14:textId="77777777" w:rsidTr="00535ACC">
        <w:trPr>
          <w:trHeight w:val="1002"/>
        </w:trPr>
        <w:tc>
          <w:tcPr>
            <w:tcW w:w="1555" w:type="dxa"/>
            <w:shd w:val="clear" w:color="auto" w:fill="EBF3F9"/>
          </w:tcPr>
          <w:p w14:paraId="3A1CAAB0" w14:textId="77777777" w:rsidR="00840849" w:rsidRDefault="00840849" w:rsidP="00CD363C">
            <w:pPr>
              <w:pStyle w:val="TableParagraph"/>
              <w:ind w:left="107" w:right="-142"/>
              <w:jc w:val="both"/>
              <w:rPr>
                <w:b/>
                <w:sz w:val="20"/>
              </w:rPr>
            </w:pPr>
            <w:r>
              <w:rPr>
                <w:b/>
                <w:sz w:val="20"/>
              </w:rPr>
              <w:t>Patiesajā vērtībā novērtētie finanšu aktīvi</w:t>
            </w:r>
          </w:p>
        </w:tc>
        <w:tc>
          <w:tcPr>
            <w:tcW w:w="1136" w:type="dxa"/>
            <w:vMerge w:val="restart"/>
            <w:shd w:val="clear" w:color="auto" w:fill="EBF3F9"/>
          </w:tcPr>
          <w:p w14:paraId="78CD0391" w14:textId="77777777" w:rsidR="00840849" w:rsidRDefault="00840849" w:rsidP="00CD363C">
            <w:pPr>
              <w:pStyle w:val="TableParagraph"/>
              <w:ind w:right="-142"/>
              <w:jc w:val="both"/>
              <w:rPr>
                <w:i/>
              </w:rPr>
            </w:pPr>
          </w:p>
          <w:p w14:paraId="6C0EC583" w14:textId="77777777" w:rsidR="00840849" w:rsidRDefault="00840849" w:rsidP="00CD363C">
            <w:pPr>
              <w:pStyle w:val="TableParagraph"/>
              <w:ind w:right="-142"/>
              <w:jc w:val="both"/>
              <w:rPr>
                <w:i/>
              </w:rPr>
            </w:pPr>
          </w:p>
          <w:p w14:paraId="0DBC2BE7" w14:textId="77777777" w:rsidR="00840849" w:rsidRDefault="00840849" w:rsidP="00CD363C">
            <w:pPr>
              <w:pStyle w:val="TableParagraph"/>
              <w:ind w:right="-142"/>
              <w:jc w:val="both"/>
              <w:rPr>
                <w:i/>
              </w:rPr>
            </w:pPr>
          </w:p>
          <w:p w14:paraId="06ECF365" w14:textId="77777777" w:rsidR="00840849" w:rsidRDefault="00840849" w:rsidP="00CD363C">
            <w:pPr>
              <w:pStyle w:val="TableParagraph"/>
              <w:ind w:right="-142"/>
              <w:jc w:val="both"/>
              <w:rPr>
                <w:i/>
              </w:rPr>
            </w:pPr>
          </w:p>
          <w:p w14:paraId="4B421F31" w14:textId="77777777" w:rsidR="00840849" w:rsidRDefault="00840849" w:rsidP="00CD363C">
            <w:pPr>
              <w:pStyle w:val="TableParagraph"/>
              <w:ind w:right="-142"/>
              <w:jc w:val="both"/>
              <w:rPr>
                <w:i/>
              </w:rPr>
            </w:pPr>
          </w:p>
          <w:p w14:paraId="42B368CD" w14:textId="77777777" w:rsidR="00840849" w:rsidRDefault="00840849" w:rsidP="00CD363C">
            <w:pPr>
              <w:pStyle w:val="TableParagraph"/>
              <w:ind w:right="-142"/>
              <w:jc w:val="both"/>
              <w:rPr>
                <w:i/>
              </w:rPr>
            </w:pPr>
          </w:p>
          <w:p w14:paraId="77C85DAE" w14:textId="77777777" w:rsidR="00840849" w:rsidRDefault="00840849" w:rsidP="00CD363C">
            <w:pPr>
              <w:pStyle w:val="TableParagraph"/>
              <w:ind w:left="107" w:right="-142"/>
              <w:jc w:val="both"/>
              <w:rPr>
                <w:sz w:val="20"/>
              </w:rPr>
            </w:pPr>
            <w:r>
              <w:rPr>
                <w:sz w:val="20"/>
              </w:rPr>
              <w:t>Patiesajā vērtībā</w:t>
            </w:r>
          </w:p>
        </w:tc>
        <w:tc>
          <w:tcPr>
            <w:tcW w:w="1417" w:type="dxa"/>
            <w:shd w:val="clear" w:color="auto" w:fill="EBF3F9"/>
          </w:tcPr>
          <w:p w14:paraId="5CBEDAEA" w14:textId="77777777" w:rsidR="00840849" w:rsidRDefault="00840849" w:rsidP="00CD363C">
            <w:pPr>
              <w:pStyle w:val="TableParagraph"/>
              <w:ind w:right="-142"/>
              <w:jc w:val="both"/>
              <w:rPr>
                <w:i/>
                <w:sz w:val="23"/>
              </w:rPr>
            </w:pPr>
          </w:p>
          <w:p w14:paraId="20E122D8" w14:textId="77777777" w:rsidR="00840849" w:rsidRDefault="00840849" w:rsidP="00CD363C">
            <w:pPr>
              <w:pStyle w:val="TableParagraph"/>
              <w:ind w:left="105" w:right="-142"/>
              <w:jc w:val="both"/>
              <w:rPr>
                <w:sz w:val="20"/>
              </w:rPr>
            </w:pPr>
            <w:r>
              <w:rPr>
                <w:sz w:val="20"/>
              </w:rPr>
              <w:t>Patiesajā vērtībā</w:t>
            </w:r>
          </w:p>
        </w:tc>
        <w:tc>
          <w:tcPr>
            <w:tcW w:w="1844" w:type="dxa"/>
            <w:shd w:val="clear" w:color="auto" w:fill="EBF3F9"/>
          </w:tcPr>
          <w:p w14:paraId="78027828" w14:textId="77777777" w:rsidR="00840849" w:rsidRDefault="00840849" w:rsidP="00CD363C">
            <w:pPr>
              <w:pStyle w:val="TableParagraph"/>
              <w:ind w:left="107" w:right="-142"/>
              <w:jc w:val="both"/>
              <w:rPr>
                <w:sz w:val="20"/>
              </w:rPr>
            </w:pPr>
            <w:r>
              <w:rPr>
                <w:sz w:val="20"/>
              </w:rPr>
              <w:t>Pārskata perioda finanšu ieņēmumos vai izdevumos</w:t>
            </w:r>
          </w:p>
        </w:tc>
        <w:tc>
          <w:tcPr>
            <w:tcW w:w="1845" w:type="dxa"/>
            <w:shd w:val="clear" w:color="auto" w:fill="EBF3F9"/>
          </w:tcPr>
          <w:p w14:paraId="11C87F82" w14:textId="77777777" w:rsidR="00840849" w:rsidRDefault="00840849" w:rsidP="00CD363C">
            <w:pPr>
              <w:pStyle w:val="TableParagraph"/>
              <w:ind w:right="-142"/>
              <w:jc w:val="both"/>
              <w:rPr>
                <w:i/>
                <w:sz w:val="23"/>
              </w:rPr>
            </w:pPr>
          </w:p>
          <w:p w14:paraId="53D06422" w14:textId="77777777" w:rsidR="00840849" w:rsidRDefault="00840849" w:rsidP="00CD363C">
            <w:pPr>
              <w:pStyle w:val="TableParagraph"/>
              <w:ind w:left="106" w:right="-142"/>
              <w:jc w:val="both"/>
              <w:rPr>
                <w:sz w:val="20"/>
              </w:rPr>
            </w:pPr>
            <w:r>
              <w:rPr>
                <w:sz w:val="20"/>
              </w:rPr>
              <w:t>Pārskata perioda finanšu ieņēmumos</w:t>
            </w:r>
          </w:p>
        </w:tc>
        <w:tc>
          <w:tcPr>
            <w:tcW w:w="1703" w:type="dxa"/>
            <w:shd w:val="clear" w:color="auto" w:fill="EBF3F9"/>
          </w:tcPr>
          <w:p w14:paraId="7C9E583F" w14:textId="77777777" w:rsidR="00840849" w:rsidRDefault="00840849" w:rsidP="00CD363C">
            <w:pPr>
              <w:pStyle w:val="TableParagraph"/>
              <w:ind w:right="-142"/>
              <w:jc w:val="both"/>
              <w:rPr>
                <w:i/>
              </w:rPr>
            </w:pPr>
          </w:p>
          <w:p w14:paraId="61AC584E" w14:textId="77777777" w:rsidR="00840849" w:rsidRDefault="00840849" w:rsidP="00CD363C">
            <w:pPr>
              <w:pStyle w:val="TableParagraph"/>
              <w:ind w:left="105" w:right="-142"/>
              <w:jc w:val="both"/>
              <w:rPr>
                <w:sz w:val="20"/>
              </w:rPr>
            </w:pPr>
            <w:r>
              <w:rPr>
                <w:sz w:val="20"/>
              </w:rPr>
              <w:t>n/a</w:t>
            </w:r>
          </w:p>
        </w:tc>
      </w:tr>
      <w:tr w:rsidR="00840849" w14:paraId="69FA4836" w14:textId="77777777" w:rsidTr="00535ACC">
        <w:trPr>
          <w:trHeight w:val="844"/>
        </w:trPr>
        <w:tc>
          <w:tcPr>
            <w:tcW w:w="1555" w:type="dxa"/>
          </w:tcPr>
          <w:p w14:paraId="2D58434C" w14:textId="77777777" w:rsidR="00840849" w:rsidRDefault="00840849" w:rsidP="00CD363C">
            <w:pPr>
              <w:pStyle w:val="TableParagraph"/>
              <w:ind w:left="107" w:right="-142"/>
              <w:jc w:val="both"/>
              <w:rPr>
                <w:b/>
                <w:sz w:val="20"/>
              </w:rPr>
            </w:pPr>
            <w:r>
              <w:rPr>
                <w:b/>
                <w:sz w:val="20"/>
              </w:rPr>
              <w:t>Līdz termiņa beigām turētie ieguldījumi</w:t>
            </w:r>
          </w:p>
        </w:tc>
        <w:tc>
          <w:tcPr>
            <w:tcW w:w="1136" w:type="dxa"/>
            <w:vMerge/>
            <w:tcBorders>
              <w:top w:val="nil"/>
            </w:tcBorders>
            <w:shd w:val="clear" w:color="auto" w:fill="EBF3F9"/>
          </w:tcPr>
          <w:p w14:paraId="2E1A7D86" w14:textId="77777777" w:rsidR="00840849" w:rsidRDefault="00840849" w:rsidP="00CD363C">
            <w:pPr>
              <w:spacing w:after="0" w:line="240" w:lineRule="auto"/>
              <w:ind w:right="-142"/>
              <w:jc w:val="both"/>
              <w:rPr>
                <w:sz w:val="2"/>
                <w:szCs w:val="2"/>
              </w:rPr>
            </w:pPr>
          </w:p>
        </w:tc>
        <w:tc>
          <w:tcPr>
            <w:tcW w:w="1417" w:type="dxa"/>
          </w:tcPr>
          <w:p w14:paraId="494E3906" w14:textId="77777777" w:rsidR="00840849" w:rsidRDefault="00840849" w:rsidP="00CD363C">
            <w:pPr>
              <w:pStyle w:val="TableParagraph"/>
              <w:ind w:left="105" w:right="-142"/>
              <w:jc w:val="both"/>
              <w:rPr>
                <w:sz w:val="20"/>
              </w:rPr>
            </w:pPr>
            <w:r>
              <w:rPr>
                <w:w w:val="95"/>
                <w:sz w:val="20"/>
              </w:rPr>
              <w:t xml:space="preserve">Amortizētajā </w:t>
            </w:r>
            <w:r>
              <w:rPr>
                <w:sz w:val="20"/>
              </w:rPr>
              <w:t>vērtībā</w:t>
            </w:r>
          </w:p>
        </w:tc>
        <w:tc>
          <w:tcPr>
            <w:tcW w:w="1844" w:type="dxa"/>
          </w:tcPr>
          <w:p w14:paraId="58EE6F9F" w14:textId="77777777" w:rsidR="00840849" w:rsidRDefault="00840849" w:rsidP="00CD363C">
            <w:pPr>
              <w:pStyle w:val="TableParagraph"/>
              <w:ind w:right="-142"/>
              <w:jc w:val="both"/>
              <w:rPr>
                <w:i/>
                <w:sz w:val="26"/>
              </w:rPr>
            </w:pPr>
          </w:p>
          <w:p w14:paraId="4E3D1BCD" w14:textId="77777777" w:rsidR="00840849" w:rsidRDefault="00840849" w:rsidP="00CD363C">
            <w:pPr>
              <w:pStyle w:val="TableParagraph"/>
              <w:ind w:left="107" w:right="-142"/>
              <w:jc w:val="both"/>
              <w:rPr>
                <w:sz w:val="20"/>
              </w:rPr>
            </w:pPr>
            <w:r>
              <w:rPr>
                <w:sz w:val="20"/>
              </w:rPr>
              <w:t>n/a</w:t>
            </w:r>
          </w:p>
        </w:tc>
        <w:tc>
          <w:tcPr>
            <w:tcW w:w="1845" w:type="dxa"/>
          </w:tcPr>
          <w:p w14:paraId="196056AD" w14:textId="77777777" w:rsidR="00840849" w:rsidRDefault="00840849" w:rsidP="00CD363C">
            <w:pPr>
              <w:pStyle w:val="TableParagraph"/>
              <w:ind w:left="106" w:right="-142"/>
              <w:jc w:val="both"/>
              <w:rPr>
                <w:sz w:val="20"/>
              </w:rPr>
            </w:pPr>
            <w:r>
              <w:rPr>
                <w:sz w:val="20"/>
              </w:rPr>
              <w:t>Pārskata perioda finanšu ieņēmumos</w:t>
            </w:r>
          </w:p>
        </w:tc>
        <w:tc>
          <w:tcPr>
            <w:tcW w:w="1703" w:type="dxa"/>
          </w:tcPr>
          <w:p w14:paraId="1FE9DE1A" w14:textId="77777777" w:rsidR="00840849" w:rsidRDefault="00840849" w:rsidP="00CD363C">
            <w:pPr>
              <w:pStyle w:val="TableParagraph"/>
              <w:ind w:left="105" w:right="-142"/>
              <w:jc w:val="both"/>
              <w:rPr>
                <w:sz w:val="20"/>
              </w:rPr>
            </w:pPr>
            <w:r>
              <w:rPr>
                <w:sz w:val="20"/>
              </w:rPr>
              <w:t>Pārskata perioda finanšu izdevumos</w:t>
            </w:r>
          </w:p>
        </w:tc>
      </w:tr>
      <w:tr w:rsidR="00840849" w14:paraId="6C2196DF" w14:textId="77777777" w:rsidTr="00535ACC">
        <w:trPr>
          <w:trHeight w:val="830"/>
        </w:trPr>
        <w:tc>
          <w:tcPr>
            <w:tcW w:w="1555" w:type="dxa"/>
            <w:shd w:val="clear" w:color="auto" w:fill="EBF3F9"/>
          </w:tcPr>
          <w:p w14:paraId="41B1255F" w14:textId="77777777" w:rsidR="00840849" w:rsidRDefault="00840849" w:rsidP="00CD363C">
            <w:pPr>
              <w:pStyle w:val="TableParagraph"/>
              <w:ind w:left="107" w:right="-142"/>
              <w:jc w:val="both"/>
              <w:rPr>
                <w:b/>
                <w:sz w:val="20"/>
              </w:rPr>
            </w:pPr>
            <w:r>
              <w:rPr>
                <w:b/>
                <w:sz w:val="20"/>
              </w:rPr>
              <w:t>Aizdevumi un prasības</w:t>
            </w:r>
          </w:p>
        </w:tc>
        <w:tc>
          <w:tcPr>
            <w:tcW w:w="1136" w:type="dxa"/>
            <w:vMerge/>
            <w:tcBorders>
              <w:top w:val="nil"/>
            </w:tcBorders>
            <w:shd w:val="clear" w:color="auto" w:fill="EBF3F9"/>
          </w:tcPr>
          <w:p w14:paraId="43F37A9D" w14:textId="77777777" w:rsidR="00840849" w:rsidRDefault="00840849" w:rsidP="00CD363C">
            <w:pPr>
              <w:spacing w:after="0" w:line="240" w:lineRule="auto"/>
              <w:ind w:right="-142"/>
              <w:jc w:val="both"/>
              <w:rPr>
                <w:sz w:val="2"/>
                <w:szCs w:val="2"/>
              </w:rPr>
            </w:pPr>
          </w:p>
        </w:tc>
        <w:tc>
          <w:tcPr>
            <w:tcW w:w="1417" w:type="dxa"/>
            <w:shd w:val="clear" w:color="auto" w:fill="EBF3F9"/>
          </w:tcPr>
          <w:p w14:paraId="6EB3AF5A" w14:textId="77777777" w:rsidR="00840849" w:rsidRDefault="00840849" w:rsidP="00CD363C">
            <w:pPr>
              <w:pStyle w:val="TableParagraph"/>
              <w:ind w:left="105" w:right="-142"/>
              <w:jc w:val="both"/>
              <w:rPr>
                <w:sz w:val="20"/>
              </w:rPr>
            </w:pPr>
            <w:r>
              <w:rPr>
                <w:w w:val="95"/>
                <w:sz w:val="20"/>
              </w:rPr>
              <w:t xml:space="preserve">Amortizētajā </w:t>
            </w:r>
            <w:r>
              <w:rPr>
                <w:sz w:val="20"/>
              </w:rPr>
              <w:t>vērtībā</w:t>
            </w:r>
          </w:p>
        </w:tc>
        <w:tc>
          <w:tcPr>
            <w:tcW w:w="1844" w:type="dxa"/>
            <w:shd w:val="clear" w:color="auto" w:fill="EBF3F9"/>
          </w:tcPr>
          <w:p w14:paraId="7E5AF31F" w14:textId="77777777" w:rsidR="00840849" w:rsidRDefault="00840849" w:rsidP="00CD363C">
            <w:pPr>
              <w:pStyle w:val="TableParagraph"/>
              <w:ind w:right="-142"/>
              <w:jc w:val="both"/>
              <w:rPr>
                <w:i/>
                <w:sz w:val="25"/>
              </w:rPr>
            </w:pPr>
          </w:p>
          <w:p w14:paraId="022DEDF7" w14:textId="77777777" w:rsidR="00840849" w:rsidRDefault="00840849" w:rsidP="00CD363C">
            <w:pPr>
              <w:pStyle w:val="TableParagraph"/>
              <w:ind w:left="107" w:right="-142"/>
              <w:jc w:val="both"/>
              <w:rPr>
                <w:sz w:val="20"/>
              </w:rPr>
            </w:pPr>
            <w:r>
              <w:rPr>
                <w:sz w:val="20"/>
              </w:rPr>
              <w:t>n/a</w:t>
            </w:r>
          </w:p>
        </w:tc>
        <w:tc>
          <w:tcPr>
            <w:tcW w:w="1845" w:type="dxa"/>
            <w:shd w:val="clear" w:color="auto" w:fill="EBF3F9"/>
          </w:tcPr>
          <w:p w14:paraId="370EE064" w14:textId="77777777" w:rsidR="00840849" w:rsidRDefault="00840849" w:rsidP="00CD363C">
            <w:pPr>
              <w:pStyle w:val="TableParagraph"/>
              <w:ind w:left="106" w:right="-142"/>
              <w:jc w:val="both"/>
              <w:rPr>
                <w:sz w:val="20"/>
              </w:rPr>
            </w:pPr>
            <w:r>
              <w:rPr>
                <w:sz w:val="20"/>
              </w:rPr>
              <w:t>Pārskata perioda finanšu ieņēmumos</w:t>
            </w:r>
          </w:p>
        </w:tc>
        <w:tc>
          <w:tcPr>
            <w:tcW w:w="1703" w:type="dxa"/>
            <w:shd w:val="clear" w:color="auto" w:fill="EBF3F9"/>
          </w:tcPr>
          <w:p w14:paraId="50C336FE" w14:textId="77777777" w:rsidR="00840849" w:rsidRDefault="00840849" w:rsidP="00CD363C">
            <w:pPr>
              <w:pStyle w:val="TableParagraph"/>
              <w:ind w:left="105" w:right="-142"/>
              <w:jc w:val="both"/>
              <w:rPr>
                <w:sz w:val="20"/>
              </w:rPr>
            </w:pPr>
            <w:r>
              <w:rPr>
                <w:sz w:val="20"/>
              </w:rPr>
              <w:t>Pārskata perioda finanšu izdevumos</w:t>
            </w:r>
          </w:p>
        </w:tc>
      </w:tr>
      <w:tr w:rsidR="00840849" w14:paraId="5FF3701A" w14:textId="77777777" w:rsidTr="00535ACC">
        <w:trPr>
          <w:trHeight w:val="1152"/>
        </w:trPr>
        <w:tc>
          <w:tcPr>
            <w:tcW w:w="1555" w:type="dxa"/>
          </w:tcPr>
          <w:p w14:paraId="5FA5D8BA" w14:textId="77777777" w:rsidR="00840849" w:rsidRDefault="00840849" w:rsidP="00CD363C">
            <w:pPr>
              <w:pStyle w:val="TableParagraph"/>
              <w:ind w:right="-142"/>
              <w:jc w:val="both"/>
              <w:rPr>
                <w:i/>
                <w:sz w:val="20"/>
              </w:rPr>
            </w:pPr>
          </w:p>
          <w:p w14:paraId="7878512D" w14:textId="77777777" w:rsidR="00840849" w:rsidRDefault="00840849" w:rsidP="00CD363C">
            <w:pPr>
              <w:pStyle w:val="TableParagraph"/>
              <w:ind w:left="107" w:right="-142"/>
              <w:jc w:val="both"/>
              <w:rPr>
                <w:b/>
                <w:sz w:val="20"/>
              </w:rPr>
            </w:pPr>
            <w:r>
              <w:rPr>
                <w:b/>
                <w:sz w:val="20"/>
              </w:rPr>
              <w:t>Pārdošanai pieejami finanšu aktīvi</w:t>
            </w:r>
          </w:p>
        </w:tc>
        <w:tc>
          <w:tcPr>
            <w:tcW w:w="1136" w:type="dxa"/>
            <w:vMerge/>
            <w:tcBorders>
              <w:top w:val="nil"/>
            </w:tcBorders>
            <w:shd w:val="clear" w:color="auto" w:fill="EBF3F9"/>
          </w:tcPr>
          <w:p w14:paraId="3ACF23FC" w14:textId="77777777" w:rsidR="00840849" w:rsidRDefault="00840849" w:rsidP="00CD363C">
            <w:pPr>
              <w:spacing w:after="0" w:line="240" w:lineRule="auto"/>
              <w:ind w:right="-142"/>
              <w:jc w:val="both"/>
              <w:rPr>
                <w:sz w:val="2"/>
                <w:szCs w:val="2"/>
              </w:rPr>
            </w:pPr>
          </w:p>
        </w:tc>
        <w:tc>
          <w:tcPr>
            <w:tcW w:w="1417" w:type="dxa"/>
          </w:tcPr>
          <w:p w14:paraId="37A43F1B" w14:textId="77777777" w:rsidR="00840849" w:rsidRDefault="00840849" w:rsidP="00CD363C">
            <w:pPr>
              <w:pStyle w:val="TableParagraph"/>
              <w:ind w:right="-142"/>
              <w:jc w:val="both"/>
              <w:rPr>
                <w:i/>
                <w:sz w:val="29"/>
              </w:rPr>
            </w:pPr>
          </w:p>
          <w:p w14:paraId="3315D05E" w14:textId="77777777" w:rsidR="00840849" w:rsidRDefault="00840849" w:rsidP="00CD363C">
            <w:pPr>
              <w:pStyle w:val="TableParagraph"/>
              <w:ind w:left="105" w:right="-142"/>
              <w:jc w:val="both"/>
              <w:rPr>
                <w:sz w:val="20"/>
              </w:rPr>
            </w:pPr>
            <w:r>
              <w:rPr>
                <w:sz w:val="20"/>
              </w:rPr>
              <w:t>Patiesajā vērtībā*</w:t>
            </w:r>
          </w:p>
        </w:tc>
        <w:tc>
          <w:tcPr>
            <w:tcW w:w="1844" w:type="dxa"/>
          </w:tcPr>
          <w:p w14:paraId="66E76CA7" w14:textId="77777777" w:rsidR="00840849" w:rsidRDefault="00840849" w:rsidP="00CD363C">
            <w:pPr>
              <w:pStyle w:val="TableParagraph"/>
              <w:ind w:left="107" w:right="-142"/>
              <w:jc w:val="both"/>
              <w:rPr>
                <w:sz w:val="20"/>
              </w:rPr>
            </w:pPr>
            <w:r>
              <w:rPr>
                <w:sz w:val="20"/>
              </w:rPr>
              <w:t>Pašu kapitālā – finanšu instrumentu</w:t>
            </w:r>
          </w:p>
          <w:p w14:paraId="57403FF2" w14:textId="77777777" w:rsidR="00840849" w:rsidRDefault="00840849" w:rsidP="00CD363C">
            <w:pPr>
              <w:pStyle w:val="TableParagraph"/>
              <w:ind w:left="107" w:right="-142"/>
              <w:jc w:val="both"/>
              <w:rPr>
                <w:sz w:val="20"/>
              </w:rPr>
            </w:pPr>
            <w:r>
              <w:rPr>
                <w:sz w:val="20"/>
              </w:rPr>
              <w:t>patiesās vērtības rezervē</w:t>
            </w:r>
          </w:p>
        </w:tc>
        <w:tc>
          <w:tcPr>
            <w:tcW w:w="1845" w:type="dxa"/>
          </w:tcPr>
          <w:p w14:paraId="56E21BBA" w14:textId="77777777" w:rsidR="00840849" w:rsidRDefault="00840849" w:rsidP="00CD363C">
            <w:pPr>
              <w:pStyle w:val="TableParagraph"/>
              <w:ind w:right="-142"/>
              <w:jc w:val="both"/>
              <w:rPr>
                <w:i/>
                <w:sz w:val="29"/>
              </w:rPr>
            </w:pPr>
          </w:p>
          <w:p w14:paraId="3B4E8F3A" w14:textId="77777777" w:rsidR="00840849" w:rsidRDefault="00840849" w:rsidP="00CD363C">
            <w:pPr>
              <w:pStyle w:val="TableParagraph"/>
              <w:ind w:left="106" w:right="-142"/>
              <w:jc w:val="both"/>
              <w:rPr>
                <w:sz w:val="20"/>
              </w:rPr>
            </w:pPr>
            <w:r>
              <w:rPr>
                <w:sz w:val="20"/>
              </w:rPr>
              <w:t>Pārskata perioda finanšu ieņēmumos</w:t>
            </w:r>
          </w:p>
        </w:tc>
        <w:tc>
          <w:tcPr>
            <w:tcW w:w="1703" w:type="dxa"/>
          </w:tcPr>
          <w:p w14:paraId="4FD98A0C" w14:textId="77777777" w:rsidR="00840849" w:rsidRDefault="00840849" w:rsidP="00CD363C">
            <w:pPr>
              <w:pStyle w:val="TableParagraph"/>
              <w:ind w:right="-142"/>
              <w:jc w:val="both"/>
              <w:rPr>
                <w:i/>
                <w:sz w:val="19"/>
              </w:rPr>
            </w:pPr>
          </w:p>
          <w:p w14:paraId="6791D05D" w14:textId="77777777" w:rsidR="00840849" w:rsidRDefault="00840849" w:rsidP="00CD363C">
            <w:pPr>
              <w:pStyle w:val="TableParagraph"/>
              <w:ind w:left="105" w:right="-142"/>
              <w:jc w:val="both"/>
              <w:rPr>
                <w:sz w:val="20"/>
              </w:rPr>
            </w:pPr>
            <w:r>
              <w:rPr>
                <w:sz w:val="20"/>
              </w:rPr>
              <w:t>Pārskata perioda finanšu izdevumos**</w:t>
            </w:r>
          </w:p>
        </w:tc>
      </w:tr>
    </w:tbl>
    <w:p w14:paraId="19207A00" w14:textId="77777777" w:rsidR="00840849" w:rsidRDefault="00840849" w:rsidP="00CD363C">
      <w:pPr>
        <w:pStyle w:val="Sarakstarindkopa"/>
        <w:widowControl w:val="0"/>
        <w:numPr>
          <w:ilvl w:val="0"/>
          <w:numId w:val="42"/>
        </w:numPr>
        <w:tabs>
          <w:tab w:val="left" w:pos="486"/>
        </w:tabs>
        <w:autoSpaceDE w:val="0"/>
        <w:autoSpaceDN w:val="0"/>
        <w:spacing w:after="0" w:line="240" w:lineRule="auto"/>
        <w:ind w:right="-142" w:firstLine="0"/>
        <w:contextualSpacing w:val="0"/>
        <w:jc w:val="both"/>
        <w:rPr>
          <w:i/>
          <w:sz w:val="20"/>
        </w:rPr>
      </w:pPr>
      <w:r>
        <w:rPr>
          <w:i/>
          <w:sz w:val="20"/>
        </w:rPr>
        <w:t>ja</w:t>
      </w:r>
      <w:r>
        <w:rPr>
          <w:i/>
          <w:spacing w:val="-9"/>
          <w:sz w:val="20"/>
        </w:rPr>
        <w:t xml:space="preserve"> </w:t>
      </w:r>
      <w:r>
        <w:rPr>
          <w:i/>
          <w:sz w:val="20"/>
        </w:rPr>
        <w:t>pārdošanai</w:t>
      </w:r>
      <w:r>
        <w:rPr>
          <w:i/>
          <w:spacing w:val="-9"/>
          <w:sz w:val="20"/>
        </w:rPr>
        <w:t xml:space="preserve"> </w:t>
      </w:r>
      <w:r>
        <w:rPr>
          <w:i/>
          <w:sz w:val="20"/>
        </w:rPr>
        <w:t>pieejama</w:t>
      </w:r>
      <w:r>
        <w:rPr>
          <w:i/>
          <w:spacing w:val="-9"/>
          <w:sz w:val="20"/>
        </w:rPr>
        <w:t xml:space="preserve"> </w:t>
      </w:r>
      <w:r>
        <w:rPr>
          <w:i/>
          <w:sz w:val="20"/>
        </w:rPr>
        <w:t>finanšu</w:t>
      </w:r>
      <w:r>
        <w:rPr>
          <w:i/>
          <w:spacing w:val="-7"/>
          <w:sz w:val="20"/>
        </w:rPr>
        <w:t xml:space="preserve"> </w:t>
      </w:r>
      <w:r>
        <w:rPr>
          <w:i/>
          <w:sz w:val="20"/>
        </w:rPr>
        <w:t>aktīva,</w:t>
      </w:r>
      <w:r>
        <w:rPr>
          <w:i/>
          <w:spacing w:val="-9"/>
          <w:sz w:val="20"/>
        </w:rPr>
        <w:t xml:space="preserve"> </w:t>
      </w:r>
      <w:r>
        <w:rPr>
          <w:i/>
          <w:sz w:val="20"/>
        </w:rPr>
        <w:t>kurus</w:t>
      </w:r>
      <w:r>
        <w:rPr>
          <w:i/>
          <w:spacing w:val="-10"/>
          <w:sz w:val="20"/>
        </w:rPr>
        <w:t xml:space="preserve"> </w:t>
      </w:r>
      <w:r>
        <w:rPr>
          <w:i/>
          <w:sz w:val="20"/>
        </w:rPr>
        <w:t>netirgo</w:t>
      </w:r>
      <w:r>
        <w:rPr>
          <w:i/>
          <w:spacing w:val="-9"/>
          <w:sz w:val="20"/>
        </w:rPr>
        <w:t xml:space="preserve"> </w:t>
      </w:r>
      <w:r>
        <w:rPr>
          <w:i/>
          <w:sz w:val="20"/>
        </w:rPr>
        <w:t>aktīvā</w:t>
      </w:r>
      <w:r>
        <w:rPr>
          <w:i/>
          <w:spacing w:val="-6"/>
          <w:sz w:val="20"/>
        </w:rPr>
        <w:t xml:space="preserve"> </w:t>
      </w:r>
      <w:r>
        <w:rPr>
          <w:i/>
          <w:sz w:val="20"/>
        </w:rPr>
        <w:t>tirgū</w:t>
      </w:r>
      <w:r>
        <w:rPr>
          <w:i/>
          <w:spacing w:val="-8"/>
          <w:sz w:val="20"/>
        </w:rPr>
        <w:t xml:space="preserve"> </w:t>
      </w:r>
      <w:r>
        <w:rPr>
          <w:i/>
          <w:sz w:val="20"/>
        </w:rPr>
        <w:t>(nekotētie</w:t>
      </w:r>
      <w:r>
        <w:rPr>
          <w:i/>
          <w:spacing w:val="-8"/>
          <w:sz w:val="20"/>
        </w:rPr>
        <w:t xml:space="preserve"> </w:t>
      </w:r>
      <w:r>
        <w:rPr>
          <w:i/>
          <w:sz w:val="20"/>
        </w:rPr>
        <w:t>pašu</w:t>
      </w:r>
      <w:r>
        <w:rPr>
          <w:i/>
          <w:spacing w:val="-8"/>
          <w:sz w:val="20"/>
        </w:rPr>
        <w:t xml:space="preserve"> </w:t>
      </w:r>
      <w:r>
        <w:rPr>
          <w:i/>
          <w:sz w:val="20"/>
        </w:rPr>
        <w:t>kapitāla</w:t>
      </w:r>
      <w:r>
        <w:rPr>
          <w:i/>
          <w:spacing w:val="-7"/>
          <w:sz w:val="20"/>
        </w:rPr>
        <w:t xml:space="preserve"> </w:t>
      </w:r>
      <w:r>
        <w:rPr>
          <w:i/>
          <w:sz w:val="20"/>
        </w:rPr>
        <w:t>instrumenti),</w:t>
      </w:r>
      <w:r>
        <w:rPr>
          <w:i/>
          <w:spacing w:val="-6"/>
          <w:sz w:val="20"/>
        </w:rPr>
        <w:t xml:space="preserve"> </w:t>
      </w:r>
      <w:r>
        <w:rPr>
          <w:i/>
          <w:sz w:val="20"/>
        </w:rPr>
        <w:t>patieso</w:t>
      </w:r>
      <w:r>
        <w:rPr>
          <w:i/>
          <w:spacing w:val="-7"/>
          <w:sz w:val="20"/>
        </w:rPr>
        <w:t xml:space="preserve"> </w:t>
      </w:r>
      <w:r>
        <w:rPr>
          <w:i/>
          <w:sz w:val="20"/>
        </w:rPr>
        <w:t>vērtību nevar novērtēt, to turpmākai novērtēšanai izmanto izmaksu vērtību, atskaitot izdevumus (zaudējumus) no vērtības samazinājuma.</w:t>
      </w:r>
    </w:p>
    <w:p w14:paraId="0DF522B3" w14:textId="77777777" w:rsidR="00840849" w:rsidRDefault="00370E9C" w:rsidP="00CD363C">
      <w:pPr>
        <w:spacing w:after="0" w:line="240" w:lineRule="auto"/>
        <w:ind w:left="338" w:right="407"/>
        <w:jc w:val="both"/>
        <w:rPr>
          <w:i/>
          <w:sz w:val="20"/>
        </w:rPr>
      </w:pPr>
      <w:r w:rsidRPr="00370E9C">
        <w:rPr>
          <w:i/>
          <w:sz w:val="20"/>
        </w:rPr>
        <w:t>21.8</w:t>
      </w:r>
      <w:r w:rsidR="00840849" w:rsidRPr="00370E9C">
        <w:rPr>
          <w:i/>
          <w:sz w:val="20"/>
        </w:rPr>
        <w:t xml:space="preserve"> apakšnodaļā</w:t>
      </w:r>
      <w:r w:rsidR="00840849">
        <w:rPr>
          <w:i/>
          <w:sz w:val="20"/>
        </w:rPr>
        <w:t xml:space="preserve"> </w:t>
      </w:r>
      <w:r w:rsidR="00840849">
        <w:rPr>
          <w:i/>
          <w:color w:val="0462C1"/>
          <w:sz w:val="20"/>
          <w:u w:val="single" w:color="0462C1"/>
        </w:rPr>
        <w:t>“</w:t>
      </w:r>
      <w:hyperlink w:anchor="_bookmark365" w:history="1">
        <w:r>
          <w:t>21</w:t>
        </w:r>
        <w:r w:rsidR="00840849">
          <w:rPr>
            <w:i/>
            <w:color w:val="0462C1"/>
            <w:sz w:val="20"/>
            <w:u w:val="single" w:color="0462C1"/>
          </w:rPr>
          <w:t>.8.</w:t>
        </w:r>
        <w:r>
          <w:rPr>
            <w:i/>
            <w:color w:val="0462C1"/>
            <w:sz w:val="20"/>
            <w:u w:val="single" w:color="0462C1"/>
          </w:rPr>
          <w:t>8.</w:t>
        </w:r>
        <w:r w:rsidR="00840849">
          <w:rPr>
            <w:i/>
            <w:color w:val="0462C1"/>
            <w:sz w:val="20"/>
            <w:u w:val="single" w:color="0462C1"/>
          </w:rPr>
          <w:t xml:space="preserve"> Piemērs – vērtības samazināšanās uzskaite pārdošanai pieejamam finanšu aktīvam</w:t>
        </w:r>
      </w:hyperlink>
      <w:r w:rsidR="00840849">
        <w:rPr>
          <w:i/>
          <w:color w:val="0462C1"/>
          <w:sz w:val="20"/>
          <w:u w:val="single" w:color="0462C1"/>
        </w:rPr>
        <w:t>”</w:t>
      </w:r>
      <w:r w:rsidR="00840849">
        <w:rPr>
          <w:i/>
          <w:color w:val="0462C1"/>
          <w:sz w:val="20"/>
        </w:rPr>
        <w:t xml:space="preserve"> </w:t>
      </w:r>
      <w:r w:rsidR="00840849">
        <w:rPr>
          <w:i/>
          <w:sz w:val="20"/>
        </w:rPr>
        <w:t>sniegts ilustratīvs piemērs.</w:t>
      </w:r>
    </w:p>
    <w:p w14:paraId="1040F88F" w14:textId="77777777" w:rsidR="00840849" w:rsidRDefault="00840849" w:rsidP="00CD363C">
      <w:pPr>
        <w:pStyle w:val="Pamatteksts"/>
        <w:ind w:right="407"/>
        <w:jc w:val="both"/>
        <w:rPr>
          <w:i/>
        </w:rPr>
      </w:pPr>
    </w:p>
    <w:p w14:paraId="278C3D06" w14:textId="77777777" w:rsidR="00840849" w:rsidRDefault="00840849" w:rsidP="00CD363C">
      <w:pPr>
        <w:pStyle w:val="Pamatteksts"/>
        <w:ind w:right="407"/>
        <w:jc w:val="both"/>
        <w:rPr>
          <w:i/>
          <w:sz w:val="18"/>
        </w:rPr>
      </w:pPr>
    </w:p>
    <w:p w14:paraId="4A0DD610" w14:textId="77777777" w:rsidR="00840849" w:rsidRDefault="00840849" w:rsidP="00CD363C">
      <w:pPr>
        <w:pStyle w:val="Virsraksts4"/>
        <w:spacing w:before="0"/>
        <w:ind w:left="338" w:right="407"/>
        <w:jc w:val="both"/>
      </w:pPr>
      <w:bookmarkStart w:id="73" w:name="Patiesajā_vērtībā_novērtēto_finanšu_aktī"/>
      <w:bookmarkStart w:id="74" w:name="_bookmark345"/>
      <w:bookmarkEnd w:id="73"/>
      <w:bookmarkEnd w:id="74"/>
      <w:r>
        <w:rPr>
          <w:color w:val="002069"/>
        </w:rPr>
        <w:t>Patiesajā vērtībā novērtēto finanšu aktīvu turpmākā novērtēšana</w:t>
      </w:r>
    </w:p>
    <w:p w14:paraId="0FD9F736" w14:textId="77777777" w:rsidR="00840849" w:rsidRPr="00535ACC" w:rsidRDefault="0084084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915.   Finanšu aktīva patieso vērtību pārskata perioda beigās nosaka, pamatojoties</w:t>
      </w:r>
      <w:r w:rsidRPr="00535ACC">
        <w:rPr>
          <w:rFonts w:ascii="Times New Roman" w:hAnsi="Times New Roman" w:cs="Times New Roman"/>
          <w:spacing w:val="-5"/>
          <w:sz w:val="24"/>
          <w:szCs w:val="24"/>
        </w:rPr>
        <w:t xml:space="preserve"> </w:t>
      </w:r>
      <w:r w:rsidRPr="00535ACC">
        <w:rPr>
          <w:rFonts w:ascii="Times New Roman" w:hAnsi="Times New Roman" w:cs="Times New Roman"/>
          <w:sz w:val="24"/>
          <w:szCs w:val="24"/>
        </w:rPr>
        <w:t>uz:</w:t>
      </w:r>
    </w:p>
    <w:p w14:paraId="37ED8C76"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konkrētā finanšu instrumenta vai identiska aktīva kotētām cenām aktīvā tirgū pārskata perioda beigās</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(pārskata</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datumā).</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instrumentu</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uzskata</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par</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kotētu</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aktīvā</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tirgū,</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ja</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kotētās</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cenas</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ir viegli un regulāri pieejamas no biržas, dīlera, brokera, nozaru grupas, vērtēšanas aģentūras vai regulējošas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institūcijas,</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un</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šīs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cenas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uzrāda</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faktiskus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un</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regulāri</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notiekošus</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tirgus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darījumus,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kas tiek veikti atbilstoši nesaistītu personu darījumu</w:t>
      </w:r>
      <w:r w:rsidRPr="00535ACC">
        <w:rPr>
          <w:rFonts w:ascii="Times New Roman" w:hAnsi="Times New Roman" w:cs="Times New Roman"/>
          <w:spacing w:val="-3"/>
          <w:sz w:val="24"/>
          <w:szCs w:val="24"/>
        </w:rPr>
        <w:t xml:space="preserve"> </w:t>
      </w:r>
      <w:r w:rsidRPr="00535ACC">
        <w:rPr>
          <w:rFonts w:ascii="Times New Roman" w:hAnsi="Times New Roman" w:cs="Times New Roman"/>
          <w:sz w:val="24"/>
          <w:szCs w:val="24"/>
        </w:rPr>
        <w:t>principam.</w:t>
      </w:r>
    </w:p>
    <w:p w14:paraId="2F326D66" w14:textId="77777777" w:rsidR="00840849" w:rsidRPr="00535ACC" w:rsidRDefault="00840849" w:rsidP="00CD363C">
      <w:pPr>
        <w:spacing w:after="0" w:line="240" w:lineRule="auto"/>
        <w:ind w:left="1490" w:right="407"/>
        <w:jc w:val="both"/>
        <w:rPr>
          <w:rFonts w:ascii="Times New Roman" w:hAnsi="Times New Roman" w:cs="Times New Roman"/>
          <w:i/>
          <w:sz w:val="24"/>
          <w:szCs w:val="24"/>
        </w:rPr>
      </w:pPr>
      <w:r w:rsidRPr="00535ACC">
        <w:rPr>
          <w:rFonts w:ascii="Times New Roman" w:hAnsi="Times New Roman" w:cs="Times New Roman"/>
          <w:i/>
          <w:sz w:val="24"/>
          <w:szCs w:val="24"/>
        </w:rPr>
        <w:t>Piemēram,</w:t>
      </w:r>
      <w:r w:rsidRPr="00535ACC">
        <w:rPr>
          <w:rFonts w:ascii="Times New Roman" w:hAnsi="Times New Roman" w:cs="Times New Roman"/>
          <w:i/>
          <w:spacing w:val="-5"/>
          <w:sz w:val="24"/>
          <w:szCs w:val="24"/>
        </w:rPr>
        <w:t xml:space="preserve"> </w:t>
      </w:r>
      <w:r w:rsidRPr="00535ACC">
        <w:rPr>
          <w:rFonts w:ascii="Times New Roman" w:hAnsi="Times New Roman" w:cs="Times New Roman"/>
          <w:i/>
          <w:sz w:val="24"/>
          <w:szCs w:val="24"/>
        </w:rPr>
        <w:t>budžeta</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iestāde</w:t>
      </w:r>
      <w:r w:rsidRPr="00535ACC">
        <w:rPr>
          <w:rFonts w:ascii="Times New Roman" w:hAnsi="Times New Roman" w:cs="Times New Roman"/>
          <w:i/>
          <w:spacing w:val="-6"/>
          <w:sz w:val="24"/>
          <w:szCs w:val="24"/>
        </w:rPr>
        <w:t xml:space="preserve"> </w:t>
      </w:r>
      <w:r w:rsidRPr="00535ACC">
        <w:rPr>
          <w:rFonts w:ascii="Times New Roman" w:hAnsi="Times New Roman" w:cs="Times New Roman"/>
          <w:i/>
          <w:sz w:val="24"/>
          <w:szCs w:val="24"/>
        </w:rPr>
        <w:t>ir</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iegādājusies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1</w:t>
      </w:r>
      <w:r w:rsidRPr="00535ACC">
        <w:rPr>
          <w:rFonts w:ascii="Times New Roman" w:hAnsi="Times New Roman" w:cs="Times New Roman"/>
          <w:i/>
          <w:spacing w:val="1"/>
          <w:sz w:val="24"/>
          <w:szCs w:val="24"/>
        </w:rPr>
        <w:t xml:space="preserve"> </w:t>
      </w:r>
      <w:r w:rsidRPr="00535ACC">
        <w:rPr>
          <w:rFonts w:ascii="Times New Roman" w:hAnsi="Times New Roman" w:cs="Times New Roman"/>
          <w:i/>
          <w:sz w:val="24"/>
          <w:szCs w:val="24"/>
        </w:rPr>
        <w:t>000</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akcijas,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kas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tiek</w:t>
      </w:r>
      <w:r w:rsidRPr="00535ACC">
        <w:rPr>
          <w:rFonts w:ascii="Times New Roman" w:hAnsi="Times New Roman" w:cs="Times New Roman"/>
          <w:i/>
          <w:spacing w:val="-6"/>
          <w:sz w:val="24"/>
          <w:szCs w:val="24"/>
        </w:rPr>
        <w:t xml:space="preserve"> </w:t>
      </w:r>
      <w:r w:rsidRPr="00535ACC">
        <w:rPr>
          <w:rFonts w:ascii="Times New Roman" w:hAnsi="Times New Roman" w:cs="Times New Roman"/>
          <w:i/>
          <w:sz w:val="24"/>
          <w:szCs w:val="24"/>
        </w:rPr>
        <w:t>kotētas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“Nasdaq</w:t>
      </w:r>
      <w:r w:rsidRPr="00535ACC">
        <w:rPr>
          <w:rFonts w:ascii="Times New Roman" w:hAnsi="Times New Roman" w:cs="Times New Roman"/>
          <w:i/>
          <w:spacing w:val="-5"/>
          <w:sz w:val="24"/>
          <w:szCs w:val="24"/>
        </w:rPr>
        <w:t xml:space="preserve"> </w:t>
      </w:r>
      <w:r w:rsidRPr="00535ACC">
        <w:rPr>
          <w:rFonts w:ascii="Times New Roman" w:hAnsi="Times New Roman" w:cs="Times New Roman"/>
          <w:i/>
          <w:sz w:val="24"/>
          <w:szCs w:val="24"/>
        </w:rPr>
        <w:t>Riga”</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biržas oficiālajā</w:t>
      </w:r>
      <w:r w:rsidRPr="00535ACC">
        <w:rPr>
          <w:rFonts w:ascii="Times New Roman" w:hAnsi="Times New Roman" w:cs="Times New Roman"/>
          <w:i/>
          <w:spacing w:val="-5"/>
          <w:sz w:val="24"/>
          <w:szCs w:val="24"/>
        </w:rPr>
        <w:t xml:space="preserve"> </w:t>
      </w:r>
      <w:r w:rsidRPr="00535ACC">
        <w:rPr>
          <w:rFonts w:ascii="Times New Roman" w:hAnsi="Times New Roman" w:cs="Times New Roman"/>
          <w:i/>
          <w:sz w:val="24"/>
          <w:szCs w:val="24"/>
        </w:rPr>
        <w:t>sarakstā.</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Budžeta</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iestāde</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novērtē</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savā</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īpašumā</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esošo</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akciju</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patieso</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vērtību</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pārskata perioda beigās, pamatojoties uz konkrēto akciju cenu pārskata datumā, ko iegūst no “Nasdaq Riga” tīmekļvietnē publicētajiem datiem par akciju tirgus vērtību pārskata perioda beigu datumā.</w:t>
      </w:r>
    </w:p>
    <w:p w14:paraId="3C9BB66D"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finanšu instrumenta komponenšu vai līdzīgu finanšu instrumentu kotēto cenu aktīvā tirgū pārskata perioda beigās (pārskata datumā), ja konkrētajam finanšu instrumentam nav aktīva tirgus cenas, bet šāda cena ir atsevišķām tā komponentēm vai līdzīgiem finanšu</w:t>
      </w:r>
      <w:r w:rsidRPr="00535ACC">
        <w:rPr>
          <w:rFonts w:ascii="Times New Roman" w:hAnsi="Times New Roman" w:cs="Times New Roman"/>
          <w:spacing w:val="-31"/>
          <w:sz w:val="24"/>
          <w:szCs w:val="24"/>
        </w:rPr>
        <w:t xml:space="preserve"> </w:t>
      </w:r>
      <w:r w:rsidRPr="00535ACC">
        <w:rPr>
          <w:rFonts w:ascii="Times New Roman" w:hAnsi="Times New Roman" w:cs="Times New Roman"/>
          <w:sz w:val="24"/>
          <w:szCs w:val="24"/>
        </w:rPr>
        <w:t>instrumentiem;</w:t>
      </w:r>
    </w:p>
    <w:p w14:paraId="3CB23B4E" w14:textId="77777777" w:rsidR="00840849" w:rsidRPr="00535ACC" w:rsidRDefault="00840849"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vērtību, kas aprēķināta, izmantojot vispāratzītas un piemērotas novērtēšanas metodes, ja aprēķinātā vērtība parāda šī instrumenta iespējamo tirgus</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cenu.</w:t>
      </w:r>
    </w:p>
    <w:p w14:paraId="1C99F2A9" w14:textId="77777777" w:rsidR="00840849" w:rsidRPr="00535ACC" w:rsidRDefault="00840849" w:rsidP="00CD363C">
      <w:pPr>
        <w:spacing w:after="0" w:line="240" w:lineRule="auto"/>
        <w:ind w:left="1471" w:right="407"/>
        <w:jc w:val="both"/>
        <w:rPr>
          <w:rFonts w:ascii="Times New Roman" w:hAnsi="Times New Roman" w:cs="Times New Roman"/>
          <w:i/>
          <w:sz w:val="24"/>
          <w:szCs w:val="24"/>
        </w:rPr>
      </w:pPr>
      <w:r w:rsidRPr="00535ACC">
        <w:rPr>
          <w:rFonts w:ascii="Times New Roman" w:hAnsi="Times New Roman" w:cs="Times New Roman"/>
          <w:i/>
          <w:sz w:val="24"/>
          <w:szCs w:val="24"/>
        </w:rPr>
        <w:t>Piemēram, finanšu instrumenta patiesās vērtības novērtēšanā izmantotais eksperta vērtējums u.c.</w:t>
      </w:r>
    </w:p>
    <w:p w14:paraId="58FEF045" w14:textId="77777777" w:rsidR="00840849" w:rsidRPr="00535ACC" w:rsidRDefault="0084084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916.   Patiesajā</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vērtībā</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novērtēto</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aktīvu</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vērtības</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izmaiņas</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atzīst</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pārskata</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perioda</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ieņēmumos vai finanšu izdevumos, veicot</w:t>
      </w:r>
      <w:r w:rsidRPr="00535ACC">
        <w:rPr>
          <w:rFonts w:ascii="Times New Roman" w:hAnsi="Times New Roman" w:cs="Times New Roman"/>
          <w:spacing w:val="-1"/>
          <w:sz w:val="24"/>
          <w:szCs w:val="24"/>
        </w:rPr>
        <w:t xml:space="preserve"> </w:t>
      </w:r>
      <w:r w:rsidRPr="00535ACC">
        <w:rPr>
          <w:rFonts w:ascii="Times New Roman" w:hAnsi="Times New Roman" w:cs="Times New Roman"/>
          <w:sz w:val="24"/>
          <w:szCs w:val="24"/>
        </w:rPr>
        <w:t>grāmatojumu:</w:t>
      </w:r>
    </w:p>
    <w:p w14:paraId="47546DB8" w14:textId="77777777" w:rsidR="00840849" w:rsidRDefault="00840849" w:rsidP="00CD363C">
      <w:pPr>
        <w:spacing w:after="0" w:line="240" w:lineRule="auto"/>
        <w:ind w:left="338" w:right="407"/>
        <w:jc w:val="both"/>
        <w:rPr>
          <w:rFonts w:ascii="Times New Roman" w:hAnsi="Times New Roman" w:cs="Times New Roman"/>
          <w:i/>
          <w:sz w:val="24"/>
          <w:szCs w:val="24"/>
        </w:rPr>
      </w:pPr>
      <w:r w:rsidRPr="00535ACC">
        <w:rPr>
          <w:rFonts w:ascii="Times New Roman" w:hAnsi="Times New Roman" w:cs="Times New Roman"/>
          <w:i/>
          <w:sz w:val="24"/>
          <w:szCs w:val="24"/>
        </w:rPr>
        <w:t>Grāmatojums, atzīstot vērtības izmaiņas (samazinājumu) patiesajā vērtībā novērtētajam finanšu aktīvam:</w:t>
      </w:r>
    </w:p>
    <w:p w14:paraId="0D01FFD8"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535ACC">
        <w:rPr>
          <w:rFonts w:ascii="Times New Roman" w:hAnsi="Times New Roman" w:cs="Times New Roman"/>
          <w:b/>
          <w:bCs/>
          <w:iCs/>
          <w:sz w:val="24"/>
          <w:szCs w:val="24"/>
        </w:rPr>
        <w:t>D    8290   Pārējie finanšu instrumenti</w:t>
      </w:r>
    </w:p>
    <w:p w14:paraId="20C0A656"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sidRPr="00535ACC">
        <w:rPr>
          <w:rFonts w:ascii="Times New Roman" w:hAnsi="Times New Roman" w:cs="Times New Roman"/>
          <w:b/>
          <w:bCs/>
          <w:iCs/>
          <w:sz w:val="24"/>
          <w:szCs w:val="24"/>
        </w:rPr>
        <w:t xml:space="preserve">    K    1349   Ilgtermiņa finanšu ieguldījumi vērtspapīros</w:t>
      </w:r>
    </w:p>
    <w:p w14:paraId="19B9F2CF"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535ACC">
        <w:rPr>
          <w:rFonts w:ascii="Times New Roman" w:hAnsi="Times New Roman" w:cs="Times New Roman"/>
          <w:b/>
          <w:bCs/>
          <w:iCs/>
          <w:sz w:val="24"/>
          <w:szCs w:val="24"/>
        </w:rPr>
        <w:t>K    1359   Pārējie ilgtermiņa finanšu ieguldījumi</w:t>
      </w:r>
    </w:p>
    <w:p w14:paraId="0DA4A035"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sidRPr="00535ACC">
        <w:rPr>
          <w:rFonts w:ascii="Times New Roman" w:hAnsi="Times New Roman" w:cs="Times New Roman"/>
          <w:b/>
          <w:bCs/>
          <w:iCs/>
          <w:sz w:val="24"/>
          <w:szCs w:val="24"/>
        </w:rPr>
        <w:t xml:space="preserve">    K    2549   Pārējie īstermiņa finanšu ieguldījumi vērtspapīros</w:t>
      </w:r>
    </w:p>
    <w:p w14:paraId="7FA2BCC9" w14:textId="77777777" w:rsidR="00535ACC" w:rsidRPr="00535ACC" w:rsidRDefault="00535ACC" w:rsidP="00CD363C">
      <w:pPr>
        <w:spacing w:after="0" w:line="240" w:lineRule="auto"/>
        <w:ind w:right="407"/>
        <w:jc w:val="both"/>
        <w:rPr>
          <w:rFonts w:ascii="Times New Roman" w:hAnsi="Times New Roman" w:cs="Times New Roman"/>
          <w:iCs/>
          <w:sz w:val="24"/>
          <w:szCs w:val="24"/>
        </w:rPr>
      </w:pPr>
      <w:r w:rsidRPr="00535ACC">
        <w:rPr>
          <w:rFonts w:ascii="Times New Roman" w:hAnsi="Times New Roman" w:cs="Times New Roman"/>
          <w:b/>
          <w:bCs/>
          <w:iCs/>
          <w:sz w:val="24"/>
          <w:szCs w:val="24"/>
        </w:rPr>
        <w:t xml:space="preserve">    K    2559   Pārējie īstermiņa finanšu ieguldījumi</w:t>
      </w:r>
      <w:r>
        <w:rPr>
          <w:rFonts w:ascii="Times New Roman" w:hAnsi="Times New Roman" w:cs="Times New Roman"/>
          <w:iCs/>
          <w:sz w:val="24"/>
          <w:szCs w:val="24"/>
        </w:rPr>
        <w:t xml:space="preserve">    </w:t>
      </w:r>
    </w:p>
    <w:p w14:paraId="21315951" w14:textId="77777777" w:rsidR="00840849" w:rsidRDefault="00840849" w:rsidP="00CD363C">
      <w:pPr>
        <w:pStyle w:val="Pamatteksts"/>
        <w:ind w:right="407"/>
        <w:jc w:val="both"/>
        <w:rPr>
          <w:i/>
          <w:sz w:val="18"/>
        </w:rPr>
      </w:pPr>
    </w:p>
    <w:tbl>
      <w:tblPr>
        <w:tblW w:w="0" w:type="auto"/>
        <w:tblInd w:w="1379" w:type="dxa"/>
        <w:tblLayout w:type="fixed"/>
        <w:tblCellMar>
          <w:left w:w="0" w:type="dxa"/>
          <w:right w:w="0" w:type="dxa"/>
        </w:tblCellMar>
        <w:tblLook w:val="01E0" w:firstRow="1" w:lastRow="1" w:firstColumn="1" w:lastColumn="1" w:noHBand="0" w:noVBand="0"/>
      </w:tblPr>
      <w:tblGrid>
        <w:gridCol w:w="606"/>
        <w:gridCol w:w="1107"/>
        <w:gridCol w:w="4463"/>
      </w:tblGrid>
      <w:tr w:rsidR="00840849" w14:paraId="474D75C9" w14:textId="77777777" w:rsidTr="00535ACC">
        <w:trPr>
          <w:trHeight w:val="289"/>
        </w:trPr>
        <w:tc>
          <w:tcPr>
            <w:tcW w:w="606" w:type="dxa"/>
          </w:tcPr>
          <w:p w14:paraId="7D3C3A49" w14:textId="77777777" w:rsidR="00840849" w:rsidRDefault="00840849" w:rsidP="00CD363C">
            <w:pPr>
              <w:pStyle w:val="TableParagraph"/>
              <w:ind w:right="407"/>
              <w:jc w:val="both"/>
              <w:rPr>
                <w:i/>
              </w:rPr>
            </w:pPr>
          </w:p>
        </w:tc>
        <w:tc>
          <w:tcPr>
            <w:tcW w:w="1107" w:type="dxa"/>
          </w:tcPr>
          <w:p w14:paraId="0A94F5C3" w14:textId="77777777" w:rsidR="00840849" w:rsidRDefault="00840849" w:rsidP="00CD363C">
            <w:pPr>
              <w:pStyle w:val="TableParagraph"/>
              <w:ind w:left="247" w:right="407"/>
              <w:jc w:val="both"/>
              <w:rPr>
                <w:i/>
              </w:rPr>
            </w:pPr>
          </w:p>
        </w:tc>
        <w:tc>
          <w:tcPr>
            <w:tcW w:w="4463" w:type="dxa"/>
          </w:tcPr>
          <w:p w14:paraId="0FA4FB68" w14:textId="77777777" w:rsidR="00840849" w:rsidRDefault="00840849" w:rsidP="00CD363C">
            <w:pPr>
              <w:pStyle w:val="TableParagraph"/>
              <w:ind w:left="419" w:right="407"/>
              <w:jc w:val="both"/>
              <w:rPr>
                <w:i/>
              </w:rPr>
            </w:pPr>
          </w:p>
        </w:tc>
      </w:tr>
      <w:tr w:rsidR="00840849" w14:paraId="007A5E69" w14:textId="77777777" w:rsidTr="00535ACC">
        <w:trPr>
          <w:trHeight w:val="289"/>
        </w:trPr>
        <w:tc>
          <w:tcPr>
            <w:tcW w:w="606" w:type="dxa"/>
          </w:tcPr>
          <w:p w14:paraId="01AC71EC" w14:textId="77777777" w:rsidR="00840849" w:rsidRDefault="00840849" w:rsidP="00CD363C">
            <w:pPr>
              <w:pStyle w:val="TableParagraph"/>
              <w:ind w:left="200" w:right="407"/>
              <w:jc w:val="both"/>
              <w:rPr>
                <w:i/>
              </w:rPr>
            </w:pPr>
          </w:p>
        </w:tc>
        <w:tc>
          <w:tcPr>
            <w:tcW w:w="1107" w:type="dxa"/>
          </w:tcPr>
          <w:p w14:paraId="4F9B0C4D" w14:textId="77777777" w:rsidR="00840849" w:rsidRDefault="00840849" w:rsidP="00CD363C">
            <w:pPr>
              <w:pStyle w:val="TableParagraph"/>
              <w:ind w:left="247" w:right="407"/>
              <w:jc w:val="both"/>
              <w:rPr>
                <w:i/>
              </w:rPr>
            </w:pPr>
          </w:p>
        </w:tc>
        <w:tc>
          <w:tcPr>
            <w:tcW w:w="4463" w:type="dxa"/>
          </w:tcPr>
          <w:p w14:paraId="0A33CE34" w14:textId="77777777" w:rsidR="00840849" w:rsidRDefault="00840849" w:rsidP="00CD363C">
            <w:pPr>
              <w:pStyle w:val="TableParagraph"/>
              <w:ind w:left="419" w:right="407"/>
              <w:jc w:val="both"/>
              <w:rPr>
                <w:i/>
              </w:rPr>
            </w:pPr>
          </w:p>
        </w:tc>
      </w:tr>
    </w:tbl>
    <w:p w14:paraId="71849A7D" w14:textId="77777777" w:rsidR="00535ACC" w:rsidRDefault="00535ACC" w:rsidP="00CD363C">
      <w:pPr>
        <w:spacing w:after="0" w:line="240" w:lineRule="auto"/>
        <w:ind w:left="338" w:right="407"/>
        <w:jc w:val="both"/>
        <w:rPr>
          <w:i/>
        </w:rPr>
      </w:pPr>
      <w:r>
        <w:rPr>
          <w:i/>
        </w:rPr>
        <w:t>Grāmatojums, atzīstot vērtības izmaiņas (palielinājumu) patiesajā vērtībā novērtētajam finanšu aktīvam:</w:t>
      </w:r>
    </w:p>
    <w:p w14:paraId="07279E08"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b/>
          <w:sz w:val="24"/>
          <w:szCs w:val="24"/>
        </w:rPr>
        <w:t xml:space="preserve">    D    </w:t>
      </w:r>
      <w:r w:rsidRPr="00535ACC">
        <w:rPr>
          <w:rFonts w:ascii="Times New Roman" w:hAnsi="Times New Roman" w:cs="Times New Roman"/>
          <w:b/>
          <w:bCs/>
          <w:iCs/>
          <w:sz w:val="24"/>
          <w:szCs w:val="24"/>
        </w:rPr>
        <w:t>1349   Ilgtermiņa finanšu ieguldījumi vērtspapīros</w:t>
      </w:r>
    </w:p>
    <w:p w14:paraId="15E65839"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Pr>
          <w:rFonts w:ascii="Times New Roman" w:hAnsi="Times New Roman" w:cs="Times New Roman"/>
          <w:b/>
          <w:bCs/>
          <w:iCs/>
          <w:sz w:val="24"/>
          <w:szCs w:val="24"/>
        </w:rPr>
        <w:t>D</w:t>
      </w:r>
      <w:r w:rsidRPr="00535ACC">
        <w:rPr>
          <w:rFonts w:ascii="Times New Roman" w:hAnsi="Times New Roman" w:cs="Times New Roman"/>
          <w:b/>
          <w:bCs/>
          <w:iCs/>
          <w:sz w:val="24"/>
          <w:szCs w:val="24"/>
        </w:rPr>
        <w:t xml:space="preserve">   1359   Pārējie ilgtermiņa finanšu ieguldījumi</w:t>
      </w:r>
    </w:p>
    <w:p w14:paraId="40D348D7"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sidRPr="00535ACC">
        <w:rPr>
          <w:rFonts w:ascii="Times New Roman" w:hAnsi="Times New Roman" w:cs="Times New Roman"/>
          <w:b/>
          <w:bCs/>
          <w:iCs/>
          <w:sz w:val="24"/>
          <w:szCs w:val="24"/>
        </w:rPr>
        <w:t xml:space="preserve">    </w:t>
      </w:r>
      <w:r>
        <w:rPr>
          <w:rFonts w:ascii="Times New Roman" w:hAnsi="Times New Roman" w:cs="Times New Roman"/>
          <w:b/>
          <w:bCs/>
          <w:iCs/>
          <w:sz w:val="24"/>
          <w:szCs w:val="24"/>
        </w:rPr>
        <w:t>D</w:t>
      </w:r>
      <w:r w:rsidRPr="00535ACC">
        <w:rPr>
          <w:rFonts w:ascii="Times New Roman" w:hAnsi="Times New Roman" w:cs="Times New Roman"/>
          <w:b/>
          <w:bCs/>
          <w:iCs/>
          <w:sz w:val="24"/>
          <w:szCs w:val="24"/>
        </w:rPr>
        <w:t xml:space="preserve">    2549   Pārējie īstermiņa finanšu ieguldījumi vērtspapīros</w:t>
      </w:r>
    </w:p>
    <w:p w14:paraId="049E3A8C" w14:textId="77777777" w:rsidR="008B64E2" w:rsidRDefault="00535ACC" w:rsidP="00CD363C">
      <w:pPr>
        <w:spacing w:after="0" w:line="240" w:lineRule="auto"/>
        <w:ind w:right="407"/>
        <w:jc w:val="both"/>
        <w:rPr>
          <w:rFonts w:ascii="Times New Roman" w:hAnsi="Times New Roman" w:cs="Times New Roman"/>
          <w:iCs/>
          <w:sz w:val="24"/>
          <w:szCs w:val="24"/>
        </w:rPr>
      </w:pPr>
      <w:r w:rsidRPr="00535ACC">
        <w:rPr>
          <w:rFonts w:ascii="Times New Roman" w:hAnsi="Times New Roman" w:cs="Times New Roman"/>
          <w:b/>
          <w:bCs/>
          <w:iCs/>
          <w:sz w:val="24"/>
          <w:szCs w:val="24"/>
        </w:rPr>
        <w:t xml:space="preserve">    </w:t>
      </w:r>
      <w:r>
        <w:rPr>
          <w:rFonts w:ascii="Times New Roman" w:hAnsi="Times New Roman" w:cs="Times New Roman"/>
          <w:b/>
          <w:bCs/>
          <w:iCs/>
          <w:sz w:val="24"/>
          <w:szCs w:val="24"/>
        </w:rPr>
        <w:t>D</w:t>
      </w:r>
      <w:r w:rsidRPr="00535ACC">
        <w:rPr>
          <w:rFonts w:ascii="Times New Roman" w:hAnsi="Times New Roman" w:cs="Times New Roman"/>
          <w:b/>
          <w:bCs/>
          <w:iCs/>
          <w:sz w:val="24"/>
          <w:szCs w:val="24"/>
        </w:rPr>
        <w:t xml:space="preserve">    2559   Pārējie īstermiņa finanšu ieguldījumi</w:t>
      </w:r>
      <w:r>
        <w:rPr>
          <w:rFonts w:ascii="Times New Roman" w:hAnsi="Times New Roman" w:cs="Times New Roman"/>
          <w:iCs/>
          <w:sz w:val="24"/>
          <w:szCs w:val="24"/>
        </w:rPr>
        <w:t xml:space="preserve">    </w:t>
      </w:r>
    </w:p>
    <w:p w14:paraId="4538C98D" w14:textId="77777777" w:rsidR="00535ACC" w:rsidRPr="00535ACC" w:rsidRDefault="00535ACC"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iCs/>
          <w:sz w:val="24"/>
          <w:szCs w:val="24"/>
        </w:rPr>
        <w:t xml:space="preserve">    </w:t>
      </w:r>
      <w:r w:rsidRPr="00535ACC">
        <w:rPr>
          <w:rFonts w:ascii="Times New Roman" w:hAnsi="Times New Roman" w:cs="Times New Roman"/>
          <w:b/>
          <w:bCs/>
          <w:iCs/>
          <w:sz w:val="24"/>
          <w:szCs w:val="24"/>
        </w:rPr>
        <w:t>K    8190   Pārējie finanšu ieņēmumi</w:t>
      </w:r>
    </w:p>
    <w:p w14:paraId="2E990502" w14:textId="77777777" w:rsidR="00535ACC" w:rsidRPr="00535ACC" w:rsidRDefault="00535ACC"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917.   Gadījumā,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ja,</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turpmāk</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novērtējot</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patiesajā</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vērtībā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novērtētu</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aktīvu,</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tā</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patiesā</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vērtība</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pārskata perioda beigās ir negatīva, to pārklasificē patiesajā vērtībā novērtētu finanšu saistību</w:t>
      </w:r>
      <w:r w:rsidRPr="00535ACC">
        <w:rPr>
          <w:rFonts w:ascii="Times New Roman" w:hAnsi="Times New Roman" w:cs="Times New Roman"/>
          <w:spacing w:val="-16"/>
          <w:sz w:val="24"/>
          <w:szCs w:val="24"/>
        </w:rPr>
        <w:t xml:space="preserve"> </w:t>
      </w:r>
      <w:r w:rsidRPr="00535ACC">
        <w:rPr>
          <w:rFonts w:ascii="Times New Roman" w:hAnsi="Times New Roman" w:cs="Times New Roman"/>
          <w:sz w:val="24"/>
          <w:szCs w:val="24"/>
        </w:rPr>
        <w:t>sastāvā.</w:t>
      </w:r>
    </w:p>
    <w:p w14:paraId="3F61EEF3" w14:textId="77777777" w:rsidR="00535ACC" w:rsidRDefault="00535ACC" w:rsidP="00CD363C">
      <w:pPr>
        <w:pStyle w:val="Virsraksts4"/>
        <w:spacing w:before="0"/>
        <w:ind w:left="338" w:right="407"/>
        <w:jc w:val="both"/>
      </w:pPr>
      <w:r>
        <w:rPr>
          <w:color w:val="002069"/>
        </w:rPr>
        <w:t>Līdz termiņa beigām turēto ieguldījumu un aizdevumu un prasību turpmākā novērtēšana</w:t>
      </w:r>
    </w:p>
    <w:p w14:paraId="2B18B639" w14:textId="77777777" w:rsidR="00535ACC" w:rsidRPr="006F3F20" w:rsidRDefault="00535ACC"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6F3F20">
        <w:rPr>
          <w:rFonts w:ascii="Times New Roman" w:hAnsi="Times New Roman" w:cs="Times New Roman"/>
          <w:sz w:val="24"/>
          <w:szCs w:val="24"/>
        </w:rPr>
        <w:t>918.   Līdz</w:t>
      </w:r>
      <w:r w:rsidRPr="006F3F20">
        <w:rPr>
          <w:rFonts w:ascii="Times New Roman" w:hAnsi="Times New Roman" w:cs="Times New Roman"/>
          <w:spacing w:val="-9"/>
          <w:sz w:val="24"/>
          <w:szCs w:val="24"/>
        </w:rPr>
        <w:t xml:space="preserve"> </w:t>
      </w:r>
      <w:r w:rsidRPr="006F3F20">
        <w:rPr>
          <w:rFonts w:ascii="Times New Roman" w:hAnsi="Times New Roman" w:cs="Times New Roman"/>
          <w:sz w:val="24"/>
          <w:szCs w:val="24"/>
        </w:rPr>
        <w:t>termiņa</w:t>
      </w:r>
      <w:r w:rsidRPr="006F3F20">
        <w:rPr>
          <w:rFonts w:ascii="Times New Roman" w:hAnsi="Times New Roman" w:cs="Times New Roman"/>
          <w:spacing w:val="-8"/>
          <w:sz w:val="24"/>
          <w:szCs w:val="24"/>
        </w:rPr>
        <w:t xml:space="preserve"> </w:t>
      </w:r>
      <w:r w:rsidRPr="006F3F20">
        <w:rPr>
          <w:rFonts w:ascii="Times New Roman" w:hAnsi="Times New Roman" w:cs="Times New Roman"/>
          <w:sz w:val="24"/>
          <w:szCs w:val="24"/>
        </w:rPr>
        <w:t>beigām</w:t>
      </w:r>
      <w:r w:rsidRPr="006F3F20">
        <w:rPr>
          <w:rFonts w:ascii="Times New Roman" w:hAnsi="Times New Roman" w:cs="Times New Roman"/>
          <w:spacing w:val="-9"/>
          <w:sz w:val="24"/>
          <w:szCs w:val="24"/>
        </w:rPr>
        <w:t xml:space="preserve"> </w:t>
      </w:r>
      <w:r w:rsidRPr="006F3F20">
        <w:rPr>
          <w:rFonts w:ascii="Times New Roman" w:hAnsi="Times New Roman" w:cs="Times New Roman"/>
          <w:sz w:val="24"/>
          <w:szCs w:val="24"/>
        </w:rPr>
        <w:t>turēto</w:t>
      </w:r>
      <w:r w:rsidRPr="006F3F20">
        <w:rPr>
          <w:rFonts w:ascii="Times New Roman" w:hAnsi="Times New Roman" w:cs="Times New Roman"/>
          <w:spacing w:val="-10"/>
          <w:sz w:val="24"/>
          <w:szCs w:val="24"/>
        </w:rPr>
        <w:t xml:space="preserve"> </w:t>
      </w:r>
      <w:r w:rsidRPr="006F3F20">
        <w:rPr>
          <w:rFonts w:ascii="Times New Roman" w:hAnsi="Times New Roman" w:cs="Times New Roman"/>
          <w:sz w:val="24"/>
          <w:szCs w:val="24"/>
        </w:rPr>
        <w:t>ieguldījumu</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un</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aizdevumu</w:t>
      </w:r>
      <w:r w:rsidRPr="006F3F20">
        <w:rPr>
          <w:rFonts w:ascii="Times New Roman" w:hAnsi="Times New Roman" w:cs="Times New Roman"/>
          <w:spacing w:val="-6"/>
          <w:sz w:val="24"/>
          <w:szCs w:val="24"/>
        </w:rPr>
        <w:t xml:space="preserve"> </w:t>
      </w:r>
      <w:r w:rsidRPr="006F3F20">
        <w:rPr>
          <w:rFonts w:ascii="Times New Roman" w:hAnsi="Times New Roman" w:cs="Times New Roman"/>
          <w:sz w:val="24"/>
          <w:szCs w:val="24"/>
        </w:rPr>
        <w:t>un</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prasību</w:t>
      </w:r>
      <w:r w:rsidRPr="006F3F20">
        <w:rPr>
          <w:rFonts w:ascii="Times New Roman" w:hAnsi="Times New Roman" w:cs="Times New Roman"/>
          <w:spacing w:val="-10"/>
          <w:sz w:val="24"/>
          <w:szCs w:val="24"/>
        </w:rPr>
        <w:t xml:space="preserve"> </w:t>
      </w:r>
      <w:r w:rsidRPr="006F3F20">
        <w:rPr>
          <w:rFonts w:ascii="Times New Roman" w:hAnsi="Times New Roman" w:cs="Times New Roman"/>
          <w:sz w:val="24"/>
          <w:szCs w:val="24"/>
        </w:rPr>
        <w:t>amortizēto</w:t>
      </w:r>
      <w:r w:rsidRPr="006F3F20">
        <w:rPr>
          <w:rFonts w:ascii="Times New Roman" w:hAnsi="Times New Roman" w:cs="Times New Roman"/>
          <w:spacing w:val="-10"/>
          <w:sz w:val="24"/>
          <w:szCs w:val="24"/>
        </w:rPr>
        <w:t xml:space="preserve"> </w:t>
      </w:r>
      <w:r w:rsidRPr="006F3F20">
        <w:rPr>
          <w:rFonts w:ascii="Times New Roman" w:hAnsi="Times New Roman" w:cs="Times New Roman"/>
          <w:sz w:val="24"/>
          <w:szCs w:val="24"/>
        </w:rPr>
        <w:t>vērtību</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pārskata</w:t>
      </w:r>
      <w:r w:rsidRPr="006F3F20">
        <w:rPr>
          <w:rFonts w:ascii="Times New Roman" w:hAnsi="Times New Roman" w:cs="Times New Roman"/>
          <w:spacing w:val="-9"/>
          <w:sz w:val="24"/>
          <w:szCs w:val="24"/>
        </w:rPr>
        <w:t xml:space="preserve"> </w:t>
      </w:r>
      <w:r w:rsidRPr="006F3F20">
        <w:rPr>
          <w:rFonts w:ascii="Times New Roman" w:hAnsi="Times New Roman" w:cs="Times New Roman"/>
          <w:sz w:val="24"/>
          <w:szCs w:val="24"/>
        </w:rPr>
        <w:t>perioda beigās nosaka, piemērojot efektīvās procentu likmes metodi, izņemot vispārējās valdības sektora struktūru ietvaros izsniegtos valsts budžeta aizdevumus, kuriem piemēro Valsts kases noteikto procentu likmi, un pārskata perioda finanšu ieņēmumos iekļauj amortizētos procentu</w:t>
      </w:r>
      <w:r w:rsidRPr="006F3F20">
        <w:rPr>
          <w:rFonts w:ascii="Times New Roman" w:hAnsi="Times New Roman" w:cs="Times New Roman"/>
          <w:spacing w:val="-25"/>
          <w:sz w:val="24"/>
          <w:szCs w:val="24"/>
        </w:rPr>
        <w:t xml:space="preserve"> </w:t>
      </w:r>
      <w:r w:rsidRPr="006F3F20">
        <w:rPr>
          <w:rFonts w:ascii="Times New Roman" w:hAnsi="Times New Roman" w:cs="Times New Roman"/>
          <w:sz w:val="24"/>
          <w:szCs w:val="24"/>
        </w:rPr>
        <w:t>ieņēmumus.</w:t>
      </w:r>
    </w:p>
    <w:p w14:paraId="6E13694B" w14:textId="77777777" w:rsidR="00535ACC" w:rsidRPr="006F3F20" w:rsidRDefault="00535ACC"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6F3F20">
        <w:rPr>
          <w:rFonts w:ascii="Times New Roman" w:hAnsi="Times New Roman" w:cs="Times New Roman"/>
          <w:sz w:val="24"/>
          <w:szCs w:val="24"/>
        </w:rPr>
        <w:t>919</w:t>
      </w:r>
      <w:r w:rsidR="00025159" w:rsidRPr="006F3F20">
        <w:rPr>
          <w:rFonts w:ascii="Times New Roman" w:hAnsi="Times New Roman" w:cs="Times New Roman"/>
          <w:sz w:val="24"/>
          <w:szCs w:val="24"/>
        </w:rPr>
        <w:t>.</w:t>
      </w:r>
      <w:r w:rsidRPr="006F3F20">
        <w:rPr>
          <w:rFonts w:ascii="Times New Roman" w:hAnsi="Times New Roman" w:cs="Times New Roman"/>
          <w:sz w:val="24"/>
          <w:szCs w:val="24"/>
        </w:rPr>
        <w:t>Finanšu aktīva amortizēto vērtību pārskata perioda beigās aprēķina, izmantojot sākotnēji noteikto efektīvo</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procentu</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likmi.</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Budžeta</w:t>
      </w:r>
      <w:r w:rsidRPr="006F3F20">
        <w:rPr>
          <w:rFonts w:ascii="Times New Roman" w:hAnsi="Times New Roman" w:cs="Times New Roman"/>
          <w:spacing w:val="-13"/>
          <w:sz w:val="24"/>
          <w:szCs w:val="24"/>
        </w:rPr>
        <w:t xml:space="preserve"> </w:t>
      </w:r>
      <w:r w:rsidRPr="006F3F20">
        <w:rPr>
          <w:rFonts w:ascii="Times New Roman" w:hAnsi="Times New Roman" w:cs="Times New Roman"/>
          <w:sz w:val="24"/>
          <w:szCs w:val="24"/>
        </w:rPr>
        <w:t>iestāde</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finanšu</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aktīva</w:t>
      </w:r>
      <w:r w:rsidRPr="006F3F20">
        <w:rPr>
          <w:rFonts w:ascii="Times New Roman" w:hAnsi="Times New Roman" w:cs="Times New Roman"/>
          <w:spacing w:val="-15"/>
          <w:sz w:val="24"/>
          <w:szCs w:val="24"/>
        </w:rPr>
        <w:t xml:space="preserve"> </w:t>
      </w:r>
      <w:r w:rsidRPr="006F3F20">
        <w:rPr>
          <w:rFonts w:ascii="Times New Roman" w:hAnsi="Times New Roman" w:cs="Times New Roman"/>
          <w:sz w:val="24"/>
          <w:szCs w:val="24"/>
        </w:rPr>
        <w:t>amortizētās</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vērtības</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aprēķinam</w:t>
      </w:r>
      <w:r w:rsidRPr="006F3F20">
        <w:rPr>
          <w:rFonts w:ascii="Times New Roman" w:hAnsi="Times New Roman" w:cs="Times New Roman"/>
          <w:spacing w:val="-15"/>
          <w:sz w:val="24"/>
          <w:szCs w:val="24"/>
        </w:rPr>
        <w:t xml:space="preserve"> </w:t>
      </w:r>
      <w:r w:rsidRPr="006F3F20">
        <w:rPr>
          <w:rFonts w:ascii="Times New Roman" w:hAnsi="Times New Roman" w:cs="Times New Roman"/>
          <w:sz w:val="24"/>
          <w:szCs w:val="24"/>
        </w:rPr>
        <w:t>izmanto</w:t>
      </w:r>
      <w:r w:rsidRPr="006F3F20">
        <w:rPr>
          <w:rFonts w:ascii="Times New Roman" w:hAnsi="Times New Roman" w:cs="Times New Roman"/>
          <w:spacing w:val="-13"/>
          <w:sz w:val="24"/>
          <w:szCs w:val="24"/>
        </w:rPr>
        <w:t xml:space="preserve"> </w:t>
      </w:r>
      <w:r w:rsidRPr="006F3F20">
        <w:rPr>
          <w:rFonts w:ascii="Times New Roman" w:hAnsi="Times New Roman" w:cs="Times New Roman"/>
          <w:sz w:val="24"/>
          <w:szCs w:val="24"/>
        </w:rPr>
        <w:t xml:space="preserve">Valsts kases tīmekļvietnē izvietotos kalkulatorus, programmas </w:t>
      </w:r>
      <w:r w:rsidRPr="006F3F20">
        <w:rPr>
          <w:rFonts w:ascii="Times New Roman" w:hAnsi="Times New Roman" w:cs="Times New Roman"/>
          <w:i/>
          <w:sz w:val="24"/>
          <w:szCs w:val="24"/>
        </w:rPr>
        <w:t xml:space="preserve">Excel </w:t>
      </w:r>
      <w:r w:rsidRPr="006F3F20">
        <w:rPr>
          <w:rFonts w:ascii="Times New Roman" w:hAnsi="Times New Roman" w:cs="Times New Roman"/>
          <w:sz w:val="24"/>
          <w:szCs w:val="24"/>
        </w:rPr>
        <w:t>funkciju vai</w:t>
      </w:r>
      <w:r w:rsidRPr="006F3F20">
        <w:rPr>
          <w:rFonts w:ascii="Times New Roman" w:hAnsi="Times New Roman" w:cs="Times New Roman"/>
          <w:spacing w:val="-5"/>
          <w:sz w:val="24"/>
          <w:szCs w:val="24"/>
        </w:rPr>
        <w:t xml:space="preserve"> </w:t>
      </w:r>
      <w:r w:rsidRPr="006F3F20">
        <w:rPr>
          <w:rFonts w:ascii="Times New Roman" w:hAnsi="Times New Roman" w:cs="Times New Roman"/>
          <w:sz w:val="24"/>
          <w:szCs w:val="24"/>
        </w:rPr>
        <w:t>formulu:</w:t>
      </w:r>
    </w:p>
    <w:p w14:paraId="79BB521C" w14:textId="77777777" w:rsidR="00535ACC" w:rsidRDefault="00535ACC" w:rsidP="00CD363C">
      <w:pPr>
        <w:spacing w:after="0" w:line="240" w:lineRule="auto"/>
        <w:ind w:left="1778" w:right="407"/>
        <w:jc w:val="both"/>
        <w:rPr>
          <w:i/>
        </w:rPr>
      </w:pPr>
      <w:r>
        <w:rPr>
          <w:i/>
        </w:rPr>
        <w:t>AV = NP1 / (1+r) + NP2 / (1+r)2 + ... + NPn / (1+r)n, kur:</w:t>
      </w:r>
    </w:p>
    <w:p w14:paraId="224A03B8" w14:textId="77777777" w:rsidR="00535ACC" w:rsidRDefault="00535ACC" w:rsidP="00CD363C">
      <w:pPr>
        <w:pStyle w:val="Pamatteksts"/>
        <w:ind w:right="407"/>
        <w:jc w:val="both"/>
        <w:rPr>
          <w:i/>
          <w:sz w:val="20"/>
        </w:rPr>
      </w:pPr>
    </w:p>
    <w:p w14:paraId="0C7D73F4" w14:textId="77777777" w:rsidR="00535ACC" w:rsidRDefault="00535ACC" w:rsidP="00CD363C">
      <w:pPr>
        <w:tabs>
          <w:tab w:val="left" w:pos="3219"/>
        </w:tabs>
        <w:spacing w:after="0" w:line="240" w:lineRule="auto"/>
        <w:ind w:left="1637" w:right="407"/>
        <w:jc w:val="both"/>
        <w:rPr>
          <w:i/>
        </w:rPr>
      </w:pPr>
      <w:r>
        <w:rPr>
          <w:i/>
        </w:rPr>
        <w:t>AV</w:t>
      </w:r>
      <w:r>
        <w:rPr>
          <w:i/>
        </w:rPr>
        <w:tab/>
        <w:t>– amortizētā</w:t>
      </w:r>
      <w:r>
        <w:rPr>
          <w:i/>
          <w:spacing w:val="-1"/>
        </w:rPr>
        <w:t xml:space="preserve"> </w:t>
      </w:r>
      <w:r>
        <w:rPr>
          <w:i/>
        </w:rPr>
        <w:t>vērtība;</w:t>
      </w:r>
    </w:p>
    <w:p w14:paraId="43D5FD68" w14:textId="77777777" w:rsidR="00535ACC" w:rsidRDefault="00535ACC" w:rsidP="00CD363C">
      <w:pPr>
        <w:tabs>
          <w:tab w:val="left" w:pos="3219"/>
        </w:tabs>
        <w:spacing w:after="0" w:line="240" w:lineRule="auto"/>
        <w:ind w:left="1637" w:right="407"/>
        <w:jc w:val="both"/>
        <w:rPr>
          <w:i/>
        </w:rPr>
      </w:pPr>
      <w:r>
        <w:rPr>
          <w:i/>
        </w:rPr>
        <w:t>NP 1 ...NP n</w:t>
      </w:r>
      <w:r>
        <w:rPr>
          <w:i/>
        </w:rPr>
        <w:tab/>
        <w:t>– nākotnes naudas plūsmas pārskata periodos no 1 līdz n; r</w:t>
      </w:r>
      <w:r>
        <w:rPr>
          <w:i/>
        </w:rPr>
        <w:tab/>
        <w:t>– efektīvā procentu</w:t>
      </w:r>
      <w:r>
        <w:rPr>
          <w:i/>
          <w:spacing w:val="-4"/>
        </w:rPr>
        <w:t xml:space="preserve"> </w:t>
      </w:r>
      <w:r>
        <w:rPr>
          <w:i/>
        </w:rPr>
        <w:t>likme;</w:t>
      </w:r>
    </w:p>
    <w:p w14:paraId="0367473E" w14:textId="77777777" w:rsidR="00535ACC" w:rsidRPr="00025159" w:rsidRDefault="00535ACC" w:rsidP="00CD363C">
      <w:pPr>
        <w:pStyle w:val="Sarakstarindkopa"/>
        <w:numPr>
          <w:ilvl w:val="0"/>
          <w:numId w:val="44"/>
        </w:numPr>
        <w:tabs>
          <w:tab w:val="left" w:pos="3219"/>
        </w:tabs>
        <w:spacing w:after="0" w:line="240" w:lineRule="auto"/>
        <w:ind w:right="407"/>
        <w:jc w:val="both"/>
        <w:rPr>
          <w:i/>
        </w:rPr>
      </w:pPr>
      <w:r w:rsidRPr="00025159">
        <w:rPr>
          <w:i/>
        </w:rPr>
        <w:t>... n</w:t>
      </w:r>
      <w:r w:rsidRPr="00025159">
        <w:rPr>
          <w:i/>
        </w:rPr>
        <w:tab/>
        <w:t>– pārskata periodi saskaņā ar</w:t>
      </w:r>
      <w:r w:rsidRPr="00025159">
        <w:rPr>
          <w:i/>
          <w:spacing w:val="-5"/>
        </w:rPr>
        <w:t xml:space="preserve"> </w:t>
      </w:r>
      <w:r w:rsidRPr="00025159">
        <w:rPr>
          <w:i/>
        </w:rPr>
        <w:t>līgumu.</w:t>
      </w:r>
    </w:p>
    <w:p w14:paraId="2C24BB70" w14:textId="77777777" w:rsidR="00535ACC" w:rsidRPr="006F3F20" w:rsidRDefault="00025159" w:rsidP="00CD363C">
      <w:pPr>
        <w:widowControl w:val="0"/>
        <w:tabs>
          <w:tab w:val="left" w:pos="1018"/>
          <w:tab w:val="left" w:pos="9356"/>
        </w:tabs>
        <w:autoSpaceDE w:val="0"/>
        <w:autoSpaceDN w:val="0"/>
        <w:spacing w:after="0" w:line="240" w:lineRule="auto"/>
        <w:ind w:right="407"/>
        <w:jc w:val="both"/>
        <w:rPr>
          <w:rFonts w:ascii="Times New Roman" w:hAnsi="Times New Roman" w:cs="Times New Roman"/>
          <w:sz w:val="24"/>
          <w:szCs w:val="24"/>
        </w:rPr>
      </w:pPr>
      <w:r w:rsidRPr="006F3F20">
        <w:rPr>
          <w:rFonts w:ascii="Times New Roman" w:hAnsi="Times New Roman" w:cs="Times New Roman"/>
          <w:sz w:val="24"/>
          <w:szCs w:val="24"/>
        </w:rPr>
        <w:t xml:space="preserve">920.   </w:t>
      </w:r>
      <w:r w:rsidR="00535ACC" w:rsidRPr="006F3F20">
        <w:rPr>
          <w:rFonts w:ascii="Times New Roman" w:hAnsi="Times New Roman" w:cs="Times New Roman"/>
          <w:sz w:val="24"/>
          <w:szCs w:val="24"/>
        </w:rPr>
        <w:t>Budžeta iestāde katrā pārskata datumā aprēķina pārskata perioda procentu ieņēmumus saskaņā ar noslēgto līgumu un atzīst kā uzkrātos procentu ieņēmumus un procentu ieņēmumus, veicot sekojošus grāmatojumus:</w:t>
      </w:r>
    </w:p>
    <w:p w14:paraId="18378E15" w14:textId="77777777" w:rsidR="00535ACC" w:rsidRDefault="00535ACC" w:rsidP="00CD363C">
      <w:pPr>
        <w:spacing w:after="0" w:line="240" w:lineRule="auto"/>
        <w:ind w:left="605" w:right="407"/>
        <w:jc w:val="both"/>
        <w:rPr>
          <w:i/>
        </w:rPr>
      </w:pPr>
      <w:r w:rsidRPr="006F3F20">
        <w:rPr>
          <w:rFonts w:ascii="Times New Roman" w:hAnsi="Times New Roman" w:cs="Times New Roman"/>
          <w:i/>
          <w:sz w:val="24"/>
          <w:szCs w:val="24"/>
        </w:rPr>
        <w:t>Grāmatojums, atzīstot uzkrātos procentu ieņēmumus un procentu</w:t>
      </w:r>
      <w:r>
        <w:rPr>
          <w:i/>
        </w:rPr>
        <w:t xml:space="preserve"> ieņēmumus:</w:t>
      </w:r>
    </w:p>
    <w:p w14:paraId="26527FAA" w14:textId="77777777" w:rsidR="00852F31" w:rsidRDefault="00535ACC"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w:t>
      </w:r>
      <w:r w:rsidR="00025159">
        <w:rPr>
          <w:rFonts w:ascii="Times New Roman" w:hAnsi="Times New Roman" w:cs="Times New Roman"/>
          <w:b/>
          <w:sz w:val="24"/>
          <w:szCs w:val="24"/>
        </w:rPr>
        <w:t xml:space="preserve">  D    1333   Ilgtermiņa uzkrātie ieņēmumi par aizdevumiem</w:t>
      </w:r>
      <w:r>
        <w:rPr>
          <w:rFonts w:ascii="Times New Roman" w:hAnsi="Times New Roman" w:cs="Times New Roman"/>
          <w:b/>
          <w:sz w:val="24"/>
          <w:szCs w:val="24"/>
        </w:rPr>
        <w:t xml:space="preserve"> </w:t>
      </w:r>
    </w:p>
    <w:p w14:paraId="45F873E6" w14:textId="77777777" w:rsidR="00025159" w:rsidRDefault="00025159"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1343   Ilgtermiņa uzkrātie ieņēmumi par finanšu ieguldījumiem vērtspapīros</w:t>
      </w:r>
    </w:p>
    <w:p w14:paraId="678321E8" w14:textId="77777777" w:rsidR="00025159" w:rsidRDefault="00025159"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1355   Ilgtermiņa uzkrātie ieņēmumi par pārējiem ilgtermi</w:t>
      </w:r>
      <w:r w:rsidR="006F3F20">
        <w:rPr>
          <w:rFonts w:ascii="Times New Roman" w:hAnsi="Times New Roman" w:cs="Times New Roman"/>
          <w:b/>
          <w:sz w:val="24"/>
          <w:szCs w:val="24"/>
        </w:rPr>
        <w:t>ņa finanšu ieguldījumiem</w:t>
      </w:r>
    </w:p>
    <w:p w14:paraId="2CB8BBF1"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1363   Ilgtermiņa uzkrātie ieņēmumi par ilgtermiņa noguldījumiem</w:t>
      </w:r>
    </w:p>
    <w:p w14:paraId="460ECD4A"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2369   Pārējie uzkrātie ieņēmumi</w:t>
      </w:r>
    </w:p>
    <w:p w14:paraId="40E66753"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2536   Īstermiņa uzkrātie ieņēmumi par aizdevumiem</w:t>
      </w:r>
    </w:p>
    <w:p w14:paraId="6216B404"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2546   Uzkrātie ieņēmumi par procentu un citiem  maksājumiem par finanšu </w:t>
      </w:r>
    </w:p>
    <w:p w14:paraId="1C04E7A1"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ieguldījumiem vērtspapīros</w:t>
      </w:r>
    </w:p>
    <w:p w14:paraId="0336CDBB"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2556   Uzkrātie ieņēmumi par pārējiem īstermiņa finanšu ieguldījumiem</w:t>
      </w:r>
    </w:p>
    <w:p w14:paraId="687F21EC"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2566   Uzkrātie ieņēmumi par % un citiem maksājumiem par noguldījumiem</w:t>
      </w:r>
    </w:p>
    <w:p w14:paraId="70455445" w14:textId="77777777" w:rsidR="006F3F20" w:rsidRPr="00C11075"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K    8120   Procentu ieņēmumi</w:t>
      </w:r>
    </w:p>
    <w:p w14:paraId="2EBEBD60" w14:textId="77777777" w:rsidR="00B375D4" w:rsidRPr="00852F31" w:rsidRDefault="00B375D4" w:rsidP="00CD363C">
      <w:pPr>
        <w:spacing w:after="0" w:line="240" w:lineRule="auto"/>
        <w:ind w:right="407"/>
        <w:jc w:val="both"/>
        <w:rPr>
          <w:rFonts w:ascii="Times New Roman" w:hAnsi="Times New Roman" w:cs="Times New Roman"/>
          <w:b/>
          <w:sz w:val="24"/>
          <w:szCs w:val="24"/>
        </w:rPr>
      </w:pPr>
    </w:p>
    <w:p w14:paraId="6673CB56" w14:textId="77777777" w:rsidR="007F4DB6" w:rsidRPr="00734EF7" w:rsidRDefault="007F4DB6" w:rsidP="00CD363C">
      <w:pPr>
        <w:widowControl w:val="0"/>
        <w:tabs>
          <w:tab w:val="left" w:pos="1018"/>
          <w:tab w:val="left" w:pos="9356"/>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921</w:t>
      </w:r>
      <w:r w:rsidRPr="00370E9C">
        <w:rPr>
          <w:rFonts w:ascii="Times New Roman" w:hAnsi="Times New Roman" w:cs="Times New Roman"/>
          <w:sz w:val="24"/>
          <w:szCs w:val="24"/>
        </w:rPr>
        <w:t xml:space="preserve">.   </w:t>
      </w:r>
      <w:r w:rsidR="00370E9C" w:rsidRPr="00370E9C">
        <w:rPr>
          <w:rFonts w:ascii="Times New Roman" w:hAnsi="Times New Roman" w:cs="Times New Roman"/>
          <w:sz w:val="24"/>
          <w:szCs w:val="24"/>
        </w:rPr>
        <w:t xml:space="preserve">21.8 </w:t>
      </w:r>
      <w:r w:rsidRPr="00370E9C">
        <w:rPr>
          <w:rFonts w:ascii="Times New Roman" w:hAnsi="Times New Roman" w:cs="Times New Roman"/>
          <w:sz w:val="24"/>
          <w:szCs w:val="24"/>
        </w:rPr>
        <w:t xml:space="preserve"> apakšnodaļā</w:t>
      </w:r>
      <w:r w:rsidRPr="00370E9C">
        <w:rPr>
          <w:rFonts w:ascii="Times New Roman" w:hAnsi="Times New Roman" w:cs="Times New Roman"/>
          <w:color w:val="0462C1"/>
          <w:sz w:val="24"/>
          <w:szCs w:val="24"/>
        </w:rPr>
        <w:t xml:space="preserve"> </w:t>
      </w:r>
      <w:r w:rsidRPr="00370E9C">
        <w:rPr>
          <w:rFonts w:ascii="Times New Roman" w:hAnsi="Times New Roman" w:cs="Times New Roman"/>
          <w:color w:val="0462C1"/>
          <w:sz w:val="24"/>
          <w:szCs w:val="24"/>
          <w:u w:val="single" w:color="0462C1"/>
        </w:rPr>
        <w:t>“</w:t>
      </w:r>
      <w:hyperlink w:anchor="_bookmark358" w:history="1">
        <w:r w:rsidR="00370E9C" w:rsidRPr="00370E9C">
          <w:rPr>
            <w:rFonts w:ascii="Times New Roman" w:hAnsi="Times New Roman" w:cs="Times New Roman"/>
            <w:color w:val="0462C1"/>
            <w:sz w:val="24"/>
            <w:szCs w:val="24"/>
            <w:u w:val="single" w:color="0462C1"/>
          </w:rPr>
          <w:t>21.8.1</w:t>
        </w:r>
        <w:r w:rsidRPr="00370E9C">
          <w:rPr>
            <w:rFonts w:ascii="Times New Roman" w:hAnsi="Times New Roman" w:cs="Times New Roman"/>
            <w:color w:val="0462C1"/>
            <w:sz w:val="24"/>
            <w:szCs w:val="24"/>
            <w:u w:val="single" w:color="0462C1"/>
          </w:rPr>
          <w:t>. Piemērs - finanšu aktīva amortizētās vērtības noteikšana un uzskaite,</w:t>
        </w:r>
      </w:hyperlink>
      <w:hyperlink w:anchor="_bookmark358" w:history="1">
        <w:r w:rsidRPr="00734EF7">
          <w:rPr>
            <w:rFonts w:ascii="Times New Roman" w:hAnsi="Times New Roman" w:cs="Times New Roman"/>
            <w:color w:val="0462C1"/>
            <w:sz w:val="24"/>
            <w:szCs w:val="24"/>
            <w:u w:val="single" w:color="0462C1"/>
          </w:rPr>
          <w:t xml:space="preserve"> piemērojot līgumā noteikto procentu likmi (aizdevums)</w:t>
        </w:r>
      </w:hyperlink>
      <w:r w:rsidRPr="00734EF7">
        <w:rPr>
          <w:rFonts w:ascii="Times New Roman" w:hAnsi="Times New Roman" w:cs="Times New Roman"/>
          <w:color w:val="0462C1"/>
          <w:sz w:val="24"/>
          <w:szCs w:val="24"/>
          <w:u w:val="single" w:color="0462C1"/>
        </w:rPr>
        <w:t>”</w:t>
      </w:r>
      <w:r w:rsidRPr="00734EF7">
        <w:rPr>
          <w:rFonts w:ascii="Times New Roman" w:hAnsi="Times New Roman" w:cs="Times New Roman"/>
          <w:color w:val="0462C1"/>
          <w:sz w:val="24"/>
          <w:szCs w:val="24"/>
        </w:rPr>
        <w:t xml:space="preserve"> </w:t>
      </w:r>
      <w:r w:rsidRPr="00734EF7">
        <w:rPr>
          <w:rFonts w:ascii="Times New Roman" w:hAnsi="Times New Roman" w:cs="Times New Roman"/>
          <w:sz w:val="24"/>
          <w:szCs w:val="24"/>
        </w:rPr>
        <w:t>ir sniegts praktisks piemērs par vispārējās valdības sektora struktūru ietvaros izsniegtā valsts budžeta aizdevuma uzskaiti, kam piemēro Valsts kases noteikto procentu</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likmi.</w:t>
      </w:r>
    </w:p>
    <w:p w14:paraId="034C9CAE" w14:textId="77777777" w:rsidR="007F4DB6" w:rsidRPr="00734EF7" w:rsidRDefault="007F4DB6" w:rsidP="00CD363C">
      <w:pPr>
        <w:pStyle w:val="Virsraksts4"/>
        <w:spacing w:before="0"/>
        <w:ind w:left="338" w:right="407"/>
        <w:jc w:val="both"/>
      </w:pPr>
      <w:r w:rsidRPr="00734EF7">
        <w:rPr>
          <w:color w:val="002069"/>
        </w:rPr>
        <w:t>Pārdošanai pieejamu finanšu aktīvu turpmākā novērtēšana</w:t>
      </w:r>
    </w:p>
    <w:p w14:paraId="2D236B0C" w14:textId="77777777" w:rsidR="007F4DB6" w:rsidRPr="00734EF7" w:rsidRDefault="007F4DB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922.   Pārdošanai pieejamu finanšu aktīvu vērtības izmaiņas atzīst finanšu instrumentu patiesās vērtības rezervē, veicot sekojošus</w:t>
      </w:r>
      <w:r w:rsidRPr="00734EF7">
        <w:rPr>
          <w:rFonts w:ascii="Times New Roman" w:hAnsi="Times New Roman" w:cs="Times New Roman"/>
          <w:spacing w:val="1"/>
          <w:sz w:val="24"/>
          <w:szCs w:val="24"/>
        </w:rPr>
        <w:t xml:space="preserve"> </w:t>
      </w:r>
      <w:r w:rsidRPr="00734EF7">
        <w:rPr>
          <w:rFonts w:ascii="Times New Roman" w:hAnsi="Times New Roman" w:cs="Times New Roman"/>
          <w:sz w:val="24"/>
          <w:szCs w:val="24"/>
        </w:rPr>
        <w:t>grāmatojumus:</w:t>
      </w:r>
    </w:p>
    <w:p w14:paraId="42CE68CE" w14:textId="77777777" w:rsidR="007F4DB6" w:rsidRDefault="007F4DB6" w:rsidP="00CD363C">
      <w:pPr>
        <w:spacing w:after="0" w:line="240" w:lineRule="auto"/>
        <w:ind w:left="394" w:right="407"/>
        <w:jc w:val="both"/>
        <w:rPr>
          <w:i/>
        </w:rPr>
      </w:pPr>
      <w:r>
        <w:rPr>
          <w:i/>
        </w:rPr>
        <w:t>Grāmatojums,</w:t>
      </w:r>
      <w:r>
        <w:rPr>
          <w:i/>
          <w:spacing w:val="-5"/>
        </w:rPr>
        <w:t xml:space="preserve"> </w:t>
      </w:r>
      <w:r>
        <w:rPr>
          <w:i/>
        </w:rPr>
        <w:t>atzīstot</w:t>
      </w:r>
      <w:r>
        <w:rPr>
          <w:i/>
          <w:spacing w:val="-4"/>
        </w:rPr>
        <w:t xml:space="preserve"> </w:t>
      </w:r>
      <w:r>
        <w:rPr>
          <w:i/>
        </w:rPr>
        <w:t>pārdošanai</w:t>
      </w:r>
      <w:r>
        <w:rPr>
          <w:i/>
          <w:spacing w:val="-3"/>
        </w:rPr>
        <w:t xml:space="preserve"> </w:t>
      </w:r>
      <w:r>
        <w:rPr>
          <w:i/>
        </w:rPr>
        <w:t>pieejamu</w:t>
      </w:r>
      <w:r>
        <w:rPr>
          <w:i/>
          <w:spacing w:val="-5"/>
        </w:rPr>
        <w:t xml:space="preserve"> </w:t>
      </w:r>
      <w:r>
        <w:rPr>
          <w:i/>
        </w:rPr>
        <w:t>finanšu</w:t>
      </w:r>
      <w:r>
        <w:rPr>
          <w:i/>
          <w:spacing w:val="-4"/>
        </w:rPr>
        <w:t xml:space="preserve"> </w:t>
      </w:r>
      <w:r>
        <w:rPr>
          <w:i/>
        </w:rPr>
        <w:t>aktīvu</w:t>
      </w:r>
      <w:r>
        <w:rPr>
          <w:i/>
          <w:spacing w:val="-5"/>
        </w:rPr>
        <w:t xml:space="preserve"> </w:t>
      </w:r>
      <w:r>
        <w:rPr>
          <w:i/>
        </w:rPr>
        <w:t>patiesās</w:t>
      </w:r>
      <w:r>
        <w:rPr>
          <w:i/>
          <w:spacing w:val="-6"/>
        </w:rPr>
        <w:t xml:space="preserve"> </w:t>
      </w:r>
      <w:r>
        <w:rPr>
          <w:i/>
        </w:rPr>
        <w:t>vērtības</w:t>
      </w:r>
      <w:r>
        <w:rPr>
          <w:i/>
          <w:spacing w:val="-7"/>
        </w:rPr>
        <w:t xml:space="preserve"> </w:t>
      </w:r>
      <w:r>
        <w:rPr>
          <w:i/>
        </w:rPr>
        <w:t>izmaiņas</w:t>
      </w:r>
      <w:r>
        <w:rPr>
          <w:i/>
          <w:spacing w:val="-4"/>
        </w:rPr>
        <w:t xml:space="preserve"> </w:t>
      </w:r>
      <w:r>
        <w:rPr>
          <w:i/>
        </w:rPr>
        <w:t>(palielinājumu):</w:t>
      </w:r>
    </w:p>
    <w:p w14:paraId="03976F38"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D    1349   Ilgtermiņa finanšu ieguldījumi vērtspapīros </w:t>
      </w:r>
    </w:p>
    <w:p w14:paraId="63927CA7"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D    1359   Pārējie ilgtermiņa finanšu ieguldījumi</w:t>
      </w:r>
    </w:p>
    <w:p w14:paraId="05C4ED2F"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D    1379   Pārējie turējumā nodotie ilgtermiņa finanšu ieguldījumi</w:t>
      </w:r>
    </w:p>
    <w:p w14:paraId="6ECBE7BB"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D    2549   Pārējie īstermiņa finanšu ieguldījumi vērtspapīros</w:t>
      </w:r>
    </w:p>
    <w:p w14:paraId="1F85F1F6"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D    2559   Pārējie īstermiņa finanšu ieguldījumi</w:t>
      </w:r>
    </w:p>
    <w:p w14:paraId="70A03C1C"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K    3320   Finanšu instrumentu patiesās vērtības rezerve</w:t>
      </w:r>
    </w:p>
    <w:p w14:paraId="4E2F04E4" w14:textId="77777777" w:rsidR="007F4DB6" w:rsidRDefault="007F4DB6" w:rsidP="00CD363C">
      <w:pPr>
        <w:spacing w:after="0" w:line="240" w:lineRule="auto"/>
        <w:ind w:left="338" w:right="407"/>
        <w:jc w:val="both"/>
        <w:rPr>
          <w:i/>
        </w:rPr>
      </w:pPr>
      <w:r>
        <w:rPr>
          <w:iCs/>
          <w:sz w:val="24"/>
          <w:szCs w:val="24"/>
        </w:rPr>
        <w:t xml:space="preserve"> </w:t>
      </w:r>
      <w:r>
        <w:rPr>
          <w:i/>
        </w:rPr>
        <w:t>Grāmatojums,</w:t>
      </w:r>
      <w:r>
        <w:rPr>
          <w:i/>
          <w:spacing w:val="-6"/>
        </w:rPr>
        <w:t xml:space="preserve"> </w:t>
      </w:r>
      <w:r>
        <w:rPr>
          <w:i/>
        </w:rPr>
        <w:t>atzīstot</w:t>
      </w:r>
      <w:r>
        <w:rPr>
          <w:i/>
          <w:spacing w:val="-4"/>
        </w:rPr>
        <w:t xml:space="preserve"> </w:t>
      </w:r>
      <w:r>
        <w:rPr>
          <w:i/>
        </w:rPr>
        <w:t>pārdošanai</w:t>
      </w:r>
      <w:r>
        <w:rPr>
          <w:i/>
          <w:spacing w:val="-4"/>
        </w:rPr>
        <w:t xml:space="preserve"> </w:t>
      </w:r>
      <w:r>
        <w:rPr>
          <w:i/>
        </w:rPr>
        <w:t>pieejamu</w:t>
      </w:r>
      <w:r>
        <w:rPr>
          <w:i/>
          <w:spacing w:val="-5"/>
        </w:rPr>
        <w:t xml:space="preserve"> </w:t>
      </w:r>
      <w:r>
        <w:rPr>
          <w:i/>
        </w:rPr>
        <w:t>finanšu</w:t>
      </w:r>
      <w:r>
        <w:rPr>
          <w:i/>
          <w:spacing w:val="-5"/>
        </w:rPr>
        <w:t xml:space="preserve"> </w:t>
      </w:r>
      <w:r>
        <w:rPr>
          <w:i/>
        </w:rPr>
        <w:t>aktīvu</w:t>
      </w:r>
      <w:r>
        <w:rPr>
          <w:i/>
          <w:spacing w:val="-6"/>
        </w:rPr>
        <w:t xml:space="preserve"> </w:t>
      </w:r>
      <w:r>
        <w:rPr>
          <w:i/>
        </w:rPr>
        <w:t>patiesās</w:t>
      </w:r>
      <w:r>
        <w:rPr>
          <w:i/>
          <w:spacing w:val="-6"/>
        </w:rPr>
        <w:t xml:space="preserve"> </w:t>
      </w:r>
      <w:r>
        <w:rPr>
          <w:i/>
        </w:rPr>
        <w:t>vērtības</w:t>
      </w:r>
      <w:r>
        <w:rPr>
          <w:i/>
          <w:spacing w:val="-6"/>
        </w:rPr>
        <w:t xml:space="preserve"> </w:t>
      </w:r>
      <w:r>
        <w:rPr>
          <w:i/>
        </w:rPr>
        <w:t>izmaiņas (samazinājumu):</w:t>
      </w:r>
    </w:p>
    <w:p w14:paraId="7CDB8F71" w14:textId="77777777" w:rsidR="007F4DB6" w:rsidRPr="007F4DB6" w:rsidRDefault="007F4DB6" w:rsidP="00CD363C">
      <w:pPr>
        <w:pStyle w:val="Pamatteksts"/>
        <w:ind w:right="407"/>
        <w:jc w:val="both"/>
        <w:rPr>
          <w:iCs/>
          <w:sz w:val="24"/>
          <w:szCs w:val="24"/>
        </w:rPr>
      </w:pPr>
    </w:p>
    <w:p w14:paraId="0E1AE27B" w14:textId="77777777" w:rsidR="007F4DB6" w:rsidRDefault="007F4DB6" w:rsidP="00CD363C">
      <w:pPr>
        <w:pStyle w:val="Pamatteksts"/>
        <w:ind w:right="407"/>
        <w:jc w:val="both"/>
        <w:rPr>
          <w:b/>
          <w:bCs/>
          <w:iCs/>
          <w:sz w:val="24"/>
          <w:szCs w:val="24"/>
        </w:rPr>
      </w:pPr>
      <w:r w:rsidRPr="007F4DB6">
        <w:rPr>
          <w:b/>
          <w:bCs/>
          <w:iCs/>
          <w:sz w:val="24"/>
          <w:szCs w:val="24"/>
        </w:rPr>
        <w:t xml:space="preserve">    </w:t>
      </w:r>
      <w:r>
        <w:rPr>
          <w:b/>
          <w:bCs/>
          <w:iCs/>
          <w:sz w:val="24"/>
          <w:szCs w:val="24"/>
        </w:rPr>
        <w:t>D</w:t>
      </w:r>
      <w:r w:rsidRPr="007F4DB6">
        <w:rPr>
          <w:b/>
          <w:bCs/>
          <w:iCs/>
          <w:sz w:val="24"/>
          <w:szCs w:val="24"/>
        </w:rPr>
        <w:t xml:space="preserve">   3320   Finanšu instrumentu patiesās vērtības rezerve</w:t>
      </w:r>
    </w:p>
    <w:p w14:paraId="386F490C" w14:textId="77777777" w:rsidR="007F4DB6" w:rsidRPr="007F4DB6" w:rsidRDefault="007F4DB6" w:rsidP="00CD363C">
      <w:pPr>
        <w:pStyle w:val="Pamatteksts"/>
        <w:ind w:right="407"/>
        <w:jc w:val="both"/>
        <w:rPr>
          <w:b/>
          <w:bCs/>
          <w:iCs/>
          <w:sz w:val="24"/>
          <w:szCs w:val="24"/>
        </w:rPr>
      </w:pPr>
      <w:r>
        <w:rPr>
          <w:b/>
          <w:bCs/>
          <w:iCs/>
          <w:sz w:val="24"/>
          <w:szCs w:val="24"/>
        </w:rPr>
        <w:t xml:space="preserve">    K   </w:t>
      </w:r>
      <w:r w:rsidRPr="007F4DB6">
        <w:rPr>
          <w:b/>
          <w:bCs/>
          <w:iCs/>
          <w:sz w:val="24"/>
          <w:szCs w:val="24"/>
        </w:rPr>
        <w:t xml:space="preserve">1349   Ilgtermiņa finanšu ieguldījumi vērtspapīros </w:t>
      </w:r>
    </w:p>
    <w:p w14:paraId="20522C53"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1359   Pārējie ilgtermiņa finanšu ieguldījumi</w:t>
      </w:r>
    </w:p>
    <w:p w14:paraId="0B7B3343"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1379   Pārējie turējumā nodotie ilgtermiņa finanšu ieguldījumi</w:t>
      </w:r>
    </w:p>
    <w:p w14:paraId="106A5348"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2549   Pārējie īstermiņa finanšu ieguldījumi vērtspapīros</w:t>
      </w:r>
    </w:p>
    <w:p w14:paraId="5A099EA3" w14:textId="77777777" w:rsidR="007F4DB6" w:rsidRPr="007F4DB6" w:rsidRDefault="007F4DB6" w:rsidP="00CD363C">
      <w:pPr>
        <w:pStyle w:val="Pamatteksts"/>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2559   Pārējie īstermiņa finanšu ieguldījumi</w:t>
      </w:r>
    </w:p>
    <w:p w14:paraId="3E17B6DF" w14:textId="77777777" w:rsidR="007F4DB6" w:rsidRPr="00734EF7" w:rsidRDefault="007F4DB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923.   Ieņēmumus vai izdevumus no valūtu kursu svārstībām, kas rodas pārskata perioda beigās novērtējot pārdošanai pieejamus finanšu aktīvus, atzīst pārskata perioda finanšu ieņēmumos vai finanšu izdevumos, nodalot analītiski atsevišķā kontā, saskaņā ar Grāmatvedības uzskaites kārtības sadaļā</w:t>
      </w:r>
      <w:r w:rsidRPr="00734EF7">
        <w:rPr>
          <w:rFonts w:ascii="Times New Roman" w:hAnsi="Times New Roman" w:cs="Times New Roman"/>
          <w:color w:val="0462C1"/>
          <w:sz w:val="24"/>
          <w:szCs w:val="24"/>
        </w:rPr>
        <w:t xml:space="preserve"> </w:t>
      </w:r>
      <w:r w:rsidRPr="00734EF7">
        <w:rPr>
          <w:rFonts w:ascii="Times New Roman" w:hAnsi="Times New Roman" w:cs="Times New Roman"/>
          <w:color w:val="0462C1"/>
          <w:sz w:val="24"/>
          <w:szCs w:val="24"/>
          <w:u w:val="single" w:color="0462C1"/>
        </w:rPr>
        <w:t>“</w:t>
      </w:r>
      <w:hyperlink w:anchor="_bookmark442" w:history="1">
        <w:r w:rsidRPr="00734EF7">
          <w:rPr>
            <w:rFonts w:ascii="Times New Roman" w:hAnsi="Times New Roman" w:cs="Times New Roman"/>
            <w:color w:val="0462C1"/>
            <w:sz w:val="24"/>
            <w:szCs w:val="24"/>
            <w:u w:val="single" w:color="0462C1"/>
          </w:rPr>
          <w:t>Darījumu ārvalstu</w:t>
        </w:r>
      </w:hyperlink>
      <w:hyperlink w:anchor="_bookmark442" w:history="1">
        <w:r w:rsidRPr="00734EF7">
          <w:rPr>
            <w:rFonts w:ascii="Times New Roman" w:hAnsi="Times New Roman" w:cs="Times New Roman"/>
            <w:color w:val="0462C1"/>
            <w:sz w:val="24"/>
            <w:szCs w:val="24"/>
            <w:u w:val="single" w:color="0462C1"/>
          </w:rPr>
          <w:t xml:space="preserve"> valūtā uzskaite</w:t>
        </w:r>
      </w:hyperlink>
      <w:r w:rsidRPr="00734EF7">
        <w:rPr>
          <w:rFonts w:ascii="Times New Roman" w:hAnsi="Times New Roman" w:cs="Times New Roman"/>
          <w:color w:val="0462C1"/>
          <w:sz w:val="24"/>
          <w:szCs w:val="24"/>
          <w:u w:val="single" w:color="0462C1"/>
        </w:rPr>
        <w:t>”</w:t>
      </w:r>
      <w:r w:rsidRPr="00734EF7">
        <w:rPr>
          <w:rFonts w:ascii="Times New Roman" w:hAnsi="Times New Roman" w:cs="Times New Roman"/>
          <w:color w:val="0462C1"/>
          <w:sz w:val="24"/>
          <w:szCs w:val="24"/>
        </w:rPr>
        <w:t xml:space="preserve"> </w:t>
      </w:r>
      <w:r w:rsidRPr="00734EF7">
        <w:rPr>
          <w:rFonts w:ascii="Times New Roman" w:hAnsi="Times New Roman" w:cs="Times New Roman"/>
          <w:sz w:val="24"/>
          <w:szCs w:val="24"/>
        </w:rPr>
        <w:t>noteiktajiem</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principiem.</w:t>
      </w:r>
    </w:p>
    <w:p w14:paraId="2ECF52D1" w14:textId="77777777" w:rsidR="007F4DB6"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 xml:space="preserve">924.   </w:t>
      </w:r>
      <w:r w:rsidR="007F4DB6" w:rsidRPr="00734EF7">
        <w:rPr>
          <w:rFonts w:ascii="Times New Roman" w:hAnsi="Times New Roman" w:cs="Times New Roman"/>
          <w:sz w:val="24"/>
          <w:szCs w:val="24"/>
        </w:rPr>
        <w:t>Tādu pārdošanai pieejamu finanšu aktīvu, kurus netirgo aktīvajā tirgū (nekotētie pašu kapitāla instrumenti)</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un</w:t>
      </w:r>
      <w:r w:rsidR="007F4DB6" w:rsidRPr="00734EF7">
        <w:rPr>
          <w:rFonts w:ascii="Times New Roman" w:hAnsi="Times New Roman" w:cs="Times New Roman"/>
          <w:spacing w:val="-6"/>
          <w:sz w:val="24"/>
          <w:szCs w:val="24"/>
        </w:rPr>
        <w:t xml:space="preserve"> </w:t>
      </w:r>
      <w:r w:rsidR="007F4DB6" w:rsidRPr="00734EF7">
        <w:rPr>
          <w:rFonts w:ascii="Times New Roman" w:hAnsi="Times New Roman" w:cs="Times New Roman"/>
          <w:sz w:val="24"/>
          <w:szCs w:val="24"/>
        </w:rPr>
        <w:t>kuru</w:t>
      </w:r>
      <w:r w:rsidR="007F4DB6" w:rsidRPr="00734EF7">
        <w:rPr>
          <w:rFonts w:ascii="Times New Roman" w:hAnsi="Times New Roman" w:cs="Times New Roman"/>
          <w:spacing w:val="-8"/>
          <w:sz w:val="24"/>
          <w:szCs w:val="24"/>
        </w:rPr>
        <w:t xml:space="preserve"> </w:t>
      </w:r>
      <w:r w:rsidR="007F4DB6" w:rsidRPr="00734EF7">
        <w:rPr>
          <w:rFonts w:ascii="Times New Roman" w:hAnsi="Times New Roman" w:cs="Times New Roman"/>
          <w:sz w:val="24"/>
          <w:szCs w:val="24"/>
        </w:rPr>
        <w:t>patieso</w:t>
      </w:r>
      <w:r w:rsidR="007F4DB6" w:rsidRPr="00734EF7">
        <w:rPr>
          <w:rFonts w:ascii="Times New Roman" w:hAnsi="Times New Roman" w:cs="Times New Roman"/>
          <w:spacing w:val="-6"/>
          <w:sz w:val="24"/>
          <w:szCs w:val="24"/>
        </w:rPr>
        <w:t xml:space="preserve"> </w:t>
      </w:r>
      <w:r w:rsidR="007F4DB6" w:rsidRPr="00734EF7">
        <w:rPr>
          <w:rFonts w:ascii="Times New Roman" w:hAnsi="Times New Roman" w:cs="Times New Roman"/>
          <w:sz w:val="24"/>
          <w:szCs w:val="24"/>
        </w:rPr>
        <w:t>vērtību</w:t>
      </w:r>
      <w:r w:rsidR="007F4DB6" w:rsidRPr="00734EF7">
        <w:rPr>
          <w:rFonts w:ascii="Times New Roman" w:hAnsi="Times New Roman" w:cs="Times New Roman"/>
          <w:spacing w:val="-8"/>
          <w:sz w:val="24"/>
          <w:szCs w:val="24"/>
        </w:rPr>
        <w:t xml:space="preserve"> </w:t>
      </w:r>
      <w:r w:rsidR="007F4DB6" w:rsidRPr="00734EF7">
        <w:rPr>
          <w:rFonts w:ascii="Times New Roman" w:hAnsi="Times New Roman" w:cs="Times New Roman"/>
          <w:sz w:val="24"/>
          <w:szCs w:val="24"/>
        </w:rPr>
        <w:t>nevar</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novērtēt,</w:t>
      </w:r>
      <w:r w:rsidR="007F4DB6" w:rsidRPr="00734EF7">
        <w:rPr>
          <w:rFonts w:ascii="Times New Roman" w:hAnsi="Times New Roman" w:cs="Times New Roman"/>
          <w:spacing w:val="-7"/>
          <w:sz w:val="24"/>
          <w:szCs w:val="24"/>
        </w:rPr>
        <w:t xml:space="preserve"> </w:t>
      </w:r>
      <w:r w:rsidR="007F4DB6" w:rsidRPr="00734EF7">
        <w:rPr>
          <w:rFonts w:ascii="Times New Roman" w:hAnsi="Times New Roman" w:cs="Times New Roman"/>
          <w:sz w:val="24"/>
          <w:szCs w:val="24"/>
        </w:rPr>
        <w:t>turpmākai</w:t>
      </w:r>
      <w:r w:rsidR="007F4DB6" w:rsidRPr="00734EF7">
        <w:rPr>
          <w:rFonts w:ascii="Times New Roman" w:hAnsi="Times New Roman" w:cs="Times New Roman"/>
          <w:spacing w:val="-1"/>
          <w:sz w:val="24"/>
          <w:szCs w:val="24"/>
        </w:rPr>
        <w:t xml:space="preserve"> </w:t>
      </w:r>
      <w:r w:rsidR="007F4DB6" w:rsidRPr="00734EF7">
        <w:rPr>
          <w:rFonts w:ascii="Times New Roman" w:hAnsi="Times New Roman" w:cs="Times New Roman"/>
          <w:sz w:val="24"/>
          <w:szCs w:val="24"/>
        </w:rPr>
        <w:t>novērtēšanai</w:t>
      </w:r>
      <w:r w:rsidR="007F4DB6" w:rsidRPr="00734EF7">
        <w:rPr>
          <w:rFonts w:ascii="Times New Roman" w:hAnsi="Times New Roman" w:cs="Times New Roman"/>
          <w:spacing w:val="-6"/>
          <w:sz w:val="24"/>
          <w:szCs w:val="24"/>
        </w:rPr>
        <w:t xml:space="preserve"> </w:t>
      </w:r>
      <w:r w:rsidR="007F4DB6" w:rsidRPr="00734EF7">
        <w:rPr>
          <w:rFonts w:ascii="Times New Roman" w:hAnsi="Times New Roman" w:cs="Times New Roman"/>
          <w:sz w:val="24"/>
          <w:szCs w:val="24"/>
        </w:rPr>
        <w:t>izmanto</w:t>
      </w:r>
      <w:r w:rsidR="007F4DB6" w:rsidRPr="00734EF7">
        <w:rPr>
          <w:rFonts w:ascii="Times New Roman" w:hAnsi="Times New Roman" w:cs="Times New Roman"/>
          <w:spacing w:val="-8"/>
          <w:sz w:val="24"/>
          <w:szCs w:val="24"/>
        </w:rPr>
        <w:t xml:space="preserve"> </w:t>
      </w:r>
      <w:r w:rsidR="007F4DB6" w:rsidRPr="00734EF7">
        <w:rPr>
          <w:rFonts w:ascii="Times New Roman" w:hAnsi="Times New Roman" w:cs="Times New Roman"/>
          <w:sz w:val="24"/>
          <w:szCs w:val="24"/>
        </w:rPr>
        <w:t>izmaksu</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 xml:space="preserve">vērtību, atskaitot izdevumus (zaudējumus) no vērtības samazinājuma. </w:t>
      </w:r>
      <w:r w:rsidR="007F4DB6" w:rsidRPr="00734EF7">
        <w:rPr>
          <w:rFonts w:ascii="Times New Roman" w:hAnsi="Times New Roman" w:cs="Times New Roman"/>
          <w:i/>
          <w:sz w:val="24"/>
          <w:szCs w:val="24"/>
        </w:rPr>
        <w:t>Piemēram, ieguldījumi kapitālsabiedrībās vai citās organizācijās, kuru akcijas netiek kotētas aktīvā</w:t>
      </w:r>
      <w:r w:rsidR="007F4DB6" w:rsidRPr="00734EF7">
        <w:rPr>
          <w:rFonts w:ascii="Times New Roman" w:hAnsi="Times New Roman" w:cs="Times New Roman"/>
          <w:i/>
          <w:spacing w:val="-11"/>
          <w:sz w:val="24"/>
          <w:szCs w:val="24"/>
        </w:rPr>
        <w:t xml:space="preserve"> </w:t>
      </w:r>
      <w:r w:rsidR="007F4DB6" w:rsidRPr="00734EF7">
        <w:rPr>
          <w:rFonts w:ascii="Times New Roman" w:hAnsi="Times New Roman" w:cs="Times New Roman"/>
          <w:i/>
          <w:sz w:val="24"/>
          <w:szCs w:val="24"/>
        </w:rPr>
        <w:t>tirgū</w:t>
      </w:r>
      <w:r w:rsidR="007F4DB6" w:rsidRPr="00734EF7">
        <w:rPr>
          <w:rFonts w:ascii="Times New Roman" w:hAnsi="Times New Roman" w:cs="Times New Roman"/>
          <w:sz w:val="24"/>
          <w:szCs w:val="24"/>
        </w:rPr>
        <w:t>.</w:t>
      </w:r>
    </w:p>
    <w:p w14:paraId="62A8F28B" w14:textId="77777777" w:rsidR="007F4DB6"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 xml:space="preserve">925.   </w:t>
      </w:r>
      <w:r w:rsidR="007F4DB6" w:rsidRPr="00734EF7">
        <w:rPr>
          <w:rFonts w:ascii="Times New Roman" w:hAnsi="Times New Roman" w:cs="Times New Roman"/>
          <w:sz w:val="24"/>
          <w:szCs w:val="24"/>
        </w:rPr>
        <w:t>Gadījumā, ja, turpmāk novērtējot pārdošanai pieejamu finanšu aktīvu, tā patiesā vērtība pārskata perioda beigās ir negatīva, to pārklasificē finanšu saistību</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sastāvā.</w:t>
      </w:r>
    </w:p>
    <w:p w14:paraId="066D9771" w14:textId="77777777" w:rsidR="00734EF7" w:rsidRPr="00734EF7" w:rsidRDefault="00734EF7" w:rsidP="00CD363C">
      <w:pPr>
        <w:pStyle w:val="Virsraksts4"/>
        <w:spacing w:before="0"/>
        <w:ind w:left="338" w:right="407"/>
        <w:jc w:val="both"/>
      </w:pPr>
      <w:r w:rsidRPr="00734EF7">
        <w:rPr>
          <w:color w:val="002069"/>
        </w:rPr>
        <w:t>Finanšu saistību turpmākā novērtēšana</w:t>
      </w:r>
    </w:p>
    <w:p w14:paraId="35576E78" w14:textId="77777777" w:rsidR="00734EF7"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 xml:space="preserve">   926.Katra pārskata perioda beigās budžeta iestāde turpmāk uzskaita finanšu saistības atbilstoši 2. tabulā norādītajiem uzskaites principiem un</w:t>
      </w:r>
      <w:r w:rsidRPr="00734EF7">
        <w:rPr>
          <w:rFonts w:ascii="Times New Roman" w:hAnsi="Times New Roman" w:cs="Times New Roman"/>
          <w:spacing w:val="-9"/>
          <w:sz w:val="24"/>
          <w:szCs w:val="24"/>
        </w:rPr>
        <w:t xml:space="preserve"> </w:t>
      </w:r>
      <w:r w:rsidRPr="00734EF7">
        <w:rPr>
          <w:rFonts w:ascii="Times New Roman" w:hAnsi="Times New Roman" w:cs="Times New Roman"/>
          <w:sz w:val="24"/>
          <w:szCs w:val="24"/>
        </w:rPr>
        <w:t>novērtē:</w:t>
      </w:r>
    </w:p>
    <w:p w14:paraId="7635AFB5" w14:textId="77777777" w:rsidR="00734EF7" w:rsidRPr="00734EF7" w:rsidRDefault="00734EF7"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4EF7">
        <w:rPr>
          <w:rFonts w:ascii="Times New Roman" w:hAnsi="Times New Roman" w:cs="Times New Roman"/>
          <w:sz w:val="24"/>
          <w:szCs w:val="24"/>
        </w:rPr>
        <w:t>patiesajā vērtībā novērtētās finanšu saistības novērtē to patiesajā vērtībā pārskata</w:t>
      </w:r>
      <w:r w:rsidRPr="00734EF7">
        <w:rPr>
          <w:rFonts w:ascii="Times New Roman" w:hAnsi="Times New Roman" w:cs="Times New Roman"/>
          <w:spacing w:val="-17"/>
          <w:sz w:val="24"/>
          <w:szCs w:val="24"/>
        </w:rPr>
        <w:t xml:space="preserve"> </w:t>
      </w:r>
      <w:r w:rsidRPr="00734EF7">
        <w:rPr>
          <w:rFonts w:ascii="Times New Roman" w:hAnsi="Times New Roman" w:cs="Times New Roman"/>
          <w:sz w:val="24"/>
          <w:szCs w:val="24"/>
        </w:rPr>
        <w:t>datumā;</w:t>
      </w:r>
    </w:p>
    <w:p w14:paraId="04A2A2DA" w14:textId="77777777" w:rsidR="00734EF7" w:rsidRPr="00734EF7" w:rsidRDefault="00734EF7" w:rsidP="00CD363C">
      <w:pPr>
        <w:pStyle w:val="Sarakstarindkopa"/>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4EF7">
        <w:rPr>
          <w:rFonts w:ascii="Times New Roman" w:hAnsi="Times New Roman" w:cs="Times New Roman"/>
          <w:sz w:val="24"/>
          <w:szCs w:val="24"/>
        </w:rPr>
        <w:t>pārējās saistības, izņemot finanšu garantiju līgumus, novērtē to amortizētajā</w:t>
      </w:r>
      <w:r w:rsidRPr="00734EF7">
        <w:rPr>
          <w:rFonts w:ascii="Times New Roman" w:hAnsi="Times New Roman" w:cs="Times New Roman"/>
          <w:spacing w:val="-14"/>
          <w:sz w:val="24"/>
          <w:szCs w:val="24"/>
        </w:rPr>
        <w:t xml:space="preserve"> </w:t>
      </w:r>
      <w:r w:rsidRPr="00734EF7">
        <w:rPr>
          <w:rFonts w:ascii="Times New Roman" w:hAnsi="Times New Roman" w:cs="Times New Roman"/>
          <w:sz w:val="24"/>
          <w:szCs w:val="24"/>
        </w:rPr>
        <w:t>vērtībā;</w:t>
      </w:r>
    </w:p>
    <w:p w14:paraId="6E4E2E7A" w14:textId="77777777" w:rsidR="00734EF7"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927.   Finanšu</w:t>
      </w:r>
      <w:r w:rsidRPr="00734EF7">
        <w:rPr>
          <w:rFonts w:ascii="Times New Roman" w:hAnsi="Times New Roman" w:cs="Times New Roman"/>
          <w:spacing w:val="-2"/>
          <w:sz w:val="24"/>
          <w:szCs w:val="24"/>
        </w:rPr>
        <w:t xml:space="preserve"> </w:t>
      </w:r>
      <w:r w:rsidRPr="00734EF7">
        <w:rPr>
          <w:rFonts w:ascii="Times New Roman" w:hAnsi="Times New Roman" w:cs="Times New Roman"/>
          <w:sz w:val="24"/>
          <w:szCs w:val="24"/>
        </w:rPr>
        <w:t>garantiju</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līgumus</w:t>
      </w:r>
      <w:r w:rsidRPr="00734EF7">
        <w:rPr>
          <w:rFonts w:ascii="Times New Roman" w:hAnsi="Times New Roman" w:cs="Times New Roman"/>
          <w:spacing w:val="-2"/>
          <w:sz w:val="24"/>
          <w:szCs w:val="24"/>
        </w:rPr>
        <w:t xml:space="preserve"> </w:t>
      </w:r>
      <w:r w:rsidRPr="00734EF7">
        <w:rPr>
          <w:rFonts w:ascii="Times New Roman" w:hAnsi="Times New Roman" w:cs="Times New Roman"/>
          <w:sz w:val="24"/>
          <w:szCs w:val="24"/>
        </w:rPr>
        <w:t>novērtē</w:t>
      </w:r>
      <w:r w:rsidRPr="00734EF7">
        <w:rPr>
          <w:rFonts w:ascii="Times New Roman" w:hAnsi="Times New Roman" w:cs="Times New Roman"/>
          <w:spacing w:val="-3"/>
          <w:sz w:val="24"/>
          <w:szCs w:val="24"/>
        </w:rPr>
        <w:t xml:space="preserve"> </w:t>
      </w:r>
      <w:r w:rsidRPr="00734EF7">
        <w:rPr>
          <w:rFonts w:ascii="Times New Roman" w:hAnsi="Times New Roman" w:cs="Times New Roman"/>
          <w:sz w:val="24"/>
          <w:szCs w:val="24"/>
        </w:rPr>
        <w:t>to</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patiesajā</w:t>
      </w:r>
      <w:r w:rsidRPr="00734EF7">
        <w:rPr>
          <w:rFonts w:ascii="Times New Roman" w:hAnsi="Times New Roman" w:cs="Times New Roman"/>
          <w:spacing w:val="-3"/>
          <w:sz w:val="24"/>
          <w:szCs w:val="24"/>
        </w:rPr>
        <w:t xml:space="preserve"> </w:t>
      </w:r>
      <w:r w:rsidRPr="00734EF7">
        <w:rPr>
          <w:rFonts w:ascii="Times New Roman" w:hAnsi="Times New Roman" w:cs="Times New Roman"/>
          <w:sz w:val="24"/>
          <w:szCs w:val="24"/>
        </w:rPr>
        <w:t>vērtībā,</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izņemot gadījumus,</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ja</w:t>
      </w:r>
      <w:r w:rsidRPr="00734EF7">
        <w:rPr>
          <w:rFonts w:ascii="Times New Roman" w:hAnsi="Times New Roman" w:cs="Times New Roman"/>
          <w:spacing w:val="-3"/>
          <w:sz w:val="24"/>
          <w:szCs w:val="24"/>
        </w:rPr>
        <w:t xml:space="preserve"> </w:t>
      </w:r>
      <w:r w:rsidRPr="00734EF7">
        <w:rPr>
          <w:rFonts w:ascii="Times New Roman" w:hAnsi="Times New Roman" w:cs="Times New Roman"/>
          <w:sz w:val="24"/>
          <w:szCs w:val="24"/>
        </w:rPr>
        <w:t>to</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patieso</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vērtību</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nevar ticami novērtēt. Tādā gadījumā saistības, kas rodas no izsniegtajām garantijām, novērtē atbilstoši precīzākajai vērtības</w:t>
      </w:r>
      <w:r w:rsidRPr="00734EF7">
        <w:rPr>
          <w:rFonts w:ascii="Times New Roman" w:hAnsi="Times New Roman" w:cs="Times New Roman"/>
          <w:spacing w:val="-2"/>
          <w:sz w:val="24"/>
          <w:szCs w:val="24"/>
        </w:rPr>
        <w:t xml:space="preserve"> </w:t>
      </w:r>
      <w:r w:rsidRPr="00734EF7">
        <w:rPr>
          <w:rFonts w:ascii="Times New Roman" w:hAnsi="Times New Roman" w:cs="Times New Roman"/>
          <w:sz w:val="24"/>
          <w:szCs w:val="24"/>
        </w:rPr>
        <w:t>aplēsei.</w:t>
      </w:r>
    </w:p>
    <w:p w14:paraId="485A01BF" w14:textId="77777777" w:rsidR="007F4DB6" w:rsidRPr="00734EF7" w:rsidRDefault="007F4DB6" w:rsidP="00CD363C">
      <w:pPr>
        <w:pStyle w:val="Pamatteksts"/>
        <w:ind w:right="407"/>
        <w:jc w:val="both"/>
        <w:rPr>
          <w:sz w:val="24"/>
          <w:szCs w:val="24"/>
        </w:rPr>
      </w:pPr>
    </w:p>
    <w:p w14:paraId="4001C6F1" w14:textId="77777777" w:rsidR="00734EF7" w:rsidRPr="00734EF7" w:rsidRDefault="00734EF7" w:rsidP="00CD363C">
      <w:pPr>
        <w:widowControl w:val="0"/>
        <w:tabs>
          <w:tab w:val="left" w:pos="3799"/>
        </w:tabs>
        <w:autoSpaceDE w:val="0"/>
        <w:autoSpaceDN w:val="0"/>
        <w:spacing w:after="0" w:line="240" w:lineRule="auto"/>
        <w:ind w:left="186" w:right="407"/>
        <w:jc w:val="both"/>
        <w:rPr>
          <w:i/>
          <w:sz w:val="20"/>
        </w:rPr>
      </w:pPr>
      <w:r>
        <w:rPr>
          <w:i/>
        </w:rPr>
        <w:t>2.</w:t>
      </w:r>
      <w:r w:rsidRPr="00734EF7">
        <w:rPr>
          <w:i/>
        </w:rPr>
        <w:t>tabula. Finanšu saistību sākotnējā atzīšana un turpmākā</w:t>
      </w:r>
      <w:r w:rsidRPr="00734EF7">
        <w:rPr>
          <w:i/>
          <w:spacing w:val="-13"/>
        </w:rPr>
        <w:t xml:space="preserve"> </w:t>
      </w:r>
      <w:r w:rsidRPr="00734EF7">
        <w:rPr>
          <w:i/>
        </w:rPr>
        <w:t>novērtēšana</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01"/>
        <w:gridCol w:w="1865"/>
        <w:gridCol w:w="2127"/>
        <w:gridCol w:w="1986"/>
        <w:gridCol w:w="1419"/>
      </w:tblGrid>
      <w:tr w:rsidR="00734EF7" w14:paraId="41B4D9DA" w14:textId="77777777" w:rsidTr="00424C78">
        <w:trPr>
          <w:trHeight w:val="690"/>
        </w:trPr>
        <w:tc>
          <w:tcPr>
            <w:tcW w:w="2101" w:type="dxa"/>
            <w:shd w:val="clear" w:color="auto" w:fill="F1F1F1"/>
          </w:tcPr>
          <w:p w14:paraId="1F39DB21" w14:textId="77777777" w:rsidR="00734EF7" w:rsidRDefault="00734EF7" w:rsidP="00CD363C">
            <w:pPr>
              <w:pStyle w:val="TableParagraph"/>
              <w:ind w:right="407"/>
              <w:jc w:val="both"/>
              <w:rPr>
                <w:i/>
                <w:sz w:val="20"/>
              </w:rPr>
            </w:pPr>
          </w:p>
          <w:p w14:paraId="099830B9" w14:textId="77777777" w:rsidR="00734EF7" w:rsidRDefault="00734EF7" w:rsidP="00CD363C">
            <w:pPr>
              <w:pStyle w:val="TableParagraph"/>
              <w:ind w:left="290" w:right="407"/>
              <w:jc w:val="both"/>
              <w:rPr>
                <w:b/>
                <w:sz w:val="20"/>
              </w:rPr>
            </w:pPr>
            <w:r>
              <w:rPr>
                <w:b/>
                <w:sz w:val="20"/>
              </w:rPr>
              <w:t>Finanšu saistības</w:t>
            </w:r>
          </w:p>
        </w:tc>
        <w:tc>
          <w:tcPr>
            <w:tcW w:w="1865" w:type="dxa"/>
            <w:shd w:val="clear" w:color="auto" w:fill="F1F1F1"/>
          </w:tcPr>
          <w:p w14:paraId="2E91D15F" w14:textId="77777777" w:rsidR="00734EF7" w:rsidRDefault="00734EF7" w:rsidP="00CD363C">
            <w:pPr>
              <w:pStyle w:val="TableParagraph"/>
              <w:ind w:left="548" w:right="407" w:hanging="77"/>
              <w:jc w:val="both"/>
              <w:rPr>
                <w:b/>
                <w:sz w:val="20"/>
              </w:rPr>
            </w:pPr>
            <w:r>
              <w:rPr>
                <w:b/>
                <w:w w:val="95"/>
                <w:sz w:val="20"/>
              </w:rPr>
              <w:t xml:space="preserve">Sākotnējā </w:t>
            </w:r>
            <w:r>
              <w:rPr>
                <w:b/>
                <w:sz w:val="20"/>
              </w:rPr>
              <w:t>atzīšana</w:t>
            </w:r>
          </w:p>
        </w:tc>
        <w:tc>
          <w:tcPr>
            <w:tcW w:w="2127" w:type="dxa"/>
            <w:shd w:val="clear" w:color="auto" w:fill="F1F1F1"/>
          </w:tcPr>
          <w:p w14:paraId="2B19EAC7" w14:textId="77777777" w:rsidR="00734EF7" w:rsidRDefault="00734EF7" w:rsidP="00CD363C">
            <w:pPr>
              <w:pStyle w:val="TableParagraph"/>
              <w:ind w:left="515" w:right="407" w:firstLine="57"/>
              <w:jc w:val="both"/>
              <w:rPr>
                <w:b/>
                <w:sz w:val="20"/>
              </w:rPr>
            </w:pPr>
            <w:r>
              <w:rPr>
                <w:b/>
                <w:sz w:val="20"/>
              </w:rPr>
              <w:t xml:space="preserve">Turpmākā </w:t>
            </w:r>
            <w:r>
              <w:rPr>
                <w:b/>
                <w:w w:val="95"/>
                <w:sz w:val="20"/>
              </w:rPr>
              <w:t>novērtēšana</w:t>
            </w:r>
          </w:p>
        </w:tc>
        <w:tc>
          <w:tcPr>
            <w:tcW w:w="1986" w:type="dxa"/>
            <w:shd w:val="clear" w:color="auto" w:fill="F1F1F1"/>
          </w:tcPr>
          <w:p w14:paraId="1C508FCA" w14:textId="77777777" w:rsidR="00734EF7" w:rsidRDefault="00734EF7" w:rsidP="00CD363C">
            <w:pPr>
              <w:pStyle w:val="TableParagraph"/>
              <w:ind w:left="333" w:right="407" w:hanging="84"/>
              <w:jc w:val="both"/>
              <w:rPr>
                <w:b/>
                <w:sz w:val="20"/>
              </w:rPr>
            </w:pPr>
            <w:r>
              <w:rPr>
                <w:b/>
                <w:sz w:val="20"/>
              </w:rPr>
              <w:t>Patiesās vērtības izmaiņas atzīst</w:t>
            </w:r>
          </w:p>
        </w:tc>
        <w:tc>
          <w:tcPr>
            <w:tcW w:w="1419" w:type="dxa"/>
            <w:shd w:val="clear" w:color="auto" w:fill="F1F1F1"/>
          </w:tcPr>
          <w:p w14:paraId="59A8F466" w14:textId="77777777" w:rsidR="00734EF7" w:rsidRDefault="00734EF7" w:rsidP="00CD363C">
            <w:pPr>
              <w:pStyle w:val="TableParagraph"/>
              <w:ind w:left="221" w:right="407" w:hanging="4"/>
              <w:jc w:val="both"/>
              <w:rPr>
                <w:b/>
                <w:sz w:val="20"/>
              </w:rPr>
            </w:pPr>
            <w:r>
              <w:rPr>
                <w:b/>
                <w:sz w:val="20"/>
              </w:rPr>
              <w:t xml:space="preserve">Procentu </w:t>
            </w:r>
            <w:r>
              <w:rPr>
                <w:b/>
                <w:w w:val="95"/>
                <w:sz w:val="20"/>
              </w:rPr>
              <w:t xml:space="preserve">izdevumus </w:t>
            </w:r>
            <w:r>
              <w:rPr>
                <w:b/>
                <w:sz w:val="20"/>
              </w:rPr>
              <w:t>atzīst</w:t>
            </w:r>
          </w:p>
        </w:tc>
      </w:tr>
      <w:tr w:rsidR="00734EF7" w14:paraId="44ECEF5A" w14:textId="77777777" w:rsidTr="00424C78">
        <w:trPr>
          <w:trHeight w:val="1106"/>
        </w:trPr>
        <w:tc>
          <w:tcPr>
            <w:tcW w:w="2101" w:type="dxa"/>
            <w:shd w:val="clear" w:color="auto" w:fill="EBF3F9"/>
          </w:tcPr>
          <w:p w14:paraId="52165025" w14:textId="77777777" w:rsidR="00734EF7" w:rsidRDefault="00734EF7" w:rsidP="00CD363C">
            <w:pPr>
              <w:pStyle w:val="TableParagraph"/>
              <w:ind w:right="407"/>
              <w:jc w:val="both"/>
              <w:rPr>
                <w:i/>
                <w:sz w:val="17"/>
              </w:rPr>
            </w:pPr>
          </w:p>
          <w:p w14:paraId="3D0D6E03" w14:textId="77777777" w:rsidR="00734EF7" w:rsidRDefault="00734EF7" w:rsidP="00CD363C">
            <w:pPr>
              <w:pStyle w:val="TableParagraph"/>
              <w:ind w:left="107" w:right="407"/>
              <w:jc w:val="both"/>
              <w:rPr>
                <w:sz w:val="20"/>
              </w:rPr>
            </w:pPr>
            <w:r>
              <w:rPr>
                <w:sz w:val="20"/>
              </w:rPr>
              <w:t>Patiesajā vērtībā novērtētās finanšu saistības</w:t>
            </w:r>
          </w:p>
        </w:tc>
        <w:tc>
          <w:tcPr>
            <w:tcW w:w="1865" w:type="dxa"/>
            <w:vMerge w:val="restart"/>
            <w:shd w:val="clear" w:color="auto" w:fill="EBF3F9"/>
          </w:tcPr>
          <w:p w14:paraId="4742495F" w14:textId="77777777" w:rsidR="00734EF7" w:rsidRDefault="00734EF7" w:rsidP="00CD363C">
            <w:pPr>
              <w:pStyle w:val="TableParagraph"/>
              <w:ind w:right="407"/>
              <w:jc w:val="both"/>
              <w:rPr>
                <w:i/>
              </w:rPr>
            </w:pPr>
          </w:p>
          <w:p w14:paraId="5505AB03" w14:textId="77777777" w:rsidR="00734EF7" w:rsidRDefault="00734EF7" w:rsidP="00CD363C">
            <w:pPr>
              <w:pStyle w:val="TableParagraph"/>
              <w:ind w:right="407"/>
              <w:jc w:val="both"/>
              <w:rPr>
                <w:i/>
              </w:rPr>
            </w:pPr>
          </w:p>
          <w:p w14:paraId="557E6256" w14:textId="77777777" w:rsidR="00734EF7" w:rsidRDefault="00734EF7" w:rsidP="00CD363C">
            <w:pPr>
              <w:pStyle w:val="TableParagraph"/>
              <w:ind w:right="407"/>
              <w:jc w:val="both"/>
              <w:rPr>
                <w:i/>
              </w:rPr>
            </w:pPr>
          </w:p>
          <w:p w14:paraId="6C8F6BAF" w14:textId="77777777" w:rsidR="00734EF7" w:rsidRDefault="00734EF7" w:rsidP="00CD363C">
            <w:pPr>
              <w:pStyle w:val="TableParagraph"/>
              <w:ind w:right="407"/>
              <w:jc w:val="both"/>
              <w:rPr>
                <w:i/>
              </w:rPr>
            </w:pPr>
          </w:p>
          <w:p w14:paraId="55230EBC" w14:textId="77777777" w:rsidR="00734EF7" w:rsidRDefault="00734EF7" w:rsidP="00CD363C">
            <w:pPr>
              <w:pStyle w:val="TableParagraph"/>
              <w:ind w:right="407"/>
              <w:jc w:val="both"/>
              <w:rPr>
                <w:i/>
              </w:rPr>
            </w:pPr>
          </w:p>
          <w:p w14:paraId="3CF92D5F" w14:textId="77777777" w:rsidR="00734EF7" w:rsidRDefault="00734EF7" w:rsidP="00CD363C">
            <w:pPr>
              <w:pStyle w:val="TableParagraph"/>
              <w:ind w:right="407"/>
              <w:jc w:val="both"/>
              <w:rPr>
                <w:i/>
                <w:sz w:val="19"/>
              </w:rPr>
            </w:pPr>
          </w:p>
          <w:p w14:paraId="3E4E5EA4" w14:textId="77777777" w:rsidR="00734EF7" w:rsidRDefault="00734EF7" w:rsidP="00CD363C">
            <w:pPr>
              <w:pStyle w:val="TableParagraph"/>
              <w:ind w:left="104" w:right="407"/>
              <w:jc w:val="both"/>
              <w:rPr>
                <w:sz w:val="20"/>
              </w:rPr>
            </w:pPr>
            <w:r>
              <w:rPr>
                <w:sz w:val="20"/>
              </w:rPr>
              <w:t>Patiesajā vērtībā</w:t>
            </w:r>
          </w:p>
        </w:tc>
        <w:tc>
          <w:tcPr>
            <w:tcW w:w="2127" w:type="dxa"/>
            <w:shd w:val="clear" w:color="auto" w:fill="EBF3F9"/>
          </w:tcPr>
          <w:p w14:paraId="5F919E35" w14:textId="77777777" w:rsidR="00734EF7" w:rsidRDefault="00734EF7" w:rsidP="00CD363C">
            <w:pPr>
              <w:pStyle w:val="TableParagraph"/>
              <w:ind w:right="407"/>
              <w:jc w:val="both"/>
              <w:rPr>
                <w:i/>
              </w:rPr>
            </w:pPr>
          </w:p>
          <w:p w14:paraId="706F2EEB" w14:textId="77777777" w:rsidR="00734EF7" w:rsidRDefault="00734EF7" w:rsidP="00CD363C">
            <w:pPr>
              <w:pStyle w:val="TableParagraph"/>
              <w:ind w:left="107" w:right="407"/>
              <w:jc w:val="both"/>
              <w:rPr>
                <w:sz w:val="20"/>
              </w:rPr>
            </w:pPr>
            <w:r>
              <w:rPr>
                <w:sz w:val="20"/>
              </w:rPr>
              <w:t>Patiesajā vērtībā</w:t>
            </w:r>
          </w:p>
        </w:tc>
        <w:tc>
          <w:tcPr>
            <w:tcW w:w="1986" w:type="dxa"/>
            <w:shd w:val="clear" w:color="auto" w:fill="EBF3F9"/>
          </w:tcPr>
          <w:p w14:paraId="7467DB23" w14:textId="77777777" w:rsidR="00734EF7" w:rsidRDefault="00734EF7" w:rsidP="00CD363C">
            <w:pPr>
              <w:pStyle w:val="TableParagraph"/>
              <w:ind w:right="407"/>
              <w:jc w:val="both"/>
              <w:rPr>
                <w:i/>
                <w:sz w:val="17"/>
              </w:rPr>
            </w:pPr>
          </w:p>
          <w:p w14:paraId="4F4ED1F6" w14:textId="77777777" w:rsidR="00734EF7" w:rsidRDefault="00734EF7" w:rsidP="00CD363C">
            <w:pPr>
              <w:pStyle w:val="TableParagraph"/>
              <w:ind w:left="106" w:right="407"/>
              <w:jc w:val="both"/>
              <w:rPr>
                <w:sz w:val="20"/>
              </w:rPr>
            </w:pPr>
            <w:r>
              <w:rPr>
                <w:sz w:val="20"/>
              </w:rPr>
              <w:t>Pārskata perioda finanšu ieņēmumos vai izdevumos</w:t>
            </w:r>
          </w:p>
        </w:tc>
        <w:tc>
          <w:tcPr>
            <w:tcW w:w="1419" w:type="dxa"/>
            <w:shd w:val="clear" w:color="auto" w:fill="EBF3F9"/>
          </w:tcPr>
          <w:p w14:paraId="1DD9BB23" w14:textId="77777777" w:rsidR="00734EF7" w:rsidRDefault="00734EF7" w:rsidP="00CD363C">
            <w:pPr>
              <w:pStyle w:val="TableParagraph"/>
              <w:ind w:left="103" w:right="407"/>
              <w:jc w:val="both"/>
              <w:rPr>
                <w:sz w:val="20"/>
              </w:rPr>
            </w:pPr>
            <w:r>
              <w:rPr>
                <w:sz w:val="20"/>
              </w:rPr>
              <w:t xml:space="preserve">Pārskata perioda finanšu </w:t>
            </w:r>
            <w:r>
              <w:rPr>
                <w:w w:val="95"/>
                <w:sz w:val="20"/>
              </w:rPr>
              <w:t>izdevumos</w:t>
            </w:r>
          </w:p>
        </w:tc>
      </w:tr>
      <w:tr w:rsidR="00734EF7" w14:paraId="2F319856" w14:textId="77777777" w:rsidTr="00424C78">
        <w:trPr>
          <w:trHeight w:val="1161"/>
        </w:trPr>
        <w:tc>
          <w:tcPr>
            <w:tcW w:w="2101" w:type="dxa"/>
          </w:tcPr>
          <w:p w14:paraId="50A72E08" w14:textId="77777777" w:rsidR="00734EF7" w:rsidRDefault="00734EF7" w:rsidP="00CD363C">
            <w:pPr>
              <w:pStyle w:val="TableParagraph"/>
              <w:ind w:left="107" w:right="407"/>
              <w:jc w:val="both"/>
              <w:rPr>
                <w:sz w:val="20"/>
              </w:rPr>
            </w:pPr>
            <w:r>
              <w:rPr>
                <w:sz w:val="20"/>
              </w:rPr>
              <w:t>Pārējās finanšu saistības (izņemot finanšu garantiju līgumus)</w:t>
            </w:r>
          </w:p>
        </w:tc>
        <w:tc>
          <w:tcPr>
            <w:tcW w:w="1865" w:type="dxa"/>
            <w:vMerge/>
            <w:tcBorders>
              <w:top w:val="nil"/>
            </w:tcBorders>
            <w:shd w:val="clear" w:color="auto" w:fill="EBF3F9"/>
          </w:tcPr>
          <w:p w14:paraId="389DB6AF" w14:textId="77777777" w:rsidR="00734EF7" w:rsidRDefault="00734EF7" w:rsidP="00CD363C">
            <w:pPr>
              <w:spacing w:after="0" w:line="240" w:lineRule="auto"/>
              <w:ind w:right="407"/>
              <w:jc w:val="both"/>
              <w:rPr>
                <w:sz w:val="2"/>
                <w:szCs w:val="2"/>
              </w:rPr>
            </w:pPr>
          </w:p>
        </w:tc>
        <w:tc>
          <w:tcPr>
            <w:tcW w:w="2127" w:type="dxa"/>
          </w:tcPr>
          <w:p w14:paraId="15761FE2" w14:textId="77777777" w:rsidR="00734EF7" w:rsidRDefault="00734EF7" w:rsidP="00CD363C">
            <w:pPr>
              <w:pStyle w:val="TableParagraph"/>
              <w:ind w:right="407"/>
              <w:jc w:val="both"/>
              <w:rPr>
                <w:i/>
              </w:rPr>
            </w:pPr>
          </w:p>
          <w:p w14:paraId="6FB1DF70" w14:textId="77777777" w:rsidR="00734EF7" w:rsidRDefault="00734EF7" w:rsidP="00CD363C">
            <w:pPr>
              <w:pStyle w:val="TableParagraph"/>
              <w:ind w:right="407"/>
              <w:jc w:val="both"/>
              <w:rPr>
                <w:i/>
                <w:sz w:val="18"/>
              </w:rPr>
            </w:pPr>
          </w:p>
          <w:p w14:paraId="15D5D0B0" w14:textId="77777777" w:rsidR="00734EF7" w:rsidRDefault="00734EF7" w:rsidP="00CD363C">
            <w:pPr>
              <w:pStyle w:val="TableParagraph"/>
              <w:ind w:left="107" w:right="407"/>
              <w:jc w:val="both"/>
              <w:rPr>
                <w:sz w:val="20"/>
              </w:rPr>
            </w:pPr>
            <w:r>
              <w:rPr>
                <w:sz w:val="20"/>
              </w:rPr>
              <w:t>Amortizētajā vērtībā</w:t>
            </w:r>
          </w:p>
        </w:tc>
        <w:tc>
          <w:tcPr>
            <w:tcW w:w="1986" w:type="dxa"/>
          </w:tcPr>
          <w:p w14:paraId="46B3B34C" w14:textId="77777777" w:rsidR="00734EF7" w:rsidRDefault="00734EF7" w:rsidP="00CD363C">
            <w:pPr>
              <w:pStyle w:val="TableParagraph"/>
              <w:ind w:right="407"/>
              <w:jc w:val="both"/>
              <w:rPr>
                <w:i/>
              </w:rPr>
            </w:pPr>
          </w:p>
          <w:p w14:paraId="76F24FC2" w14:textId="77777777" w:rsidR="00734EF7" w:rsidRDefault="00734EF7" w:rsidP="00CD363C">
            <w:pPr>
              <w:pStyle w:val="TableParagraph"/>
              <w:ind w:right="407"/>
              <w:jc w:val="both"/>
              <w:rPr>
                <w:i/>
                <w:sz w:val="18"/>
              </w:rPr>
            </w:pPr>
          </w:p>
          <w:p w14:paraId="48EACDEC" w14:textId="77777777" w:rsidR="00734EF7" w:rsidRDefault="00734EF7" w:rsidP="00CD363C">
            <w:pPr>
              <w:pStyle w:val="TableParagraph"/>
              <w:ind w:left="106" w:right="407"/>
              <w:jc w:val="both"/>
              <w:rPr>
                <w:sz w:val="20"/>
              </w:rPr>
            </w:pPr>
            <w:r>
              <w:rPr>
                <w:sz w:val="20"/>
              </w:rPr>
              <w:t>n/a</w:t>
            </w:r>
          </w:p>
        </w:tc>
        <w:tc>
          <w:tcPr>
            <w:tcW w:w="1419" w:type="dxa"/>
          </w:tcPr>
          <w:p w14:paraId="72EAA7BB" w14:textId="77777777" w:rsidR="00734EF7" w:rsidRDefault="00734EF7" w:rsidP="00CD363C">
            <w:pPr>
              <w:pStyle w:val="TableParagraph"/>
              <w:ind w:left="103" w:right="407"/>
              <w:jc w:val="both"/>
              <w:rPr>
                <w:sz w:val="20"/>
              </w:rPr>
            </w:pPr>
            <w:r>
              <w:rPr>
                <w:sz w:val="20"/>
              </w:rPr>
              <w:t xml:space="preserve">Pārskata perioda finanšu </w:t>
            </w:r>
            <w:r>
              <w:rPr>
                <w:w w:val="95"/>
                <w:sz w:val="20"/>
              </w:rPr>
              <w:t>izdevumos</w:t>
            </w:r>
          </w:p>
        </w:tc>
      </w:tr>
      <w:tr w:rsidR="00734EF7" w14:paraId="1F211947" w14:textId="77777777" w:rsidTr="00424C78">
        <w:trPr>
          <w:trHeight w:val="940"/>
        </w:trPr>
        <w:tc>
          <w:tcPr>
            <w:tcW w:w="2101" w:type="dxa"/>
            <w:shd w:val="clear" w:color="auto" w:fill="EBF3F9"/>
          </w:tcPr>
          <w:p w14:paraId="1CADE832" w14:textId="77777777" w:rsidR="00734EF7" w:rsidRDefault="00734EF7" w:rsidP="00CD363C">
            <w:pPr>
              <w:pStyle w:val="TableParagraph"/>
              <w:ind w:right="407"/>
              <w:jc w:val="both"/>
              <w:rPr>
                <w:i/>
                <w:sz w:val="20"/>
              </w:rPr>
            </w:pPr>
          </w:p>
          <w:p w14:paraId="56B18E8B" w14:textId="77777777" w:rsidR="00734EF7" w:rsidRDefault="00734EF7" w:rsidP="00CD363C">
            <w:pPr>
              <w:pStyle w:val="TableParagraph"/>
              <w:ind w:left="107" w:right="407"/>
              <w:jc w:val="both"/>
              <w:rPr>
                <w:sz w:val="20"/>
              </w:rPr>
            </w:pPr>
            <w:r>
              <w:rPr>
                <w:sz w:val="20"/>
              </w:rPr>
              <w:t>Finanšu garantiju līgumi*</w:t>
            </w:r>
          </w:p>
        </w:tc>
        <w:tc>
          <w:tcPr>
            <w:tcW w:w="1865" w:type="dxa"/>
            <w:vMerge/>
            <w:tcBorders>
              <w:top w:val="nil"/>
            </w:tcBorders>
            <w:shd w:val="clear" w:color="auto" w:fill="EBF3F9"/>
          </w:tcPr>
          <w:p w14:paraId="74B6562A" w14:textId="77777777" w:rsidR="00734EF7" w:rsidRDefault="00734EF7" w:rsidP="00CD363C">
            <w:pPr>
              <w:spacing w:after="0" w:line="240" w:lineRule="auto"/>
              <w:ind w:right="407"/>
              <w:jc w:val="both"/>
              <w:rPr>
                <w:sz w:val="2"/>
                <w:szCs w:val="2"/>
              </w:rPr>
            </w:pPr>
          </w:p>
        </w:tc>
        <w:tc>
          <w:tcPr>
            <w:tcW w:w="2127" w:type="dxa"/>
            <w:shd w:val="clear" w:color="auto" w:fill="EBF3F9"/>
          </w:tcPr>
          <w:p w14:paraId="12148A23" w14:textId="77777777" w:rsidR="00734EF7" w:rsidRDefault="00734EF7" w:rsidP="00CD363C">
            <w:pPr>
              <w:pStyle w:val="TableParagraph"/>
              <w:ind w:right="407"/>
              <w:jc w:val="both"/>
              <w:rPr>
                <w:i/>
                <w:sz w:val="30"/>
              </w:rPr>
            </w:pPr>
          </w:p>
          <w:p w14:paraId="39042460" w14:textId="77777777" w:rsidR="00734EF7" w:rsidRDefault="00734EF7" w:rsidP="00CD363C">
            <w:pPr>
              <w:pStyle w:val="TableParagraph"/>
              <w:ind w:left="107" w:right="407"/>
              <w:jc w:val="both"/>
              <w:rPr>
                <w:sz w:val="20"/>
              </w:rPr>
            </w:pPr>
            <w:r>
              <w:rPr>
                <w:sz w:val="20"/>
              </w:rPr>
              <w:t>Patiesajā vērtībā**</w:t>
            </w:r>
          </w:p>
        </w:tc>
        <w:tc>
          <w:tcPr>
            <w:tcW w:w="1986" w:type="dxa"/>
            <w:shd w:val="clear" w:color="auto" w:fill="EBF3F9"/>
          </w:tcPr>
          <w:p w14:paraId="6EF45189" w14:textId="77777777" w:rsidR="00734EF7" w:rsidRDefault="00734EF7" w:rsidP="00CD363C">
            <w:pPr>
              <w:pStyle w:val="TableParagraph"/>
              <w:ind w:left="106" w:right="407"/>
              <w:jc w:val="both"/>
              <w:rPr>
                <w:sz w:val="20"/>
              </w:rPr>
            </w:pPr>
            <w:r>
              <w:rPr>
                <w:sz w:val="20"/>
              </w:rPr>
              <w:t>Pārskata perioda ieņēmumos vai izdevumos</w:t>
            </w:r>
          </w:p>
        </w:tc>
        <w:tc>
          <w:tcPr>
            <w:tcW w:w="1419" w:type="dxa"/>
            <w:shd w:val="clear" w:color="auto" w:fill="EBF3F9"/>
          </w:tcPr>
          <w:p w14:paraId="2DE8ECBB" w14:textId="77777777" w:rsidR="00734EF7" w:rsidRDefault="00734EF7" w:rsidP="00CD363C">
            <w:pPr>
              <w:pStyle w:val="TableParagraph"/>
              <w:ind w:right="407"/>
              <w:jc w:val="both"/>
              <w:rPr>
                <w:i/>
                <w:sz w:val="30"/>
              </w:rPr>
            </w:pPr>
          </w:p>
          <w:p w14:paraId="5BCE946E" w14:textId="77777777" w:rsidR="00734EF7" w:rsidRDefault="00734EF7" w:rsidP="00CD363C">
            <w:pPr>
              <w:pStyle w:val="TableParagraph"/>
              <w:ind w:left="103" w:right="407"/>
              <w:jc w:val="both"/>
              <w:rPr>
                <w:sz w:val="20"/>
              </w:rPr>
            </w:pPr>
            <w:r>
              <w:rPr>
                <w:sz w:val="20"/>
              </w:rPr>
              <w:t>n/a</w:t>
            </w:r>
          </w:p>
        </w:tc>
      </w:tr>
    </w:tbl>
    <w:p w14:paraId="53D3800D" w14:textId="77777777" w:rsidR="007F4DB6" w:rsidRPr="007F4DB6" w:rsidRDefault="007F4DB6" w:rsidP="00CD363C">
      <w:pPr>
        <w:pStyle w:val="Pamatteksts"/>
        <w:ind w:right="407"/>
        <w:jc w:val="both"/>
        <w:rPr>
          <w:b/>
          <w:bCs/>
          <w:iCs/>
          <w:sz w:val="24"/>
          <w:szCs w:val="24"/>
        </w:rPr>
      </w:pPr>
    </w:p>
    <w:p w14:paraId="73E44298" w14:textId="77777777" w:rsidR="00734EF7" w:rsidRDefault="00734EF7" w:rsidP="00CD363C">
      <w:pPr>
        <w:spacing w:after="0" w:line="240" w:lineRule="auto"/>
        <w:ind w:left="338" w:right="407"/>
        <w:jc w:val="both"/>
        <w:rPr>
          <w:i/>
          <w:sz w:val="20"/>
        </w:rPr>
      </w:pPr>
      <w:r>
        <w:rPr>
          <w:i/>
          <w:sz w:val="20"/>
        </w:rPr>
        <w:t>*klasificē kā uzkrājumus vai iespējamās saistības</w:t>
      </w:r>
    </w:p>
    <w:p w14:paraId="16DBB330" w14:textId="77777777" w:rsidR="00734EF7" w:rsidRDefault="00734EF7" w:rsidP="00CD363C">
      <w:pPr>
        <w:spacing w:after="0" w:line="240" w:lineRule="auto"/>
        <w:ind w:left="338" w:right="407"/>
        <w:jc w:val="both"/>
        <w:rPr>
          <w:i/>
          <w:sz w:val="20"/>
        </w:rPr>
      </w:pPr>
      <w:r>
        <w:rPr>
          <w:i/>
          <w:sz w:val="20"/>
        </w:rPr>
        <w:t>**ja patieso vērtību nevar ticami novērtēt, saistības, kas rodas no izsniegtajām garantijām, novērtē atbilstoši precīzākajai vērtības aplēsei.</w:t>
      </w:r>
    </w:p>
    <w:p w14:paraId="0575F68F" w14:textId="77777777" w:rsidR="00734EF7" w:rsidRPr="00DC06C4"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928.   Budžeta iestāde katrā pārskata datumā aprēķina uzkrātās saistības un pārskata perioda procentu izdevumus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saskaņā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ar</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līgumā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noteikto</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procentu</w:t>
      </w:r>
      <w:r w:rsidRPr="00DC06C4">
        <w:rPr>
          <w:rFonts w:ascii="Times New Roman" w:hAnsi="Times New Roman" w:cs="Times New Roman"/>
          <w:spacing w:val="-12"/>
          <w:sz w:val="24"/>
          <w:szCs w:val="24"/>
        </w:rPr>
        <w:t xml:space="preserve"> </w:t>
      </w:r>
      <w:r w:rsidRPr="00DC06C4">
        <w:rPr>
          <w:rFonts w:ascii="Times New Roman" w:hAnsi="Times New Roman" w:cs="Times New Roman"/>
          <w:sz w:val="24"/>
          <w:szCs w:val="24"/>
        </w:rPr>
        <w:t>likmi</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vai</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efektīvo</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procentu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likmi</w:t>
      </w:r>
      <w:r w:rsidRPr="00DC06C4">
        <w:rPr>
          <w:rFonts w:ascii="Times New Roman" w:hAnsi="Times New Roman" w:cs="Times New Roman"/>
          <w:spacing w:val="-3"/>
          <w:sz w:val="24"/>
          <w:szCs w:val="24"/>
        </w:rPr>
        <w:t xml:space="preserve"> </w:t>
      </w:r>
      <w:r w:rsidRPr="00DC06C4">
        <w:rPr>
          <w:rFonts w:ascii="Times New Roman" w:hAnsi="Times New Roman" w:cs="Times New Roman"/>
          <w:sz w:val="24"/>
          <w:szCs w:val="24"/>
        </w:rPr>
        <w:t>un</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atzīst</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kā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uzkrātās saistības un procentu izdevumus, veicot sekojošus</w:t>
      </w:r>
      <w:r w:rsidRPr="00DC06C4">
        <w:rPr>
          <w:rFonts w:ascii="Times New Roman" w:hAnsi="Times New Roman" w:cs="Times New Roman"/>
          <w:spacing w:val="-2"/>
          <w:sz w:val="24"/>
          <w:szCs w:val="24"/>
        </w:rPr>
        <w:t xml:space="preserve"> </w:t>
      </w:r>
      <w:r w:rsidRPr="00DC06C4">
        <w:rPr>
          <w:rFonts w:ascii="Times New Roman" w:hAnsi="Times New Roman" w:cs="Times New Roman"/>
          <w:sz w:val="24"/>
          <w:szCs w:val="24"/>
        </w:rPr>
        <w:t>grāmatojumus:</w:t>
      </w:r>
    </w:p>
    <w:p w14:paraId="19806F51" w14:textId="77777777" w:rsidR="00734EF7" w:rsidRDefault="00734EF7" w:rsidP="00CD363C">
      <w:pPr>
        <w:spacing w:after="0" w:line="240" w:lineRule="auto"/>
        <w:ind w:left="622" w:right="407"/>
        <w:jc w:val="both"/>
        <w:rPr>
          <w:i/>
        </w:rPr>
      </w:pPr>
      <w:r>
        <w:rPr>
          <w:i/>
        </w:rPr>
        <w:t>Grāmatojums, atzīstot uzkrātās saistības un procentu izdevumus:</w:t>
      </w:r>
    </w:p>
    <w:p w14:paraId="6F3B4612" w14:textId="77777777" w:rsidR="007F4DB6" w:rsidRPr="00D25A97" w:rsidRDefault="00734EF7" w:rsidP="00CD363C">
      <w:pPr>
        <w:pStyle w:val="Pamatteksts"/>
        <w:ind w:right="407"/>
        <w:jc w:val="both"/>
        <w:rPr>
          <w:b/>
          <w:bCs/>
          <w:iCs/>
          <w:sz w:val="24"/>
          <w:szCs w:val="24"/>
        </w:rPr>
      </w:pPr>
      <w:r w:rsidRPr="00D25A97">
        <w:rPr>
          <w:b/>
          <w:bCs/>
          <w:iCs/>
          <w:sz w:val="17"/>
        </w:rPr>
        <w:t xml:space="preserve">  </w:t>
      </w:r>
      <w:r w:rsidR="00D25A97">
        <w:rPr>
          <w:b/>
          <w:bCs/>
          <w:iCs/>
          <w:sz w:val="17"/>
        </w:rPr>
        <w:t xml:space="preserve"> </w:t>
      </w:r>
      <w:r w:rsidRPr="00D25A97">
        <w:rPr>
          <w:b/>
          <w:bCs/>
          <w:iCs/>
          <w:sz w:val="17"/>
        </w:rPr>
        <w:t xml:space="preserve">  </w:t>
      </w:r>
      <w:r w:rsidRPr="00D25A97">
        <w:rPr>
          <w:b/>
          <w:bCs/>
          <w:iCs/>
          <w:sz w:val="24"/>
          <w:szCs w:val="24"/>
        </w:rPr>
        <w:t>D   8220   Procentu izdevumi</w:t>
      </w:r>
    </w:p>
    <w:p w14:paraId="4FFC23F6" w14:textId="77777777" w:rsidR="007F4DB6" w:rsidRPr="00D25A9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w:t>
      </w:r>
      <w:r w:rsidR="00D25A97">
        <w:rPr>
          <w:rFonts w:ascii="Times New Roman" w:hAnsi="Times New Roman" w:cs="Times New Roman"/>
          <w:b/>
          <w:bCs/>
          <w:sz w:val="24"/>
          <w:szCs w:val="24"/>
        </w:rPr>
        <w:t xml:space="preserve">  </w:t>
      </w:r>
      <w:r w:rsidRPr="00D25A97">
        <w:rPr>
          <w:rFonts w:ascii="Times New Roman" w:hAnsi="Times New Roman" w:cs="Times New Roman"/>
          <w:b/>
          <w:bCs/>
          <w:sz w:val="24"/>
          <w:szCs w:val="24"/>
        </w:rPr>
        <w:t>5116   Ilgtermiņa uzkrātās saistības par % un citiem maksājumiem par aizņēmumiem</w:t>
      </w:r>
    </w:p>
    <w:p w14:paraId="16FC8549" w14:textId="77777777" w:rsidR="00B375D4"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5131   Ilgtermiņa saistības pret piegādātājiem un darbuzņēmējiem</w:t>
      </w:r>
    </w:p>
    <w:p w14:paraId="70921117" w14:textId="77777777" w:rsidR="00734EF7"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5140   Ilgtermiņa uzkrātās saistības</w:t>
      </w:r>
    </w:p>
    <w:p w14:paraId="2EA69BD0" w14:textId="77777777" w:rsidR="00734EF7"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5166   Uzkrātās saistības par % un citiem maksājumiem par emitēto obligāciju un citu parāda vērtspapīru ilgtermiņa daļu</w:t>
      </w:r>
    </w:p>
    <w:p w14:paraId="48B44929" w14:textId="77777777" w:rsidR="00B375D4"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5176</w:t>
      </w:r>
      <w:r w:rsidR="00D25A97" w:rsidRPr="00D25A97">
        <w:rPr>
          <w:rFonts w:ascii="Times New Roman" w:hAnsi="Times New Roman" w:cs="Times New Roman"/>
          <w:b/>
          <w:bCs/>
          <w:sz w:val="24"/>
          <w:szCs w:val="24"/>
        </w:rPr>
        <w:t xml:space="preserve">   Uzkrātās saistības par % un citiem maksājumiem par saņemtajiem ilgtermiņa noguldījumiem</w:t>
      </w:r>
    </w:p>
    <w:p w14:paraId="4767987D"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5216   Uzkrātās saistības par % un citiem maksājumiem par aizņēmumiem</w:t>
      </w:r>
    </w:p>
    <w:p w14:paraId="6C51D125"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5424   Uzkrātās saistības norēķiniem ar piegādātājiem un darbuzņēmējiem</w:t>
      </w:r>
    </w:p>
    <w:p w14:paraId="19D15B33"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5429   Pārējās uzkrātās saistības</w:t>
      </w:r>
    </w:p>
    <w:p w14:paraId="0FA47697"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5516   Uzkrātās saistības par % un citiem maksājumiem par emitēto obligāciju un citu parāda vērtspapīru īstermiņa daļu</w:t>
      </w:r>
    </w:p>
    <w:p w14:paraId="33664823"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5526   Uzkrātās saistības par % un citiem maksājumiem par īstermiņa noguldījumiem</w:t>
      </w:r>
    </w:p>
    <w:p w14:paraId="75EA32EA" w14:textId="77777777" w:rsidR="00D25A97" w:rsidRPr="00DC06C4" w:rsidRDefault="00D25A9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929.   Patiesajā vērtībā novērtēto finanšu saistību vērtības izmaiņas atzīst pārskata perioda finanšu ieņēmumos vai finanšu izdevumos, veicot</w:t>
      </w:r>
      <w:r w:rsidRPr="00DC06C4">
        <w:rPr>
          <w:rFonts w:ascii="Times New Roman" w:hAnsi="Times New Roman" w:cs="Times New Roman"/>
          <w:spacing w:val="1"/>
          <w:sz w:val="24"/>
          <w:szCs w:val="24"/>
        </w:rPr>
        <w:t xml:space="preserve"> </w:t>
      </w:r>
      <w:r w:rsidRPr="00DC06C4">
        <w:rPr>
          <w:rFonts w:ascii="Times New Roman" w:hAnsi="Times New Roman" w:cs="Times New Roman"/>
          <w:sz w:val="24"/>
          <w:szCs w:val="24"/>
        </w:rPr>
        <w:t>grāmatojumu:</w:t>
      </w:r>
    </w:p>
    <w:p w14:paraId="34B030CC" w14:textId="77777777" w:rsidR="00D25A97" w:rsidRDefault="00D25A97" w:rsidP="00CD363C">
      <w:pPr>
        <w:spacing w:after="0" w:line="240" w:lineRule="auto"/>
        <w:ind w:left="338" w:right="407"/>
        <w:jc w:val="both"/>
        <w:rPr>
          <w:i/>
        </w:rPr>
      </w:pPr>
      <w:r>
        <w:rPr>
          <w:i/>
        </w:rPr>
        <w:t>Grāmatojums, atzīstot vērtības izmaiņas (samazinājumu) patiesajā vērtībā novērtētajām finanšu saistībām:</w:t>
      </w:r>
    </w:p>
    <w:p w14:paraId="664CCA43" w14:textId="77777777" w:rsidR="00D25A97" w:rsidRPr="00DC06C4" w:rsidRDefault="00D25A97"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D    5199   Pārējās iepriekš neklasificētās ilgtermiņa saistības</w:t>
      </w:r>
    </w:p>
    <w:p w14:paraId="2AF86979" w14:textId="77777777" w:rsidR="00D25A97" w:rsidRPr="00DC06C4" w:rsidRDefault="00D25A97"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D    5819   Pārējās īstermiņa saistības</w:t>
      </w:r>
    </w:p>
    <w:p w14:paraId="16F30779" w14:textId="77777777" w:rsidR="00D25A97" w:rsidRPr="00DC06C4" w:rsidRDefault="00D25A97"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K    8190   Pārējie finanšu ieņēmumi</w:t>
      </w:r>
    </w:p>
    <w:p w14:paraId="04726F7F" w14:textId="77777777" w:rsidR="00D25A97" w:rsidRPr="00BB1A6A" w:rsidRDefault="00D25A97"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 </w:t>
      </w:r>
      <w:r>
        <w:rPr>
          <w:i/>
        </w:rPr>
        <w:t>Grāmatojums, atzīstot vērtības izmaiņas (palielinājumu) patiesajā vērtībā novērtētajām finanšu saistībām:</w:t>
      </w:r>
      <w:r>
        <w:rPr>
          <w:rFonts w:ascii="Times New Roman" w:hAnsi="Times New Roman" w:cs="Times New Roman"/>
          <w:sz w:val="24"/>
          <w:szCs w:val="24"/>
        </w:rPr>
        <w:t xml:space="preserve">        </w:t>
      </w:r>
    </w:p>
    <w:p w14:paraId="352C1A01" w14:textId="77777777" w:rsidR="00B375D4" w:rsidRPr="00DC06C4" w:rsidRDefault="00D25A97"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DC06C4">
        <w:rPr>
          <w:rFonts w:ascii="Times New Roman" w:hAnsi="Times New Roman" w:cs="Times New Roman"/>
          <w:b/>
          <w:bCs/>
          <w:sz w:val="24"/>
          <w:szCs w:val="24"/>
        </w:rPr>
        <w:t xml:space="preserve">D    8290   </w:t>
      </w:r>
      <w:r w:rsidR="00DC06C4" w:rsidRPr="00DC06C4">
        <w:rPr>
          <w:rFonts w:ascii="Times New Roman" w:hAnsi="Times New Roman" w:cs="Times New Roman"/>
          <w:b/>
          <w:bCs/>
          <w:sz w:val="24"/>
          <w:szCs w:val="24"/>
        </w:rPr>
        <w:t>Pārējie finanšu izdevumi</w:t>
      </w:r>
    </w:p>
    <w:p w14:paraId="77EE5B0C" w14:textId="77777777" w:rsidR="00DC06C4" w:rsidRPr="00DC06C4" w:rsidRDefault="00DC06C4"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K    5199   Pārējās iepriekš neklasificētās ilgtermiņa saistības</w:t>
      </w:r>
    </w:p>
    <w:p w14:paraId="0E27CE87" w14:textId="77777777" w:rsidR="00DC06C4" w:rsidRDefault="00DC06C4"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K    5819   Pārējās īstermiņa saistības</w:t>
      </w:r>
    </w:p>
    <w:p w14:paraId="282ACB90" w14:textId="77777777" w:rsidR="00DC06C4" w:rsidRPr="00DC06C4"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930.   </w:t>
      </w:r>
      <w:r w:rsidR="004D21C1" w:rsidRPr="004D21C1">
        <w:rPr>
          <w:rFonts w:ascii="Times New Roman" w:hAnsi="Times New Roman" w:cs="Times New Roman"/>
          <w:sz w:val="24"/>
          <w:szCs w:val="24"/>
        </w:rPr>
        <w:t>21.8</w:t>
      </w:r>
      <w:r w:rsidRPr="004D21C1">
        <w:rPr>
          <w:rFonts w:ascii="Times New Roman" w:hAnsi="Times New Roman" w:cs="Times New Roman"/>
          <w:sz w:val="24"/>
          <w:szCs w:val="24"/>
        </w:rPr>
        <w:t xml:space="preserve"> apakšnodaļā</w:t>
      </w:r>
      <w:r w:rsidRPr="00DC06C4">
        <w:rPr>
          <w:rFonts w:ascii="Times New Roman" w:hAnsi="Times New Roman" w:cs="Times New Roman"/>
          <w:color w:val="0462C1"/>
          <w:sz w:val="24"/>
          <w:szCs w:val="24"/>
        </w:rPr>
        <w:t xml:space="preserve"> </w:t>
      </w:r>
      <w:r w:rsidRPr="00DC06C4">
        <w:rPr>
          <w:rFonts w:ascii="Times New Roman" w:hAnsi="Times New Roman" w:cs="Times New Roman"/>
          <w:color w:val="0462C1"/>
          <w:sz w:val="24"/>
          <w:szCs w:val="24"/>
          <w:u w:val="single" w:color="0462C1"/>
        </w:rPr>
        <w:t>“</w:t>
      </w:r>
      <w:hyperlink w:anchor="_bookmark359" w:history="1">
        <w:r w:rsidR="004D21C1">
          <w:rPr>
            <w:rFonts w:ascii="Times New Roman" w:hAnsi="Times New Roman" w:cs="Times New Roman"/>
            <w:color w:val="0462C1"/>
            <w:sz w:val="24"/>
            <w:szCs w:val="24"/>
            <w:u w:val="single" w:color="0462C1"/>
          </w:rPr>
          <w:t>21.8.2</w:t>
        </w:r>
        <w:r w:rsidRPr="00DC06C4">
          <w:rPr>
            <w:rFonts w:ascii="Times New Roman" w:hAnsi="Times New Roman" w:cs="Times New Roman"/>
            <w:color w:val="0462C1"/>
            <w:sz w:val="24"/>
            <w:szCs w:val="24"/>
            <w:u w:val="single" w:color="0462C1"/>
          </w:rPr>
          <w:t>. Piemērs - finanšu saistību amortizētās vērtības noteikšana un uzskaite,</w:t>
        </w:r>
      </w:hyperlink>
      <w:hyperlink w:anchor="_bookmark359" w:history="1">
        <w:r w:rsidRPr="00DC06C4">
          <w:rPr>
            <w:rFonts w:ascii="Times New Roman" w:hAnsi="Times New Roman" w:cs="Times New Roman"/>
            <w:color w:val="0462C1"/>
            <w:sz w:val="24"/>
            <w:szCs w:val="24"/>
            <w:u w:val="single" w:color="0462C1"/>
          </w:rPr>
          <w:t xml:space="preserve"> piemērojot līgumā noteikto procentu likmi (aizņēmums</w:t>
        </w:r>
        <w:r w:rsidRPr="00DC06C4">
          <w:rPr>
            <w:rFonts w:ascii="Times New Roman" w:hAnsi="Times New Roman" w:cs="Times New Roman"/>
            <w:sz w:val="24"/>
            <w:szCs w:val="24"/>
          </w:rPr>
          <w:t>)</w:t>
        </w:r>
      </w:hyperlink>
      <w:r w:rsidRPr="00DC06C4">
        <w:rPr>
          <w:rFonts w:ascii="Times New Roman" w:hAnsi="Times New Roman" w:cs="Times New Roman"/>
          <w:color w:val="0462C1"/>
          <w:sz w:val="24"/>
          <w:szCs w:val="24"/>
          <w:u w:val="single" w:color="0462C1"/>
        </w:rPr>
        <w:t>”</w:t>
      </w:r>
      <w:r w:rsidRPr="00DC06C4">
        <w:rPr>
          <w:rFonts w:ascii="Times New Roman" w:hAnsi="Times New Roman" w:cs="Times New Roman"/>
          <w:color w:val="0462C1"/>
          <w:sz w:val="24"/>
          <w:szCs w:val="24"/>
        </w:rPr>
        <w:t xml:space="preserve"> </w:t>
      </w:r>
      <w:r w:rsidRPr="00DC06C4">
        <w:rPr>
          <w:rFonts w:ascii="Times New Roman" w:hAnsi="Times New Roman" w:cs="Times New Roman"/>
          <w:sz w:val="24"/>
          <w:szCs w:val="24"/>
        </w:rPr>
        <w:t>ir sniegts praktisks piemērs par vispārējās valdības sektora struktūru ietvaros izsniegtā valsts budžeta aizņēmuma uzskaiti, kam piemēro Valsts</w:t>
      </w:r>
      <w:r>
        <w:t xml:space="preserve"> </w:t>
      </w:r>
      <w:r w:rsidRPr="00DC06C4">
        <w:rPr>
          <w:rFonts w:ascii="Times New Roman" w:hAnsi="Times New Roman" w:cs="Times New Roman"/>
          <w:sz w:val="24"/>
          <w:szCs w:val="24"/>
        </w:rPr>
        <w:t>kases noteikto procentu</w:t>
      </w:r>
      <w:r w:rsidRPr="00DC06C4">
        <w:rPr>
          <w:rFonts w:ascii="Times New Roman" w:hAnsi="Times New Roman" w:cs="Times New Roman"/>
          <w:spacing w:val="-4"/>
          <w:sz w:val="24"/>
          <w:szCs w:val="24"/>
        </w:rPr>
        <w:t xml:space="preserve"> </w:t>
      </w:r>
      <w:r w:rsidRPr="00DC06C4">
        <w:rPr>
          <w:rFonts w:ascii="Times New Roman" w:hAnsi="Times New Roman" w:cs="Times New Roman"/>
          <w:sz w:val="24"/>
          <w:szCs w:val="24"/>
        </w:rPr>
        <w:t>likmi.</w:t>
      </w:r>
    </w:p>
    <w:p w14:paraId="0CD027D6" w14:textId="77777777" w:rsidR="00DC06C4" w:rsidRPr="00DC06C4"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8</w:t>
      </w:r>
      <w:r w:rsidRPr="004D21C1">
        <w:rPr>
          <w:rFonts w:ascii="Times New Roman" w:hAnsi="Times New Roman" w:cs="Times New Roman"/>
          <w:sz w:val="24"/>
          <w:szCs w:val="24"/>
        </w:rPr>
        <w:t xml:space="preserve">31.   </w:t>
      </w:r>
      <w:r w:rsidR="004D21C1" w:rsidRPr="004D21C1">
        <w:rPr>
          <w:rFonts w:ascii="Times New Roman" w:hAnsi="Times New Roman" w:cs="Times New Roman"/>
          <w:sz w:val="24"/>
          <w:szCs w:val="24"/>
        </w:rPr>
        <w:t>21.8</w:t>
      </w:r>
      <w:r w:rsidRPr="004D21C1">
        <w:rPr>
          <w:rFonts w:ascii="Times New Roman" w:hAnsi="Times New Roman" w:cs="Times New Roman"/>
          <w:sz w:val="24"/>
          <w:szCs w:val="24"/>
        </w:rPr>
        <w:t>. apakšnodaļā</w:t>
      </w:r>
      <w:r w:rsidRPr="004D21C1">
        <w:rPr>
          <w:rFonts w:ascii="Times New Roman" w:hAnsi="Times New Roman" w:cs="Times New Roman"/>
          <w:color w:val="0462C1"/>
          <w:sz w:val="24"/>
          <w:szCs w:val="24"/>
        </w:rPr>
        <w:t xml:space="preserve"> </w:t>
      </w:r>
      <w:r w:rsidRPr="004D21C1">
        <w:rPr>
          <w:rFonts w:ascii="Times New Roman" w:hAnsi="Times New Roman" w:cs="Times New Roman"/>
          <w:color w:val="0462C1"/>
          <w:sz w:val="24"/>
          <w:szCs w:val="24"/>
          <w:u w:val="single" w:color="0462C1"/>
        </w:rPr>
        <w:t>“</w:t>
      </w:r>
      <w:hyperlink w:anchor="_bookmark360" w:history="1">
        <w:r w:rsidR="004D21C1">
          <w:rPr>
            <w:rFonts w:ascii="Times New Roman" w:hAnsi="Times New Roman" w:cs="Times New Roman"/>
            <w:color w:val="0462C1"/>
            <w:sz w:val="24"/>
            <w:szCs w:val="24"/>
            <w:u w:val="single" w:color="0462C1"/>
          </w:rPr>
          <w:t>21.8.3</w:t>
        </w:r>
        <w:r w:rsidRPr="00DC06C4">
          <w:rPr>
            <w:rFonts w:ascii="Times New Roman" w:hAnsi="Times New Roman" w:cs="Times New Roman"/>
            <w:color w:val="0462C1"/>
            <w:sz w:val="24"/>
            <w:szCs w:val="24"/>
            <w:u w:val="single" w:color="0462C1"/>
          </w:rPr>
          <w:t>. Piemērs – efektīvās procentu likmes metodes piemērošana finanšu saistību</w:t>
        </w:r>
      </w:hyperlink>
      <w:hyperlink w:anchor="_bookmark360" w:history="1">
        <w:r w:rsidRPr="00DC06C4">
          <w:rPr>
            <w:rFonts w:ascii="Times New Roman" w:hAnsi="Times New Roman" w:cs="Times New Roman"/>
            <w:color w:val="0462C1"/>
            <w:sz w:val="24"/>
            <w:szCs w:val="24"/>
            <w:u w:val="single" w:color="0462C1"/>
          </w:rPr>
          <w:t xml:space="preserve"> sākotnējā</w:t>
        </w:r>
        <w:r w:rsidRPr="00DC06C4">
          <w:rPr>
            <w:rFonts w:ascii="Times New Roman" w:hAnsi="Times New Roman" w:cs="Times New Roman"/>
            <w:color w:val="0462C1"/>
            <w:spacing w:val="-9"/>
            <w:sz w:val="24"/>
            <w:szCs w:val="24"/>
            <w:u w:val="single" w:color="0462C1"/>
          </w:rPr>
          <w:t xml:space="preserve"> </w:t>
        </w:r>
        <w:r w:rsidRPr="00DC06C4">
          <w:rPr>
            <w:rFonts w:ascii="Times New Roman" w:hAnsi="Times New Roman" w:cs="Times New Roman"/>
            <w:color w:val="0462C1"/>
            <w:sz w:val="24"/>
            <w:szCs w:val="24"/>
            <w:u w:val="single" w:color="0462C1"/>
          </w:rPr>
          <w:t>atzīšanā</w:t>
        </w:r>
        <w:r w:rsidRPr="00DC06C4">
          <w:rPr>
            <w:rFonts w:ascii="Times New Roman" w:hAnsi="Times New Roman" w:cs="Times New Roman"/>
            <w:color w:val="0462C1"/>
            <w:spacing w:val="-9"/>
            <w:sz w:val="24"/>
            <w:szCs w:val="24"/>
            <w:u w:val="single" w:color="0462C1"/>
          </w:rPr>
          <w:t xml:space="preserve"> </w:t>
        </w:r>
        <w:r w:rsidRPr="00DC06C4">
          <w:rPr>
            <w:rFonts w:ascii="Times New Roman" w:hAnsi="Times New Roman" w:cs="Times New Roman"/>
            <w:color w:val="0462C1"/>
            <w:sz w:val="24"/>
            <w:szCs w:val="24"/>
            <w:u w:val="single" w:color="0462C1"/>
          </w:rPr>
          <w:t>un</w:t>
        </w:r>
        <w:r w:rsidRPr="00DC06C4">
          <w:rPr>
            <w:rFonts w:ascii="Times New Roman" w:hAnsi="Times New Roman" w:cs="Times New Roman"/>
            <w:color w:val="0462C1"/>
            <w:spacing w:val="-10"/>
            <w:sz w:val="24"/>
            <w:szCs w:val="24"/>
            <w:u w:val="single" w:color="0462C1"/>
          </w:rPr>
          <w:t xml:space="preserve"> </w:t>
        </w:r>
        <w:r w:rsidRPr="00DC06C4">
          <w:rPr>
            <w:rFonts w:ascii="Times New Roman" w:hAnsi="Times New Roman" w:cs="Times New Roman"/>
            <w:color w:val="0462C1"/>
            <w:sz w:val="24"/>
            <w:szCs w:val="24"/>
            <w:u w:val="single" w:color="0462C1"/>
          </w:rPr>
          <w:t>turpmākā</w:t>
        </w:r>
        <w:r w:rsidRPr="00DC06C4">
          <w:rPr>
            <w:rFonts w:ascii="Times New Roman" w:hAnsi="Times New Roman" w:cs="Times New Roman"/>
            <w:color w:val="0462C1"/>
            <w:spacing w:val="-9"/>
            <w:sz w:val="24"/>
            <w:szCs w:val="24"/>
            <w:u w:val="single" w:color="0462C1"/>
          </w:rPr>
          <w:t xml:space="preserve"> </w:t>
        </w:r>
        <w:r w:rsidRPr="00DC06C4">
          <w:rPr>
            <w:rFonts w:ascii="Times New Roman" w:hAnsi="Times New Roman" w:cs="Times New Roman"/>
            <w:color w:val="0462C1"/>
            <w:sz w:val="24"/>
            <w:szCs w:val="24"/>
            <w:u w:val="single" w:color="0462C1"/>
          </w:rPr>
          <w:t>novērtēšanā</w:t>
        </w:r>
      </w:hyperlink>
      <w:r w:rsidRPr="00DC06C4">
        <w:rPr>
          <w:rFonts w:ascii="Times New Roman" w:hAnsi="Times New Roman" w:cs="Times New Roman"/>
          <w:color w:val="0462C1"/>
          <w:sz w:val="24"/>
          <w:szCs w:val="24"/>
          <w:u w:val="single" w:color="0462C1"/>
        </w:rPr>
        <w:t>”</w:t>
      </w:r>
      <w:r w:rsidRPr="00DC06C4">
        <w:rPr>
          <w:rFonts w:ascii="Times New Roman" w:hAnsi="Times New Roman" w:cs="Times New Roman"/>
          <w:color w:val="0462C1"/>
          <w:spacing w:val="-9"/>
          <w:sz w:val="24"/>
          <w:szCs w:val="24"/>
        </w:rPr>
        <w:t xml:space="preserve"> </w:t>
      </w:r>
      <w:r w:rsidRPr="00DC06C4">
        <w:rPr>
          <w:rFonts w:ascii="Times New Roman" w:hAnsi="Times New Roman" w:cs="Times New Roman"/>
          <w:sz w:val="24"/>
          <w:szCs w:val="24"/>
        </w:rPr>
        <w:t>ir</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sniegts</w:t>
      </w:r>
      <w:r w:rsidRPr="00DC06C4">
        <w:rPr>
          <w:rFonts w:ascii="Times New Roman" w:hAnsi="Times New Roman" w:cs="Times New Roman"/>
          <w:spacing w:val="-11"/>
          <w:sz w:val="24"/>
          <w:szCs w:val="24"/>
        </w:rPr>
        <w:t xml:space="preserve"> </w:t>
      </w:r>
      <w:r w:rsidRPr="00DC06C4">
        <w:rPr>
          <w:rFonts w:ascii="Times New Roman" w:hAnsi="Times New Roman" w:cs="Times New Roman"/>
          <w:sz w:val="24"/>
          <w:szCs w:val="24"/>
        </w:rPr>
        <w:t>praktisks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piemērs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par</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finanšu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saistību</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uzskaiti, piemērojot efektīvās procentu likmes</w:t>
      </w:r>
      <w:r w:rsidRPr="00DC06C4">
        <w:rPr>
          <w:rFonts w:ascii="Times New Roman" w:hAnsi="Times New Roman" w:cs="Times New Roman"/>
          <w:spacing w:val="3"/>
          <w:sz w:val="24"/>
          <w:szCs w:val="24"/>
        </w:rPr>
        <w:t xml:space="preserve"> </w:t>
      </w:r>
      <w:r w:rsidRPr="00DC06C4">
        <w:rPr>
          <w:rFonts w:ascii="Times New Roman" w:hAnsi="Times New Roman" w:cs="Times New Roman"/>
          <w:sz w:val="24"/>
          <w:szCs w:val="24"/>
        </w:rPr>
        <w:t>metodi.</w:t>
      </w:r>
    </w:p>
    <w:p w14:paraId="2894EC06" w14:textId="77777777" w:rsidR="00DC06C4" w:rsidRPr="00DC06C4" w:rsidRDefault="00DC06C4"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21.3. Finanšu instrumentu vērtības samazinājums</w:t>
      </w:r>
    </w:p>
    <w:p w14:paraId="742F6D41" w14:textId="77777777" w:rsidR="00DC06C4" w:rsidRPr="00DC06C4"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832.   Katra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pārskata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perioda</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beigās</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novērtē,</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vai</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pastāv</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objektīvi</w:t>
      </w:r>
      <w:r w:rsidRPr="00DC06C4">
        <w:rPr>
          <w:rFonts w:ascii="Times New Roman" w:hAnsi="Times New Roman" w:cs="Times New Roman"/>
          <w:spacing w:val="-5"/>
          <w:sz w:val="24"/>
          <w:szCs w:val="24"/>
        </w:rPr>
        <w:t xml:space="preserve"> </w:t>
      </w:r>
      <w:r w:rsidRPr="00DC06C4">
        <w:rPr>
          <w:rFonts w:ascii="Times New Roman" w:hAnsi="Times New Roman" w:cs="Times New Roman"/>
          <w:sz w:val="24"/>
          <w:szCs w:val="24"/>
        </w:rPr>
        <w:t>pierādījumi</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tam,</w:t>
      </w:r>
      <w:r w:rsidRPr="00DC06C4">
        <w:rPr>
          <w:rFonts w:ascii="Times New Roman" w:hAnsi="Times New Roman" w:cs="Times New Roman"/>
          <w:spacing w:val="-4"/>
          <w:sz w:val="24"/>
          <w:szCs w:val="24"/>
        </w:rPr>
        <w:t xml:space="preserve"> </w:t>
      </w:r>
      <w:r w:rsidRPr="00DC06C4">
        <w:rPr>
          <w:rFonts w:ascii="Times New Roman" w:hAnsi="Times New Roman" w:cs="Times New Roman"/>
          <w:sz w:val="24"/>
          <w:szCs w:val="24"/>
        </w:rPr>
        <w:t>ka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radušies</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zaudējumi</w:t>
      </w:r>
      <w:r w:rsidRPr="00DC06C4">
        <w:rPr>
          <w:rFonts w:ascii="Times New Roman" w:hAnsi="Times New Roman" w:cs="Times New Roman"/>
          <w:spacing w:val="-5"/>
          <w:sz w:val="24"/>
          <w:szCs w:val="24"/>
        </w:rPr>
        <w:t xml:space="preserve"> </w:t>
      </w:r>
      <w:r w:rsidRPr="00DC06C4">
        <w:rPr>
          <w:rFonts w:ascii="Times New Roman" w:hAnsi="Times New Roman" w:cs="Times New Roman"/>
          <w:sz w:val="24"/>
          <w:szCs w:val="24"/>
        </w:rPr>
        <w:t>no finanšu aktīva (izņemot patiesajā vērtībā novērtēto finanšu aktīvu kategoriju) vērtības samazinājuma, ņemot vērā šādus faktorus:</w:t>
      </w:r>
    </w:p>
    <w:p w14:paraId="5A7F56F7" w14:textId="77777777" w:rsidR="00DC06C4" w:rsidRPr="00DC06C4" w:rsidRDefault="00DC06C4" w:rsidP="00CD363C">
      <w:pPr>
        <w:pStyle w:val="Sarakstarindkopa"/>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emitenta vai pienākumu pildītāja (sadarbības partnera) finansiālās grūtības, piemēram, sadarbības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partneris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zaudē</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savu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lielāko</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pircēju,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kā</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rezultātā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paredzams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ieņēmumu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samazinājums vai grūtības segt kārtējās</w:t>
      </w:r>
      <w:r w:rsidRPr="00DC06C4">
        <w:rPr>
          <w:rFonts w:ascii="Times New Roman" w:hAnsi="Times New Roman" w:cs="Times New Roman"/>
          <w:spacing w:val="-1"/>
          <w:sz w:val="24"/>
          <w:szCs w:val="24"/>
        </w:rPr>
        <w:t xml:space="preserve"> </w:t>
      </w:r>
      <w:r w:rsidRPr="00DC06C4">
        <w:rPr>
          <w:rFonts w:ascii="Times New Roman" w:hAnsi="Times New Roman" w:cs="Times New Roman"/>
          <w:sz w:val="24"/>
          <w:szCs w:val="24"/>
        </w:rPr>
        <w:t>saistības;</w:t>
      </w:r>
    </w:p>
    <w:p w14:paraId="6238216A" w14:textId="77777777" w:rsidR="00DC06C4" w:rsidRPr="00DC06C4" w:rsidRDefault="00DC06C4" w:rsidP="00CD363C">
      <w:pPr>
        <w:pStyle w:val="Sarakstarindkopa"/>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līguma nosacījumu neievērošana, piemēram, procentu vai pamatsummas atmaksāšanas nosacījumu neizpilde vai</w:t>
      </w:r>
      <w:r w:rsidRPr="00DC06C4">
        <w:rPr>
          <w:rFonts w:ascii="Times New Roman" w:hAnsi="Times New Roman" w:cs="Times New Roman"/>
          <w:spacing w:val="-2"/>
          <w:sz w:val="24"/>
          <w:szCs w:val="24"/>
        </w:rPr>
        <w:t xml:space="preserve"> </w:t>
      </w:r>
      <w:r w:rsidRPr="00DC06C4">
        <w:rPr>
          <w:rFonts w:ascii="Times New Roman" w:hAnsi="Times New Roman" w:cs="Times New Roman"/>
          <w:sz w:val="24"/>
          <w:szCs w:val="24"/>
        </w:rPr>
        <w:t>pārkāpšana;</w:t>
      </w:r>
    </w:p>
    <w:p w14:paraId="1E66B7A0" w14:textId="77777777" w:rsidR="00DC06C4" w:rsidRPr="00DC06C4" w:rsidRDefault="00DC06C4" w:rsidP="00CD363C">
      <w:pPr>
        <w:pStyle w:val="Sarakstarindkopa"/>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aizdevējs tādu ekonomisku vai juridisku iemeslu dēļ, kas saistīti ar aizņēmēja finansiālajām grūtībām, piešķir aizņēmējam atlaidi vai atbrīvojumu, ko citos apstākļos aizdevējs nebūtu apsvēris, piemēram, tiek pārskatīts maksājumu grafiks un pagarināts atmaksas</w:t>
      </w:r>
      <w:r w:rsidRPr="00DC06C4">
        <w:rPr>
          <w:rFonts w:ascii="Times New Roman" w:hAnsi="Times New Roman" w:cs="Times New Roman"/>
          <w:spacing w:val="-11"/>
          <w:sz w:val="24"/>
          <w:szCs w:val="24"/>
        </w:rPr>
        <w:t xml:space="preserve"> </w:t>
      </w:r>
      <w:r w:rsidRPr="00DC06C4">
        <w:rPr>
          <w:rFonts w:ascii="Times New Roman" w:hAnsi="Times New Roman" w:cs="Times New Roman"/>
          <w:sz w:val="24"/>
          <w:szCs w:val="24"/>
        </w:rPr>
        <w:t>termiņš;</w:t>
      </w:r>
    </w:p>
    <w:p w14:paraId="659F3FFA" w14:textId="77777777" w:rsidR="00DC06C4" w:rsidRPr="00DC06C4" w:rsidRDefault="00DC06C4" w:rsidP="00CD363C">
      <w:pPr>
        <w:pStyle w:val="Sarakstarindkopa"/>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kļūst ticams, ka aizņēmējs uzsāks maksātnespējas procedūru vai cita veida finansiālu reorganizāciju;</w:t>
      </w:r>
    </w:p>
    <w:p w14:paraId="29664545" w14:textId="77777777" w:rsidR="00DC06C4" w:rsidRPr="00DC06C4" w:rsidRDefault="00DC06C4" w:rsidP="00CD363C">
      <w:pPr>
        <w:pStyle w:val="Sarakstarindkopa"/>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attiecīgā finanšu aktīva aktīvā tirgus zaudēšana finansiālu grūtību</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dēļ;</w:t>
      </w:r>
    </w:p>
    <w:p w14:paraId="537C2DAD" w14:textId="77777777" w:rsidR="00DC06C4" w:rsidRPr="00DC06C4" w:rsidRDefault="00DC06C4" w:rsidP="00CD363C">
      <w:pPr>
        <w:pStyle w:val="Sarakstarindkopa"/>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pieejamā informācija norāda, ka pastāv novērtējams finanšu aktīvu grupas aplēsto nākotnes naudas plūsmu samazinājums kopš šo aktīvu sākotnējās atzīšanas, lai arī atsevišķiem finanšu aktīviem šis samazinājums vēl nav nosakāms, un tā ietver vienu no šiem</w:t>
      </w:r>
      <w:r w:rsidRPr="00DC06C4">
        <w:rPr>
          <w:rFonts w:ascii="Times New Roman" w:hAnsi="Times New Roman" w:cs="Times New Roman"/>
          <w:spacing w:val="-16"/>
          <w:sz w:val="24"/>
          <w:szCs w:val="24"/>
        </w:rPr>
        <w:t xml:space="preserve"> </w:t>
      </w:r>
      <w:r w:rsidRPr="00DC06C4">
        <w:rPr>
          <w:rFonts w:ascii="Times New Roman" w:hAnsi="Times New Roman" w:cs="Times New Roman"/>
          <w:sz w:val="24"/>
          <w:szCs w:val="24"/>
        </w:rPr>
        <w:t>apstākļiem:</w:t>
      </w:r>
    </w:p>
    <w:p w14:paraId="5DF115DF" w14:textId="77777777" w:rsidR="00DC06C4" w:rsidRPr="00DC06C4" w:rsidRDefault="00DC06C4" w:rsidP="00CD363C">
      <w:pPr>
        <w:pStyle w:val="Sarakstarindkopa"/>
        <w:widowControl w:val="0"/>
        <w:numPr>
          <w:ilvl w:val="3"/>
          <w:numId w:val="45"/>
        </w:numPr>
        <w:tabs>
          <w:tab w:val="left" w:pos="1854"/>
        </w:tabs>
        <w:autoSpaceDE w:val="0"/>
        <w:autoSpaceDN w:val="0"/>
        <w:spacing w:after="0" w:line="240" w:lineRule="auto"/>
        <w:ind w:right="407"/>
        <w:contextualSpacing w:val="0"/>
        <w:jc w:val="both"/>
        <w:rPr>
          <w:rFonts w:ascii="Times New Roman" w:hAnsi="Times New Roman" w:cs="Times New Roman"/>
          <w:i/>
          <w:sz w:val="24"/>
          <w:szCs w:val="24"/>
        </w:rPr>
      </w:pPr>
      <w:r w:rsidRPr="00DC06C4">
        <w:rPr>
          <w:rFonts w:ascii="Times New Roman" w:hAnsi="Times New Roman" w:cs="Times New Roman"/>
          <w:sz w:val="24"/>
          <w:szCs w:val="24"/>
        </w:rPr>
        <w:t xml:space="preserve">nelabvēlīgas izmaiņas aizņēmēju maksātspējā attiecīgajā grupā </w:t>
      </w:r>
      <w:r w:rsidRPr="00DC06C4">
        <w:rPr>
          <w:rFonts w:ascii="Times New Roman" w:hAnsi="Times New Roman" w:cs="Times New Roman"/>
          <w:i/>
          <w:sz w:val="24"/>
          <w:szCs w:val="24"/>
        </w:rPr>
        <w:t>(piemēram, pieaugošs nokavēto maksājumu</w:t>
      </w:r>
      <w:r w:rsidRPr="00DC06C4">
        <w:rPr>
          <w:rFonts w:ascii="Times New Roman" w:hAnsi="Times New Roman" w:cs="Times New Roman"/>
          <w:i/>
          <w:spacing w:val="-1"/>
          <w:sz w:val="24"/>
          <w:szCs w:val="24"/>
        </w:rPr>
        <w:t xml:space="preserve"> </w:t>
      </w:r>
      <w:r w:rsidRPr="00DC06C4">
        <w:rPr>
          <w:rFonts w:ascii="Times New Roman" w:hAnsi="Times New Roman" w:cs="Times New Roman"/>
          <w:i/>
          <w:sz w:val="24"/>
          <w:szCs w:val="24"/>
        </w:rPr>
        <w:t>skaits),</w:t>
      </w:r>
    </w:p>
    <w:p w14:paraId="04E0E58E" w14:textId="77777777" w:rsidR="00DC06C4" w:rsidRPr="00DC06C4" w:rsidRDefault="00DC06C4" w:rsidP="00CD363C">
      <w:pPr>
        <w:pStyle w:val="Sarakstarindkopa"/>
        <w:widowControl w:val="0"/>
        <w:numPr>
          <w:ilvl w:val="3"/>
          <w:numId w:val="45"/>
        </w:numPr>
        <w:tabs>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DC06C4">
        <w:rPr>
          <w:rFonts w:ascii="Times New Roman" w:hAnsi="Times New Roman" w:cs="Times New Roman"/>
          <w:sz w:val="24"/>
          <w:szCs w:val="24"/>
        </w:rPr>
        <w:t>valsts vai pašvaldības ekonomiskos apstākļus, kas ietekmē saistību neizpildi aktīvu grupā (piemēram, ekonomiskās grūtības noteiktā ģeogrāfiskā apgabalā, nozīmīgas nelabvēlīgas izmaiņas kādas nozares apstākļos, kas ietekmē aizņēmējus attiecīgajā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grupā);</w:t>
      </w:r>
    </w:p>
    <w:p w14:paraId="42D32E62" w14:textId="77777777" w:rsidR="00DC06C4" w:rsidRPr="00DC06C4" w:rsidRDefault="00DC06C4" w:rsidP="00CD363C">
      <w:pPr>
        <w:pStyle w:val="Sarakstarindkopa"/>
        <w:widowControl w:val="0"/>
        <w:numPr>
          <w:ilvl w:val="3"/>
          <w:numId w:val="45"/>
        </w:numPr>
        <w:tabs>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DC06C4">
        <w:rPr>
          <w:rFonts w:ascii="Times New Roman" w:hAnsi="Times New Roman" w:cs="Times New Roman"/>
          <w:sz w:val="24"/>
          <w:szCs w:val="24"/>
        </w:rPr>
        <w:t>ieguldījumam pašu kapitāla instrumentā – informācija par tādām nelabvēlīgām izmaiņām, kuras ir notikušas tehnoloģiskajā, tirgus, ekonomiskajā vai juridiskajā vidē, kurā darbojas emitents, un kas norāda, ka pašu kapitāla instrumenta izmaksas var nebūt atgūstamas. Ieguldījuma</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pašu</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kapitāla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instrumentā</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vērtības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samazināšanās</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zem</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tā</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izmaksu</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vērtības</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arī</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ir objektīvs vērtības samazināšanās</w:t>
      </w:r>
      <w:r w:rsidRPr="00DC06C4">
        <w:rPr>
          <w:rFonts w:ascii="Times New Roman" w:hAnsi="Times New Roman" w:cs="Times New Roman"/>
          <w:spacing w:val="-3"/>
          <w:sz w:val="24"/>
          <w:szCs w:val="24"/>
        </w:rPr>
        <w:t xml:space="preserve"> </w:t>
      </w:r>
      <w:r w:rsidRPr="00DC06C4">
        <w:rPr>
          <w:rFonts w:ascii="Times New Roman" w:hAnsi="Times New Roman" w:cs="Times New Roman"/>
          <w:sz w:val="24"/>
          <w:szCs w:val="24"/>
        </w:rPr>
        <w:t>pierādījums.</w:t>
      </w:r>
    </w:p>
    <w:p w14:paraId="3AA74F7A" w14:textId="77777777" w:rsidR="00DC06C4" w:rsidRDefault="00DC06C4" w:rsidP="00CD363C">
      <w:pPr>
        <w:spacing w:after="0" w:line="240" w:lineRule="auto"/>
        <w:ind w:left="142" w:right="407" w:firstLine="876"/>
        <w:jc w:val="both"/>
        <w:rPr>
          <w:i/>
        </w:rPr>
      </w:pPr>
      <w:r w:rsidRPr="00DC06C4">
        <w:rPr>
          <w:rFonts w:ascii="Times New Roman" w:hAnsi="Times New Roman" w:cs="Times New Roman"/>
          <w:sz w:val="24"/>
          <w:szCs w:val="24"/>
        </w:rPr>
        <w:t xml:space="preserve">833.   Piemēram, praksē budžeta iestādei var arī nebūt iespējams identificēt vienu atsevišķu notikumu, kas ir izraisījis finanšu aktīva vērtības samazināšanos. Drīzāk iespējams, ka samazināšanos izraisījis vairāku notikumu kopējais rezultāts. </w:t>
      </w:r>
      <w:r w:rsidRPr="00DC06C4">
        <w:rPr>
          <w:rFonts w:ascii="Times New Roman" w:hAnsi="Times New Roman" w:cs="Times New Roman"/>
          <w:i/>
          <w:sz w:val="24"/>
          <w:szCs w:val="24"/>
        </w:rPr>
        <w:t>Tā, piemēram, emitenta vai pienākumu pildītāja (sadarbības partnera)</w:t>
      </w:r>
      <w:r w:rsidRPr="00DC06C4">
        <w:rPr>
          <w:rFonts w:ascii="Times New Roman" w:hAnsi="Times New Roman" w:cs="Times New Roman"/>
          <w:i/>
          <w:spacing w:val="-13"/>
          <w:sz w:val="24"/>
          <w:szCs w:val="24"/>
        </w:rPr>
        <w:t xml:space="preserve"> </w:t>
      </w:r>
      <w:r w:rsidRPr="00DC06C4">
        <w:rPr>
          <w:rFonts w:ascii="Times New Roman" w:hAnsi="Times New Roman" w:cs="Times New Roman"/>
          <w:i/>
          <w:sz w:val="24"/>
          <w:szCs w:val="24"/>
        </w:rPr>
        <w:t>kredītreitinga</w:t>
      </w:r>
      <w:r w:rsidRPr="00DC06C4">
        <w:rPr>
          <w:rFonts w:ascii="Times New Roman" w:hAnsi="Times New Roman" w:cs="Times New Roman"/>
          <w:i/>
          <w:spacing w:val="-12"/>
          <w:sz w:val="24"/>
          <w:szCs w:val="24"/>
        </w:rPr>
        <w:t xml:space="preserve"> </w:t>
      </w:r>
      <w:r w:rsidRPr="00DC06C4">
        <w:rPr>
          <w:rFonts w:ascii="Times New Roman" w:hAnsi="Times New Roman" w:cs="Times New Roman"/>
          <w:i/>
          <w:sz w:val="24"/>
          <w:szCs w:val="24"/>
        </w:rPr>
        <w:t>samazināšanās</w:t>
      </w:r>
      <w:r w:rsidRPr="00DC06C4">
        <w:rPr>
          <w:rFonts w:ascii="Times New Roman" w:hAnsi="Times New Roman" w:cs="Times New Roman"/>
          <w:i/>
          <w:spacing w:val="-13"/>
          <w:sz w:val="24"/>
          <w:szCs w:val="24"/>
        </w:rPr>
        <w:t xml:space="preserve"> </w:t>
      </w:r>
      <w:r w:rsidRPr="00DC06C4">
        <w:rPr>
          <w:rFonts w:ascii="Times New Roman" w:hAnsi="Times New Roman" w:cs="Times New Roman"/>
          <w:i/>
          <w:sz w:val="24"/>
          <w:szCs w:val="24"/>
        </w:rPr>
        <w:t>pati</w:t>
      </w:r>
      <w:r w:rsidRPr="00DC06C4">
        <w:rPr>
          <w:rFonts w:ascii="Times New Roman" w:hAnsi="Times New Roman" w:cs="Times New Roman"/>
          <w:i/>
          <w:spacing w:val="-11"/>
          <w:sz w:val="24"/>
          <w:szCs w:val="24"/>
        </w:rPr>
        <w:t xml:space="preserve"> </w:t>
      </w:r>
      <w:r w:rsidRPr="00DC06C4">
        <w:rPr>
          <w:rFonts w:ascii="Times New Roman" w:hAnsi="Times New Roman" w:cs="Times New Roman"/>
          <w:i/>
          <w:sz w:val="24"/>
          <w:szCs w:val="24"/>
        </w:rPr>
        <w:t>par</w:t>
      </w:r>
      <w:r w:rsidRPr="00DC06C4">
        <w:rPr>
          <w:rFonts w:ascii="Times New Roman" w:hAnsi="Times New Roman" w:cs="Times New Roman"/>
          <w:i/>
          <w:spacing w:val="-14"/>
          <w:sz w:val="24"/>
          <w:szCs w:val="24"/>
        </w:rPr>
        <w:t xml:space="preserve"> </w:t>
      </w:r>
      <w:r w:rsidRPr="00DC06C4">
        <w:rPr>
          <w:rFonts w:ascii="Times New Roman" w:hAnsi="Times New Roman" w:cs="Times New Roman"/>
          <w:i/>
          <w:sz w:val="24"/>
          <w:szCs w:val="24"/>
        </w:rPr>
        <w:t>sevi</w:t>
      </w:r>
      <w:r w:rsidRPr="00DC06C4">
        <w:rPr>
          <w:rFonts w:ascii="Times New Roman" w:hAnsi="Times New Roman" w:cs="Times New Roman"/>
          <w:i/>
          <w:spacing w:val="-10"/>
          <w:sz w:val="24"/>
          <w:szCs w:val="24"/>
        </w:rPr>
        <w:t xml:space="preserve"> </w:t>
      </w:r>
      <w:r w:rsidRPr="00DC06C4">
        <w:rPr>
          <w:rFonts w:ascii="Times New Roman" w:hAnsi="Times New Roman" w:cs="Times New Roman"/>
          <w:i/>
          <w:sz w:val="24"/>
          <w:szCs w:val="24"/>
        </w:rPr>
        <w:t>nav</w:t>
      </w:r>
      <w:r w:rsidRPr="00DC06C4">
        <w:rPr>
          <w:rFonts w:ascii="Times New Roman" w:hAnsi="Times New Roman" w:cs="Times New Roman"/>
          <w:i/>
          <w:spacing w:val="-12"/>
          <w:sz w:val="24"/>
          <w:szCs w:val="24"/>
        </w:rPr>
        <w:t xml:space="preserve"> </w:t>
      </w:r>
      <w:r w:rsidRPr="00DC06C4">
        <w:rPr>
          <w:rFonts w:ascii="Times New Roman" w:hAnsi="Times New Roman" w:cs="Times New Roman"/>
          <w:i/>
          <w:sz w:val="24"/>
          <w:szCs w:val="24"/>
        </w:rPr>
        <w:t>vērtības</w:t>
      </w:r>
      <w:r w:rsidRPr="00DC06C4">
        <w:rPr>
          <w:rFonts w:ascii="Times New Roman" w:hAnsi="Times New Roman" w:cs="Times New Roman"/>
          <w:i/>
          <w:spacing w:val="-14"/>
          <w:sz w:val="24"/>
          <w:szCs w:val="24"/>
        </w:rPr>
        <w:t xml:space="preserve"> </w:t>
      </w:r>
      <w:r w:rsidRPr="00DC06C4">
        <w:rPr>
          <w:rFonts w:ascii="Times New Roman" w:hAnsi="Times New Roman" w:cs="Times New Roman"/>
          <w:i/>
          <w:sz w:val="24"/>
          <w:szCs w:val="24"/>
        </w:rPr>
        <w:t>samazināšanās</w:t>
      </w:r>
      <w:r w:rsidRPr="00DC06C4">
        <w:rPr>
          <w:rFonts w:ascii="Times New Roman" w:hAnsi="Times New Roman" w:cs="Times New Roman"/>
          <w:i/>
          <w:spacing w:val="-13"/>
          <w:sz w:val="24"/>
          <w:szCs w:val="24"/>
        </w:rPr>
        <w:t xml:space="preserve"> </w:t>
      </w:r>
      <w:r w:rsidRPr="00DC06C4">
        <w:rPr>
          <w:rFonts w:ascii="Times New Roman" w:hAnsi="Times New Roman" w:cs="Times New Roman"/>
          <w:i/>
          <w:sz w:val="24"/>
          <w:szCs w:val="24"/>
        </w:rPr>
        <w:t>pierādījums,</w:t>
      </w:r>
      <w:r w:rsidRPr="00DC06C4">
        <w:rPr>
          <w:rFonts w:ascii="Times New Roman" w:hAnsi="Times New Roman" w:cs="Times New Roman"/>
          <w:i/>
          <w:spacing w:val="-14"/>
          <w:sz w:val="24"/>
          <w:szCs w:val="24"/>
        </w:rPr>
        <w:t xml:space="preserve"> </w:t>
      </w:r>
      <w:r w:rsidRPr="00DC06C4">
        <w:rPr>
          <w:rFonts w:ascii="Times New Roman" w:hAnsi="Times New Roman" w:cs="Times New Roman"/>
          <w:i/>
          <w:sz w:val="24"/>
          <w:szCs w:val="24"/>
        </w:rPr>
        <w:t>lai</w:t>
      </w:r>
      <w:r w:rsidRPr="00DC06C4">
        <w:rPr>
          <w:rFonts w:ascii="Times New Roman" w:hAnsi="Times New Roman" w:cs="Times New Roman"/>
          <w:i/>
          <w:spacing w:val="-12"/>
          <w:sz w:val="24"/>
          <w:szCs w:val="24"/>
        </w:rPr>
        <w:t xml:space="preserve"> </w:t>
      </w:r>
      <w:r w:rsidRPr="00DC06C4">
        <w:rPr>
          <w:rFonts w:ascii="Times New Roman" w:hAnsi="Times New Roman" w:cs="Times New Roman"/>
          <w:i/>
          <w:sz w:val="24"/>
          <w:szCs w:val="24"/>
        </w:rPr>
        <w:t>gan to</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varņemt</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vērā,</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apsverot</w:t>
      </w:r>
      <w:r w:rsidRPr="00DC06C4">
        <w:rPr>
          <w:rFonts w:ascii="Times New Roman" w:hAnsi="Times New Roman" w:cs="Times New Roman"/>
          <w:i/>
          <w:spacing w:val="21"/>
          <w:sz w:val="24"/>
          <w:szCs w:val="24"/>
        </w:rPr>
        <w:t xml:space="preserve"> </w:t>
      </w:r>
      <w:r w:rsidRPr="00DC06C4">
        <w:rPr>
          <w:rFonts w:ascii="Times New Roman" w:hAnsi="Times New Roman" w:cs="Times New Roman"/>
          <w:i/>
          <w:sz w:val="24"/>
          <w:szCs w:val="24"/>
        </w:rPr>
        <w:t>to</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saistībā</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ar</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cita</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veida</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pieejamo</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informāciju.</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Citi</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faktori,</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ko</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budžeta</w:t>
      </w:r>
      <w:r>
        <w:rPr>
          <w:rFonts w:ascii="Times New Roman" w:hAnsi="Times New Roman" w:cs="Times New Roman"/>
          <w:i/>
          <w:sz w:val="24"/>
          <w:szCs w:val="24"/>
        </w:rPr>
        <w:t xml:space="preserve"> </w:t>
      </w:r>
      <w:r>
        <w:rPr>
          <w:i/>
        </w:rPr>
        <w:t>iestāde apsver, nosakot, vai ir radušies objektīvi pierādījumi, ka finanšu aktīva vērtība varētu būt samazinājusies, ietver informāciju par darījumu partnera vai emitenta likviditāti, maksātspēju un pakļautību uzņēmējdarbības un finanšu riskiem, līdzīgu finanšu aktīvu nosacījumu pārkāpšanas apjomiem un tendencēm, kā arī valsts ekonomikas tendencēm. Šie un citi faktori katrs atsevišķi vai kopā</w:t>
      </w:r>
      <w:r>
        <w:rPr>
          <w:i/>
          <w:spacing w:val="-15"/>
        </w:rPr>
        <w:t xml:space="preserve"> </w:t>
      </w:r>
      <w:r>
        <w:rPr>
          <w:i/>
        </w:rPr>
        <w:t>var</w:t>
      </w:r>
      <w:r>
        <w:rPr>
          <w:i/>
          <w:spacing w:val="-15"/>
        </w:rPr>
        <w:t xml:space="preserve"> </w:t>
      </w:r>
      <w:r>
        <w:rPr>
          <w:i/>
        </w:rPr>
        <w:t>sniegt</w:t>
      </w:r>
      <w:r>
        <w:rPr>
          <w:i/>
          <w:spacing w:val="-14"/>
        </w:rPr>
        <w:t xml:space="preserve"> </w:t>
      </w:r>
      <w:r>
        <w:rPr>
          <w:i/>
        </w:rPr>
        <w:t>pietiekamus</w:t>
      </w:r>
      <w:r>
        <w:rPr>
          <w:i/>
          <w:spacing w:val="-16"/>
        </w:rPr>
        <w:t xml:space="preserve"> </w:t>
      </w:r>
      <w:r>
        <w:rPr>
          <w:i/>
        </w:rPr>
        <w:t>objektīvus</w:t>
      </w:r>
      <w:r>
        <w:rPr>
          <w:i/>
          <w:spacing w:val="-15"/>
        </w:rPr>
        <w:t xml:space="preserve"> </w:t>
      </w:r>
      <w:r>
        <w:rPr>
          <w:i/>
        </w:rPr>
        <w:t>pierādījumus</w:t>
      </w:r>
      <w:r>
        <w:rPr>
          <w:i/>
          <w:spacing w:val="-16"/>
        </w:rPr>
        <w:t xml:space="preserve"> </w:t>
      </w:r>
      <w:r>
        <w:rPr>
          <w:i/>
        </w:rPr>
        <w:t>tam,</w:t>
      </w:r>
      <w:r>
        <w:rPr>
          <w:i/>
          <w:spacing w:val="-15"/>
        </w:rPr>
        <w:t xml:space="preserve"> </w:t>
      </w:r>
      <w:r>
        <w:rPr>
          <w:i/>
        </w:rPr>
        <w:t>ka</w:t>
      </w:r>
      <w:r>
        <w:rPr>
          <w:i/>
          <w:spacing w:val="-15"/>
        </w:rPr>
        <w:t xml:space="preserve"> </w:t>
      </w:r>
      <w:r>
        <w:rPr>
          <w:i/>
        </w:rPr>
        <w:t>radušies</w:t>
      </w:r>
      <w:r>
        <w:rPr>
          <w:i/>
          <w:spacing w:val="-16"/>
        </w:rPr>
        <w:t xml:space="preserve"> </w:t>
      </w:r>
      <w:r>
        <w:rPr>
          <w:i/>
        </w:rPr>
        <w:t>izdevumi</w:t>
      </w:r>
      <w:r>
        <w:rPr>
          <w:i/>
          <w:spacing w:val="-17"/>
        </w:rPr>
        <w:t xml:space="preserve"> </w:t>
      </w:r>
      <w:r>
        <w:rPr>
          <w:i/>
        </w:rPr>
        <w:t>(zaudējumi)</w:t>
      </w:r>
      <w:r>
        <w:rPr>
          <w:i/>
          <w:spacing w:val="-16"/>
        </w:rPr>
        <w:t xml:space="preserve"> </w:t>
      </w:r>
      <w:r>
        <w:rPr>
          <w:i/>
        </w:rPr>
        <w:t>no</w:t>
      </w:r>
      <w:r>
        <w:rPr>
          <w:i/>
          <w:spacing w:val="-15"/>
        </w:rPr>
        <w:t xml:space="preserve"> </w:t>
      </w:r>
      <w:r>
        <w:rPr>
          <w:i/>
        </w:rPr>
        <w:t>finanšu aktīva vai finanšu aktīvu grupas vērtības</w:t>
      </w:r>
      <w:r>
        <w:rPr>
          <w:i/>
          <w:spacing w:val="-6"/>
        </w:rPr>
        <w:t xml:space="preserve"> </w:t>
      </w:r>
      <w:r>
        <w:rPr>
          <w:i/>
        </w:rPr>
        <w:t>samazināšanās.</w:t>
      </w:r>
    </w:p>
    <w:p w14:paraId="3FA0C80C"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 xml:space="preserve">834.   Budžeta iestāde veic finanšu aktīva vērtības samazinājuma aprēķinus, </w:t>
      </w:r>
      <w:r w:rsidRPr="00EB0B6B">
        <w:rPr>
          <w:rFonts w:ascii="Times New Roman" w:hAnsi="Times New Roman" w:cs="Times New Roman"/>
          <w:spacing w:val="3"/>
          <w:sz w:val="24"/>
          <w:szCs w:val="24"/>
        </w:rPr>
        <w:t xml:space="preserve">ja </w:t>
      </w:r>
      <w:r w:rsidRPr="00EB0B6B">
        <w:rPr>
          <w:rFonts w:ascii="Times New Roman" w:hAnsi="Times New Roman" w:cs="Times New Roman"/>
          <w:sz w:val="24"/>
          <w:szCs w:val="24"/>
        </w:rPr>
        <w:t>izpildās kāds no vērtības samazinājuma kritērijiem. Ja nepastāv neviens no vērtības samazinājuma kritērijiem, vērtības samazinājuma aprēķinus</w:t>
      </w:r>
      <w:r w:rsidRPr="00EB0B6B">
        <w:rPr>
          <w:rFonts w:ascii="Times New Roman" w:hAnsi="Times New Roman" w:cs="Times New Roman"/>
          <w:spacing w:val="-1"/>
          <w:sz w:val="24"/>
          <w:szCs w:val="24"/>
        </w:rPr>
        <w:t xml:space="preserve"> </w:t>
      </w:r>
      <w:r w:rsidRPr="00EB0B6B">
        <w:rPr>
          <w:rFonts w:ascii="Times New Roman" w:hAnsi="Times New Roman" w:cs="Times New Roman"/>
          <w:sz w:val="24"/>
          <w:szCs w:val="24"/>
        </w:rPr>
        <w:t>neveic.</w:t>
      </w:r>
    </w:p>
    <w:p w14:paraId="16274E34"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835.   Amortizētajā vērtībā uzskaitīta finanšu aktīva (aizdevumi un prasības, līdz termiņa beigām turēti ieguldījumi) vērtības samazinājumu aprēķina kā starpību starp aktīva uzskaites vērtību un aplēsto nākotnes naudas plūsmu pašreizējo vērtību, kas diskontēta, izmantojot finanšu aktīva sākotnējo efektīvo procentu likmi, t.i., efektīvo procentu likmi, kas aprēķināta sākotnējās aktīvu atzīšanas brīdī. Valsts</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budžeta</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finanšu</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uzskaites</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nodrošināšanai</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vērtības</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samazinājumu</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aprēķina</w:t>
      </w:r>
      <w:r w:rsidRPr="00EB0B6B">
        <w:rPr>
          <w:rFonts w:ascii="Times New Roman" w:hAnsi="Times New Roman" w:cs="Times New Roman"/>
          <w:spacing w:val="-16"/>
          <w:sz w:val="24"/>
          <w:szCs w:val="24"/>
        </w:rPr>
        <w:t xml:space="preserve"> </w:t>
      </w:r>
      <w:r w:rsidRPr="00EB0B6B">
        <w:rPr>
          <w:rFonts w:ascii="Times New Roman" w:hAnsi="Times New Roman" w:cs="Times New Roman"/>
          <w:sz w:val="24"/>
          <w:szCs w:val="24"/>
        </w:rPr>
        <w:t>Valsts</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kases</w:t>
      </w:r>
      <w:r w:rsidRPr="00EB0B6B">
        <w:rPr>
          <w:rFonts w:ascii="Times New Roman" w:hAnsi="Times New Roman" w:cs="Times New Roman"/>
          <w:spacing w:val="-16"/>
          <w:sz w:val="24"/>
          <w:szCs w:val="24"/>
        </w:rPr>
        <w:t xml:space="preserve"> </w:t>
      </w:r>
      <w:r w:rsidRPr="00EB0B6B">
        <w:rPr>
          <w:rFonts w:ascii="Times New Roman" w:hAnsi="Times New Roman" w:cs="Times New Roman"/>
          <w:sz w:val="24"/>
          <w:szCs w:val="24"/>
        </w:rPr>
        <w:t>iekšējos normatīvajos aktos noteiktajā</w:t>
      </w:r>
      <w:r w:rsidRPr="00EB0B6B">
        <w:rPr>
          <w:rFonts w:ascii="Times New Roman" w:hAnsi="Times New Roman" w:cs="Times New Roman"/>
          <w:spacing w:val="-3"/>
          <w:sz w:val="24"/>
          <w:szCs w:val="24"/>
        </w:rPr>
        <w:t xml:space="preserve"> </w:t>
      </w:r>
      <w:r w:rsidRPr="00EB0B6B">
        <w:rPr>
          <w:rFonts w:ascii="Times New Roman" w:hAnsi="Times New Roman" w:cs="Times New Roman"/>
          <w:sz w:val="24"/>
          <w:szCs w:val="24"/>
        </w:rPr>
        <w:t>kārtībā.</w:t>
      </w:r>
    </w:p>
    <w:p w14:paraId="7CEFCC32"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836.   Amortizētajā vērtībā uzskaitītajam aktīvam vērtības samazinājumu atzīst pārskata perioda finanšu izdevumos un uzkrāj atsevišķā kontā īstermiņa vai ilgtermiņa finanšu aktīvu sastāvā, veicot grāmatojumu:</w:t>
      </w:r>
    </w:p>
    <w:p w14:paraId="167999EB" w14:textId="77777777" w:rsidR="00DC06C4" w:rsidRPr="00EB0B6B" w:rsidRDefault="00DC06C4" w:rsidP="00CD363C">
      <w:pPr>
        <w:pStyle w:val="Pamatteksts"/>
        <w:ind w:right="407"/>
        <w:jc w:val="both"/>
        <w:rPr>
          <w:sz w:val="24"/>
          <w:szCs w:val="24"/>
        </w:rPr>
      </w:pPr>
    </w:p>
    <w:p w14:paraId="52129AAC"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D    8290   Pārējie finanšu izdevumi</w:t>
      </w:r>
    </w:p>
    <w:p w14:paraId="2EC48B35"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w:t>
      </w:r>
      <w:r w:rsidR="00EF62CA" w:rsidRPr="00EB0B6B">
        <w:rPr>
          <w:rFonts w:ascii="Times New Roman" w:hAnsi="Times New Roman" w:cs="Times New Roman"/>
          <w:b/>
          <w:bCs/>
          <w:iCs/>
          <w:sz w:val="24"/>
          <w:szCs w:val="24"/>
        </w:rPr>
        <w:t>1</w:t>
      </w:r>
      <w:r w:rsidRPr="00EB0B6B">
        <w:rPr>
          <w:rFonts w:ascii="Times New Roman" w:hAnsi="Times New Roman" w:cs="Times New Roman"/>
          <w:b/>
          <w:bCs/>
          <w:iCs/>
          <w:sz w:val="24"/>
          <w:szCs w:val="24"/>
        </w:rPr>
        <w:t>338   Vērtības samazinājums ilgtermiņa aizdevumiem</w:t>
      </w:r>
    </w:p>
    <w:p w14:paraId="451D381C"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1348   Vērtības samazinājums ilgtermiņa finanšu ieguldījumiem vērtspapīros</w:t>
      </w:r>
    </w:p>
    <w:p w14:paraId="0CFE6B6F" w14:textId="77777777" w:rsidR="00EF62CA"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w:t>
      </w:r>
      <w:r w:rsidR="00EF62CA" w:rsidRPr="00EB0B6B">
        <w:rPr>
          <w:rFonts w:ascii="Times New Roman" w:hAnsi="Times New Roman" w:cs="Times New Roman"/>
          <w:b/>
          <w:bCs/>
          <w:iCs/>
          <w:sz w:val="24"/>
          <w:szCs w:val="24"/>
        </w:rPr>
        <w:t xml:space="preserve">   1358   Vērtības samazinājums pārējiem ilgtermiņa finanšu ieguldījumiem</w:t>
      </w:r>
    </w:p>
    <w:p w14:paraId="176C2BF6"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1368   Vērtības samazinājums ilgtermiņa noguldījumiem</w:t>
      </w:r>
    </w:p>
    <w:p w14:paraId="2BDF3D68"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1388 Vērtības samazinājums avansa maksājumiem par ilgtermiņa finanšu ieguldījumiem</w:t>
      </w:r>
    </w:p>
    <w:p w14:paraId="2E438BBC"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2534   Vērtības samazinājums īstermiņa aizdevumiem</w:t>
      </w:r>
    </w:p>
    <w:p w14:paraId="705473AD"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2548   Vērtības samazinājums īstermiņa finanšu ieguldījumiem vērtspapīros</w:t>
      </w:r>
    </w:p>
    <w:p w14:paraId="72E69F84"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2558   Vērtības samazinājums pārējiem īstermiņa finanšu ieguldījumiem</w:t>
      </w:r>
    </w:p>
    <w:p w14:paraId="14828BE8"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2568   Vērtības samazinājums īstermiņa noguldījumiem</w:t>
      </w:r>
    </w:p>
    <w:p w14:paraId="6F3E0DFB" w14:textId="77777777" w:rsidR="00DC06C4"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2577 Vērtības samazinājums avansa maksājumiem par īstermiņa finanšu ieguldījumiem  </w:t>
      </w:r>
    </w:p>
    <w:p w14:paraId="3AAB5A0F" w14:textId="77777777" w:rsidR="00B375D4" w:rsidRPr="00EB0B6B" w:rsidRDefault="00B375D4" w:rsidP="00CD363C">
      <w:pPr>
        <w:spacing w:after="0" w:line="240" w:lineRule="auto"/>
        <w:ind w:right="407"/>
        <w:jc w:val="both"/>
        <w:rPr>
          <w:rFonts w:ascii="Times New Roman" w:hAnsi="Times New Roman" w:cs="Times New Roman"/>
          <w:b/>
          <w:bCs/>
          <w:sz w:val="24"/>
          <w:szCs w:val="24"/>
        </w:rPr>
      </w:pPr>
    </w:p>
    <w:p w14:paraId="5AAABF4C"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 xml:space="preserve">837. Ja nākamajos pārskata periodos amortizētajā vērtībā uzskaitīta finanšu aktīva vērtības samazinājums ir samazinājies vai vairs nepastāv, iepriekš atzīto vērtības samazinājumu izslēdz (reversē) un atzīst pārskata perioda finanšu ieņēmumus. Izslēdzot vērtības samazinājumu, attiecīgā finanšu aktīva uzskaites vērtība nevar būt lielāka, kāda būtu bijusi amortizētā vērtība, ja izdevumi no vērtības samazināšanās nebūtu atzīti. Izslēdzot iepriekš atzīto vērtības samazinājumu, veic sekojošu </w:t>
      </w:r>
    </w:p>
    <w:p w14:paraId="6379BC3F"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grāmatojumu:</w:t>
      </w:r>
    </w:p>
    <w:p w14:paraId="50379D78"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sz w:val="24"/>
          <w:szCs w:val="24"/>
        </w:rPr>
        <w:t xml:space="preserve">    </w:t>
      </w:r>
      <w:r w:rsidRPr="00EB0B6B">
        <w:rPr>
          <w:rFonts w:ascii="Times New Roman" w:hAnsi="Times New Roman" w:cs="Times New Roman"/>
          <w:b/>
          <w:bCs/>
          <w:sz w:val="24"/>
          <w:szCs w:val="24"/>
        </w:rPr>
        <w:t>D    1338   Vērtības samazinājums ilgtermiņa aizdevumiem</w:t>
      </w:r>
    </w:p>
    <w:p w14:paraId="00A0E39B"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1348   Vērtības samazinājums ilgtermiņa finanšu ieguldījumiem vērtspapīros</w:t>
      </w:r>
    </w:p>
    <w:p w14:paraId="37487113"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w:t>
      </w:r>
      <w:bookmarkStart w:id="75" w:name="_Hlk13558756"/>
      <w:r w:rsidRPr="00EB0B6B">
        <w:rPr>
          <w:rFonts w:ascii="Times New Roman" w:hAnsi="Times New Roman" w:cs="Times New Roman"/>
          <w:b/>
          <w:bCs/>
          <w:sz w:val="24"/>
          <w:szCs w:val="24"/>
        </w:rPr>
        <w:t>D    1358   Vērtības samazinājums pārējiem ilgtermiņa finanšu ieguldījumiem</w:t>
      </w:r>
      <w:bookmarkEnd w:id="75"/>
    </w:p>
    <w:p w14:paraId="7126AF7B"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1368   Vērtības samazinājums ilgtermiņa noguldījumiem</w:t>
      </w:r>
    </w:p>
    <w:p w14:paraId="7426F538"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w:t>
      </w:r>
      <w:r w:rsidR="00E24C39">
        <w:rPr>
          <w:rFonts w:ascii="Times New Roman" w:hAnsi="Times New Roman" w:cs="Times New Roman"/>
          <w:b/>
          <w:bCs/>
          <w:sz w:val="24"/>
          <w:szCs w:val="24"/>
        </w:rPr>
        <w:t xml:space="preserve"> </w:t>
      </w:r>
      <w:r w:rsidRPr="00EB0B6B">
        <w:rPr>
          <w:rFonts w:ascii="Times New Roman" w:hAnsi="Times New Roman" w:cs="Times New Roman"/>
          <w:b/>
          <w:bCs/>
          <w:sz w:val="24"/>
          <w:szCs w:val="24"/>
        </w:rPr>
        <w:t>1388   Vērtības samazinājums avansa maksājumiem par ilgtermiņa finanšu ieguldījumiem</w:t>
      </w:r>
    </w:p>
    <w:p w14:paraId="159A6925"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2534   Vērtības samazinājums īstermiņa aizdevumiem</w:t>
      </w:r>
    </w:p>
    <w:p w14:paraId="5FC07766"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w:t>
      </w:r>
      <w:bookmarkStart w:id="76" w:name="_Hlk13558961"/>
      <w:r w:rsidRPr="00EB0B6B">
        <w:rPr>
          <w:rFonts w:ascii="Times New Roman" w:hAnsi="Times New Roman" w:cs="Times New Roman"/>
          <w:b/>
          <w:bCs/>
          <w:sz w:val="24"/>
          <w:szCs w:val="24"/>
        </w:rPr>
        <w:t>2548   Vērtības samazinājums īstermiņa finanšu ieguldījumiem</w:t>
      </w:r>
      <w:bookmarkEnd w:id="76"/>
    </w:p>
    <w:p w14:paraId="75B15E6A"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2558   Vērtības samazinājums pārējiem īstermiņa finanšu ieguldījumiem</w:t>
      </w:r>
    </w:p>
    <w:p w14:paraId="30800AF6"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2568   Vērtības samazinājums īstermiņa noguldījumiem</w:t>
      </w:r>
    </w:p>
    <w:p w14:paraId="3B313BFC"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2577   Vērtības samazinājums avansa maksājumiem par īstermiņa finanšu ieguldījumiem</w:t>
      </w:r>
    </w:p>
    <w:p w14:paraId="6AD70A5C"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8190   Pārējie finanšu ieņēmumi</w:t>
      </w:r>
    </w:p>
    <w:p w14:paraId="56B56721" w14:textId="77777777" w:rsidR="005916ED" w:rsidRPr="00EB0B6B" w:rsidRDefault="005916ED"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838.   Pārdošanai pieejama finanšu aktīva vērtības samazinājumu aprēķina</w:t>
      </w:r>
      <w:r w:rsidRPr="00EB0B6B">
        <w:rPr>
          <w:rFonts w:ascii="Times New Roman" w:hAnsi="Times New Roman" w:cs="Times New Roman"/>
          <w:spacing w:val="-1"/>
          <w:sz w:val="24"/>
          <w:szCs w:val="24"/>
        </w:rPr>
        <w:t xml:space="preserve"> </w:t>
      </w:r>
      <w:r w:rsidRPr="00EB0B6B">
        <w:rPr>
          <w:rFonts w:ascii="Times New Roman" w:hAnsi="Times New Roman" w:cs="Times New Roman"/>
          <w:sz w:val="24"/>
          <w:szCs w:val="24"/>
        </w:rPr>
        <w:t>sekojoši:</w:t>
      </w:r>
    </w:p>
    <w:p w14:paraId="084232A3" w14:textId="77777777" w:rsidR="005916ED" w:rsidRPr="00EB0B6B" w:rsidRDefault="005916ED"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b/>
          <w:sz w:val="24"/>
          <w:szCs w:val="24"/>
        </w:rPr>
        <w:t xml:space="preserve">838.1.   patiesajā vērtībā uzskaitītam finanšu aktīvam </w:t>
      </w:r>
      <w:r w:rsidRPr="00EB0B6B">
        <w:rPr>
          <w:rFonts w:ascii="Times New Roman" w:hAnsi="Times New Roman" w:cs="Times New Roman"/>
          <w:sz w:val="24"/>
          <w:szCs w:val="24"/>
        </w:rPr>
        <w:t>– budžeta iestāde atzīst aktīva vērtības samazinājumu kā pārskata perioda finanšu izdevumus, veicot sekojošu grāmatojumu:</w:t>
      </w:r>
    </w:p>
    <w:p w14:paraId="6E9D3BED"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w:t>
      </w:r>
      <w:bookmarkStart w:id="77" w:name="_Hlk13560999"/>
      <w:r w:rsidRPr="00EB0B6B">
        <w:rPr>
          <w:rFonts w:ascii="Times New Roman" w:hAnsi="Times New Roman" w:cs="Times New Roman"/>
          <w:b/>
          <w:bCs/>
          <w:sz w:val="24"/>
          <w:szCs w:val="24"/>
        </w:rPr>
        <w:t xml:space="preserve">D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8290   Pārējie finanšu izdevumi</w:t>
      </w:r>
    </w:p>
    <w:p w14:paraId="2110F374"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1348   Vērtības samazinājums ilgtermiņa finanšu ieguldījumiem vērtspapīros</w:t>
      </w:r>
    </w:p>
    <w:p w14:paraId="22586277"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1358   Vērtības samazinājums pārējiem ilgtermiņa finanšu ieguldījumiem</w:t>
      </w:r>
    </w:p>
    <w:p w14:paraId="33C620FC"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1378   Vērtības samazinājums turējumā nodotiem ilgtermiņa finanšu ieguldījumiem</w:t>
      </w:r>
    </w:p>
    <w:p w14:paraId="52EC2E66"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 xml:space="preserve">1388   Vērtības samazinājums avansa maksājumiem par ilgtermiņa finanšu ieguldījumiem   </w:t>
      </w:r>
    </w:p>
    <w:p w14:paraId="49BCEA80" w14:textId="77777777" w:rsidR="00EB0B6B" w:rsidRPr="00EB0B6B" w:rsidRDefault="00EB0B6B"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2548   Vērtības samazinājums īstermiņa finanšu ieguldījumiem</w:t>
      </w:r>
    </w:p>
    <w:p w14:paraId="6F7D1C78" w14:textId="77777777" w:rsidR="00424C78" w:rsidRPr="00EB0B6B" w:rsidRDefault="005916ED" w:rsidP="00CD363C">
      <w:pPr>
        <w:pStyle w:val="Pamatteksts"/>
        <w:ind w:right="407"/>
        <w:jc w:val="both"/>
        <w:rPr>
          <w:b/>
          <w:bCs/>
          <w:sz w:val="24"/>
          <w:szCs w:val="24"/>
        </w:rPr>
      </w:pPr>
      <w:r w:rsidRPr="00EB0B6B">
        <w:rPr>
          <w:b/>
          <w:bCs/>
          <w:sz w:val="24"/>
          <w:szCs w:val="24"/>
        </w:rPr>
        <w:t xml:space="preserve">    </w:t>
      </w:r>
    </w:p>
    <w:p w14:paraId="2DBA1DFB" w14:textId="77777777" w:rsidR="00B375D4" w:rsidRPr="00EB0B6B" w:rsidRDefault="00EB0B6B" w:rsidP="00CD363C">
      <w:pPr>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 xml:space="preserve">K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2558   Vērtības samazinājums pārējiem īstermiņa finanšu ieguldījumiem</w:t>
      </w:r>
    </w:p>
    <w:p w14:paraId="581CFFB9" w14:textId="77777777" w:rsidR="00ED62E9" w:rsidRDefault="00EB0B6B" w:rsidP="00CD363C">
      <w:pPr>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2577  Vērtības samazinājums avansa maksājumiem par īstermiņa finanšu ieguldījumiem</w:t>
      </w:r>
    </w:p>
    <w:bookmarkEnd w:id="77"/>
    <w:p w14:paraId="6B8B385E" w14:textId="77777777" w:rsidR="00EB0B6B" w:rsidRPr="00EB0B6B" w:rsidRDefault="00EB0B6B" w:rsidP="00CD363C">
      <w:pPr>
        <w:pStyle w:val="Pamatteksts"/>
        <w:ind w:right="407"/>
        <w:jc w:val="both"/>
        <w:rPr>
          <w:sz w:val="24"/>
          <w:szCs w:val="24"/>
        </w:rPr>
      </w:pPr>
      <w:r w:rsidRPr="00EB0B6B">
        <w:rPr>
          <w:noProof/>
          <w:sz w:val="24"/>
          <w:szCs w:val="24"/>
        </w:rPr>
        <w:t>838.2</w:t>
      </w:r>
      <w:r w:rsidRPr="00EB0B6B">
        <w:rPr>
          <w:b/>
          <w:bCs/>
          <w:noProof/>
          <w:sz w:val="24"/>
          <w:szCs w:val="24"/>
        </w:rPr>
        <w:t>.</w:t>
      </w:r>
      <w:r w:rsidRPr="00EB0B6B">
        <w:rPr>
          <w:b/>
          <w:bCs/>
          <w:sz w:val="24"/>
          <w:szCs w:val="24"/>
        </w:rPr>
        <w:t xml:space="preserve">  ja</w:t>
      </w:r>
      <w:r w:rsidRPr="00EB0B6B">
        <w:rPr>
          <w:b/>
          <w:bCs/>
          <w:spacing w:val="-9"/>
          <w:sz w:val="24"/>
          <w:szCs w:val="24"/>
        </w:rPr>
        <w:t xml:space="preserve"> </w:t>
      </w:r>
      <w:r w:rsidRPr="00EB0B6B">
        <w:rPr>
          <w:b/>
          <w:bCs/>
          <w:sz w:val="24"/>
          <w:szCs w:val="24"/>
        </w:rPr>
        <w:t>pārdošanai</w:t>
      </w:r>
      <w:r w:rsidRPr="00EB0B6B">
        <w:rPr>
          <w:b/>
          <w:bCs/>
          <w:spacing w:val="-7"/>
          <w:sz w:val="24"/>
          <w:szCs w:val="24"/>
        </w:rPr>
        <w:t xml:space="preserve"> </w:t>
      </w:r>
      <w:r w:rsidRPr="00EB0B6B">
        <w:rPr>
          <w:b/>
          <w:bCs/>
          <w:sz w:val="24"/>
          <w:szCs w:val="24"/>
        </w:rPr>
        <w:t>pieejama</w:t>
      </w:r>
      <w:r w:rsidRPr="00EB0B6B">
        <w:rPr>
          <w:b/>
          <w:bCs/>
          <w:spacing w:val="-5"/>
          <w:sz w:val="24"/>
          <w:szCs w:val="24"/>
        </w:rPr>
        <w:t xml:space="preserve"> </w:t>
      </w:r>
      <w:r w:rsidRPr="00EB0B6B">
        <w:rPr>
          <w:b/>
          <w:bCs/>
          <w:sz w:val="24"/>
          <w:szCs w:val="24"/>
        </w:rPr>
        <w:t>finanšu</w:t>
      </w:r>
      <w:r w:rsidRPr="00EB0B6B">
        <w:rPr>
          <w:b/>
          <w:bCs/>
          <w:spacing w:val="-6"/>
          <w:sz w:val="24"/>
          <w:szCs w:val="24"/>
        </w:rPr>
        <w:t xml:space="preserve"> </w:t>
      </w:r>
      <w:r w:rsidRPr="00EB0B6B">
        <w:rPr>
          <w:b/>
          <w:bCs/>
          <w:sz w:val="24"/>
          <w:szCs w:val="24"/>
        </w:rPr>
        <w:t>aktīva</w:t>
      </w:r>
      <w:r w:rsidRPr="00EB0B6B">
        <w:rPr>
          <w:b/>
          <w:bCs/>
          <w:spacing w:val="-5"/>
          <w:sz w:val="24"/>
          <w:szCs w:val="24"/>
        </w:rPr>
        <w:t xml:space="preserve"> </w:t>
      </w:r>
      <w:r w:rsidRPr="00EB0B6B">
        <w:rPr>
          <w:b/>
          <w:bCs/>
          <w:sz w:val="24"/>
          <w:szCs w:val="24"/>
        </w:rPr>
        <w:t>patiesās</w:t>
      </w:r>
      <w:r w:rsidRPr="00EB0B6B">
        <w:rPr>
          <w:b/>
          <w:bCs/>
          <w:spacing w:val="-6"/>
          <w:sz w:val="24"/>
          <w:szCs w:val="24"/>
        </w:rPr>
        <w:t xml:space="preserve"> </w:t>
      </w:r>
      <w:r w:rsidRPr="00EB0B6B">
        <w:rPr>
          <w:b/>
          <w:bCs/>
          <w:sz w:val="24"/>
          <w:szCs w:val="24"/>
        </w:rPr>
        <w:t>vērtības</w:t>
      </w:r>
      <w:r w:rsidRPr="00EB0B6B">
        <w:rPr>
          <w:b/>
          <w:bCs/>
          <w:spacing w:val="-7"/>
          <w:sz w:val="24"/>
          <w:szCs w:val="24"/>
        </w:rPr>
        <w:t xml:space="preserve"> </w:t>
      </w:r>
      <w:r w:rsidRPr="00EB0B6B">
        <w:rPr>
          <w:b/>
          <w:bCs/>
          <w:sz w:val="24"/>
          <w:szCs w:val="24"/>
        </w:rPr>
        <w:t>izmaiņas</w:t>
      </w:r>
      <w:r w:rsidRPr="00EB0B6B">
        <w:rPr>
          <w:spacing w:val="-2"/>
          <w:sz w:val="24"/>
          <w:szCs w:val="24"/>
        </w:rPr>
        <w:t xml:space="preserve"> </w:t>
      </w:r>
      <w:r w:rsidRPr="00EB0B6B">
        <w:rPr>
          <w:sz w:val="24"/>
          <w:szCs w:val="24"/>
        </w:rPr>
        <w:t>(samazinājums)</w:t>
      </w:r>
      <w:r w:rsidRPr="00EB0B6B">
        <w:rPr>
          <w:spacing w:val="-4"/>
          <w:sz w:val="24"/>
          <w:szCs w:val="24"/>
        </w:rPr>
        <w:t xml:space="preserve"> </w:t>
      </w:r>
      <w:r w:rsidRPr="00EB0B6B">
        <w:rPr>
          <w:sz w:val="24"/>
          <w:szCs w:val="24"/>
        </w:rPr>
        <w:t>iepriekš</w:t>
      </w:r>
      <w:r w:rsidRPr="00EB0B6B">
        <w:rPr>
          <w:spacing w:val="-8"/>
          <w:sz w:val="24"/>
          <w:szCs w:val="24"/>
        </w:rPr>
        <w:t xml:space="preserve"> </w:t>
      </w:r>
      <w:r w:rsidRPr="00EB0B6B">
        <w:rPr>
          <w:sz w:val="24"/>
          <w:szCs w:val="24"/>
        </w:rPr>
        <w:t>ir</w:t>
      </w:r>
      <w:r w:rsidRPr="00EB0B6B">
        <w:rPr>
          <w:spacing w:val="-8"/>
          <w:sz w:val="24"/>
          <w:szCs w:val="24"/>
        </w:rPr>
        <w:t xml:space="preserve"> </w:t>
      </w:r>
      <w:r w:rsidRPr="00EB0B6B">
        <w:rPr>
          <w:sz w:val="24"/>
          <w:szCs w:val="24"/>
        </w:rPr>
        <w:t>atzītas pašu kapitālā (finanšu instrumentu patiesās vērtības rezervē), tad budžeta iestāde reversē iepriekš atzīto patiesās vērtības samazinājumu, nosaka vērtības samazinājumu kā starpību starp aktīva iegādes vērtību (atskaitot pamatsummas atmaksas un saņemtos procentus) un pašreizējo patieso vērtību (atskaitot izdevumus no šā finanšu aktīva vērtības samazināšanās, kuri iepriekš atzīti pārskata perioda izdevumos), un atzīst vērtības samazinājumu pārējos finanšu izdevumos, veicot sekojošus</w:t>
      </w:r>
      <w:r w:rsidRPr="00EB0B6B">
        <w:rPr>
          <w:spacing w:val="-3"/>
          <w:sz w:val="24"/>
          <w:szCs w:val="24"/>
        </w:rPr>
        <w:t xml:space="preserve"> </w:t>
      </w:r>
      <w:r w:rsidRPr="00EB0B6B">
        <w:rPr>
          <w:sz w:val="24"/>
          <w:szCs w:val="24"/>
        </w:rPr>
        <w:t>grāmatojumus:</w:t>
      </w:r>
    </w:p>
    <w:p w14:paraId="56FE5805" w14:textId="77777777" w:rsidR="00EB0B6B" w:rsidRPr="0047674F" w:rsidRDefault="00EB0B6B"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Grāmatojums, izslēdzot iepriekš atzīto patiesās vērtības samazinājumu no finanšu instrumentu patiesās vērtības rezerves:</w:t>
      </w:r>
    </w:p>
    <w:p w14:paraId="7683AAFA"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1349   Ilgtermiņa finanšu ieguldījumi vērtspapīros</w:t>
      </w:r>
    </w:p>
    <w:p w14:paraId="34433FFE"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1359   Pārējie ilgtermiņa finanšu ieguldījumi</w:t>
      </w:r>
    </w:p>
    <w:p w14:paraId="12FAC0D4"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1379   Pārējie turējumā nodotie ilgtermiņa finanšu ieguldījumi</w:t>
      </w:r>
    </w:p>
    <w:p w14:paraId="38C4386B" w14:textId="77777777" w:rsidR="00284241"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2549   Pārējie īstermiņa finanšu </w:t>
      </w:r>
      <w:r w:rsidR="00284241" w:rsidRPr="0047674F">
        <w:rPr>
          <w:rFonts w:ascii="Times New Roman" w:hAnsi="Times New Roman" w:cs="Times New Roman"/>
          <w:iCs/>
          <w:sz w:val="24"/>
          <w:szCs w:val="24"/>
        </w:rPr>
        <w:t>ieguldījumi vērtspapīros</w:t>
      </w:r>
    </w:p>
    <w:p w14:paraId="5AB52B93" w14:textId="77777777" w:rsidR="00284241" w:rsidRPr="0047674F" w:rsidRDefault="00284241"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2559   Pārējie īstermiņa finanšu ieguldījumi</w:t>
      </w:r>
    </w:p>
    <w:p w14:paraId="735583E9" w14:textId="77777777" w:rsidR="00284241" w:rsidRPr="0047674F" w:rsidRDefault="00284241"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K    3320   Finanšu instrumentu patiesās vērtības rezerves</w:t>
      </w:r>
    </w:p>
    <w:p w14:paraId="32B275DC"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w:t>
      </w:r>
      <w:r w:rsidR="00284241" w:rsidRPr="0047674F">
        <w:rPr>
          <w:rFonts w:ascii="Times New Roman" w:hAnsi="Times New Roman" w:cs="Times New Roman"/>
          <w:iCs/>
          <w:sz w:val="24"/>
          <w:szCs w:val="24"/>
        </w:rPr>
        <w:t>un grāmatojums, atzīstot vērtības samazinājumu un finanšu izdevumus:</w:t>
      </w:r>
      <w:r w:rsidRPr="0047674F">
        <w:rPr>
          <w:rFonts w:ascii="Times New Roman" w:hAnsi="Times New Roman" w:cs="Times New Roman"/>
          <w:iCs/>
          <w:sz w:val="24"/>
          <w:szCs w:val="24"/>
        </w:rPr>
        <w:t xml:space="preserve">  </w:t>
      </w:r>
    </w:p>
    <w:p w14:paraId="03604846" w14:textId="77777777" w:rsidR="00EB0B6B" w:rsidRPr="0047674F" w:rsidRDefault="00EB0B6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sidR="00284241" w:rsidRPr="0047674F">
        <w:rPr>
          <w:rFonts w:ascii="Times New Roman" w:hAnsi="Times New Roman" w:cs="Times New Roman"/>
          <w:b/>
          <w:bCs/>
          <w:sz w:val="24"/>
          <w:szCs w:val="24"/>
        </w:rPr>
        <w:t>D    8290*   Pārējie finanšu izdevumi</w:t>
      </w:r>
    </w:p>
    <w:p w14:paraId="1FC1669F"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1348   Vērtības samazinājums ilgtermiņa finanšu ieguldījumiem vērtspapīros</w:t>
      </w:r>
    </w:p>
    <w:p w14:paraId="598A9649"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1358   Vērtības samazinājums pārējiem ilgtermiņa finanšu ieguldījumiem</w:t>
      </w:r>
    </w:p>
    <w:p w14:paraId="34B45506"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1378   Vērtības samazinājums turējumā nodotiem ilgtermiņa finanšu ieguldījumiem</w:t>
      </w:r>
    </w:p>
    <w:p w14:paraId="052E8D3E"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2548   Vērtības samazinājums īstermiņa finanšu ieguldījumiem vērtspapīros</w:t>
      </w:r>
    </w:p>
    <w:p w14:paraId="65ED30A1"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2558   Vērtības samazinājums pārējiem īstermiņa finanšu ieguldījumiem</w:t>
      </w:r>
    </w:p>
    <w:p w14:paraId="576F77AA" w14:textId="77777777" w:rsidR="00284241" w:rsidRPr="0047674F" w:rsidRDefault="00284241" w:rsidP="00CD363C">
      <w:pPr>
        <w:spacing w:after="0" w:line="240" w:lineRule="auto"/>
        <w:ind w:right="407"/>
        <w:jc w:val="both"/>
        <w:rPr>
          <w:rFonts w:ascii="Times New Roman" w:hAnsi="Times New Roman" w:cs="Times New Roman"/>
          <w:sz w:val="24"/>
          <w:szCs w:val="24"/>
        </w:rPr>
      </w:pPr>
      <w:r w:rsidRPr="0047674F">
        <w:rPr>
          <w:rFonts w:ascii="Times New Roman" w:hAnsi="Times New Roman" w:cs="Times New Roman"/>
          <w:sz w:val="24"/>
          <w:szCs w:val="24"/>
        </w:rPr>
        <w:t xml:space="preserve">*starpību starp sākotnējo iegādes vērtību un pašreizējo patieso vērtību    </w:t>
      </w:r>
    </w:p>
    <w:p w14:paraId="6A4E932A" w14:textId="77777777" w:rsidR="00E24C39" w:rsidRPr="0047674F" w:rsidRDefault="00E24C39" w:rsidP="00CD363C">
      <w:pPr>
        <w:pStyle w:val="Pamatteksts"/>
        <w:ind w:right="407"/>
        <w:jc w:val="both"/>
        <w:rPr>
          <w:sz w:val="24"/>
          <w:szCs w:val="24"/>
        </w:rPr>
      </w:pPr>
      <w:r w:rsidRPr="0047674F">
        <w:rPr>
          <w:sz w:val="24"/>
          <w:szCs w:val="24"/>
        </w:rPr>
        <w:t xml:space="preserve">            ja iepriekšējos pārskata periodos budžeta iestāde atzinusi pārdošanai pieejama finanšu aktīva patiesās vērtības izmaiņas (palielinājumu) pašu kapitālā (finanšu instrumentu patiesās vērtības rezervē), budžeta iestāde reversē iepriekš atzītās vērtības izmaiņas (palielinājumu) un atzīst vērtības samazinājumu un pārskata perioda finanšu izdevumus, veicot sekojošus grāmatojumus:</w:t>
      </w:r>
    </w:p>
    <w:p w14:paraId="6370AD5D" w14:textId="77777777" w:rsidR="00E24C39" w:rsidRPr="0047674F" w:rsidRDefault="00E24C39"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Grāmatojums, izslēdzot iepriekš atzīto patiesās vērtības pieaugumu no finanšu instrumentu patiesās vērtības rezerves:</w:t>
      </w:r>
    </w:p>
    <w:p w14:paraId="74B7B355" w14:textId="77777777" w:rsidR="00B05FF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3320   Finanšu instrumentu patiesās vērtības rezerve</w:t>
      </w:r>
    </w:p>
    <w:p w14:paraId="4667A8F5"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1349   Ilgtermiņa finanšu ieguldījumi vērtspapīros</w:t>
      </w:r>
    </w:p>
    <w:p w14:paraId="11C99A32"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1359   Pārējie ilgtermiņa finanšu ieguldījumi</w:t>
      </w:r>
    </w:p>
    <w:p w14:paraId="7E2D25CF"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1379   Pārējie turējumā nodotie ilgtermiņa finanšu ieguldījumi</w:t>
      </w:r>
    </w:p>
    <w:p w14:paraId="25107880"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2549   Pārējie īstermiņa finanšu ieguldījumi vērtspapīros</w:t>
      </w:r>
    </w:p>
    <w:p w14:paraId="03EB9B8C"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2559   Pārējie īstermiņa finanšu ieguldījumi   </w:t>
      </w:r>
    </w:p>
    <w:p w14:paraId="00BB038F" w14:textId="77777777" w:rsidR="00E24C39" w:rsidRPr="0047674F" w:rsidRDefault="00E24C39"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un grāmatojums, atzīstot vērtības samazinājumu un finanšu izdevumus:</w:t>
      </w:r>
    </w:p>
    <w:p w14:paraId="2184332F"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8290*   Pārējie finanšu izdevumi</w:t>
      </w:r>
    </w:p>
    <w:p w14:paraId="67AC4852"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1348   Vērtības samazinājums ilgtermiņa finanšu ieguldījumiem vērtspapīros</w:t>
      </w:r>
    </w:p>
    <w:p w14:paraId="575F6A9C"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1358   Vērtības samazinājums pārējiem ilgtermiņa finanšu ieguldījumiem</w:t>
      </w:r>
    </w:p>
    <w:p w14:paraId="0289CBBA"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1378   Vērtības samazinājums turējumā nodotiem ilgtermiņa finanšu ieguldījumiem</w:t>
      </w:r>
    </w:p>
    <w:p w14:paraId="7B594501"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2548   Vērtības samazinājums īstermiņa finanšu ieguldījumiem vērtspapīros</w:t>
      </w:r>
    </w:p>
    <w:p w14:paraId="2AB93E8A"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2558   Vērtības samazinājums pārējiem īstermiņa finanšu ieguldījumiem</w:t>
      </w:r>
    </w:p>
    <w:p w14:paraId="1FA0F267" w14:textId="77777777" w:rsidR="00E24C39" w:rsidRPr="0047674F" w:rsidRDefault="00E24C39"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*starpība starp sākotnējo iegādes vērtību un pašreizējo patieso vērtību, atskaitot to vērtības samazinājuma daļu, kas atzīta, izslēdzot finanšu instrumenta patiesās vērtības rezervi (skat. iepriekšējo grāmatojumu).</w:t>
      </w:r>
    </w:p>
    <w:p w14:paraId="7C800AB8" w14:textId="77777777" w:rsidR="00E24C39" w:rsidRPr="0047674F" w:rsidRDefault="007A4C54" w:rsidP="00CD363C">
      <w:pPr>
        <w:pStyle w:val="Pamatteksts"/>
        <w:ind w:right="407"/>
        <w:jc w:val="both"/>
        <w:rPr>
          <w:sz w:val="24"/>
          <w:szCs w:val="24"/>
        </w:rPr>
      </w:pPr>
      <w:r w:rsidRPr="0047674F">
        <w:rPr>
          <w:noProof/>
          <w:sz w:val="24"/>
          <w:szCs w:val="24"/>
        </w:rPr>
        <w:t xml:space="preserve">838.3. </w:t>
      </w:r>
      <w:r w:rsidR="00E24C39" w:rsidRPr="0047674F">
        <w:rPr>
          <w:b/>
          <w:sz w:val="24"/>
          <w:szCs w:val="24"/>
        </w:rPr>
        <w:t xml:space="preserve">izmaksu vērtībā uzskaitīta pārdošanai pieejama finanšu aktīva </w:t>
      </w:r>
      <w:r w:rsidR="00E24C39" w:rsidRPr="0047674F">
        <w:rPr>
          <w:sz w:val="24"/>
          <w:szCs w:val="24"/>
        </w:rPr>
        <w:t>vērtības samazinājumu aprēķina kā starpību starp finanšu aktīva uzskaites vērtību un nākotnes aplēsto naudas plūsmu pašreizējo vērtību, kas diskontēta ar Valsts kases tīmekļvietnē publicētu atbilstošu procentu likmi. Vērtības samazinājumu atzīst pārskata perioda finanšu izdevumos un uzkrāj atsevišķā kontā attiecīgo finanšu aktīvu sastāvā. Budžeta iestāde atzīst vērtības samazinājumu, veicot sekojošu grāmatojumu:</w:t>
      </w:r>
    </w:p>
    <w:p w14:paraId="5728229D"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8290   Pārējie finanšu izdevumi</w:t>
      </w:r>
    </w:p>
    <w:p w14:paraId="39C4BEEC"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1348   Vērtības samazinājums ilgtermiņa finanšu ieguldījumiem vērtspapīros</w:t>
      </w:r>
    </w:p>
    <w:p w14:paraId="4BDD2E10"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1358   Vērtības samazinājums pārējiem ilgtermiņa finanšu ieguldījumiem</w:t>
      </w:r>
    </w:p>
    <w:p w14:paraId="7F3CFCD7"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1378   Vērtības samazinājums turējumā nodotiem ilgtermiņa finanšu ieguldījumiem</w:t>
      </w:r>
    </w:p>
    <w:p w14:paraId="61BCCCEC"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1388   Vērtības samazinājums avansa maksājumiem par ilgtermiņa finanšu ieguldījumiem   </w:t>
      </w:r>
    </w:p>
    <w:p w14:paraId="230E6DA7"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2548   Vērtības samazinājums īstermiņa finanšu ieguldījumiem</w:t>
      </w:r>
    </w:p>
    <w:p w14:paraId="7B915311" w14:textId="77777777" w:rsidR="007A4C54" w:rsidRPr="0047674F" w:rsidRDefault="007A4C54" w:rsidP="00CD363C">
      <w:pPr>
        <w:pStyle w:val="Pamatteksts"/>
        <w:ind w:right="407"/>
        <w:jc w:val="both"/>
        <w:rPr>
          <w:b/>
          <w:bCs/>
          <w:sz w:val="24"/>
          <w:szCs w:val="24"/>
        </w:rPr>
      </w:pPr>
      <w:r w:rsidRPr="0047674F">
        <w:rPr>
          <w:b/>
          <w:bCs/>
          <w:sz w:val="24"/>
          <w:szCs w:val="24"/>
        </w:rPr>
        <w:t xml:space="preserve">    </w:t>
      </w:r>
    </w:p>
    <w:p w14:paraId="112CA43F" w14:textId="77777777" w:rsidR="007A4C54" w:rsidRPr="0047674F" w:rsidRDefault="007A4C54"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2558   Vērtības samazinājums pārējiem īstermiņa finanšu ieguldījumiem</w:t>
      </w:r>
    </w:p>
    <w:p w14:paraId="78A5BC1B" w14:textId="77777777" w:rsidR="007A4C54" w:rsidRPr="0047674F" w:rsidRDefault="007A4C54"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2577  Vērtības samazinājums avansa maksājumiem par īstermiņa finanšu ieguldījumiem</w:t>
      </w:r>
    </w:p>
    <w:p w14:paraId="092E52FF" w14:textId="77777777" w:rsidR="0047674F" w:rsidRPr="0047674F" w:rsidRDefault="0047674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47674F">
        <w:rPr>
          <w:rFonts w:ascii="Times New Roman" w:hAnsi="Times New Roman" w:cs="Times New Roman"/>
          <w:sz w:val="24"/>
          <w:szCs w:val="24"/>
        </w:rPr>
        <w:t>839.</w:t>
      </w:r>
      <w:r w:rsidRPr="0047674F">
        <w:rPr>
          <w:rFonts w:ascii="Times New Roman" w:hAnsi="Times New Roman" w:cs="Times New Roman"/>
          <w:b/>
          <w:bCs/>
          <w:sz w:val="24"/>
          <w:szCs w:val="24"/>
        </w:rPr>
        <w:t xml:space="preserve">  </w:t>
      </w:r>
      <w:r w:rsidR="007A4C54" w:rsidRPr="0047674F">
        <w:rPr>
          <w:rFonts w:ascii="Times New Roman" w:hAnsi="Times New Roman" w:cs="Times New Roman"/>
          <w:b/>
          <w:bCs/>
          <w:sz w:val="24"/>
          <w:szCs w:val="24"/>
        </w:rPr>
        <w:t xml:space="preserve"> </w:t>
      </w:r>
      <w:r w:rsidRPr="0047674F">
        <w:rPr>
          <w:rFonts w:ascii="Times New Roman" w:hAnsi="Times New Roman" w:cs="Times New Roman"/>
          <w:sz w:val="24"/>
          <w:szCs w:val="24"/>
        </w:rPr>
        <w:t xml:space="preserve">Ja nākamajos pārskata periodos vērtības samazinājums pārdošanai pieejamam ieguldījumam </w:t>
      </w:r>
      <w:r w:rsidRPr="0047674F">
        <w:rPr>
          <w:rFonts w:ascii="Times New Roman" w:hAnsi="Times New Roman" w:cs="Times New Roman"/>
          <w:sz w:val="24"/>
          <w:szCs w:val="24"/>
          <w:u w:val="single"/>
        </w:rPr>
        <w:t>pašu kapitāla instrumentos</w:t>
      </w:r>
      <w:r w:rsidRPr="0047674F">
        <w:rPr>
          <w:rFonts w:ascii="Times New Roman" w:hAnsi="Times New Roman" w:cs="Times New Roman"/>
          <w:sz w:val="24"/>
          <w:szCs w:val="24"/>
        </w:rPr>
        <w:t xml:space="preserve"> </w:t>
      </w:r>
      <w:r w:rsidRPr="0047674F">
        <w:rPr>
          <w:rFonts w:ascii="Times New Roman" w:hAnsi="Times New Roman" w:cs="Times New Roman"/>
          <w:i/>
          <w:sz w:val="24"/>
          <w:szCs w:val="24"/>
        </w:rPr>
        <w:t>(piemēram, budžeta iestādes ieguldījumam kapitālsabiedrībā, kurā budžeta iestādei ir mazāk par 20,00% balsstiesību</w:t>
      </w:r>
      <w:r w:rsidRPr="0047674F">
        <w:rPr>
          <w:rFonts w:ascii="Times New Roman" w:hAnsi="Times New Roman" w:cs="Times New Roman"/>
          <w:sz w:val="24"/>
          <w:szCs w:val="24"/>
        </w:rPr>
        <w:t>) ir samazinājies vai vairs nepastāv, iepriekš atzīto vērtības samazinājumu izslēdz vienīgi tad, ja no uzskaites izslēdz attiecīgo finanšu</w:t>
      </w:r>
      <w:r w:rsidRPr="0047674F">
        <w:rPr>
          <w:rFonts w:ascii="Times New Roman" w:hAnsi="Times New Roman" w:cs="Times New Roman"/>
          <w:spacing w:val="-14"/>
          <w:sz w:val="24"/>
          <w:szCs w:val="24"/>
        </w:rPr>
        <w:t xml:space="preserve"> </w:t>
      </w:r>
      <w:r w:rsidRPr="0047674F">
        <w:rPr>
          <w:rFonts w:ascii="Times New Roman" w:hAnsi="Times New Roman" w:cs="Times New Roman"/>
          <w:sz w:val="24"/>
          <w:szCs w:val="24"/>
        </w:rPr>
        <w:t>aktīvu.</w:t>
      </w:r>
    </w:p>
    <w:p w14:paraId="5132A56D" w14:textId="77777777" w:rsidR="0047674F" w:rsidRPr="0047674F" w:rsidRDefault="0047674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47674F">
        <w:rPr>
          <w:rFonts w:ascii="Times New Roman" w:hAnsi="Times New Roman" w:cs="Times New Roman"/>
          <w:sz w:val="24"/>
          <w:szCs w:val="24"/>
        </w:rPr>
        <w:t>840.   Ja nākamajos pārskata periodos vērtības samazinājums pārdošanai pieejamam finanšu aktīvam (izņemot ieguldījumus pašu kapitāla instrumentos) ir samazinājies vai vairs nepastāv, iepriekš atzīto vērtības samazinājumu izslēdz un pārskata perioda finanšu ieņēmumos atzīst tikai tādā apmērā, kādā iepriekš atzīti izdevumi no vērtības samazinājuma. Atlikušo vērtības pieauguma daļu atzīst finanšu instrumentu patiesās vērtības rezervē. Izslēdzot iepriekš atzīto vērtības samazinājumu, veic sekojošu grāmatojumu:</w:t>
      </w:r>
    </w:p>
    <w:p w14:paraId="1F01278F" w14:textId="77777777" w:rsidR="0047674F" w:rsidRPr="0047674F" w:rsidRDefault="0047674F"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Grāmatojums, izslēdzot iepriekš atzīto vērtības samazinājumu un atzīstot pārskata perioda finanšu ieņēmumus:</w:t>
      </w:r>
    </w:p>
    <w:p w14:paraId="0A574E14" w14:textId="77777777" w:rsidR="0047674F" w:rsidRPr="0047674F" w:rsidRDefault="007A4C54"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sidR="0047674F" w:rsidRPr="0047674F">
        <w:rPr>
          <w:rFonts w:ascii="Times New Roman" w:hAnsi="Times New Roman" w:cs="Times New Roman"/>
          <w:b/>
          <w:bCs/>
          <w:sz w:val="24"/>
          <w:szCs w:val="24"/>
        </w:rPr>
        <w:t xml:space="preserve">   D    1348   Vērtības samazinājums ilgtermiņa finanšu ieguldījumiem vērtspapīros</w:t>
      </w:r>
    </w:p>
    <w:p w14:paraId="525B006C"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1358   Vērtības samazinājums pārējiem ilgtermiņa finanšu ieguldījumiem</w:t>
      </w:r>
    </w:p>
    <w:p w14:paraId="082C210E"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1378   Vērtības samazinājums turējumā nodotiem ilgtermiņa finanšu ieguldījumiem</w:t>
      </w:r>
    </w:p>
    <w:p w14:paraId="1FFCC631"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2548   Vērtības samazinājums īstermiņa finanšu ieguldījumiem vērtspapīros</w:t>
      </w:r>
    </w:p>
    <w:p w14:paraId="3F4C10CE"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2558   Vērtības samazinājums pārējiem īstermiņa finanšu ieguldījumiem</w:t>
      </w:r>
    </w:p>
    <w:p w14:paraId="642D81DB" w14:textId="77777777" w:rsidR="00E24C39"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8190   Pārējie finanšu ieņēmumi</w:t>
      </w:r>
    </w:p>
    <w:p w14:paraId="40DB924A" w14:textId="77777777" w:rsidR="00B05FF9" w:rsidRPr="00EF62CA" w:rsidRDefault="0047674F" w:rsidP="00CD363C">
      <w:pPr>
        <w:spacing w:after="0" w:line="240" w:lineRule="auto"/>
        <w:ind w:right="407"/>
        <w:jc w:val="both"/>
        <w:rPr>
          <w:rFonts w:ascii="Times New Roman" w:hAnsi="Times New Roman" w:cs="Times New Roman"/>
          <w:b/>
          <w:bCs/>
          <w:sz w:val="24"/>
          <w:szCs w:val="24"/>
        </w:rPr>
      </w:pPr>
      <w:r>
        <w:rPr>
          <w:i/>
        </w:rPr>
        <w:t>Grāmatojums, atzīstot atlikušo vērtības pieauguma daļu finanšu instrumentu patiesās vērtības rezervē:</w:t>
      </w:r>
    </w:p>
    <w:p w14:paraId="4287F1A8"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D</w:t>
      </w:r>
      <w:r w:rsidRPr="0047674F">
        <w:rPr>
          <w:rFonts w:ascii="Times New Roman" w:hAnsi="Times New Roman" w:cs="Times New Roman"/>
          <w:b/>
          <w:bCs/>
          <w:sz w:val="24"/>
          <w:szCs w:val="24"/>
        </w:rPr>
        <w:t xml:space="preserve">    1349   Ilgtermiņa finanšu ieguldījumi vērtspapīros</w:t>
      </w:r>
    </w:p>
    <w:p w14:paraId="744E8C86"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1359   Pārējie ilgtermiņa finanšu ieguldījumi</w:t>
      </w:r>
    </w:p>
    <w:p w14:paraId="0471F05D"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1379   Pārējie turējumā nodotie ilgtermiņa finanšu ieguldījumi</w:t>
      </w:r>
    </w:p>
    <w:p w14:paraId="221EC0AE"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2549   Pārējie īstermiņa finanšu ieguldījumi vērtspapīros</w:t>
      </w:r>
    </w:p>
    <w:p w14:paraId="10D2A316"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2559   Pārējie īstermiņa finanšu ieguldījumi   </w:t>
      </w:r>
    </w:p>
    <w:p w14:paraId="7BC74E97" w14:textId="77777777" w:rsidR="00B05FF9" w:rsidRPr="00EF62CA" w:rsidRDefault="0047674F" w:rsidP="00CD363C">
      <w:pPr>
        <w:pStyle w:val="Sarakstarindkopa"/>
        <w:spacing w:after="0" w:line="240" w:lineRule="auto"/>
        <w:ind w:left="0"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3320    Finanšu instrumentu patiesās vērtības rezerve   </w:t>
      </w:r>
    </w:p>
    <w:p w14:paraId="281F01A0" w14:textId="77777777" w:rsidR="0047674F" w:rsidRPr="003031EB" w:rsidRDefault="0047674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841.   Nākamajos</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pārskata</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periodos</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pēc</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tam,</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kad</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finanšu</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aktīvam</w:t>
      </w:r>
      <w:r w:rsidRPr="003031EB">
        <w:rPr>
          <w:rFonts w:ascii="Times New Roman" w:hAnsi="Times New Roman" w:cs="Times New Roman"/>
          <w:spacing w:val="-10"/>
          <w:sz w:val="24"/>
          <w:szCs w:val="24"/>
        </w:rPr>
        <w:t xml:space="preserve"> </w:t>
      </w:r>
      <w:r w:rsidRPr="003031EB">
        <w:rPr>
          <w:rFonts w:ascii="Times New Roman" w:hAnsi="Times New Roman" w:cs="Times New Roman"/>
          <w:sz w:val="24"/>
          <w:szCs w:val="24"/>
        </w:rPr>
        <w:t>vai</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līdzīgu</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finanšu</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aktīvu</w:t>
      </w:r>
      <w:r w:rsidRPr="003031EB">
        <w:rPr>
          <w:rFonts w:ascii="Times New Roman" w:hAnsi="Times New Roman" w:cs="Times New Roman"/>
          <w:spacing w:val="-7"/>
          <w:sz w:val="24"/>
          <w:szCs w:val="24"/>
        </w:rPr>
        <w:t xml:space="preserve"> </w:t>
      </w:r>
      <w:r w:rsidRPr="003031EB">
        <w:rPr>
          <w:rFonts w:ascii="Times New Roman" w:hAnsi="Times New Roman" w:cs="Times New Roman"/>
          <w:sz w:val="24"/>
          <w:szCs w:val="24"/>
        </w:rPr>
        <w:t>grupai</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ir</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atzīti izdevumi no vērtības samazinājuma, – procentu ieņēmumus atzīst, izmantojot sākotnējo procentu likmi.</w:t>
      </w:r>
    </w:p>
    <w:p w14:paraId="488E19E3" w14:textId="77777777" w:rsidR="006300AC" w:rsidRPr="003031EB" w:rsidRDefault="0047674F"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21.4. Finanšu instrumentu izslēgšana no uzskaites</w:t>
      </w:r>
    </w:p>
    <w:p w14:paraId="0E83ED3D" w14:textId="77777777" w:rsidR="0047674F" w:rsidRPr="003031EB" w:rsidRDefault="0047674F"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b/>
          <w:bCs/>
          <w:i/>
          <w:iCs/>
          <w:color w:val="2F5496" w:themeColor="accent1" w:themeShade="BF"/>
          <w:sz w:val="24"/>
          <w:szCs w:val="24"/>
        </w:rPr>
      </w:pPr>
      <w:r w:rsidRPr="003031EB">
        <w:rPr>
          <w:rFonts w:ascii="Times New Roman" w:hAnsi="Times New Roman" w:cs="Times New Roman"/>
          <w:b/>
          <w:bCs/>
          <w:i/>
          <w:iCs/>
          <w:color w:val="2F5496" w:themeColor="accent1" w:themeShade="BF"/>
          <w:sz w:val="24"/>
          <w:szCs w:val="24"/>
        </w:rPr>
        <w:t>Finanšu aktīvu izslēgšana no uzskaites</w:t>
      </w:r>
    </w:p>
    <w:p w14:paraId="7630F37B" w14:textId="77777777" w:rsidR="0047674F" w:rsidRPr="003031EB" w:rsidRDefault="003031EB"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842.   </w:t>
      </w:r>
      <w:r w:rsidR="0047674F" w:rsidRPr="003031EB">
        <w:rPr>
          <w:rFonts w:ascii="Times New Roman" w:hAnsi="Times New Roman" w:cs="Times New Roman"/>
          <w:sz w:val="24"/>
          <w:szCs w:val="24"/>
        </w:rPr>
        <w:t>Budžeta iestāde izslēdz finanšu aktīvu vai tā daļu no uzskaites, ja ir spēkā vismaz viens no šiem kritērijiem:</w:t>
      </w:r>
    </w:p>
    <w:p w14:paraId="4EF9A9F9" w14:textId="77777777" w:rsidR="0047674F" w:rsidRPr="003031EB" w:rsidRDefault="0047674F" w:rsidP="00CD363C">
      <w:pPr>
        <w:pStyle w:val="Sarakstarindkopa"/>
        <w:widowControl w:val="0"/>
        <w:numPr>
          <w:ilvl w:val="2"/>
          <w:numId w:val="46"/>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031EB">
        <w:rPr>
          <w:rFonts w:ascii="Times New Roman" w:hAnsi="Times New Roman" w:cs="Times New Roman"/>
          <w:sz w:val="24"/>
          <w:szCs w:val="24"/>
        </w:rPr>
        <w:t>līgumā noteiktās tiesības uz naudas plūsmām no attiecīgā finanšu aktīva vai tā daļas beidzas vai budžeta iestāde ir atteikusies no šīm tiesībām tiesību aktos noteiktajā</w:t>
      </w:r>
      <w:r w:rsidRPr="003031EB">
        <w:rPr>
          <w:rFonts w:ascii="Times New Roman" w:hAnsi="Times New Roman" w:cs="Times New Roman"/>
          <w:spacing w:val="-16"/>
          <w:sz w:val="24"/>
          <w:szCs w:val="24"/>
        </w:rPr>
        <w:t xml:space="preserve"> </w:t>
      </w:r>
      <w:r w:rsidRPr="003031EB">
        <w:rPr>
          <w:rFonts w:ascii="Times New Roman" w:hAnsi="Times New Roman" w:cs="Times New Roman"/>
          <w:sz w:val="24"/>
          <w:szCs w:val="24"/>
        </w:rPr>
        <w:t>kārtībā;</w:t>
      </w:r>
    </w:p>
    <w:p w14:paraId="5AFA8BB3" w14:textId="77777777" w:rsidR="0047674F" w:rsidRPr="003031EB" w:rsidRDefault="0047674F" w:rsidP="00CD363C">
      <w:pPr>
        <w:pStyle w:val="Sarakstarindkopa"/>
        <w:widowControl w:val="0"/>
        <w:numPr>
          <w:ilvl w:val="2"/>
          <w:numId w:val="46"/>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031EB">
        <w:rPr>
          <w:rFonts w:ascii="Times New Roman" w:hAnsi="Times New Roman" w:cs="Times New Roman"/>
          <w:sz w:val="24"/>
          <w:szCs w:val="24"/>
        </w:rPr>
        <w:t>budžeta iestāde nodod līgumā noteiktās tiesības uz naudas plūsmām no finanšu aktīva vai tā daļas;</w:t>
      </w:r>
    </w:p>
    <w:p w14:paraId="58CE2E7D" w14:textId="77777777" w:rsidR="003031EB"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budžeta iestāde saglabā līgumā noteiktās tiesības uz naudas plūsmām no finanšu aktīva vai tā daļas, bet uzņemas līgumā noteiktu pienākumu samaksāt attiecīgās naudas plūsmas vienam vai vairākiem saņēmējiem un:</w:t>
      </w:r>
    </w:p>
    <w:p w14:paraId="78DA50CA" w14:textId="77777777" w:rsidR="003031EB"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budžeta iestādei ir pienākums veikt maksājumus saņēmējiem tikai tad, kad ir saņemtas ekvivalentas summas no attiecīgā aktīva;</w:t>
      </w:r>
    </w:p>
    <w:p w14:paraId="6A5A5E59" w14:textId="77777777" w:rsidR="003031EB"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atbilstoši līguma nosacījumiem budžeta iestādei ir aizliegts pārdot vai ieķīlāt attiecīgo aktīvu vai tā daļu;</w:t>
      </w:r>
    </w:p>
    <w:p w14:paraId="27E27E09" w14:textId="77777777" w:rsidR="006300AC"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budžeta iestāde nodod visus ar attiecīgā aktīva vai tā daļas īpašumtiesībām saistītos riskus, atlīdzības un kontroli pār aktīvu vai tā daļu.</w:t>
      </w:r>
    </w:p>
    <w:p w14:paraId="3709E2DB" w14:textId="77777777" w:rsidR="003031EB" w:rsidRPr="00D452AE" w:rsidRDefault="00D452AE"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843.   </w:t>
      </w:r>
      <w:r w:rsidR="003031EB" w:rsidRPr="00D452AE">
        <w:rPr>
          <w:rFonts w:ascii="Times New Roman" w:hAnsi="Times New Roman" w:cs="Times New Roman"/>
          <w:sz w:val="24"/>
          <w:szCs w:val="24"/>
        </w:rPr>
        <w:t>Finanšu aktīvu (izņemot pārdošanai pieejamu finanšu aktīvu, kurš novērtēts patiesajā vērtībā) izslēdz no uzskaites un atzīst pārskata perioda finanšu ieņēmumos vai izdevumos, veicot sekojošus grāmatojumus:</w:t>
      </w:r>
    </w:p>
    <w:p w14:paraId="1150BF42" w14:textId="77777777" w:rsidR="003031EB" w:rsidRPr="003031EB" w:rsidRDefault="003031EB" w:rsidP="00CD363C">
      <w:pPr>
        <w:spacing w:after="0" w:line="240" w:lineRule="auto"/>
        <w:ind w:left="338" w:right="407"/>
        <w:jc w:val="both"/>
        <w:rPr>
          <w:rFonts w:ascii="Times New Roman" w:hAnsi="Times New Roman" w:cs="Times New Roman"/>
          <w:i/>
          <w:sz w:val="24"/>
          <w:szCs w:val="24"/>
        </w:rPr>
      </w:pPr>
      <w:r w:rsidRPr="003031EB">
        <w:rPr>
          <w:rFonts w:ascii="Times New Roman" w:hAnsi="Times New Roman" w:cs="Times New Roman"/>
          <w:i/>
          <w:sz w:val="24"/>
          <w:szCs w:val="24"/>
        </w:rPr>
        <w:t>Grāmatojums, atzīstot pārskata perioda finanšu izdevumus:</w:t>
      </w:r>
    </w:p>
    <w:p w14:paraId="61C5F654" w14:textId="77777777" w:rsidR="006300AC" w:rsidRPr="003031EB" w:rsidRDefault="003031EB" w:rsidP="00CD363C">
      <w:pPr>
        <w:spacing w:after="0" w:line="240" w:lineRule="auto"/>
        <w:ind w:right="407"/>
        <w:jc w:val="both"/>
        <w:rPr>
          <w:rFonts w:ascii="Times New Roman" w:hAnsi="Times New Roman" w:cs="Times New Roman"/>
          <w:b/>
          <w:bCs/>
          <w:sz w:val="24"/>
          <w:szCs w:val="24"/>
        </w:rPr>
      </w:pPr>
      <w:bookmarkStart w:id="78" w:name="_Hlk13563804"/>
      <w:r w:rsidRPr="003031EB">
        <w:rPr>
          <w:rFonts w:ascii="Times New Roman" w:hAnsi="Times New Roman" w:cs="Times New Roman"/>
          <w:b/>
          <w:bCs/>
          <w:sz w:val="24"/>
          <w:szCs w:val="24"/>
        </w:rPr>
        <w:t xml:space="preserve">    D    8230   Izdevumi no kapitāla daļu un vērtspapīru pārdošanas*</w:t>
      </w:r>
    </w:p>
    <w:p w14:paraId="0287ECEE"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D    2600   Naudas līdzekļi</w:t>
      </w:r>
    </w:p>
    <w:bookmarkEnd w:id="78"/>
    <w:p w14:paraId="339915F7"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D    2300   Īstermiņa prasības</w:t>
      </w:r>
    </w:p>
    <w:p w14:paraId="12EC84B8"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1349   Ilgtermiņa finanšu ieguldījumi vērtspapīros</w:t>
      </w:r>
    </w:p>
    <w:p w14:paraId="16AC451D"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69E41AD6"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6EE67182"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199D8C67"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p>
    <w:p w14:paraId="4C200EC7" w14:textId="77777777" w:rsidR="003031EB" w:rsidRDefault="003031EB" w:rsidP="00CD363C">
      <w:pPr>
        <w:pStyle w:val="Sarakstarindkopa"/>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starpība starp aktīva uzskaites vērtību un atlīdzību (ieskaitot visus jauniegūtos aktīvus, no kuriem atskaitītas visas no jauna uzņemtās</w:t>
      </w:r>
      <w:r>
        <w:rPr>
          <w:i/>
          <w:spacing w:val="-3"/>
          <w:sz w:val="20"/>
        </w:rPr>
        <w:t xml:space="preserve"> </w:t>
      </w:r>
      <w:r>
        <w:rPr>
          <w:i/>
          <w:sz w:val="20"/>
        </w:rPr>
        <w:t>saistības)</w:t>
      </w:r>
    </w:p>
    <w:p w14:paraId="04E3CD73" w14:textId="77777777" w:rsidR="003031EB" w:rsidRDefault="003031EB" w:rsidP="00CD363C">
      <w:pPr>
        <w:spacing w:after="0" w:line="240" w:lineRule="auto"/>
        <w:ind w:left="338" w:right="407"/>
        <w:jc w:val="both"/>
        <w:rPr>
          <w:i/>
        </w:rPr>
      </w:pPr>
      <w:r>
        <w:rPr>
          <w:i/>
        </w:rPr>
        <w:t>Grāmatojums, atzīstot pārskata perioda finanšu ieņēmumus:</w:t>
      </w:r>
    </w:p>
    <w:p w14:paraId="324D707F"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 D    2600   Naudas līdzekļi</w:t>
      </w:r>
    </w:p>
    <w:p w14:paraId="5FE1890F"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D    2300   Īstermiņa prasības</w:t>
      </w:r>
    </w:p>
    <w:p w14:paraId="6A53E4E1"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bookmarkStart w:id="79" w:name="_Hlk13563853"/>
      <w:bookmarkStart w:id="80" w:name="_Hlk13567161"/>
      <w:r w:rsidRPr="003031EB">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1349   Ilgtermiņa finanšu ieguldījumi vērtspapīros</w:t>
      </w:r>
    </w:p>
    <w:p w14:paraId="2F80832D"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70351D5A"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40B3F4E4"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52C69795"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bookmarkEnd w:id="79"/>
    </w:p>
    <w:p w14:paraId="27B21748"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K  </w:t>
      </w:r>
      <w:r w:rsidR="00D452AE">
        <w:rPr>
          <w:rFonts w:ascii="Times New Roman" w:hAnsi="Times New Roman" w:cs="Times New Roman"/>
          <w:b/>
          <w:bCs/>
          <w:sz w:val="24"/>
          <w:szCs w:val="24"/>
        </w:rPr>
        <w:t>8</w:t>
      </w:r>
      <w:r w:rsidRPr="003031EB">
        <w:rPr>
          <w:rFonts w:ascii="Times New Roman" w:hAnsi="Times New Roman" w:cs="Times New Roman"/>
          <w:b/>
          <w:bCs/>
          <w:sz w:val="24"/>
          <w:szCs w:val="24"/>
        </w:rPr>
        <w:t>130   Ieņēmumi no kapitāla daļu pārdošanas, vērtspapīru tirdzniecības un pārvērtē</w:t>
      </w:r>
      <w:r>
        <w:rPr>
          <w:rFonts w:ascii="Times New Roman" w:hAnsi="Times New Roman" w:cs="Times New Roman"/>
          <w:b/>
          <w:bCs/>
          <w:sz w:val="24"/>
          <w:szCs w:val="24"/>
        </w:rPr>
        <w:t>ša</w:t>
      </w:r>
      <w:r w:rsidRPr="003031EB">
        <w:rPr>
          <w:rFonts w:ascii="Times New Roman" w:hAnsi="Times New Roman" w:cs="Times New Roman"/>
          <w:b/>
          <w:bCs/>
          <w:sz w:val="24"/>
          <w:szCs w:val="24"/>
        </w:rPr>
        <w:t>nas*</w:t>
      </w:r>
    </w:p>
    <w:bookmarkEnd w:id="80"/>
    <w:p w14:paraId="7633EB10" w14:textId="77777777" w:rsidR="00D452AE" w:rsidRDefault="00D452AE" w:rsidP="00CD363C">
      <w:pPr>
        <w:pStyle w:val="Sarakstarindkopa"/>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starpība starp aktīva uzskaites vērtību un atlīdzību (ieskaitot visus jauniegūtos aktīvus, no kuriem atskaitītas visas no jauna uzņemtās</w:t>
      </w:r>
      <w:r>
        <w:rPr>
          <w:i/>
          <w:spacing w:val="-3"/>
          <w:sz w:val="20"/>
        </w:rPr>
        <w:t xml:space="preserve"> </w:t>
      </w:r>
      <w:r>
        <w:rPr>
          <w:i/>
          <w:sz w:val="20"/>
        </w:rPr>
        <w:t>saistības)</w:t>
      </w:r>
    </w:p>
    <w:p w14:paraId="40CDB0B6" w14:textId="77777777" w:rsidR="00D452AE" w:rsidRPr="00D452AE" w:rsidRDefault="00D452AE"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844.   </w:t>
      </w:r>
      <w:r w:rsidRPr="00D452AE">
        <w:rPr>
          <w:rFonts w:ascii="Times New Roman" w:hAnsi="Times New Roman" w:cs="Times New Roman"/>
          <w:sz w:val="24"/>
          <w:szCs w:val="24"/>
        </w:rPr>
        <w:t>Pārdošanai pieejamu finanšu aktīvu, kurš novērtēts patiesajā vērtībā, izslēdz no uzskaites, vienlaikus izslēdzot visas iepriekš finanšu instrumentu patiesās vērtības rezervē atzītās vērtības izmaiņas, un attiecina uz iepriekšējo pārskata gadu budžeta izpildes rezultātu, veicot sekojošus grāmatojumus:</w:t>
      </w:r>
    </w:p>
    <w:p w14:paraId="2E00FF2C" w14:textId="77777777" w:rsidR="00CD541C" w:rsidRPr="00D452AE" w:rsidRDefault="00D452AE" w:rsidP="00CD363C">
      <w:pPr>
        <w:spacing w:after="0" w:line="240" w:lineRule="auto"/>
        <w:ind w:right="407"/>
        <w:jc w:val="both"/>
        <w:rPr>
          <w:rFonts w:ascii="Times New Roman" w:hAnsi="Times New Roman" w:cs="Times New Roman"/>
          <w:i/>
          <w:iCs/>
          <w:sz w:val="24"/>
          <w:szCs w:val="24"/>
        </w:rPr>
      </w:pPr>
      <w:r w:rsidRPr="00D452AE">
        <w:rPr>
          <w:rFonts w:ascii="Times New Roman" w:hAnsi="Times New Roman" w:cs="Times New Roman"/>
          <w:i/>
          <w:iCs/>
          <w:sz w:val="24"/>
          <w:szCs w:val="24"/>
        </w:rPr>
        <w:t>Grāmatojums, atzīstot pārskata perioda izdevumus:</w:t>
      </w:r>
    </w:p>
    <w:p w14:paraId="774A18A4" w14:textId="77777777" w:rsidR="00D452AE" w:rsidRPr="00D452AE" w:rsidRDefault="00D452AE" w:rsidP="00CD363C">
      <w:pPr>
        <w:widowControl w:val="0"/>
        <w:tabs>
          <w:tab w:val="left" w:pos="958"/>
        </w:tabs>
        <w:autoSpaceDE w:val="0"/>
        <w:autoSpaceDN w:val="0"/>
        <w:spacing w:after="0" w:line="240" w:lineRule="auto"/>
        <w:ind w:right="407"/>
        <w:jc w:val="both"/>
        <w:rPr>
          <w:rFonts w:ascii="Times New Roman" w:hAnsi="Times New Roman" w:cs="Times New Roman"/>
          <w:b/>
          <w:bCs/>
          <w:sz w:val="24"/>
          <w:szCs w:val="24"/>
        </w:rPr>
      </w:pPr>
      <w:r w:rsidRPr="00D452AE">
        <w:rPr>
          <w:rFonts w:ascii="Times New Roman" w:hAnsi="Times New Roman" w:cs="Times New Roman"/>
          <w:b/>
          <w:bCs/>
          <w:sz w:val="24"/>
          <w:szCs w:val="24"/>
        </w:rPr>
        <w:t xml:space="preserve">    D    8230   Izdevumi no kapitāla daļu un vērtspapīru pārdošanas*</w:t>
      </w:r>
    </w:p>
    <w:p w14:paraId="70A04DBA" w14:textId="77777777" w:rsidR="00D452AE" w:rsidRPr="00D452AE" w:rsidRDefault="00D452AE" w:rsidP="00CD363C">
      <w:pPr>
        <w:widowControl w:val="0"/>
        <w:tabs>
          <w:tab w:val="left" w:pos="958"/>
        </w:tabs>
        <w:autoSpaceDE w:val="0"/>
        <w:autoSpaceDN w:val="0"/>
        <w:spacing w:after="0" w:line="240" w:lineRule="auto"/>
        <w:ind w:right="407"/>
        <w:jc w:val="both"/>
        <w:rPr>
          <w:rFonts w:ascii="Times New Roman" w:hAnsi="Times New Roman" w:cs="Times New Roman"/>
          <w:b/>
          <w:bCs/>
          <w:sz w:val="24"/>
          <w:szCs w:val="24"/>
        </w:rPr>
      </w:pPr>
      <w:r w:rsidRPr="00D452AE">
        <w:rPr>
          <w:rFonts w:ascii="Times New Roman" w:hAnsi="Times New Roman" w:cs="Times New Roman"/>
          <w:b/>
          <w:bCs/>
          <w:sz w:val="24"/>
          <w:szCs w:val="24"/>
        </w:rPr>
        <w:t xml:space="preserve">    D    2600   Naudas līdzekļi</w:t>
      </w:r>
    </w:p>
    <w:p w14:paraId="50D2C60A"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K</w:t>
      </w:r>
      <w:r w:rsidRPr="0047674F">
        <w:rPr>
          <w:rFonts w:ascii="Times New Roman" w:hAnsi="Times New Roman" w:cs="Times New Roman"/>
          <w:b/>
          <w:bCs/>
          <w:sz w:val="24"/>
          <w:szCs w:val="24"/>
        </w:rPr>
        <w:t xml:space="preserve">    1349   Ilgtermiņa finanšu ieguldījumi vērtspapīros</w:t>
      </w:r>
    </w:p>
    <w:p w14:paraId="41045602"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5E64658A"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4C983EAA"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07A8F04E" w14:textId="77777777" w:rsidR="00742F00" w:rsidRDefault="00D452AE" w:rsidP="00CD363C">
      <w:pPr>
        <w:widowControl w:val="0"/>
        <w:tabs>
          <w:tab w:val="left" w:pos="95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p>
    <w:p w14:paraId="77178D11" w14:textId="77777777" w:rsidR="00D452AE" w:rsidRDefault="00D452AE" w:rsidP="00CD363C">
      <w:pPr>
        <w:pStyle w:val="Sarakstarindkopa"/>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starpība starp aktīva uzskaites vērtību un atlīdzību (ieskaitot visus jauniegūtos aktīvus, no kuriem atskaitītas visas no jauna uzņemtās</w:t>
      </w:r>
      <w:r>
        <w:rPr>
          <w:i/>
          <w:spacing w:val="-3"/>
          <w:sz w:val="20"/>
        </w:rPr>
        <w:t xml:space="preserve"> </w:t>
      </w:r>
      <w:r>
        <w:rPr>
          <w:i/>
          <w:sz w:val="20"/>
        </w:rPr>
        <w:t>saistības)</w:t>
      </w:r>
    </w:p>
    <w:p w14:paraId="5D8BAFDF" w14:textId="77777777" w:rsidR="00D452AE" w:rsidRPr="00D452AE" w:rsidRDefault="00D452AE" w:rsidP="00CD363C">
      <w:pPr>
        <w:widowControl w:val="0"/>
        <w:tabs>
          <w:tab w:val="left" w:pos="958"/>
        </w:tabs>
        <w:autoSpaceDE w:val="0"/>
        <w:autoSpaceDN w:val="0"/>
        <w:spacing w:after="0" w:line="240" w:lineRule="auto"/>
        <w:ind w:left="338" w:right="407"/>
        <w:jc w:val="both"/>
        <w:rPr>
          <w:rFonts w:ascii="Times New Roman" w:hAnsi="Times New Roman" w:cs="Times New Roman"/>
          <w:b/>
          <w:bCs/>
          <w:sz w:val="24"/>
          <w:szCs w:val="24"/>
        </w:rPr>
      </w:pPr>
      <w:r w:rsidRPr="00D452AE">
        <w:rPr>
          <w:rFonts w:ascii="Times New Roman" w:hAnsi="Times New Roman" w:cs="Times New Roman"/>
          <w:b/>
          <w:bCs/>
          <w:sz w:val="24"/>
          <w:szCs w:val="24"/>
        </w:rPr>
        <w:t>D    3510   Iepriekšējo pārskata gadu budžeta izpildes rezultāts</w:t>
      </w:r>
    </w:p>
    <w:p w14:paraId="52E6F107" w14:textId="77777777" w:rsidR="00D452AE" w:rsidRPr="00D452AE" w:rsidRDefault="00D452AE" w:rsidP="00CD363C">
      <w:pPr>
        <w:widowControl w:val="0"/>
        <w:tabs>
          <w:tab w:val="left" w:pos="958"/>
        </w:tabs>
        <w:autoSpaceDE w:val="0"/>
        <w:autoSpaceDN w:val="0"/>
        <w:spacing w:after="0" w:line="240" w:lineRule="auto"/>
        <w:ind w:left="338" w:right="407"/>
        <w:jc w:val="both"/>
        <w:rPr>
          <w:rFonts w:ascii="Times New Roman" w:hAnsi="Times New Roman" w:cs="Times New Roman"/>
          <w:b/>
          <w:bCs/>
          <w:sz w:val="24"/>
          <w:szCs w:val="24"/>
        </w:rPr>
      </w:pPr>
      <w:bookmarkStart w:id="81" w:name="_Hlk13567361"/>
      <w:r w:rsidRPr="00D452AE">
        <w:rPr>
          <w:rFonts w:ascii="Times New Roman" w:hAnsi="Times New Roman" w:cs="Times New Roman"/>
          <w:b/>
          <w:bCs/>
          <w:sz w:val="24"/>
          <w:szCs w:val="24"/>
        </w:rPr>
        <w:t xml:space="preserve">K    3320   Finanšu instrumentu patiesās vērtības rezerve </w:t>
      </w:r>
    </w:p>
    <w:bookmarkEnd w:id="81"/>
    <w:p w14:paraId="00B96C6B" w14:textId="77777777" w:rsidR="00AB700D" w:rsidRDefault="00AB700D" w:rsidP="00CD363C">
      <w:pPr>
        <w:spacing w:after="0" w:line="240" w:lineRule="auto"/>
        <w:ind w:left="622" w:right="407"/>
        <w:jc w:val="both"/>
        <w:rPr>
          <w:i/>
        </w:rPr>
      </w:pPr>
      <w:r>
        <w:rPr>
          <w:i/>
        </w:rPr>
        <w:t>Grāmatojums, atzīstot pārskata perioda ieņēmumus:</w:t>
      </w:r>
    </w:p>
    <w:p w14:paraId="6480F44C" w14:textId="77777777" w:rsidR="00742F00" w:rsidRPr="00AB700D" w:rsidRDefault="00AB700D" w:rsidP="00CD363C">
      <w:pPr>
        <w:spacing w:after="0" w:line="240" w:lineRule="auto"/>
        <w:ind w:right="407"/>
        <w:jc w:val="both"/>
        <w:rPr>
          <w:rFonts w:ascii="Times New Roman" w:hAnsi="Times New Roman" w:cs="Times New Roman"/>
          <w:b/>
          <w:bCs/>
          <w:sz w:val="24"/>
          <w:szCs w:val="24"/>
        </w:rPr>
      </w:pPr>
      <w:r w:rsidRPr="00AB700D">
        <w:rPr>
          <w:rFonts w:ascii="Times New Roman" w:hAnsi="Times New Roman" w:cs="Times New Roman"/>
          <w:b/>
          <w:bCs/>
          <w:sz w:val="24"/>
          <w:szCs w:val="24"/>
        </w:rPr>
        <w:t xml:space="preserve">    D    2620   Norēķinu konti Valsts kasē, kredītiestādē</w:t>
      </w:r>
    </w:p>
    <w:p w14:paraId="422906FD"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1349   Ilgtermiņa finanšu ieguldījumi vērtspapīros</w:t>
      </w:r>
    </w:p>
    <w:p w14:paraId="3AFDF51F"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3BB17E9A"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2352B9B5"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37AB0D7A"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p>
    <w:p w14:paraId="3830C80E" w14:textId="77777777" w:rsidR="00AB700D" w:rsidRPr="003031EB" w:rsidRDefault="00AB700D"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K </w:t>
      </w:r>
      <w:r>
        <w:rPr>
          <w:rFonts w:ascii="Times New Roman" w:hAnsi="Times New Roman" w:cs="Times New Roman"/>
          <w:b/>
          <w:bCs/>
          <w:sz w:val="24"/>
          <w:szCs w:val="24"/>
        </w:rPr>
        <w:t>8</w:t>
      </w:r>
      <w:r w:rsidRPr="003031EB">
        <w:rPr>
          <w:rFonts w:ascii="Times New Roman" w:hAnsi="Times New Roman" w:cs="Times New Roman"/>
          <w:b/>
          <w:bCs/>
          <w:sz w:val="24"/>
          <w:szCs w:val="24"/>
        </w:rPr>
        <w:t>130   Ieņēmumi no kapitāla daļu pārdošanas, vērtspapīru tirdzniecības un pārvērtē</w:t>
      </w:r>
      <w:r>
        <w:rPr>
          <w:rFonts w:ascii="Times New Roman" w:hAnsi="Times New Roman" w:cs="Times New Roman"/>
          <w:b/>
          <w:bCs/>
          <w:sz w:val="24"/>
          <w:szCs w:val="24"/>
        </w:rPr>
        <w:t>ša</w:t>
      </w:r>
      <w:r w:rsidRPr="003031EB">
        <w:rPr>
          <w:rFonts w:ascii="Times New Roman" w:hAnsi="Times New Roman" w:cs="Times New Roman"/>
          <w:b/>
          <w:bCs/>
          <w:sz w:val="24"/>
          <w:szCs w:val="24"/>
        </w:rPr>
        <w:t>nas*</w:t>
      </w:r>
    </w:p>
    <w:p w14:paraId="4277868B" w14:textId="77777777" w:rsidR="00AB700D" w:rsidRDefault="00AB700D" w:rsidP="00CD363C">
      <w:pPr>
        <w:pStyle w:val="Sarakstarindkopa"/>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starpība starp aktīva uzskaites vērtību un atlīdzību (ieskaitot visus jauniegūtos aktīvus, no kuriem atskaitītas visas no jauna uzņemtās</w:t>
      </w:r>
      <w:r>
        <w:rPr>
          <w:i/>
          <w:spacing w:val="-3"/>
          <w:sz w:val="20"/>
        </w:rPr>
        <w:t xml:space="preserve"> </w:t>
      </w:r>
      <w:r>
        <w:rPr>
          <w:i/>
          <w:sz w:val="20"/>
        </w:rPr>
        <w:t>saistības)</w:t>
      </w:r>
    </w:p>
    <w:p w14:paraId="7E716AF1" w14:textId="77777777" w:rsidR="00AB700D" w:rsidRPr="00AB700D" w:rsidRDefault="00AB700D" w:rsidP="00CD363C">
      <w:pPr>
        <w:spacing w:after="0" w:line="240" w:lineRule="auto"/>
        <w:ind w:right="407"/>
        <w:jc w:val="both"/>
        <w:rPr>
          <w:rFonts w:ascii="Times New Roman" w:hAnsi="Times New Roman" w:cs="Times New Roman"/>
          <w:b/>
          <w:bCs/>
          <w:sz w:val="24"/>
          <w:szCs w:val="24"/>
        </w:rPr>
      </w:pPr>
      <w:r w:rsidRPr="00AB700D">
        <w:rPr>
          <w:rFonts w:ascii="Times New Roman" w:hAnsi="Times New Roman" w:cs="Times New Roman"/>
          <w:b/>
          <w:bCs/>
          <w:sz w:val="24"/>
          <w:szCs w:val="24"/>
        </w:rPr>
        <w:t xml:space="preserve">    </w:t>
      </w:r>
      <w:r>
        <w:rPr>
          <w:rFonts w:ascii="Times New Roman" w:hAnsi="Times New Roman" w:cs="Times New Roman"/>
          <w:b/>
          <w:bCs/>
          <w:sz w:val="24"/>
          <w:szCs w:val="24"/>
        </w:rPr>
        <w:t>D</w:t>
      </w:r>
      <w:r w:rsidRPr="00AB700D">
        <w:rPr>
          <w:rFonts w:ascii="Times New Roman" w:hAnsi="Times New Roman" w:cs="Times New Roman"/>
          <w:b/>
          <w:bCs/>
          <w:sz w:val="24"/>
          <w:szCs w:val="24"/>
        </w:rPr>
        <w:t xml:space="preserve">    3320   Finanšu instrumentu patiesās vērtības rezerve</w:t>
      </w:r>
    </w:p>
    <w:p w14:paraId="6020A7B2" w14:textId="77777777" w:rsidR="00742F00" w:rsidRDefault="00AB700D" w:rsidP="00CD363C">
      <w:pPr>
        <w:pStyle w:val="Sarakstarindkopa"/>
        <w:spacing w:after="0" w:line="240" w:lineRule="auto"/>
        <w:ind w:left="0"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3510   Iepriekšējo pārskata gadu budžeta izpildes rezultāts</w:t>
      </w:r>
    </w:p>
    <w:p w14:paraId="5FCE3326" w14:textId="77777777" w:rsidR="00AB700D" w:rsidRPr="00AB700D" w:rsidRDefault="00AB700D" w:rsidP="00CD363C">
      <w:pPr>
        <w:pStyle w:val="Sarakstarindkopa"/>
        <w:spacing w:after="0" w:line="240" w:lineRule="auto"/>
        <w:ind w:left="0" w:right="407"/>
        <w:jc w:val="both"/>
        <w:rPr>
          <w:rFonts w:ascii="Times New Roman" w:hAnsi="Times New Roman" w:cs="Times New Roman"/>
          <w:b/>
          <w:bCs/>
          <w:sz w:val="24"/>
          <w:szCs w:val="24"/>
        </w:rPr>
      </w:pPr>
    </w:p>
    <w:p w14:paraId="048D30B2"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i/>
          <w:sz w:val="24"/>
          <w:szCs w:val="24"/>
        </w:rPr>
      </w:pPr>
      <w:r w:rsidRPr="00AB700D">
        <w:rPr>
          <w:rFonts w:ascii="Times New Roman" w:hAnsi="Times New Roman" w:cs="Times New Roman"/>
          <w:sz w:val="24"/>
          <w:szCs w:val="24"/>
        </w:rPr>
        <w:t>845.   Ja</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no</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uzskaites</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izslēdz</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1"/>
          <w:sz w:val="24"/>
          <w:szCs w:val="24"/>
        </w:rPr>
        <w:t xml:space="preserve"> </w:t>
      </w:r>
      <w:r w:rsidRPr="00AB700D">
        <w:rPr>
          <w:rFonts w:ascii="Times New Roman" w:hAnsi="Times New Roman" w:cs="Times New Roman"/>
          <w:sz w:val="24"/>
          <w:szCs w:val="24"/>
        </w:rPr>
        <w:t>aktīva</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daļu,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izslēdzamās</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daļas</w:t>
      </w:r>
      <w:r w:rsidRPr="00AB700D">
        <w:rPr>
          <w:rFonts w:ascii="Times New Roman" w:hAnsi="Times New Roman" w:cs="Times New Roman"/>
          <w:spacing w:val="-11"/>
          <w:sz w:val="24"/>
          <w:szCs w:val="24"/>
        </w:rPr>
        <w:t xml:space="preserve"> </w:t>
      </w:r>
      <w:r w:rsidRPr="00AB700D">
        <w:rPr>
          <w:rFonts w:ascii="Times New Roman" w:hAnsi="Times New Roman" w:cs="Times New Roman"/>
          <w:sz w:val="24"/>
          <w:szCs w:val="24"/>
        </w:rPr>
        <w:t>vērtību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aprēķina</w:t>
      </w:r>
      <w:r w:rsidRPr="00AB700D">
        <w:rPr>
          <w:rFonts w:ascii="Times New Roman" w:hAnsi="Times New Roman" w:cs="Times New Roman"/>
          <w:spacing w:val="-13"/>
          <w:sz w:val="24"/>
          <w:szCs w:val="24"/>
        </w:rPr>
        <w:t xml:space="preserve"> </w:t>
      </w:r>
      <w:r w:rsidRPr="00AB700D">
        <w:rPr>
          <w:rFonts w:ascii="Times New Roman" w:hAnsi="Times New Roman" w:cs="Times New Roman"/>
          <w:sz w:val="24"/>
          <w:szCs w:val="24"/>
        </w:rPr>
        <w:t>atbilstoši</w:t>
      </w:r>
      <w:r w:rsidRPr="00AB700D">
        <w:rPr>
          <w:rFonts w:ascii="Times New Roman" w:hAnsi="Times New Roman" w:cs="Times New Roman"/>
          <w:spacing w:val="-11"/>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 xml:space="preserve">aktīva un izslēdzamās daļas relatīvajām patiesajām vērtībām izslēgšanas dienā. </w:t>
      </w:r>
      <w:r w:rsidRPr="00AB700D">
        <w:rPr>
          <w:rFonts w:ascii="Times New Roman" w:hAnsi="Times New Roman" w:cs="Times New Roman"/>
          <w:i/>
          <w:sz w:val="24"/>
          <w:szCs w:val="24"/>
        </w:rPr>
        <w:t>Piemēram, gadījumā, ja atsavina 10 no 100 piederošām akcijām (10% no finanšu aktīva), tad atsavināšanas (izslēgšanas) dienā</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nosaka</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kopējo</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finanšu</w:t>
      </w:r>
      <w:r w:rsidRPr="00AB700D">
        <w:rPr>
          <w:rFonts w:ascii="Times New Roman" w:hAnsi="Times New Roman" w:cs="Times New Roman"/>
          <w:i/>
          <w:spacing w:val="-11"/>
          <w:sz w:val="24"/>
          <w:szCs w:val="24"/>
        </w:rPr>
        <w:t xml:space="preserve"> </w:t>
      </w:r>
      <w:r w:rsidRPr="00AB700D">
        <w:rPr>
          <w:rFonts w:ascii="Times New Roman" w:hAnsi="Times New Roman" w:cs="Times New Roman"/>
          <w:i/>
          <w:sz w:val="24"/>
          <w:szCs w:val="24"/>
        </w:rPr>
        <w:t>aktīva</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patieso</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vērtību</w:t>
      </w:r>
      <w:r w:rsidRPr="00AB700D">
        <w:rPr>
          <w:rFonts w:ascii="Times New Roman" w:hAnsi="Times New Roman" w:cs="Times New Roman"/>
          <w:i/>
          <w:spacing w:val="-11"/>
          <w:sz w:val="24"/>
          <w:szCs w:val="24"/>
        </w:rPr>
        <w:t xml:space="preserve"> </w:t>
      </w:r>
      <w:r w:rsidRPr="00AB700D">
        <w:rPr>
          <w:rFonts w:ascii="Times New Roman" w:hAnsi="Times New Roman" w:cs="Times New Roman"/>
          <w:i/>
          <w:sz w:val="24"/>
          <w:szCs w:val="24"/>
        </w:rPr>
        <w:t>un</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izslēdz</w:t>
      </w:r>
      <w:r w:rsidRPr="00AB700D">
        <w:rPr>
          <w:rFonts w:ascii="Times New Roman" w:hAnsi="Times New Roman" w:cs="Times New Roman"/>
          <w:i/>
          <w:spacing w:val="-10"/>
          <w:sz w:val="24"/>
          <w:szCs w:val="24"/>
        </w:rPr>
        <w:t xml:space="preserve"> </w:t>
      </w:r>
      <w:r w:rsidRPr="00AB700D">
        <w:rPr>
          <w:rFonts w:ascii="Times New Roman" w:hAnsi="Times New Roman" w:cs="Times New Roman"/>
          <w:i/>
          <w:sz w:val="24"/>
          <w:szCs w:val="24"/>
        </w:rPr>
        <w:t>10%</w:t>
      </w:r>
      <w:r w:rsidRPr="00AB700D">
        <w:rPr>
          <w:rFonts w:ascii="Times New Roman" w:hAnsi="Times New Roman" w:cs="Times New Roman"/>
          <w:i/>
          <w:spacing w:val="-20"/>
          <w:sz w:val="24"/>
          <w:szCs w:val="24"/>
        </w:rPr>
        <w:t xml:space="preserve"> </w:t>
      </w:r>
      <w:r w:rsidRPr="00AB700D">
        <w:rPr>
          <w:rFonts w:ascii="Times New Roman" w:hAnsi="Times New Roman" w:cs="Times New Roman"/>
          <w:i/>
          <w:sz w:val="24"/>
          <w:szCs w:val="24"/>
        </w:rPr>
        <w:t>no</w:t>
      </w:r>
      <w:r w:rsidRPr="00AB700D">
        <w:rPr>
          <w:rFonts w:ascii="Times New Roman" w:hAnsi="Times New Roman" w:cs="Times New Roman"/>
          <w:i/>
          <w:spacing w:val="-11"/>
          <w:sz w:val="24"/>
          <w:szCs w:val="24"/>
        </w:rPr>
        <w:t xml:space="preserve"> </w:t>
      </w:r>
      <w:r w:rsidRPr="00AB700D">
        <w:rPr>
          <w:rFonts w:ascii="Times New Roman" w:hAnsi="Times New Roman" w:cs="Times New Roman"/>
          <w:i/>
          <w:sz w:val="24"/>
          <w:szCs w:val="24"/>
        </w:rPr>
        <w:t>noteiktās</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finanšu</w:t>
      </w:r>
      <w:r w:rsidRPr="00AB700D">
        <w:rPr>
          <w:rFonts w:ascii="Times New Roman" w:hAnsi="Times New Roman" w:cs="Times New Roman"/>
          <w:i/>
          <w:spacing w:val="-10"/>
          <w:sz w:val="24"/>
          <w:szCs w:val="24"/>
        </w:rPr>
        <w:t xml:space="preserve"> </w:t>
      </w:r>
      <w:r w:rsidRPr="00AB700D">
        <w:rPr>
          <w:rFonts w:ascii="Times New Roman" w:hAnsi="Times New Roman" w:cs="Times New Roman"/>
          <w:i/>
          <w:sz w:val="24"/>
          <w:szCs w:val="24"/>
        </w:rPr>
        <w:t>aktīva</w:t>
      </w:r>
      <w:r w:rsidRPr="00AB700D">
        <w:rPr>
          <w:rFonts w:ascii="Times New Roman" w:hAnsi="Times New Roman" w:cs="Times New Roman"/>
          <w:i/>
          <w:spacing w:val="-12"/>
          <w:sz w:val="24"/>
          <w:szCs w:val="24"/>
        </w:rPr>
        <w:t xml:space="preserve"> </w:t>
      </w:r>
      <w:r w:rsidRPr="00AB700D">
        <w:rPr>
          <w:rFonts w:ascii="Times New Roman" w:hAnsi="Times New Roman" w:cs="Times New Roman"/>
          <w:i/>
          <w:sz w:val="24"/>
          <w:szCs w:val="24"/>
        </w:rPr>
        <w:t>patiesās vērtības izslēgšanas</w:t>
      </w:r>
      <w:r w:rsidRPr="00AB700D">
        <w:rPr>
          <w:rFonts w:ascii="Times New Roman" w:hAnsi="Times New Roman" w:cs="Times New Roman"/>
          <w:i/>
          <w:spacing w:val="-1"/>
          <w:sz w:val="24"/>
          <w:szCs w:val="24"/>
        </w:rPr>
        <w:t xml:space="preserve"> </w:t>
      </w:r>
      <w:r w:rsidRPr="00AB700D">
        <w:rPr>
          <w:rFonts w:ascii="Times New Roman" w:hAnsi="Times New Roman" w:cs="Times New Roman"/>
          <w:i/>
          <w:sz w:val="24"/>
          <w:szCs w:val="24"/>
        </w:rPr>
        <w:t>dienā.</w:t>
      </w:r>
    </w:p>
    <w:p w14:paraId="3791C1C1"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i/>
          <w:sz w:val="24"/>
          <w:szCs w:val="24"/>
        </w:rPr>
      </w:pPr>
      <w:r w:rsidRPr="00AB700D">
        <w:rPr>
          <w:rFonts w:ascii="Times New Roman" w:hAnsi="Times New Roman" w:cs="Times New Roman"/>
          <w:iCs/>
          <w:sz w:val="24"/>
          <w:szCs w:val="24"/>
        </w:rPr>
        <w:t>846.</w:t>
      </w:r>
      <w:r w:rsidRPr="00AB700D">
        <w:rPr>
          <w:rFonts w:ascii="Times New Roman" w:hAnsi="Times New Roman" w:cs="Times New Roman"/>
          <w:i/>
          <w:sz w:val="24"/>
          <w:szCs w:val="24"/>
        </w:rPr>
        <w:t xml:space="preserve">   </w:t>
      </w:r>
      <w:r w:rsidRPr="00AB700D">
        <w:rPr>
          <w:rFonts w:ascii="Times New Roman" w:hAnsi="Times New Roman" w:cs="Times New Roman"/>
          <w:sz w:val="24"/>
          <w:szCs w:val="24"/>
        </w:rPr>
        <w:t>Ja par amortizētajā vērtībā uzskaitīta finanšu aktīva atsavināšanu saņem atlīdzību, bet finanšu aktīva atsavināšana</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neatbilst</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iepriekš</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minētajiem</w:t>
      </w:r>
      <w:r w:rsidRPr="00AB700D">
        <w:rPr>
          <w:rFonts w:ascii="Times New Roman" w:hAnsi="Times New Roman" w:cs="Times New Roman"/>
          <w:spacing w:val="-16"/>
          <w:sz w:val="24"/>
          <w:szCs w:val="24"/>
        </w:rPr>
        <w:t xml:space="preserve"> </w:t>
      </w:r>
      <w:r w:rsidRPr="00AB700D">
        <w:rPr>
          <w:rFonts w:ascii="Times New Roman" w:hAnsi="Times New Roman" w:cs="Times New Roman"/>
          <w:sz w:val="24"/>
          <w:szCs w:val="24"/>
        </w:rPr>
        <w:t>kritērijiem,</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saņemto</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atlīdzību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atzīst</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3"/>
          <w:sz w:val="24"/>
          <w:szCs w:val="24"/>
        </w:rPr>
        <w:t xml:space="preserve"> </w:t>
      </w:r>
      <w:r w:rsidRPr="00AB700D">
        <w:rPr>
          <w:rFonts w:ascii="Times New Roman" w:hAnsi="Times New Roman" w:cs="Times New Roman"/>
          <w:sz w:val="24"/>
          <w:szCs w:val="24"/>
        </w:rPr>
        <w:t>saistību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sastāvā (saņemtais avanss). Atzītās saistības novērtē saņemtās atlīdzības apmērā un līdz līguma termiņa beigām palielina par starpību starp saņemto atlīdzību un aktīva vērtību līguma beigu datumā, piemērojot efektīvo procentu</w:t>
      </w:r>
      <w:r w:rsidRPr="00AB700D">
        <w:rPr>
          <w:rFonts w:ascii="Times New Roman" w:hAnsi="Times New Roman" w:cs="Times New Roman"/>
          <w:spacing w:val="1"/>
          <w:sz w:val="24"/>
          <w:szCs w:val="24"/>
        </w:rPr>
        <w:t xml:space="preserve"> </w:t>
      </w:r>
      <w:r w:rsidRPr="00AB700D">
        <w:rPr>
          <w:rFonts w:ascii="Times New Roman" w:hAnsi="Times New Roman" w:cs="Times New Roman"/>
          <w:sz w:val="24"/>
          <w:szCs w:val="24"/>
        </w:rPr>
        <w:t>likmi.</w:t>
      </w:r>
    </w:p>
    <w:p w14:paraId="6DC2DF94"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AB700D">
        <w:rPr>
          <w:rFonts w:ascii="Times New Roman" w:hAnsi="Times New Roman" w:cs="Times New Roman"/>
          <w:sz w:val="24"/>
          <w:szCs w:val="24"/>
        </w:rPr>
        <w:t>847.   Ja par patiesajā vērtībā uzskaitīta finanšu aktīva atsavināšanu saņem atlīdzību, bet finanšu aktīva atsavināšana</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neatbilst</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iepriekš</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minētajiem</w:t>
      </w:r>
      <w:r w:rsidRPr="00AB700D">
        <w:rPr>
          <w:rFonts w:ascii="Times New Roman" w:hAnsi="Times New Roman" w:cs="Times New Roman"/>
          <w:spacing w:val="-16"/>
          <w:sz w:val="24"/>
          <w:szCs w:val="24"/>
        </w:rPr>
        <w:t xml:space="preserve"> </w:t>
      </w:r>
      <w:r w:rsidRPr="00AB700D">
        <w:rPr>
          <w:rFonts w:ascii="Times New Roman" w:hAnsi="Times New Roman" w:cs="Times New Roman"/>
          <w:sz w:val="24"/>
          <w:szCs w:val="24"/>
        </w:rPr>
        <w:t>kritērijiem,</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saņemto</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atlīdzību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atzīst</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3"/>
          <w:sz w:val="24"/>
          <w:szCs w:val="24"/>
        </w:rPr>
        <w:t xml:space="preserve"> </w:t>
      </w:r>
      <w:r w:rsidRPr="00AB700D">
        <w:rPr>
          <w:rFonts w:ascii="Times New Roman" w:hAnsi="Times New Roman" w:cs="Times New Roman"/>
          <w:sz w:val="24"/>
          <w:szCs w:val="24"/>
        </w:rPr>
        <w:t>saistību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sastāvā (saņemtais avanss). Atzītās saistības novērtē saistību patiesajā</w:t>
      </w:r>
      <w:r w:rsidRPr="00AB700D">
        <w:rPr>
          <w:rFonts w:ascii="Times New Roman" w:hAnsi="Times New Roman" w:cs="Times New Roman"/>
          <w:spacing w:val="-10"/>
          <w:sz w:val="24"/>
          <w:szCs w:val="24"/>
        </w:rPr>
        <w:t xml:space="preserve"> </w:t>
      </w:r>
      <w:r w:rsidRPr="00AB700D">
        <w:rPr>
          <w:rFonts w:ascii="Times New Roman" w:hAnsi="Times New Roman" w:cs="Times New Roman"/>
          <w:sz w:val="24"/>
          <w:szCs w:val="24"/>
        </w:rPr>
        <w:t>vērtībā.</w:t>
      </w:r>
    </w:p>
    <w:p w14:paraId="68082221"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b/>
          <w:bCs/>
          <w:i/>
          <w:iCs/>
          <w:color w:val="2F5496" w:themeColor="accent1" w:themeShade="BF"/>
          <w:sz w:val="24"/>
          <w:szCs w:val="24"/>
        </w:rPr>
      </w:pPr>
      <w:r w:rsidRPr="00AB700D">
        <w:rPr>
          <w:rFonts w:ascii="Times New Roman" w:hAnsi="Times New Roman" w:cs="Times New Roman"/>
          <w:b/>
          <w:bCs/>
          <w:i/>
          <w:iCs/>
          <w:color w:val="2F5496" w:themeColor="accent1" w:themeShade="BF"/>
          <w:sz w:val="24"/>
          <w:szCs w:val="24"/>
        </w:rPr>
        <w:t>Finanšu saistību  izslēgšana no uzskaites</w:t>
      </w:r>
    </w:p>
    <w:p w14:paraId="1B124573" w14:textId="77777777" w:rsidR="00FD0919" w:rsidRPr="00FD0919" w:rsidRDefault="00FD0919"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FD0919">
        <w:rPr>
          <w:rFonts w:ascii="Times New Roman" w:hAnsi="Times New Roman" w:cs="Times New Roman"/>
          <w:sz w:val="24"/>
          <w:szCs w:val="24"/>
        </w:rPr>
        <w:t>848.   Budžeta iestāde izslēdz finanšu saistības (vai finanšu saistību daļu) no uzskaites tikai un vienīgi tad, kad:</w:t>
      </w:r>
    </w:p>
    <w:p w14:paraId="26FF111D" w14:textId="77777777" w:rsidR="00FD0919" w:rsidRPr="00FD0919" w:rsidRDefault="00FD0919" w:rsidP="00CD363C">
      <w:pPr>
        <w:pStyle w:val="Sarakstarindkopa"/>
        <w:widowControl w:val="0"/>
        <w:numPr>
          <w:ilvl w:val="2"/>
          <w:numId w:val="47"/>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D0919">
        <w:rPr>
          <w:rFonts w:ascii="Times New Roman" w:hAnsi="Times New Roman" w:cs="Times New Roman"/>
          <w:sz w:val="24"/>
          <w:szCs w:val="24"/>
        </w:rPr>
        <w:t>līgumā noteiktais pienākums ir</w:t>
      </w:r>
      <w:r w:rsidRPr="00FD0919">
        <w:rPr>
          <w:rFonts w:ascii="Times New Roman" w:hAnsi="Times New Roman" w:cs="Times New Roman"/>
          <w:spacing w:val="-3"/>
          <w:sz w:val="24"/>
          <w:szCs w:val="24"/>
        </w:rPr>
        <w:t xml:space="preserve"> </w:t>
      </w:r>
      <w:r w:rsidRPr="00FD0919">
        <w:rPr>
          <w:rFonts w:ascii="Times New Roman" w:hAnsi="Times New Roman" w:cs="Times New Roman"/>
          <w:sz w:val="24"/>
          <w:szCs w:val="24"/>
        </w:rPr>
        <w:t>izpildīts;</w:t>
      </w:r>
    </w:p>
    <w:p w14:paraId="22405230" w14:textId="77777777" w:rsidR="00FD0919" w:rsidRPr="00FD0919" w:rsidRDefault="00FD0919" w:rsidP="00CD363C">
      <w:pPr>
        <w:pStyle w:val="Sarakstarindkopa"/>
        <w:widowControl w:val="0"/>
        <w:numPr>
          <w:ilvl w:val="2"/>
          <w:numId w:val="47"/>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D0919">
        <w:rPr>
          <w:rFonts w:ascii="Times New Roman" w:hAnsi="Times New Roman" w:cs="Times New Roman"/>
          <w:sz w:val="24"/>
          <w:szCs w:val="24"/>
        </w:rPr>
        <w:t>otra līgumslēdzēja puse ir atteikusies no prasības šā pienākuma</w:t>
      </w:r>
      <w:r w:rsidRPr="00FD0919">
        <w:rPr>
          <w:rFonts w:ascii="Times New Roman" w:hAnsi="Times New Roman" w:cs="Times New Roman"/>
          <w:spacing w:val="-8"/>
          <w:sz w:val="24"/>
          <w:szCs w:val="24"/>
        </w:rPr>
        <w:t xml:space="preserve"> </w:t>
      </w:r>
      <w:r w:rsidRPr="00FD0919">
        <w:rPr>
          <w:rFonts w:ascii="Times New Roman" w:hAnsi="Times New Roman" w:cs="Times New Roman"/>
          <w:sz w:val="24"/>
          <w:szCs w:val="24"/>
        </w:rPr>
        <w:t>izpildei;</w:t>
      </w:r>
    </w:p>
    <w:p w14:paraId="189DCE50" w14:textId="77777777" w:rsidR="00FD0919" w:rsidRPr="00FD0919" w:rsidRDefault="00FD0919" w:rsidP="00CD363C">
      <w:pPr>
        <w:pStyle w:val="Sarakstarindkopa"/>
        <w:widowControl w:val="0"/>
        <w:numPr>
          <w:ilvl w:val="2"/>
          <w:numId w:val="47"/>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D0919">
        <w:rPr>
          <w:rFonts w:ascii="Times New Roman" w:hAnsi="Times New Roman" w:cs="Times New Roman"/>
          <w:sz w:val="24"/>
          <w:szCs w:val="24"/>
        </w:rPr>
        <w:t>pienākums ir atcelts vai tā izpildes termiņš ir</w:t>
      </w:r>
      <w:r w:rsidRPr="00FD0919">
        <w:rPr>
          <w:rFonts w:ascii="Times New Roman" w:hAnsi="Times New Roman" w:cs="Times New Roman"/>
          <w:spacing w:val="-6"/>
          <w:sz w:val="24"/>
          <w:szCs w:val="24"/>
        </w:rPr>
        <w:t xml:space="preserve"> </w:t>
      </w:r>
      <w:r w:rsidRPr="00FD0919">
        <w:rPr>
          <w:rFonts w:ascii="Times New Roman" w:hAnsi="Times New Roman" w:cs="Times New Roman"/>
          <w:sz w:val="24"/>
          <w:szCs w:val="24"/>
        </w:rPr>
        <w:t>beidzies.</w:t>
      </w:r>
    </w:p>
    <w:p w14:paraId="7900827D" w14:textId="77777777" w:rsidR="00FD0919" w:rsidRPr="00F24B0A" w:rsidRDefault="00FD091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24B0A">
        <w:rPr>
          <w:rFonts w:ascii="Times New Roman" w:hAnsi="Times New Roman" w:cs="Times New Roman"/>
          <w:sz w:val="24"/>
          <w:szCs w:val="24"/>
        </w:rPr>
        <w:t>849.   Izslēdzot finanšu saistības, budžeta iestāde veic sekojošu</w:t>
      </w:r>
      <w:r w:rsidRPr="00F24B0A">
        <w:rPr>
          <w:rFonts w:ascii="Times New Roman" w:hAnsi="Times New Roman" w:cs="Times New Roman"/>
          <w:spacing w:val="-6"/>
          <w:sz w:val="24"/>
          <w:szCs w:val="24"/>
        </w:rPr>
        <w:t xml:space="preserve"> </w:t>
      </w:r>
      <w:r w:rsidRPr="00F24B0A">
        <w:rPr>
          <w:rFonts w:ascii="Times New Roman" w:hAnsi="Times New Roman" w:cs="Times New Roman"/>
          <w:sz w:val="24"/>
          <w:szCs w:val="24"/>
        </w:rPr>
        <w:t>grāmatojumu:</w:t>
      </w:r>
    </w:p>
    <w:p w14:paraId="239AF4CA" w14:textId="77777777" w:rsidR="00742F00" w:rsidRPr="00FD0919" w:rsidRDefault="00FD0919"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color w:val="2F5496" w:themeColor="accent1" w:themeShade="BF"/>
          <w:sz w:val="24"/>
          <w:szCs w:val="24"/>
        </w:rPr>
        <w:t xml:space="preserve">    </w:t>
      </w:r>
      <w:r w:rsidRPr="00FD0919">
        <w:rPr>
          <w:rFonts w:ascii="Times New Roman" w:hAnsi="Times New Roman" w:cs="Times New Roman"/>
          <w:b/>
          <w:bCs/>
          <w:sz w:val="24"/>
          <w:szCs w:val="24"/>
        </w:rPr>
        <w:t>D    5114   Iepriekš galvotie ilgtermiņa aizņēmumi</w:t>
      </w:r>
    </w:p>
    <w:p w14:paraId="0AADBB22"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color w:val="2F5496" w:themeColor="accent1" w:themeShade="BF"/>
          <w:sz w:val="24"/>
          <w:szCs w:val="24"/>
        </w:rPr>
        <w:t xml:space="preserve">    </w:t>
      </w:r>
      <w:r w:rsidRPr="00FD0919">
        <w:rPr>
          <w:rFonts w:ascii="Times New Roman" w:hAnsi="Times New Roman" w:cs="Times New Roman"/>
          <w:b/>
          <w:bCs/>
          <w:sz w:val="24"/>
          <w:szCs w:val="24"/>
        </w:rPr>
        <w:t>D    5119   Ilgtermiņa aizņēmumi</w:t>
      </w:r>
    </w:p>
    <w:p w14:paraId="45F0C159"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5171*  Saņemtie ilgtermiņa noguldījumi</w:t>
      </w:r>
    </w:p>
    <w:p w14:paraId="40363D70"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5199   Pārējās iepriekš neklasificētās ilgtermiņa saistības</w:t>
      </w:r>
    </w:p>
    <w:p w14:paraId="7BDFBDD0"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5214   Iepriekš galvotie īstermiņa aizņēmumi un ilgtermiņa aizņēmumu īstermiņa daļa</w:t>
      </w:r>
    </w:p>
    <w:p w14:paraId="5181C361" w14:textId="77777777" w:rsidR="00742F00"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5219    Īstermiņa aizņēmumi un ilgtermiņa aizņēmumu īstermiņa daļa</w:t>
      </w:r>
    </w:p>
    <w:p w14:paraId="7A3152F3"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5521   Saņemtie īstermiņa noguldījumi</w:t>
      </w:r>
    </w:p>
    <w:p w14:paraId="51483800"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5819   Pārējās īstermiņa saistības</w:t>
      </w:r>
    </w:p>
    <w:p w14:paraId="5A993E6D"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K    2600   Naudas līdzekļi</w:t>
      </w:r>
    </w:p>
    <w:p w14:paraId="43FCC10D" w14:textId="77777777" w:rsidR="00FD0919" w:rsidRDefault="00FD0919" w:rsidP="00CD363C">
      <w:pPr>
        <w:spacing w:after="0" w:line="240" w:lineRule="auto"/>
        <w:ind w:left="1474" w:right="407"/>
        <w:jc w:val="both"/>
        <w:rPr>
          <w:i/>
          <w:sz w:val="20"/>
        </w:rPr>
      </w:pPr>
      <w:r>
        <w:rPr>
          <w:i/>
          <w:sz w:val="20"/>
        </w:rPr>
        <w:t>*attiecas tikai uz Valsts kasi</w:t>
      </w:r>
    </w:p>
    <w:p w14:paraId="5286E750" w14:textId="77777777" w:rsidR="00FD0919" w:rsidRPr="00F24B0A" w:rsidRDefault="00FD0919"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CF0F61">
        <w:rPr>
          <w:rFonts w:ascii="Times New Roman" w:hAnsi="Times New Roman" w:cs="Times New Roman"/>
          <w:sz w:val="24"/>
          <w:szCs w:val="24"/>
        </w:rPr>
        <w:t>850</w:t>
      </w:r>
      <w:r w:rsidRPr="00F24B0A">
        <w:rPr>
          <w:rFonts w:ascii="Times New Roman" w:hAnsi="Times New Roman" w:cs="Times New Roman"/>
          <w:sz w:val="24"/>
          <w:szCs w:val="24"/>
        </w:rPr>
        <w:t>.   Ja, mainot līguma nosacījumus, naudas plūsmas pašreizējā diskontētā vērtība, ieskaitot visas samaksātās maksas, atskaitot saņemtās maksas un veicot diskontēšanu ar sākotnējo līgumā noteikto procentu likmi vai sākotnēji noteikto efektīvo procentu likmi, par vismaz 10 procentiem atšķiras no sākotnējo finanšu saistību atlikušās naudas plūsmas pašreizējās vērtības, sākotnējās finanšu saistības izslēdz un atzīst jaunas finanšu saistības un pārskata perioda finanšu ieņēmumus vai izdevumus sekojoši:</w:t>
      </w:r>
    </w:p>
    <w:p w14:paraId="1C64CEDE" w14:textId="77777777" w:rsidR="00FD0919" w:rsidRPr="00F24B0A" w:rsidRDefault="00FD0919" w:rsidP="00CD363C">
      <w:pPr>
        <w:spacing w:after="0" w:line="240" w:lineRule="auto"/>
        <w:ind w:left="338" w:right="407"/>
        <w:jc w:val="both"/>
        <w:rPr>
          <w:rFonts w:ascii="Times New Roman" w:hAnsi="Times New Roman" w:cs="Times New Roman"/>
          <w:i/>
          <w:sz w:val="24"/>
          <w:szCs w:val="24"/>
        </w:rPr>
      </w:pPr>
      <w:r w:rsidRPr="00F24B0A">
        <w:rPr>
          <w:rFonts w:ascii="Times New Roman" w:hAnsi="Times New Roman" w:cs="Times New Roman"/>
          <w:i/>
          <w:sz w:val="24"/>
          <w:szCs w:val="24"/>
        </w:rPr>
        <w:t>Grāmatojums, atzīstot pārskata perioda finanšu ieņēmumus:</w:t>
      </w:r>
    </w:p>
    <w:p w14:paraId="6260D637" w14:textId="77777777" w:rsidR="00CF0F61" w:rsidRPr="00F24B0A" w:rsidRDefault="00CF0F61"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D    5119   Ilgtermiņa aizņēmumi( uzskaites vērtība pie sākotnējiem līguma nosacījumiem)</w:t>
      </w:r>
    </w:p>
    <w:p w14:paraId="3806E555" w14:textId="77777777" w:rsidR="00CF0F61" w:rsidRPr="00F24B0A" w:rsidRDefault="00CF0F61"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K    5119   Ilgtermiņa aizņēmumi ( uzskaites vērtība pie jauniem līguma nosacījumiem)</w:t>
      </w:r>
    </w:p>
    <w:p w14:paraId="7B98B030" w14:textId="77777777" w:rsidR="00CF0F61" w:rsidRPr="00F24B0A" w:rsidRDefault="00CF0F61"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K    8190   Pārējie </w:t>
      </w:r>
      <w:r w:rsidR="00F24B0A" w:rsidRPr="00F24B0A">
        <w:rPr>
          <w:rFonts w:ascii="Times New Roman" w:hAnsi="Times New Roman" w:cs="Times New Roman"/>
          <w:b/>
          <w:bCs/>
          <w:iCs/>
          <w:sz w:val="24"/>
          <w:szCs w:val="24"/>
        </w:rPr>
        <w:t>finanšu ieņēmumi</w:t>
      </w:r>
    </w:p>
    <w:p w14:paraId="2BAC1820" w14:textId="77777777" w:rsidR="00F24B0A" w:rsidRPr="00F24B0A" w:rsidRDefault="00F24B0A" w:rsidP="00CD363C">
      <w:pPr>
        <w:spacing w:after="0" w:line="240" w:lineRule="auto"/>
        <w:ind w:left="338" w:right="407"/>
        <w:jc w:val="both"/>
        <w:rPr>
          <w:rFonts w:ascii="Times New Roman" w:hAnsi="Times New Roman" w:cs="Times New Roman"/>
          <w:i/>
          <w:sz w:val="24"/>
          <w:szCs w:val="24"/>
        </w:rPr>
      </w:pPr>
      <w:r w:rsidRPr="00F24B0A">
        <w:rPr>
          <w:rFonts w:ascii="Times New Roman" w:hAnsi="Times New Roman" w:cs="Times New Roman"/>
          <w:i/>
          <w:sz w:val="24"/>
          <w:szCs w:val="24"/>
        </w:rPr>
        <w:t>Grāmatojums, atzīstot pārskata perioda finanšu izdevumus:</w:t>
      </w:r>
    </w:p>
    <w:p w14:paraId="042652AE" w14:textId="77777777" w:rsidR="00F24B0A" w:rsidRPr="00F24B0A" w:rsidRDefault="00F24B0A"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D    5119   Ilgtermiņa aizņēmumi( uzskaites vērtība pie sākotnējiem līguma nosacījumiem</w:t>
      </w:r>
    </w:p>
    <w:p w14:paraId="4D3E8286" w14:textId="77777777" w:rsidR="00F24B0A" w:rsidRPr="00F24B0A" w:rsidRDefault="00F24B0A"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D    8290   Pārējie finanšu izdevumi</w:t>
      </w:r>
    </w:p>
    <w:p w14:paraId="72223A0D" w14:textId="77777777" w:rsidR="00F24B0A" w:rsidRPr="00F24B0A" w:rsidRDefault="00F24B0A"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K    5119   ilgtermiņa aizņēmumi ( uzskaites vērtība pie jauniem līguma  nosacījumiem)</w:t>
      </w:r>
    </w:p>
    <w:p w14:paraId="2619E9BA" w14:textId="77777777" w:rsidR="003A5D6F" w:rsidRPr="003A5D6F" w:rsidRDefault="003A5D6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3A5D6F">
        <w:rPr>
          <w:rFonts w:ascii="Times New Roman" w:hAnsi="Times New Roman" w:cs="Times New Roman"/>
          <w:sz w:val="24"/>
          <w:szCs w:val="24"/>
        </w:rPr>
        <w:t>851.   Ja no uzskaites izslēdz finanšu saistību daļu, aprēķina izslēdzamās daļas vērtību atbilstoši kopējo finanšu saistību un izslēdzamās daļas relatīvajām patiesajām vērtībām izslēgšanas dienā, tas ir, izslēgšanas</w:t>
      </w:r>
      <w:r w:rsidRPr="003A5D6F">
        <w:rPr>
          <w:rFonts w:ascii="Times New Roman" w:hAnsi="Times New Roman" w:cs="Times New Roman"/>
          <w:spacing w:val="-15"/>
          <w:sz w:val="24"/>
          <w:szCs w:val="24"/>
        </w:rPr>
        <w:t xml:space="preserve"> </w:t>
      </w:r>
      <w:r w:rsidRPr="003A5D6F">
        <w:rPr>
          <w:rFonts w:ascii="Times New Roman" w:hAnsi="Times New Roman" w:cs="Times New Roman"/>
          <w:sz w:val="24"/>
          <w:szCs w:val="24"/>
        </w:rPr>
        <w:t>dienā</w:t>
      </w:r>
      <w:r w:rsidRPr="003A5D6F">
        <w:rPr>
          <w:rFonts w:ascii="Times New Roman" w:hAnsi="Times New Roman" w:cs="Times New Roman"/>
          <w:spacing w:val="-16"/>
          <w:sz w:val="24"/>
          <w:szCs w:val="24"/>
        </w:rPr>
        <w:t xml:space="preserve"> </w:t>
      </w:r>
      <w:r w:rsidRPr="003A5D6F">
        <w:rPr>
          <w:rFonts w:ascii="Times New Roman" w:hAnsi="Times New Roman" w:cs="Times New Roman"/>
          <w:sz w:val="24"/>
          <w:szCs w:val="24"/>
        </w:rPr>
        <w:t>nosaka</w:t>
      </w:r>
      <w:r w:rsidRPr="003A5D6F">
        <w:rPr>
          <w:rFonts w:ascii="Times New Roman" w:hAnsi="Times New Roman" w:cs="Times New Roman"/>
          <w:spacing w:val="-15"/>
          <w:sz w:val="24"/>
          <w:szCs w:val="24"/>
        </w:rPr>
        <w:t xml:space="preserve"> </w:t>
      </w:r>
      <w:r w:rsidRPr="003A5D6F">
        <w:rPr>
          <w:rFonts w:ascii="Times New Roman" w:hAnsi="Times New Roman" w:cs="Times New Roman"/>
          <w:sz w:val="24"/>
          <w:szCs w:val="24"/>
        </w:rPr>
        <w:t>kopējo</w:t>
      </w:r>
      <w:r w:rsidRPr="003A5D6F">
        <w:rPr>
          <w:rFonts w:ascii="Times New Roman" w:hAnsi="Times New Roman" w:cs="Times New Roman"/>
          <w:spacing w:val="-17"/>
          <w:sz w:val="24"/>
          <w:szCs w:val="24"/>
        </w:rPr>
        <w:t xml:space="preserve"> </w:t>
      </w:r>
      <w:r w:rsidRPr="003A5D6F">
        <w:rPr>
          <w:rFonts w:ascii="Times New Roman" w:hAnsi="Times New Roman" w:cs="Times New Roman"/>
          <w:sz w:val="24"/>
          <w:szCs w:val="24"/>
        </w:rPr>
        <w:t>finanšu</w:t>
      </w:r>
      <w:r w:rsidRPr="003A5D6F">
        <w:rPr>
          <w:rFonts w:ascii="Times New Roman" w:hAnsi="Times New Roman" w:cs="Times New Roman"/>
          <w:spacing w:val="-13"/>
          <w:sz w:val="24"/>
          <w:szCs w:val="24"/>
        </w:rPr>
        <w:t xml:space="preserve"> </w:t>
      </w:r>
      <w:r w:rsidRPr="003A5D6F">
        <w:rPr>
          <w:rFonts w:ascii="Times New Roman" w:hAnsi="Times New Roman" w:cs="Times New Roman"/>
          <w:sz w:val="24"/>
          <w:szCs w:val="24"/>
        </w:rPr>
        <w:t>saistību</w:t>
      </w:r>
      <w:r w:rsidRPr="003A5D6F">
        <w:rPr>
          <w:rFonts w:ascii="Times New Roman" w:hAnsi="Times New Roman" w:cs="Times New Roman"/>
          <w:spacing w:val="-14"/>
          <w:sz w:val="24"/>
          <w:szCs w:val="24"/>
        </w:rPr>
        <w:t xml:space="preserve"> </w:t>
      </w:r>
      <w:r w:rsidRPr="003A5D6F">
        <w:rPr>
          <w:rFonts w:ascii="Times New Roman" w:hAnsi="Times New Roman" w:cs="Times New Roman"/>
          <w:sz w:val="24"/>
          <w:szCs w:val="24"/>
        </w:rPr>
        <w:t>patieso</w:t>
      </w:r>
      <w:r w:rsidRPr="003A5D6F">
        <w:rPr>
          <w:rFonts w:ascii="Times New Roman" w:hAnsi="Times New Roman" w:cs="Times New Roman"/>
          <w:spacing w:val="-17"/>
          <w:sz w:val="24"/>
          <w:szCs w:val="24"/>
        </w:rPr>
        <w:t xml:space="preserve"> </w:t>
      </w:r>
      <w:r w:rsidRPr="003A5D6F">
        <w:rPr>
          <w:rFonts w:ascii="Times New Roman" w:hAnsi="Times New Roman" w:cs="Times New Roman"/>
          <w:sz w:val="24"/>
          <w:szCs w:val="24"/>
        </w:rPr>
        <w:t>vērtību</w:t>
      </w:r>
      <w:r w:rsidRPr="003A5D6F">
        <w:rPr>
          <w:rFonts w:ascii="Times New Roman" w:hAnsi="Times New Roman" w:cs="Times New Roman"/>
          <w:spacing w:val="-15"/>
          <w:sz w:val="24"/>
          <w:szCs w:val="24"/>
        </w:rPr>
        <w:t xml:space="preserve"> </w:t>
      </w:r>
      <w:r w:rsidRPr="003A5D6F">
        <w:rPr>
          <w:rFonts w:ascii="Times New Roman" w:hAnsi="Times New Roman" w:cs="Times New Roman"/>
          <w:sz w:val="24"/>
          <w:szCs w:val="24"/>
        </w:rPr>
        <w:t>un</w:t>
      </w:r>
      <w:r w:rsidRPr="003A5D6F">
        <w:rPr>
          <w:rFonts w:ascii="Times New Roman" w:hAnsi="Times New Roman" w:cs="Times New Roman"/>
          <w:spacing w:val="-17"/>
          <w:sz w:val="24"/>
          <w:szCs w:val="24"/>
        </w:rPr>
        <w:t xml:space="preserve"> </w:t>
      </w:r>
      <w:r w:rsidRPr="003A5D6F">
        <w:rPr>
          <w:rFonts w:ascii="Times New Roman" w:hAnsi="Times New Roman" w:cs="Times New Roman"/>
          <w:sz w:val="24"/>
          <w:szCs w:val="24"/>
        </w:rPr>
        <w:t>izslēdz</w:t>
      </w:r>
      <w:r w:rsidRPr="003A5D6F">
        <w:rPr>
          <w:rFonts w:ascii="Times New Roman" w:hAnsi="Times New Roman" w:cs="Times New Roman"/>
          <w:spacing w:val="-16"/>
          <w:sz w:val="24"/>
          <w:szCs w:val="24"/>
        </w:rPr>
        <w:t xml:space="preserve"> </w:t>
      </w:r>
      <w:r w:rsidRPr="003A5D6F">
        <w:rPr>
          <w:rFonts w:ascii="Times New Roman" w:hAnsi="Times New Roman" w:cs="Times New Roman"/>
          <w:sz w:val="24"/>
          <w:szCs w:val="24"/>
        </w:rPr>
        <w:t>attiecīgo</w:t>
      </w:r>
      <w:r w:rsidRPr="003A5D6F">
        <w:rPr>
          <w:rFonts w:ascii="Times New Roman" w:hAnsi="Times New Roman" w:cs="Times New Roman"/>
          <w:spacing w:val="-14"/>
          <w:sz w:val="24"/>
          <w:szCs w:val="24"/>
        </w:rPr>
        <w:t xml:space="preserve"> </w:t>
      </w:r>
      <w:r w:rsidRPr="003A5D6F">
        <w:rPr>
          <w:rFonts w:ascii="Times New Roman" w:hAnsi="Times New Roman" w:cs="Times New Roman"/>
          <w:sz w:val="24"/>
          <w:szCs w:val="24"/>
        </w:rPr>
        <w:t>(procentuālo)</w:t>
      </w:r>
      <w:r w:rsidRPr="003A5D6F">
        <w:rPr>
          <w:rFonts w:ascii="Times New Roman" w:hAnsi="Times New Roman" w:cs="Times New Roman"/>
          <w:spacing w:val="-16"/>
          <w:sz w:val="24"/>
          <w:szCs w:val="24"/>
        </w:rPr>
        <w:t xml:space="preserve"> </w:t>
      </w:r>
      <w:r w:rsidRPr="003A5D6F">
        <w:rPr>
          <w:rFonts w:ascii="Times New Roman" w:hAnsi="Times New Roman" w:cs="Times New Roman"/>
          <w:sz w:val="24"/>
          <w:szCs w:val="24"/>
        </w:rPr>
        <w:t>daļu no noteiktās finanšu saistību patiesās vērtības izslēgšanas</w:t>
      </w:r>
      <w:r w:rsidRPr="003A5D6F">
        <w:rPr>
          <w:rFonts w:ascii="Times New Roman" w:hAnsi="Times New Roman" w:cs="Times New Roman"/>
          <w:spacing w:val="-6"/>
          <w:sz w:val="24"/>
          <w:szCs w:val="24"/>
        </w:rPr>
        <w:t xml:space="preserve"> </w:t>
      </w:r>
      <w:r w:rsidRPr="003A5D6F">
        <w:rPr>
          <w:rFonts w:ascii="Times New Roman" w:hAnsi="Times New Roman" w:cs="Times New Roman"/>
          <w:sz w:val="24"/>
          <w:szCs w:val="24"/>
        </w:rPr>
        <w:t>dienā.</w:t>
      </w:r>
    </w:p>
    <w:p w14:paraId="4B2858B7" w14:textId="77777777" w:rsidR="00CF0F61" w:rsidRPr="00F24B0A" w:rsidRDefault="003A5D6F"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b/>
          <w:bCs/>
          <w:iCs/>
          <w:sz w:val="24"/>
          <w:szCs w:val="24"/>
        </w:rPr>
        <w:t>21.5. Finanšu instrumentu klasifikācijas maiņa</w:t>
      </w:r>
    </w:p>
    <w:p w14:paraId="65E03DA5"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852.   </w:t>
      </w:r>
      <w:r w:rsidR="003A5D6F" w:rsidRPr="00FB6FC1">
        <w:rPr>
          <w:rFonts w:ascii="Times New Roman" w:hAnsi="Times New Roman" w:cs="Times New Roman"/>
          <w:sz w:val="24"/>
          <w:szCs w:val="24"/>
        </w:rPr>
        <w:t>Budžeta iestāde katra pārskata perioda beigās izvērtē finanšu instrumentu klasifikāciju atbilstoši to kategorijām.</w:t>
      </w:r>
    </w:p>
    <w:p w14:paraId="66A9C29F"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853.   </w:t>
      </w:r>
      <w:r w:rsidR="003A5D6F" w:rsidRPr="00FB6FC1">
        <w:rPr>
          <w:rFonts w:ascii="Times New Roman" w:hAnsi="Times New Roman" w:cs="Times New Roman"/>
          <w:sz w:val="24"/>
          <w:szCs w:val="24"/>
        </w:rPr>
        <w:t>Budžeta iestāde veic finanšu instrumentu pārklasifikāciju no vienas kategorijas uz citu kategoriju normatīvajos aktos noteiktajos</w:t>
      </w:r>
      <w:r w:rsidR="003A5D6F" w:rsidRPr="00FB6FC1">
        <w:rPr>
          <w:rFonts w:ascii="Times New Roman" w:hAnsi="Times New Roman" w:cs="Times New Roman"/>
          <w:spacing w:val="-3"/>
          <w:sz w:val="24"/>
          <w:szCs w:val="24"/>
        </w:rPr>
        <w:t xml:space="preserve"> </w:t>
      </w:r>
      <w:r w:rsidR="003A5D6F" w:rsidRPr="00FB6FC1">
        <w:rPr>
          <w:rFonts w:ascii="Times New Roman" w:hAnsi="Times New Roman" w:cs="Times New Roman"/>
          <w:sz w:val="24"/>
          <w:szCs w:val="24"/>
        </w:rPr>
        <w:t>gadījumos.</w:t>
      </w:r>
    </w:p>
    <w:p w14:paraId="199C4C3E"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854.   </w:t>
      </w:r>
      <w:r w:rsidR="003A5D6F" w:rsidRPr="00FB6FC1">
        <w:rPr>
          <w:rFonts w:ascii="Times New Roman" w:hAnsi="Times New Roman" w:cs="Times New Roman"/>
          <w:sz w:val="24"/>
          <w:szCs w:val="24"/>
        </w:rPr>
        <w:t>Budžeta iestāde nedrīkst pārklasificēt finanšu instrumentus sekojošos</w:t>
      </w:r>
      <w:r w:rsidR="003A5D6F" w:rsidRPr="00FB6FC1">
        <w:rPr>
          <w:rFonts w:ascii="Times New Roman" w:hAnsi="Times New Roman" w:cs="Times New Roman"/>
          <w:spacing w:val="-7"/>
          <w:sz w:val="24"/>
          <w:szCs w:val="24"/>
        </w:rPr>
        <w:t xml:space="preserve"> </w:t>
      </w:r>
      <w:r w:rsidR="003A5D6F" w:rsidRPr="00FB6FC1">
        <w:rPr>
          <w:rFonts w:ascii="Times New Roman" w:hAnsi="Times New Roman" w:cs="Times New Roman"/>
          <w:sz w:val="24"/>
          <w:szCs w:val="24"/>
        </w:rPr>
        <w:t>gadījumos:</w:t>
      </w:r>
    </w:p>
    <w:p w14:paraId="1C25B161" w14:textId="77777777" w:rsidR="003A5D6F" w:rsidRPr="00FB6FC1" w:rsidRDefault="003A5D6F" w:rsidP="00CD363C">
      <w:pPr>
        <w:pStyle w:val="Sarakstarindkopa"/>
        <w:widowControl w:val="0"/>
        <w:numPr>
          <w:ilvl w:val="2"/>
          <w:numId w:val="48"/>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B6FC1">
        <w:rPr>
          <w:rFonts w:ascii="Times New Roman" w:hAnsi="Times New Roman" w:cs="Times New Roman"/>
          <w:sz w:val="24"/>
          <w:szCs w:val="24"/>
        </w:rPr>
        <w:t>budžeta iestāde nedrīkst pārklasificēt atvasināto finanšu instrumentu, kamēr tas tiek turēts (ir uzskaitē);</w:t>
      </w:r>
    </w:p>
    <w:p w14:paraId="6D129B52" w14:textId="77777777" w:rsidR="003A5D6F" w:rsidRPr="00FB6FC1" w:rsidRDefault="003A5D6F" w:rsidP="00CD363C">
      <w:pPr>
        <w:pStyle w:val="Sarakstarindkopa"/>
        <w:widowControl w:val="0"/>
        <w:numPr>
          <w:ilvl w:val="2"/>
          <w:numId w:val="48"/>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B6FC1">
        <w:rPr>
          <w:rFonts w:ascii="Times New Roman" w:hAnsi="Times New Roman" w:cs="Times New Roman"/>
          <w:sz w:val="24"/>
          <w:szCs w:val="24"/>
        </w:rPr>
        <w:t>budžeta</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iestāde</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nedrīkst</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veikt</w:t>
      </w:r>
      <w:r w:rsidRPr="00FB6FC1">
        <w:rPr>
          <w:rFonts w:ascii="Times New Roman" w:hAnsi="Times New Roman" w:cs="Times New Roman"/>
          <w:spacing w:val="-3"/>
          <w:sz w:val="24"/>
          <w:szCs w:val="24"/>
        </w:rPr>
        <w:t xml:space="preserve"> </w:t>
      </w:r>
      <w:r w:rsidRPr="00FB6FC1">
        <w:rPr>
          <w:rFonts w:ascii="Times New Roman" w:hAnsi="Times New Roman" w:cs="Times New Roman"/>
          <w:sz w:val="24"/>
          <w:szCs w:val="24"/>
        </w:rPr>
        <w:t>finanšu</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instrumenta</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pārklasifikāciju</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uz</w:t>
      </w:r>
      <w:r w:rsidRPr="00FB6FC1">
        <w:rPr>
          <w:rFonts w:ascii="Times New Roman" w:hAnsi="Times New Roman" w:cs="Times New Roman"/>
          <w:spacing w:val="-7"/>
          <w:sz w:val="24"/>
          <w:szCs w:val="24"/>
        </w:rPr>
        <w:t xml:space="preserve"> </w:t>
      </w:r>
      <w:r w:rsidRPr="00FB6FC1">
        <w:rPr>
          <w:rFonts w:ascii="Times New Roman" w:hAnsi="Times New Roman" w:cs="Times New Roman"/>
          <w:sz w:val="24"/>
          <w:szCs w:val="24"/>
        </w:rPr>
        <w:t>patiesajā</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vērtībā</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novērtētu finanšu instrumentu kategoriju pēc finanšu instrumenta sākotnējās</w:t>
      </w:r>
      <w:r w:rsidRPr="00FB6FC1">
        <w:rPr>
          <w:rFonts w:ascii="Times New Roman" w:hAnsi="Times New Roman" w:cs="Times New Roman"/>
          <w:spacing w:val="-4"/>
          <w:sz w:val="24"/>
          <w:szCs w:val="24"/>
        </w:rPr>
        <w:t xml:space="preserve"> </w:t>
      </w:r>
      <w:r w:rsidRPr="00FB6FC1">
        <w:rPr>
          <w:rFonts w:ascii="Times New Roman" w:hAnsi="Times New Roman" w:cs="Times New Roman"/>
          <w:sz w:val="24"/>
          <w:szCs w:val="24"/>
        </w:rPr>
        <w:t>atzīšanas.</w:t>
      </w:r>
    </w:p>
    <w:p w14:paraId="7DDD84C2"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855.   </w:t>
      </w:r>
      <w:r w:rsidR="003A5D6F" w:rsidRPr="00FB6FC1">
        <w:rPr>
          <w:rFonts w:ascii="Times New Roman" w:hAnsi="Times New Roman" w:cs="Times New Roman"/>
          <w:sz w:val="24"/>
          <w:szCs w:val="24"/>
        </w:rPr>
        <w:t>Ilustratīvi finanšu instrumenta pārklasifikācija attēlota</w:t>
      </w:r>
      <w:r w:rsidR="003A5D6F" w:rsidRPr="00FB6FC1">
        <w:rPr>
          <w:rFonts w:ascii="Times New Roman" w:hAnsi="Times New Roman" w:cs="Times New Roman"/>
          <w:spacing w:val="-2"/>
          <w:sz w:val="24"/>
          <w:szCs w:val="24"/>
        </w:rPr>
        <w:t xml:space="preserve"> </w:t>
      </w:r>
      <w:r w:rsidR="003A5D6F" w:rsidRPr="00FB6FC1">
        <w:rPr>
          <w:rFonts w:ascii="Times New Roman" w:hAnsi="Times New Roman" w:cs="Times New Roman"/>
          <w:sz w:val="24"/>
          <w:szCs w:val="24"/>
        </w:rPr>
        <w:t>3.tabulā.</w:t>
      </w:r>
    </w:p>
    <w:p w14:paraId="363AFCF0" w14:textId="77777777" w:rsidR="00CF0F61" w:rsidRPr="00FB6FC1" w:rsidRDefault="00CF0F61" w:rsidP="00CD363C">
      <w:pPr>
        <w:spacing w:after="0" w:line="240" w:lineRule="auto"/>
        <w:ind w:right="407"/>
        <w:jc w:val="both"/>
        <w:rPr>
          <w:rFonts w:ascii="Times New Roman" w:hAnsi="Times New Roman" w:cs="Times New Roman"/>
          <w:i/>
          <w:sz w:val="24"/>
          <w:szCs w:val="24"/>
        </w:rPr>
      </w:pPr>
    </w:p>
    <w:p w14:paraId="100663C6" w14:textId="77777777" w:rsidR="00FB6FC1" w:rsidRPr="00FB6FC1" w:rsidRDefault="00FB6FC1" w:rsidP="00CD363C">
      <w:pPr>
        <w:widowControl w:val="0"/>
        <w:tabs>
          <w:tab w:val="left" w:pos="6345"/>
        </w:tabs>
        <w:autoSpaceDE w:val="0"/>
        <w:autoSpaceDN w:val="0"/>
        <w:spacing w:after="0" w:line="240" w:lineRule="auto"/>
        <w:ind w:left="186" w:right="407"/>
        <w:jc w:val="both"/>
        <w:rPr>
          <w:rFonts w:ascii="Times New Roman" w:hAnsi="Times New Roman" w:cs="Times New Roman"/>
          <w:i/>
          <w:sz w:val="24"/>
          <w:szCs w:val="24"/>
        </w:rPr>
      </w:pPr>
      <w:r w:rsidRPr="00FB6FC1">
        <w:rPr>
          <w:rFonts w:ascii="Times New Roman" w:hAnsi="Times New Roman" w:cs="Times New Roman"/>
          <w:i/>
          <w:iCs/>
          <w:sz w:val="24"/>
          <w:szCs w:val="24"/>
        </w:rPr>
        <w:t>3.tabula</w:t>
      </w:r>
      <w:r w:rsidR="00FD0919" w:rsidRPr="00FB6FC1">
        <w:rPr>
          <w:rFonts w:ascii="Times New Roman" w:hAnsi="Times New Roman" w:cs="Times New Roman"/>
          <w:sz w:val="24"/>
          <w:szCs w:val="24"/>
        </w:rPr>
        <w:t xml:space="preserve"> </w:t>
      </w:r>
      <w:r w:rsidRPr="00FB6FC1">
        <w:rPr>
          <w:rFonts w:ascii="Times New Roman" w:hAnsi="Times New Roman" w:cs="Times New Roman"/>
          <w:i/>
          <w:sz w:val="24"/>
          <w:szCs w:val="24"/>
        </w:rPr>
        <w:t>Finanšu instrumentu</w:t>
      </w:r>
      <w:r w:rsidRPr="00FB6FC1">
        <w:rPr>
          <w:rFonts w:ascii="Times New Roman" w:hAnsi="Times New Roman" w:cs="Times New Roman"/>
          <w:i/>
          <w:spacing w:val="-6"/>
          <w:sz w:val="24"/>
          <w:szCs w:val="24"/>
        </w:rPr>
        <w:t xml:space="preserve"> </w:t>
      </w:r>
      <w:r w:rsidRPr="00FB6FC1">
        <w:rPr>
          <w:rFonts w:ascii="Times New Roman" w:hAnsi="Times New Roman" w:cs="Times New Roman"/>
          <w:i/>
          <w:sz w:val="24"/>
          <w:szCs w:val="24"/>
        </w:rPr>
        <w:t>pārklasifikācija</w:t>
      </w: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8"/>
        <w:gridCol w:w="1702"/>
        <w:gridCol w:w="1601"/>
        <w:gridCol w:w="1673"/>
        <w:gridCol w:w="1672"/>
        <w:gridCol w:w="1610"/>
      </w:tblGrid>
      <w:tr w:rsidR="00FB6FC1" w14:paraId="4893B6FC" w14:textId="77777777" w:rsidTr="007363E8">
        <w:trPr>
          <w:trHeight w:val="230"/>
        </w:trPr>
        <w:tc>
          <w:tcPr>
            <w:tcW w:w="3120" w:type="dxa"/>
            <w:gridSpan w:val="2"/>
            <w:tcBorders>
              <w:top w:val="nil"/>
              <w:left w:val="nil"/>
              <w:bottom w:val="nil"/>
            </w:tcBorders>
          </w:tcPr>
          <w:p w14:paraId="602E5B93" w14:textId="77777777" w:rsidR="00FB6FC1" w:rsidRDefault="00FB6FC1" w:rsidP="00CD363C">
            <w:pPr>
              <w:pStyle w:val="TableParagraph"/>
              <w:ind w:right="407"/>
              <w:jc w:val="both"/>
              <w:rPr>
                <w:sz w:val="16"/>
              </w:rPr>
            </w:pPr>
          </w:p>
        </w:tc>
        <w:tc>
          <w:tcPr>
            <w:tcW w:w="6556" w:type="dxa"/>
            <w:gridSpan w:val="4"/>
            <w:shd w:val="clear" w:color="auto" w:fill="F1F1F1"/>
          </w:tcPr>
          <w:p w14:paraId="6D7BFC87" w14:textId="77777777" w:rsidR="00FB6FC1" w:rsidRDefault="00FB6FC1" w:rsidP="00CD363C">
            <w:pPr>
              <w:pStyle w:val="TableParagraph"/>
              <w:ind w:left="2493" w:right="407"/>
              <w:jc w:val="both"/>
              <w:rPr>
                <w:b/>
                <w:sz w:val="20"/>
              </w:rPr>
            </w:pPr>
            <w:r>
              <w:rPr>
                <w:b/>
                <w:sz w:val="20"/>
              </w:rPr>
              <w:t>Pārklasificēts uz:</w:t>
            </w:r>
          </w:p>
        </w:tc>
      </w:tr>
      <w:tr w:rsidR="00FB6FC1" w14:paraId="4AF9F74B" w14:textId="77777777" w:rsidTr="007363E8">
        <w:trPr>
          <w:trHeight w:val="1152"/>
        </w:trPr>
        <w:tc>
          <w:tcPr>
            <w:tcW w:w="3120" w:type="dxa"/>
            <w:gridSpan w:val="2"/>
            <w:tcBorders>
              <w:top w:val="nil"/>
              <w:left w:val="nil"/>
            </w:tcBorders>
          </w:tcPr>
          <w:p w14:paraId="65DFC9C5" w14:textId="77777777" w:rsidR="00FB6FC1" w:rsidRDefault="00FB6FC1" w:rsidP="00CD363C">
            <w:pPr>
              <w:pStyle w:val="TableParagraph"/>
              <w:ind w:right="407"/>
              <w:jc w:val="both"/>
              <w:rPr>
                <w:sz w:val="20"/>
              </w:rPr>
            </w:pPr>
          </w:p>
        </w:tc>
        <w:tc>
          <w:tcPr>
            <w:tcW w:w="1601" w:type="dxa"/>
            <w:shd w:val="clear" w:color="auto" w:fill="F1F1F1"/>
          </w:tcPr>
          <w:p w14:paraId="554C7DCE" w14:textId="77777777" w:rsidR="00FB6FC1" w:rsidRDefault="00FB6FC1" w:rsidP="00CD363C">
            <w:pPr>
              <w:pStyle w:val="TableParagraph"/>
              <w:ind w:right="407"/>
              <w:jc w:val="both"/>
              <w:rPr>
                <w:i/>
                <w:sz w:val="30"/>
              </w:rPr>
            </w:pPr>
          </w:p>
          <w:p w14:paraId="72832F9C" w14:textId="77777777" w:rsidR="00FB6FC1" w:rsidRDefault="00FB6FC1" w:rsidP="00CD363C">
            <w:pPr>
              <w:pStyle w:val="TableParagraph"/>
              <w:ind w:left="151" w:right="407" w:firstLine="60"/>
              <w:jc w:val="both"/>
              <w:rPr>
                <w:b/>
                <w:sz w:val="20"/>
              </w:rPr>
            </w:pPr>
            <w:r>
              <w:rPr>
                <w:b/>
                <w:sz w:val="20"/>
              </w:rPr>
              <w:t>Līdz termiņa beigām turētie</w:t>
            </w:r>
          </w:p>
        </w:tc>
        <w:tc>
          <w:tcPr>
            <w:tcW w:w="1673" w:type="dxa"/>
            <w:shd w:val="clear" w:color="auto" w:fill="F1F1F1"/>
          </w:tcPr>
          <w:p w14:paraId="2DC66377" w14:textId="77777777" w:rsidR="00FB6FC1" w:rsidRDefault="00FB6FC1" w:rsidP="00CD363C">
            <w:pPr>
              <w:pStyle w:val="TableParagraph"/>
              <w:ind w:right="407"/>
              <w:jc w:val="both"/>
              <w:rPr>
                <w:i/>
                <w:sz w:val="30"/>
              </w:rPr>
            </w:pPr>
          </w:p>
          <w:p w14:paraId="2EE2A65F" w14:textId="77777777" w:rsidR="00FB6FC1" w:rsidRDefault="00FB6FC1" w:rsidP="00CD363C">
            <w:pPr>
              <w:pStyle w:val="TableParagraph"/>
              <w:ind w:left="446" w:right="407" w:hanging="236"/>
              <w:jc w:val="both"/>
              <w:rPr>
                <w:b/>
                <w:sz w:val="20"/>
              </w:rPr>
            </w:pPr>
            <w:r>
              <w:rPr>
                <w:b/>
                <w:sz w:val="20"/>
              </w:rPr>
              <w:t>Aizdevumi un prasības</w:t>
            </w:r>
          </w:p>
        </w:tc>
        <w:tc>
          <w:tcPr>
            <w:tcW w:w="1672" w:type="dxa"/>
            <w:shd w:val="clear" w:color="auto" w:fill="F1F1F1"/>
          </w:tcPr>
          <w:p w14:paraId="481551B2" w14:textId="77777777" w:rsidR="00FB6FC1" w:rsidRDefault="00FB6FC1" w:rsidP="00CD363C">
            <w:pPr>
              <w:pStyle w:val="TableParagraph"/>
              <w:ind w:right="407"/>
              <w:jc w:val="both"/>
              <w:rPr>
                <w:i/>
                <w:sz w:val="20"/>
              </w:rPr>
            </w:pPr>
          </w:p>
          <w:p w14:paraId="74EBE291" w14:textId="77777777" w:rsidR="00FB6FC1" w:rsidRDefault="00FB6FC1" w:rsidP="00CD363C">
            <w:pPr>
              <w:pStyle w:val="TableParagraph"/>
              <w:ind w:left="221" w:right="407" w:firstLine="2"/>
              <w:jc w:val="both"/>
              <w:rPr>
                <w:b/>
                <w:sz w:val="20"/>
              </w:rPr>
            </w:pPr>
            <w:r>
              <w:rPr>
                <w:b/>
                <w:sz w:val="20"/>
              </w:rPr>
              <w:t>Pārdošanai pieejami finanšu aktīvi</w:t>
            </w:r>
          </w:p>
        </w:tc>
        <w:tc>
          <w:tcPr>
            <w:tcW w:w="1610" w:type="dxa"/>
            <w:shd w:val="clear" w:color="auto" w:fill="F1F1F1"/>
          </w:tcPr>
          <w:p w14:paraId="185FCAC4" w14:textId="77777777" w:rsidR="00FB6FC1" w:rsidRDefault="00FB6FC1" w:rsidP="00CD363C">
            <w:pPr>
              <w:pStyle w:val="TableParagraph"/>
              <w:ind w:left="349" w:right="407" w:hanging="2"/>
              <w:jc w:val="both"/>
              <w:rPr>
                <w:b/>
                <w:sz w:val="20"/>
              </w:rPr>
            </w:pPr>
            <w:r>
              <w:rPr>
                <w:b/>
                <w:sz w:val="20"/>
              </w:rPr>
              <w:t xml:space="preserve">Patiesajā vērtībā </w:t>
            </w:r>
            <w:r>
              <w:rPr>
                <w:b/>
                <w:w w:val="95"/>
                <w:sz w:val="20"/>
              </w:rPr>
              <w:t xml:space="preserve">novērtētie </w:t>
            </w:r>
            <w:r>
              <w:rPr>
                <w:b/>
                <w:sz w:val="20"/>
              </w:rPr>
              <w:t>finanšu</w:t>
            </w:r>
          </w:p>
          <w:p w14:paraId="2DF27EDF" w14:textId="77777777" w:rsidR="00FB6FC1" w:rsidRDefault="00FB6FC1" w:rsidP="00CD363C">
            <w:pPr>
              <w:pStyle w:val="TableParagraph"/>
              <w:ind w:left="257" w:right="407"/>
              <w:jc w:val="both"/>
              <w:rPr>
                <w:b/>
                <w:sz w:val="20"/>
              </w:rPr>
            </w:pPr>
            <w:r>
              <w:rPr>
                <w:b/>
                <w:sz w:val="20"/>
              </w:rPr>
              <w:t>instrumenti</w:t>
            </w:r>
          </w:p>
        </w:tc>
      </w:tr>
      <w:tr w:rsidR="00FB6FC1" w14:paraId="46F83195" w14:textId="77777777" w:rsidTr="007363E8">
        <w:trPr>
          <w:trHeight w:val="1970"/>
        </w:trPr>
        <w:tc>
          <w:tcPr>
            <w:tcW w:w="1418" w:type="dxa"/>
            <w:vMerge w:val="restart"/>
            <w:shd w:val="clear" w:color="auto" w:fill="EBF3F9"/>
          </w:tcPr>
          <w:p w14:paraId="7290E09E" w14:textId="77777777" w:rsidR="00FB6FC1" w:rsidRDefault="00FB6FC1" w:rsidP="00CD363C">
            <w:pPr>
              <w:pStyle w:val="TableParagraph"/>
              <w:ind w:right="407"/>
              <w:jc w:val="both"/>
              <w:rPr>
                <w:i/>
              </w:rPr>
            </w:pPr>
          </w:p>
          <w:p w14:paraId="3B060E93" w14:textId="77777777" w:rsidR="00FB6FC1" w:rsidRDefault="00FB6FC1" w:rsidP="00CD363C">
            <w:pPr>
              <w:pStyle w:val="TableParagraph"/>
              <w:ind w:right="407"/>
              <w:jc w:val="both"/>
              <w:rPr>
                <w:i/>
              </w:rPr>
            </w:pPr>
          </w:p>
          <w:p w14:paraId="7269FCEF" w14:textId="77777777" w:rsidR="00FB6FC1" w:rsidRDefault="00FB6FC1" w:rsidP="00CD363C">
            <w:pPr>
              <w:pStyle w:val="TableParagraph"/>
              <w:ind w:right="407"/>
              <w:jc w:val="both"/>
              <w:rPr>
                <w:i/>
              </w:rPr>
            </w:pPr>
          </w:p>
          <w:p w14:paraId="67194D5D" w14:textId="77777777" w:rsidR="00FB6FC1" w:rsidRDefault="00FB6FC1" w:rsidP="00CD363C">
            <w:pPr>
              <w:pStyle w:val="TableParagraph"/>
              <w:ind w:right="407"/>
              <w:jc w:val="both"/>
              <w:rPr>
                <w:i/>
              </w:rPr>
            </w:pPr>
          </w:p>
          <w:p w14:paraId="50B9E265" w14:textId="77777777" w:rsidR="00FB6FC1" w:rsidRDefault="00FB6FC1" w:rsidP="00CD363C">
            <w:pPr>
              <w:pStyle w:val="TableParagraph"/>
              <w:ind w:right="407"/>
              <w:jc w:val="both"/>
              <w:rPr>
                <w:i/>
              </w:rPr>
            </w:pPr>
          </w:p>
          <w:p w14:paraId="062F0EF7" w14:textId="77777777" w:rsidR="00FB6FC1" w:rsidRDefault="00FB6FC1" w:rsidP="00CD363C">
            <w:pPr>
              <w:pStyle w:val="TableParagraph"/>
              <w:ind w:right="407"/>
              <w:jc w:val="both"/>
              <w:rPr>
                <w:i/>
              </w:rPr>
            </w:pPr>
          </w:p>
          <w:p w14:paraId="565DDE24" w14:textId="77777777" w:rsidR="00FB6FC1" w:rsidRDefault="00FB6FC1" w:rsidP="00CD363C">
            <w:pPr>
              <w:pStyle w:val="TableParagraph"/>
              <w:ind w:right="407"/>
              <w:jc w:val="both"/>
              <w:rPr>
                <w:i/>
              </w:rPr>
            </w:pPr>
          </w:p>
          <w:p w14:paraId="6A1FDEB2" w14:textId="77777777" w:rsidR="00FB6FC1" w:rsidRDefault="00FB6FC1" w:rsidP="00CD363C">
            <w:pPr>
              <w:pStyle w:val="TableParagraph"/>
              <w:ind w:right="407"/>
              <w:jc w:val="both"/>
              <w:rPr>
                <w:i/>
              </w:rPr>
            </w:pPr>
          </w:p>
          <w:p w14:paraId="63AF47C6" w14:textId="77777777" w:rsidR="00FB6FC1" w:rsidRDefault="00FB6FC1" w:rsidP="00CD363C">
            <w:pPr>
              <w:pStyle w:val="TableParagraph"/>
              <w:ind w:right="407"/>
              <w:jc w:val="both"/>
              <w:rPr>
                <w:i/>
              </w:rPr>
            </w:pPr>
          </w:p>
          <w:p w14:paraId="56617376" w14:textId="77777777" w:rsidR="00FB6FC1" w:rsidRDefault="00FB6FC1" w:rsidP="00CD363C">
            <w:pPr>
              <w:pStyle w:val="TableParagraph"/>
              <w:ind w:right="407"/>
              <w:jc w:val="both"/>
              <w:rPr>
                <w:i/>
                <w:sz w:val="32"/>
              </w:rPr>
            </w:pPr>
          </w:p>
          <w:p w14:paraId="73974B5C" w14:textId="77777777" w:rsidR="00FB6FC1" w:rsidRDefault="00FB6FC1" w:rsidP="00CD363C">
            <w:pPr>
              <w:pStyle w:val="TableParagraph"/>
              <w:ind w:left="621" w:right="407" w:hanging="437"/>
              <w:jc w:val="both"/>
              <w:rPr>
                <w:b/>
                <w:sz w:val="20"/>
              </w:rPr>
            </w:pPr>
            <w:r>
              <w:rPr>
                <w:b/>
                <w:w w:val="95"/>
                <w:sz w:val="20"/>
              </w:rPr>
              <w:t xml:space="preserve">Pārklasificēts </w:t>
            </w:r>
            <w:r>
              <w:rPr>
                <w:b/>
                <w:sz w:val="20"/>
              </w:rPr>
              <w:t>no:</w:t>
            </w:r>
          </w:p>
        </w:tc>
        <w:tc>
          <w:tcPr>
            <w:tcW w:w="1702" w:type="dxa"/>
            <w:shd w:val="clear" w:color="auto" w:fill="EBF3F9"/>
          </w:tcPr>
          <w:p w14:paraId="0E32EBEE" w14:textId="77777777" w:rsidR="00FB6FC1" w:rsidRDefault="00FB6FC1" w:rsidP="00CD363C">
            <w:pPr>
              <w:pStyle w:val="TableParagraph"/>
              <w:ind w:left="309" w:right="407" w:firstLine="3"/>
              <w:jc w:val="both"/>
              <w:rPr>
                <w:b/>
                <w:sz w:val="20"/>
              </w:rPr>
            </w:pPr>
            <w:r>
              <w:rPr>
                <w:b/>
                <w:sz w:val="20"/>
              </w:rPr>
              <w:t xml:space="preserve">Patiesajā vērtībā novērtētie finanšu instrumenti (turēti </w:t>
            </w:r>
            <w:r>
              <w:rPr>
                <w:b/>
                <w:w w:val="95"/>
                <w:sz w:val="20"/>
              </w:rPr>
              <w:t>pārdošanai)</w:t>
            </w:r>
          </w:p>
        </w:tc>
        <w:tc>
          <w:tcPr>
            <w:tcW w:w="1601" w:type="dxa"/>
          </w:tcPr>
          <w:p w14:paraId="5291C554" w14:textId="77777777" w:rsidR="00FB6FC1" w:rsidRDefault="00FB6FC1" w:rsidP="00CD363C">
            <w:pPr>
              <w:pStyle w:val="TableParagraph"/>
              <w:ind w:right="407"/>
              <w:jc w:val="both"/>
              <w:rPr>
                <w:i/>
                <w:sz w:val="25"/>
              </w:rPr>
            </w:pPr>
          </w:p>
          <w:p w14:paraId="3D4C0660" w14:textId="77777777" w:rsidR="00FB6FC1" w:rsidRDefault="00FB6FC1" w:rsidP="00CD363C">
            <w:pPr>
              <w:pStyle w:val="TableParagraph"/>
              <w:ind w:left="105" w:right="407"/>
              <w:jc w:val="both"/>
              <w:rPr>
                <w:sz w:val="20"/>
              </w:rPr>
            </w:pPr>
            <w:r>
              <w:rPr>
                <w:sz w:val="20"/>
              </w:rPr>
              <w:t>Novērtē patiesajā vērtībā* pārklasifikācijas dienā</w:t>
            </w:r>
          </w:p>
          <w:p w14:paraId="289D6911" w14:textId="77777777" w:rsidR="00FB6FC1" w:rsidRDefault="00FB6FC1" w:rsidP="00CD363C">
            <w:pPr>
              <w:pStyle w:val="TableParagraph"/>
              <w:ind w:left="105" w:right="407"/>
              <w:jc w:val="both"/>
              <w:rPr>
                <w:sz w:val="20"/>
              </w:rPr>
            </w:pPr>
            <w:r>
              <w:rPr>
                <w:sz w:val="20"/>
              </w:rPr>
              <w:t>(10.5.2.)</w:t>
            </w:r>
          </w:p>
        </w:tc>
        <w:tc>
          <w:tcPr>
            <w:tcW w:w="1673" w:type="dxa"/>
          </w:tcPr>
          <w:p w14:paraId="39D48300" w14:textId="77777777" w:rsidR="00FB6FC1" w:rsidRDefault="00FB6FC1" w:rsidP="00CD363C">
            <w:pPr>
              <w:pStyle w:val="TableParagraph"/>
              <w:ind w:right="407"/>
              <w:jc w:val="both"/>
              <w:rPr>
                <w:i/>
              </w:rPr>
            </w:pPr>
          </w:p>
          <w:p w14:paraId="28B257F7" w14:textId="77777777" w:rsidR="00FB6FC1" w:rsidRDefault="00FB6FC1" w:rsidP="00CD363C">
            <w:pPr>
              <w:pStyle w:val="TableParagraph"/>
              <w:ind w:left="108" w:right="407"/>
              <w:jc w:val="both"/>
              <w:rPr>
                <w:sz w:val="20"/>
              </w:rPr>
            </w:pPr>
            <w:r>
              <w:rPr>
                <w:sz w:val="20"/>
              </w:rPr>
              <w:t>Novērtē patiesajā vērtībā* pārklasifikācijas dienā</w:t>
            </w:r>
          </w:p>
          <w:p w14:paraId="5CE564B6" w14:textId="77777777" w:rsidR="00FB6FC1" w:rsidRDefault="00FB6FC1" w:rsidP="00CD363C">
            <w:pPr>
              <w:pStyle w:val="TableParagraph"/>
              <w:ind w:left="108" w:right="407"/>
              <w:jc w:val="both"/>
              <w:rPr>
                <w:sz w:val="20"/>
              </w:rPr>
            </w:pPr>
            <w:r>
              <w:rPr>
                <w:sz w:val="20"/>
              </w:rPr>
              <w:t>(10.5.1.)</w:t>
            </w:r>
          </w:p>
        </w:tc>
        <w:tc>
          <w:tcPr>
            <w:tcW w:w="1672" w:type="dxa"/>
          </w:tcPr>
          <w:p w14:paraId="67558CFB" w14:textId="77777777" w:rsidR="00FB6FC1" w:rsidRDefault="00FB6FC1" w:rsidP="00CD363C">
            <w:pPr>
              <w:pStyle w:val="TableParagraph"/>
              <w:ind w:right="407"/>
              <w:jc w:val="both"/>
              <w:rPr>
                <w:i/>
              </w:rPr>
            </w:pPr>
          </w:p>
          <w:p w14:paraId="580E647B" w14:textId="77777777" w:rsidR="00FB6FC1" w:rsidRDefault="00FB6FC1" w:rsidP="00CD363C">
            <w:pPr>
              <w:pStyle w:val="TableParagraph"/>
              <w:ind w:left="108" w:right="407"/>
              <w:jc w:val="both"/>
              <w:rPr>
                <w:sz w:val="20"/>
              </w:rPr>
            </w:pPr>
            <w:r>
              <w:rPr>
                <w:sz w:val="20"/>
              </w:rPr>
              <w:t>Novērtē patiesajā vērtībā* pārklasifikācijas dienā</w:t>
            </w:r>
          </w:p>
          <w:p w14:paraId="3B31A0B8" w14:textId="77777777" w:rsidR="00FB6FC1" w:rsidRDefault="00FB6FC1" w:rsidP="00CD363C">
            <w:pPr>
              <w:pStyle w:val="TableParagraph"/>
              <w:ind w:left="108" w:right="407"/>
              <w:jc w:val="both"/>
              <w:rPr>
                <w:sz w:val="20"/>
              </w:rPr>
            </w:pPr>
            <w:r>
              <w:rPr>
                <w:sz w:val="20"/>
              </w:rPr>
              <w:t>(10.5.2.)</w:t>
            </w:r>
          </w:p>
        </w:tc>
        <w:tc>
          <w:tcPr>
            <w:tcW w:w="1610" w:type="dxa"/>
            <w:shd w:val="clear" w:color="auto" w:fill="EBF3F9"/>
          </w:tcPr>
          <w:p w14:paraId="79EF8B1B" w14:textId="77777777" w:rsidR="00FB6FC1" w:rsidRDefault="00FB6FC1" w:rsidP="00CD363C">
            <w:pPr>
              <w:pStyle w:val="TableParagraph"/>
              <w:ind w:right="407"/>
              <w:jc w:val="both"/>
              <w:rPr>
                <w:i/>
              </w:rPr>
            </w:pPr>
          </w:p>
          <w:p w14:paraId="75B889F5" w14:textId="77777777" w:rsidR="00FB6FC1" w:rsidRDefault="00FB6FC1" w:rsidP="00CD363C">
            <w:pPr>
              <w:pStyle w:val="TableParagraph"/>
              <w:ind w:right="407"/>
              <w:jc w:val="both"/>
              <w:rPr>
                <w:i/>
              </w:rPr>
            </w:pPr>
          </w:p>
          <w:p w14:paraId="439185A6" w14:textId="77777777" w:rsidR="00FB6FC1" w:rsidRDefault="00FB6FC1" w:rsidP="00CD363C">
            <w:pPr>
              <w:pStyle w:val="TableParagraph"/>
              <w:ind w:right="407"/>
              <w:jc w:val="both"/>
              <w:rPr>
                <w:i/>
                <w:sz w:val="31"/>
              </w:rPr>
            </w:pPr>
          </w:p>
          <w:p w14:paraId="40C0FEB5" w14:textId="77777777" w:rsidR="00FB6FC1" w:rsidRDefault="00FB6FC1" w:rsidP="00CD363C">
            <w:pPr>
              <w:pStyle w:val="TableParagraph"/>
              <w:ind w:left="109" w:right="407"/>
              <w:jc w:val="both"/>
              <w:rPr>
                <w:sz w:val="20"/>
              </w:rPr>
            </w:pPr>
            <w:r>
              <w:rPr>
                <w:sz w:val="20"/>
              </w:rPr>
              <w:t>n/a</w:t>
            </w:r>
          </w:p>
        </w:tc>
      </w:tr>
      <w:tr w:rsidR="00FB6FC1" w14:paraId="57A0479C" w14:textId="77777777" w:rsidTr="007363E8">
        <w:trPr>
          <w:trHeight w:val="1545"/>
        </w:trPr>
        <w:tc>
          <w:tcPr>
            <w:tcW w:w="1418" w:type="dxa"/>
            <w:vMerge/>
            <w:tcBorders>
              <w:top w:val="nil"/>
            </w:tcBorders>
            <w:shd w:val="clear" w:color="auto" w:fill="EBF3F9"/>
          </w:tcPr>
          <w:p w14:paraId="3A92F413" w14:textId="77777777" w:rsidR="00FB6FC1" w:rsidRDefault="00FB6FC1" w:rsidP="00CD363C">
            <w:pPr>
              <w:spacing w:after="0" w:line="240" w:lineRule="auto"/>
              <w:ind w:right="407"/>
              <w:jc w:val="both"/>
              <w:rPr>
                <w:sz w:val="2"/>
                <w:szCs w:val="2"/>
              </w:rPr>
            </w:pPr>
          </w:p>
        </w:tc>
        <w:tc>
          <w:tcPr>
            <w:tcW w:w="1702" w:type="dxa"/>
            <w:shd w:val="clear" w:color="auto" w:fill="EBF3F9"/>
          </w:tcPr>
          <w:p w14:paraId="32AA59AA" w14:textId="77777777" w:rsidR="00FB6FC1" w:rsidRDefault="00FB6FC1" w:rsidP="00CD363C">
            <w:pPr>
              <w:pStyle w:val="TableParagraph"/>
              <w:ind w:right="407"/>
              <w:jc w:val="both"/>
              <w:rPr>
                <w:i/>
              </w:rPr>
            </w:pPr>
          </w:p>
          <w:p w14:paraId="4C3EA3A7" w14:textId="77777777" w:rsidR="00FB6FC1" w:rsidRDefault="00FB6FC1" w:rsidP="00CD363C">
            <w:pPr>
              <w:pStyle w:val="TableParagraph"/>
              <w:ind w:left="94" w:right="407"/>
              <w:jc w:val="both"/>
              <w:rPr>
                <w:b/>
                <w:sz w:val="20"/>
              </w:rPr>
            </w:pPr>
            <w:r>
              <w:rPr>
                <w:b/>
                <w:sz w:val="20"/>
              </w:rPr>
              <w:t>Līdz termiņa beigām turētie ieguldījumi</w:t>
            </w:r>
          </w:p>
        </w:tc>
        <w:tc>
          <w:tcPr>
            <w:tcW w:w="1601" w:type="dxa"/>
            <w:shd w:val="clear" w:color="auto" w:fill="EBF3F9"/>
          </w:tcPr>
          <w:p w14:paraId="1A190FCB" w14:textId="77777777" w:rsidR="00FB6FC1" w:rsidRDefault="00FB6FC1" w:rsidP="00CD363C">
            <w:pPr>
              <w:pStyle w:val="TableParagraph"/>
              <w:ind w:right="407"/>
              <w:jc w:val="both"/>
              <w:rPr>
                <w:i/>
              </w:rPr>
            </w:pPr>
          </w:p>
          <w:p w14:paraId="4E7F9538" w14:textId="77777777" w:rsidR="00FB6FC1" w:rsidRDefault="00FB6FC1" w:rsidP="00CD363C">
            <w:pPr>
              <w:pStyle w:val="TableParagraph"/>
              <w:ind w:right="407"/>
              <w:jc w:val="both"/>
              <w:rPr>
                <w:i/>
              </w:rPr>
            </w:pPr>
          </w:p>
          <w:p w14:paraId="0F8C6136" w14:textId="77777777" w:rsidR="00FB6FC1" w:rsidRDefault="00FB6FC1" w:rsidP="00CD363C">
            <w:pPr>
              <w:pStyle w:val="TableParagraph"/>
              <w:ind w:left="105" w:right="407"/>
              <w:jc w:val="both"/>
              <w:rPr>
                <w:sz w:val="20"/>
              </w:rPr>
            </w:pPr>
            <w:r>
              <w:rPr>
                <w:sz w:val="20"/>
              </w:rPr>
              <w:t>n/a</w:t>
            </w:r>
          </w:p>
        </w:tc>
        <w:tc>
          <w:tcPr>
            <w:tcW w:w="1673" w:type="dxa"/>
            <w:shd w:val="clear" w:color="auto" w:fill="EBF3F9"/>
          </w:tcPr>
          <w:p w14:paraId="1779FC42" w14:textId="77777777" w:rsidR="00FB6FC1" w:rsidRDefault="00FB6FC1" w:rsidP="00CD363C">
            <w:pPr>
              <w:pStyle w:val="TableParagraph"/>
              <w:ind w:right="407"/>
              <w:jc w:val="both"/>
              <w:rPr>
                <w:i/>
              </w:rPr>
            </w:pPr>
          </w:p>
          <w:p w14:paraId="3DCF26D3" w14:textId="77777777" w:rsidR="00FB6FC1" w:rsidRDefault="00FB6FC1" w:rsidP="00CD363C">
            <w:pPr>
              <w:pStyle w:val="TableParagraph"/>
              <w:ind w:right="407"/>
              <w:jc w:val="both"/>
              <w:rPr>
                <w:i/>
              </w:rPr>
            </w:pPr>
          </w:p>
          <w:p w14:paraId="4F1144FE" w14:textId="77777777" w:rsidR="00FB6FC1" w:rsidRDefault="00FB6FC1" w:rsidP="00CD363C">
            <w:pPr>
              <w:pStyle w:val="TableParagraph"/>
              <w:ind w:left="108" w:right="407"/>
              <w:jc w:val="both"/>
              <w:rPr>
                <w:sz w:val="20"/>
              </w:rPr>
            </w:pPr>
            <w:r>
              <w:rPr>
                <w:sz w:val="20"/>
              </w:rPr>
              <w:t>n/a</w:t>
            </w:r>
          </w:p>
        </w:tc>
        <w:tc>
          <w:tcPr>
            <w:tcW w:w="1672" w:type="dxa"/>
          </w:tcPr>
          <w:p w14:paraId="6490A408" w14:textId="77777777" w:rsidR="00FB6FC1" w:rsidRDefault="00FB6FC1" w:rsidP="00CD363C">
            <w:pPr>
              <w:pStyle w:val="TableParagraph"/>
              <w:ind w:left="108" w:right="407"/>
              <w:jc w:val="both"/>
              <w:rPr>
                <w:sz w:val="20"/>
              </w:rPr>
            </w:pPr>
            <w:r>
              <w:rPr>
                <w:sz w:val="20"/>
              </w:rPr>
              <w:t>Novērtē patiesajā vērtībā** pārklasifikācijas dienā</w:t>
            </w:r>
          </w:p>
          <w:p w14:paraId="1BF1A5FE" w14:textId="77777777" w:rsidR="00FB6FC1" w:rsidRDefault="00FB6FC1" w:rsidP="00CD363C">
            <w:pPr>
              <w:pStyle w:val="TableParagraph"/>
              <w:ind w:left="108" w:right="407"/>
              <w:jc w:val="both"/>
              <w:rPr>
                <w:sz w:val="20"/>
              </w:rPr>
            </w:pPr>
            <w:r>
              <w:rPr>
                <w:sz w:val="20"/>
              </w:rPr>
              <w:t>(10.5.3.)</w:t>
            </w:r>
          </w:p>
        </w:tc>
        <w:tc>
          <w:tcPr>
            <w:tcW w:w="1610" w:type="dxa"/>
            <w:shd w:val="clear" w:color="auto" w:fill="EBF3F9"/>
          </w:tcPr>
          <w:p w14:paraId="2079C802" w14:textId="77777777" w:rsidR="00FB6FC1" w:rsidRDefault="00FB6FC1" w:rsidP="00CD363C">
            <w:pPr>
              <w:pStyle w:val="TableParagraph"/>
              <w:ind w:right="407"/>
              <w:jc w:val="both"/>
              <w:rPr>
                <w:i/>
              </w:rPr>
            </w:pPr>
          </w:p>
          <w:p w14:paraId="7AFABA2F" w14:textId="77777777" w:rsidR="00FB6FC1" w:rsidRDefault="00FB6FC1" w:rsidP="00CD363C">
            <w:pPr>
              <w:pStyle w:val="TableParagraph"/>
              <w:ind w:right="407"/>
              <w:jc w:val="both"/>
              <w:rPr>
                <w:i/>
              </w:rPr>
            </w:pPr>
          </w:p>
          <w:p w14:paraId="7FC58585" w14:textId="77777777" w:rsidR="00FB6FC1" w:rsidRDefault="00FB6FC1" w:rsidP="00CD363C">
            <w:pPr>
              <w:pStyle w:val="TableParagraph"/>
              <w:ind w:left="109" w:right="407"/>
              <w:jc w:val="both"/>
              <w:rPr>
                <w:sz w:val="20"/>
              </w:rPr>
            </w:pPr>
            <w:r>
              <w:rPr>
                <w:sz w:val="20"/>
              </w:rPr>
              <w:t>n/a</w:t>
            </w:r>
          </w:p>
        </w:tc>
      </w:tr>
      <w:tr w:rsidR="00FB6FC1" w14:paraId="362D725F" w14:textId="77777777" w:rsidTr="007363E8">
        <w:trPr>
          <w:trHeight w:val="561"/>
        </w:trPr>
        <w:tc>
          <w:tcPr>
            <w:tcW w:w="1418" w:type="dxa"/>
            <w:vMerge/>
            <w:tcBorders>
              <w:top w:val="nil"/>
            </w:tcBorders>
            <w:shd w:val="clear" w:color="auto" w:fill="EBF3F9"/>
          </w:tcPr>
          <w:p w14:paraId="3AE81519" w14:textId="77777777" w:rsidR="00FB6FC1" w:rsidRDefault="00FB6FC1" w:rsidP="00CD363C">
            <w:pPr>
              <w:spacing w:after="0" w:line="240" w:lineRule="auto"/>
              <w:ind w:right="407"/>
              <w:jc w:val="both"/>
              <w:rPr>
                <w:sz w:val="2"/>
                <w:szCs w:val="2"/>
              </w:rPr>
            </w:pPr>
          </w:p>
        </w:tc>
        <w:tc>
          <w:tcPr>
            <w:tcW w:w="1702" w:type="dxa"/>
            <w:shd w:val="clear" w:color="auto" w:fill="EBF3F9"/>
          </w:tcPr>
          <w:p w14:paraId="747E295C" w14:textId="77777777" w:rsidR="00FB6FC1" w:rsidRDefault="00FB6FC1" w:rsidP="00CD363C">
            <w:pPr>
              <w:pStyle w:val="TableParagraph"/>
              <w:ind w:left="460" w:right="407" w:hanging="236"/>
              <w:jc w:val="both"/>
              <w:rPr>
                <w:b/>
                <w:sz w:val="20"/>
              </w:rPr>
            </w:pPr>
            <w:r>
              <w:rPr>
                <w:b/>
                <w:sz w:val="20"/>
              </w:rPr>
              <w:t>Aizdevumi un prasības</w:t>
            </w:r>
          </w:p>
        </w:tc>
        <w:tc>
          <w:tcPr>
            <w:tcW w:w="1601" w:type="dxa"/>
            <w:shd w:val="clear" w:color="auto" w:fill="EBF3F9"/>
          </w:tcPr>
          <w:p w14:paraId="2705A0FD" w14:textId="77777777" w:rsidR="00FB6FC1" w:rsidRDefault="00FB6FC1" w:rsidP="00CD363C">
            <w:pPr>
              <w:pStyle w:val="TableParagraph"/>
              <w:ind w:left="105" w:right="407"/>
              <w:jc w:val="both"/>
              <w:rPr>
                <w:sz w:val="20"/>
              </w:rPr>
            </w:pPr>
            <w:r>
              <w:rPr>
                <w:sz w:val="20"/>
              </w:rPr>
              <w:t>n/a</w:t>
            </w:r>
          </w:p>
        </w:tc>
        <w:tc>
          <w:tcPr>
            <w:tcW w:w="1673" w:type="dxa"/>
            <w:shd w:val="clear" w:color="auto" w:fill="EBF3F9"/>
          </w:tcPr>
          <w:p w14:paraId="1DFDD969" w14:textId="77777777" w:rsidR="00FB6FC1" w:rsidRDefault="00FB6FC1" w:rsidP="00CD363C">
            <w:pPr>
              <w:pStyle w:val="TableParagraph"/>
              <w:ind w:left="108" w:right="407"/>
              <w:jc w:val="both"/>
              <w:rPr>
                <w:sz w:val="20"/>
              </w:rPr>
            </w:pPr>
            <w:r>
              <w:rPr>
                <w:sz w:val="20"/>
              </w:rPr>
              <w:t>n/a</w:t>
            </w:r>
          </w:p>
        </w:tc>
        <w:tc>
          <w:tcPr>
            <w:tcW w:w="1672" w:type="dxa"/>
            <w:shd w:val="clear" w:color="auto" w:fill="EBF3F9"/>
          </w:tcPr>
          <w:p w14:paraId="2E8A6045" w14:textId="77777777" w:rsidR="00FB6FC1" w:rsidRDefault="00FB6FC1" w:rsidP="00CD363C">
            <w:pPr>
              <w:pStyle w:val="TableParagraph"/>
              <w:ind w:left="108" w:right="407"/>
              <w:jc w:val="both"/>
              <w:rPr>
                <w:sz w:val="20"/>
              </w:rPr>
            </w:pPr>
            <w:r>
              <w:rPr>
                <w:sz w:val="20"/>
              </w:rPr>
              <w:t>n/a</w:t>
            </w:r>
          </w:p>
        </w:tc>
        <w:tc>
          <w:tcPr>
            <w:tcW w:w="1610" w:type="dxa"/>
            <w:shd w:val="clear" w:color="auto" w:fill="EBF3F9"/>
          </w:tcPr>
          <w:p w14:paraId="0D9C09B7" w14:textId="77777777" w:rsidR="00FB6FC1" w:rsidRDefault="00FB6FC1" w:rsidP="00CD363C">
            <w:pPr>
              <w:pStyle w:val="TableParagraph"/>
              <w:ind w:left="109" w:right="407"/>
              <w:jc w:val="both"/>
              <w:rPr>
                <w:sz w:val="20"/>
              </w:rPr>
            </w:pPr>
            <w:r>
              <w:rPr>
                <w:sz w:val="20"/>
              </w:rPr>
              <w:t>n/a</w:t>
            </w:r>
          </w:p>
        </w:tc>
      </w:tr>
      <w:tr w:rsidR="00FB6FC1" w14:paraId="413F1BC8" w14:textId="77777777" w:rsidTr="007363E8">
        <w:trPr>
          <w:trHeight w:val="1643"/>
        </w:trPr>
        <w:tc>
          <w:tcPr>
            <w:tcW w:w="1418" w:type="dxa"/>
            <w:vMerge/>
            <w:tcBorders>
              <w:top w:val="nil"/>
            </w:tcBorders>
            <w:shd w:val="clear" w:color="auto" w:fill="EBF3F9"/>
          </w:tcPr>
          <w:p w14:paraId="08896588" w14:textId="77777777" w:rsidR="00FB6FC1" w:rsidRDefault="00FB6FC1" w:rsidP="00CD363C">
            <w:pPr>
              <w:spacing w:after="0" w:line="240" w:lineRule="auto"/>
              <w:ind w:right="407"/>
              <w:jc w:val="both"/>
              <w:rPr>
                <w:sz w:val="2"/>
                <w:szCs w:val="2"/>
              </w:rPr>
            </w:pPr>
          </w:p>
        </w:tc>
        <w:tc>
          <w:tcPr>
            <w:tcW w:w="1702" w:type="dxa"/>
            <w:shd w:val="clear" w:color="auto" w:fill="EBF3F9"/>
          </w:tcPr>
          <w:p w14:paraId="1A08BCAB" w14:textId="77777777" w:rsidR="00FB6FC1" w:rsidRDefault="00FB6FC1" w:rsidP="00CD363C">
            <w:pPr>
              <w:pStyle w:val="TableParagraph"/>
              <w:ind w:right="407"/>
              <w:jc w:val="both"/>
              <w:rPr>
                <w:i/>
              </w:rPr>
            </w:pPr>
          </w:p>
          <w:p w14:paraId="5C3AB0AE" w14:textId="77777777" w:rsidR="00FB6FC1" w:rsidRDefault="00FB6FC1" w:rsidP="00CD363C">
            <w:pPr>
              <w:pStyle w:val="TableParagraph"/>
              <w:ind w:right="407"/>
              <w:jc w:val="both"/>
              <w:rPr>
                <w:i/>
                <w:sz w:val="19"/>
              </w:rPr>
            </w:pPr>
          </w:p>
          <w:p w14:paraId="5298E4C4" w14:textId="77777777" w:rsidR="00FB6FC1" w:rsidRDefault="00FB6FC1" w:rsidP="00CD363C">
            <w:pPr>
              <w:pStyle w:val="TableParagraph"/>
              <w:ind w:left="94" w:right="407"/>
              <w:jc w:val="both"/>
              <w:rPr>
                <w:b/>
                <w:sz w:val="20"/>
              </w:rPr>
            </w:pPr>
            <w:r>
              <w:rPr>
                <w:b/>
                <w:sz w:val="20"/>
              </w:rPr>
              <w:t>Pārdošanai pieejami finanšu aktīvi</w:t>
            </w:r>
          </w:p>
        </w:tc>
        <w:tc>
          <w:tcPr>
            <w:tcW w:w="1601" w:type="dxa"/>
            <w:shd w:val="clear" w:color="auto" w:fill="EBF3F9"/>
          </w:tcPr>
          <w:p w14:paraId="4E8D2013" w14:textId="77777777" w:rsidR="00FB6FC1" w:rsidRDefault="00FB6FC1" w:rsidP="00CD363C">
            <w:pPr>
              <w:pStyle w:val="TableParagraph"/>
              <w:ind w:right="407"/>
              <w:jc w:val="both"/>
              <w:rPr>
                <w:i/>
              </w:rPr>
            </w:pPr>
          </w:p>
          <w:p w14:paraId="17144FD2" w14:textId="77777777" w:rsidR="00FB6FC1" w:rsidRDefault="00FB6FC1" w:rsidP="00CD363C">
            <w:pPr>
              <w:pStyle w:val="TableParagraph"/>
              <w:ind w:right="407"/>
              <w:jc w:val="both"/>
              <w:rPr>
                <w:i/>
              </w:rPr>
            </w:pPr>
          </w:p>
          <w:p w14:paraId="0146F9BE" w14:textId="77777777" w:rsidR="00FB6FC1" w:rsidRDefault="00FB6FC1" w:rsidP="00CD363C">
            <w:pPr>
              <w:pStyle w:val="TableParagraph"/>
              <w:ind w:left="105" w:right="407"/>
              <w:jc w:val="both"/>
              <w:rPr>
                <w:sz w:val="20"/>
              </w:rPr>
            </w:pPr>
            <w:r>
              <w:rPr>
                <w:sz w:val="20"/>
              </w:rPr>
              <w:t>n/a</w:t>
            </w:r>
          </w:p>
        </w:tc>
        <w:tc>
          <w:tcPr>
            <w:tcW w:w="1673" w:type="dxa"/>
          </w:tcPr>
          <w:p w14:paraId="1AE7A852" w14:textId="77777777" w:rsidR="00FB6FC1" w:rsidRDefault="00FB6FC1" w:rsidP="00CD363C">
            <w:pPr>
              <w:pStyle w:val="TableParagraph"/>
              <w:ind w:right="407"/>
              <w:jc w:val="both"/>
              <w:rPr>
                <w:i/>
                <w:sz w:val="20"/>
              </w:rPr>
            </w:pPr>
          </w:p>
          <w:p w14:paraId="44311168" w14:textId="77777777" w:rsidR="00FB6FC1" w:rsidRDefault="00FB6FC1" w:rsidP="00CD363C">
            <w:pPr>
              <w:pStyle w:val="TableParagraph"/>
              <w:ind w:left="108" w:right="407"/>
              <w:jc w:val="both"/>
              <w:rPr>
                <w:sz w:val="20"/>
              </w:rPr>
            </w:pPr>
            <w:r>
              <w:rPr>
                <w:sz w:val="20"/>
              </w:rPr>
              <w:t>Novērtē patiesajā vērtībā* pārklasifikācijas dienā*** (10.5.4.)</w:t>
            </w:r>
          </w:p>
        </w:tc>
        <w:tc>
          <w:tcPr>
            <w:tcW w:w="1672" w:type="dxa"/>
            <w:shd w:val="clear" w:color="auto" w:fill="EBF3F9"/>
          </w:tcPr>
          <w:p w14:paraId="297589ED" w14:textId="77777777" w:rsidR="00FB6FC1" w:rsidRDefault="00FB6FC1" w:rsidP="00CD363C">
            <w:pPr>
              <w:pStyle w:val="TableParagraph"/>
              <w:ind w:right="407"/>
              <w:jc w:val="both"/>
              <w:rPr>
                <w:i/>
              </w:rPr>
            </w:pPr>
          </w:p>
          <w:p w14:paraId="1D3921AA" w14:textId="77777777" w:rsidR="00FB6FC1" w:rsidRDefault="00FB6FC1" w:rsidP="00CD363C">
            <w:pPr>
              <w:pStyle w:val="TableParagraph"/>
              <w:ind w:right="407"/>
              <w:jc w:val="both"/>
              <w:rPr>
                <w:i/>
              </w:rPr>
            </w:pPr>
          </w:p>
          <w:p w14:paraId="33CD450F" w14:textId="77777777" w:rsidR="00FB6FC1" w:rsidRDefault="00FB6FC1" w:rsidP="00CD363C">
            <w:pPr>
              <w:pStyle w:val="TableParagraph"/>
              <w:ind w:left="108" w:right="407"/>
              <w:jc w:val="both"/>
              <w:rPr>
                <w:sz w:val="20"/>
              </w:rPr>
            </w:pPr>
            <w:r>
              <w:rPr>
                <w:sz w:val="20"/>
              </w:rPr>
              <w:t>n/a</w:t>
            </w:r>
          </w:p>
        </w:tc>
        <w:tc>
          <w:tcPr>
            <w:tcW w:w="1610" w:type="dxa"/>
            <w:shd w:val="clear" w:color="auto" w:fill="EBF3F9"/>
          </w:tcPr>
          <w:p w14:paraId="64DF232B" w14:textId="77777777" w:rsidR="00FB6FC1" w:rsidRDefault="00FB6FC1" w:rsidP="00CD363C">
            <w:pPr>
              <w:pStyle w:val="TableParagraph"/>
              <w:ind w:right="407"/>
              <w:jc w:val="both"/>
              <w:rPr>
                <w:i/>
              </w:rPr>
            </w:pPr>
          </w:p>
          <w:p w14:paraId="5F5516D7" w14:textId="77777777" w:rsidR="00FB6FC1" w:rsidRDefault="00FB6FC1" w:rsidP="00CD363C">
            <w:pPr>
              <w:pStyle w:val="TableParagraph"/>
              <w:ind w:right="407"/>
              <w:jc w:val="both"/>
              <w:rPr>
                <w:i/>
              </w:rPr>
            </w:pPr>
          </w:p>
          <w:p w14:paraId="5E5A175C" w14:textId="77777777" w:rsidR="00FB6FC1" w:rsidRDefault="00FB6FC1" w:rsidP="00CD363C">
            <w:pPr>
              <w:pStyle w:val="TableParagraph"/>
              <w:ind w:left="109" w:right="407"/>
              <w:jc w:val="both"/>
              <w:rPr>
                <w:sz w:val="20"/>
              </w:rPr>
            </w:pPr>
            <w:r>
              <w:rPr>
                <w:sz w:val="20"/>
              </w:rPr>
              <w:t>n/a</w:t>
            </w:r>
          </w:p>
        </w:tc>
      </w:tr>
    </w:tbl>
    <w:p w14:paraId="2D19AF0F" w14:textId="77777777" w:rsidR="00FB6FC1" w:rsidRDefault="00FB6FC1" w:rsidP="00CD363C">
      <w:pPr>
        <w:spacing w:after="0" w:line="240" w:lineRule="auto"/>
        <w:ind w:left="338" w:right="407"/>
        <w:jc w:val="both"/>
        <w:rPr>
          <w:i/>
          <w:sz w:val="20"/>
        </w:rPr>
      </w:pPr>
      <w:r>
        <w:rPr>
          <w:i/>
          <w:sz w:val="20"/>
        </w:rPr>
        <w:t>*finanšu aktīva patiesā vērtība pārklasificēšanas dienā kļūst attiecīgi par tā jauno izmaksu vērtību vai amortizēto vērtību</w:t>
      </w:r>
    </w:p>
    <w:p w14:paraId="4D5D9F66" w14:textId="77777777" w:rsidR="00FB6FC1" w:rsidRDefault="00FB6FC1" w:rsidP="00CD363C">
      <w:pPr>
        <w:spacing w:after="0" w:line="240" w:lineRule="auto"/>
        <w:ind w:left="338" w:right="407"/>
        <w:jc w:val="both"/>
        <w:rPr>
          <w:i/>
          <w:sz w:val="20"/>
        </w:rPr>
      </w:pPr>
      <w:r>
        <w:rPr>
          <w:i/>
          <w:sz w:val="20"/>
        </w:rPr>
        <w:t>**patiesās vērtības izmaiņas atzīst finanšu instrumentu patiesās vērtības rezervē</w:t>
      </w:r>
    </w:p>
    <w:p w14:paraId="1BB8FACD" w14:textId="77777777" w:rsidR="00FB6FC1" w:rsidRDefault="00FB6FC1" w:rsidP="00CD363C">
      <w:pPr>
        <w:spacing w:after="0" w:line="240" w:lineRule="auto"/>
        <w:ind w:left="338" w:right="407"/>
        <w:jc w:val="both"/>
        <w:rPr>
          <w:i/>
          <w:sz w:val="20"/>
        </w:rPr>
      </w:pPr>
      <w:r>
        <w:rPr>
          <w:i/>
          <w:sz w:val="20"/>
        </w:rPr>
        <w:t>*** finanšu instrumentu patiesās vērtības rezervē uzkrātās vērtības izmaiņas atzīst pārskata perioda ieņēmumos vai izdevumos</w:t>
      </w:r>
    </w:p>
    <w:p w14:paraId="227A4FC9" w14:textId="77777777" w:rsidR="008021EB" w:rsidRPr="00D1188A" w:rsidRDefault="00FD09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p>
    <w:p w14:paraId="4953862B" w14:textId="77777777" w:rsidR="00FB6FC1" w:rsidRPr="007363E8" w:rsidRDefault="00FB6FC1" w:rsidP="00CD363C">
      <w:pPr>
        <w:pStyle w:val="Sarakstarindkopa"/>
        <w:widowControl w:val="0"/>
        <w:numPr>
          <w:ilvl w:val="0"/>
          <w:numId w:val="50"/>
        </w:numPr>
        <w:tabs>
          <w:tab w:val="left" w:pos="1017"/>
          <w:tab w:val="left" w:pos="1018"/>
        </w:tabs>
        <w:autoSpaceDE w:val="0"/>
        <w:autoSpaceDN w:val="0"/>
        <w:spacing w:after="0" w:line="240" w:lineRule="auto"/>
        <w:ind w:left="0" w:right="407" w:firstLine="0"/>
        <w:jc w:val="both"/>
        <w:rPr>
          <w:rFonts w:ascii="Times New Roman" w:hAnsi="Times New Roman" w:cs="Times New Roman"/>
          <w:sz w:val="24"/>
          <w:szCs w:val="24"/>
        </w:rPr>
      </w:pPr>
      <w:r w:rsidRPr="007363E8">
        <w:rPr>
          <w:rFonts w:ascii="Times New Roman" w:hAnsi="Times New Roman" w:cs="Times New Roman"/>
          <w:sz w:val="24"/>
          <w:szCs w:val="24"/>
        </w:rPr>
        <w:t>Budžeta iestāde veic finanšu instrumentu pārklasifikāciju sekojošos</w:t>
      </w:r>
      <w:r w:rsidRPr="007363E8">
        <w:rPr>
          <w:rFonts w:ascii="Times New Roman" w:hAnsi="Times New Roman" w:cs="Times New Roman"/>
          <w:spacing w:val="-10"/>
          <w:sz w:val="24"/>
          <w:szCs w:val="24"/>
        </w:rPr>
        <w:t xml:space="preserve"> </w:t>
      </w:r>
      <w:r w:rsidRPr="007363E8">
        <w:rPr>
          <w:rFonts w:ascii="Times New Roman" w:hAnsi="Times New Roman" w:cs="Times New Roman"/>
          <w:sz w:val="24"/>
          <w:szCs w:val="24"/>
        </w:rPr>
        <w:t>gadījumos:</w:t>
      </w:r>
    </w:p>
    <w:p w14:paraId="244F09A6" w14:textId="77777777" w:rsidR="00FB6FC1" w:rsidRPr="00611649" w:rsidRDefault="00FB6FC1" w:rsidP="00CD363C">
      <w:pPr>
        <w:spacing w:after="0" w:line="240" w:lineRule="auto"/>
        <w:ind w:left="284" w:right="407" w:hanging="142"/>
        <w:jc w:val="both"/>
        <w:rPr>
          <w:rFonts w:ascii="Times New Roman" w:hAnsi="Times New Roman" w:cs="Times New Roman"/>
          <w:sz w:val="24"/>
          <w:szCs w:val="24"/>
        </w:rPr>
      </w:pPr>
      <w:r w:rsidRPr="00611649">
        <w:rPr>
          <w:rFonts w:ascii="Times New Roman" w:hAnsi="Times New Roman" w:cs="Times New Roman"/>
          <w:b/>
          <w:sz w:val="24"/>
          <w:szCs w:val="24"/>
        </w:rPr>
        <w:t xml:space="preserve">    856.1.  patiesajā vērtībā novērtēto finanšu aktīvu </w:t>
      </w:r>
      <w:r w:rsidRPr="00611649">
        <w:rPr>
          <w:rFonts w:ascii="Times New Roman" w:hAnsi="Times New Roman" w:cs="Times New Roman"/>
          <w:sz w:val="24"/>
          <w:szCs w:val="24"/>
        </w:rPr>
        <w:t xml:space="preserve">pārklasificē uz </w:t>
      </w:r>
      <w:r w:rsidRPr="00611649">
        <w:rPr>
          <w:rFonts w:ascii="Times New Roman" w:hAnsi="Times New Roman" w:cs="Times New Roman"/>
          <w:b/>
          <w:sz w:val="24"/>
          <w:szCs w:val="24"/>
        </w:rPr>
        <w:t xml:space="preserve">aizdevumu un prasību </w:t>
      </w:r>
      <w:r w:rsidRPr="00611649">
        <w:rPr>
          <w:rFonts w:ascii="Times New Roman" w:hAnsi="Times New Roman" w:cs="Times New Roman"/>
          <w:sz w:val="24"/>
          <w:szCs w:val="24"/>
        </w:rPr>
        <w:t xml:space="preserve">kategoriju tā patiesajā vērtībā pārklasifikācijas dienā, atzīstot vērtības izmaiņas kā pārskata perioda finanšu ieņēmumus vai izdevumus, ja ir spēkā </w:t>
      </w:r>
      <w:r w:rsidRPr="00611649">
        <w:rPr>
          <w:rFonts w:ascii="Times New Roman" w:hAnsi="Times New Roman" w:cs="Times New Roman"/>
          <w:b/>
          <w:sz w:val="24"/>
          <w:szCs w:val="24"/>
          <w:u w:val="thick"/>
        </w:rPr>
        <w:t>visi</w:t>
      </w:r>
      <w:r w:rsidRPr="00611649">
        <w:rPr>
          <w:rFonts w:ascii="Times New Roman" w:hAnsi="Times New Roman" w:cs="Times New Roman"/>
          <w:b/>
          <w:sz w:val="24"/>
          <w:szCs w:val="24"/>
        </w:rPr>
        <w:t xml:space="preserve"> </w:t>
      </w:r>
      <w:r w:rsidRPr="00611649">
        <w:rPr>
          <w:rFonts w:ascii="Times New Roman" w:hAnsi="Times New Roman" w:cs="Times New Roman"/>
          <w:sz w:val="24"/>
          <w:szCs w:val="24"/>
        </w:rPr>
        <w:t>sekojošie nosacījumi:</w:t>
      </w:r>
    </w:p>
    <w:p w14:paraId="0731D99C" w14:textId="77777777" w:rsidR="00FB6FC1" w:rsidRPr="00611649" w:rsidRDefault="00FB6FC1" w:rsidP="00CD363C">
      <w:pPr>
        <w:pStyle w:val="Sarakstarindkopa"/>
        <w:widowControl w:val="0"/>
        <w:numPr>
          <w:ilvl w:val="2"/>
          <w:numId w:val="49"/>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611649">
        <w:rPr>
          <w:rFonts w:ascii="Times New Roman" w:hAnsi="Times New Roman" w:cs="Times New Roman"/>
          <w:sz w:val="24"/>
          <w:szCs w:val="24"/>
        </w:rPr>
        <w:t>finanšu aktīvs vairs netiek turēts pārdošanas vai atpirkšanas</w:t>
      </w:r>
      <w:r w:rsidRPr="00611649">
        <w:rPr>
          <w:rFonts w:ascii="Times New Roman" w:hAnsi="Times New Roman" w:cs="Times New Roman"/>
          <w:spacing w:val="-7"/>
          <w:sz w:val="24"/>
          <w:szCs w:val="24"/>
        </w:rPr>
        <w:t xml:space="preserve"> </w:t>
      </w:r>
      <w:r w:rsidRPr="00611649">
        <w:rPr>
          <w:rFonts w:ascii="Times New Roman" w:hAnsi="Times New Roman" w:cs="Times New Roman"/>
          <w:sz w:val="24"/>
          <w:szCs w:val="24"/>
        </w:rPr>
        <w:t>vajadzībām;</w:t>
      </w:r>
    </w:p>
    <w:p w14:paraId="1E75E0E8" w14:textId="77777777" w:rsidR="00FB6FC1" w:rsidRPr="00611649" w:rsidRDefault="00FB6FC1" w:rsidP="00CD363C">
      <w:pPr>
        <w:pStyle w:val="Sarakstarindkopa"/>
        <w:widowControl w:val="0"/>
        <w:numPr>
          <w:ilvl w:val="2"/>
          <w:numId w:val="49"/>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611649">
        <w:rPr>
          <w:rFonts w:ascii="Times New Roman" w:hAnsi="Times New Roman" w:cs="Times New Roman"/>
          <w:sz w:val="24"/>
          <w:szCs w:val="24"/>
        </w:rPr>
        <w:t>finanšu aktīvs sākotnējās atzīšanas laikā būtu klasificējams aizdevumu un prasību</w:t>
      </w:r>
      <w:r w:rsidRPr="00611649">
        <w:rPr>
          <w:rFonts w:ascii="Times New Roman" w:hAnsi="Times New Roman" w:cs="Times New Roman"/>
          <w:spacing w:val="-18"/>
          <w:sz w:val="24"/>
          <w:szCs w:val="24"/>
        </w:rPr>
        <w:t xml:space="preserve"> </w:t>
      </w:r>
      <w:r w:rsidRPr="00611649">
        <w:rPr>
          <w:rFonts w:ascii="Times New Roman" w:hAnsi="Times New Roman" w:cs="Times New Roman"/>
          <w:sz w:val="24"/>
          <w:szCs w:val="24"/>
        </w:rPr>
        <w:t>kategorijā;</w:t>
      </w:r>
    </w:p>
    <w:p w14:paraId="2B41F6B4" w14:textId="77777777" w:rsidR="00FB6FC1" w:rsidRPr="00611649" w:rsidRDefault="00FB6FC1" w:rsidP="00CD363C">
      <w:pPr>
        <w:pStyle w:val="Sarakstarindkopa"/>
        <w:widowControl w:val="0"/>
        <w:numPr>
          <w:ilvl w:val="2"/>
          <w:numId w:val="49"/>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611649">
        <w:rPr>
          <w:rFonts w:ascii="Times New Roman" w:hAnsi="Times New Roman" w:cs="Times New Roman"/>
          <w:sz w:val="24"/>
          <w:szCs w:val="24"/>
        </w:rPr>
        <w:t>finanšu aktīvu plāno turēt līdz tā termiņa</w:t>
      </w:r>
      <w:r w:rsidRPr="00611649">
        <w:rPr>
          <w:rFonts w:ascii="Times New Roman" w:hAnsi="Times New Roman" w:cs="Times New Roman"/>
          <w:spacing w:val="-6"/>
          <w:sz w:val="24"/>
          <w:szCs w:val="24"/>
        </w:rPr>
        <w:t xml:space="preserve"> </w:t>
      </w:r>
      <w:r w:rsidRPr="00611649">
        <w:rPr>
          <w:rFonts w:ascii="Times New Roman" w:hAnsi="Times New Roman" w:cs="Times New Roman"/>
          <w:sz w:val="24"/>
          <w:szCs w:val="24"/>
        </w:rPr>
        <w:t>beigām.</w:t>
      </w:r>
    </w:p>
    <w:p w14:paraId="1CA229BD" w14:textId="77777777" w:rsidR="00FB6FC1" w:rsidRPr="00611649" w:rsidRDefault="00FB6FC1" w:rsidP="00CD363C">
      <w:pPr>
        <w:pStyle w:val="Pamatteksts"/>
        <w:ind w:left="338" w:right="407"/>
        <w:jc w:val="both"/>
        <w:rPr>
          <w:sz w:val="24"/>
          <w:szCs w:val="24"/>
        </w:rPr>
      </w:pPr>
      <w:r w:rsidRPr="00611649">
        <w:rPr>
          <w:sz w:val="24"/>
          <w:szCs w:val="24"/>
        </w:rPr>
        <w:t>Veicot pārklasifikāciju ir jānosaka finanšu aktīva aktuālā patiesā vērtība. Finanšu aktīva patiesā vērtība pārklasificēšanas dienā kļūst attiecīgi par tā jauno izmaksu vērtību vai amortizēto vērtību. Tas ir, budžeta iestāde</w:t>
      </w:r>
      <w:r w:rsidRPr="00611649">
        <w:rPr>
          <w:spacing w:val="-5"/>
          <w:sz w:val="24"/>
          <w:szCs w:val="24"/>
        </w:rPr>
        <w:t xml:space="preserve"> </w:t>
      </w:r>
      <w:r w:rsidRPr="00611649">
        <w:rPr>
          <w:sz w:val="24"/>
          <w:szCs w:val="24"/>
        </w:rPr>
        <w:t>pārklasifikācijas</w:t>
      </w:r>
      <w:r w:rsidRPr="00611649">
        <w:rPr>
          <w:spacing w:val="-4"/>
          <w:sz w:val="24"/>
          <w:szCs w:val="24"/>
        </w:rPr>
        <w:t xml:space="preserve"> </w:t>
      </w:r>
      <w:r w:rsidRPr="00611649">
        <w:rPr>
          <w:sz w:val="24"/>
          <w:szCs w:val="24"/>
        </w:rPr>
        <w:t>dienā</w:t>
      </w:r>
      <w:r w:rsidRPr="00611649">
        <w:rPr>
          <w:spacing w:val="-3"/>
          <w:sz w:val="24"/>
          <w:szCs w:val="24"/>
        </w:rPr>
        <w:t xml:space="preserve"> </w:t>
      </w:r>
      <w:r w:rsidRPr="00611649">
        <w:rPr>
          <w:sz w:val="24"/>
          <w:szCs w:val="24"/>
        </w:rPr>
        <w:t>nosaka</w:t>
      </w:r>
      <w:r w:rsidRPr="00611649">
        <w:rPr>
          <w:spacing w:val="-3"/>
          <w:sz w:val="24"/>
          <w:szCs w:val="24"/>
        </w:rPr>
        <w:t xml:space="preserve"> </w:t>
      </w:r>
      <w:r w:rsidRPr="00611649">
        <w:rPr>
          <w:sz w:val="24"/>
          <w:szCs w:val="24"/>
        </w:rPr>
        <w:t>finanšu</w:t>
      </w:r>
      <w:r w:rsidRPr="00611649">
        <w:rPr>
          <w:spacing w:val="-4"/>
          <w:sz w:val="24"/>
          <w:szCs w:val="24"/>
        </w:rPr>
        <w:t xml:space="preserve"> </w:t>
      </w:r>
      <w:r w:rsidRPr="00611649">
        <w:rPr>
          <w:sz w:val="24"/>
          <w:szCs w:val="24"/>
        </w:rPr>
        <w:t>instrumenta</w:t>
      </w:r>
      <w:r w:rsidRPr="00611649">
        <w:rPr>
          <w:spacing w:val="-5"/>
          <w:sz w:val="24"/>
          <w:szCs w:val="24"/>
        </w:rPr>
        <w:t xml:space="preserve"> </w:t>
      </w:r>
      <w:r w:rsidRPr="00611649">
        <w:rPr>
          <w:sz w:val="24"/>
          <w:szCs w:val="24"/>
        </w:rPr>
        <w:t>patieso</w:t>
      </w:r>
      <w:r w:rsidRPr="00611649">
        <w:rPr>
          <w:spacing w:val="-2"/>
          <w:sz w:val="24"/>
          <w:szCs w:val="24"/>
        </w:rPr>
        <w:t xml:space="preserve"> </w:t>
      </w:r>
      <w:r w:rsidRPr="00611649">
        <w:rPr>
          <w:sz w:val="24"/>
          <w:szCs w:val="24"/>
        </w:rPr>
        <w:t>vērtību</w:t>
      </w:r>
      <w:r w:rsidRPr="00611649">
        <w:rPr>
          <w:spacing w:val="-6"/>
          <w:sz w:val="24"/>
          <w:szCs w:val="24"/>
        </w:rPr>
        <w:t xml:space="preserve"> </w:t>
      </w:r>
      <w:r w:rsidRPr="00611649">
        <w:rPr>
          <w:sz w:val="24"/>
          <w:szCs w:val="24"/>
        </w:rPr>
        <w:t>un</w:t>
      </w:r>
      <w:r w:rsidRPr="00611649">
        <w:rPr>
          <w:spacing w:val="-5"/>
          <w:sz w:val="24"/>
          <w:szCs w:val="24"/>
        </w:rPr>
        <w:t xml:space="preserve"> </w:t>
      </w:r>
      <w:r w:rsidRPr="00611649">
        <w:rPr>
          <w:sz w:val="24"/>
          <w:szCs w:val="24"/>
        </w:rPr>
        <w:t>patiesās</w:t>
      </w:r>
      <w:r w:rsidRPr="00611649">
        <w:rPr>
          <w:spacing w:val="-3"/>
          <w:sz w:val="24"/>
          <w:szCs w:val="24"/>
        </w:rPr>
        <w:t xml:space="preserve"> </w:t>
      </w:r>
      <w:r w:rsidRPr="00611649">
        <w:rPr>
          <w:sz w:val="24"/>
          <w:szCs w:val="24"/>
        </w:rPr>
        <w:t>vērtības</w:t>
      </w:r>
      <w:r w:rsidRPr="00611649">
        <w:rPr>
          <w:spacing w:val="-4"/>
          <w:sz w:val="24"/>
          <w:szCs w:val="24"/>
        </w:rPr>
        <w:t xml:space="preserve"> </w:t>
      </w:r>
      <w:r w:rsidRPr="00611649">
        <w:rPr>
          <w:sz w:val="24"/>
          <w:szCs w:val="24"/>
        </w:rPr>
        <w:t>izmaiņas</w:t>
      </w:r>
      <w:r w:rsidRPr="00611649">
        <w:rPr>
          <w:spacing w:val="-3"/>
          <w:sz w:val="24"/>
          <w:szCs w:val="24"/>
        </w:rPr>
        <w:t xml:space="preserve"> </w:t>
      </w:r>
      <w:r w:rsidRPr="00611649">
        <w:rPr>
          <w:sz w:val="24"/>
          <w:szCs w:val="24"/>
        </w:rPr>
        <w:t>atzīst finanšu ieņēmumos vai izdevumos. Šajā jaunajā noteiktajā vērtībā finanšu aktīvu pārkasificē uz aizdevumu un prasību kategoriju, un šī vērtība kļūst par attiecīgā aktīva jauno izmaksu vai amortizēto</w:t>
      </w:r>
      <w:r w:rsidRPr="00611649">
        <w:rPr>
          <w:spacing w:val="-21"/>
          <w:sz w:val="24"/>
          <w:szCs w:val="24"/>
        </w:rPr>
        <w:t xml:space="preserve"> </w:t>
      </w:r>
      <w:r w:rsidRPr="00611649">
        <w:rPr>
          <w:sz w:val="24"/>
          <w:szCs w:val="24"/>
        </w:rPr>
        <w:t>vērtību.</w:t>
      </w:r>
    </w:p>
    <w:p w14:paraId="1428030B" w14:textId="77777777" w:rsidR="00FB6FC1" w:rsidRPr="00611649" w:rsidRDefault="00FB6FC1" w:rsidP="00CD363C">
      <w:pPr>
        <w:pStyle w:val="Pamatteksts"/>
        <w:ind w:right="407"/>
        <w:jc w:val="both"/>
        <w:rPr>
          <w:sz w:val="24"/>
          <w:szCs w:val="24"/>
        </w:rPr>
      </w:pPr>
    </w:p>
    <w:p w14:paraId="5E096621" w14:textId="77777777" w:rsidR="00FB6FC1" w:rsidRPr="00611649" w:rsidRDefault="00FB6FC1" w:rsidP="00CD363C">
      <w:pPr>
        <w:pStyle w:val="Sarakstarindkopa"/>
        <w:numPr>
          <w:ilvl w:val="1"/>
          <w:numId w:val="51"/>
        </w:numPr>
        <w:spacing w:after="0" w:line="240" w:lineRule="auto"/>
        <w:ind w:right="407"/>
        <w:jc w:val="both"/>
        <w:rPr>
          <w:rFonts w:ascii="Times New Roman" w:hAnsi="Times New Roman" w:cs="Times New Roman"/>
          <w:sz w:val="24"/>
          <w:szCs w:val="24"/>
        </w:rPr>
      </w:pPr>
      <w:r w:rsidRPr="00611649">
        <w:rPr>
          <w:rFonts w:ascii="Times New Roman" w:hAnsi="Times New Roman" w:cs="Times New Roman"/>
          <w:b/>
          <w:sz w:val="24"/>
          <w:szCs w:val="24"/>
        </w:rPr>
        <w:t>patiesajā</w:t>
      </w:r>
      <w:r w:rsidRPr="00611649">
        <w:rPr>
          <w:rFonts w:ascii="Times New Roman" w:hAnsi="Times New Roman" w:cs="Times New Roman"/>
          <w:b/>
          <w:spacing w:val="-14"/>
          <w:sz w:val="24"/>
          <w:szCs w:val="24"/>
        </w:rPr>
        <w:t xml:space="preserve"> </w:t>
      </w:r>
      <w:r w:rsidRPr="00611649">
        <w:rPr>
          <w:rFonts w:ascii="Times New Roman" w:hAnsi="Times New Roman" w:cs="Times New Roman"/>
          <w:b/>
          <w:sz w:val="24"/>
          <w:szCs w:val="24"/>
        </w:rPr>
        <w:t>vērtībā</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novērtēto</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finanšu</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aktīvu</w:t>
      </w:r>
      <w:r w:rsidRPr="00611649">
        <w:rPr>
          <w:rFonts w:ascii="Times New Roman" w:hAnsi="Times New Roman" w:cs="Times New Roman"/>
          <w:b/>
          <w:spacing w:val="-12"/>
          <w:sz w:val="24"/>
          <w:szCs w:val="24"/>
        </w:rPr>
        <w:t xml:space="preserve"> </w:t>
      </w:r>
      <w:r w:rsidRPr="00611649">
        <w:rPr>
          <w:rFonts w:ascii="Times New Roman" w:hAnsi="Times New Roman" w:cs="Times New Roman"/>
          <w:sz w:val="24"/>
          <w:szCs w:val="24"/>
        </w:rPr>
        <w:t>pārklasificē</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uz</w:t>
      </w:r>
      <w:r w:rsidRPr="00611649">
        <w:rPr>
          <w:rFonts w:ascii="Times New Roman" w:hAnsi="Times New Roman" w:cs="Times New Roman"/>
          <w:spacing w:val="-14"/>
          <w:sz w:val="24"/>
          <w:szCs w:val="24"/>
        </w:rPr>
        <w:t xml:space="preserve"> </w:t>
      </w:r>
      <w:r w:rsidRPr="00611649">
        <w:rPr>
          <w:rFonts w:ascii="Times New Roman" w:hAnsi="Times New Roman" w:cs="Times New Roman"/>
          <w:b/>
          <w:sz w:val="24"/>
          <w:szCs w:val="24"/>
        </w:rPr>
        <w:t>pārdošanai</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pieejamu</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finanšu</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aktīvu vai</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līdz</w:t>
      </w:r>
      <w:r w:rsidRPr="00611649">
        <w:rPr>
          <w:rFonts w:ascii="Times New Roman" w:hAnsi="Times New Roman" w:cs="Times New Roman"/>
          <w:b/>
          <w:spacing w:val="-15"/>
          <w:sz w:val="24"/>
          <w:szCs w:val="24"/>
        </w:rPr>
        <w:t xml:space="preserve"> </w:t>
      </w:r>
      <w:r w:rsidRPr="00611649">
        <w:rPr>
          <w:rFonts w:ascii="Times New Roman" w:hAnsi="Times New Roman" w:cs="Times New Roman"/>
          <w:b/>
          <w:sz w:val="24"/>
          <w:szCs w:val="24"/>
        </w:rPr>
        <w:t>termiņa</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beigām</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turēto</w:t>
      </w:r>
      <w:r w:rsidRPr="00611649">
        <w:rPr>
          <w:rFonts w:ascii="Times New Roman" w:hAnsi="Times New Roman" w:cs="Times New Roman"/>
          <w:b/>
          <w:spacing w:val="-15"/>
          <w:sz w:val="24"/>
          <w:szCs w:val="24"/>
        </w:rPr>
        <w:t xml:space="preserve"> </w:t>
      </w:r>
      <w:r w:rsidRPr="00611649">
        <w:rPr>
          <w:rFonts w:ascii="Times New Roman" w:hAnsi="Times New Roman" w:cs="Times New Roman"/>
          <w:b/>
          <w:sz w:val="24"/>
          <w:szCs w:val="24"/>
        </w:rPr>
        <w:t>ieguldījumu</w:t>
      </w:r>
      <w:r w:rsidRPr="00611649">
        <w:rPr>
          <w:rFonts w:ascii="Times New Roman" w:hAnsi="Times New Roman" w:cs="Times New Roman"/>
          <w:b/>
          <w:spacing w:val="-9"/>
          <w:sz w:val="24"/>
          <w:szCs w:val="24"/>
        </w:rPr>
        <w:t xml:space="preserve"> </w:t>
      </w:r>
      <w:r w:rsidRPr="00611649">
        <w:rPr>
          <w:rFonts w:ascii="Times New Roman" w:hAnsi="Times New Roman" w:cs="Times New Roman"/>
          <w:sz w:val="24"/>
          <w:szCs w:val="24"/>
        </w:rPr>
        <w:t>kategoriju</w:t>
      </w:r>
      <w:r w:rsidRPr="00611649">
        <w:rPr>
          <w:rFonts w:ascii="Times New Roman" w:hAnsi="Times New Roman" w:cs="Times New Roman"/>
          <w:spacing w:val="-13"/>
          <w:sz w:val="24"/>
          <w:szCs w:val="24"/>
        </w:rPr>
        <w:t xml:space="preserve"> </w:t>
      </w:r>
      <w:r w:rsidRPr="00611649">
        <w:rPr>
          <w:rFonts w:ascii="Times New Roman" w:hAnsi="Times New Roman" w:cs="Times New Roman"/>
          <w:sz w:val="24"/>
          <w:szCs w:val="24"/>
        </w:rPr>
        <w:t>tā</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patiesajā</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vērtībā</w:t>
      </w:r>
      <w:r w:rsidRPr="00611649">
        <w:rPr>
          <w:rFonts w:ascii="Times New Roman" w:hAnsi="Times New Roman" w:cs="Times New Roman"/>
          <w:spacing w:val="-13"/>
          <w:sz w:val="24"/>
          <w:szCs w:val="24"/>
        </w:rPr>
        <w:t xml:space="preserve"> </w:t>
      </w:r>
      <w:r w:rsidRPr="00611649">
        <w:rPr>
          <w:rFonts w:ascii="Times New Roman" w:hAnsi="Times New Roman" w:cs="Times New Roman"/>
          <w:sz w:val="24"/>
          <w:szCs w:val="24"/>
        </w:rPr>
        <w:t>pārklasifikācijas</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dienā</w:t>
      </w:r>
    </w:p>
    <w:p w14:paraId="299FF57A" w14:textId="77777777" w:rsidR="00FB6FC1" w:rsidRPr="00611649" w:rsidRDefault="00FB6FC1" w:rsidP="00CD363C">
      <w:pPr>
        <w:pStyle w:val="Sarakstarindkopa"/>
        <w:widowControl w:val="0"/>
        <w:numPr>
          <w:ilvl w:val="3"/>
          <w:numId w:val="49"/>
        </w:numPr>
        <w:tabs>
          <w:tab w:val="left" w:pos="1470"/>
        </w:tabs>
        <w:autoSpaceDE w:val="0"/>
        <w:autoSpaceDN w:val="0"/>
        <w:spacing w:after="0" w:line="240" w:lineRule="auto"/>
        <w:ind w:left="1276" w:right="407" w:hanging="567"/>
        <w:contextualSpacing w:val="0"/>
        <w:jc w:val="both"/>
        <w:rPr>
          <w:rFonts w:ascii="Times New Roman" w:hAnsi="Times New Roman" w:cs="Times New Roman"/>
          <w:sz w:val="24"/>
          <w:szCs w:val="24"/>
        </w:rPr>
      </w:pPr>
      <w:r w:rsidRPr="00611649">
        <w:rPr>
          <w:rFonts w:ascii="Times New Roman" w:hAnsi="Times New Roman" w:cs="Times New Roman"/>
          <w:sz w:val="24"/>
          <w:szCs w:val="24"/>
        </w:rPr>
        <w:t>šāda pārklasifikācija tiek veikta retos gadījumos, t.i., ja finanšu instruments neatbilst aizdevumu un prasību finanšu instrumentu</w:t>
      </w:r>
      <w:r w:rsidRPr="00611649">
        <w:rPr>
          <w:rFonts w:ascii="Times New Roman" w:hAnsi="Times New Roman" w:cs="Times New Roman"/>
          <w:spacing w:val="-1"/>
          <w:sz w:val="24"/>
          <w:szCs w:val="24"/>
        </w:rPr>
        <w:t xml:space="preserve"> </w:t>
      </w:r>
      <w:r w:rsidRPr="00611649">
        <w:rPr>
          <w:rFonts w:ascii="Times New Roman" w:hAnsi="Times New Roman" w:cs="Times New Roman"/>
          <w:sz w:val="24"/>
          <w:szCs w:val="24"/>
        </w:rPr>
        <w:t>kategorijai;</w:t>
      </w:r>
    </w:p>
    <w:p w14:paraId="78991BF7" w14:textId="77777777" w:rsidR="00FB6FC1" w:rsidRPr="00611649" w:rsidRDefault="00611649" w:rsidP="00CD363C">
      <w:pPr>
        <w:pStyle w:val="Pamatteksts"/>
        <w:ind w:left="284" w:right="407"/>
        <w:jc w:val="both"/>
        <w:rPr>
          <w:sz w:val="24"/>
          <w:szCs w:val="24"/>
        </w:rPr>
      </w:pPr>
      <w:r w:rsidRPr="00611649">
        <w:rPr>
          <w:b/>
          <w:sz w:val="24"/>
          <w:szCs w:val="24"/>
        </w:rPr>
        <w:t xml:space="preserve">856.3.    </w:t>
      </w:r>
      <w:r w:rsidR="00FB6FC1" w:rsidRPr="00611649">
        <w:rPr>
          <w:b/>
          <w:sz w:val="24"/>
          <w:szCs w:val="24"/>
        </w:rPr>
        <w:t xml:space="preserve">līdz termiņa beigām turēto ieguldījumu </w:t>
      </w:r>
      <w:r w:rsidR="00FB6FC1" w:rsidRPr="00611649">
        <w:rPr>
          <w:sz w:val="24"/>
          <w:szCs w:val="24"/>
        </w:rPr>
        <w:t xml:space="preserve">pārklasificē uz </w:t>
      </w:r>
      <w:r w:rsidR="00FB6FC1" w:rsidRPr="00611649">
        <w:rPr>
          <w:b/>
          <w:sz w:val="24"/>
          <w:szCs w:val="24"/>
        </w:rPr>
        <w:t xml:space="preserve">pārdošanai pieejamo finanšu aktīvu </w:t>
      </w:r>
      <w:r w:rsidR="00FB6FC1" w:rsidRPr="00611649">
        <w:rPr>
          <w:sz w:val="24"/>
          <w:szCs w:val="24"/>
        </w:rPr>
        <w:t>kategoriju tā patiesajā vērtībā pārklasifikācijas dienā, atzīstot vērtības izmaiņas finanšu instrumentu</w:t>
      </w:r>
      <w:r w:rsidR="00FB6FC1" w:rsidRPr="00611649">
        <w:rPr>
          <w:spacing w:val="-7"/>
          <w:sz w:val="24"/>
          <w:szCs w:val="24"/>
        </w:rPr>
        <w:t xml:space="preserve"> </w:t>
      </w:r>
      <w:r w:rsidR="00FB6FC1" w:rsidRPr="00611649">
        <w:rPr>
          <w:sz w:val="24"/>
          <w:szCs w:val="24"/>
        </w:rPr>
        <w:t>patiesās</w:t>
      </w:r>
      <w:r w:rsidR="00FB6FC1" w:rsidRPr="00611649">
        <w:rPr>
          <w:spacing w:val="-7"/>
          <w:sz w:val="24"/>
          <w:szCs w:val="24"/>
        </w:rPr>
        <w:t xml:space="preserve"> </w:t>
      </w:r>
      <w:r w:rsidR="00FB6FC1" w:rsidRPr="00611649">
        <w:rPr>
          <w:sz w:val="24"/>
          <w:szCs w:val="24"/>
        </w:rPr>
        <w:t>vērtības</w:t>
      </w:r>
      <w:r w:rsidR="00FB6FC1" w:rsidRPr="00611649">
        <w:rPr>
          <w:spacing w:val="-6"/>
          <w:sz w:val="24"/>
          <w:szCs w:val="24"/>
        </w:rPr>
        <w:t xml:space="preserve"> </w:t>
      </w:r>
      <w:r w:rsidR="00FB6FC1" w:rsidRPr="00611649">
        <w:rPr>
          <w:sz w:val="24"/>
          <w:szCs w:val="24"/>
        </w:rPr>
        <w:t>rezervē</w:t>
      </w:r>
      <w:r w:rsidR="00FB6FC1" w:rsidRPr="00611649">
        <w:rPr>
          <w:spacing w:val="-7"/>
          <w:sz w:val="24"/>
          <w:szCs w:val="24"/>
        </w:rPr>
        <w:t xml:space="preserve"> </w:t>
      </w:r>
      <w:r w:rsidR="00FB6FC1" w:rsidRPr="00611649">
        <w:rPr>
          <w:sz w:val="24"/>
          <w:szCs w:val="24"/>
        </w:rPr>
        <w:t>tikai</w:t>
      </w:r>
      <w:r w:rsidR="00FB6FC1" w:rsidRPr="00611649">
        <w:rPr>
          <w:spacing w:val="-6"/>
          <w:sz w:val="24"/>
          <w:szCs w:val="24"/>
        </w:rPr>
        <w:t xml:space="preserve"> </w:t>
      </w:r>
      <w:r w:rsidR="00FB6FC1" w:rsidRPr="00611649">
        <w:rPr>
          <w:sz w:val="24"/>
          <w:szCs w:val="24"/>
        </w:rPr>
        <w:t>tad,</w:t>
      </w:r>
      <w:r w:rsidR="00FB6FC1" w:rsidRPr="00611649">
        <w:rPr>
          <w:spacing w:val="-10"/>
          <w:sz w:val="24"/>
          <w:szCs w:val="24"/>
        </w:rPr>
        <w:t xml:space="preserve"> </w:t>
      </w:r>
      <w:r w:rsidR="00FB6FC1" w:rsidRPr="00611649">
        <w:rPr>
          <w:sz w:val="24"/>
          <w:szCs w:val="24"/>
        </w:rPr>
        <w:t>ja</w:t>
      </w:r>
      <w:r w:rsidR="00FB6FC1" w:rsidRPr="00611649">
        <w:rPr>
          <w:spacing w:val="-7"/>
          <w:sz w:val="24"/>
          <w:szCs w:val="24"/>
        </w:rPr>
        <w:t xml:space="preserve"> </w:t>
      </w:r>
      <w:r w:rsidR="00FB6FC1" w:rsidRPr="00611649">
        <w:rPr>
          <w:sz w:val="24"/>
          <w:szCs w:val="24"/>
        </w:rPr>
        <w:t>pārskata</w:t>
      </w:r>
      <w:r w:rsidR="00FB6FC1" w:rsidRPr="00611649">
        <w:rPr>
          <w:spacing w:val="-7"/>
          <w:sz w:val="24"/>
          <w:szCs w:val="24"/>
        </w:rPr>
        <w:t xml:space="preserve"> </w:t>
      </w:r>
      <w:r w:rsidR="00FB6FC1" w:rsidRPr="00611649">
        <w:rPr>
          <w:sz w:val="24"/>
          <w:szCs w:val="24"/>
        </w:rPr>
        <w:t>periodā</w:t>
      </w:r>
      <w:r w:rsidR="00FB6FC1" w:rsidRPr="00611649">
        <w:rPr>
          <w:spacing w:val="-7"/>
          <w:sz w:val="24"/>
          <w:szCs w:val="24"/>
        </w:rPr>
        <w:t xml:space="preserve"> </w:t>
      </w:r>
      <w:r w:rsidR="00FB6FC1" w:rsidRPr="00611649">
        <w:rPr>
          <w:sz w:val="24"/>
          <w:szCs w:val="24"/>
        </w:rPr>
        <w:t>mainīts</w:t>
      </w:r>
      <w:r w:rsidR="00FB6FC1" w:rsidRPr="00611649">
        <w:rPr>
          <w:spacing w:val="-7"/>
          <w:sz w:val="24"/>
          <w:szCs w:val="24"/>
        </w:rPr>
        <w:t xml:space="preserve"> </w:t>
      </w:r>
      <w:r w:rsidR="00FB6FC1" w:rsidRPr="00611649">
        <w:rPr>
          <w:sz w:val="24"/>
          <w:szCs w:val="24"/>
        </w:rPr>
        <w:t>finanšu</w:t>
      </w:r>
      <w:r w:rsidR="00FB6FC1" w:rsidRPr="00611649">
        <w:rPr>
          <w:spacing w:val="-9"/>
          <w:sz w:val="24"/>
          <w:szCs w:val="24"/>
        </w:rPr>
        <w:t xml:space="preserve"> </w:t>
      </w:r>
      <w:r w:rsidR="00FB6FC1" w:rsidRPr="00611649">
        <w:rPr>
          <w:sz w:val="24"/>
          <w:szCs w:val="24"/>
        </w:rPr>
        <w:t>aktīva</w:t>
      </w:r>
      <w:r w:rsidR="00FB6FC1" w:rsidRPr="00611649">
        <w:rPr>
          <w:spacing w:val="-7"/>
          <w:sz w:val="24"/>
          <w:szCs w:val="24"/>
        </w:rPr>
        <w:t xml:space="preserve"> </w:t>
      </w:r>
      <w:r w:rsidR="00FB6FC1" w:rsidRPr="00611649">
        <w:rPr>
          <w:sz w:val="24"/>
          <w:szCs w:val="24"/>
        </w:rPr>
        <w:t>turēšanas nolūks un budžeta iestāde vairs neplāno to turēt līdz tā termiņa beigām, izņemot šādos gadījumos, kad aktīva klasifikāciju</w:t>
      </w:r>
      <w:r w:rsidR="00FB6FC1" w:rsidRPr="00611649">
        <w:rPr>
          <w:spacing w:val="-1"/>
          <w:sz w:val="24"/>
          <w:szCs w:val="24"/>
        </w:rPr>
        <w:t xml:space="preserve"> </w:t>
      </w:r>
      <w:r w:rsidR="00FB6FC1" w:rsidRPr="00611649">
        <w:rPr>
          <w:sz w:val="24"/>
          <w:szCs w:val="24"/>
        </w:rPr>
        <w:t>nemaina:</w:t>
      </w:r>
    </w:p>
    <w:p w14:paraId="24D2B9FC" w14:textId="77777777" w:rsidR="00FB6FC1" w:rsidRPr="00611649" w:rsidRDefault="00FB6FC1" w:rsidP="00CD363C">
      <w:pPr>
        <w:pStyle w:val="Sarakstarindkopa"/>
        <w:widowControl w:val="0"/>
        <w:numPr>
          <w:ilvl w:val="4"/>
          <w:numId w:val="48"/>
        </w:numPr>
        <w:tabs>
          <w:tab w:val="left" w:pos="1853"/>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611649">
        <w:rPr>
          <w:rFonts w:ascii="Times New Roman" w:hAnsi="Times New Roman" w:cs="Times New Roman"/>
          <w:sz w:val="24"/>
          <w:szCs w:val="24"/>
        </w:rPr>
        <w:t>līdz finanšu aktīva termiņa beigām vai dzēšanai ir atlikušas mazāk nekā 90</w:t>
      </w:r>
      <w:r w:rsidRPr="00611649">
        <w:rPr>
          <w:rFonts w:ascii="Times New Roman" w:hAnsi="Times New Roman" w:cs="Times New Roman"/>
          <w:spacing w:val="-11"/>
          <w:sz w:val="24"/>
          <w:szCs w:val="24"/>
        </w:rPr>
        <w:t xml:space="preserve"> </w:t>
      </w:r>
      <w:r w:rsidRPr="00611649">
        <w:rPr>
          <w:rFonts w:ascii="Times New Roman" w:hAnsi="Times New Roman" w:cs="Times New Roman"/>
          <w:sz w:val="24"/>
          <w:szCs w:val="24"/>
        </w:rPr>
        <w:t>dienas;</w:t>
      </w:r>
    </w:p>
    <w:p w14:paraId="4335B7B6" w14:textId="77777777" w:rsidR="00FB6FC1" w:rsidRPr="00611649" w:rsidRDefault="00FB6FC1" w:rsidP="00CD363C">
      <w:pPr>
        <w:pStyle w:val="Sarakstarindkopa"/>
        <w:widowControl w:val="0"/>
        <w:numPr>
          <w:ilvl w:val="4"/>
          <w:numId w:val="48"/>
        </w:numPr>
        <w:tabs>
          <w:tab w:val="left" w:pos="1853"/>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611649">
        <w:rPr>
          <w:rFonts w:ascii="Times New Roman" w:hAnsi="Times New Roman" w:cs="Times New Roman"/>
          <w:sz w:val="24"/>
          <w:szCs w:val="24"/>
        </w:rPr>
        <w:t>budžeta iestāde ir saņēmusi vismaz 90 procentus no aktīva</w:t>
      </w:r>
      <w:r w:rsidRPr="00611649">
        <w:rPr>
          <w:rFonts w:ascii="Times New Roman" w:hAnsi="Times New Roman" w:cs="Times New Roman"/>
          <w:spacing w:val="-8"/>
          <w:sz w:val="24"/>
          <w:szCs w:val="24"/>
        </w:rPr>
        <w:t xml:space="preserve"> </w:t>
      </w:r>
      <w:r w:rsidRPr="00611649">
        <w:rPr>
          <w:rFonts w:ascii="Times New Roman" w:hAnsi="Times New Roman" w:cs="Times New Roman"/>
          <w:sz w:val="24"/>
          <w:szCs w:val="24"/>
        </w:rPr>
        <w:t>pamatsummas;</w:t>
      </w:r>
    </w:p>
    <w:p w14:paraId="7ED59FAC" w14:textId="77777777" w:rsidR="00FB6FC1" w:rsidRPr="00611649" w:rsidRDefault="00FB6FC1" w:rsidP="00CD363C">
      <w:pPr>
        <w:pStyle w:val="Sarakstarindkopa"/>
        <w:widowControl w:val="0"/>
        <w:numPr>
          <w:ilvl w:val="4"/>
          <w:numId w:val="48"/>
        </w:numPr>
        <w:tabs>
          <w:tab w:val="left" w:pos="1853"/>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611649">
        <w:rPr>
          <w:rFonts w:ascii="Times New Roman" w:hAnsi="Times New Roman" w:cs="Times New Roman"/>
          <w:sz w:val="24"/>
          <w:szCs w:val="24"/>
        </w:rPr>
        <w:t xml:space="preserve">pārskata periodā noticis notikums, kuru budžeta iestāde pamatoti nav varējusi paredzēt </w:t>
      </w:r>
      <w:r w:rsidRPr="00611649">
        <w:rPr>
          <w:rFonts w:ascii="Times New Roman" w:hAnsi="Times New Roman" w:cs="Times New Roman"/>
          <w:spacing w:val="-3"/>
          <w:sz w:val="24"/>
          <w:szCs w:val="24"/>
        </w:rPr>
        <w:t xml:space="preserve">un </w:t>
      </w:r>
      <w:r w:rsidRPr="00611649">
        <w:rPr>
          <w:rFonts w:ascii="Times New Roman" w:hAnsi="Times New Roman" w:cs="Times New Roman"/>
          <w:sz w:val="24"/>
          <w:szCs w:val="24"/>
        </w:rPr>
        <w:t>kontrolēt un kurš regulāri</w:t>
      </w:r>
      <w:r w:rsidRPr="00611649">
        <w:rPr>
          <w:rFonts w:ascii="Times New Roman" w:hAnsi="Times New Roman" w:cs="Times New Roman"/>
          <w:spacing w:val="-2"/>
          <w:sz w:val="24"/>
          <w:szCs w:val="24"/>
        </w:rPr>
        <w:t xml:space="preserve"> </w:t>
      </w:r>
      <w:r w:rsidRPr="00611649">
        <w:rPr>
          <w:rFonts w:ascii="Times New Roman" w:hAnsi="Times New Roman" w:cs="Times New Roman"/>
          <w:sz w:val="24"/>
          <w:szCs w:val="24"/>
        </w:rPr>
        <w:t>neatkārtojas;</w:t>
      </w:r>
    </w:p>
    <w:p w14:paraId="645B9287" w14:textId="77777777" w:rsidR="00FB6FC1" w:rsidRPr="00611649" w:rsidRDefault="00611649" w:rsidP="00CD363C">
      <w:pPr>
        <w:pStyle w:val="Pamatteksts"/>
        <w:ind w:left="284" w:right="407" w:hanging="284"/>
        <w:jc w:val="both"/>
        <w:rPr>
          <w:sz w:val="24"/>
          <w:szCs w:val="24"/>
        </w:rPr>
      </w:pPr>
      <w:r w:rsidRPr="007363E8">
        <w:rPr>
          <w:b/>
          <w:bCs/>
          <w:noProof/>
          <w:sz w:val="24"/>
          <w:szCs w:val="24"/>
        </w:rPr>
        <w:t xml:space="preserve">    856.4.</w:t>
      </w:r>
      <w:r>
        <w:rPr>
          <w:noProof/>
          <w:sz w:val="24"/>
          <w:szCs w:val="24"/>
        </w:rPr>
        <w:t xml:space="preserve">   </w:t>
      </w:r>
      <w:r w:rsidR="007363E8">
        <w:rPr>
          <w:noProof/>
          <w:sz w:val="24"/>
          <w:szCs w:val="24"/>
        </w:rPr>
        <w:t>p</w:t>
      </w:r>
      <w:r w:rsidR="00FB6FC1" w:rsidRPr="00611649">
        <w:rPr>
          <w:b/>
          <w:sz w:val="24"/>
          <w:szCs w:val="24"/>
        </w:rPr>
        <w:t xml:space="preserve">ārdošanai pieejamu finanšu aktīvu </w:t>
      </w:r>
      <w:r w:rsidR="00FB6FC1" w:rsidRPr="00611649">
        <w:rPr>
          <w:sz w:val="24"/>
          <w:szCs w:val="24"/>
        </w:rPr>
        <w:t xml:space="preserve">pārklasificē uz </w:t>
      </w:r>
      <w:r w:rsidR="00FB6FC1" w:rsidRPr="00611649">
        <w:rPr>
          <w:b/>
          <w:sz w:val="24"/>
          <w:szCs w:val="24"/>
        </w:rPr>
        <w:t xml:space="preserve">aizdevumu un prasību </w:t>
      </w:r>
      <w:r w:rsidR="00FB6FC1" w:rsidRPr="00611649">
        <w:rPr>
          <w:sz w:val="24"/>
          <w:szCs w:val="24"/>
        </w:rPr>
        <w:t>kategoriju tā patiesajā vērtībā pārklasifikācijas dienā, atzīstot finanšu instrumentu patiesās vērtības rezervē uzkrātās vērtības izmaiņas pārskata perioda ieņēmumos vai izdevumos, tikai tad, ja pārskata periodā mainīts finanšu aktīva turēšanas nolūks un budžeta iestāde turpmāk plāno to turēt līdz tā termiņa beigām.</w:t>
      </w:r>
    </w:p>
    <w:p w14:paraId="2811276D" w14:textId="77777777" w:rsidR="008021EB" w:rsidRPr="00611649" w:rsidRDefault="008021EB" w:rsidP="00CD363C">
      <w:pPr>
        <w:spacing w:after="0" w:line="240" w:lineRule="auto"/>
        <w:ind w:right="407"/>
        <w:jc w:val="both"/>
        <w:rPr>
          <w:rFonts w:ascii="Times New Roman" w:hAnsi="Times New Roman" w:cs="Times New Roman"/>
          <w:b/>
          <w:sz w:val="24"/>
          <w:szCs w:val="24"/>
        </w:rPr>
      </w:pPr>
    </w:p>
    <w:p w14:paraId="35224708" w14:textId="77777777" w:rsidR="007363E8" w:rsidRPr="007363E8" w:rsidRDefault="007363E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63E8">
        <w:rPr>
          <w:rFonts w:ascii="Times New Roman" w:hAnsi="Times New Roman" w:cs="Times New Roman"/>
          <w:sz w:val="24"/>
          <w:szCs w:val="24"/>
        </w:rPr>
        <w:t xml:space="preserve">857.   Budžeta iestāde nedrīkst klasificēt finanšu aktīvus kā </w:t>
      </w:r>
      <w:r w:rsidRPr="007363E8">
        <w:rPr>
          <w:rFonts w:ascii="Times New Roman" w:hAnsi="Times New Roman" w:cs="Times New Roman"/>
          <w:b/>
          <w:sz w:val="24"/>
          <w:szCs w:val="24"/>
        </w:rPr>
        <w:t>līdz termiņa beigām turētos ieguldījumus</w:t>
      </w:r>
      <w:r w:rsidRPr="007363E8">
        <w:rPr>
          <w:rFonts w:ascii="Times New Roman" w:hAnsi="Times New Roman" w:cs="Times New Roman"/>
          <w:sz w:val="24"/>
          <w:szCs w:val="24"/>
        </w:rPr>
        <w:t>, ja kārtējā pārskata gada vai divu iepriekšējo pārskata gadu laikā budžeta iestāde ir pārdevusi vai pārklasificējusi nozīmīgu (salīdzinot ar kopējo līdz termiņa beigām turēto ieguldījumu uzskaites vērtību) līdz termiņa beigām turētu ieguldījumu pirms to beigu termiņa, izņemot tādus pārdotus vai pārklasificētus līdz termiņa beigām turētus ieguldījumus,</w:t>
      </w:r>
      <w:r w:rsidRPr="007363E8">
        <w:rPr>
          <w:rFonts w:ascii="Times New Roman" w:hAnsi="Times New Roman" w:cs="Times New Roman"/>
          <w:spacing w:val="-11"/>
          <w:sz w:val="24"/>
          <w:szCs w:val="24"/>
        </w:rPr>
        <w:t xml:space="preserve"> </w:t>
      </w:r>
      <w:r w:rsidRPr="007363E8">
        <w:rPr>
          <w:rFonts w:ascii="Times New Roman" w:hAnsi="Times New Roman" w:cs="Times New Roman"/>
          <w:sz w:val="24"/>
          <w:szCs w:val="24"/>
        </w:rPr>
        <w:t>kuriem:</w:t>
      </w:r>
    </w:p>
    <w:p w14:paraId="7F0BCDDA" w14:textId="77777777" w:rsidR="007363E8" w:rsidRPr="007363E8" w:rsidRDefault="007363E8" w:rsidP="00CD363C">
      <w:pPr>
        <w:pStyle w:val="Sarakstarindkopa"/>
        <w:widowControl w:val="0"/>
        <w:numPr>
          <w:ilvl w:val="2"/>
          <w:numId w:val="52"/>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63E8">
        <w:rPr>
          <w:rFonts w:ascii="Times New Roman" w:hAnsi="Times New Roman" w:cs="Times New Roman"/>
          <w:sz w:val="24"/>
          <w:szCs w:val="24"/>
        </w:rPr>
        <w:t>darījums ir tik tuvu termiņa beigām vai finanšu aktīva dzēšanas datumam (mazāk nekā trīs mēnešus</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pirms</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termiņa</w:t>
      </w:r>
      <w:r w:rsidRPr="007363E8">
        <w:rPr>
          <w:rFonts w:ascii="Times New Roman" w:hAnsi="Times New Roman" w:cs="Times New Roman"/>
          <w:spacing w:val="-9"/>
          <w:sz w:val="24"/>
          <w:szCs w:val="24"/>
        </w:rPr>
        <w:t xml:space="preserve"> </w:t>
      </w:r>
      <w:r w:rsidRPr="007363E8">
        <w:rPr>
          <w:rFonts w:ascii="Times New Roman" w:hAnsi="Times New Roman" w:cs="Times New Roman"/>
          <w:sz w:val="24"/>
          <w:szCs w:val="24"/>
        </w:rPr>
        <w:t>beigām),</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ka</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tirgus</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procentu</w:t>
      </w:r>
      <w:r w:rsidRPr="007363E8">
        <w:rPr>
          <w:rFonts w:ascii="Times New Roman" w:hAnsi="Times New Roman" w:cs="Times New Roman"/>
          <w:spacing w:val="-7"/>
          <w:sz w:val="24"/>
          <w:szCs w:val="24"/>
        </w:rPr>
        <w:t xml:space="preserve"> </w:t>
      </w:r>
      <w:r w:rsidRPr="007363E8">
        <w:rPr>
          <w:rFonts w:ascii="Times New Roman" w:hAnsi="Times New Roman" w:cs="Times New Roman"/>
          <w:sz w:val="24"/>
          <w:szCs w:val="24"/>
        </w:rPr>
        <w:t>likmes</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izmaiņas</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būtiski</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neietekmētu</w:t>
      </w:r>
      <w:r w:rsidRPr="007363E8">
        <w:rPr>
          <w:rFonts w:ascii="Times New Roman" w:hAnsi="Times New Roman" w:cs="Times New Roman"/>
          <w:spacing w:val="-1"/>
          <w:sz w:val="24"/>
          <w:szCs w:val="24"/>
        </w:rPr>
        <w:t xml:space="preserve"> </w:t>
      </w:r>
      <w:r w:rsidRPr="007363E8">
        <w:rPr>
          <w:rFonts w:ascii="Times New Roman" w:hAnsi="Times New Roman" w:cs="Times New Roman"/>
          <w:sz w:val="24"/>
          <w:szCs w:val="24"/>
        </w:rPr>
        <w:t>finanšu aktīva patieso</w:t>
      </w:r>
      <w:r w:rsidRPr="007363E8">
        <w:rPr>
          <w:rFonts w:ascii="Times New Roman" w:hAnsi="Times New Roman" w:cs="Times New Roman"/>
          <w:spacing w:val="-4"/>
          <w:sz w:val="24"/>
          <w:szCs w:val="24"/>
        </w:rPr>
        <w:t xml:space="preserve"> </w:t>
      </w:r>
      <w:r w:rsidRPr="007363E8">
        <w:rPr>
          <w:rFonts w:ascii="Times New Roman" w:hAnsi="Times New Roman" w:cs="Times New Roman"/>
          <w:sz w:val="24"/>
          <w:szCs w:val="24"/>
        </w:rPr>
        <w:t>vērtību;</w:t>
      </w:r>
    </w:p>
    <w:p w14:paraId="02E51D22" w14:textId="77777777" w:rsidR="007363E8" w:rsidRPr="007363E8" w:rsidRDefault="007363E8" w:rsidP="00CD363C">
      <w:pPr>
        <w:pStyle w:val="Sarakstarindkopa"/>
        <w:widowControl w:val="0"/>
        <w:numPr>
          <w:ilvl w:val="2"/>
          <w:numId w:val="52"/>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63E8">
        <w:rPr>
          <w:rFonts w:ascii="Times New Roman" w:hAnsi="Times New Roman" w:cs="Times New Roman"/>
          <w:sz w:val="24"/>
          <w:szCs w:val="24"/>
        </w:rPr>
        <w:t>darījums rodas pēc tam, kad budžeta iestāde paredzēto maksājumu vai priekšapmaksas veidā ir saņēmusi gandrīz visu (vismaz 90%) aktīva sākotnējo pamatsummu;</w:t>
      </w:r>
      <w:r w:rsidRPr="007363E8">
        <w:rPr>
          <w:rFonts w:ascii="Times New Roman" w:hAnsi="Times New Roman" w:cs="Times New Roman"/>
          <w:spacing w:val="-7"/>
          <w:sz w:val="24"/>
          <w:szCs w:val="24"/>
        </w:rPr>
        <w:t xml:space="preserve"> </w:t>
      </w:r>
      <w:r w:rsidRPr="007363E8">
        <w:rPr>
          <w:rFonts w:ascii="Times New Roman" w:hAnsi="Times New Roman" w:cs="Times New Roman"/>
          <w:sz w:val="24"/>
          <w:szCs w:val="24"/>
        </w:rPr>
        <w:t>vai</w:t>
      </w:r>
    </w:p>
    <w:p w14:paraId="2A9B5B6C" w14:textId="77777777" w:rsidR="007363E8" w:rsidRDefault="007363E8" w:rsidP="00CD363C">
      <w:pPr>
        <w:pStyle w:val="Sarakstarindkopa"/>
        <w:widowControl w:val="0"/>
        <w:numPr>
          <w:ilvl w:val="2"/>
          <w:numId w:val="52"/>
        </w:numPr>
        <w:tabs>
          <w:tab w:val="left" w:pos="1472"/>
        </w:tabs>
        <w:autoSpaceDE w:val="0"/>
        <w:autoSpaceDN w:val="0"/>
        <w:spacing w:after="0" w:line="240" w:lineRule="auto"/>
        <w:ind w:right="407" w:hanging="283"/>
        <w:contextualSpacing w:val="0"/>
        <w:jc w:val="both"/>
      </w:pPr>
      <w:r w:rsidRPr="007363E8">
        <w:rPr>
          <w:rFonts w:ascii="Times New Roman" w:hAnsi="Times New Roman" w:cs="Times New Roman"/>
          <w:sz w:val="24"/>
          <w:szCs w:val="24"/>
        </w:rPr>
        <w:t>darījumi ir attiecināmi uz atsevišķu gadījumu, kas ir ārpus budžeta iestādes kontroles, regulāri neatkārtojas un kurus budžeta iestād</w:t>
      </w:r>
      <w:r>
        <w:t>e pamatoti nav varējusi</w:t>
      </w:r>
      <w:r>
        <w:rPr>
          <w:spacing w:val="-4"/>
        </w:rPr>
        <w:t xml:space="preserve"> </w:t>
      </w:r>
      <w:r>
        <w:t>paredzēt.</w:t>
      </w:r>
    </w:p>
    <w:p w14:paraId="250F0F50" w14:textId="77777777" w:rsidR="008021EB" w:rsidRPr="007363E8" w:rsidRDefault="007363E8" w:rsidP="00CD363C">
      <w:pPr>
        <w:spacing w:after="0" w:line="240" w:lineRule="auto"/>
        <w:ind w:right="407"/>
        <w:jc w:val="both"/>
        <w:rPr>
          <w:rFonts w:ascii="Times New Roman" w:hAnsi="Times New Roman" w:cs="Times New Roman"/>
          <w:b/>
          <w:bCs/>
          <w:sz w:val="24"/>
          <w:szCs w:val="24"/>
        </w:rPr>
      </w:pPr>
      <w:r w:rsidRPr="007363E8">
        <w:rPr>
          <w:rFonts w:ascii="Times New Roman" w:hAnsi="Times New Roman" w:cs="Times New Roman"/>
          <w:b/>
          <w:bCs/>
          <w:sz w:val="24"/>
          <w:szCs w:val="24"/>
        </w:rPr>
        <w:t>21.6. Atsavināto finanšu instrumentu uzskaite</w:t>
      </w:r>
    </w:p>
    <w:p w14:paraId="4DCB28B5" w14:textId="77777777" w:rsidR="007363E8" w:rsidRPr="003A404B" w:rsidRDefault="007363E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3A404B">
        <w:rPr>
          <w:rFonts w:ascii="Times New Roman" w:hAnsi="Times New Roman" w:cs="Times New Roman"/>
          <w:sz w:val="24"/>
          <w:szCs w:val="24"/>
        </w:rPr>
        <w:t>858.   Atvasinātam finanšu instrumentam (finanšu aktīvam vai finanšu saistībām) piemīt visas sekojošās</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pazīmes:</w:t>
      </w:r>
    </w:p>
    <w:p w14:paraId="05E58DE3" w14:textId="77777777" w:rsidR="007363E8" w:rsidRPr="003A404B" w:rsidRDefault="007363E8" w:rsidP="00CD363C">
      <w:pPr>
        <w:pStyle w:val="Sarakstarindkopa"/>
        <w:widowControl w:val="0"/>
        <w:numPr>
          <w:ilvl w:val="2"/>
          <w:numId w:val="53"/>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A404B">
        <w:rPr>
          <w:rFonts w:ascii="Times New Roman" w:hAnsi="Times New Roman" w:cs="Times New Roman"/>
          <w:sz w:val="24"/>
          <w:szCs w:val="24"/>
        </w:rPr>
        <w:t>tā</w:t>
      </w:r>
      <w:r w:rsidRPr="003A404B">
        <w:rPr>
          <w:rFonts w:ascii="Times New Roman" w:hAnsi="Times New Roman" w:cs="Times New Roman"/>
          <w:spacing w:val="-3"/>
          <w:sz w:val="24"/>
          <w:szCs w:val="24"/>
        </w:rPr>
        <w:t xml:space="preserve"> </w:t>
      </w:r>
      <w:r w:rsidRPr="003A404B">
        <w:rPr>
          <w:rFonts w:ascii="Times New Roman" w:hAnsi="Times New Roman" w:cs="Times New Roman"/>
          <w:sz w:val="24"/>
          <w:szCs w:val="24"/>
        </w:rPr>
        <w:t>vērtība</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mainās</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atkarībā</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no</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noteiktas</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procentu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likmes,</w:t>
      </w:r>
      <w:r w:rsidRPr="003A404B">
        <w:rPr>
          <w:rFonts w:ascii="Times New Roman" w:hAnsi="Times New Roman" w:cs="Times New Roman"/>
          <w:spacing w:val="-3"/>
          <w:sz w:val="24"/>
          <w:szCs w:val="24"/>
        </w:rPr>
        <w:t xml:space="preserve"> </w:t>
      </w:r>
      <w:r w:rsidRPr="003A404B">
        <w:rPr>
          <w:rFonts w:ascii="Times New Roman" w:hAnsi="Times New Roman" w:cs="Times New Roman"/>
          <w:sz w:val="24"/>
          <w:szCs w:val="24"/>
        </w:rPr>
        <w:t>finanšu</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instrumentu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cenas,</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preču</w:t>
      </w:r>
      <w:r w:rsidRPr="003A404B">
        <w:rPr>
          <w:rFonts w:ascii="Times New Roman" w:hAnsi="Times New Roman" w:cs="Times New Roman"/>
          <w:spacing w:val="-6"/>
          <w:sz w:val="24"/>
          <w:szCs w:val="24"/>
        </w:rPr>
        <w:t xml:space="preserve"> </w:t>
      </w:r>
      <w:r w:rsidRPr="003A404B">
        <w:rPr>
          <w:rFonts w:ascii="Times New Roman" w:hAnsi="Times New Roman" w:cs="Times New Roman"/>
          <w:sz w:val="24"/>
          <w:szCs w:val="24"/>
        </w:rPr>
        <w:t>cenas, ārvalstu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valūtas</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kursa,</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cenu</w:t>
      </w:r>
      <w:r w:rsidRPr="003A404B">
        <w:rPr>
          <w:rFonts w:ascii="Times New Roman" w:hAnsi="Times New Roman" w:cs="Times New Roman"/>
          <w:spacing w:val="-6"/>
          <w:sz w:val="24"/>
          <w:szCs w:val="24"/>
        </w:rPr>
        <w:t xml:space="preserve"> </w:t>
      </w:r>
      <w:r w:rsidRPr="003A404B">
        <w:rPr>
          <w:rFonts w:ascii="Times New Roman" w:hAnsi="Times New Roman" w:cs="Times New Roman"/>
          <w:sz w:val="24"/>
          <w:szCs w:val="24"/>
        </w:rPr>
        <w:t>vai</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likmju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indeksa,</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kredītreitinga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vai</w:t>
      </w:r>
      <w:r w:rsidRPr="003A404B">
        <w:rPr>
          <w:rFonts w:ascii="Times New Roman" w:hAnsi="Times New Roman" w:cs="Times New Roman"/>
          <w:spacing w:val="-3"/>
          <w:sz w:val="24"/>
          <w:szCs w:val="24"/>
        </w:rPr>
        <w:t xml:space="preserve"> </w:t>
      </w:r>
      <w:r w:rsidRPr="003A404B">
        <w:rPr>
          <w:rFonts w:ascii="Times New Roman" w:hAnsi="Times New Roman" w:cs="Times New Roman"/>
          <w:sz w:val="24"/>
          <w:szCs w:val="24"/>
        </w:rPr>
        <w:t>cita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mainīga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faktora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izmaiņām ar nosacījumu, ka nefinanšu mainīgais faktors nav īpaši attiecināms uz kādu līgumu slēdzošo pusi;</w:t>
      </w:r>
    </w:p>
    <w:p w14:paraId="5280E0AE" w14:textId="77777777" w:rsidR="007363E8" w:rsidRPr="003A404B" w:rsidRDefault="007363E8" w:rsidP="00CD363C">
      <w:pPr>
        <w:pStyle w:val="Sarakstarindkopa"/>
        <w:widowControl w:val="0"/>
        <w:numPr>
          <w:ilvl w:val="2"/>
          <w:numId w:val="53"/>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A404B">
        <w:rPr>
          <w:rFonts w:ascii="Times New Roman" w:hAnsi="Times New Roman" w:cs="Times New Roman"/>
          <w:sz w:val="24"/>
          <w:szCs w:val="24"/>
        </w:rPr>
        <w:t>sākotnējais neto ieguldījums ir mazāks nekā būtu nepieciešams cita veida līgumu noslēgšanai, kas līdzīgā veidā ir atkarīgi no tirgus faktoru izmaiņām, vai sākotnējais ieguldījums nav nepieciešams;</w:t>
      </w:r>
    </w:p>
    <w:p w14:paraId="35385B4A" w14:textId="77777777" w:rsidR="007363E8" w:rsidRPr="003A404B" w:rsidRDefault="007363E8" w:rsidP="00CD363C">
      <w:pPr>
        <w:pStyle w:val="Sarakstarindkopa"/>
        <w:widowControl w:val="0"/>
        <w:numPr>
          <w:ilvl w:val="2"/>
          <w:numId w:val="53"/>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A404B">
        <w:rPr>
          <w:rFonts w:ascii="Times New Roman" w:hAnsi="Times New Roman" w:cs="Times New Roman"/>
          <w:sz w:val="24"/>
          <w:szCs w:val="24"/>
        </w:rPr>
        <w:t>tā norēķins tiek veikts nākotnes</w:t>
      </w:r>
      <w:r w:rsidRPr="003A404B">
        <w:rPr>
          <w:rFonts w:ascii="Times New Roman" w:hAnsi="Times New Roman" w:cs="Times New Roman"/>
          <w:spacing w:val="-7"/>
          <w:sz w:val="24"/>
          <w:szCs w:val="24"/>
        </w:rPr>
        <w:t xml:space="preserve"> </w:t>
      </w:r>
      <w:r w:rsidRPr="003A404B">
        <w:rPr>
          <w:rFonts w:ascii="Times New Roman" w:hAnsi="Times New Roman" w:cs="Times New Roman"/>
          <w:sz w:val="24"/>
          <w:szCs w:val="24"/>
        </w:rPr>
        <w:t>datumā.</w:t>
      </w:r>
    </w:p>
    <w:p w14:paraId="4E12E4D2" w14:textId="77777777" w:rsidR="007363E8" w:rsidRPr="003A404B" w:rsidRDefault="007363E8" w:rsidP="00CD363C">
      <w:pPr>
        <w:pStyle w:val="Sarakstarindkopa"/>
        <w:widowControl w:val="0"/>
        <w:numPr>
          <w:ilvl w:val="0"/>
          <w:numId w:val="54"/>
        </w:numPr>
        <w:tabs>
          <w:tab w:val="left" w:pos="1018"/>
        </w:tabs>
        <w:autoSpaceDE w:val="0"/>
        <w:autoSpaceDN w:val="0"/>
        <w:spacing w:after="0" w:line="240" w:lineRule="auto"/>
        <w:ind w:left="0" w:right="407" w:firstLine="0"/>
        <w:jc w:val="both"/>
        <w:rPr>
          <w:rFonts w:ascii="Times New Roman" w:hAnsi="Times New Roman" w:cs="Times New Roman"/>
          <w:i/>
          <w:sz w:val="24"/>
          <w:szCs w:val="24"/>
        </w:rPr>
      </w:pPr>
      <w:r w:rsidRPr="003A404B">
        <w:rPr>
          <w:rFonts w:ascii="Times New Roman" w:hAnsi="Times New Roman" w:cs="Times New Roman"/>
          <w:sz w:val="24"/>
          <w:szCs w:val="24"/>
        </w:rPr>
        <w:t xml:space="preserve">Atvasinātie finanšu instrumenti visbiežāk ir saistīti ar vērtspapīru, ārvalstu valūtu, izejmateriālu u.c. pirkšanas un pārdošanas darījumiem. Tipiskākie atvasināto finanšu instrumentu piemēri ir biržā tirgotie un ārpusbiržas nākotnes līgumi, mijmaiņas un iespējas līgumi. </w:t>
      </w:r>
      <w:r w:rsidRPr="003A404B">
        <w:rPr>
          <w:rFonts w:ascii="Times New Roman" w:hAnsi="Times New Roman" w:cs="Times New Roman"/>
          <w:i/>
          <w:sz w:val="24"/>
          <w:szCs w:val="24"/>
        </w:rPr>
        <w:t>Piemēram, nākotnes līgums, lai nopirktu fiksētas likmes parāda instrumentu vai iegādātos ārvalstu valūtu par fiksētu</w:t>
      </w:r>
      <w:r w:rsidRPr="003A404B">
        <w:rPr>
          <w:rFonts w:ascii="Times New Roman" w:hAnsi="Times New Roman" w:cs="Times New Roman"/>
          <w:i/>
          <w:spacing w:val="-22"/>
          <w:sz w:val="24"/>
          <w:szCs w:val="24"/>
        </w:rPr>
        <w:t xml:space="preserve"> </w:t>
      </w:r>
      <w:r w:rsidRPr="003A404B">
        <w:rPr>
          <w:rFonts w:ascii="Times New Roman" w:hAnsi="Times New Roman" w:cs="Times New Roman"/>
          <w:i/>
          <w:sz w:val="24"/>
          <w:szCs w:val="24"/>
        </w:rPr>
        <w:t>likmi.</w:t>
      </w:r>
    </w:p>
    <w:p w14:paraId="45E13C4F" w14:textId="77777777" w:rsidR="008021EB" w:rsidRPr="003A404B" w:rsidRDefault="007363E8" w:rsidP="00CD363C">
      <w:pPr>
        <w:pStyle w:val="Sarakstarindkopa"/>
        <w:numPr>
          <w:ilvl w:val="0"/>
          <w:numId w:val="54"/>
        </w:numPr>
        <w:spacing w:after="0" w:line="240" w:lineRule="auto"/>
        <w:ind w:left="0" w:right="407" w:firstLine="0"/>
        <w:jc w:val="both"/>
        <w:rPr>
          <w:rFonts w:ascii="Times New Roman" w:hAnsi="Times New Roman" w:cs="Times New Roman"/>
          <w:sz w:val="24"/>
          <w:szCs w:val="24"/>
        </w:rPr>
      </w:pPr>
      <w:r w:rsidRPr="003A404B">
        <w:rPr>
          <w:rFonts w:ascii="Times New Roman" w:hAnsi="Times New Roman" w:cs="Times New Roman"/>
          <w:sz w:val="24"/>
          <w:szCs w:val="24"/>
        </w:rPr>
        <w:t>Budžeta iestāde atzīst atvasinātu finanšu instrumentu (finanšu aktīvu vai finanšu saistības, kas rodas no šī finanšu instrumenta) atbilstoši darījumu apliecinošiem dokumentiem dienā, kad iegūst tiesības saņemt</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finanšu</w:t>
      </w:r>
      <w:r w:rsidRPr="003A404B">
        <w:rPr>
          <w:rFonts w:ascii="Times New Roman" w:hAnsi="Times New Roman" w:cs="Times New Roman"/>
          <w:spacing w:val="-9"/>
          <w:sz w:val="24"/>
          <w:szCs w:val="24"/>
        </w:rPr>
        <w:t xml:space="preserve"> </w:t>
      </w:r>
      <w:r w:rsidRPr="003A404B">
        <w:rPr>
          <w:rFonts w:ascii="Times New Roman" w:hAnsi="Times New Roman" w:cs="Times New Roman"/>
          <w:sz w:val="24"/>
          <w:szCs w:val="24"/>
        </w:rPr>
        <w:t>aktīvu</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vai</w:t>
      </w:r>
      <w:r w:rsidRPr="003A404B">
        <w:rPr>
          <w:rFonts w:ascii="Times New Roman" w:hAnsi="Times New Roman" w:cs="Times New Roman"/>
          <w:spacing w:val="-9"/>
          <w:sz w:val="24"/>
          <w:szCs w:val="24"/>
        </w:rPr>
        <w:t xml:space="preserve"> </w:t>
      </w:r>
      <w:r w:rsidRPr="003A404B">
        <w:rPr>
          <w:rFonts w:ascii="Times New Roman" w:hAnsi="Times New Roman" w:cs="Times New Roman"/>
          <w:sz w:val="24"/>
          <w:szCs w:val="24"/>
        </w:rPr>
        <w:t>uzņemas</w:t>
      </w:r>
      <w:r w:rsidRPr="003A404B">
        <w:rPr>
          <w:rFonts w:ascii="Times New Roman" w:hAnsi="Times New Roman" w:cs="Times New Roman"/>
          <w:spacing w:val="-9"/>
          <w:sz w:val="24"/>
          <w:szCs w:val="24"/>
        </w:rPr>
        <w:t xml:space="preserve"> </w:t>
      </w:r>
      <w:r w:rsidRPr="003A404B">
        <w:rPr>
          <w:rFonts w:ascii="Times New Roman" w:hAnsi="Times New Roman" w:cs="Times New Roman"/>
          <w:sz w:val="24"/>
          <w:szCs w:val="24"/>
        </w:rPr>
        <w:t>pienākumu</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norēķināties.</w:t>
      </w:r>
      <w:r w:rsidRPr="003A404B">
        <w:rPr>
          <w:rFonts w:ascii="Times New Roman" w:hAnsi="Times New Roman" w:cs="Times New Roman"/>
          <w:spacing w:val="-11"/>
          <w:sz w:val="24"/>
          <w:szCs w:val="24"/>
        </w:rPr>
        <w:t xml:space="preserve"> </w:t>
      </w:r>
      <w:r w:rsidRPr="003A404B">
        <w:rPr>
          <w:rFonts w:ascii="Times New Roman" w:hAnsi="Times New Roman" w:cs="Times New Roman"/>
          <w:sz w:val="24"/>
          <w:szCs w:val="24"/>
        </w:rPr>
        <w:t>Atvasināto</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finanšu</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instrumentu</w:t>
      </w:r>
      <w:r w:rsidRPr="003A404B">
        <w:rPr>
          <w:rFonts w:ascii="Times New Roman" w:hAnsi="Times New Roman" w:cs="Times New Roman"/>
          <w:spacing w:val="-11"/>
          <w:sz w:val="24"/>
          <w:szCs w:val="24"/>
        </w:rPr>
        <w:t xml:space="preserve"> </w:t>
      </w:r>
      <w:r w:rsidRPr="003A404B">
        <w:rPr>
          <w:rFonts w:ascii="Times New Roman" w:hAnsi="Times New Roman" w:cs="Times New Roman"/>
          <w:sz w:val="24"/>
          <w:szCs w:val="24"/>
        </w:rPr>
        <w:t>sākotnēji novērtē tā patiesajā vērtībā un uzskaita grāmatvedības uzskaitē, veicot sekojošu</w:t>
      </w:r>
      <w:r w:rsidRPr="003A404B">
        <w:rPr>
          <w:rFonts w:ascii="Times New Roman" w:hAnsi="Times New Roman" w:cs="Times New Roman"/>
          <w:spacing w:val="-17"/>
          <w:sz w:val="24"/>
          <w:szCs w:val="24"/>
        </w:rPr>
        <w:t xml:space="preserve"> </w:t>
      </w:r>
      <w:r w:rsidRPr="003A404B">
        <w:rPr>
          <w:rFonts w:ascii="Times New Roman" w:hAnsi="Times New Roman" w:cs="Times New Roman"/>
          <w:sz w:val="24"/>
          <w:szCs w:val="24"/>
        </w:rPr>
        <w:t>grāmatojumu</w:t>
      </w:r>
      <w:r w:rsidR="003A404B" w:rsidRPr="003A404B">
        <w:rPr>
          <w:rFonts w:ascii="Times New Roman" w:hAnsi="Times New Roman" w:cs="Times New Roman"/>
          <w:sz w:val="24"/>
          <w:szCs w:val="24"/>
        </w:rPr>
        <w:t>;</w:t>
      </w:r>
    </w:p>
    <w:p w14:paraId="6CD36B61" w14:textId="77777777" w:rsidR="003A404B" w:rsidRPr="003A404B" w:rsidRDefault="003A404B" w:rsidP="00CD363C">
      <w:pPr>
        <w:pStyle w:val="Sarakstarindkopa"/>
        <w:spacing w:after="0" w:line="240" w:lineRule="auto"/>
        <w:ind w:left="510" w:right="407"/>
        <w:jc w:val="both"/>
        <w:rPr>
          <w:rFonts w:ascii="Times New Roman" w:hAnsi="Times New Roman" w:cs="Times New Roman"/>
          <w:i/>
          <w:iCs/>
          <w:sz w:val="24"/>
          <w:szCs w:val="24"/>
        </w:rPr>
      </w:pPr>
    </w:p>
    <w:p w14:paraId="05CB496D" w14:textId="77777777" w:rsidR="003A404B" w:rsidRPr="003A404B" w:rsidRDefault="003A404B" w:rsidP="00CD363C">
      <w:pPr>
        <w:pStyle w:val="Sarakstarindkopa"/>
        <w:spacing w:after="0" w:line="240" w:lineRule="auto"/>
        <w:ind w:left="510" w:right="407"/>
        <w:jc w:val="both"/>
        <w:rPr>
          <w:rFonts w:ascii="Times New Roman" w:hAnsi="Times New Roman" w:cs="Times New Roman"/>
          <w:i/>
          <w:iCs/>
          <w:sz w:val="24"/>
          <w:szCs w:val="24"/>
        </w:rPr>
      </w:pPr>
      <w:r w:rsidRPr="003A404B">
        <w:rPr>
          <w:rFonts w:ascii="Times New Roman" w:hAnsi="Times New Roman" w:cs="Times New Roman"/>
          <w:i/>
          <w:iCs/>
          <w:sz w:val="24"/>
          <w:szCs w:val="24"/>
        </w:rPr>
        <w:t>Grāmatojums, atzīstot atvasināto finanšu instrumentu (finanšu aktīvu):</w:t>
      </w:r>
    </w:p>
    <w:p w14:paraId="62CC7E56" w14:textId="77777777" w:rsidR="008021E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sz w:val="24"/>
          <w:szCs w:val="24"/>
        </w:rPr>
        <w:t xml:space="preserve">    </w:t>
      </w:r>
      <w:r w:rsidRPr="003A404B">
        <w:rPr>
          <w:rFonts w:ascii="Times New Roman" w:hAnsi="Times New Roman" w:cs="Times New Roman"/>
          <w:b/>
          <w:bCs/>
          <w:sz w:val="24"/>
          <w:szCs w:val="24"/>
        </w:rPr>
        <w:t>D     1349   Ilgtermiņa finanšu ieguldījumi vērtspapīros</w:t>
      </w:r>
    </w:p>
    <w:p w14:paraId="5A179BBB"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D    1359   Pārējie ilgtermiņa finanšu ieguldījumi</w:t>
      </w:r>
    </w:p>
    <w:p w14:paraId="56BE43C0"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D    2349   Pārējie īstermiņa finanšu ieguldījumi vērtspapīros</w:t>
      </w:r>
    </w:p>
    <w:p w14:paraId="5C3A0F64"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D    2559   Pārējie īstermiņa finanšu ieguldījumi</w:t>
      </w:r>
    </w:p>
    <w:p w14:paraId="3A6D45B9"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K    2620   Naudas līdzekļi</w:t>
      </w:r>
    </w:p>
    <w:p w14:paraId="0D188E3F" w14:textId="77777777" w:rsidR="003A404B" w:rsidRDefault="003A404B" w:rsidP="00CD363C">
      <w:pPr>
        <w:spacing w:after="0" w:line="240" w:lineRule="auto"/>
        <w:ind w:left="622" w:right="407"/>
        <w:jc w:val="both"/>
        <w:rPr>
          <w:i/>
        </w:rPr>
      </w:pPr>
      <w:r>
        <w:rPr>
          <w:i/>
        </w:rPr>
        <w:t>Grāmatojums, atzīstot atvasināto finanšu instrumentu (finanšu saistības):</w:t>
      </w:r>
    </w:p>
    <w:p w14:paraId="0215B7AB" w14:textId="77777777" w:rsidR="003A404B" w:rsidRDefault="003A404B" w:rsidP="00CD363C">
      <w:pPr>
        <w:pStyle w:val="Pamatteksts"/>
        <w:ind w:right="407"/>
        <w:jc w:val="both"/>
        <w:rPr>
          <w:i/>
          <w:sz w:val="7"/>
        </w:rPr>
      </w:pPr>
    </w:p>
    <w:p w14:paraId="1633D81E" w14:textId="77777777" w:rsidR="008021EB" w:rsidRDefault="003A404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D    2620   Naudas līdzekļi</w:t>
      </w:r>
    </w:p>
    <w:p w14:paraId="5DF6A4D5" w14:textId="77777777" w:rsidR="003A404B" w:rsidRDefault="003A404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5199   Pārējās iepriekš neklasificētās ilgtermiņa saistības</w:t>
      </w:r>
    </w:p>
    <w:p w14:paraId="5A1E571E" w14:textId="77777777" w:rsidR="003A404B" w:rsidRDefault="003A404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5819   Pārējās īstermiņa saistības</w:t>
      </w:r>
    </w:p>
    <w:p w14:paraId="59010EA3"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i/>
          <w:sz w:val="24"/>
          <w:szCs w:val="24"/>
        </w:rPr>
      </w:pPr>
      <w:r w:rsidRPr="00521A61">
        <w:rPr>
          <w:rFonts w:ascii="Times New Roman" w:hAnsi="Times New Roman" w:cs="Times New Roman"/>
          <w:sz w:val="24"/>
          <w:szCs w:val="24"/>
        </w:rPr>
        <w:t xml:space="preserve">861.   </w:t>
      </w:r>
      <w:r w:rsidR="003A404B" w:rsidRPr="00521A61">
        <w:rPr>
          <w:rFonts w:ascii="Times New Roman" w:hAnsi="Times New Roman" w:cs="Times New Roman"/>
          <w:sz w:val="24"/>
          <w:szCs w:val="24"/>
        </w:rPr>
        <w:t>Izmaksas, kuras ir tieši attiecināmas uz atvasinātā finanšu instrumenta iegādi (piemēram, komisijas maksas</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tirdzniecības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aģentiem,</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brokeriem),</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atzīst</w:t>
      </w:r>
      <w:r w:rsidR="003A404B" w:rsidRPr="00521A61">
        <w:rPr>
          <w:rFonts w:ascii="Times New Roman" w:hAnsi="Times New Roman" w:cs="Times New Roman"/>
          <w:spacing w:val="-8"/>
          <w:sz w:val="24"/>
          <w:szCs w:val="24"/>
        </w:rPr>
        <w:t xml:space="preserve"> </w:t>
      </w:r>
      <w:r w:rsidR="003A404B" w:rsidRPr="00521A61">
        <w:rPr>
          <w:rFonts w:ascii="Times New Roman" w:hAnsi="Times New Roman" w:cs="Times New Roman"/>
          <w:sz w:val="24"/>
          <w:szCs w:val="24"/>
        </w:rPr>
        <w:t>finanšu</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izdevumos</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dienā,</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kad</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saņemts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 xml:space="preserve">pakalpojums saskaņā ar attaisnojuma dokumentu vai saskaņā ar līguma nosacījumiem. </w:t>
      </w:r>
      <w:r w:rsidR="003A404B" w:rsidRPr="00521A61">
        <w:rPr>
          <w:rFonts w:ascii="Times New Roman" w:hAnsi="Times New Roman" w:cs="Times New Roman"/>
          <w:i/>
          <w:sz w:val="24"/>
          <w:szCs w:val="24"/>
        </w:rPr>
        <w:t>Piemēram, 2020.gadā budžeta</w:t>
      </w:r>
      <w:r w:rsidR="003A404B" w:rsidRPr="00521A61">
        <w:rPr>
          <w:rFonts w:ascii="Times New Roman" w:hAnsi="Times New Roman" w:cs="Times New Roman"/>
          <w:i/>
          <w:spacing w:val="-7"/>
          <w:sz w:val="24"/>
          <w:szCs w:val="24"/>
        </w:rPr>
        <w:t xml:space="preserve"> </w:t>
      </w:r>
      <w:r w:rsidR="003A404B" w:rsidRPr="00521A61">
        <w:rPr>
          <w:rFonts w:ascii="Times New Roman" w:hAnsi="Times New Roman" w:cs="Times New Roman"/>
          <w:i/>
          <w:sz w:val="24"/>
          <w:szCs w:val="24"/>
        </w:rPr>
        <w:t>iestāde</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veic</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maksājumu</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15</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000,00</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EUR</w:t>
      </w:r>
      <w:r w:rsidR="003A404B" w:rsidRPr="00521A61">
        <w:rPr>
          <w:rFonts w:ascii="Times New Roman" w:hAnsi="Times New Roman" w:cs="Times New Roman"/>
          <w:i/>
          <w:spacing w:val="-7"/>
          <w:sz w:val="24"/>
          <w:szCs w:val="24"/>
        </w:rPr>
        <w:t xml:space="preserve"> </w:t>
      </w:r>
      <w:r w:rsidR="003A404B" w:rsidRPr="00521A61">
        <w:rPr>
          <w:rFonts w:ascii="Times New Roman" w:hAnsi="Times New Roman" w:cs="Times New Roman"/>
          <w:i/>
          <w:sz w:val="24"/>
          <w:szCs w:val="24"/>
        </w:rPr>
        <w:t>apmērā,</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lai</w:t>
      </w:r>
      <w:r w:rsidR="003A404B" w:rsidRPr="00521A61">
        <w:rPr>
          <w:rFonts w:ascii="Times New Roman" w:hAnsi="Times New Roman" w:cs="Times New Roman"/>
          <w:i/>
          <w:spacing w:val="-5"/>
          <w:sz w:val="24"/>
          <w:szCs w:val="24"/>
        </w:rPr>
        <w:t xml:space="preserve"> </w:t>
      </w:r>
      <w:r w:rsidR="003A404B" w:rsidRPr="00521A61">
        <w:rPr>
          <w:rFonts w:ascii="Times New Roman" w:hAnsi="Times New Roman" w:cs="Times New Roman"/>
          <w:i/>
          <w:sz w:val="24"/>
          <w:szCs w:val="24"/>
        </w:rPr>
        <w:t>iegūtu</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tiesības</w:t>
      </w:r>
      <w:r w:rsidR="003A404B" w:rsidRPr="00521A61">
        <w:rPr>
          <w:rFonts w:ascii="Times New Roman" w:hAnsi="Times New Roman" w:cs="Times New Roman"/>
          <w:i/>
          <w:spacing w:val="-5"/>
          <w:sz w:val="24"/>
          <w:szCs w:val="24"/>
        </w:rPr>
        <w:t xml:space="preserve"> </w:t>
      </w:r>
      <w:r w:rsidR="003A404B" w:rsidRPr="00521A61">
        <w:rPr>
          <w:rFonts w:ascii="Times New Roman" w:hAnsi="Times New Roman" w:cs="Times New Roman"/>
          <w:i/>
          <w:sz w:val="24"/>
          <w:szCs w:val="24"/>
        </w:rPr>
        <w:t>iegādāties</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noteikta</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skaita vērtspapīrus</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par</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500</w:t>
      </w:r>
      <w:r w:rsidR="003A404B" w:rsidRPr="00521A61">
        <w:rPr>
          <w:rFonts w:ascii="Times New Roman" w:hAnsi="Times New Roman" w:cs="Times New Roman"/>
          <w:i/>
          <w:spacing w:val="-2"/>
          <w:sz w:val="24"/>
          <w:szCs w:val="24"/>
        </w:rPr>
        <w:t xml:space="preserve"> </w:t>
      </w:r>
      <w:r w:rsidR="003A404B" w:rsidRPr="00521A61">
        <w:rPr>
          <w:rFonts w:ascii="Times New Roman" w:hAnsi="Times New Roman" w:cs="Times New Roman"/>
          <w:i/>
          <w:sz w:val="24"/>
          <w:szCs w:val="24"/>
        </w:rPr>
        <w:t>000,00</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EUR</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nākotnes</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datumā.</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Darījuma</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izmaksas</w:t>
      </w:r>
      <w:r w:rsidR="003A404B" w:rsidRPr="00521A61">
        <w:rPr>
          <w:rFonts w:ascii="Times New Roman" w:hAnsi="Times New Roman" w:cs="Times New Roman"/>
          <w:i/>
          <w:spacing w:val="-9"/>
          <w:sz w:val="24"/>
          <w:szCs w:val="24"/>
        </w:rPr>
        <w:t xml:space="preserve"> </w:t>
      </w:r>
      <w:r w:rsidR="003A404B" w:rsidRPr="00521A61">
        <w:rPr>
          <w:rFonts w:ascii="Times New Roman" w:hAnsi="Times New Roman" w:cs="Times New Roman"/>
          <w:i/>
          <w:sz w:val="24"/>
          <w:szCs w:val="24"/>
        </w:rPr>
        <w:t>(komisijas</w:t>
      </w:r>
      <w:r w:rsidR="003A404B" w:rsidRPr="00521A61">
        <w:rPr>
          <w:rFonts w:ascii="Times New Roman" w:hAnsi="Times New Roman" w:cs="Times New Roman"/>
          <w:i/>
          <w:spacing w:val="-9"/>
          <w:sz w:val="24"/>
          <w:szCs w:val="24"/>
        </w:rPr>
        <w:t xml:space="preserve"> </w:t>
      </w:r>
      <w:r w:rsidR="003A404B" w:rsidRPr="00521A61">
        <w:rPr>
          <w:rFonts w:ascii="Times New Roman" w:hAnsi="Times New Roman" w:cs="Times New Roman"/>
          <w:i/>
          <w:sz w:val="24"/>
          <w:szCs w:val="24"/>
        </w:rPr>
        <w:t>maksa</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par</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sniegto pakalpojumu) ir 700,00 EUR. Sākotnējās atzīšanas dienā (maksājuma dienā) budžeta iestāde atzīst finanšu aktīvu 15 000,00 EUR vērtībā un finanšu izmaksas 700,00</w:t>
      </w:r>
      <w:r w:rsidR="003A404B" w:rsidRPr="00521A61">
        <w:rPr>
          <w:rFonts w:ascii="Times New Roman" w:hAnsi="Times New Roman" w:cs="Times New Roman"/>
          <w:i/>
          <w:spacing w:val="-3"/>
          <w:sz w:val="24"/>
          <w:szCs w:val="24"/>
        </w:rPr>
        <w:t xml:space="preserve"> </w:t>
      </w:r>
      <w:r w:rsidR="003A404B" w:rsidRPr="00521A61">
        <w:rPr>
          <w:rFonts w:ascii="Times New Roman" w:hAnsi="Times New Roman" w:cs="Times New Roman"/>
          <w:i/>
          <w:sz w:val="24"/>
          <w:szCs w:val="24"/>
        </w:rPr>
        <w:t>EUR.</w:t>
      </w:r>
    </w:p>
    <w:p w14:paraId="189B5CE8"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862.    </w:t>
      </w:r>
      <w:r w:rsidR="003A404B" w:rsidRPr="00521A61">
        <w:rPr>
          <w:rFonts w:ascii="Times New Roman" w:hAnsi="Times New Roman" w:cs="Times New Roman"/>
          <w:sz w:val="24"/>
          <w:szCs w:val="24"/>
        </w:rPr>
        <w:t>Katra pārskata perioda beigās budžeta iestāde turpmāk uzskaita atvasinātos finanšu instrumentus (finanšu aktīvus un finanšu saistības) atbilstoši 4.tabulā norādītajiem uzskaites principiem un novērtē to patiesajā vērtībā pārskata</w:t>
      </w:r>
      <w:r w:rsidR="003A404B" w:rsidRPr="00521A61">
        <w:rPr>
          <w:rFonts w:ascii="Times New Roman" w:hAnsi="Times New Roman" w:cs="Times New Roman"/>
          <w:spacing w:val="-3"/>
          <w:sz w:val="24"/>
          <w:szCs w:val="24"/>
        </w:rPr>
        <w:t xml:space="preserve"> </w:t>
      </w:r>
      <w:r w:rsidR="003A404B" w:rsidRPr="00521A61">
        <w:rPr>
          <w:rFonts w:ascii="Times New Roman" w:hAnsi="Times New Roman" w:cs="Times New Roman"/>
          <w:sz w:val="24"/>
          <w:szCs w:val="24"/>
        </w:rPr>
        <w:t>datumā.</w:t>
      </w:r>
    </w:p>
    <w:p w14:paraId="1B47F405" w14:textId="77777777" w:rsidR="003A404B" w:rsidRPr="00521A61" w:rsidRDefault="003A404B" w:rsidP="00CD363C">
      <w:pPr>
        <w:pStyle w:val="Sarakstarindkopa"/>
        <w:widowControl w:val="0"/>
        <w:numPr>
          <w:ilvl w:val="0"/>
          <w:numId w:val="43"/>
        </w:numPr>
        <w:tabs>
          <w:tab w:val="left" w:pos="1451"/>
        </w:tabs>
        <w:autoSpaceDE w:val="0"/>
        <w:autoSpaceDN w:val="0"/>
        <w:spacing w:after="0" w:line="240" w:lineRule="auto"/>
        <w:ind w:left="1450" w:right="407"/>
        <w:contextualSpacing w:val="0"/>
        <w:jc w:val="both"/>
        <w:rPr>
          <w:rFonts w:ascii="Times New Roman" w:hAnsi="Times New Roman" w:cs="Times New Roman"/>
          <w:i/>
          <w:sz w:val="24"/>
          <w:szCs w:val="24"/>
        </w:rPr>
      </w:pPr>
      <w:r w:rsidRPr="00521A61">
        <w:rPr>
          <w:rFonts w:ascii="Times New Roman" w:hAnsi="Times New Roman" w:cs="Times New Roman"/>
          <w:i/>
          <w:sz w:val="24"/>
          <w:szCs w:val="24"/>
        </w:rPr>
        <w:t>tabula. Finanšu aktīvu un finanšu saistību, kas rodas no atvasinātiem finanšu instrumentiem,</w:t>
      </w:r>
      <w:r w:rsidRPr="00521A61">
        <w:rPr>
          <w:rFonts w:ascii="Times New Roman" w:hAnsi="Times New Roman" w:cs="Times New Roman"/>
          <w:i/>
          <w:spacing w:val="-19"/>
          <w:sz w:val="24"/>
          <w:szCs w:val="24"/>
        </w:rPr>
        <w:t xml:space="preserve"> </w:t>
      </w:r>
      <w:r w:rsidRPr="00521A61">
        <w:rPr>
          <w:rFonts w:ascii="Times New Roman" w:hAnsi="Times New Roman" w:cs="Times New Roman"/>
          <w:i/>
          <w:sz w:val="24"/>
          <w:szCs w:val="24"/>
        </w:rPr>
        <w:t>novērtēšana</w:t>
      </w: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27"/>
        <w:gridCol w:w="1702"/>
        <w:gridCol w:w="1794"/>
        <w:gridCol w:w="2037"/>
        <w:gridCol w:w="1984"/>
      </w:tblGrid>
      <w:tr w:rsidR="003A404B" w:rsidRPr="00521A61" w14:paraId="5134F90A" w14:textId="77777777" w:rsidTr="00FF1C69">
        <w:trPr>
          <w:trHeight w:val="921"/>
        </w:trPr>
        <w:tc>
          <w:tcPr>
            <w:tcW w:w="2127" w:type="dxa"/>
            <w:shd w:val="clear" w:color="auto" w:fill="F1F1F1"/>
          </w:tcPr>
          <w:p w14:paraId="32691F16" w14:textId="77777777" w:rsidR="003A404B" w:rsidRPr="00521A61" w:rsidRDefault="003A404B" w:rsidP="00CD363C">
            <w:pPr>
              <w:pStyle w:val="TableParagraph"/>
              <w:ind w:right="407"/>
              <w:jc w:val="both"/>
              <w:rPr>
                <w:i/>
                <w:sz w:val="24"/>
                <w:szCs w:val="24"/>
              </w:rPr>
            </w:pPr>
          </w:p>
          <w:p w14:paraId="05DA5C79" w14:textId="77777777" w:rsidR="003A404B" w:rsidRPr="00521A61" w:rsidRDefault="003A404B" w:rsidP="00CD363C">
            <w:pPr>
              <w:pStyle w:val="TableParagraph"/>
              <w:ind w:left="523" w:right="407" w:hanging="358"/>
              <w:jc w:val="both"/>
              <w:rPr>
                <w:b/>
                <w:sz w:val="24"/>
                <w:szCs w:val="24"/>
              </w:rPr>
            </w:pPr>
            <w:r w:rsidRPr="00521A61">
              <w:rPr>
                <w:b/>
                <w:sz w:val="24"/>
                <w:szCs w:val="24"/>
              </w:rPr>
              <w:t>Atvasinātais finanšu instruments</w:t>
            </w:r>
          </w:p>
        </w:tc>
        <w:tc>
          <w:tcPr>
            <w:tcW w:w="1702" w:type="dxa"/>
            <w:shd w:val="clear" w:color="auto" w:fill="F1F1F1"/>
          </w:tcPr>
          <w:p w14:paraId="251A3A64" w14:textId="77777777" w:rsidR="003A404B" w:rsidRPr="00521A61" w:rsidRDefault="003A404B" w:rsidP="00CD363C">
            <w:pPr>
              <w:pStyle w:val="TableParagraph"/>
              <w:ind w:right="407"/>
              <w:jc w:val="both"/>
              <w:rPr>
                <w:i/>
                <w:sz w:val="24"/>
                <w:szCs w:val="24"/>
              </w:rPr>
            </w:pPr>
          </w:p>
          <w:p w14:paraId="7A3EDD26" w14:textId="77777777" w:rsidR="003A404B" w:rsidRPr="00521A61" w:rsidRDefault="003A404B" w:rsidP="00CD363C">
            <w:pPr>
              <w:pStyle w:val="TableParagraph"/>
              <w:ind w:left="470" w:right="407" w:hanging="77"/>
              <w:jc w:val="both"/>
              <w:rPr>
                <w:b/>
                <w:sz w:val="24"/>
                <w:szCs w:val="24"/>
              </w:rPr>
            </w:pPr>
            <w:r w:rsidRPr="00521A61">
              <w:rPr>
                <w:b/>
                <w:w w:val="95"/>
                <w:sz w:val="24"/>
                <w:szCs w:val="24"/>
              </w:rPr>
              <w:t xml:space="preserve">Sākotnējā </w:t>
            </w:r>
            <w:r w:rsidRPr="00521A61">
              <w:rPr>
                <w:b/>
                <w:sz w:val="24"/>
                <w:szCs w:val="24"/>
              </w:rPr>
              <w:t>atzīšana</w:t>
            </w:r>
          </w:p>
        </w:tc>
        <w:tc>
          <w:tcPr>
            <w:tcW w:w="1794" w:type="dxa"/>
            <w:shd w:val="clear" w:color="auto" w:fill="F1F1F1"/>
          </w:tcPr>
          <w:p w14:paraId="58B6FE4D" w14:textId="77777777" w:rsidR="003A404B" w:rsidRPr="00521A61" w:rsidRDefault="003A404B" w:rsidP="00CD363C">
            <w:pPr>
              <w:pStyle w:val="TableParagraph"/>
              <w:ind w:right="407"/>
              <w:jc w:val="both"/>
              <w:rPr>
                <w:i/>
                <w:sz w:val="24"/>
                <w:szCs w:val="24"/>
              </w:rPr>
            </w:pPr>
          </w:p>
          <w:p w14:paraId="7F46C7C8" w14:textId="77777777" w:rsidR="003A404B" w:rsidRPr="00521A61" w:rsidRDefault="003A404B" w:rsidP="00CD363C">
            <w:pPr>
              <w:pStyle w:val="TableParagraph"/>
              <w:ind w:left="350" w:right="407" w:firstLine="57"/>
              <w:jc w:val="both"/>
              <w:rPr>
                <w:b/>
                <w:sz w:val="24"/>
                <w:szCs w:val="24"/>
              </w:rPr>
            </w:pPr>
            <w:r w:rsidRPr="00521A61">
              <w:rPr>
                <w:b/>
                <w:sz w:val="24"/>
                <w:szCs w:val="24"/>
              </w:rPr>
              <w:t xml:space="preserve">Turpmākā </w:t>
            </w:r>
            <w:r w:rsidRPr="00521A61">
              <w:rPr>
                <w:b/>
                <w:w w:val="95"/>
                <w:sz w:val="24"/>
                <w:szCs w:val="24"/>
              </w:rPr>
              <w:t>novērtēšana</w:t>
            </w:r>
          </w:p>
        </w:tc>
        <w:tc>
          <w:tcPr>
            <w:tcW w:w="2037" w:type="dxa"/>
            <w:shd w:val="clear" w:color="auto" w:fill="F1F1F1"/>
          </w:tcPr>
          <w:p w14:paraId="596B2E81" w14:textId="77777777" w:rsidR="003A404B" w:rsidRPr="00521A61" w:rsidRDefault="003A404B" w:rsidP="00CD363C">
            <w:pPr>
              <w:pStyle w:val="TableParagraph"/>
              <w:ind w:right="407"/>
              <w:jc w:val="both"/>
              <w:rPr>
                <w:i/>
                <w:sz w:val="24"/>
                <w:szCs w:val="24"/>
              </w:rPr>
            </w:pPr>
          </w:p>
          <w:p w14:paraId="7FE3E599" w14:textId="77777777" w:rsidR="003A404B" w:rsidRPr="00521A61" w:rsidRDefault="003A404B" w:rsidP="00CD363C">
            <w:pPr>
              <w:pStyle w:val="TableParagraph"/>
              <w:ind w:left="759" w:right="407" w:hanging="541"/>
              <w:jc w:val="both"/>
              <w:rPr>
                <w:b/>
                <w:sz w:val="24"/>
                <w:szCs w:val="24"/>
              </w:rPr>
            </w:pPr>
            <w:r w:rsidRPr="00521A61">
              <w:rPr>
                <w:b/>
                <w:sz w:val="24"/>
                <w:szCs w:val="24"/>
              </w:rPr>
              <w:t>Vērtības izmaiņas atzīst</w:t>
            </w:r>
          </w:p>
        </w:tc>
        <w:tc>
          <w:tcPr>
            <w:tcW w:w="1984" w:type="dxa"/>
            <w:shd w:val="clear" w:color="auto" w:fill="F1F1F1"/>
          </w:tcPr>
          <w:p w14:paraId="64EC1D82" w14:textId="77777777" w:rsidR="003A404B" w:rsidRPr="00521A61" w:rsidRDefault="003A404B" w:rsidP="00CD363C">
            <w:pPr>
              <w:pStyle w:val="TableParagraph"/>
              <w:ind w:left="335" w:right="407" w:firstLine="3"/>
              <w:jc w:val="both"/>
              <w:rPr>
                <w:b/>
                <w:sz w:val="24"/>
                <w:szCs w:val="24"/>
              </w:rPr>
            </w:pPr>
            <w:r w:rsidRPr="00521A61">
              <w:rPr>
                <w:b/>
                <w:sz w:val="24"/>
                <w:szCs w:val="24"/>
              </w:rPr>
              <w:t xml:space="preserve">Izdevumus no vērtības </w:t>
            </w:r>
            <w:r w:rsidRPr="00521A61">
              <w:rPr>
                <w:b/>
                <w:spacing w:val="-1"/>
                <w:sz w:val="24"/>
                <w:szCs w:val="24"/>
              </w:rPr>
              <w:t xml:space="preserve">samazinājuma </w:t>
            </w:r>
            <w:r w:rsidRPr="00521A61">
              <w:rPr>
                <w:b/>
                <w:sz w:val="24"/>
                <w:szCs w:val="24"/>
              </w:rPr>
              <w:t>atzīst</w:t>
            </w:r>
          </w:p>
        </w:tc>
      </w:tr>
      <w:tr w:rsidR="003A404B" w:rsidRPr="00521A61" w14:paraId="467959F1" w14:textId="77777777" w:rsidTr="00FF1C69">
        <w:trPr>
          <w:trHeight w:val="688"/>
        </w:trPr>
        <w:tc>
          <w:tcPr>
            <w:tcW w:w="2127" w:type="dxa"/>
          </w:tcPr>
          <w:p w14:paraId="7842D54A" w14:textId="77777777" w:rsidR="003A404B" w:rsidRPr="00521A61" w:rsidRDefault="003A404B" w:rsidP="00CD363C">
            <w:pPr>
              <w:pStyle w:val="TableParagraph"/>
              <w:ind w:right="407"/>
              <w:jc w:val="both"/>
              <w:rPr>
                <w:i/>
                <w:sz w:val="24"/>
                <w:szCs w:val="24"/>
              </w:rPr>
            </w:pPr>
          </w:p>
          <w:p w14:paraId="36FD5DDC" w14:textId="77777777" w:rsidR="003A404B" w:rsidRPr="00521A61" w:rsidRDefault="003A404B" w:rsidP="00CD363C">
            <w:pPr>
              <w:pStyle w:val="TableParagraph"/>
              <w:ind w:left="107" w:right="407"/>
              <w:jc w:val="both"/>
              <w:rPr>
                <w:sz w:val="24"/>
                <w:szCs w:val="24"/>
              </w:rPr>
            </w:pPr>
            <w:r w:rsidRPr="00521A61">
              <w:rPr>
                <w:sz w:val="24"/>
                <w:szCs w:val="24"/>
              </w:rPr>
              <w:t>Finanšu aktīvi</w:t>
            </w:r>
          </w:p>
        </w:tc>
        <w:tc>
          <w:tcPr>
            <w:tcW w:w="1702" w:type="dxa"/>
          </w:tcPr>
          <w:p w14:paraId="3106A301" w14:textId="77777777" w:rsidR="003A404B" w:rsidRPr="00521A61" w:rsidRDefault="003A404B" w:rsidP="00CD363C">
            <w:pPr>
              <w:pStyle w:val="TableParagraph"/>
              <w:ind w:right="407"/>
              <w:jc w:val="both"/>
              <w:rPr>
                <w:i/>
                <w:sz w:val="24"/>
                <w:szCs w:val="24"/>
              </w:rPr>
            </w:pPr>
          </w:p>
          <w:p w14:paraId="66A82E49"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1794" w:type="dxa"/>
          </w:tcPr>
          <w:p w14:paraId="5D0486F3" w14:textId="77777777" w:rsidR="003A404B" w:rsidRPr="00521A61" w:rsidRDefault="003A404B" w:rsidP="00CD363C">
            <w:pPr>
              <w:pStyle w:val="TableParagraph"/>
              <w:ind w:right="407"/>
              <w:jc w:val="both"/>
              <w:rPr>
                <w:i/>
                <w:sz w:val="24"/>
                <w:szCs w:val="24"/>
              </w:rPr>
            </w:pPr>
          </w:p>
          <w:p w14:paraId="11BA0FB7"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2037" w:type="dxa"/>
          </w:tcPr>
          <w:p w14:paraId="29F9A77D" w14:textId="77777777" w:rsidR="003A404B" w:rsidRPr="00521A61" w:rsidRDefault="003A404B" w:rsidP="00CD363C">
            <w:pPr>
              <w:pStyle w:val="TableParagraph"/>
              <w:ind w:left="106" w:right="407"/>
              <w:jc w:val="both"/>
              <w:rPr>
                <w:sz w:val="24"/>
                <w:szCs w:val="24"/>
              </w:rPr>
            </w:pPr>
            <w:r w:rsidRPr="00521A61">
              <w:rPr>
                <w:sz w:val="24"/>
                <w:szCs w:val="24"/>
              </w:rPr>
              <w:t>Pārskata perioda</w:t>
            </w:r>
          </w:p>
          <w:p w14:paraId="699B2F3D" w14:textId="77777777" w:rsidR="003A404B" w:rsidRPr="00521A61" w:rsidRDefault="003A404B" w:rsidP="00CD363C">
            <w:pPr>
              <w:pStyle w:val="TableParagraph"/>
              <w:ind w:left="106" w:right="407"/>
              <w:jc w:val="both"/>
              <w:rPr>
                <w:sz w:val="24"/>
                <w:szCs w:val="24"/>
              </w:rPr>
            </w:pPr>
            <w:r w:rsidRPr="00521A61">
              <w:rPr>
                <w:sz w:val="24"/>
                <w:szCs w:val="24"/>
              </w:rPr>
              <w:t>finanšu ieņēmumos vai izdevumos</w:t>
            </w:r>
          </w:p>
        </w:tc>
        <w:tc>
          <w:tcPr>
            <w:tcW w:w="1984" w:type="dxa"/>
          </w:tcPr>
          <w:p w14:paraId="01702648" w14:textId="77777777" w:rsidR="003A404B" w:rsidRPr="00521A61" w:rsidRDefault="003A404B" w:rsidP="00CD363C">
            <w:pPr>
              <w:pStyle w:val="TableParagraph"/>
              <w:ind w:left="102" w:right="407"/>
              <w:jc w:val="both"/>
              <w:rPr>
                <w:sz w:val="24"/>
                <w:szCs w:val="24"/>
              </w:rPr>
            </w:pPr>
            <w:r w:rsidRPr="00521A61">
              <w:rPr>
                <w:sz w:val="24"/>
                <w:szCs w:val="24"/>
              </w:rPr>
              <w:t>Pārskata perioda finanšu izdevumos</w:t>
            </w:r>
          </w:p>
        </w:tc>
      </w:tr>
      <w:tr w:rsidR="003A404B" w:rsidRPr="00521A61" w14:paraId="6C32D585" w14:textId="77777777" w:rsidTr="00FF1C69">
        <w:trPr>
          <w:trHeight w:val="841"/>
        </w:trPr>
        <w:tc>
          <w:tcPr>
            <w:tcW w:w="2127" w:type="dxa"/>
          </w:tcPr>
          <w:p w14:paraId="387C5ED3" w14:textId="77777777" w:rsidR="003A404B" w:rsidRPr="00521A61" w:rsidRDefault="003A404B" w:rsidP="00CD363C">
            <w:pPr>
              <w:pStyle w:val="TableParagraph"/>
              <w:ind w:right="407"/>
              <w:jc w:val="both"/>
              <w:rPr>
                <w:i/>
                <w:sz w:val="24"/>
                <w:szCs w:val="24"/>
              </w:rPr>
            </w:pPr>
          </w:p>
          <w:p w14:paraId="164E95A7" w14:textId="77777777" w:rsidR="003A404B" w:rsidRPr="00521A61" w:rsidRDefault="003A404B" w:rsidP="00CD363C">
            <w:pPr>
              <w:pStyle w:val="TableParagraph"/>
              <w:ind w:left="107" w:right="407"/>
              <w:jc w:val="both"/>
              <w:rPr>
                <w:sz w:val="24"/>
                <w:szCs w:val="24"/>
              </w:rPr>
            </w:pPr>
            <w:r w:rsidRPr="00521A61">
              <w:rPr>
                <w:sz w:val="24"/>
                <w:szCs w:val="24"/>
              </w:rPr>
              <w:t>Finanšu saistības</w:t>
            </w:r>
          </w:p>
        </w:tc>
        <w:tc>
          <w:tcPr>
            <w:tcW w:w="1702" w:type="dxa"/>
          </w:tcPr>
          <w:p w14:paraId="5FCFE8B4" w14:textId="77777777" w:rsidR="003A404B" w:rsidRPr="00521A61" w:rsidRDefault="003A404B" w:rsidP="00CD363C">
            <w:pPr>
              <w:pStyle w:val="TableParagraph"/>
              <w:ind w:right="407"/>
              <w:jc w:val="both"/>
              <w:rPr>
                <w:i/>
                <w:sz w:val="24"/>
                <w:szCs w:val="24"/>
              </w:rPr>
            </w:pPr>
          </w:p>
          <w:p w14:paraId="461F34B5"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1794" w:type="dxa"/>
          </w:tcPr>
          <w:p w14:paraId="3635CC23" w14:textId="77777777" w:rsidR="003A404B" w:rsidRPr="00521A61" w:rsidRDefault="003A404B" w:rsidP="00CD363C">
            <w:pPr>
              <w:pStyle w:val="TableParagraph"/>
              <w:ind w:right="407"/>
              <w:jc w:val="both"/>
              <w:rPr>
                <w:i/>
                <w:sz w:val="24"/>
                <w:szCs w:val="24"/>
              </w:rPr>
            </w:pPr>
          </w:p>
          <w:p w14:paraId="48E52006"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2037" w:type="dxa"/>
          </w:tcPr>
          <w:p w14:paraId="190A60B2" w14:textId="77777777" w:rsidR="003A404B" w:rsidRPr="00521A61" w:rsidRDefault="003A404B" w:rsidP="00CD363C">
            <w:pPr>
              <w:pStyle w:val="TableParagraph"/>
              <w:ind w:left="106" w:right="407"/>
              <w:jc w:val="both"/>
              <w:rPr>
                <w:sz w:val="24"/>
                <w:szCs w:val="24"/>
              </w:rPr>
            </w:pPr>
            <w:r w:rsidRPr="00521A61">
              <w:rPr>
                <w:sz w:val="24"/>
                <w:szCs w:val="24"/>
              </w:rPr>
              <w:t>Pārskata perioda finanšu ieņēmumos vai izdevumos</w:t>
            </w:r>
          </w:p>
        </w:tc>
        <w:tc>
          <w:tcPr>
            <w:tcW w:w="1984" w:type="dxa"/>
          </w:tcPr>
          <w:p w14:paraId="3E2C5053" w14:textId="77777777" w:rsidR="003A404B" w:rsidRPr="00521A61" w:rsidRDefault="003A404B" w:rsidP="00CD363C">
            <w:pPr>
              <w:pStyle w:val="TableParagraph"/>
              <w:ind w:right="407"/>
              <w:jc w:val="both"/>
              <w:rPr>
                <w:i/>
                <w:sz w:val="24"/>
                <w:szCs w:val="24"/>
              </w:rPr>
            </w:pPr>
          </w:p>
          <w:p w14:paraId="45125AD1" w14:textId="77777777" w:rsidR="003A404B" w:rsidRPr="00521A61" w:rsidRDefault="003A404B" w:rsidP="00CD363C">
            <w:pPr>
              <w:pStyle w:val="TableParagraph"/>
              <w:ind w:left="102" w:right="407"/>
              <w:jc w:val="both"/>
              <w:rPr>
                <w:sz w:val="24"/>
                <w:szCs w:val="24"/>
              </w:rPr>
            </w:pPr>
            <w:r w:rsidRPr="00521A61">
              <w:rPr>
                <w:sz w:val="24"/>
                <w:szCs w:val="24"/>
              </w:rPr>
              <w:t>n/a</w:t>
            </w:r>
          </w:p>
        </w:tc>
      </w:tr>
    </w:tbl>
    <w:p w14:paraId="75364819" w14:textId="77777777" w:rsidR="003A404B" w:rsidRPr="00521A61" w:rsidRDefault="003A404B" w:rsidP="00CD363C">
      <w:pPr>
        <w:spacing w:after="0" w:line="240" w:lineRule="auto"/>
        <w:ind w:left="338" w:right="407"/>
        <w:jc w:val="both"/>
        <w:rPr>
          <w:rFonts w:ascii="Times New Roman" w:hAnsi="Times New Roman" w:cs="Times New Roman"/>
          <w:i/>
          <w:sz w:val="24"/>
          <w:szCs w:val="24"/>
        </w:rPr>
      </w:pPr>
      <w:r w:rsidRPr="00521A61">
        <w:rPr>
          <w:rFonts w:ascii="Times New Roman" w:hAnsi="Times New Roman" w:cs="Times New Roman"/>
          <w:i/>
          <w:sz w:val="24"/>
          <w:szCs w:val="24"/>
        </w:rPr>
        <w:t>*ja atvasinātā finanšu instrumenta patieso vērtību nevar novērtēt, to turpmākai novērtēšanai izmanto izmaksu vērtību, atskaitot izdevumus (zaudējumus) no vērtības samazinājuma (aktīvam).</w:t>
      </w:r>
    </w:p>
    <w:p w14:paraId="3E78DFCB"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863.    </w:t>
      </w:r>
      <w:r w:rsidR="003A404B" w:rsidRPr="00521A61">
        <w:rPr>
          <w:rFonts w:ascii="Times New Roman" w:hAnsi="Times New Roman" w:cs="Times New Roman"/>
          <w:sz w:val="24"/>
          <w:szCs w:val="24"/>
        </w:rPr>
        <w:t>Attiecībā uz atvasinātajiem finanšu instrumentiem, kas uzskaitīti izmaksu vērtībā katra pārskata perioda</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beigās</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novērtē,</w:t>
      </w:r>
      <w:r w:rsidR="003A404B" w:rsidRPr="00521A61">
        <w:rPr>
          <w:rFonts w:ascii="Times New Roman" w:hAnsi="Times New Roman" w:cs="Times New Roman"/>
          <w:spacing w:val="-7"/>
          <w:sz w:val="24"/>
          <w:szCs w:val="24"/>
        </w:rPr>
        <w:t xml:space="preserve"> </w:t>
      </w:r>
      <w:r w:rsidR="003A404B" w:rsidRPr="00521A61">
        <w:rPr>
          <w:rFonts w:ascii="Times New Roman" w:hAnsi="Times New Roman" w:cs="Times New Roman"/>
          <w:sz w:val="24"/>
          <w:szCs w:val="24"/>
        </w:rPr>
        <w:t>vai</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pastāv</w:t>
      </w:r>
      <w:r w:rsidR="003A404B" w:rsidRPr="00521A61">
        <w:rPr>
          <w:rFonts w:ascii="Times New Roman" w:hAnsi="Times New Roman" w:cs="Times New Roman"/>
          <w:spacing w:val="-8"/>
          <w:sz w:val="24"/>
          <w:szCs w:val="24"/>
        </w:rPr>
        <w:t xml:space="preserve"> </w:t>
      </w:r>
      <w:r w:rsidR="003A404B" w:rsidRPr="00521A61">
        <w:rPr>
          <w:rFonts w:ascii="Times New Roman" w:hAnsi="Times New Roman" w:cs="Times New Roman"/>
          <w:sz w:val="24"/>
          <w:szCs w:val="24"/>
        </w:rPr>
        <w:t>objektīvi</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pierādījumi</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tam,</w:t>
      </w:r>
      <w:r w:rsidR="003A404B" w:rsidRPr="00521A61">
        <w:rPr>
          <w:rFonts w:ascii="Times New Roman" w:hAnsi="Times New Roman" w:cs="Times New Roman"/>
          <w:spacing w:val="-7"/>
          <w:sz w:val="24"/>
          <w:szCs w:val="24"/>
        </w:rPr>
        <w:t xml:space="preserve"> </w:t>
      </w:r>
      <w:r w:rsidR="003A404B" w:rsidRPr="00521A61">
        <w:rPr>
          <w:rFonts w:ascii="Times New Roman" w:hAnsi="Times New Roman" w:cs="Times New Roman"/>
          <w:sz w:val="24"/>
          <w:szCs w:val="24"/>
        </w:rPr>
        <w:t>ka</w:t>
      </w:r>
      <w:r w:rsidR="003A404B" w:rsidRPr="00521A61">
        <w:rPr>
          <w:rFonts w:ascii="Times New Roman" w:hAnsi="Times New Roman" w:cs="Times New Roman"/>
          <w:spacing w:val="-7"/>
          <w:sz w:val="24"/>
          <w:szCs w:val="24"/>
        </w:rPr>
        <w:t xml:space="preserve"> </w:t>
      </w:r>
      <w:r w:rsidR="003A404B" w:rsidRPr="00521A61">
        <w:rPr>
          <w:rFonts w:ascii="Times New Roman" w:hAnsi="Times New Roman" w:cs="Times New Roman"/>
          <w:sz w:val="24"/>
          <w:szCs w:val="24"/>
        </w:rPr>
        <w:t>radušies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zaudējumi</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no</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tāda</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atvasinātā finanšu</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instrumenta</w:t>
      </w:r>
      <w:r w:rsidR="003A404B" w:rsidRPr="00521A61">
        <w:rPr>
          <w:rFonts w:ascii="Times New Roman" w:hAnsi="Times New Roman" w:cs="Times New Roman"/>
          <w:spacing w:val="-8"/>
          <w:sz w:val="24"/>
          <w:szCs w:val="24"/>
        </w:rPr>
        <w:t xml:space="preserve"> </w:t>
      </w:r>
      <w:r w:rsidR="003A404B" w:rsidRPr="00521A61">
        <w:rPr>
          <w:rFonts w:ascii="Times New Roman" w:hAnsi="Times New Roman" w:cs="Times New Roman"/>
          <w:sz w:val="24"/>
          <w:szCs w:val="24"/>
        </w:rPr>
        <w:t>vērtības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samazinājuma,</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kas</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tiek</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uzskaitīts</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izmaksu</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vērtībā</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un</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attiecas</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uz</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nekotētu pašu kapitāla</w:t>
      </w:r>
      <w:r w:rsidR="003A404B" w:rsidRPr="00521A61">
        <w:rPr>
          <w:rFonts w:ascii="Times New Roman" w:hAnsi="Times New Roman" w:cs="Times New Roman"/>
          <w:spacing w:val="-3"/>
          <w:sz w:val="24"/>
          <w:szCs w:val="24"/>
        </w:rPr>
        <w:t xml:space="preserve"> </w:t>
      </w:r>
      <w:r w:rsidR="003A404B" w:rsidRPr="00521A61">
        <w:rPr>
          <w:rFonts w:ascii="Times New Roman" w:hAnsi="Times New Roman" w:cs="Times New Roman"/>
          <w:sz w:val="24"/>
          <w:szCs w:val="24"/>
        </w:rPr>
        <w:t>instrumentu.</w:t>
      </w:r>
    </w:p>
    <w:p w14:paraId="3E2E3A33"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864.    </w:t>
      </w:r>
      <w:r w:rsidR="003A404B" w:rsidRPr="00521A61">
        <w:rPr>
          <w:rFonts w:ascii="Times New Roman" w:hAnsi="Times New Roman" w:cs="Times New Roman"/>
          <w:sz w:val="24"/>
          <w:szCs w:val="24"/>
        </w:rPr>
        <w:t xml:space="preserve">Budžeta iestāde veic atvasinātā finanšu instrumenta, kas uzskaitīts izmaksu vērtībā, vērtības samazinājuma novērtējumu atbilstoši </w:t>
      </w:r>
      <w:r w:rsidRPr="00521A61">
        <w:rPr>
          <w:rFonts w:ascii="Times New Roman" w:hAnsi="Times New Roman" w:cs="Times New Roman"/>
          <w:sz w:val="24"/>
          <w:szCs w:val="24"/>
        </w:rPr>
        <w:t>21.3.</w:t>
      </w:r>
      <w:r w:rsidR="003A404B" w:rsidRPr="00521A61">
        <w:rPr>
          <w:rFonts w:ascii="Times New Roman" w:hAnsi="Times New Roman" w:cs="Times New Roman"/>
          <w:sz w:val="24"/>
          <w:szCs w:val="24"/>
        </w:rPr>
        <w:t xml:space="preserve"> nodaļā</w:t>
      </w:r>
      <w:r w:rsidR="003A404B" w:rsidRPr="00521A61">
        <w:rPr>
          <w:rFonts w:ascii="Times New Roman" w:hAnsi="Times New Roman" w:cs="Times New Roman"/>
          <w:color w:val="0462C1"/>
          <w:sz w:val="24"/>
          <w:szCs w:val="24"/>
        </w:rPr>
        <w:t xml:space="preserve"> </w:t>
      </w:r>
      <w:r w:rsidR="003A404B" w:rsidRPr="00521A61">
        <w:rPr>
          <w:rFonts w:ascii="Times New Roman" w:hAnsi="Times New Roman" w:cs="Times New Roman"/>
          <w:color w:val="0462C1"/>
          <w:sz w:val="24"/>
          <w:szCs w:val="24"/>
          <w:u w:val="single" w:color="0462C1"/>
        </w:rPr>
        <w:t>“</w:t>
      </w:r>
      <w:hyperlink w:anchor="_bookmark349" w:history="1">
        <w:r w:rsidR="003A404B" w:rsidRPr="00521A61">
          <w:rPr>
            <w:rFonts w:ascii="Times New Roman" w:hAnsi="Times New Roman" w:cs="Times New Roman"/>
            <w:color w:val="0462C1"/>
            <w:sz w:val="24"/>
            <w:szCs w:val="24"/>
            <w:u w:val="single" w:color="0462C1"/>
          </w:rPr>
          <w:t>Finanšu instrumentu vērtības samazinājums</w:t>
        </w:r>
      </w:hyperlink>
      <w:r w:rsidR="003A404B" w:rsidRPr="00521A61">
        <w:rPr>
          <w:rFonts w:ascii="Times New Roman" w:hAnsi="Times New Roman" w:cs="Times New Roman"/>
          <w:color w:val="0462C1"/>
          <w:sz w:val="24"/>
          <w:szCs w:val="24"/>
          <w:u w:val="single" w:color="0462C1"/>
        </w:rPr>
        <w:t>”</w:t>
      </w:r>
      <w:r w:rsidR="003A404B" w:rsidRPr="00521A61">
        <w:rPr>
          <w:rFonts w:ascii="Times New Roman" w:hAnsi="Times New Roman" w:cs="Times New Roman"/>
          <w:sz w:val="24"/>
          <w:szCs w:val="24"/>
        </w:rPr>
        <w:t xml:space="preserve"> minētajiem uzskaites</w:t>
      </w:r>
      <w:r w:rsidR="003A404B" w:rsidRPr="00521A61">
        <w:rPr>
          <w:rFonts w:ascii="Times New Roman" w:hAnsi="Times New Roman" w:cs="Times New Roman"/>
          <w:spacing w:val="-5"/>
          <w:sz w:val="24"/>
          <w:szCs w:val="24"/>
        </w:rPr>
        <w:t xml:space="preserve"> </w:t>
      </w:r>
      <w:r w:rsidR="003A404B" w:rsidRPr="00521A61">
        <w:rPr>
          <w:rFonts w:ascii="Times New Roman" w:hAnsi="Times New Roman" w:cs="Times New Roman"/>
          <w:sz w:val="24"/>
          <w:szCs w:val="24"/>
        </w:rPr>
        <w:t>principiem.</w:t>
      </w:r>
    </w:p>
    <w:p w14:paraId="0E7B8CFF"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865.    </w:t>
      </w:r>
      <w:r w:rsidR="003A404B" w:rsidRPr="00521A61">
        <w:rPr>
          <w:rFonts w:ascii="Times New Roman" w:hAnsi="Times New Roman" w:cs="Times New Roman"/>
          <w:sz w:val="24"/>
          <w:szCs w:val="24"/>
        </w:rPr>
        <w:t>Gadījumā, ja pastāv objektīvi pierādījumi atvasinātā finanšu instrumenta, kas uzskaitīts izmaksu vērtībā, vērtības samazinājumam, budžeta iestāde atvasinātā finanšu instrumenta vērtības samazinājumu aprēķina kā starpību starp finanšu aktīva uzskaites vērtību un nākotnes aplēsto naudas plūsmu pašreizējo vērtību, kas diskontēta ar Valsts kases tīmekļvietnē publicētu atbilstošu procentu likmi. Vērtības samazinājumu atzīst pārskata perioda finanšu izdevumos un attiecīgā finanšu aktīva analītiskā kontā. Budžeta iestāde atzīst vērtības samazinājumu, veicot sekojošu</w:t>
      </w:r>
      <w:r w:rsidR="003A404B" w:rsidRPr="00521A61">
        <w:rPr>
          <w:rFonts w:ascii="Times New Roman" w:hAnsi="Times New Roman" w:cs="Times New Roman"/>
          <w:spacing w:val="-17"/>
          <w:sz w:val="24"/>
          <w:szCs w:val="24"/>
        </w:rPr>
        <w:t xml:space="preserve"> </w:t>
      </w:r>
      <w:r w:rsidR="003A404B" w:rsidRPr="00521A61">
        <w:rPr>
          <w:rFonts w:ascii="Times New Roman" w:hAnsi="Times New Roman" w:cs="Times New Roman"/>
          <w:sz w:val="24"/>
          <w:szCs w:val="24"/>
        </w:rPr>
        <w:t>grāmatojumu:</w:t>
      </w:r>
    </w:p>
    <w:p w14:paraId="34DCDDA4" w14:textId="77777777" w:rsidR="003A404B" w:rsidRPr="00521A61" w:rsidRDefault="003A404B" w:rsidP="00CD363C">
      <w:pPr>
        <w:spacing w:after="0" w:line="240" w:lineRule="auto"/>
        <w:ind w:right="407"/>
        <w:jc w:val="both"/>
        <w:rPr>
          <w:rFonts w:ascii="Times New Roman" w:hAnsi="Times New Roman" w:cs="Times New Roman"/>
          <w:b/>
          <w:bCs/>
          <w:sz w:val="24"/>
          <w:szCs w:val="24"/>
        </w:rPr>
      </w:pPr>
    </w:p>
    <w:p w14:paraId="182FAF9A" w14:textId="77777777" w:rsidR="00DA20F5" w:rsidRPr="003A404B" w:rsidRDefault="00DA20F5" w:rsidP="00CD363C">
      <w:pPr>
        <w:spacing w:after="0" w:line="240" w:lineRule="auto"/>
        <w:ind w:right="407"/>
        <w:jc w:val="both"/>
        <w:rPr>
          <w:rFonts w:ascii="Times New Roman" w:hAnsi="Times New Roman" w:cs="Times New Roman"/>
          <w:sz w:val="24"/>
          <w:szCs w:val="24"/>
        </w:rPr>
      </w:pPr>
    </w:p>
    <w:p w14:paraId="7870644F" w14:textId="77777777" w:rsidR="00DA20F5" w:rsidRPr="00521A61" w:rsidRDefault="00521A61"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21A61">
        <w:rPr>
          <w:rFonts w:ascii="Times New Roman" w:hAnsi="Times New Roman" w:cs="Times New Roman"/>
          <w:b/>
          <w:bCs/>
          <w:sz w:val="24"/>
          <w:szCs w:val="24"/>
        </w:rPr>
        <w:t>D    8290   Pārējie finanšu izdevumi</w:t>
      </w:r>
    </w:p>
    <w:p w14:paraId="0AC521D7" w14:textId="77777777" w:rsidR="00521A61" w:rsidRPr="00521A61" w:rsidRDefault="00521A61" w:rsidP="00CD363C">
      <w:pPr>
        <w:spacing w:after="0" w:line="240" w:lineRule="auto"/>
        <w:ind w:right="407"/>
        <w:jc w:val="both"/>
        <w:rPr>
          <w:rFonts w:ascii="Times New Roman" w:hAnsi="Times New Roman" w:cs="Times New Roman"/>
          <w:b/>
          <w:bCs/>
          <w:sz w:val="24"/>
          <w:szCs w:val="24"/>
        </w:rPr>
      </w:pPr>
      <w:r w:rsidRPr="00521A61">
        <w:rPr>
          <w:rFonts w:ascii="Times New Roman" w:hAnsi="Times New Roman" w:cs="Times New Roman"/>
          <w:b/>
          <w:bCs/>
          <w:sz w:val="24"/>
          <w:szCs w:val="24"/>
        </w:rPr>
        <w:t xml:space="preserve">    K    2548  Vērtības samazinājums īstermiņa finanšu ieguldījumiem vērtspapīros</w:t>
      </w:r>
    </w:p>
    <w:p w14:paraId="47AFE163" w14:textId="77777777" w:rsidR="00521A61" w:rsidRPr="00521A61" w:rsidRDefault="00521A61" w:rsidP="00CD363C">
      <w:pPr>
        <w:spacing w:after="0" w:line="240" w:lineRule="auto"/>
        <w:ind w:right="407"/>
        <w:jc w:val="both"/>
        <w:rPr>
          <w:rFonts w:ascii="Times New Roman" w:hAnsi="Times New Roman" w:cs="Times New Roman"/>
          <w:b/>
          <w:bCs/>
          <w:sz w:val="24"/>
          <w:szCs w:val="24"/>
        </w:rPr>
      </w:pPr>
      <w:r w:rsidRPr="00521A61">
        <w:rPr>
          <w:rFonts w:ascii="Times New Roman" w:hAnsi="Times New Roman" w:cs="Times New Roman"/>
          <w:b/>
          <w:bCs/>
          <w:sz w:val="24"/>
          <w:szCs w:val="24"/>
        </w:rPr>
        <w:t xml:space="preserve">    K   2558   Vērtības samazinājums pārējiem īstermiņa finanšu ieguldījumiem</w:t>
      </w:r>
    </w:p>
    <w:p w14:paraId="41667A37" w14:textId="77777777" w:rsidR="00521A61" w:rsidRPr="00521A61" w:rsidRDefault="00521A61" w:rsidP="00CD363C">
      <w:pPr>
        <w:spacing w:after="0" w:line="240" w:lineRule="auto"/>
        <w:ind w:right="407"/>
        <w:jc w:val="both"/>
        <w:rPr>
          <w:rFonts w:ascii="Times New Roman" w:hAnsi="Times New Roman" w:cs="Times New Roman"/>
          <w:b/>
          <w:bCs/>
          <w:sz w:val="24"/>
          <w:szCs w:val="24"/>
        </w:rPr>
      </w:pPr>
      <w:r w:rsidRPr="00521A61">
        <w:rPr>
          <w:rFonts w:ascii="Times New Roman" w:hAnsi="Times New Roman" w:cs="Times New Roman"/>
          <w:b/>
          <w:bCs/>
          <w:sz w:val="24"/>
          <w:szCs w:val="24"/>
        </w:rPr>
        <w:t xml:space="preserve">    K   2577   Vērtības samazinājums avansa maksājumiem par īstermiņa finanšu ieguldījumiem </w:t>
      </w:r>
    </w:p>
    <w:p w14:paraId="136B755D" w14:textId="77777777" w:rsidR="00A3016A" w:rsidRDefault="00A3016A" w:rsidP="00CD363C">
      <w:pPr>
        <w:spacing w:after="0" w:line="240" w:lineRule="auto"/>
        <w:ind w:right="407"/>
        <w:jc w:val="both"/>
        <w:rPr>
          <w:rFonts w:ascii="Times New Roman" w:hAnsi="Times New Roman" w:cs="Times New Roman"/>
          <w:b/>
          <w:bCs/>
          <w:sz w:val="24"/>
          <w:szCs w:val="24"/>
        </w:rPr>
      </w:pPr>
    </w:p>
    <w:p w14:paraId="1C821B0C" w14:textId="77777777" w:rsidR="00DA20F5" w:rsidRPr="00521A61" w:rsidRDefault="00521A61"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21.7. Finanšu instrumentu inventariz</w:t>
      </w:r>
      <w:r w:rsidR="00A3016A">
        <w:rPr>
          <w:rFonts w:ascii="Times New Roman" w:hAnsi="Times New Roman" w:cs="Times New Roman"/>
          <w:b/>
          <w:bCs/>
          <w:sz w:val="24"/>
          <w:szCs w:val="24"/>
        </w:rPr>
        <w:t>ācija</w:t>
      </w:r>
    </w:p>
    <w:p w14:paraId="46545FEB"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866.   Budžeta iestāde pārskata perioda beigās veic finanšu aktīvu inventarizāciju, atbilstoši attiecīgajiem dokumentiem pārbaudot grāmatvedības kontos uzrādītās</w:t>
      </w:r>
      <w:r w:rsidRPr="0025302F">
        <w:rPr>
          <w:rFonts w:ascii="Times New Roman" w:hAnsi="Times New Roman" w:cs="Times New Roman"/>
          <w:spacing w:val="-7"/>
          <w:sz w:val="24"/>
          <w:szCs w:val="24"/>
        </w:rPr>
        <w:t xml:space="preserve"> </w:t>
      </w:r>
      <w:r w:rsidRPr="0025302F">
        <w:rPr>
          <w:rFonts w:ascii="Times New Roman" w:hAnsi="Times New Roman" w:cs="Times New Roman"/>
          <w:sz w:val="24"/>
          <w:szCs w:val="24"/>
        </w:rPr>
        <w:t>summas.</w:t>
      </w:r>
    </w:p>
    <w:p w14:paraId="2DF09BEE"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867.   Finanšu aktīvus finanšu pārskatā uzrāda atbilstoši attaisnojuma dokumentiem un ierakstiem grāmatvedības reģistros, un tiem jābūt saskaņotiem ar attiecīgo darījumu partneru uzskaites datiem pārskata</w:t>
      </w:r>
      <w:r w:rsidRPr="0025302F">
        <w:rPr>
          <w:rFonts w:ascii="Times New Roman" w:hAnsi="Times New Roman" w:cs="Times New Roman"/>
          <w:spacing w:val="-1"/>
          <w:sz w:val="24"/>
          <w:szCs w:val="24"/>
        </w:rPr>
        <w:t xml:space="preserve"> </w:t>
      </w:r>
      <w:r w:rsidRPr="0025302F">
        <w:rPr>
          <w:rFonts w:ascii="Times New Roman" w:hAnsi="Times New Roman" w:cs="Times New Roman"/>
          <w:sz w:val="24"/>
          <w:szCs w:val="24"/>
        </w:rPr>
        <w:t>datumā.</w:t>
      </w:r>
    </w:p>
    <w:p w14:paraId="029ABFF9"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868.   Finanšu aktīvus bilancē norāda neto vērtībā, kas aprēķināta, no uzskaites vērtības, atbilstoši grāmatvedības datiem, atskaitot atzīto finanšu instrumentu vērtības samazinājumu. Finanšu aktīviem, kas uzskaitīti patiesajās vērtībās, pārliecinās, ka ir veikti visi nepieciešamie patiesās vērtības aprēķini perioda beigās.</w:t>
      </w:r>
    </w:p>
    <w:p w14:paraId="05C36404"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869.   Lai pārliecinātos par bilancē uzrādītajām summām, tiek sagatavoti un visiem darījumu partneriem nosūtīti apstiprinājuma lūgumi par finanšu aktīvu vērtībām pārskata perioda beigās, neņemot vērā vērtības samazinājumu.</w:t>
      </w:r>
    </w:p>
    <w:p w14:paraId="33E0958B"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870.   Budžeta iestāde sagatavo inventarizācijas sarakstus, kuros uzrāda finanšu instrumentu vērtības pārskata perioda beigās atbilstoši grāmatvedības uzskaitē uzrādītajai vērtībai un darījumu partneru sniegtajai informācijai.</w:t>
      </w:r>
    </w:p>
    <w:p w14:paraId="49D5C6C9"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871.   Budžeta iestāde pārskata perioda beigās veic visu finanšu saistību inventarizāciju, atbilstoši attiecīgajiem dokumentiem pārbaudot grāmatvedības kontos uzrādītās summas un saskaņojot tās ar darījumu partneriem.</w:t>
      </w:r>
    </w:p>
    <w:p w14:paraId="2937DAAF"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872.   Finanšu saistības finanšu pārskatā uzrāda atbilstoši attaisnojuma dokumentiem un ierakstiem grāmatvedības reģistros, un tiem jābūt saskaņotiem ar attiecīgo darījumu partneru uzskaites datiem pārskata</w:t>
      </w:r>
      <w:r w:rsidRPr="0025302F">
        <w:rPr>
          <w:rFonts w:ascii="Times New Roman" w:hAnsi="Times New Roman" w:cs="Times New Roman"/>
          <w:spacing w:val="-1"/>
          <w:sz w:val="24"/>
          <w:szCs w:val="24"/>
        </w:rPr>
        <w:t xml:space="preserve"> </w:t>
      </w:r>
      <w:r w:rsidRPr="0025302F">
        <w:rPr>
          <w:rFonts w:ascii="Times New Roman" w:hAnsi="Times New Roman" w:cs="Times New Roman"/>
          <w:sz w:val="24"/>
          <w:szCs w:val="24"/>
        </w:rPr>
        <w:t>datumā.</w:t>
      </w:r>
    </w:p>
    <w:p w14:paraId="5ECD3CA5"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 xml:space="preserve">873.   Lai pārliecinātos par bilancē uzrādītajām summām, tiek sagatavoti un visiem darījumu partneriem nosūtīti apstiprinājuma lūgumi par finanšu saistību atlikumiem bilances kontos pārskata perioda beigās. </w:t>
      </w:r>
    </w:p>
    <w:p w14:paraId="029C7451"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874.   Budžeta iestāde sagatavo inventarizācijas sarakstus, kuros uzrāda finanšu saistību vērtības pārskata perioda beigās atbilstoši grāmatvedības uzskaitē uzrādītajai vērtībai un darījumu partneru sniegtajai informācijai .</w:t>
      </w:r>
    </w:p>
    <w:p w14:paraId="4726E9E5"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875.   Strīda gadījumos prasību un saistību atlikumus bilancē norāda atbilstoši iestādes grāmatvedības datiem.</w:t>
      </w:r>
    </w:p>
    <w:p w14:paraId="3AE7BEF3" w14:textId="77777777" w:rsidR="00DA20F5" w:rsidRPr="0025302F" w:rsidRDefault="00DA20F5" w:rsidP="00CD363C">
      <w:pPr>
        <w:spacing w:after="0" w:line="240" w:lineRule="auto"/>
        <w:ind w:right="407"/>
        <w:jc w:val="both"/>
        <w:rPr>
          <w:rFonts w:ascii="Times New Roman" w:hAnsi="Times New Roman" w:cs="Times New Roman"/>
          <w:b/>
          <w:bCs/>
          <w:sz w:val="24"/>
          <w:szCs w:val="24"/>
        </w:rPr>
      </w:pPr>
    </w:p>
    <w:p w14:paraId="67954911" w14:textId="77777777" w:rsidR="001D19CC" w:rsidRPr="00521A61" w:rsidRDefault="001D19CC" w:rsidP="00CD363C">
      <w:pPr>
        <w:spacing w:after="0" w:line="240" w:lineRule="auto"/>
        <w:ind w:right="407"/>
        <w:jc w:val="both"/>
        <w:rPr>
          <w:rFonts w:ascii="Times New Roman" w:hAnsi="Times New Roman" w:cs="Times New Roman"/>
          <w:b/>
          <w:bCs/>
          <w:sz w:val="24"/>
          <w:szCs w:val="24"/>
        </w:rPr>
      </w:pPr>
    </w:p>
    <w:p w14:paraId="6520F461" w14:textId="77777777" w:rsidR="00DC75A2" w:rsidRPr="00521A61" w:rsidRDefault="00DC75A2" w:rsidP="00CD363C">
      <w:pPr>
        <w:spacing w:after="0" w:line="240" w:lineRule="auto"/>
        <w:ind w:right="407"/>
        <w:jc w:val="both"/>
        <w:rPr>
          <w:rFonts w:ascii="Times New Roman" w:hAnsi="Times New Roman" w:cs="Times New Roman"/>
          <w:b/>
          <w:bCs/>
          <w:sz w:val="24"/>
          <w:szCs w:val="24"/>
        </w:rPr>
      </w:pPr>
    </w:p>
    <w:p w14:paraId="3C4C19F6" w14:textId="77777777" w:rsidR="00DC75A2" w:rsidRPr="00521A61" w:rsidRDefault="00DC75A2" w:rsidP="00CD363C">
      <w:pPr>
        <w:spacing w:after="0" w:line="240" w:lineRule="auto"/>
        <w:ind w:right="407"/>
        <w:jc w:val="both"/>
        <w:rPr>
          <w:rFonts w:ascii="Times New Roman" w:hAnsi="Times New Roman" w:cs="Times New Roman"/>
          <w:b/>
          <w:bCs/>
          <w:sz w:val="24"/>
          <w:szCs w:val="24"/>
        </w:rPr>
      </w:pPr>
    </w:p>
    <w:p w14:paraId="4E8CBB59" w14:textId="77777777" w:rsidR="00DC75A2" w:rsidRDefault="00DC75A2" w:rsidP="00CD363C">
      <w:pPr>
        <w:spacing w:after="0" w:line="240" w:lineRule="auto"/>
        <w:ind w:right="407"/>
        <w:jc w:val="both"/>
        <w:rPr>
          <w:rFonts w:ascii="Times New Roman" w:hAnsi="Times New Roman" w:cs="Times New Roman"/>
          <w:sz w:val="24"/>
          <w:szCs w:val="24"/>
        </w:rPr>
      </w:pPr>
    </w:p>
    <w:p w14:paraId="07FC1C07" w14:textId="77777777" w:rsidR="00DC75A2" w:rsidRPr="0025302F" w:rsidRDefault="00A3016A" w:rsidP="00CD363C">
      <w:pPr>
        <w:spacing w:after="0" w:line="240" w:lineRule="auto"/>
        <w:ind w:right="407"/>
        <w:jc w:val="both"/>
        <w:rPr>
          <w:rFonts w:ascii="Times New Roman" w:hAnsi="Times New Roman" w:cs="Times New Roman"/>
          <w:b/>
          <w:bCs/>
          <w:sz w:val="24"/>
          <w:szCs w:val="24"/>
        </w:rPr>
      </w:pPr>
      <w:r w:rsidRPr="0025302F">
        <w:rPr>
          <w:rFonts w:ascii="Times New Roman" w:hAnsi="Times New Roman" w:cs="Times New Roman"/>
          <w:b/>
          <w:bCs/>
          <w:sz w:val="24"/>
          <w:szCs w:val="24"/>
        </w:rPr>
        <w:t>21.</w:t>
      </w:r>
      <w:r w:rsidR="0025302F">
        <w:rPr>
          <w:rFonts w:ascii="Times New Roman" w:hAnsi="Times New Roman" w:cs="Times New Roman"/>
          <w:b/>
          <w:bCs/>
          <w:sz w:val="24"/>
          <w:szCs w:val="24"/>
        </w:rPr>
        <w:t>8</w:t>
      </w:r>
      <w:r w:rsidRPr="0025302F">
        <w:rPr>
          <w:rFonts w:ascii="Times New Roman" w:hAnsi="Times New Roman" w:cs="Times New Roman"/>
          <w:b/>
          <w:bCs/>
          <w:sz w:val="24"/>
          <w:szCs w:val="24"/>
        </w:rPr>
        <w:t xml:space="preserve">. Piemēri un informācijas atklāšanas </w:t>
      </w:r>
      <w:r w:rsidR="0025302F" w:rsidRPr="0025302F">
        <w:rPr>
          <w:rFonts w:ascii="Times New Roman" w:hAnsi="Times New Roman" w:cs="Times New Roman"/>
          <w:b/>
          <w:bCs/>
          <w:sz w:val="24"/>
          <w:szCs w:val="24"/>
        </w:rPr>
        <w:t>paraugi</w:t>
      </w:r>
    </w:p>
    <w:p w14:paraId="6DCBF216" w14:textId="77777777" w:rsidR="0025302F" w:rsidRDefault="0025302F" w:rsidP="00CD363C">
      <w:pPr>
        <w:pStyle w:val="Virsraksts4"/>
        <w:tabs>
          <w:tab w:val="left" w:pos="911"/>
        </w:tabs>
        <w:spacing w:before="0"/>
        <w:ind w:left="338" w:right="407"/>
        <w:jc w:val="both"/>
      </w:pPr>
      <w:r>
        <w:rPr>
          <w:color w:val="002069"/>
        </w:rPr>
        <w:t>21.8.1.Piemērs - finanšu aktīva amortizētās vērtības noteikšana un uzskaite, piemērojot līgumā noteikto procentu likmi (aizdevums)</w:t>
      </w:r>
    </w:p>
    <w:p w14:paraId="44132303" w14:textId="77777777" w:rsidR="0025302F" w:rsidRPr="0025302F" w:rsidRDefault="00422C48" w:rsidP="00CD363C">
      <w:pPr>
        <w:pStyle w:val="Pamatteksts"/>
        <w:ind w:left="338" w:right="407"/>
        <w:jc w:val="both"/>
        <w:rPr>
          <w:sz w:val="24"/>
          <w:szCs w:val="24"/>
        </w:rPr>
      </w:pPr>
      <w:r>
        <w:rPr>
          <w:sz w:val="24"/>
          <w:szCs w:val="24"/>
        </w:rPr>
        <w:t xml:space="preserve">876. </w:t>
      </w:r>
      <w:r w:rsidR="0025302F" w:rsidRPr="0025302F">
        <w:rPr>
          <w:sz w:val="24"/>
          <w:szCs w:val="24"/>
        </w:rPr>
        <w:t>2019. gada 2. janvārī Valsts kase (turpmāk – VK) noslēdz līgumu par aizdevuma izsniegšanu pašvaldībai  10 000,00 EUR vērtībā ar termiņu 5 gadi. Saskaņā ar normatīvo aktu prasībām aizdevumu uzskaita tā amortizētajā</w:t>
      </w:r>
      <w:r w:rsidR="0025302F" w:rsidRPr="0025302F">
        <w:rPr>
          <w:spacing w:val="-10"/>
          <w:sz w:val="24"/>
          <w:szCs w:val="24"/>
        </w:rPr>
        <w:t xml:space="preserve"> </w:t>
      </w:r>
      <w:r w:rsidR="0025302F" w:rsidRPr="0025302F">
        <w:rPr>
          <w:sz w:val="24"/>
          <w:szCs w:val="24"/>
        </w:rPr>
        <w:t>vērtībā,</w:t>
      </w:r>
      <w:r w:rsidR="0025302F" w:rsidRPr="0025302F">
        <w:rPr>
          <w:spacing w:val="-9"/>
          <w:sz w:val="24"/>
          <w:szCs w:val="24"/>
        </w:rPr>
        <w:t xml:space="preserve"> </w:t>
      </w:r>
      <w:r w:rsidR="0025302F" w:rsidRPr="0025302F">
        <w:rPr>
          <w:sz w:val="24"/>
          <w:szCs w:val="24"/>
        </w:rPr>
        <w:t>piemērojot</w:t>
      </w:r>
      <w:r w:rsidR="0025302F" w:rsidRPr="0025302F">
        <w:rPr>
          <w:spacing w:val="-10"/>
          <w:sz w:val="24"/>
          <w:szCs w:val="24"/>
        </w:rPr>
        <w:t xml:space="preserve"> </w:t>
      </w:r>
      <w:r w:rsidR="0025302F" w:rsidRPr="0025302F">
        <w:rPr>
          <w:sz w:val="24"/>
          <w:szCs w:val="24"/>
        </w:rPr>
        <w:t>līgumā</w:t>
      </w:r>
      <w:r w:rsidR="0025302F" w:rsidRPr="0025302F">
        <w:rPr>
          <w:spacing w:val="-9"/>
          <w:sz w:val="24"/>
          <w:szCs w:val="24"/>
        </w:rPr>
        <w:t xml:space="preserve"> </w:t>
      </w:r>
      <w:r w:rsidR="0025302F" w:rsidRPr="0025302F">
        <w:rPr>
          <w:sz w:val="24"/>
          <w:szCs w:val="24"/>
        </w:rPr>
        <w:t>noteikto</w:t>
      </w:r>
      <w:r w:rsidR="0025302F" w:rsidRPr="0025302F">
        <w:rPr>
          <w:spacing w:val="-10"/>
          <w:sz w:val="24"/>
          <w:szCs w:val="24"/>
        </w:rPr>
        <w:t xml:space="preserve"> </w:t>
      </w:r>
      <w:r w:rsidR="0025302F" w:rsidRPr="0025302F">
        <w:rPr>
          <w:sz w:val="24"/>
          <w:szCs w:val="24"/>
        </w:rPr>
        <w:t>procentu</w:t>
      </w:r>
      <w:r w:rsidR="0025302F" w:rsidRPr="0025302F">
        <w:rPr>
          <w:spacing w:val="-11"/>
          <w:sz w:val="24"/>
          <w:szCs w:val="24"/>
        </w:rPr>
        <w:t xml:space="preserve"> </w:t>
      </w:r>
      <w:r w:rsidR="0025302F" w:rsidRPr="0025302F">
        <w:rPr>
          <w:sz w:val="24"/>
          <w:szCs w:val="24"/>
        </w:rPr>
        <w:t>likmi,</w:t>
      </w:r>
      <w:r w:rsidR="0025302F" w:rsidRPr="0025302F">
        <w:rPr>
          <w:spacing w:val="-10"/>
          <w:sz w:val="24"/>
          <w:szCs w:val="24"/>
        </w:rPr>
        <w:t xml:space="preserve"> </w:t>
      </w:r>
      <w:r w:rsidR="0025302F" w:rsidRPr="0025302F">
        <w:rPr>
          <w:sz w:val="24"/>
          <w:szCs w:val="24"/>
        </w:rPr>
        <w:t>pieņemot,</w:t>
      </w:r>
      <w:r w:rsidR="0025302F" w:rsidRPr="0025302F">
        <w:rPr>
          <w:spacing w:val="-11"/>
          <w:sz w:val="24"/>
          <w:szCs w:val="24"/>
        </w:rPr>
        <w:t xml:space="preserve"> </w:t>
      </w:r>
      <w:r w:rsidR="0025302F" w:rsidRPr="0025302F">
        <w:rPr>
          <w:sz w:val="24"/>
          <w:szCs w:val="24"/>
        </w:rPr>
        <w:t>ka</w:t>
      </w:r>
      <w:r w:rsidR="0025302F" w:rsidRPr="0025302F">
        <w:rPr>
          <w:spacing w:val="-9"/>
          <w:sz w:val="24"/>
          <w:szCs w:val="24"/>
        </w:rPr>
        <w:t xml:space="preserve"> </w:t>
      </w:r>
      <w:r w:rsidR="0025302F" w:rsidRPr="0025302F">
        <w:rPr>
          <w:sz w:val="24"/>
          <w:szCs w:val="24"/>
        </w:rPr>
        <w:t>līgumā</w:t>
      </w:r>
      <w:r w:rsidR="0025302F" w:rsidRPr="0025302F">
        <w:rPr>
          <w:spacing w:val="-9"/>
          <w:sz w:val="24"/>
          <w:szCs w:val="24"/>
        </w:rPr>
        <w:t xml:space="preserve"> </w:t>
      </w:r>
      <w:r w:rsidR="0025302F" w:rsidRPr="0025302F">
        <w:rPr>
          <w:sz w:val="24"/>
          <w:szCs w:val="24"/>
        </w:rPr>
        <w:t>noteiktā</w:t>
      </w:r>
      <w:r w:rsidR="0025302F" w:rsidRPr="0025302F">
        <w:rPr>
          <w:spacing w:val="-10"/>
          <w:sz w:val="24"/>
          <w:szCs w:val="24"/>
        </w:rPr>
        <w:t xml:space="preserve"> </w:t>
      </w:r>
      <w:r w:rsidR="0025302F" w:rsidRPr="0025302F">
        <w:rPr>
          <w:sz w:val="24"/>
          <w:szCs w:val="24"/>
        </w:rPr>
        <w:t>procentu</w:t>
      </w:r>
      <w:r w:rsidR="0025302F" w:rsidRPr="0025302F">
        <w:rPr>
          <w:spacing w:val="-12"/>
          <w:sz w:val="24"/>
          <w:szCs w:val="24"/>
        </w:rPr>
        <w:t xml:space="preserve"> </w:t>
      </w:r>
      <w:r w:rsidR="0025302F" w:rsidRPr="0025302F">
        <w:rPr>
          <w:sz w:val="24"/>
          <w:szCs w:val="24"/>
        </w:rPr>
        <w:t>likme ir vienāda ar tirgus likmi. Līgums paredz mainīgu procentu likmi 5. tabulā noteiktajā</w:t>
      </w:r>
      <w:r w:rsidR="0025302F" w:rsidRPr="0025302F">
        <w:rPr>
          <w:spacing w:val="-11"/>
          <w:sz w:val="24"/>
          <w:szCs w:val="24"/>
        </w:rPr>
        <w:t xml:space="preserve"> </w:t>
      </w:r>
      <w:r w:rsidR="0025302F" w:rsidRPr="0025302F">
        <w:rPr>
          <w:sz w:val="24"/>
          <w:szCs w:val="24"/>
        </w:rPr>
        <w:t>kārtībā:</w:t>
      </w:r>
    </w:p>
    <w:p w14:paraId="2D330F05" w14:textId="77777777" w:rsidR="0025302F" w:rsidRPr="0025302F" w:rsidRDefault="0025302F" w:rsidP="00CD363C">
      <w:pPr>
        <w:pStyle w:val="Sarakstarindkopa"/>
        <w:widowControl w:val="0"/>
        <w:tabs>
          <w:tab w:val="left" w:pos="6760"/>
        </w:tabs>
        <w:autoSpaceDE w:val="0"/>
        <w:autoSpaceDN w:val="0"/>
        <w:spacing w:after="0" w:line="240" w:lineRule="auto"/>
        <w:ind w:left="6760" w:right="407"/>
        <w:contextualSpacing w:val="0"/>
        <w:jc w:val="both"/>
        <w:rPr>
          <w:rFonts w:ascii="Times New Roman" w:hAnsi="Times New Roman" w:cs="Times New Roman"/>
          <w:i/>
          <w:sz w:val="24"/>
          <w:szCs w:val="24"/>
        </w:rPr>
      </w:pPr>
      <w:r>
        <w:rPr>
          <w:rFonts w:ascii="Times New Roman" w:hAnsi="Times New Roman" w:cs="Times New Roman"/>
          <w:i/>
          <w:sz w:val="24"/>
          <w:szCs w:val="24"/>
        </w:rPr>
        <w:t>5.</w:t>
      </w:r>
      <w:r w:rsidRPr="0025302F">
        <w:rPr>
          <w:rFonts w:ascii="Times New Roman" w:hAnsi="Times New Roman" w:cs="Times New Roman"/>
          <w:i/>
          <w:sz w:val="24"/>
          <w:szCs w:val="24"/>
        </w:rPr>
        <w:t>tabula. Līgumā noteiktā procentu</w:t>
      </w:r>
      <w:r w:rsidRPr="0025302F">
        <w:rPr>
          <w:rFonts w:ascii="Times New Roman" w:hAnsi="Times New Roman" w:cs="Times New Roman"/>
          <w:i/>
          <w:spacing w:val="-4"/>
          <w:sz w:val="24"/>
          <w:szCs w:val="24"/>
        </w:rPr>
        <w:t xml:space="preserve"> </w:t>
      </w:r>
      <w:r w:rsidRPr="0025302F">
        <w:rPr>
          <w:rFonts w:ascii="Times New Roman" w:hAnsi="Times New Roman" w:cs="Times New Roman"/>
          <w:i/>
          <w:sz w:val="24"/>
          <w:szCs w:val="24"/>
        </w:rPr>
        <w:t>likme</w:t>
      </w:r>
    </w:p>
    <w:tbl>
      <w:tblPr>
        <w:tblW w:w="0" w:type="auto"/>
        <w:tblInd w:w="19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27"/>
        <w:gridCol w:w="1418"/>
        <w:gridCol w:w="1274"/>
        <w:gridCol w:w="1701"/>
        <w:gridCol w:w="1559"/>
        <w:gridCol w:w="1701"/>
      </w:tblGrid>
      <w:tr w:rsidR="0025302F" w:rsidRPr="0025302F" w14:paraId="4765EA8C" w14:textId="77777777" w:rsidTr="00FF1C69">
        <w:trPr>
          <w:trHeight w:val="230"/>
        </w:trPr>
        <w:tc>
          <w:tcPr>
            <w:tcW w:w="2127" w:type="dxa"/>
            <w:vMerge w:val="restart"/>
            <w:shd w:val="clear" w:color="auto" w:fill="F1F1F1"/>
          </w:tcPr>
          <w:p w14:paraId="1AD3FFFF" w14:textId="77777777" w:rsidR="0025302F" w:rsidRPr="0025302F" w:rsidRDefault="0025302F" w:rsidP="00CD363C">
            <w:pPr>
              <w:pStyle w:val="TableParagraph"/>
              <w:ind w:right="407"/>
              <w:jc w:val="both"/>
              <w:rPr>
                <w:sz w:val="24"/>
                <w:szCs w:val="24"/>
              </w:rPr>
            </w:pPr>
          </w:p>
        </w:tc>
        <w:tc>
          <w:tcPr>
            <w:tcW w:w="1418" w:type="dxa"/>
            <w:shd w:val="clear" w:color="auto" w:fill="F1F1F1"/>
          </w:tcPr>
          <w:p w14:paraId="5210908F" w14:textId="77777777" w:rsidR="0025302F" w:rsidRPr="0025302F" w:rsidRDefault="0025302F" w:rsidP="00CD363C">
            <w:pPr>
              <w:pStyle w:val="TableParagraph"/>
              <w:ind w:left="410" w:right="407"/>
              <w:jc w:val="both"/>
              <w:rPr>
                <w:b/>
                <w:sz w:val="24"/>
                <w:szCs w:val="24"/>
              </w:rPr>
            </w:pPr>
            <w:r w:rsidRPr="0025302F">
              <w:rPr>
                <w:b/>
                <w:sz w:val="24"/>
                <w:szCs w:val="24"/>
              </w:rPr>
              <w:t>1.gads</w:t>
            </w:r>
          </w:p>
        </w:tc>
        <w:tc>
          <w:tcPr>
            <w:tcW w:w="1274" w:type="dxa"/>
            <w:shd w:val="clear" w:color="auto" w:fill="F1F1F1"/>
          </w:tcPr>
          <w:p w14:paraId="60869D42" w14:textId="77777777" w:rsidR="0025302F" w:rsidRPr="0025302F" w:rsidRDefault="0025302F" w:rsidP="00CD363C">
            <w:pPr>
              <w:pStyle w:val="TableParagraph"/>
              <w:ind w:left="338" w:right="407"/>
              <w:jc w:val="both"/>
              <w:rPr>
                <w:b/>
                <w:sz w:val="24"/>
                <w:szCs w:val="24"/>
              </w:rPr>
            </w:pPr>
            <w:r w:rsidRPr="0025302F">
              <w:rPr>
                <w:b/>
                <w:sz w:val="24"/>
                <w:szCs w:val="24"/>
              </w:rPr>
              <w:t>2.gads</w:t>
            </w:r>
          </w:p>
        </w:tc>
        <w:tc>
          <w:tcPr>
            <w:tcW w:w="1701" w:type="dxa"/>
            <w:shd w:val="clear" w:color="auto" w:fill="F1F1F1"/>
          </w:tcPr>
          <w:p w14:paraId="274BC89E" w14:textId="77777777" w:rsidR="0025302F" w:rsidRPr="0025302F" w:rsidRDefault="0025302F" w:rsidP="00CD363C">
            <w:pPr>
              <w:pStyle w:val="TableParagraph"/>
              <w:ind w:left="552" w:right="407"/>
              <w:jc w:val="both"/>
              <w:rPr>
                <w:b/>
                <w:sz w:val="24"/>
                <w:szCs w:val="24"/>
              </w:rPr>
            </w:pPr>
            <w:r w:rsidRPr="0025302F">
              <w:rPr>
                <w:b/>
                <w:sz w:val="24"/>
                <w:szCs w:val="24"/>
              </w:rPr>
              <w:t>3.gads</w:t>
            </w:r>
          </w:p>
        </w:tc>
        <w:tc>
          <w:tcPr>
            <w:tcW w:w="1559" w:type="dxa"/>
            <w:shd w:val="clear" w:color="auto" w:fill="F1F1F1"/>
          </w:tcPr>
          <w:p w14:paraId="215C0E7F" w14:textId="77777777" w:rsidR="0025302F" w:rsidRPr="0025302F" w:rsidRDefault="0025302F" w:rsidP="00CD363C">
            <w:pPr>
              <w:pStyle w:val="TableParagraph"/>
              <w:ind w:left="482" w:right="407"/>
              <w:jc w:val="both"/>
              <w:rPr>
                <w:b/>
                <w:sz w:val="24"/>
                <w:szCs w:val="24"/>
              </w:rPr>
            </w:pPr>
            <w:r w:rsidRPr="0025302F">
              <w:rPr>
                <w:b/>
                <w:sz w:val="24"/>
                <w:szCs w:val="24"/>
              </w:rPr>
              <w:t>4.gads</w:t>
            </w:r>
          </w:p>
        </w:tc>
        <w:tc>
          <w:tcPr>
            <w:tcW w:w="1701" w:type="dxa"/>
            <w:shd w:val="clear" w:color="auto" w:fill="F1F1F1"/>
          </w:tcPr>
          <w:p w14:paraId="63A4E158" w14:textId="77777777" w:rsidR="0025302F" w:rsidRPr="0025302F" w:rsidRDefault="0025302F" w:rsidP="00CD363C">
            <w:pPr>
              <w:pStyle w:val="TableParagraph"/>
              <w:ind w:left="555" w:right="407"/>
              <w:jc w:val="both"/>
              <w:rPr>
                <w:b/>
                <w:sz w:val="24"/>
                <w:szCs w:val="24"/>
              </w:rPr>
            </w:pPr>
            <w:r w:rsidRPr="0025302F">
              <w:rPr>
                <w:b/>
                <w:sz w:val="24"/>
                <w:szCs w:val="24"/>
              </w:rPr>
              <w:t>5.gads</w:t>
            </w:r>
          </w:p>
        </w:tc>
      </w:tr>
      <w:tr w:rsidR="0025302F" w:rsidRPr="0025302F" w14:paraId="085891B6" w14:textId="77777777" w:rsidTr="00FF1C69">
        <w:trPr>
          <w:trHeight w:val="460"/>
        </w:trPr>
        <w:tc>
          <w:tcPr>
            <w:tcW w:w="2127" w:type="dxa"/>
            <w:vMerge/>
            <w:tcBorders>
              <w:top w:val="nil"/>
            </w:tcBorders>
            <w:shd w:val="clear" w:color="auto" w:fill="F1F1F1"/>
          </w:tcPr>
          <w:p w14:paraId="2BE3E72F" w14:textId="77777777" w:rsidR="0025302F" w:rsidRPr="0025302F" w:rsidRDefault="0025302F" w:rsidP="00CD363C">
            <w:pPr>
              <w:spacing w:after="0" w:line="240" w:lineRule="auto"/>
              <w:ind w:right="407"/>
              <w:jc w:val="both"/>
              <w:rPr>
                <w:rFonts w:ascii="Times New Roman" w:hAnsi="Times New Roman" w:cs="Times New Roman"/>
                <w:sz w:val="24"/>
                <w:szCs w:val="24"/>
              </w:rPr>
            </w:pPr>
          </w:p>
        </w:tc>
        <w:tc>
          <w:tcPr>
            <w:tcW w:w="1418" w:type="dxa"/>
            <w:shd w:val="clear" w:color="auto" w:fill="F1F1F1"/>
          </w:tcPr>
          <w:p w14:paraId="6128C63F" w14:textId="77777777" w:rsidR="0025302F" w:rsidRPr="0025302F" w:rsidRDefault="0025302F" w:rsidP="00CD363C">
            <w:pPr>
              <w:pStyle w:val="TableParagraph"/>
              <w:ind w:right="407"/>
              <w:jc w:val="both"/>
              <w:rPr>
                <w:sz w:val="24"/>
                <w:szCs w:val="24"/>
              </w:rPr>
            </w:pPr>
            <w:r w:rsidRPr="0025302F">
              <w:rPr>
                <w:w w:val="95"/>
                <w:sz w:val="24"/>
                <w:szCs w:val="24"/>
              </w:rPr>
              <w:t>31.12.2019.</w:t>
            </w:r>
          </w:p>
        </w:tc>
        <w:tc>
          <w:tcPr>
            <w:tcW w:w="1274" w:type="dxa"/>
            <w:shd w:val="clear" w:color="auto" w:fill="F1F1F1"/>
          </w:tcPr>
          <w:p w14:paraId="744A465C" w14:textId="77777777" w:rsidR="0025302F" w:rsidRPr="0025302F" w:rsidRDefault="0025302F" w:rsidP="00CD363C">
            <w:pPr>
              <w:pStyle w:val="TableParagraph"/>
              <w:ind w:right="407"/>
              <w:jc w:val="both"/>
              <w:rPr>
                <w:sz w:val="24"/>
                <w:szCs w:val="24"/>
              </w:rPr>
            </w:pPr>
            <w:r w:rsidRPr="0025302F">
              <w:rPr>
                <w:w w:val="95"/>
                <w:sz w:val="24"/>
                <w:szCs w:val="24"/>
              </w:rPr>
              <w:t>31.12.2020.</w:t>
            </w:r>
          </w:p>
        </w:tc>
        <w:tc>
          <w:tcPr>
            <w:tcW w:w="1701" w:type="dxa"/>
            <w:shd w:val="clear" w:color="auto" w:fill="F1F1F1"/>
          </w:tcPr>
          <w:p w14:paraId="607A31B4" w14:textId="77777777" w:rsidR="0025302F" w:rsidRPr="0025302F" w:rsidRDefault="0025302F" w:rsidP="00CD363C">
            <w:pPr>
              <w:pStyle w:val="TableParagraph"/>
              <w:ind w:right="407"/>
              <w:jc w:val="both"/>
              <w:rPr>
                <w:sz w:val="24"/>
                <w:szCs w:val="24"/>
              </w:rPr>
            </w:pPr>
            <w:r w:rsidRPr="0025302F">
              <w:rPr>
                <w:w w:val="95"/>
                <w:sz w:val="24"/>
                <w:szCs w:val="24"/>
              </w:rPr>
              <w:t>31.12.2021.</w:t>
            </w:r>
          </w:p>
        </w:tc>
        <w:tc>
          <w:tcPr>
            <w:tcW w:w="1559" w:type="dxa"/>
            <w:shd w:val="clear" w:color="auto" w:fill="F1F1F1"/>
          </w:tcPr>
          <w:p w14:paraId="4AD1B103" w14:textId="77777777" w:rsidR="0025302F" w:rsidRPr="0025302F" w:rsidRDefault="0025302F" w:rsidP="00CD363C">
            <w:pPr>
              <w:pStyle w:val="TableParagraph"/>
              <w:ind w:right="407"/>
              <w:jc w:val="both"/>
              <w:rPr>
                <w:sz w:val="24"/>
                <w:szCs w:val="24"/>
              </w:rPr>
            </w:pPr>
            <w:r w:rsidRPr="0025302F">
              <w:rPr>
                <w:w w:val="95"/>
                <w:sz w:val="24"/>
                <w:szCs w:val="24"/>
              </w:rPr>
              <w:t>31.12.2022.</w:t>
            </w:r>
          </w:p>
        </w:tc>
        <w:tc>
          <w:tcPr>
            <w:tcW w:w="1701" w:type="dxa"/>
            <w:shd w:val="clear" w:color="auto" w:fill="F1F1F1"/>
          </w:tcPr>
          <w:p w14:paraId="6980AC22" w14:textId="77777777" w:rsidR="0025302F" w:rsidRPr="0025302F" w:rsidRDefault="0025302F" w:rsidP="00CD363C">
            <w:pPr>
              <w:pStyle w:val="TableParagraph"/>
              <w:ind w:right="407"/>
              <w:jc w:val="both"/>
              <w:rPr>
                <w:sz w:val="24"/>
                <w:szCs w:val="24"/>
              </w:rPr>
            </w:pPr>
            <w:r w:rsidRPr="0025302F">
              <w:rPr>
                <w:w w:val="95"/>
                <w:sz w:val="24"/>
                <w:szCs w:val="24"/>
              </w:rPr>
              <w:t>31.12.2023.</w:t>
            </w:r>
          </w:p>
        </w:tc>
      </w:tr>
      <w:tr w:rsidR="0025302F" w:rsidRPr="0025302F" w14:paraId="24AEC549" w14:textId="77777777" w:rsidTr="00FF1C69">
        <w:trPr>
          <w:trHeight w:val="460"/>
        </w:trPr>
        <w:tc>
          <w:tcPr>
            <w:tcW w:w="2127" w:type="dxa"/>
          </w:tcPr>
          <w:p w14:paraId="48DAA22C" w14:textId="77777777" w:rsidR="0025302F" w:rsidRPr="0025302F" w:rsidRDefault="0025302F" w:rsidP="00CD363C">
            <w:pPr>
              <w:pStyle w:val="TableParagraph"/>
              <w:ind w:left="107" w:right="407"/>
              <w:jc w:val="both"/>
              <w:rPr>
                <w:sz w:val="24"/>
                <w:szCs w:val="24"/>
              </w:rPr>
            </w:pPr>
            <w:r w:rsidRPr="0025302F">
              <w:rPr>
                <w:sz w:val="24"/>
                <w:szCs w:val="24"/>
              </w:rPr>
              <w:t>Līgumā noteiktā gada</w:t>
            </w:r>
          </w:p>
          <w:p w14:paraId="068C4E86" w14:textId="77777777" w:rsidR="0025302F" w:rsidRPr="0025302F" w:rsidRDefault="0025302F" w:rsidP="00CD363C">
            <w:pPr>
              <w:pStyle w:val="TableParagraph"/>
              <w:ind w:left="107" w:right="407"/>
              <w:jc w:val="both"/>
              <w:rPr>
                <w:sz w:val="24"/>
                <w:szCs w:val="24"/>
              </w:rPr>
            </w:pPr>
            <w:r w:rsidRPr="0025302F">
              <w:rPr>
                <w:sz w:val="24"/>
                <w:szCs w:val="24"/>
              </w:rPr>
              <w:t>procentu likme</w:t>
            </w:r>
          </w:p>
        </w:tc>
        <w:tc>
          <w:tcPr>
            <w:tcW w:w="1418" w:type="dxa"/>
          </w:tcPr>
          <w:p w14:paraId="4FAD2AAB" w14:textId="77777777" w:rsidR="0025302F" w:rsidRPr="0025302F" w:rsidRDefault="0025302F" w:rsidP="00CD363C">
            <w:pPr>
              <w:pStyle w:val="TableParagraph"/>
              <w:ind w:right="407"/>
              <w:jc w:val="both"/>
              <w:rPr>
                <w:b/>
                <w:sz w:val="24"/>
                <w:szCs w:val="24"/>
              </w:rPr>
            </w:pPr>
            <w:r w:rsidRPr="0025302F">
              <w:rPr>
                <w:b/>
                <w:sz w:val="24"/>
                <w:szCs w:val="24"/>
              </w:rPr>
              <w:t>5%</w:t>
            </w:r>
          </w:p>
        </w:tc>
        <w:tc>
          <w:tcPr>
            <w:tcW w:w="1274" w:type="dxa"/>
          </w:tcPr>
          <w:p w14:paraId="414AC09B" w14:textId="77777777" w:rsidR="0025302F" w:rsidRPr="0025302F" w:rsidRDefault="0025302F" w:rsidP="00CD363C">
            <w:pPr>
              <w:pStyle w:val="TableParagraph"/>
              <w:ind w:right="407"/>
              <w:jc w:val="both"/>
              <w:rPr>
                <w:b/>
                <w:sz w:val="24"/>
                <w:szCs w:val="24"/>
              </w:rPr>
            </w:pPr>
            <w:r w:rsidRPr="0025302F">
              <w:rPr>
                <w:b/>
                <w:sz w:val="24"/>
                <w:szCs w:val="24"/>
              </w:rPr>
              <w:t>5,1%</w:t>
            </w:r>
          </w:p>
        </w:tc>
        <w:tc>
          <w:tcPr>
            <w:tcW w:w="1701" w:type="dxa"/>
          </w:tcPr>
          <w:p w14:paraId="6BCBD605" w14:textId="77777777" w:rsidR="0025302F" w:rsidRPr="0025302F" w:rsidRDefault="0025302F" w:rsidP="00CD363C">
            <w:pPr>
              <w:pStyle w:val="TableParagraph"/>
              <w:ind w:right="407"/>
              <w:jc w:val="both"/>
              <w:rPr>
                <w:b/>
                <w:sz w:val="24"/>
                <w:szCs w:val="24"/>
              </w:rPr>
            </w:pPr>
            <w:r w:rsidRPr="0025302F">
              <w:rPr>
                <w:b/>
                <w:sz w:val="24"/>
                <w:szCs w:val="24"/>
              </w:rPr>
              <w:t>4,88%</w:t>
            </w:r>
          </w:p>
        </w:tc>
        <w:tc>
          <w:tcPr>
            <w:tcW w:w="1559" w:type="dxa"/>
          </w:tcPr>
          <w:p w14:paraId="05DE643F" w14:textId="77777777" w:rsidR="0025302F" w:rsidRPr="0025302F" w:rsidRDefault="0025302F" w:rsidP="00CD363C">
            <w:pPr>
              <w:pStyle w:val="TableParagraph"/>
              <w:ind w:right="407"/>
              <w:jc w:val="both"/>
              <w:rPr>
                <w:b/>
                <w:sz w:val="24"/>
                <w:szCs w:val="24"/>
              </w:rPr>
            </w:pPr>
            <w:r w:rsidRPr="0025302F">
              <w:rPr>
                <w:b/>
                <w:sz w:val="24"/>
                <w:szCs w:val="24"/>
              </w:rPr>
              <w:t>5,12%</w:t>
            </w:r>
          </w:p>
        </w:tc>
        <w:tc>
          <w:tcPr>
            <w:tcW w:w="1701" w:type="dxa"/>
          </w:tcPr>
          <w:p w14:paraId="3FB8840D" w14:textId="77777777" w:rsidR="0025302F" w:rsidRPr="0025302F" w:rsidRDefault="0025302F" w:rsidP="00CD363C">
            <w:pPr>
              <w:pStyle w:val="TableParagraph"/>
              <w:ind w:right="407"/>
              <w:jc w:val="both"/>
              <w:rPr>
                <w:b/>
                <w:sz w:val="24"/>
                <w:szCs w:val="24"/>
              </w:rPr>
            </w:pPr>
            <w:r w:rsidRPr="0025302F">
              <w:rPr>
                <w:b/>
                <w:sz w:val="24"/>
                <w:szCs w:val="24"/>
              </w:rPr>
              <w:t>4,95%</w:t>
            </w:r>
          </w:p>
        </w:tc>
      </w:tr>
    </w:tbl>
    <w:p w14:paraId="5FD33DD6" w14:textId="77777777" w:rsidR="0025302F" w:rsidRPr="0025302F" w:rsidRDefault="0025302F" w:rsidP="00CD363C">
      <w:pPr>
        <w:pStyle w:val="Pamatteksts"/>
        <w:ind w:right="407"/>
        <w:jc w:val="both"/>
        <w:rPr>
          <w:i/>
          <w:sz w:val="24"/>
          <w:szCs w:val="24"/>
        </w:rPr>
      </w:pPr>
    </w:p>
    <w:p w14:paraId="45F81D0C" w14:textId="77777777" w:rsidR="0025302F" w:rsidRPr="0025302F" w:rsidRDefault="0025302F" w:rsidP="00CD363C">
      <w:pPr>
        <w:pStyle w:val="Pamatteksts"/>
        <w:ind w:right="407"/>
        <w:jc w:val="both"/>
        <w:rPr>
          <w:i/>
          <w:sz w:val="24"/>
          <w:szCs w:val="24"/>
        </w:rPr>
      </w:pPr>
    </w:p>
    <w:p w14:paraId="5A7F3B30" w14:textId="77777777" w:rsidR="0025302F" w:rsidRPr="0025302F" w:rsidRDefault="0025302F" w:rsidP="00CD363C">
      <w:pPr>
        <w:pStyle w:val="Pamatteksts"/>
        <w:ind w:left="338" w:right="407"/>
        <w:jc w:val="both"/>
        <w:rPr>
          <w:sz w:val="24"/>
          <w:szCs w:val="24"/>
        </w:rPr>
      </w:pPr>
      <w:r w:rsidRPr="0025302F">
        <w:rPr>
          <w:sz w:val="24"/>
          <w:szCs w:val="24"/>
        </w:rPr>
        <w:t>Piemērā tiek pieņemts, ka budžeta iestādei nerodas nekādas komisijas maksas pie aizdevuma izsniegšanas. Aizdevuma</w:t>
      </w:r>
      <w:r w:rsidRPr="0025302F">
        <w:rPr>
          <w:spacing w:val="-10"/>
          <w:sz w:val="24"/>
          <w:szCs w:val="24"/>
        </w:rPr>
        <w:t xml:space="preserve"> </w:t>
      </w:r>
      <w:r w:rsidRPr="0025302F">
        <w:rPr>
          <w:sz w:val="24"/>
          <w:szCs w:val="24"/>
        </w:rPr>
        <w:t>uzskaites</w:t>
      </w:r>
      <w:r w:rsidRPr="0025302F">
        <w:rPr>
          <w:spacing w:val="-10"/>
          <w:sz w:val="24"/>
          <w:szCs w:val="24"/>
        </w:rPr>
        <w:t xml:space="preserve"> </w:t>
      </w:r>
      <w:r w:rsidRPr="0025302F">
        <w:rPr>
          <w:sz w:val="24"/>
          <w:szCs w:val="24"/>
        </w:rPr>
        <w:t>vērtība</w:t>
      </w:r>
      <w:r w:rsidRPr="0025302F">
        <w:rPr>
          <w:spacing w:val="-9"/>
          <w:sz w:val="24"/>
          <w:szCs w:val="24"/>
        </w:rPr>
        <w:t xml:space="preserve"> </w:t>
      </w:r>
      <w:r w:rsidRPr="0025302F">
        <w:rPr>
          <w:sz w:val="24"/>
          <w:szCs w:val="24"/>
        </w:rPr>
        <w:t>sākotnējās</w:t>
      </w:r>
      <w:r w:rsidRPr="0025302F">
        <w:rPr>
          <w:spacing w:val="-12"/>
          <w:sz w:val="24"/>
          <w:szCs w:val="24"/>
        </w:rPr>
        <w:t xml:space="preserve"> </w:t>
      </w:r>
      <w:r w:rsidRPr="0025302F">
        <w:rPr>
          <w:sz w:val="24"/>
          <w:szCs w:val="24"/>
        </w:rPr>
        <w:t>atzīšanas</w:t>
      </w:r>
      <w:r w:rsidRPr="0025302F">
        <w:rPr>
          <w:spacing w:val="-9"/>
          <w:sz w:val="24"/>
          <w:szCs w:val="24"/>
        </w:rPr>
        <w:t xml:space="preserve"> </w:t>
      </w:r>
      <w:r w:rsidRPr="0025302F">
        <w:rPr>
          <w:sz w:val="24"/>
          <w:szCs w:val="24"/>
        </w:rPr>
        <w:t>dienā</w:t>
      </w:r>
      <w:r w:rsidRPr="0025302F">
        <w:rPr>
          <w:spacing w:val="-12"/>
          <w:sz w:val="24"/>
          <w:szCs w:val="24"/>
        </w:rPr>
        <w:t xml:space="preserve"> </w:t>
      </w:r>
      <w:r w:rsidRPr="0025302F">
        <w:rPr>
          <w:sz w:val="24"/>
          <w:szCs w:val="24"/>
        </w:rPr>
        <w:t>ir</w:t>
      </w:r>
      <w:r w:rsidRPr="0025302F">
        <w:rPr>
          <w:spacing w:val="-10"/>
          <w:sz w:val="24"/>
          <w:szCs w:val="24"/>
        </w:rPr>
        <w:t xml:space="preserve"> </w:t>
      </w:r>
      <w:r w:rsidRPr="0025302F">
        <w:rPr>
          <w:sz w:val="24"/>
          <w:szCs w:val="24"/>
        </w:rPr>
        <w:t>vienāda</w:t>
      </w:r>
      <w:r w:rsidRPr="0025302F">
        <w:rPr>
          <w:spacing w:val="-11"/>
          <w:sz w:val="24"/>
          <w:szCs w:val="24"/>
        </w:rPr>
        <w:t xml:space="preserve"> </w:t>
      </w:r>
      <w:r w:rsidRPr="0025302F">
        <w:rPr>
          <w:sz w:val="24"/>
          <w:szCs w:val="24"/>
        </w:rPr>
        <w:t>ar</w:t>
      </w:r>
      <w:r w:rsidRPr="0025302F">
        <w:rPr>
          <w:spacing w:val="-12"/>
          <w:sz w:val="24"/>
          <w:szCs w:val="24"/>
        </w:rPr>
        <w:t xml:space="preserve"> </w:t>
      </w:r>
      <w:r w:rsidRPr="0025302F">
        <w:rPr>
          <w:sz w:val="24"/>
          <w:szCs w:val="24"/>
        </w:rPr>
        <w:t>tā</w:t>
      </w:r>
      <w:r w:rsidRPr="0025302F">
        <w:rPr>
          <w:spacing w:val="-9"/>
          <w:sz w:val="24"/>
          <w:szCs w:val="24"/>
        </w:rPr>
        <w:t xml:space="preserve"> </w:t>
      </w:r>
      <w:r w:rsidRPr="0025302F">
        <w:rPr>
          <w:sz w:val="24"/>
          <w:szCs w:val="24"/>
        </w:rPr>
        <w:t>pamatsummu</w:t>
      </w:r>
      <w:r w:rsidRPr="0025302F">
        <w:rPr>
          <w:spacing w:val="-11"/>
          <w:sz w:val="24"/>
          <w:szCs w:val="24"/>
        </w:rPr>
        <w:t xml:space="preserve"> </w:t>
      </w:r>
      <w:r w:rsidRPr="0025302F">
        <w:rPr>
          <w:sz w:val="24"/>
          <w:szCs w:val="24"/>
        </w:rPr>
        <w:t>10</w:t>
      </w:r>
      <w:r w:rsidRPr="0025302F">
        <w:rPr>
          <w:spacing w:val="1"/>
          <w:sz w:val="24"/>
          <w:szCs w:val="24"/>
        </w:rPr>
        <w:t xml:space="preserve"> </w:t>
      </w:r>
      <w:r w:rsidRPr="0025302F">
        <w:rPr>
          <w:sz w:val="24"/>
          <w:szCs w:val="24"/>
        </w:rPr>
        <w:t>000,00</w:t>
      </w:r>
      <w:r w:rsidRPr="0025302F">
        <w:rPr>
          <w:spacing w:val="-11"/>
          <w:sz w:val="24"/>
          <w:szCs w:val="24"/>
        </w:rPr>
        <w:t xml:space="preserve"> </w:t>
      </w:r>
      <w:r w:rsidRPr="0025302F">
        <w:rPr>
          <w:sz w:val="24"/>
          <w:szCs w:val="24"/>
        </w:rPr>
        <w:t>EUR</w:t>
      </w:r>
      <w:r w:rsidRPr="0025302F">
        <w:rPr>
          <w:spacing w:val="-13"/>
          <w:sz w:val="24"/>
          <w:szCs w:val="24"/>
        </w:rPr>
        <w:t xml:space="preserve"> </w:t>
      </w:r>
      <w:r w:rsidRPr="0025302F">
        <w:rPr>
          <w:sz w:val="24"/>
          <w:szCs w:val="24"/>
        </w:rPr>
        <w:t>apmērā.</w:t>
      </w:r>
    </w:p>
    <w:p w14:paraId="5E0E7481" w14:textId="77777777" w:rsidR="0025302F" w:rsidRPr="0025302F" w:rsidRDefault="0025302F" w:rsidP="00CD363C">
      <w:pPr>
        <w:widowControl w:val="0"/>
        <w:tabs>
          <w:tab w:val="left" w:pos="560"/>
        </w:tabs>
        <w:autoSpaceDE w:val="0"/>
        <w:autoSpaceDN w:val="0"/>
        <w:spacing w:after="0" w:line="240" w:lineRule="auto"/>
        <w:ind w:left="186" w:right="407"/>
        <w:jc w:val="both"/>
        <w:rPr>
          <w:rFonts w:ascii="Times New Roman" w:hAnsi="Times New Roman" w:cs="Times New Roman"/>
          <w:sz w:val="24"/>
          <w:szCs w:val="24"/>
        </w:rPr>
      </w:pPr>
      <w:r>
        <w:rPr>
          <w:rFonts w:ascii="Times New Roman" w:hAnsi="Times New Roman" w:cs="Times New Roman"/>
          <w:sz w:val="24"/>
          <w:szCs w:val="24"/>
        </w:rPr>
        <w:t>6.</w:t>
      </w:r>
      <w:r w:rsidRPr="0025302F">
        <w:rPr>
          <w:rFonts w:ascii="Times New Roman" w:hAnsi="Times New Roman" w:cs="Times New Roman"/>
          <w:sz w:val="24"/>
          <w:szCs w:val="24"/>
        </w:rPr>
        <w:t>tabulā</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uzrādīta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sagaidāmā</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aizdevuma</w:t>
      </w:r>
      <w:r w:rsidRPr="0025302F">
        <w:rPr>
          <w:rFonts w:ascii="Times New Roman" w:hAnsi="Times New Roman" w:cs="Times New Roman"/>
          <w:spacing w:val="-3"/>
          <w:sz w:val="24"/>
          <w:szCs w:val="24"/>
        </w:rPr>
        <w:t xml:space="preserve"> </w:t>
      </w:r>
      <w:r w:rsidRPr="0025302F">
        <w:rPr>
          <w:rFonts w:ascii="Times New Roman" w:hAnsi="Times New Roman" w:cs="Times New Roman"/>
          <w:sz w:val="24"/>
          <w:szCs w:val="24"/>
        </w:rPr>
        <w:t>naudas</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plūsma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līguma</w:t>
      </w:r>
      <w:r w:rsidRPr="0025302F">
        <w:rPr>
          <w:rFonts w:ascii="Times New Roman" w:hAnsi="Times New Roman" w:cs="Times New Roman"/>
          <w:spacing w:val="-3"/>
          <w:sz w:val="24"/>
          <w:szCs w:val="24"/>
        </w:rPr>
        <w:t xml:space="preserve"> </w:t>
      </w:r>
      <w:r w:rsidRPr="0025302F">
        <w:rPr>
          <w:rFonts w:ascii="Times New Roman" w:hAnsi="Times New Roman" w:cs="Times New Roman"/>
          <w:sz w:val="24"/>
          <w:szCs w:val="24"/>
        </w:rPr>
        <w:t>termiņa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laikā</w:t>
      </w:r>
      <w:r w:rsidRPr="0025302F">
        <w:rPr>
          <w:rFonts w:ascii="Times New Roman" w:hAnsi="Times New Roman" w:cs="Times New Roman"/>
          <w:spacing w:val="-1"/>
          <w:sz w:val="24"/>
          <w:szCs w:val="24"/>
        </w:rPr>
        <w:t xml:space="preserve"> </w:t>
      </w:r>
      <w:r w:rsidRPr="0025302F">
        <w:rPr>
          <w:rFonts w:ascii="Times New Roman" w:hAnsi="Times New Roman" w:cs="Times New Roman"/>
          <w:sz w:val="24"/>
          <w:szCs w:val="24"/>
        </w:rPr>
        <w:t>–</w:t>
      </w:r>
      <w:r w:rsidRPr="0025302F">
        <w:rPr>
          <w:rFonts w:ascii="Times New Roman" w:hAnsi="Times New Roman" w:cs="Times New Roman"/>
          <w:spacing w:val="-5"/>
          <w:sz w:val="24"/>
          <w:szCs w:val="24"/>
        </w:rPr>
        <w:t xml:space="preserve"> </w:t>
      </w:r>
      <w:r w:rsidRPr="0025302F">
        <w:rPr>
          <w:rFonts w:ascii="Times New Roman" w:hAnsi="Times New Roman" w:cs="Times New Roman"/>
          <w:sz w:val="24"/>
          <w:szCs w:val="24"/>
        </w:rPr>
        <w:t>piecu</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gadu</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laika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periodā</w:t>
      </w:r>
      <w:r w:rsidRPr="0025302F">
        <w:rPr>
          <w:rFonts w:ascii="Times New Roman" w:hAnsi="Times New Roman" w:cs="Times New Roman"/>
          <w:spacing w:val="-3"/>
          <w:sz w:val="24"/>
          <w:szCs w:val="24"/>
        </w:rPr>
        <w:t xml:space="preserve"> </w:t>
      </w:r>
      <w:r w:rsidRPr="0025302F">
        <w:rPr>
          <w:rFonts w:ascii="Times New Roman" w:hAnsi="Times New Roman" w:cs="Times New Roman"/>
          <w:sz w:val="24"/>
          <w:szCs w:val="24"/>
        </w:rPr>
        <w:t>no</w:t>
      </w:r>
      <w:r w:rsidRPr="0025302F">
        <w:rPr>
          <w:rFonts w:ascii="Times New Roman" w:hAnsi="Times New Roman" w:cs="Times New Roman"/>
          <w:spacing w:val="-5"/>
          <w:sz w:val="24"/>
          <w:szCs w:val="24"/>
        </w:rPr>
        <w:t xml:space="preserve"> </w:t>
      </w:r>
      <w:r w:rsidRPr="0025302F">
        <w:rPr>
          <w:rFonts w:ascii="Times New Roman" w:hAnsi="Times New Roman" w:cs="Times New Roman"/>
          <w:sz w:val="24"/>
          <w:szCs w:val="24"/>
        </w:rPr>
        <w:t>tā izsniegšanas dienas. Līgums nosaka aizdevuma pamatsummas atmaksu ik gadu 2 000,00 EUR apmērā un procentu maksājumus atbilstoši attiecīgajai procentu likmei attiecīgajā</w:t>
      </w:r>
      <w:r w:rsidRPr="0025302F">
        <w:rPr>
          <w:rFonts w:ascii="Times New Roman" w:hAnsi="Times New Roman" w:cs="Times New Roman"/>
          <w:spacing w:val="-2"/>
          <w:sz w:val="24"/>
          <w:szCs w:val="24"/>
        </w:rPr>
        <w:t xml:space="preserve"> </w:t>
      </w:r>
      <w:r w:rsidRPr="0025302F">
        <w:rPr>
          <w:rFonts w:ascii="Times New Roman" w:hAnsi="Times New Roman" w:cs="Times New Roman"/>
          <w:sz w:val="24"/>
          <w:szCs w:val="24"/>
        </w:rPr>
        <w:t>periodā.</w:t>
      </w:r>
    </w:p>
    <w:p w14:paraId="6B98716C" w14:textId="77777777" w:rsidR="0025302F" w:rsidRDefault="0025302F" w:rsidP="00CD363C">
      <w:pPr>
        <w:spacing w:after="0" w:line="240" w:lineRule="auto"/>
        <w:ind w:right="407"/>
        <w:jc w:val="both"/>
        <w:rPr>
          <w:rFonts w:ascii="Times New Roman" w:hAnsi="Times New Roman" w:cs="Times New Roman"/>
          <w:sz w:val="24"/>
          <w:szCs w:val="24"/>
        </w:rPr>
      </w:pPr>
    </w:p>
    <w:p w14:paraId="5244200A" w14:textId="77777777" w:rsidR="0025302F" w:rsidRPr="0025302F" w:rsidRDefault="0025302F" w:rsidP="00CD363C">
      <w:pPr>
        <w:pStyle w:val="Sarakstarindkopa"/>
        <w:widowControl w:val="0"/>
        <w:numPr>
          <w:ilvl w:val="0"/>
          <w:numId w:val="56"/>
        </w:numPr>
        <w:tabs>
          <w:tab w:val="left" w:pos="3782"/>
        </w:tabs>
        <w:autoSpaceDE w:val="0"/>
        <w:autoSpaceDN w:val="0"/>
        <w:spacing w:after="0" w:line="240" w:lineRule="auto"/>
        <w:ind w:right="407"/>
        <w:jc w:val="both"/>
        <w:rPr>
          <w:rFonts w:ascii="Times New Roman" w:hAnsi="Times New Roman" w:cs="Times New Roman"/>
          <w:i/>
          <w:sz w:val="24"/>
          <w:szCs w:val="24"/>
        </w:rPr>
      </w:pPr>
      <w:r w:rsidRPr="0025302F">
        <w:rPr>
          <w:rFonts w:ascii="Times New Roman" w:hAnsi="Times New Roman" w:cs="Times New Roman"/>
          <w:i/>
          <w:sz w:val="24"/>
          <w:szCs w:val="24"/>
        </w:rPr>
        <w:t>tabula. Finanšu ieguldījuma sagaidāmās naudas plūsmas saskaņā ar</w:t>
      </w:r>
      <w:r w:rsidRPr="0025302F">
        <w:rPr>
          <w:rFonts w:ascii="Times New Roman" w:hAnsi="Times New Roman" w:cs="Times New Roman"/>
          <w:i/>
          <w:spacing w:val="-8"/>
          <w:sz w:val="24"/>
          <w:szCs w:val="24"/>
        </w:rPr>
        <w:t xml:space="preserve"> </w:t>
      </w:r>
      <w:r w:rsidRPr="0025302F">
        <w:rPr>
          <w:rFonts w:ascii="Times New Roman" w:hAnsi="Times New Roman" w:cs="Times New Roman"/>
          <w:i/>
          <w:sz w:val="24"/>
          <w:szCs w:val="24"/>
        </w:rPr>
        <w:t>līgumu</w:t>
      </w:r>
    </w:p>
    <w:tbl>
      <w:tblPr>
        <w:tblW w:w="0" w:type="auto"/>
        <w:tblInd w:w="19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8"/>
        <w:gridCol w:w="1133"/>
        <w:gridCol w:w="1135"/>
        <w:gridCol w:w="1133"/>
        <w:gridCol w:w="1135"/>
        <w:gridCol w:w="1133"/>
        <w:gridCol w:w="1135"/>
        <w:gridCol w:w="1419"/>
      </w:tblGrid>
      <w:tr w:rsidR="0025302F" w:rsidRPr="0025302F" w14:paraId="004772F8" w14:textId="77777777" w:rsidTr="00FF1C69">
        <w:trPr>
          <w:trHeight w:val="537"/>
        </w:trPr>
        <w:tc>
          <w:tcPr>
            <w:tcW w:w="1418" w:type="dxa"/>
            <w:shd w:val="clear" w:color="auto" w:fill="F1F1F1"/>
          </w:tcPr>
          <w:p w14:paraId="1A8DF760" w14:textId="77777777" w:rsidR="0025302F" w:rsidRPr="0025302F" w:rsidRDefault="0025302F" w:rsidP="00CD363C">
            <w:pPr>
              <w:pStyle w:val="TableParagraph"/>
              <w:ind w:right="407"/>
              <w:jc w:val="both"/>
              <w:rPr>
                <w:sz w:val="24"/>
                <w:szCs w:val="24"/>
              </w:rPr>
            </w:pPr>
          </w:p>
        </w:tc>
        <w:tc>
          <w:tcPr>
            <w:tcW w:w="1133" w:type="dxa"/>
            <w:shd w:val="clear" w:color="auto" w:fill="F1F1F1"/>
          </w:tcPr>
          <w:p w14:paraId="5357EC40" w14:textId="77777777" w:rsidR="0025302F" w:rsidRPr="0025302F" w:rsidRDefault="0025302F" w:rsidP="00CD363C">
            <w:pPr>
              <w:pStyle w:val="TableParagraph"/>
              <w:ind w:right="407"/>
              <w:jc w:val="both"/>
              <w:rPr>
                <w:b/>
                <w:sz w:val="24"/>
                <w:szCs w:val="24"/>
              </w:rPr>
            </w:pPr>
            <w:r w:rsidRPr="0025302F">
              <w:rPr>
                <w:b/>
                <w:sz w:val="24"/>
                <w:szCs w:val="24"/>
              </w:rPr>
              <w:t>02.01.2019.</w:t>
            </w:r>
          </w:p>
        </w:tc>
        <w:tc>
          <w:tcPr>
            <w:tcW w:w="1135" w:type="dxa"/>
            <w:shd w:val="clear" w:color="auto" w:fill="F1F1F1"/>
          </w:tcPr>
          <w:p w14:paraId="6F0F2CF0" w14:textId="77777777" w:rsidR="0025302F" w:rsidRPr="0025302F" w:rsidRDefault="0025302F" w:rsidP="00CD363C">
            <w:pPr>
              <w:pStyle w:val="TableParagraph"/>
              <w:ind w:right="407"/>
              <w:jc w:val="both"/>
              <w:rPr>
                <w:b/>
                <w:sz w:val="24"/>
                <w:szCs w:val="24"/>
              </w:rPr>
            </w:pPr>
            <w:r w:rsidRPr="0025302F">
              <w:rPr>
                <w:b/>
                <w:sz w:val="24"/>
                <w:szCs w:val="24"/>
              </w:rPr>
              <w:t>02.01.2020.</w:t>
            </w:r>
          </w:p>
        </w:tc>
        <w:tc>
          <w:tcPr>
            <w:tcW w:w="1133" w:type="dxa"/>
            <w:shd w:val="clear" w:color="auto" w:fill="F1F1F1"/>
          </w:tcPr>
          <w:p w14:paraId="343BDD49" w14:textId="77777777" w:rsidR="0025302F" w:rsidRPr="0025302F" w:rsidRDefault="0025302F" w:rsidP="00CD363C">
            <w:pPr>
              <w:pStyle w:val="TableParagraph"/>
              <w:ind w:right="407"/>
              <w:jc w:val="both"/>
              <w:rPr>
                <w:b/>
                <w:sz w:val="24"/>
                <w:szCs w:val="24"/>
              </w:rPr>
            </w:pPr>
            <w:r w:rsidRPr="0025302F">
              <w:rPr>
                <w:b/>
                <w:sz w:val="24"/>
                <w:szCs w:val="24"/>
              </w:rPr>
              <w:t>02.01.2021.</w:t>
            </w:r>
          </w:p>
        </w:tc>
        <w:tc>
          <w:tcPr>
            <w:tcW w:w="1135" w:type="dxa"/>
            <w:shd w:val="clear" w:color="auto" w:fill="F1F1F1"/>
          </w:tcPr>
          <w:p w14:paraId="77A51B26" w14:textId="77777777" w:rsidR="0025302F" w:rsidRPr="0025302F" w:rsidRDefault="0025302F" w:rsidP="00CD363C">
            <w:pPr>
              <w:pStyle w:val="TableParagraph"/>
              <w:ind w:right="407"/>
              <w:jc w:val="both"/>
              <w:rPr>
                <w:b/>
                <w:sz w:val="24"/>
                <w:szCs w:val="24"/>
              </w:rPr>
            </w:pPr>
            <w:r w:rsidRPr="0025302F">
              <w:rPr>
                <w:b/>
                <w:sz w:val="24"/>
                <w:szCs w:val="24"/>
              </w:rPr>
              <w:t>02.01.2022.</w:t>
            </w:r>
          </w:p>
        </w:tc>
        <w:tc>
          <w:tcPr>
            <w:tcW w:w="1133" w:type="dxa"/>
            <w:shd w:val="clear" w:color="auto" w:fill="F1F1F1"/>
          </w:tcPr>
          <w:p w14:paraId="140F74A6" w14:textId="77777777" w:rsidR="0025302F" w:rsidRPr="0025302F" w:rsidRDefault="0025302F" w:rsidP="00CD363C">
            <w:pPr>
              <w:pStyle w:val="TableParagraph"/>
              <w:ind w:right="407"/>
              <w:jc w:val="both"/>
              <w:rPr>
                <w:b/>
                <w:sz w:val="24"/>
                <w:szCs w:val="24"/>
              </w:rPr>
            </w:pPr>
            <w:r w:rsidRPr="0025302F">
              <w:rPr>
                <w:b/>
                <w:sz w:val="24"/>
                <w:szCs w:val="24"/>
              </w:rPr>
              <w:t>02.01.2023.</w:t>
            </w:r>
          </w:p>
        </w:tc>
        <w:tc>
          <w:tcPr>
            <w:tcW w:w="1135" w:type="dxa"/>
            <w:shd w:val="clear" w:color="auto" w:fill="F1F1F1"/>
          </w:tcPr>
          <w:p w14:paraId="2FFAB0E3" w14:textId="77777777" w:rsidR="0025302F" w:rsidRPr="0025302F" w:rsidRDefault="0025302F" w:rsidP="00CD363C">
            <w:pPr>
              <w:pStyle w:val="TableParagraph"/>
              <w:ind w:right="407"/>
              <w:jc w:val="both"/>
              <w:rPr>
                <w:b/>
                <w:sz w:val="24"/>
                <w:szCs w:val="24"/>
              </w:rPr>
            </w:pPr>
            <w:r w:rsidRPr="0025302F">
              <w:rPr>
                <w:b/>
                <w:sz w:val="24"/>
                <w:szCs w:val="24"/>
              </w:rPr>
              <w:t>02.01.2024.</w:t>
            </w:r>
          </w:p>
        </w:tc>
        <w:tc>
          <w:tcPr>
            <w:tcW w:w="1419" w:type="dxa"/>
            <w:shd w:val="clear" w:color="auto" w:fill="F1F1F1"/>
          </w:tcPr>
          <w:p w14:paraId="3F60D13A" w14:textId="77777777" w:rsidR="0025302F" w:rsidRPr="0025302F" w:rsidRDefault="0025302F" w:rsidP="00CD363C">
            <w:pPr>
              <w:pStyle w:val="TableParagraph"/>
              <w:ind w:left="86" w:right="407"/>
              <w:jc w:val="both"/>
              <w:rPr>
                <w:b/>
                <w:sz w:val="24"/>
                <w:szCs w:val="24"/>
              </w:rPr>
            </w:pPr>
            <w:r w:rsidRPr="0025302F">
              <w:rPr>
                <w:b/>
                <w:sz w:val="24"/>
                <w:szCs w:val="24"/>
              </w:rPr>
              <w:t>Kopā</w:t>
            </w:r>
          </w:p>
        </w:tc>
      </w:tr>
      <w:tr w:rsidR="0025302F" w:rsidRPr="0025302F" w14:paraId="2A1D6667" w14:textId="77777777" w:rsidTr="00FF1C69">
        <w:trPr>
          <w:trHeight w:val="777"/>
        </w:trPr>
        <w:tc>
          <w:tcPr>
            <w:tcW w:w="1418" w:type="dxa"/>
          </w:tcPr>
          <w:p w14:paraId="50123FDA" w14:textId="77777777" w:rsidR="0025302F" w:rsidRPr="0025302F" w:rsidRDefault="0025302F" w:rsidP="00CD363C">
            <w:pPr>
              <w:pStyle w:val="TableParagraph"/>
              <w:ind w:left="107" w:right="407"/>
              <w:jc w:val="both"/>
              <w:rPr>
                <w:sz w:val="24"/>
                <w:szCs w:val="24"/>
              </w:rPr>
            </w:pPr>
            <w:r w:rsidRPr="0025302F">
              <w:rPr>
                <w:sz w:val="24"/>
                <w:szCs w:val="24"/>
              </w:rPr>
              <w:t>Pamatsumma, EUR</w:t>
            </w:r>
          </w:p>
        </w:tc>
        <w:tc>
          <w:tcPr>
            <w:tcW w:w="1133" w:type="dxa"/>
          </w:tcPr>
          <w:p w14:paraId="67286B08" w14:textId="77777777" w:rsidR="0025302F" w:rsidRPr="0025302F" w:rsidRDefault="0025302F" w:rsidP="00CD363C">
            <w:pPr>
              <w:pStyle w:val="TableParagraph"/>
              <w:ind w:right="407"/>
              <w:jc w:val="both"/>
              <w:rPr>
                <w:i/>
                <w:sz w:val="24"/>
                <w:szCs w:val="24"/>
              </w:rPr>
            </w:pPr>
          </w:p>
          <w:p w14:paraId="149EFC28" w14:textId="77777777" w:rsidR="0025302F" w:rsidRPr="0025302F" w:rsidRDefault="0025302F" w:rsidP="00CD363C">
            <w:pPr>
              <w:pStyle w:val="TableParagraph"/>
              <w:ind w:right="407"/>
              <w:jc w:val="both"/>
              <w:rPr>
                <w:sz w:val="24"/>
                <w:szCs w:val="24"/>
              </w:rPr>
            </w:pPr>
            <w:r w:rsidRPr="0025302F">
              <w:rPr>
                <w:sz w:val="24"/>
                <w:szCs w:val="24"/>
              </w:rPr>
              <w:t>(10 000,00)</w:t>
            </w:r>
          </w:p>
        </w:tc>
        <w:tc>
          <w:tcPr>
            <w:tcW w:w="1135" w:type="dxa"/>
          </w:tcPr>
          <w:p w14:paraId="323C53BD" w14:textId="77777777" w:rsidR="0025302F" w:rsidRPr="0025302F" w:rsidRDefault="0025302F" w:rsidP="00CD363C">
            <w:pPr>
              <w:pStyle w:val="TableParagraph"/>
              <w:ind w:right="407"/>
              <w:jc w:val="both"/>
              <w:rPr>
                <w:i/>
                <w:sz w:val="24"/>
                <w:szCs w:val="24"/>
              </w:rPr>
            </w:pPr>
          </w:p>
          <w:p w14:paraId="4F653EE5"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3" w:type="dxa"/>
          </w:tcPr>
          <w:p w14:paraId="7A2AAABC" w14:textId="77777777" w:rsidR="0025302F" w:rsidRPr="0025302F" w:rsidRDefault="0025302F" w:rsidP="00CD363C">
            <w:pPr>
              <w:pStyle w:val="TableParagraph"/>
              <w:ind w:right="407"/>
              <w:jc w:val="both"/>
              <w:rPr>
                <w:i/>
                <w:sz w:val="24"/>
                <w:szCs w:val="24"/>
              </w:rPr>
            </w:pPr>
          </w:p>
          <w:p w14:paraId="51E4DC71"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5" w:type="dxa"/>
          </w:tcPr>
          <w:p w14:paraId="53E9B57D" w14:textId="77777777" w:rsidR="0025302F" w:rsidRPr="0025302F" w:rsidRDefault="0025302F" w:rsidP="00CD363C">
            <w:pPr>
              <w:pStyle w:val="TableParagraph"/>
              <w:ind w:right="407"/>
              <w:jc w:val="both"/>
              <w:rPr>
                <w:i/>
                <w:sz w:val="24"/>
                <w:szCs w:val="24"/>
              </w:rPr>
            </w:pPr>
          </w:p>
          <w:p w14:paraId="47E45F77"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3" w:type="dxa"/>
          </w:tcPr>
          <w:p w14:paraId="1F2F3704" w14:textId="77777777" w:rsidR="0025302F" w:rsidRPr="0025302F" w:rsidRDefault="0025302F" w:rsidP="00CD363C">
            <w:pPr>
              <w:pStyle w:val="TableParagraph"/>
              <w:ind w:right="407"/>
              <w:jc w:val="both"/>
              <w:rPr>
                <w:i/>
                <w:sz w:val="24"/>
                <w:szCs w:val="24"/>
              </w:rPr>
            </w:pPr>
          </w:p>
          <w:p w14:paraId="715E65AC"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5" w:type="dxa"/>
          </w:tcPr>
          <w:p w14:paraId="4D6F73CA" w14:textId="77777777" w:rsidR="0025302F" w:rsidRPr="0025302F" w:rsidRDefault="0025302F" w:rsidP="00CD363C">
            <w:pPr>
              <w:pStyle w:val="TableParagraph"/>
              <w:ind w:right="407"/>
              <w:jc w:val="both"/>
              <w:rPr>
                <w:i/>
                <w:sz w:val="24"/>
                <w:szCs w:val="24"/>
              </w:rPr>
            </w:pPr>
          </w:p>
          <w:p w14:paraId="47B9F369"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419" w:type="dxa"/>
          </w:tcPr>
          <w:p w14:paraId="43BBD39E" w14:textId="77777777" w:rsidR="0025302F" w:rsidRPr="0025302F" w:rsidRDefault="0025302F" w:rsidP="00CD363C">
            <w:pPr>
              <w:pStyle w:val="TableParagraph"/>
              <w:ind w:right="407"/>
              <w:jc w:val="both"/>
              <w:rPr>
                <w:i/>
                <w:sz w:val="24"/>
                <w:szCs w:val="24"/>
              </w:rPr>
            </w:pPr>
          </w:p>
          <w:p w14:paraId="17B23163" w14:textId="77777777" w:rsidR="0025302F" w:rsidRPr="0025302F" w:rsidRDefault="0025302F" w:rsidP="00CD363C">
            <w:pPr>
              <w:pStyle w:val="TableParagraph"/>
              <w:ind w:right="407"/>
              <w:jc w:val="both"/>
              <w:rPr>
                <w:b/>
                <w:sz w:val="24"/>
                <w:szCs w:val="24"/>
              </w:rPr>
            </w:pPr>
            <w:r w:rsidRPr="0025302F">
              <w:rPr>
                <w:b/>
                <w:sz w:val="24"/>
                <w:szCs w:val="24"/>
              </w:rPr>
              <w:t>10 000,00</w:t>
            </w:r>
          </w:p>
        </w:tc>
      </w:tr>
      <w:tr w:rsidR="0025302F" w:rsidRPr="0025302F" w14:paraId="4A371D63" w14:textId="77777777" w:rsidTr="00FF1C69">
        <w:trPr>
          <w:trHeight w:val="774"/>
        </w:trPr>
        <w:tc>
          <w:tcPr>
            <w:tcW w:w="1418" w:type="dxa"/>
          </w:tcPr>
          <w:p w14:paraId="44EE432D" w14:textId="77777777" w:rsidR="0025302F" w:rsidRPr="0025302F" w:rsidRDefault="0025302F" w:rsidP="00CD363C">
            <w:pPr>
              <w:pStyle w:val="TableParagraph"/>
              <w:ind w:left="107" w:right="407"/>
              <w:jc w:val="both"/>
              <w:rPr>
                <w:sz w:val="24"/>
                <w:szCs w:val="24"/>
              </w:rPr>
            </w:pPr>
            <w:r w:rsidRPr="0025302F">
              <w:rPr>
                <w:sz w:val="24"/>
                <w:szCs w:val="24"/>
              </w:rPr>
              <w:t>Piemērotā procentu likme</w:t>
            </w:r>
          </w:p>
        </w:tc>
        <w:tc>
          <w:tcPr>
            <w:tcW w:w="1133" w:type="dxa"/>
          </w:tcPr>
          <w:p w14:paraId="0393F350" w14:textId="77777777" w:rsidR="0025302F" w:rsidRPr="0025302F" w:rsidRDefault="0025302F" w:rsidP="00CD363C">
            <w:pPr>
              <w:pStyle w:val="TableParagraph"/>
              <w:ind w:right="407"/>
              <w:jc w:val="both"/>
              <w:rPr>
                <w:i/>
                <w:sz w:val="24"/>
                <w:szCs w:val="24"/>
              </w:rPr>
            </w:pPr>
          </w:p>
          <w:p w14:paraId="5DE9EEFF"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135" w:type="dxa"/>
          </w:tcPr>
          <w:p w14:paraId="7282898C" w14:textId="77777777" w:rsidR="0025302F" w:rsidRPr="0025302F" w:rsidRDefault="0025302F" w:rsidP="00CD363C">
            <w:pPr>
              <w:pStyle w:val="TableParagraph"/>
              <w:ind w:right="407"/>
              <w:jc w:val="both"/>
              <w:rPr>
                <w:i/>
                <w:sz w:val="24"/>
                <w:szCs w:val="24"/>
              </w:rPr>
            </w:pPr>
          </w:p>
          <w:p w14:paraId="14E3A2B1" w14:textId="77777777" w:rsidR="0025302F" w:rsidRPr="0025302F" w:rsidRDefault="0025302F" w:rsidP="00CD363C">
            <w:pPr>
              <w:pStyle w:val="TableParagraph"/>
              <w:ind w:right="407"/>
              <w:jc w:val="both"/>
              <w:rPr>
                <w:sz w:val="24"/>
                <w:szCs w:val="24"/>
              </w:rPr>
            </w:pPr>
            <w:r w:rsidRPr="0025302F">
              <w:rPr>
                <w:sz w:val="24"/>
                <w:szCs w:val="24"/>
              </w:rPr>
              <w:t>5%</w:t>
            </w:r>
          </w:p>
        </w:tc>
        <w:tc>
          <w:tcPr>
            <w:tcW w:w="1133" w:type="dxa"/>
          </w:tcPr>
          <w:p w14:paraId="7BE52A40" w14:textId="77777777" w:rsidR="0025302F" w:rsidRPr="0025302F" w:rsidRDefault="0025302F" w:rsidP="00CD363C">
            <w:pPr>
              <w:pStyle w:val="TableParagraph"/>
              <w:ind w:right="407"/>
              <w:jc w:val="both"/>
              <w:rPr>
                <w:i/>
                <w:sz w:val="24"/>
                <w:szCs w:val="24"/>
              </w:rPr>
            </w:pPr>
          </w:p>
          <w:p w14:paraId="2192E42B" w14:textId="77777777" w:rsidR="0025302F" w:rsidRPr="0025302F" w:rsidRDefault="0025302F" w:rsidP="00CD363C">
            <w:pPr>
              <w:pStyle w:val="TableParagraph"/>
              <w:ind w:right="407"/>
              <w:jc w:val="both"/>
              <w:rPr>
                <w:sz w:val="24"/>
                <w:szCs w:val="24"/>
              </w:rPr>
            </w:pPr>
            <w:r w:rsidRPr="0025302F">
              <w:rPr>
                <w:sz w:val="24"/>
                <w:szCs w:val="24"/>
              </w:rPr>
              <w:t>5,1%</w:t>
            </w:r>
          </w:p>
        </w:tc>
        <w:tc>
          <w:tcPr>
            <w:tcW w:w="1135" w:type="dxa"/>
          </w:tcPr>
          <w:p w14:paraId="1B481679" w14:textId="77777777" w:rsidR="0025302F" w:rsidRPr="0025302F" w:rsidRDefault="0025302F" w:rsidP="00CD363C">
            <w:pPr>
              <w:pStyle w:val="TableParagraph"/>
              <w:ind w:right="407"/>
              <w:jc w:val="both"/>
              <w:rPr>
                <w:i/>
                <w:sz w:val="24"/>
                <w:szCs w:val="24"/>
              </w:rPr>
            </w:pPr>
          </w:p>
          <w:p w14:paraId="3792D30F" w14:textId="77777777" w:rsidR="0025302F" w:rsidRPr="0025302F" w:rsidRDefault="0025302F" w:rsidP="00CD363C">
            <w:pPr>
              <w:pStyle w:val="TableParagraph"/>
              <w:ind w:right="407"/>
              <w:jc w:val="both"/>
              <w:rPr>
                <w:sz w:val="24"/>
                <w:szCs w:val="24"/>
              </w:rPr>
            </w:pPr>
            <w:r w:rsidRPr="0025302F">
              <w:rPr>
                <w:sz w:val="24"/>
                <w:szCs w:val="24"/>
              </w:rPr>
              <w:t>4,88%</w:t>
            </w:r>
          </w:p>
        </w:tc>
        <w:tc>
          <w:tcPr>
            <w:tcW w:w="1133" w:type="dxa"/>
          </w:tcPr>
          <w:p w14:paraId="16B7BBA5" w14:textId="77777777" w:rsidR="0025302F" w:rsidRPr="0025302F" w:rsidRDefault="0025302F" w:rsidP="00CD363C">
            <w:pPr>
              <w:pStyle w:val="TableParagraph"/>
              <w:ind w:right="407"/>
              <w:jc w:val="both"/>
              <w:rPr>
                <w:i/>
                <w:sz w:val="24"/>
                <w:szCs w:val="24"/>
              </w:rPr>
            </w:pPr>
          </w:p>
          <w:p w14:paraId="21A67093" w14:textId="77777777" w:rsidR="0025302F" w:rsidRPr="0025302F" w:rsidRDefault="0025302F" w:rsidP="00CD363C">
            <w:pPr>
              <w:pStyle w:val="TableParagraph"/>
              <w:ind w:right="407"/>
              <w:jc w:val="both"/>
              <w:rPr>
                <w:sz w:val="24"/>
                <w:szCs w:val="24"/>
              </w:rPr>
            </w:pPr>
            <w:r w:rsidRPr="0025302F">
              <w:rPr>
                <w:sz w:val="24"/>
                <w:szCs w:val="24"/>
              </w:rPr>
              <w:t>5,12%</w:t>
            </w:r>
          </w:p>
        </w:tc>
        <w:tc>
          <w:tcPr>
            <w:tcW w:w="1135" w:type="dxa"/>
          </w:tcPr>
          <w:p w14:paraId="093983C2" w14:textId="77777777" w:rsidR="0025302F" w:rsidRPr="0025302F" w:rsidRDefault="0025302F" w:rsidP="00CD363C">
            <w:pPr>
              <w:pStyle w:val="TableParagraph"/>
              <w:ind w:right="407"/>
              <w:jc w:val="both"/>
              <w:rPr>
                <w:i/>
                <w:sz w:val="24"/>
                <w:szCs w:val="24"/>
              </w:rPr>
            </w:pPr>
          </w:p>
          <w:p w14:paraId="7E806078" w14:textId="77777777" w:rsidR="0025302F" w:rsidRPr="0025302F" w:rsidRDefault="0025302F" w:rsidP="00CD363C">
            <w:pPr>
              <w:pStyle w:val="TableParagraph"/>
              <w:ind w:right="407"/>
              <w:jc w:val="both"/>
              <w:rPr>
                <w:sz w:val="24"/>
                <w:szCs w:val="24"/>
              </w:rPr>
            </w:pPr>
            <w:r w:rsidRPr="0025302F">
              <w:rPr>
                <w:sz w:val="24"/>
                <w:szCs w:val="24"/>
              </w:rPr>
              <w:t>4,95%</w:t>
            </w:r>
          </w:p>
        </w:tc>
        <w:tc>
          <w:tcPr>
            <w:tcW w:w="1419" w:type="dxa"/>
          </w:tcPr>
          <w:p w14:paraId="1E01E83D" w14:textId="77777777" w:rsidR="0025302F" w:rsidRPr="0025302F" w:rsidRDefault="0025302F" w:rsidP="00CD363C">
            <w:pPr>
              <w:pStyle w:val="TableParagraph"/>
              <w:ind w:right="407"/>
              <w:jc w:val="both"/>
              <w:rPr>
                <w:sz w:val="24"/>
                <w:szCs w:val="24"/>
              </w:rPr>
            </w:pPr>
          </w:p>
        </w:tc>
      </w:tr>
      <w:tr w:rsidR="0025302F" w:rsidRPr="0025302F" w14:paraId="419702E5" w14:textId="77777777" w:rsidTr="00FF1C69">
        <w:trPr>
          <w:trHeight w:val="539"/>
        </w:trPr>
        <w:tc>
          <w:tcPr>
            <w:tcW w:w="1418" w:type="dxa"/>
          </w:tcPr>
          <w:p w14:paraId="3F6F45C4" w14:textId="77777777" w:rsidR="0025302F" w:rsidRPr="0025302F" w:rsidRDefault="0025302F" w:rsidP="00CD363C">
            <w:pPr>
              <w:pStyle w:val="TableParagraph"/>
              <w:ind w:left="107" w:right="407"/>
              <w:jc w:val="both"/>
              <w:rPr>
                <w:sz w:val="24"/>
                <w:szCs w:val="24"/>
              </w:rPr>
            </w:pPr>
            <w:r w:rsidRPr="0025302F">
              <w:rPr>
                <w:sz w:val="24"/>
                <w:szCs w:val="24"/>
              </w:rPr>
              <w:t>Procenti*, EUR</w:t>
            </w:r>
          </w:p>
        </w:tc>
        <w:tc>
          <w:tcPr>
            <w:tcW w:w="1133" w:type="dxa"/>
          </w:tcPr>
          <w:p w14:paraId="2AD45223"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135" w:type="dxa"/>
          </w:tcPr>
          <w:p w14:paraId="2E5FCBB4" w14:textId="77777777" w:rsidR="0025302F" w:rsidRPr="0025302F" w:rsidRDefault="0025302F" w:rsidP="00CD363C">
            <w:pPr>
              <w:pStyle w:val="TableParagraph"/>
              <w:ind w:right="407"/>
              <w:jc w:val="both"/>
              <w:rPr>
                <w:sz w:val="24"/>
                <w:szCs w:val="24"/>
              </w:rPr>
            </w:pPr>
            <w:r w:rsidRPr="0025302F">
              <w:rPr>
                <w:sz w:val="24"/>
                <w:szCs w:val="24"/>
              </w:rPr>
              <w:t>500,00</w:t>
            </w:r>
          </w:p>
        </w:tc>
        <w:tc>
          <w:tcPr>
            <w:tcW w:w="1133" w:type="dxa"/>
          </w:tcPr>
          <w:p w14:paraId="2C167AB4" w14:textId="77777777" w:rsidR="0025302F" w:rsidRPr="0025302F" w:rsidRDefault="0025302F" w:rsidP="00CD363C">
            <w:pPr>
              <w:pStyle w:val="TableParagraph"/>
              <w:ind w:right="407"/>
              <w:jc w:val="both"/>
              <w:rPr>
                <w:sz w:val="24"/>
                <w:szCs w:val="24"/>
              </w:rPr>
            </w:pPr>
            <w:r w:rsidRPr="0025302F">
              <w:rPr>
                <w:sz w:val="24"/>
                <w:szCs w:val="24"/>
              </w:rPr>
              <w:t>408,00</w:t>
            </w:r>
          </w:p>
        </w:tc>
        <w:tc>
          <w:tcPr>
            <w:tcW w:w="1135" w:type="dxa"/>
          </w:tcPr>
          <w:p w14:paraId="756E1BB6" w14:textId="77777777" w:rsidR="0025302F" w:rsidRPr="0025302F" w:rsidRDefault="0025302F" w:rsidP="00CD363C">
            <w:pPr>
              <w:pStyle w:val="TableParagraph"/>
              <w:ind w:right="407"/>
              <w:jc w:val="both"/>
              <w:rPr>
                <w:sz w:val="24"/>
                <w:szCs w:val="24"/>
              </w:rPr>
            </w:pPr>
            <w:r w:rsidRPr="0025302F">
              <w:rPr>
                <w:sz w:val="24"/>
                <w:szCs w:val="24"/>
              </w:rPr>
              <w:t>292,80</w:t>
            </w:r>
          </w:p>
        </w:tc>
        <w:tc>
          <w:tcPr>
            <w:tcW w:w="1133" w:type="dxa"/>
          </w:tcPr>
          <w:p w14:paraId="1C2A0A88" w14:textId="77777777" w:rsidR="0025302F" w:rsidRPr="0025302F" w:rsidRDefault="0025302F" w:rsidP="00CD363C">
            <w:pPr>
              <w:pStyle w:val="TableParagraph"/>
              <w:ind w:right="407"/>
              <w:jc w:val="both"/>
              <w:rPr>
                <w:sz w:val="24"/>
                <w:szCs w:val="24"/>
              </w:rPr>
            </w:pPr>
            <w:r w:rsidRPr="0025302F">
              <w:rPr>
                <w:sz w:val="24"/>
                <w:szCs w:val="24"/>
              </w:rPr>
              <w:t>204,80</w:t>
            </w:r>
          </w:p>
        </w:tc>
        <w:tc>
          <w:tcPr>
            <w:tcW w:w="1135" w:type="dxa"/>
          </w:tcPr>
          <w:p w14:paraId="13E2CF29" w14:textId="77777777" w:rsidR="0025302F" w:rsidRPr="0025302F" w:rsidRDefault="0025302F" w:rsidP="00CD363C">
            <w:pPr>
              <w:pStyle w:val="TableParagraph"/>
              <w:ind w:right="407"/>
              <w:jc w:val="both"/>
              <w:rPr>
                <w:sz w:val="24"/>
                <w:szCs w:val="24"/>
              </w:rPr>
            </w:pPr>
            <w:r w:rsidRPr="0025302F">
              <w:rPr>
                <w:sz w:val="24"/>
                <w:szCs w:val="24"/>
              </w:rPr>
              <w:t>99,00</w:t>
            </w:r>
          </w:p>
        </w:tc>
        <w:tc>
          <w:tcPr>
            <w:tcW w:w="1419" w:type="dxa"/>
          </w:tcPr>
          <w:p w14:paraId="7F3223DE" w14:textId="77777777" w:rsidR="0025302F" w:rsidRPr="0025302F" w:rsidRDefault="0025302F" w:rsidP="00CD363C">
            <w:pPr>
              <w:pStyle w:val="TableParagraph"/>
              <w:ind w:right="407"/>
              <w:jc w:val="both"/>
              <w:rPr>
                <w:b/>
                <w:sz w:val="24"/>
                <w:szCs w:val="24"/>
              </w:rPr>
            </w:pPr>
            <w:r w:rsidRPr="0025302F">
              <w:rPr>
                <w:b/>
                <w:sz w:val="24"/>
                <w:szCs w:val="24"/>
              </w:rPr>
              <w:t>1 504,60</w:t>
            </w:r>
          </w:p>
        </w:tc>
      </w:tr>
      <w:tr w:rsidR="0025302F" w:rsidRPr="0025302F" w14:paraId="25B6FB84" w14:textId="77777777" w:rsidTr="00FF1C69">
        <w:trPr>
          <w:trHeight w:val="563"/>
        </w:trPr>
        <w:tc>
          <w:tcPr>
            <w:tcW w:w="1418" w:type="dxa"/>
          </w:tcPr>
          <w:p w14:paraId="5956DFC9" w14:textId="77777777" w:rsidR="0025302F" w:rsidRPr="0025302F" w:rsidRDefault="0025302F" w:rsidP="00CD363C">
            <w:pPr>
              <w:pStyle w:val="TableParagraph"/>
              <w:ind w:left="107" w:right="407"/>
              <w:jc w:val="both"/>
              <w:rPr>
                <w:b/>
                <w:sz w:val="24"/>
                <w:szCs w:val="24"/>
              </w:rPr>
            </w:pPr>
            <w:r w:rsidRPr="0025302F">
              <w:rPr>
                <w:b/>
                <w:sz w:val="24"/>
                <w:szCs w:val="24"/>
              </w:rPr>
              <w:t>Kopā, EUR</w:t>
            </w:r>
          </w:p>
        </w:tc>
        <w:tc>
          <w:tcPr>
            <w:tcW w:w="1133" w:type="dxa"/>
          </w:tcPr>
          <w:p w14:paraId="74D3FEA1" w14:textId="77777777" w:rsidR="0025302F" w:rsidRPr="0025302F" w:rsidRDefault="0025302F" w:rsidP="00CD363C">
            <w:pPr>
              <w:pStyle w:val="TableParagraph"/>
              <w:ind w:right="407"/>
              <w:jc w:val="both"/>
              <w:rPr>
                <w:sz w:val="24"/>
                <w:szCs w:val="24"/>
              </w:rPr>
            </w:pPr>
            <w:r w:rsidRPr="0025302F">
              <w:rPr>
                <w:sz w:val="24"/>
                <w:szCs w:val="24"/>
              </w:rPr>
              <w:t>(10 000,00)</w:t>
            </w:r>
          </w:p>
        </w:tc>
        <w:tc>
          <w:tcPr>
            <w:tcW w:w="1135" w:type="dxa"/>
          </w:tcPr>
          <w:p w14:paraId="03DC53D0" w14:textId="77777777" w:rsidR="0025302F" w:rsidRPr="0025302F" w:rsidRDefault="0025302F" w:rsidP="00CD363C">
            <w:pPr>
              <w:pStyle w:val="TableParagraph"/>
              <w:ind w:right="407"/>
              <w:jc w:val="both"/>
              <w:rPr>
                <w:sz w:val="24"/>
                <w:szCs w:val="24"/>
              </w:rPr>
            </w:pPr>
            <w:r w:rsidRPr="0025302F">
              <w:rPr>
                <w:sz w:val="24"/>
                <w:szCs w:val="24"/>
              </w:rPr>
              <w:t>2 500,00</w:t>
            </w:r>
          </w:p>
        </w:tc>
        <w:tc>
          <w:tcPr>
            <w:tcW w:w="1133" w:type="dxa"/>
          </w:tcPr>
          <w:p w14:paraId="368806A3" w14:textId="77777777" w:rsidR="0025302F" w:rsidRPr="0025302F" w:rsidRDefault="0025302F" w:rsidP="00CD363C">
            <w:pPr>
              <w:pStyle w:val="TableParagraph"/>
              <w:ind w:right="407"/>
              <w:jc w:val="both"/>
              <w:rPr>
                <w:sz w:val="24"/>
                <w:szCs w:val="24"/>
              </w:rPr>
            </w:pPr>
            <w:r w:rsidRPr="0025302F">
              <w:rPr>
                <w:sz w:val="24"/>
                <w:szCs w:val="24"/>
              </w:rPr>
              <w:t>2 408,00</w:t>
            </w:r>
          </w:p>
        </w:tc>
        <w:tc>
          <w:tcPr>
            <w:tcW w:w="1135" w:type="dxa"/>
          </w:tcPr>
          <w:p w14:paraId="1B737E46" w14:textId="77777777" w:rsidR="0025302F" w:rsidRPr="0025302F" w:rsidRDefault="0025302F" w:rsidP="00CD363C">
            <w:pPr>
              <w:pStyle w:val="TableParagraph"/>
              <w:ind w:right="407"/>
              <w:jc w:val="both"/>
              <w:rPr>
                <w:sz w:val="24"/>
                <w:szCs w:val="24"/>
              </w:rPr>
            </w:pPr>
            <w:r w:rsidRPr="0025302F">
              <w:rPr>
                <w:sz w:val="24"/>
                <w:szCs w:val="24"/>
              </w:rPr>
              <w:t>2 292,80</w:t>
            </w:r>
          </w:p>
        </w:tc>
        <w:tc>
          <w:tcPr>
            <w:tcW w:w="1133" w:type="dxa"/>
          </w:tcPr>
          <w:p w14:paraId="38BFFBDA" w14:textId="77777777" w:rsidR="0025302F" w:rsidRPr="0025302F" w:rsidRDefault="0025302F" w:rsidP="00CD363C">
            <w:pPr>
              <w:pStyle w:val="TableParagraph"/>
              <w:ind w:right="407"/>
              <w:jc w:val="both"/>
              <w:rPr>
                <w:sz w:val="24"/>
                <w:szCs w:val="24"/>
              </w:rPr>
            </w:pPr>
            <w:r w:rsidRPr="0025302F">
              <w:rPr>
                <w:sz w:val="24"/>
                <w:szCs w:val="24"/>
              </w:rPr>
              <w:t>2 204,80</w:t>
            </w:r>
          </w:p>
        </w:tc>
        <w:tc>
          <w:tcPr>
            <w:tcW w:w="1135" w:type="dxa"/>
          </w:tcPr>
          <w:p w14:paraId="382DAB6B" w14:textId="77777777" w:rsidR="0025302F" w:rsidRPr="0025302F" w:rsidRDefault="0025302F" w:rsidP="00CD363C">
            <w:pPr>
              <w:pStyle w:val="TableParagraph"/>
              <w:ind w:right="407"/>
              <w:jc w:val="both"/>
              <w:rPr>
                <w:sz w:val="24"/>
                <w:szCs w:val="24"/>
              </w:rPr>
            </w:pPr>
            <w:r w:rsidRPr="0025302F">
              <w:rPr>
                <w:sz w:val="24"/>
                <w:szCs w:val="24"/>
              </w:rPr>
              <w:t>2 099,00</w:t>
            </w:r>
          </w:p>
        </w:tc>
        <w:tc>
          <w:tcPr>
            <w:tcW w:w="1419" w:type="dxa"/>
          </w:tcPr>
          <w:p w14:paraId="4B15FDD0" w14:textId="77777777" w:rsidR="0025302F" w:rsidRPr="0025302F" w:rsidRDefault="0025302F" w:rsidP="00CD363C">
            <w:pPr>
              <w:pStyle w:val="TableParagraph"/>
              <w:ind w:right="407"/>
              <w:jc w:val="both"/>
              <w:rPr>
                <w:b/>
                <w:sz w:val="24"/>
                <w:szCs w:val="24"/>
              </w:rPr>
            </w:pPr>
            <w:r w:rsidRPr="0025302F">
              <w:rPr>
                <w:b/>
                <w:sz w:val="24"/>
                <w:szCs w:val="24"/>
              </w:rPr>
              <w:t>11 504,60</w:t>
            </w:r>
          </w:p>
        </w:tc>
      </w:tr>
    </w:tbl>
    <w:p w14:paraId="77DBC074" w14:textId="77777777" w:rsidR="0025302F" w:rsidRPr="0025302F" w:rsidRDefault="0025302F" w:rsidP="00CD363C">
      <w:pPr>
        <w:spacing w:after="0" w:line="240" w:lineRule="auto"/>
        <w:ind w:left="338" w:right="407"/>
        <w:jc w:val="both"/>
        <w:rPr>
          <w:rFonts w:ascii="Times New Roman" w:hAnsi="Times New Roman" w:cs="Times New Roman"/>
          <w:i/>
          <w:sz w:val="24"/>
          <w:szCs w:val="24"/>
        </w:rPr>
      </w:pPr>
      <w:r w:rsidRPr="0025302F">
        <w:rPr>
          <w:rFonts w:ascii="Times New Roman" w:hAnsi="Times New Roman" w:cs="Times New Roman"/>
          <w:i/>
          <w:sz w:val="24"/>
          <w:szCs w:val="24"/>
        </w:rPr>
        <w:t>*procentu aprēķins veikts, pamatojoties uz 365 dienām gadā.</w:t>
      </w:r>
    </w:p>
    <w:p w14:paraId="4473299C" w14:textId="77777777" w:rsidR="0025302F" w:rsidRPr="0025302F" w:rsidRDefault="0025302F" w:rsidP="00CD363C">
      <w:pPr>
        <w:pStyle w:val="Pamatteksts"/>
        <w:ind w:left="338" w:right="407"/>
        <w:jc w:val="both"/>
        <w:rPr>
          <w:sz w:val="24"/>
          <w:szCs w:val="24"/>
        </w:rPr>
      </w:pPr>
      <w:r w:rsidRPr="0025302F">
        <w:rPr>
          <w:sz w:val="24"/>
          <w:szCs w:val="24"/>
        </w:rPr>
        <w:t>Saskaņā ar aprēķiniem aizdevuma kopējā atmaksājamā summa būs 11 504,60 EUR.</w:t>
      </w:r>
    </w:p>
    <w:p w14:paraId="11102F19" w14:textId="77777777" w:rsidR="0025302F" w:rsidRPr="0025302F" w:rsidRDefault="0025302F" w:rsidP="00CD363C">
      <w:pPr>
        <w:pStyle w:val="Pamatteksts"/>
        <w:ind w:right="407"/>
        <w:jc w:val="both"/>
        <w:rPr>
          <w:sz w:val="24"/>
          <w:szCs w:val="24"/>
        </w:rPr>
      </w:pPr>
    </w:p>
    <w:p w14:paraId="34EB9B5D" w14:textId="77777777" w:rsidR="0025302F" w:rsidRPr="0025302F" w:rsidRDefault="0025302F" w:rsidP="00CD363C">
      <w:pPr>
        <w:widowControl w:val="0"/>
        <w:tabs>
          <w:tab w:val="left" w:pos="560"/>
        </w:tabs>
        <w:autoSpaceDE w:val="0"/>
        <w:autoSpaceDN w:val="0"/>
        <w:spacing w:after="0" w:line="240" w:lineRule="auto"/>
        <w:ind w:left="906" w:right="407"/>
        <w:jc w:val="both"/>
        <w:rPr>
          <w:rFonts w:ascii="Times New Roman" w:hAnsi="Times New Roman" w:cs="Times New Roman"/>
          <w:sz w:val="24"/>
          <w:szCs w:val="24"/>
        </w:rPr>
      </w:pPr>
      <w:r>
        <w:rPr>
          <w:rFonts w:ascii="Times New Roman" w:hAnsi="Times New Roman" w:cs="Times New Roman"/>
          <w:sz w:val="24"/>
          <w:szCs w:val="24"/>
        </w:rPr>
        <w:t>7.</w:t>
      </w:r>
      <w:r w:rsidRPr="0025302F">
        <w:rPr>
          <w:rFonts w:ascii="Times New Roman" w:hAnsi="Times New Roman" w:cs="Times New Roman"/>
          <w:sz w:val="24"/>
          <w:szCs w:val="24"/>
        </w:rPr>
        <w:t>tabulā ir apkopota informācija par aizdevuma amortizēto vērtību, procentu ieņēmumiem un naudas plūsmām (saņemtajiem procentu maksājumiem un pamatsummu) katrā pārskata periodā līguma darbības laikā.</w:t>
      </w:r>
    </w:p>
    <w:p w14:paraId="4DB40AFD" w14:textId="77777777" w:rsidR="0025302F" w:rsidRPr="0025302F" w:rsidRDefault="0025302F" w:rsidP="00CD363C">
      <w:pPr>
        <w:pStyle w:val="Sarakstarindkopa"/>
        <w:widowControl w:val="0"/>
        <w:tabs>
          <w:tab w:val="left" w:pos="1743"/>
        </w:tabs>
        <w:autoSpaceDE w:val="0"/>
        <w:autoSpaceDN w:val="0"/>
        <w:spacing w:after="0" w:line="240" w:lineRule="auto"/>
        <w:ind w:left="3239" w:right="407"/>
        <w:contextualSpacing w:val="0"/>
        <w:jc w:val="both"/>
        <w:rPr>
          <w:rFonts w:ascii="Times New Roman" w:hAnsi="Times New Roman" w:cs="Times New Roman"/>
          <w:i/>
          <w:sz w:val="24"/>
          <w:szCs w:val="24"/>
        </w:rPr>
      </w:pPr>
      <w:r>
        <w:rPr>
          <w:rFonts w:ascii="Times New Roman" w:hAnsi="Times New Roman" w:cs="Times New Roman"/>
          <w:i/>
          <w:sz w:val="24"/>
          <w:szCs w:val="24"/>
        </w:rPr>
        <w:t>7.</w:t>
      </w:r>
      <w:r w:rsidRPr="0025302F">
        <w:rPr>
          <w:rFonts w:ascii="Times New Roman" w:hAnsi="Times New Roman" w:cs="Times New Roman"/>
          <w:i/>
          <w:sz w:val="24"/>
          <w:szCs w:val="24"/>
        </w:rPr>
        <w:t>tabula. Aizdevuma amortizētā vērtība, procentu ieņēmumi un naudas plūsmas katrā pārskata</w:t>
      </w:r>
      <w:r w:rsidRPr="0025302F">
        <w:rPr>
          <w:rFonts w:ascii="Times New Roman" w:hAnsi="Times New Roman" w:cs="Times New Roman"/>
          <w:i/>
          <w:spacing w:val="-13"/>
          <w:sz w:val="24"/>
          <w:szCs w:val="24"/>
        </w:rPr>
        <w:t xml:space="preserve"> </w:t>
      </w:r>
      <w:r w:rsidRPr="0025302F">
        <w:rPr>
          <w:rFonts w:ascii="Times New Roman" w:hAnsi="Times New Roman" w:cs="Times New Roman"/>
          <w:i/>
          <w:sz w:val="24"/>
          <w:szCs w:val="24"/>
        </w:rPr>
        <w:t>periodā.</w:t>
      </w:r>
    </w:p>
    <w:tbl>
      <w:tblPr>
        <w:tblW w:w="0" w:type="auto"/>
        <w:tblInd w:w="33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702"/>
        <w:gridCol w:w="1986"/>
        <w:gridCol w:w="1844"/>
        <w:gridCol w:w="1983"/>
        <w:gridCol w:w="1985"/>
      </w:tblGrid>
      <w:tr w:rsidR="0025302F" w:rsidRPr="0025302F" w14:paraId="6BEBE6F5" w14:textId="77777777" w:rsidTr="00FF1C69">
        <w:trPr>
          <w:trHeight w:val="1322"/>
        </w:trPr>
        <w:tc>
          <w:tcPr>
            <w:tcW w:w="1702" w:type="dxa"/>
            <w:shd w:val="clear" w:color="auto" w:fill="F1F1F1"/>
          </w:tcPr>
          <w:p w14:paraId="0F165B56" w14:textId="77777777" w:rsidR="0025302F" w:rsidRPr="0025302F" w:rsidRDefault="0025302F" w:rsidP="00CD363C">
            <w:pPr>
              <w:pStyle w:val="TableParagraph"/>
              <w:ind w:right="407"/>
              <w:jc w:val="both"/>
              <w:rPr>
                <w:i/>
                <w:sz w:val="24"/>
                <w:szCs w:val="24"/>
              </w:rPr>
            </w:pPr>
          </w:p>
          <w:p w14:paraId="67BABA65" w14:textId="77777777" w:rsidR="0025302F" w:rsidRPr="0025302F" w:rsidRDefault="0025302F" w:rsidP="00CD363C">
            <w:pPr>
              <w:pStyle w:val="TableParagraph"/>
              <w:ind w:right="407"/>
              <w:jc w:val="both"/>
              <w:rPr>
                <w:i/>
                <w:sz w:val="24"/>
                <w:szCs w:val="24"/>
              </w:rPr>
            </w:pPr>
          </w:p>
          <w:p w14:paraId="018DB1D3" w14:textId="77777777" w:rsidR="0025302F" w:rsidRPr="0025302F" w:rsidRDefault="0025302F" w:rsidP="00CD363C">
            <w:pPr>
              <w:pStyle w:val="TableParagraph"/>
              <w:ind w:left="486" w:right="407"/>
              <w:jc w:val="both"/>
              <w:rPr>
                <w:b/>
                <w:sz w:val="24"/>
                <w:szCs w:val="24"/>
              </w:rPr>
            </w:pPr>
            <w:r w:rsidRPr="0025302F">
              <w:rPr>
                <w:b/>
                <w:sz w:val="24"/>
                <w:szCs w:val="24"/>
              </w:rPr>
              <w:t>Datums</w:t>
            </w:r>
          </w:p>
        </w:tc>
        <w:tc>
          <w:tcPr>
            <w:tcW w:w="1986" w:type="dxa"/>
            <w:shd w:val="clear" w:color="auto" w:fill="F1F1F1"/>
          </w:tcPr>
          <w:p w14:paraId="33EBAC2B" w14:textId="77777777" w:rsidR="0025302F" w:rsidRPr="0025302F" w:rsidRDefault="0025302F" w:rsidP="00CD363C">
            <w:pPr>
              <w:pStyle w:val="TableParagraph"/>
              <w:ind w:right="407"/>
              <w:jc w:val="both"/>
              <w:rPr>
                <w:i/>
                <w:sz w:val="24"/>
                <w:szCs w:val="24"/>
              </w:rPr>
            </w:pPr>
          </w:p>
          <w:p w14:paraId="7338B028" w14:textId="77777777" w:rsidR="0025302F" w:rsidRPr="0025302F" w:rsidRDefault="0025302F" w:rsidP="00CD363C">
            <w:pPr>
              <w:pStyle w:val="TableParagraph"/>
              <w:ind w:left="199" w:right="407" w:firstLine="3"/>
              <w:jc w:val="both"/>
              <w:rPr>
                <w:b/>
                <w:sz w:val="24"/>
                <w:szCs w:val="24"/>
              </w:rPr>
            </w:pPr>
            <w:r w:rsidRPr="0025302F">
              <w:rPr>
                <w:b/>
                <w:sz w:val="24"/>
                <w:szCs w:val="24"/>
              </w:rPr>
              <w:t>Uzskaites vērtība iepriekšējā aprēķina</w:t>
            </w:r>
            <w:r w:rsidRPr="0025302F">
              <w:rPr>
                <w:b/>
                <w:spacing w:val="-12"/>
                <w:sz w:val="24"/>
                <w:szCs w:val="24"/>
              </w:rPr>
              <w:t xml:space="preserve"> </w:t>
            </w:r>
            <w:r w:rsidRPr="0025302F">
              <w:rPr>
                <w:b/>
                <w:sz w:val="24"/>
                <w:szCs w:val="24"/>
              </w:rPr>
              <w:t>datumā, EUR</w:t>
            </w:r>
          </w:p>
        </w:tc>
        <w:tc>
          <w:tcPr>
            <w:tcW w:w="1844" w:type="dxa"/>
            <w:shd w:val="clear" w:color="auto" w:fill="F1F1F1"/>
          </w:tcPr>
          <w:p w14:paraId="60CADF42" w14:textId="77777777" w:rsidR="0025302F" w:rsidRPr="0025302F" w:rsidRDefault="0025302F" w:rsidP="00CD363C">
            <w:pPr>
              <w:pStyle w:val="TableParagraph"/>
              <w:ind w:right="407"/>
              <w:jc w:val="both"/>
              <w:rPr>
                <w:i/>
                <w:sz w:val="24"/>
                <w:szCs w:val="24"/>
              </w:rPr>
            </w:pPr>
          </w:p>
          <w:p w14:paraId="61E3DEC9" w14:textId="77777777" w:rsidR="0025302F" w:rsidRPr="0025302F" w:rsidRDefault="0025302F" w:rsidP="00CD363C">
            <w:pPr>
              <w:pStyle w:val="TableParagraph"/>
              <w:ind w:left="207" w:right="407" w:firstLine="2"/>
              <w:jc w:val="both"/>
              <w:rPr>
                <w:b/>
                <w:sz w:val="24"/>
                <w:szCs w:val="24"/>
              </w:rPr>
            </w:pPr>
            <w:r w:rsidRPr="0025302F">
              <w:rPr>
                <w:b/>
                <w:sz w:val="24"/>
                <w:szCs w:val="24"/>
              </w:rPr>
              <w:t>Aprēķinātie procentu ieņēmumi,</w:t>
            </w:r>
            <w:r w:rsidRPr="0025302F">
              <w:rPr>
                <w:b/>
                <w:spacing w:val="-8"/>
                <w:sz w:val="24"/>
                <w:szCs w:val="24"/>
              </w:rPr>
              <w:t xml:space="preserve"> </w:t>
            </w:r>
            <w:r w:rsidRPr="0025302F">
              <w:rPr>
                <w:b/>
                <w:sz w:val="24"/>
                <w:szCs w:val="24"/>
              </w:rPr>
              <w:t>EUR</w:t>
            </w:r>
          </w:p>
        </w:tc>
        <w:tc>
          <w:tcPr>
            <w:tcW w:w="1983" w:type="dxa"/>
            <w:shd w:val="clear" w:color="auto" w:fill="F1F1F1"/>
          </w:tcPr>
          <w:p w14:paraId="7DE6AFDD" w14:textId="77777777" w:rsidR="0025302F" w:rsidRPr="0025302F" w:rsidRDefault="0025302F" w:rsidP="00CD363C">
            <w:pPr>
              <w:pStyle w:val="TableParagraph"/>
              <w:ind w:left="140" w:right="407"/>
              <w:jc w:val="both"/>
              <w:rPr>
                <w:b/>
                <w:sz w:val="24"/>
                <w:szCs w:val="24"/>
              </w:rPr>
            </w:pPr>
            <w:r w:rsidRPr="0025302F">
              <w:rPr>
                <w:b/>
                <w:sz w:val="24"/>
                <w:szCs w:val="24"/>
              </w:rPr>
              <w:t>Ienākošās naudas plūsmas</w:t>
            </w:r>
          </w:p>
          <w:p w14:paraId="15F5B23D" w14:textId="77777777" w:rsidR="0025302F" w:rsidRPr="0025302F" w:rsidRDefault="0025302F" w:rsidP="00CD363C">
            <w:pPr>
              <w:pStyle w:val="TableParagraph"/>
              <w:ind w:left="138" w:right="407"/>
              <w:jc w:val="both"/>
              <w:rPr>
                <w:b/>
                <w:sz w:val="24"/>
                <w:szCs w:val="24"/>
              </w:rPr>
            </w:pPr>
            <w:r w:rsidRPr="0025302F">
              <w:rPr>
                <w:b/>
                <w:sz w:val="24"/>
                <w:szCs w:val="24"/>
              </w:rPr>
              <w:t>(saņemtie procenti un pamatsumma), EUR</w:t>
            </w:r>
          </w:p>
        </w:tc>
        <w:tc>
          <w:tcPr>
            <w:tcW w:w="1985" w:type="dxa"/>
            <w:shd w:val="clear" w:color="auto" w:fill="F1F1F1"/>
          </w:tcPr>
          <w:p w14:paraId="0DC398DE" w14:textId="77777777" w:rsidR="0025302F" w:rsidRPr="0025302F" w:rsidRDefault="0025302F" w:rsidP="00CD363C">
            <w:pPr>
              <w:pStyle w:val="TableParagraph"/>
              <w:ind w:right="407"/>
              <w:jc w:val="both"/>
              <w:rPr>
                <w:i/>
                <w:sz w:val="24"/>
                <w:szCs w:val="24"/>
              </w:rPr>
            </w:pPr>
          </w:p>
          <w:p w14:paraId="23CC33CC" w14:textId="77777777" w:rsidR="0025302F" w:rsidRPr="0025302F" w:rsidRDefault="0025302F" w:rsidP="00CD363C">
            <w:pPr>
              <w:pStyle w:val="TableParagraph"/>
              <w:ind w:left="163" w:right="407" w:firstLine="4"/>
              <w:jc w:val="both"/>
              <w:rPr>
                <w:b/>
                <w:sz w:val="24"/>
                <w:szCs w:val="24"/>
              </w:rPr>
            </w:pPr>
            <w:r w:rsidRPr="0025302F">
              <w:rPr>
                <w:b/>
                <w:sz w:val="24"/>
                <w:szCs w:val="24"/>
              </w:rPr>
              <w:t>Uzskaites vērtība attiecīgajā</w:t>
            </w:r>
            <w:r w:rsidRPr="0025302F">
              <w:rPr>
                <w:b/>
                <w:spacing w:val="-10"/>
                <w:sz w:val="24"/>
                <w:szCs w:val="24"/>
              </w:rPr>
              <w:t xml:space="preserve"> </w:t>
            </w:r>
            <w:r w:rsidRPr="0025302F">
              <w:rPr>
                <w:b/>
                <w:sz w:val="24"/>
                <w:szCs w:val="24"/>
              </w:rPr>
              <w:t>datumā EUR</w:t>
            </w:r>
          </w:p>
        </w:tc>
      </w:tr>
      <w:tr w:rsidR="0025302F" w:rsidRPr="0025302F" w14:paraId="67CBC800" w14:textId="77777777" w:rsidTr="00FF1C69">
        <w:trPr>
          <w:trHeight w:val="239"/>
        </w:trPr>
        <w:tc>
          <w:tcPr>
            <w:tcW w:w="1702" w:type="dxa"/>
            <w:shd w:val="clear" w:color="auto" w:fill="F1F1F1"/>
          </w:tcPr>
          <w:p w14:paraId="54083AA4" w14:textId="77777777" w:rsidR="0025302F" w:rsidRPr="0025302F" w:rsidRDefault="0025302F" w:rsidP="00CD363C">
            <w:pPr>
              <w:pStyle w:val="TableParagraph"/>
              <w:ind w:right="407"/>
              <w:jc w:val="both"/>
              <w:rPr>
                <w:sz w:val="24"/>
                <w:szCs w:val="24"/>
              </w:rPr>
            </w:pPr>
          </w:p>
        </w:tc>
        <w:tc>
          <w:tcPr>
            <w:tcW w:w="1986" w:type="dxa"/>
            <w:shd w:val="clear" w:color="auto" w:fill="F1F1F1"/>
          </w:tcPr>
          <w:p w14:paraId="5ABE864F" w14:textId="77777777" w:rsidR="0025302F" w:rsidRPr="0025302F" w:rsidRDefault="0025302F" w:rsidP="00CD363C">
            <w:pPr>
              <w:pStyle w:val="TableParagraph"/>
              <w:ind w:right="407"/>
              <w:jc w:val="both"/>
              <w:rPr>
                <w:b/>
                <w:sz w:val="24"/>
                <w:szCs w:val="24"/>
              </w:rPr>
            </w:pPr>
            <w:r w:rsidRPr="0025302F">
              <w:rPr>
                <w:b/>
                <w:w w:val="99"/>
                <w:sz w:val="24"/>
                <w:szCs w:val="24"/>
              </w:rPr>
              <w:t>A</w:t>
            </w:r>
          </w:p>
        </w:tc>
        <w:tc>
          <w:tcPr>
            <w:tcW w:w="1844" w:type="dxa"/>
            <w:shd w:val="clear" w:color="auto" w:fill="F1F1F1"/>
          </w:tcPr>
          <w:p w14:paraId="5A3371A5" w14:textId="77777777" w:rsidR="0025302F" w:rsidRPr="0025302F" w:rsidRDefault="0025302F" w:rsidP="00CD363C">
            <w:pPr>
              <w:pStyle w:val="TableParagraph"/>
              <w:ind w:right="407"/>
              <w:jc w:val="both"/>
              <w:rPr>
                <w:b/>
                <w:sz w:val="24"/>
                <w:szCs w:val="24"/>
              </w:rPr>
            </w:pPr>
            <w:r w:rsidRPr="0025302F">
              <w:rPr>
                <w:b/>
                <w:w w:val="99"/>
                <w:sz w:val="24"/>
                <w:szCs w:val="24"/>
              </w:rPr>
              <w:t>B</w:t>
            </w:r>
          </w:p>
        </w:tc>
        <w:tc>
          <w:tcPr>
            <w:tcW w:w="1983" w:type="dxa"/>
            <w:shd w:val="clear" w:color="auto" w:fill="F1F1F1"/>
          </w:tcPr>
          <w:p w14:paraId="029BA4D5" w14:textId="77777777" w:rsidR="0025302F" w:rsidRPr="0025302F" w:rsidRDefault="0025302F" w:rsidP="00CD363C">
            <w:pPr>
              <w:pStyle w:val="TableParagraph"/>
              <w:ind w:right="407"/>
              <w:jc w:val="both"/>
              <w:rPr>
                <w:b/>
                <w:sz w:val="24"/>
                <w:szCs w:val="24"/>
              </w:rPr>
            </w:pPr>
            <w:r w:rsidRPr="0025302F">
              <w:rPr>
                <w:b/>
                <w:w w:val="99"/>
                <w:sz w:val="24"/>
                <w:szCs w:val="24"/>
              </w:rPr>
              <w:t>C</w:t>
            </w:r>
          </w:p>
        </w:tc>
        <w:tc>
          <w:tcPr>
            <w:tcW w:w="1985" w:type="dxa"/>
            <w:shd w:val="clear" w:color="auto" w:fill="F1F1F1"/>
          </w:tcPr>
          <w:p w14:paraId="280F2359" w14:textId="77777777" w:rsidR="0025302F" w:rsidRPr="0025302F" w:rsidRDefault="0025302F" w:rsidP="00CD363C">
            <w:pPr>
              <w:pStyle w:val="TableParagraph"/>
              <w:ind w:left="531" w:right="407"/>
              <w:jc w:val="both"/>
              <w:rPr>
                <w:b/>
                <w:sz w:val="24"/>
                <w:szCs w:val="24"/>
              </w:rPr>
            </w:pPr>
            <w:r w:rsidRPr="0025302F">
              <w:rPr>
                <w:b/>
                <w:sz w:val="24"/>
                <w:szCs w:val="24"/>
              </w:rPr>
              <w:t>D=A+B-C</w:t>
            </w:r>
          </w:p>
        </w:tc>
      </w:tr>
      <w:tr w:rsidR="0025302F" w:rsidRPr="0025302F" w14:paraId="75565790" w14:textId="77777777" w:rsidTr="00FF1C69">
        <w:trPr>
          <w:trHeight w:val="328"/>
        </w:trPr>
        <w:tc>
          <w:tcPr>
            <w:tcW w:w="1702" w:type="dxa"/>
          </w:tcPr>
          <w:p w14:paraId="0FC4A176" w14:textId="77777777" w:rsidR="0025302F" w:rsidRPr="0025302F" w:rsidRDefault="0025302F" w:rsidP="00CD363C">
            <w:pPr>
              <w:pStyle w:val="TableParagraph"/>
              <w:ind w:right="407"/>
              <w:jc w:val="both"/>
              <w:rPr>
                <w:sz w:val="24"/>
                <w:szCs w:val="24"/>
              </w:rPr>
            </w:pPr>
            <w:r w:rsidRPr="0025302F">
              <w:rPr>
                <w:w w:val="95"/>
                <w:sz w:val="24"/>
                <w:szCs w:val="24"/>
              </w:rPr>
              <w:t>31.12.2019.</w:t>
            </w:r>
          </w:p>
        </w:tc>
        <w:tc>
          <w:tcPr>
            <w:tcW w:w="1986" w:type="dxa"/>
          </w:tcPr>
          <w:p w14:paraId="0572F035" w14:textId="77777777" w:rsidR="0025302F" w:rsidRPr="0025302F" w:rsidRDefault="0025302F" w:rsidP="00CD363C">
            <w:pPr>
              <w:pStyle w:val="TableParagraph"/>
              <w:ind w:right="407"/>
              <w:jc w:val="both"/>
              <w:rPr>
                <w:sz w:val="24"/>
                <w:szCs w:val="24"/>
              </w:rPr>
            </w:pPr>
            <w:r w:rsidRPr="0025302F">
              <w:rPr>
                <w:sz w:val="24"/>
                <w:szCs w:val="24"/>
              </w:rPr>
              <w:t>10 000,00</w:t>
            </w:r>
          </w:p>
        </w:tc>
        <w:tc>
          <w:tcPr>
            <w:tcW w:w="1844" w:type="dxa"/>
          </w:tcPr>
          <w:p w14:paraId="2575C78B" w14:textId="77777777" w:rsidR="0025302F" w:rsidRPr="0025302F" w:rsidRDefault="0025302F" w:rsidP="00CD363C">
            <w:pPr>
              <w:pStyle w:val="TableParagraph"/>
              <w:ind w:right="407"/>
              <w:jc w:val="both"/>
              <w:rPr>
                <w:sz w:val="24"/>
                <w:szCs w:val="24"/>
              </w:rPr>
            </w:pPr>
            <w:r w:rsidRPr="0025302F">
              <w:rPr>
                <w:w w:val="95"/>
                <w:sz w:val="24"/>
                <w:szCs w:val="24"/>
              </w:rPr>
              <w:t>497,26</w:t>
            </w:r>
          </w:p>
        </w:tc>
        <w:tc>
          <w:tcPr>
            <w:tcW w:w="1983" w:type="dxa"/>
          </w:tcPr>
          <w:p w14:paraId="3274F25E"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4B82D5F1" w14:textId="77777777" w:rsidR="0025302F" w:rsidRPr="0025302F" w:rsidRDefault="0025302F" w:rsidP="00CD363C">
            <w:pPr>
              <w:pStyle w:val="TableParagraph"/>
              <w:ind w:right="407"/>
              <w:jc w:val="both"/>
              <w:rPr>
                <w:sz w:val="24"/>
                <w:szCs w:val="24"/>
              </w:rPr>
            </w:pPr>
            <w:r w:rsidRPr="0025302F">
              <w:rPr>
                <w:sz w:val="24"/>
                <w:szCs w:val="24"/>
              </w:rPr>
              <w:t>10 497,26</w:t>
            </w:r>
          </w:p>
        </w:tc>
      </w:tr>
      <w:tr w:rsidR="0025302F" w:rsidRPr="0025302F" w14:paraId="21C65FA1" w14:textId="77777777" w:rsidTr="00FF1C69">
        <w:trPr>
          <w:trHeight w:val="330"/>
        </w:trPr>
        <w:tc>
          <w:tcPr>
            <w:tcW w:w="1702" w:type="dxa"/>
          </w:tcPr>
          <w:p w14:paraId="0C6A276D" w14:textId="77777777" w:rsidR="0025302F" w:rsidRPr="0025302F" w:rsidRDefault="0025302F" w:rsidP="00CD363C">
            <w:pPr>
              <w:pStyle w:val="TableParagraph"/>
              <w:ind w:right="407"/>
              <w:jc w:val="both"/>
              <w:rPr>
                <w:sz w:val="24"/>
                <w:szCs w:val="24"/>
              </w:rPr>
            </w:pPr>
            <w:r w:rsidRPr="0025302F">
              <w:rPr>
                <w:w w:val="95"/>
                <w:sz w:val="24"/>
                <w:szCs w:val="24"/>
              </w:rPr>
              <w:t>02.01.2020.</w:t>
            </w:r>
          </w:p>
        </w:tc>
        <w:tc>
          <w:tcPr>
            <w:tcW w:w="1986" w:type="dxa"/>
          </w:tcPr>
          <w:p w14:paraId="5F773AAA" w14:textId="77777777" w:rsidR="0025302F" w:rsidRPr="0025302F" w:rsidRDefault="0025302F" w:rsidP="00CD363C">
            <w:pPr>
              <w:pStyle w:val="TableParagraph"/>
              <w:ind w:right="407"/>
              <w:jc w:val="both"/>
              <w:rPr>
                <w:sz w:val="24"/>
                <w:szCs w:val="24"/>
              </w:rPr>
            </w:pPr>
            <w:r w:rsidRPr="0025302F">
              <w:rPr>
                <w:sz w:val="24"/>
                <w:szCs w:val="24"/>
              </w:rPr>
              <w:t>10 497,26</w:t>
            </w:r>
          </w:p>
        </w:tc>
        <w:tc>
          <w:tcPr>
            <w:tcW w:w="1844" w:type="dxa"/>
          </w:tcPr>
          <w:p w14:paraId="7C128331" w14:textId="77777777" w:rsidR="0025302F" w:rsidRPr="0025302F" w:rsidRDefault="0025302F" w:rsidP="00CD363C">
            <w:pPr>
              <w:pStyle w:val="TableParagraph"/>
              <w:ind w:right="407"/>
              <w:jc w:val="both"/>
              <w:rPr>
                <w:sz w:val="24"/>
                <w:szCs w:val="24"/>
              </w:rPr>
            </w:pPr>
            <w:r w:rsidRPr="0025302F">
              <w:rPr>
                <w:sz w:val="24"/>
                <w:szCs w:val="24"/>
              </w:rPr>
              <w:t>2,74</w:t>
            </w:r>
          </w:p>
        </w:tc>
        <w:tc>
          <w:tcPr>
            <w:tcW w:w="1983" w:type="dxa"/>
          </w:tcPr>
          <w:p w14:paraId="6D3FDD2B" w14:textId="77777777" w:rsidR="0025302F" w:rsidRPr="0025302F" w:rsidRDefault="0025302F" w:rsidP="00CD363C">
            <w:pPr>
              <w:pStyle w:val="TableParagraph"/>
              <w:ind w:right="407"/>
              <w:jc w:val="both"/>
              <w:rPr>
                <w:sz w:val="24"/>
                <w:szCs w:val="24"/>
              </w:rPr>
            </w:pPr>
            <w:r w:rsidRPr="0025302F">
              <w:rPr>
                <w:sz w:val="24"/>
                <w:szCs w:val="24"/>
              </w:rPr>
              <w:t>2 500,00</w:t>
            </w:r>
          </w:p>
        </w:tc>
        <w:tc>
          <w:tcPr>
            <w:tcW w:w="1985" w:type="dxa"/>
          </w:tcPr>
          <w:p w14:paraId="4614A9E4" w14:textId="77777777" w:rsidR="0025302F" w:rsidRPr="0025302F" w:rsidRDefault="0025302F" w:rsidP="00CD363C">
            <w:pPr>
              <w:pStyle w:val="TableParagraph"/>
              <w:ind w:right="407"/>
              <w:jc w:val="both"/>
              <w:rPr>
                <w:sz w:val="24"/>
                <w:szCs w:val="24"/>
              </w:rPr>
            </w:pPr>
            <w:r w:rsidRPr="0025302F">
              <w:rPr>
                <w:sz w:val="24"/>
                <w:szCs w:val="24"/>
              </w:rPr>
              <w:t>8 000,00</w:t>
            </w:r>
          </w:p>
        </w:tc>
      </w:tr>
      <w:tr w:rsidR="0025302F" w:rsidRPr="0025302F" w14:paraId="6B08B53F" w14:textId="77777777" w:rsidTr="00FF1C69">
        <w:trPr>
          <w:trHeight w:val="330"/>
        </w:trPr>
        <w:tc>
          <w:tcPr>
            <w:tcW w:w="1702" w:type="dxa"/>
          </w:tcPr>
          <w:p w14:paraId="524F681F" w14:textId="77777777" w:rsidR="0025302F" w:rsidRPr="0025302F" w:rsidRDefault="0025302F" w:rsidP="00CD363C">
            <w:pPr>
              <w:pStyle w:val="TableParagraph"/>
              <w:ind w:right="407"/>
              <w:jc w:val="both"/>
              <w:rPr>
                <w:sz w:val="24"/>
                <w:szCs w:val="24"/>
              </w:rPr>
            </w:pPr>
            <w:r w:rsidRPr="0025302F">
              <w:rPr>
                <w:w w:val="95"/>
                <w:sz w:val="24"/>
                <w:szCs w:val="24"/>
              </w:rPr>
              <w:t>31.12.2020.</w:t>
            </w:r>
          </w:p>
        </w:tc>
        <w:tc>
          <w:tcPr>
            <w:tcW w:w="1986" w:type="dxa"/>
          </w:tcPr>
          <w:p w14:paraId="4B5A55C9" w14:textId="77777777" w:rsidR="0025302F" w:rsidRPr="0025302F" w:rsidRDefault="0025302F" w:rsidP="00CD363C">
            <w:pPr>
              <w:pStyle w:val="TableParagraph"/>
              <w:ind w:right="407"/>
              <w:jc w:val="both"/>
              <w:rPr>
                <w:sz w:val="24"/>
                <w:szCs w:val="24"/>
              </w:rPr>
            </w:pPr>
            <w:r w:rsidRPr="0025302F">
              <w:rPr>
                <w:sz w:val="24"/>
                <w:szCs w:val="24"/>
              </w:rPr>
              <w:t>8 000,00</w:t>
            </w:r>
          </w:p>
        </w:tc>
        <w:tc>
          <w:tcPr>
            <w:tcW w:w="1844" w:type="dxa"/>
          </w:tcPr>
          <w:p w14:paraId="6399E8C4" w14:textId="77777777" w:rsidR="0025302F" w:rsidRPr="0025302F" w:rsidRDefault="0025302F" w:rsidP="00CD363C">
            <w:pPr>
              <w:pStyle w:val="TableParagraph"/>
              <w:ind w:right="407"/>
              <w:jc w:val="both"/>
              <w:rPr>
                <w:sz w:val="24"/>
                <w:szCs w:val="24"/>
              </w:rPr>
            </w:pPr>
            <w:r w:rsidRPr="0025302F">
              <w:rPr>
                <w:w w:val="95"/>
                <w:sz w:val="24"/>
                <w:szCs w:val="24"/>
              </w:rPr>
              <w:t>405,76</w:t>
            </w:r>
          </w:p>
        </w:tc>
        <w:tc>
          <w:tcPr>
            <w:tcW w:w="1983" w:type="dxa"/>
          </w:tcPr>
          <w:p w14:paraId="2283A4DC"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2F5856DA" w14:textId="77777777" w:rsidR="0025302F" w:rsidRPr="0025302F" w:rsidRDefault="0025302F" w:rsidP="00CD363C">
            <w:pPr>
              <w:pStyle w:val="TableParagraph"/>
              <w:ind w:right="407"/>
              <w:jc w:val="both"/>
              <w:rPr>
                <w:sz w:val="24"/>
                <w:szCs w:val="24"/>
              </w:rPr>
            </w:pPr>
            <w:r w:rsidRPr="0025302F">
              <w:rPr>
                <w:sz w:val="24"/>
                <w:szCs w:val="24"/>
              </w:rPr>
              <w:t>8 405,76</w:t>
            </w:r>
          </w:p>
        </w:tc>
      </w:tr>
      <w:tr w:rsidR="0025302F" w:rsidRPr="0025302F" w14:paraId="5429F671" w14:textId="77777777" w:rsidTr="00FF1C69">
        <w:trPr>
          <w:trHeight w:val="328"/>
        </w:trPr>
        <w:tc>
          <w:tcPr>
            <w:tcW w:w="1702" w:type="dxa"/>
          </w:tcPr>
          <w:p w14:paraId="481E19BD" w14:textId="77777777" w:rsidR="0025302F" w:rsidRPr="0025302F" w:rsidRDefault="0025302F" w:rsidP="00CD363C">
            <w:pPr>
              <w:pStyle w:val="TableParagraph"/>
              <w:ind w:right="407"/>
              <w:jc w:val="both"/>
              <w:rPr>
                <w:sz w:val="24"/>
                <w:szCs w:val="24"/>
              </w:rPr>
            </w:pPr>
            <w:r w:rsidRPr="0025302F">
              <w:rPr>
                <w:w w:val="95"/>
                <w:sz w:val="24"/>
                <w:szCs w:val="24"/>
              </w:rPr>
              <w:t>02.01.2021.</w:t>
            </w:r>
          </w:p>
        </w:tc>
        <w:tc>
          <w:tcPr>
            <w:tcW w:w="1986" w:type="dxa"/>
          </w:tcPr>
          <w:p w14:paraId="45CE3835" w14:textId="77777777" w:rsidR="0025302F" w:rsidRPr="0025302F" w:rsidRDefault="0025302F" w:rsidP="00CD363C">
            <w:pPr>
              <w:pStyle w:val="TableParagraph"/>
              <w:ind w:right="407"/>
              <w:jc w:val="both"/>
              <w:rPr>
                <w:sz w:val="24"/>
                <w:szCs w:val="24"/>
              </w:rPr>
            </w:pPr>
            <w:r w:rsidRPr="0025302F">
              <w:rPr>
                <w:sz w:val="24"/>
                <w:szCs w:val="24"/>
              </w:rPr>
              <w:t>8 405,76</w:t>
            </w:r>
          </w:p>
        </w:tc>
        <w:tc>
          <w:tcPr>
            <w:tcW w:w="1844" w:type="dxa"/>
          </w:tcPr>
          <w:p w14:paraId="134F2D36" w14:textId="77777777" w:rsidR="0025302F" w:rsidRPr="0025302F" w:rsidRDefault="0025302F" w:rsidP="00CD363C">
            <w:pPr>
              <w:pStyle w:val="TableParagraph"/>
              <w:ind w:right="407"/>
              <w:jc w:val="both"/>
              <w:rPr>
                <w:sz w:val="24"/>
                <w:szCs w:val="24"/>
              </w:rPr>
            </w:pPr>
            <w:r w:rsidRPr="0025302F">
              <w:rPr>
                <w:sz w:val="24"/>
                <w:szCs w:val="24"/>
              </w:rPr>
              <w:t>2,24</w:t>
            </w:r>
          </w:p>
        </w:tc>
        <w:tc>
          <w:tcPr>
            <w:tcW w:w="1983" w:type="dxa"/>
          </w:tcPr>
          <w:p w14:paraId="5F862FEE" w14:textId="77777777" w:rsidR="0025302F" w:rsidRPr="0025302F" w:rsidRDefault="0025302F" w:rsidP="00CD363C">
            <w:pPr>
              <w:pStyle w:val="TableParagraph"/>
              <w:ind w:right="407"/>
              <w:jc w:val="both"/>
              <w:rPr>
                <w:sz w:val="24"/>
                <w:szCs w:val="24"/>
              </w:rPr>
            </w:pPr>
            <w:r w:rsidRPr="0025302F">
              <w:rPr>
                <w:sz w:val="24"/>
                <w:szCs w:val="24"/>
              </w:rPr>
              <w:t>2 408,00</w:t>
            </w:r>
          </w:p>
        </w:tc>
        <w:tc>
          <w:tcPr>
            <w:tcW w:w="1985" w:type="dxa"/>
          </w:tcPr>
          <w:p w14:paraId="39E9A9F5" w14:textId="77777777" w:rsidR="0025302F" w:rsidRPr="0025302F" w:rsidRDefault="0025302F" w:rsidP="00CD363C">
            <w:pPr>
              <w:pStyle w:val="TableParagraph"/>
              <w:ind w:right="407"/>
              <w:jc w:val="both"/>
              <w:rPr>
                <w:sz w:val="24"/>
                <w:szCs w:val="24"/>
              </w:rPr>
            </w:pPr>
            <w:r w:rsidRPr="0025302F">
              <w:rPr>
                <w:sz w:val="24"/>
                <w:szCs w:val="24"/>
              </w:rPr>
              <w:t>6 000,00</w:t>
            </w:r>
          </w:p>
        </w:tc>
      </w:tr>
      <w:tr w:rsidR="0025302F" w:rsidRPr="0025302F" w14:paraId="2D898B94" w14:textId="77777777" w:rsidTr="00FF1C69">
        <w:trPr>
          <w:trHeight w:val="330"/>
        </w:trPr>
        <w:tc>
          <w:tcPr>
            <w:tcW w:w="1702" w:type="dxa"/>
          </w:tcPr>
          <w:p w14:paraId="68E0301B" w14:textId="77777777" w:rsidR="0025302F" w:rsidRPr="0025302F" w:rsidRDefault="0025302F" w:rsidP="00CD363C">
            <w:pPr>
              <w:pStyle w:val="TableParagraph"/>
              <w:ind w:right="407"/>
              <w:jc w:val="both"/>
              <w:rPr>
                <w:sz w:val="24"/>
                <w:szCs w:val="24"/>
              </w:rPr>
            </w:pPr>
            <w:r w:rsidRPr="0025302F">
              <w:rPr>
                <w:w w:val="95"/>
                <w:sz w:val="24"/>
                <w:szCs w:val="24"/>
              </w:rPr>
              <w:t>31.12.2021.</w:t>
            </w:r>
          </w:p>
        </w:tc>
        <w:tc>
          <w:tcPr>
            <w:tcW w:w="1986" w:type="dxa"/>
          </w:tcPr>
          <w:p w14:paraId="7BA25A97" w14:textId="77777777" w:rsidR="0025302F" w:rsidRPr="0025302F" w:rsidRDefault="0025302F" w:rsidP="00CD363C">
            <w:pPr>
              <w:pStyle w:val="TableParagraph"/>
              <w:ind w:right="407"/>
              <w:jc w:val="both"/>
              <w:rPr>
                <w:sz w:val="24"/>
                <w:szCs w:val="24"/>
              </w:rPr>
            </w:pPr>
            <w:r w:rsidRPr="0025302F">
              <w:rPr>
                <w:sz w:val="24"/>
                <w:szCs w:val="24"/>
              </w:rPr>
              <w:t>6 000,00</w:t>
            </w:r>
          </w:p>
        </w:tc>
        <w:tc>
          <w:tcPr>
            <w:tcW w:w="1844" w:type="dxa"/>
          </w:tcPr>
          <w:p w14:paraId="1E7A4A72" w14:textId="77777777" w:rsidR="0025302F" w:rsidRPr="0025302F" w:rsidRDefault="0025302F" w:rsidP="00CD363C">
            <w:pPr>
              <w:pStyle w:val="TableParagraph"/>
              <w:ind w:right="407"/>
              <w:jc w:val="both"/>
              <w:rPr>
                <w:sz w:val="24"/>
                <w:szCs w:val="24"/>
              </w:rPr>
            </w:pPr>
            <w:r w:rsidRPr="0025302F">
              <w:rPr>
                <w:w w:val="95"/>
                <w:sz w:val="24"/>
                <w:szCs w:val="24"/>
              </w:rPr>
              <w:t>291,20</w:t>
            </w:r>
          </w:p>
        </w:tc>
        <w:tc>
          <w:tcPr>
            <w:tcW w:w="1983" w:type="dxa"/>
          </w:tcPr>
          <w:p w14:paraId="5486A6FE"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4CC14539" w14:textId="77777777" w:rsidR="0025302F" w:rsidRPr="0025302F" w:rsidRDefault="0025302F" w:rsidP="00CD363C">
            <w:pPr>
              <w:pStyle w:val="TableParagraph"/>
              <w:ind w:right="407"/>
              <w:jc w:val="both"/>
              <w:rPr>
                <w:sz w:val="24"/>
                <w:szCs w:val="24"/>
              </w:rPr>
            </w:pPr>
            <w:r w:rsidRPr="0025302F">
              <w:rPr>
                <w:sz w:val="24"/>
                <w:szCs w:val="24"/>
              </w:rPr>
              <w:t>6 291,20</w:t>
            </w:r>
          </w:p>
        </w:tc>
      </w:tr>
      <w:tr w:rsidR="0025302F" w:rsidRPr="0025302F" w14:paraId="4951F054" w14:textId="77777777" w:rsidTr="00FF1C69">
        <w:trPr>
          <w:trHeight w:val="330"/>
        </w:trPr>
        <w:tc>
          <w:tcPr>
            <w:tcW w:w="1702" w:type="dxa"/>
          </w:tcPr>
          <w:p w14:paraId="10BC6783" w14:textId="77777777" w:rsidR="0025302F" w:rsidRPr="0025302F" w:rsidRDefault="0025302F" w:rsidP="00CD363C">
            <w:pPr>
              <w:pStyle w:val="TableParagraph"/>
              <w:ind w:right="407"/>
              <w:jc w:val="both"/>
              <w:rPr>
                <w:sz w:val="24"/>
                <w:szCs w:val="24"/>
              </w:rPr>
            </w:pPr>
            <w:r w:rsidRPr="0025302F">
              <w:rPr>
                <w:w w:val="95"/>
                <w:sz w:val="24"/>
                <w:szCs w:val="24"/>
              </w:rPr>
              <w:t>02.01.2022.</w:t>
            </w:r>
          </w:p>
        </w:tc>
        <w:tc>
          <w:tcPr>
            <w:tcW w:w="1986" w:type="dxa"/>
          </w:tcPr>
          <w:p w14:paraId="26DBCFA7" w14:textId="77777777" w:rsidR="0025302F" w:rsidRPr="0025302F" w:rsidRDefault="0025302F" w:rsidP="00CD363C">
            <w:pPr>
              <w:pStyle w:val="TableParagraph"/>
              <w:ind w:right="407"/>
              <w:jc w:val="both"/>
              <w:rPr>
                <w:sz w:val="24"/>
                <w:szCs w:val="24"/>
              </w:rPr>
            </w:pPr>
            <w:r w:rsidRPr="0025302F">
              <w:rPr>
                <w:sz w:val="24"/>
                <w:szCs w:val="24"/>
              </w:rPr>
              <w:t>6 291,20</w:t>
            </w:r>
          </w:p>
        </w:tc>
        <w:tc>
          <w:tcPr>
            <w:tcW w:w="1844" w:type="dxa"/>
          </w:tcPr>
          <w:p w14:paraId="59BA02F2" w14:textId="77777777" w:rsidR="0025302F" w:rsidRPr="0025302F" w:rsidRDefault="0025302F" w:rsidP="00CD363C">
            <w:pPr>
              <w:pStyle w:val="TableParagraph"/>
              <w:ind w:right="407"/>
              <w:jc w:val="both"/>
              <w:rPr>
                <w:sz w:val="24"/>
                <w:szCs w:val="24"/>
              </w:rPr>
            </w:pPr>
            <w:r w:rsidRPr="0025302F">
              <w:rPr>
                <w:sz w:val="24"/>
                <w:szCs w:val="24"/>
              </w:rPr>
              <w:t>1,60</w:t>
            </w:r>
          </w:p>
        </w:tc>
        <w:tc>
          <w:tcPr>
            <w:tcW w:w="1983" w:type="dxa"/>
          </w:tcPr>
          <w:p w14:paraId="500FF07B" w14:textId="77777777" w:rsidR="0025302F" w:rsidRPr="0025302F" w:rsidRDefault="0025302F" w:rsidP="00CD363C">
            <w:pPr>
              <w:pStyle w:val="TableParagraph"/>
              <w:ind w:right="407"/>
              <w:jc w:val="both"/>
              <w:rPr>
                <w:sz w:val="24"/>
                <w:szCs w:val="24"/>
              </w:rPr>
            </w:pPr>
            <w:r w:rsidRPr="0025302F">
              <w:rPr>
                <w:sz w:val="24"/>
                <w:szCs w:val="24"/>
              </w:rPr>
              <w:t>2 292,80</w:t>
            </w:r>
          </w:p>
        </w:tc>
        <w:tc>
          <w:tcPr>
            <w:tcW w:w="1985" w:type="dxa"/>
          </w:tcPr>
          <w:p w14:paraId="0E896E1C" w14:textId="77777777" w:rsidR="0025302F" w:rsidRPr="0025302F" w:rsidRDefault="0025302F" w:rsidP="00CD363C">
            <w:pPr>
              <w:pStyle w:val="TableParagraph"/>
              <w:ind w:right="407"/>
              <w:jc w:val="both"/>
              <w:rPr>
                <w:sz w:val="24"/>
                <w:szCs w:val="24"/>
              </w:rPr>
            </w:pPr>
            <w:r w:rsidRPr="0025302F">
              <w:rPr>
                <w:sz w:val="24"/>
                <w:szCs w:val="24"/>
              </w:rPr>
              <w:t>4 000,00</w:t>
            </w:r>
          </w:p>
        </w:tc>
      </w:tr>
      <w:tr w:rsidR="0025302F" w:rsidRPr="0025302F" w14:paraId="6EE58616" w14:textId="77777777" w:rsidTr="00FF1C69">
        <w:trPr>
          <w:trHeight w:val="328"/>
        </w:trPr>
        <w:tc>
          <w:tcPr>
            <w:tcW w:w="1702" w:type="dxa"/>
          </w:tcPr>
          <w:p w14:paraId="677D9D48" w14:textId="77777777" w:rsidR="0025302F" w:rsidRPr="0025302F" w:rsidRDefault="0025302F" w:rsidP="00CD363C">
            <w:pPr>
              <w:pStyle w:val="TableParagraph"/>
              <w:ind w:right="407"/>
              <w:jc w:val="both"/>
              <w:rPr>
                <w:sz w:val="24"/>
                <w:szCs w:val="24"/>
              </w:rPr>
            </w:pPr>
            <w:r w:rsidRPr="0025302F">
              <w:rPr>
                <w:w w:val="95"/>
                <w:sz w:val="24"/>
                <w:szCs w:val="24"/>
              </w:rPr>
              <w:t>31.12.2022.</w:t>
            </w:r>
          </w:p>
        </w:tc>
        <w:tc>
          <w:tcPr>
            <w:tcW w:w="1986" w:type="dxa"/>
          </w:tcPr>
          <w:p w14:paraId="5907BA08" w14:textId="77777777" w:rsidR="0025302F" w:rsidRPr="0025302F" w:rsidRDefault="0025302F" w:rsidP="00CD363C">
            <w:pPr>
              <w:pStyle w:val="TableParagraph"/>
              <w:ind w:right="407"/>
              <w:jc w:val="both"/>
              <w:rPr>
                <w:sz w:val="24"/>
                <w:szCs w:val="24"/>
              </w:rPr>
            </w:pPr>
            <w:r w:rsidRPr="0025302F">
              <w:rPr>
                <w:sz w:val="24"/>
                <w:szCs w:val="24"/>
              </w:rPr>
              <w:t>4 000,00</w:t>
            </w:r>
          </w:p>
        </w:tc>
        <w:tc>
          <w:tcPr>
            <w:tcW w:w="1844" w:type="dxa"/>
          </w:tcPr>
          <w:p w14:paraId="1878ADCF" w14:textId="77777777" w:rsidR="0025302F" w:rsidRPr="0025302F" w:rsidRDefault="0025302F" w:rsidP="00CD363C">
            <w:pPr>
              <w:pStyle w:val="TableParagraph"/>
              <w:ind w:right="407"/>
              <w:jc w:val="both"/>
              <w:rPr>
                <w:sz w:val="24"/>
                <w:szCs w:val="24"/>
              </w:rPr>
            </w:pPr>
            <w:r w:rsidRPr="0025302F">
              <w:rPr>
                <w:w w:val="95"/>
                <w:sz w:val="24"/>
                <w:szCs w:val="24"/>
              </w:rPr>
              <w:t>203,68</w:t>
            </w:r>
          </w:p>
        </w:tc>
        <w:tc>
          <w:tcPr>
            <w:tcW w:w="1983" w:type="dxa"/>
          </w:tcPr>
          <w:p w14:paraId="68B09D10"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5A8657DC" w14:textId="77777777" w:rsidR="0025302F" w:rsidRPr="0025302F" w:rsidRDefault="0025302F" w:rsidP="00CD363C">
            <w:pPr>
              <w:pStyle w:val="TableParagraph"/>
              <w:ind w:right="407"/>
              <w:jc w:val="both"/>
              <w:rPr>
                <w:sz w:val="24"/>
                <w:szCs w:val="24"/>
              </w:rPr>
            </w:pPr>
            <w:r w:rsidRPr="0025302F">
              <w:rPr>
                <w:sz w:val="24"/>
                <w:szCs w:val="24"/>
              </w:rPr>
              <w:t>4 203,68</w:t>
            </w:r>
          </w:p>
        </w:tc>
      </w:tr>
      <w:tr w:rsidR="0025302F" w:rsidRPr="0025302F" w14:paraId="529A1BC6" w14:textId="77777777" w:rsidTr="00FF1C69">
        <w:trPr>
          <w:trHeight w:val="330"/>
        </w:trPr>
        <w:tc>
          <w:tcPr>
            <w:tcW w:w="1702" w:type="dxa"/>
          </w:tcPr>
          <w:p w14:paraId="7655DACC" w14:textId="77777777" w:rsidR="0025302F" w:rsidRPr="0025302F" w:rsidRDefault="0025302F" w:rsidP="00CD363C">
            <w:pPr>
              <w:pStyle w:val="TableParagraph"/>
              <w:ind w:right="407"/>
              <w:jc w:val="both"/>
              <w:rPr>
                <w:sz w:val="24"/>
                <w:szCs w:val="24"/>
              </w:rPr>
            </w:pPr>
            <w:r w:rsidRPr="0025302F">
              <w:rPr>
                <w:w w:val="95"/>
                <w:sz w:val="24"/>
                <w:szCs w:val="24"/>
              </w:rPr>
              <w:t>02.01.2023.</w:t>
            </w:r>
          </w:p>
        </w:tc>
        <w:tc>
          <w:tcPr>
            <w:tcW w:w="1986" w:type="dxa"/>
          </w:tcPr>
          <w:p w14:paraId="56B7B806" w14:textId="77777777" w:rsidR="0025302F" w:rsidRPr="0025302F" w:rsidRDefault="0025302F" w:rsidP="00CD363C">
            <w:pPr>
              <w:pStyle w:val="TableParagraph"/>
              <w:ind w:right="407"/>
              <w:jc w:val="both"/>
              <w:rPr>
                <w:sz w:val="24"/>
                <w:szCs w:val="24"/>
              </w:rPr>
            </w:pPr>
            <w:r w:rsidRPr="0025302F">
              <w:rPr>
                <w:sz w:val="24"/>
                <w:szCs w:val="24"/>
              </w:rPr>
              <w:t>4 203,68</w:t>
            </w:r>
          </w:p>
        </w:tc>
        <w:tc>
          <w:tcPr>
            <w:tcW w:w="1844" w:type="dxa"/>
          </w:tcPr>
          <w:p w14:paraId="611B9804" w14:textId="77777777" w:rsidR="0025302F" w:rsidRPr="0025302F" w:rsidRDefault="0025302F" w:rsidP="00CD363C">
            <w:pPr>
              <w:pStyle w:val="TableParagraph"/>
              <w:ind w:right="407"/>
              <w:jc w:val="both"/>
              <w:rPr>
                <w:sz w:val="24"/>
                <w:szCs w:val="24"/>
              </w:rPr>
            </w:pPr>
            <w:r w:rsidRPr="0025302F">
              <w:rPr>
                <w:sz w:val="24"/>
                <w:szCs w:val="24"/>
              </w:rPr>
              <w:t>1,12</w:t>
            </w:r>
          </w:p>
        </w:tc>
        <w:tc>
          <w:tcPr>
            <w:tcW w:w="1983" w:type="dxa"/>
          </w:tcPr>
          <w:p w14:paraId="7AA3C97C" w14:textId="77777777" w:rsidR="0025302F" w:rsidRPr="0025302F" w:rsidRDefault="0025302F" w:rsidP="00CD363C">
            <w:pPr>
              <w:pStyle w:val="TableParagraph"/>
              <w:ind w:right="407"/>
              <w:jc w:val="both"/>
              <w:rPr>
                <w:sz w:val="24"/>
                <w:szCs w:val="24"/>
              </w:rPr>
            </w:pPr>
            <w:r w:rsidRPr="0025302F">
              <w:rPr>
                <w:sz w:val="24"/>
                <w:szCs w:val="24"/>
              </w:rPr>
              <w:t>2 204,80</w:t>
            </w:r>
          </w:p>
        </w:tc>
        <w:tc>
          <w:tcPr>
            <w:tcW w:w="1985" w:type="dxa"/>
          </w:tcPr>
          <w:p w14:paraId="787599CC" w14:textId="77777777" w:rsidR="0025302F" w:rsidRPr="0025302F" w:rsidRDefault="0025302F" w:rsidP="00CD363C">
            <w:pPr>
              <w:pStyle w:val="TableParagraph"/>
              <w:ind w:right="407"/>
              <w:jc w:val="both"/>
              <w:rPr>
                <w:sz w:val="24"/>
                <w:szCs w:val="24"/>
              </w:rPr>
            </w:pPr>
            <w:r w:rsidRPr="0025302F">
              <w:rPr>
                <w:sz w:val="24"/>
                <w:szCs w:val="24"/>
              </w:rPr>
              <w:t>2 000,00</w:t>
            </w:r>
          </w:p>
        </w:tc>
      </w:tr>
      <w:tr w:rsidR="0025302F" w:rsidRPr="0025302F" w14:paraId="675249EB" w14:textId="77777777" w:rsidTr="00FF1C69">
        <w:trPr>
          <w:trHeight w:val="330"/>
        </w:trPr>
        <w:tc>
          <w:tcPr>
            <w:tcW w:w="1702" w:type="dxa"/>
          </w:tcPr>
          <w:p w14:paraId="7D284DB9" w14:textId="77777777" w:rsidR="0025302F" w:rsidRPr="0025302F" w:rsidRDefault="0025302F" w:rsidP="00CD363C">
            <w:pPr>
              <w:pStyle w:val="TableParagraph"/>
              <w:ind w:right="407"/>
              <w:jc w:val="both"/>
              <w:rPr>
                <w:sz w:val="24"/>
                <w:szCs w:val="24"/>
              </w:rPr>
            </w:pPr>
            <w:r w:rsidRPr="0025302F">
              <w:rPr>
                <w:w w:val="95"/>
                <w:sz w:val="24"/>
                <w:szCs w:val="24"/>
              </w:rPr>
              <w:t>31.12.2023.</w:t>
            </w:r>
          </w:p>
        </w:tc>
        <w:tc>
          <w:tcPr>
            <w:tcW w:w="1986" w:type="dxa"/>
          </w:tcPr>
          <w:p w14:paraId="0E3AA766"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844" w:type="dxa"/>
          </w:tcPr>
          <w:p w14:paraId="7B34AAD3" w14:textId="77777777" w:rsidR="0025302F" w:rsidRPr="0025302F" w:rsidRDefault="0025302F" w:rsidP="00CD363C">
            <w:pPr>
              <w:pStyle w:val="TableParagraph"/>
              <w:ind w:right="407"/>
              <w:jc w:val="both"/>
              <w:rPr>
                <w:sz w:val="24"/>
                <w:szCs w:val="24"/>
              </w:rPr>
            </w:pPr>
            <w:r w:rsidRPr="0025302F">
              <w:rPr>
                <w:sz w:val="24"/>
                <w:szCs w:val="24"/>
              </w:rPr>
              <w:t>98,46</w:t>
            </w:r>
          </w:p>
        </w:tc>
        <w:tc>
          <w:tcPr>
            <w:tcW w:w="1983" w:type="dxa"/>
          </w:tcPr>
          <w:p w14:paraId="2E8A5864"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0C6DB1FF" w14:textId="77777777" w:rsidR="0025302F" w:rsidRPr="0025302F" w:rsidRDefault="0025302F" w:rsidP="00CD363C">
            <w:pPr>
              <w:pStyle w:val="TableParagraph"/>
              <w:ind w:right="407"/>
              <w:jc w:val="both"/>
              <w:rPr>
                <w:sz w:val="24"/>
                <w:szCs w:val="24"/>
              </w:rPr>
            </w:pPr>
            <w:r w:rsidRPr="0025302F">
              <w:rPr>
                <w:sz w:val="24"/>
                <w:szCs w:val="24"/>
              </w:rPr>
              <w:t>2098,46</w:t>
            </w:r>
          </w:p>
        </w:tc>
      </w:tr>
      <w:tr w:rsidR="0025302F" w:rsidRPr="0025302F" w14:paraId="6951CABC" w14:textId="77777777" w:rsidTr="00FF1C69">
        <w:trPr>
          <w:trHeight w:val="328"/>
        </w:trPr>
        <w:tc>
          <w:tcPr>
            <w:tcW w:w="1702" w:type="dxa"/>
          </w:tcPr>
          <w:p w14:paraId="5AEAA4BF" w14:textId="77777777" w:rsidR="0025302F" w:rsidRPr="0025302F" w:rsidRDefault="0025302F" w:rsidP="00CD363C">
            <w:pPr>
              <w:pStyle w:val="TableParagraph"/>
              <w:ind w:right="407"/>
              <w:jc w:val="both"/>
              <w:rPr>
                <w:sz w:val="24"/>
                <w:szCs w:val="24"/>
              </w:rPr>
            </w:pPr>
            <w:r w:rsidRPr="0025302F">
              <w:rPr>
                <w:w w:val="95"/>
                <w:sz w:val="24"/>
                <w:szCs w:val="24"/>
              </w:rPr>
              <w:t>02.01.2024.</w:t>
            </w:r>
          </w:p>
        </w:tc>
        <w:tc>
          <w:tcPr>
            <w:tcW w:w="1986" w:type="dxa"/>
          </w:tcPr>
          <w:p w14:paraId="76BF0E32" w14:textId="77777777" w:rsidR="0025302F" w:rsidRPr="0025302F" w:rsidRDefault="0025302F" w:rsidP="00CD363C">
            <w:pPr>
              <w:pStyle w:val="TableParagraph"/>
              <w:ind w:right="407"/>
              <w:jc w:val="both"/>
              <w:rPr>
                <w:sz w:val="24"/>
                <w:szCs w:val="24"/>
              </w:rPr>
            </w:pPr>
            <w:r w:rsidRPr="0025302F">
              <w:rPr>
                <w:sz w:val="24"/>
                <w:szCs w:val="24"/>
              </w:rPr>
              <w:t>2 098,46</w:t>
            </w:r>
          </w:p>
        </w:tc>
        <w:tc>
          <w:tcPr>
            <w:tcW w:w="1844" w:type="dxa"/>
          </w:tcPr>
          <w:p w14:paraId="1A909A10" w14:textId="77777777" w:rsidR="0025302F" w:rsidRPr="0025302F" w:rsidRDefault="0025302F" w:rsidP="00CD363C">
            <w:pPr>
              <w:pStyle w:val="TableParagraph"/>
              <w:ind w:right="407"/>
              <w:jc w:val="both"/>
              <w:rPr>
                <w:sz w:val="24"/>
                <w:szCs w:val="24"/>
              </w:rPr>
            </w:pPr>
            <w:r w:rsidRPr="0025302F">
              <w:rPr>
                <w:sz w:val="24"/>
                <w:szCs w:val="24"/>
              </w:rPr>
              <w:t>0,54</w:t>
            </w:r>
          </w:p>
        </w:tc>
        <w:tc>
          <w:tcPr>
            <w:tcW w:w="1983" w:type="dxa"/>
          </w:tcPr>
          <w:p w14:paraId="38732211" w14:textId="77777777" w:rsidR="0025302F" w:rsidRPr="0025302F" w:rsidRDefault="0025302F" w:rsidP="00CD363C">
            <w:pPr>
              <w:pStyle w:val="TableParagraph"/>
              <w:ind w:right="407"/>
              <w:jc w:val="both"/>
              <w:rPr>
                <w:sz w:val="24"/>
                <w:szCs w:val="24"/>
              </w:rPr>
            </w:pPr>
            <w:r w:rsidRPr="0025302F">
              <w:rPr>
                <w:sz w:val="24"/>
                <w:szCs w:val="24"/>
              </w:rPr>
              <w:t>2 099,00</w:t>
            </w:r>
          </w:p>
        </w:tc>
        <w:tc>
          <w:tcPr>
            <w:tcW w:w="1985" w:type="dxa"/>
          </w:tcPr>
          <w:p w14:paraId="33EEC03E" w14:textId="77777777" w:rsidR="0025302F" w:rsidRPr="0025302F" w:rsidRDefault="0025302F" w:rsidP="00CD363C">
            <w:pPr>
              <w:pStyle w:val="TableParagraph"/>
              <w:ind w:right="407"/>
              <w:jc w:val="both"/>
              <w:rPr>
                <w:sz w:val="24"/>
                <w:szCs w:val="24"/>
              </w:rPr>
            </w:pPr>
            <w:r w:rsidRPr="0025302F">
              <w:rPr>
                <w:sz w:val="24"/>
                <w:szCs w:val="24"/>
              </w:rPr>
              <w:t>0,00</w:t>
            </w:r>
          </w:p>
        </w:tc>
      </w:tr>
      <w:tr w:rsidR="0025302F" w:rsidRPr="0025302F" w14:paraId="0F672CF1" w14:textId="77777777" w:rsidTr="00FF1C69">
        <w:trPr>
          <w:trHeight w:val="330"/>
        </w:trPr>
        <w:tc>
          <w:tcPr>
            <w:tcW w:w="1702" w:type="dxa"/>
          </w:tcPr>
          <w:p w14:paraId="01DB81B1" w14:textId="77777777" w:rsidR="0025302F" w:rsidRPr="0025302F" w:rsidRDefault="0025302F" w:rsidP="00CD363C">
            <w:pPr>
              <w:pStyle w:val="TableParagraph"/>
              <w:ind w:right="407"/>
              <w:jc w:val="both"/>
              <w:rPr>
                <w:b/>
                <w:sz w:val="24"/>
                <w:szCs w:val="24"/>
              </w:rPr>
            </w:pPr>
            <w:r w:rsidRPr="0025302F">
              <w:rPr>
                <w:b/>
                <w:w w:val="95"/>
                <w:sz w:val="24"/>
                <w:szCs w:val="24"/>
              </w:rPr>
              <w:t>Kopā:</w:t>
            </w:r>
          </w:p>
        </w:tc>
        <w:tc>
          <w:tcPr>
            <w:tcW w:w="1986" w:type="dxa"/>
          </w:tcPr>
          <w:p w14:paraId="5D0B0C49" w14:textId="77777777" w:rsidR="0025302F" w:rsidRPr="0025302F" w:rsidRDefault="0025302F" w:rsidP="00CD363C">
            <w:pPr>
              <w:pStyle w:val="TableParagraph"/>
              <w:ind w:right="407"/>
              <w:jc w:val="both"/>
              <w:rPr>
                <w:b/>
                <w:sz w:val="24"/>
                <w:szCs w:val="24"/>
              </w:rPr>
            </w:pPr>
            <w:r w:rsidRPr="0025302F">
              <w:rPr>
                <w:b/>
                <w:w w:val="99"/>
                <w:sz w:val="24"/>
                <w:szCs w:val="24"/>
              </w:rPr>
              <w:t>-</w:t>
            </w:r>
          </w:p>
        </w:tc>
        <w:tc>
          <w:tcPr>
            <w:tcW w:w="1844" w:type="dxa"/>
          </w:tcPr>
          <w:p w14:paraId="0BE33414" w14:textId="77777777" w:rsidR="0025302F" w:rsidRPr="0025302F" w:rsidRDefault="0025302F" w:rsidP="00CD363C">
            <w:pPr>
              <w:pStyle w:val="TableParagraph"/>
              <w:ind w:right="407"/>
              <w:jc w:val="both"/>
              <w:rPr>
                <w:b/>
                <w:sz w:val="24"/>
                <w:szCs w:val="24"/>
              </w:rPr>
            </w:pPr>
            <w:r w:rsidRPr="0025302F">
              <w:rPr>
                <w:b/>
                <w:sz w:val="24"/>
                <w:szCs w:val="24"/>
              </w:rPr>
              <w:t>1 504,60</w:t>
            </w:r>
          </w:p>
        </w:tc>
        <w:tc>
          <w:tcPr>
            <w:tcW w:w="1983" w:type="dxa"/>
          </w:tcPr>
          <w:p w14:paraId="2651886F" w14:textId="77777777" w:rsidR="0025302F" w:rsidRPr="0025302F" w:rsidRDefault="0025302F" w:rsidP="00CD363C">
            <w:pPr>
              <w:pStyle w:val="TableParagraph"/>
              <w:ind w:right="407"/>
              <w:jc w:val="both"/>
              <w:rPr>
                <w:b/>
                <w:sz w:val="24"/>
                <w:szCs w:val="24"/>
              </w:rPr>
            </w:pPr>
            <w:r w:rsidRPr="0025302F">
              <w:rPr>
                <w:b/>
                <w:sz w:val="24"/>
                <w:szCs w:val="24"/>
              </w:rPr>
              <w:t>11 504,60</w:t>
            </w:r>
          </w:p>
        </w:tc>
        <w:tc>
          <w:tcPr>
            <w:tcW w:w="1985" w:type="dxa"/>
          </w:tcPr>
          <w:p w14:paraId="20EBC166" w14:textId="77777777" w:rsidR="0025302F" w:rsidRPr="0025302F" w:rsidRDefault="0025302F" w:rsidP="00CD363C">
            <w:pPr>
              <w:pStyle w:val="TableParagraph"/>
              <w:ind w:right="407"/>
              <w:jc w:val="both"/>
              <w:rPr>
                <w:b/>
                <w:sz w:val="24"/>
                <w:szCs w:val="24"/>
              </w:rPr>
            </w:pPr>
            <w:r w:rsidRPr="0025302F">
              <w:rPr>
                <w:b/>
                <w:w w:val="99"/>
                <w:sz w:val="24"/>
                <w:szCs w:val="24"/>
              </w:rPr>
              <w:t>-</w:t>
            </w:r>
          </w:p>
        </w:tc>
      </w:tr>
    </w:tbl>
    <w:p w14:paraId="0433C696" w14:textId="77777777" w:rsidR="0025302F" w:rsidRPr="0025302F" w:rsidRDefault="0025302F" w:rsidP="00CD363C">
      <w:pPr>
        <w:pStyle w:val="Pamatteksts"/>
        <w:ind w:right="407"/>
        <w:jc w:val="both"/>
        <w:rPr>
          <w:b/>
          <w:bCs/>
          <w:i/>
          <w:sz w:val="24"/>
          <w:szCs w:val="24"/>
        </w:rPr>
      </w:pPr>
      <w:r w:rsidRPr="0025302F">
        <w:rPr>
          <w:b/>
          <w:bCs/>
          <w:i/>
          <w:sz w:val="24"/>
          <w:szCs w:val="24"/>
        </w:rPr>
        <w:t>Grāmatojjumi:</w:t>
      </w:r>
    </w:p>
    <w:p w14:paraId="51562256" w14:textId="77777777" w:rsidR="0025302F" w:rsidRPr="0025302F" w:rsidRDefault="0025302F" w:rsidP="00CD363C">
      <w:pPr>
        <w:spacing w:after="0" w:line="240" w:lineRule="auto"/>
        <w:ind w:right="407"/>
        <w:jc w:val="both"/>
        <w:rPr>
          <w:rFonts w:ascii="Times New Roman" w:hAnsi="Times New Roman" w:cs="Times New Roman"/>
          <w:sz w:val="24"/>
          <w:szCs w:val="24"/>
        </w:rPr>
        <w:sectPr w:rsidR="0025302F" w:rsidRPr="0025302F">
          <w:pgSz w:w="11910" w:h="16840"/>
          <w:pgMar w:top="760" w:right="500" w:bottom="940" w:left="1080" w:header="0" w:footer="678" w:gutter="0"/>
          <w:cols w:space="720"/>
        </w:sectPr>
      </w:pPr>
    </w:p>
    <w:p w14:paraId="70701FC5" w14:textId="77777777" w:rsidR="0025302F" w:rsidRPr="0025302F" w:rsidRDefault="0025302F" w:rsidP="00CD363C">
      <w:pPr>
        <w:pStyle w:val="Pamatteksts"/>
        <w:ind w:right="407"/>
        <w:jc w:val="both"/>
        <w:rPr>
          <w:b/>
          <w:sz w:val="24"/>
          <w:szCs w:val="24"/>
        </w:rPr>
      </w:pPr>
    </w:p>
    <w:p w14:paraId="187FC34D" w14:textId="77777777" w:rsidR="0067061C" w:rsidRPr="0067061C" w:rsidRDefault="0067061C" w:rsidP="00CD363C">
      <w:pPr>
        <w:spacing w:after="0" w:line="240" w:lineRule="auto"/>
        <w:ind w:right="407"/>
        <w:jc w:val="both"/>
        <w:rPr>
          <w:rFonts w:ascii="Times New Roman" w:hAnsi="Times New Roman" w:cs="Times New Roman"/>
          <w:sz w:val="24"/>
          <w:szCs w:val="24"/>
        </w:rPr>
      </w:pPr>
    </w:p>
    <w:p w14:paraId="787428D3"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w:t>
      </w:r>
      <w:r w:rsidRPr="0067061C">
        <w:rPr>
          <w:rFonts w:ascii="Times New Roman" w:hAnsi="Times New Roman" w:cs="Times New Roman"/>
          <w:sz w:val="24"/>
          <w:szCs w:val="24"/>
        </w:rPr>
        <w:t xml:space="preserve"> Pamatojoties uz darījuma līgumu, darījuma dienā – 02.01.2019. – VK atzīst finanšu aktīvu 10 000,00 EUR apmērā, veicot sekojošu grāmatojumu:</w:t>
      </w:r>
    </w:p>
    <w:p w14:paraId="1B4F2E4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10 000,00 EUR</w:t>
      </w:r>
    </w:p>
    <w:p w14:paraId="47AF0494" w14:textId="77777777" w:rsidR="0025302F"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2600</w:t>
      </w:r>
      <w:r w:rsidRPr="0067061C">
        <w:rPr>
          <w:rFonts w:ascii="Times New Roman" w:hAnsi="Times New Roman" w:cs="Times New Roman"/>
          <w:sz w:val="24"/>
          <w:szCs w:val="24"/>
        </w:rPr>
        <w:tab/>
        <w:t>Naudas līdzekļi</w:t>
      </w:r>
      <w:r w:rsidRPr="0067061C">
        <w:rPr>
          <w:rFonts w:ascii="Times New Roman" w:hAnsi="Times New Roman" w:cs="Times New Roman"/>
          <w:sz w:val="24"/>
          <w:szCs w:val="24"/>
        </w:rPr>
        <w:tab/>
        <w:t>10 000,00 EUR</w:t>
      </w:r>
    </w:p>
    <w:p w14:paraId="204F70BE"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2)</w:t>
      </w:r>
      <w:r w:rsidRPr="0067061C">
        <w:rPr>
          <w:rFonts w:ascii="Times New Roman" w:hAnsi="Times New Roman" w:cs="Times New Roman"/>
          <w:sz w:val="24"/>
          <w:szCs w:val="24"/>
        </w:rPr>
        <w:t>2019. gada 31. decembrī aprēķina un iegrāmato uzkrātos procentu ieņēmumus par attiecīgo pārskata periodu 497,26 EUR apmērā (10 000,00 EUR x 5% x 363 dienas/365 dienas)4:</w:t>
      </w:r>
    </w:p>
    <w:p w14:paraId="22A4EDBC"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w:t>
      </w:r>
      <w:r w:rsidRPr="0067061C">
        <w:rPr>
          <w:rFonts w:ascii="Times New Roman" w:hAnsi="Times New Roman" w:cs="Times New Roman"/>
          <w:sz w:val="24"/>
          <w:szCs w:val="24"/>
        </w:rPr>
        <w:tab/>
        <w:t>uzkrātie</w:t>
      </w:r>
      <w:r w:rsidRPr="0067061C">
        <w:rPr>
          <w:rFonts w:ascii="Times New Roman" w:hAnsi="Times New Roman" w:cs="Times New Roman"/>
          <w:sz w:val="24"/>
          <w:szCs w:val="24"/>
        </w:rPr>
        <w:tab/>
        <w:t>ieņēmumi</w:t>
      </w:r>
      <w:r w:rsidRPr="0067061C">
        <w:rPr>
          <w:rFonts w:ascii="Times New Roman" w:hAnsi="Times New Roman" w:cs="Times New Roman"/>
          <w:sz w:val="24"/>
          <w:szCs w:val="24"/>
        </w:rPr>
        <w:tab/>
        <w:t>par aizdevumiem</w:t>
      </w:r>
      <w:r w:rsidRPr="0067061C">
        <w:rPr>
          <w:rFonts w:ascii="Times New Roman" w:hAnsi="Times New Roman" w:cs="Times New Roman"/>
          <w:sz w:val="24"/>
          <w:szCs w:val="24"/>
        </w:rPr>
        <w:tab/>
        <w:t>497,26 EUR</w:t>
      </w:r>
    </w:p>
    <w:p w14:paraId="2C410E6E"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497,26 EUR</w:t>
      </w:r>
    </w:p>
    <w:p w14:paraId="56D3503A"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3)</w:t>
      </w:r>
      <w:r w:rsidRPr="0067061C">
        <w:rPr>
          <w:rFonts w:ascii="Times New Roman" w:hAnsi="Times New Roman" w:cs="Times New Roman"/>
          <w:sz w:val="24"/>
          <w:szCs w:val="24"/>
        </w:rPr>
        <w:t xml:space="preserve">     2019. gada 31. decembrī nodala īstermiņa prasību daļu no ilgtermiņa daļas, veicot sekojošu grāmatojumu5:</w:t>
      </w:r>
    </w:p>
    <w:p w14:paraId="03B998BE"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02255212"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2 000,00 EUR</w:t>
      </w:r>
    </w:p>
    <w:p w14:paraId="6CCA33FC"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4)</w:t>
      </w:r>
      <w:r w:rsidRPr="0067061C">
        <w:rPr>
          <w:rFonts w:ascii="Times New Roman" w:hAnsi="Times New Roman" w:cs="Times New Roman"/>
          <w:sz w:val="24"/>
          <w:szCs w:val="24"/>
        </w:rPr>
        <w:t xml:space="preserve">     2020. gada 2. janvārī atzīst prasību par saņemamajiem procentu maksājumiem un procentu ieņēmumus par attiecīgo pārskata periodu 2,74 EUR (10 000,00 EUR x 5% x 2 dienas/365 dienas)6:</w:t>
      </w:r>
    </w:p>
    <w:p w14:paraId="2439344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500,00 EUR</w:t>
      </w:r>
    </w:p>
    <w:p w14:paraId="41973739"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 uzkrātie ieņēmumi par aizdevumiem</w:t>
      </w:r>
      <w:r w:rsidRPr="0067061C">
        <w:rPr>
          <w:rFonts w:ascii="Times New Roman" w:hAnsi="Times New Roman" w:cs="Times New Roman"/>
          <w:sz w:val="24"/>
          <w:szCs w:val="24"/>
        </w:rPr>
        <w:tab/>
        <w:t>497,26 EUR</w:t>
      </w:r>
    </w:p>
    <w:p w14:paraId="612E5EB8"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2,74 EUR</w:t>
      </w:r>
    </w:p>
    <w:p w14:paraId="4AF4B0F4" w14:textId="77777777" w:rsidR="00370E9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 xml:space="preserve"> </w:t>
      </w:r>
      <w:r>
        <w:rPr>
          <w:rFonts w:ascii="Times New Roman" w:hAnsi="Times New Roman" w:cs="Times New Roman"/>
          <w:sz w:val="24"/>
          <w:szCs w:val="24"/>
        </w:rPr>
        <w:t>5)</w:t>
      </w:r>
      <w:r w:rsidRPr="0067061C">
        <w:rPr>
          <w:rFonts w:ascii="Times New Roman" w:hAnsi="Times New Roman" w:cs="Times New Roman"/>
          <w:sz w:val="24"/>
          <w:szCs w:val="24"/>
        </w:rPr>
        <w:t xml:space="preserve">  Saņemot pamatsummas un procentu atmaksu par attiecīgo periodu (02.01.2019.- 02.01.2020.), VK </w:t>
      </w:r>
    </w:p>
    <w:p w14:paraId="28356100"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   </w:t>
      </w:r>
      <w:r w:rsidR="0067061C" w:rsidRPr="0067061C">
        <w:rPr>
          <w:rFonts w:ascii="Times New Roman" w:hAnsi="Times New Roman" w:cs="Times New Roman"/>
          <w:sz w:val="24"/>
          <w:szCs w:val="24"/>
        </w:rPr>
        <w:t>veic sekojošu grāmatojumu:</w:t>
      </w:r>
    </w:p>
    <w:p w14:paraId="22D7071B"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2600</w:t>
      </w:r>
      <w:r w:rsidRPr="0067061C">
        <w:rPr>
          <w:rFonts w:ascii="Times New Roman" w:hAnsi="Times New Roman" w:cs="Times New Roman"/>
          <w:sz w:val="24"/>
          <w:szCs w:val="24"/>
        </w:rPr>
        <w:tab/>
        <w:t>Naudas līdzekļi</w:t>
      </w:r>
      <w:r w:rsidRPr="0067061C">
        <w:rPr>
          <w:rFonts w:ascii="Times New Roman" w:hAnsi="Times New Roman" w:cs="Times New Roman"/>
          <w:sz w:val="24"/>
          <w:szCs w:val="24"/>
        </w:rPr>
        <w:tab/>
        <w:t>2 500,00 EUR</w:t>
      </w:r>
    </w:p>
    <w:p w14:paraId="2E3862F0"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500,00 EUR</w:t>
      </w:r>
    </w:p>
    <w:p w14:paraId="443859A5"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40D3DB38"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6)</w:t>
      </w:r>
      <w:r w:rsidRPr="0067061C">
        <w:rPr>
          <w:rFonts w:ascii="Times New Roman" w:hAnsi="Times New Roman" w:cs="Times New Roman"/>
          <w:sz w:val="24"/>
          <w:szCs w:val="24"/>
        </w:rPr>
        <w:t xml:space="preserve">     2020. gada 31. decembrī aprēķina un iegrāmato uzkrātos procentu ieņēmumus par attiecīgo pārskata periodu (8 000,00 EUR x 5,1% x 363 dienas/365 dienas):</w:t>
      </w:r>
    </w:p>
    <w:p w14:paraId="1A8DC9BD"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w:t>
      </w:r>
      <w:r w:rsidRPr="0067061C">
        <w:rPr>
          <w:rFonts w:ascii="Times New Roman" w:hAnsi="Times New Roman" w:cs="Times New Roman"/>
          <w:sz w:val="24"/>
          <w:szCs w:val="24"/>
        </w:rPr>
        <w:tab/>
        <w:t>uzkrātie</w:t>
      </w:r>
      <w:r w:rsidRPr="0067061C">
        <w:rPr>
          <w:rFonts w:ascii="Times New Roman" w:hAnsi="Times New Roman" w:cs="Times New Roman"/>
          <w:sz w:val="24"/>
          <w:szCs w:val="24"/>
        </w:rPr>
        <w:tab/>
        <w:t>ieņēmumi</w:t>
      </w:r>
      <w:r w:rsidRPr="0067061C">
        <w:rPr>
          <w:rFonts w:ascii="Times New Roman" w:hAnsi="Times New Roman" w:cs="Times New Roman"/>
          <w:sz w:val="24"/>
          <w:szCs w:val="24"/>
        </w:rPr>
        <w:tab/>
        <w:t>par aizdevumiem</w:t>
      </w:r>
      <w:r w:rsidRPr="0067061C">
        <w:rPr>
          <w:rFonts w:ascii="Times New Roman" w:hAnsi="Times New Roman" w:cs="Times New Roman"/>
          <w:sz w:val="24"/>
          <w:szCs w:val="24"/>
        </w:rPr>
        <w:tab/>
        <w:t>405,76 EUR</w:t>
      </w:r>
    </w:p>
    <w:p w14:paraId="4C811BB2"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405,76 EUR</w:t>
      </w:r>
    </w:p>
    <w:p w14:paraId="101052CF"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7)</w:t>
      </w:r>
      <w:r w:rsidRPr="0067061C">
        <w:rPr>
          <w:rFonts w:ascii="Times New Roman" w:hAnsi="Times New Roman" w:cs="Times New Roman"/>
          <w:sz w:val="24"/>
          <w:szCs w:val="24"/>
        </w:rPr>
        <w:t xml:space="preserve">     2020. gada 31. decembrī nodala īstermiņa prasību daļu no ilgtermiņa daļas, veicot sekojošu grāmatojumu:</w:t>
      </w:r>
    </w:p>
    <w:p w14:paraId="5D458C30"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50200818"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2 000,00 EUR</w:t>
      </w:r>
    </w:p>
    <w:p w14:paraId="77E367D1"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8) </w:t>
      </w:r>
      <w:r w:rsidRPr="0067061C">
        <w:rPr>
          <w:rFonts w:ascii="Times New Roman" w:hAnsi="Times New Roman" w:cs="Times New Roman"/>
          <w:sz w:val="24"/>
          <w:szCs w:val="24"/>
        </w:rPr>
        <w:t>2021. gada 2. janvārī atzīst prasību par saņemamajiem procentu maksājumiem:</w:t>
      </w:r>
    </w:p>
    <w:p w14:paraId="6A12BABA"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408,00 EUR</w:t>
      </w:r>
    </w:p>
    <w:p w14:paraId="6B9270DF"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 uzkrātie ieņēmumi par aizdevumiem</w:t>
      </w:r>
      <w:r w:rsidRPr="0067061C">
        <w:rPr>
          <w:rFonts w:ascii="Times New Roman" w:hAnsi="Times New Roman" w:cs="Times New Roman"/>
          <w:sz w:val="24"/>
          <w:szCs w:val="24"/>
        </w:rPr>
        <w:tab/>
        <w:t>405,76 EUR</w:t>
      </w:r>
    </w:p>
    <w:p w14:paraId="6C010C27"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2,24 EUR</w:t>
      </w:r>
    </w:p>
    <w:p w14:paraId="7F3C18CB" w14:textId="77777777" w:rsidR="00FF1C69" w:rsidRDefault="00FF1C69" w:rsidP="00CD363C">
      <w:pPr>
        <w:spacing w:after="0" w:line="240" w:lineRule="auto"/>
        <w:ind w:right="407"/>
        <w:jc w:val="both"/>
        <w:rPr>
          <w:rFonts w:ascii="Times New Roman" w:hAnsi="Times New Roman" w:cs="Times New Roman"/>
          <w:sz w:val="24"/>
          <w:szCs w:val="24"/>
        </w:rPr>
      </w:pPr>
    </w:p>
    <w:p w14:paraId="3F9021DA"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9)</w:t>
      </w:r>
      <w:r w:rsidR="0067061C" w:rsidRPr="0067061C">
        <w:rPr>
          <w:rFonts w:ascii="Times New Roman" w:hAnsi="Times New Roman" w:cs="Times New Roman"/>
          <w:sz w:val="24"/>
          <w:szCs w:val="24"/>
        </w:rPr>
        <w:t xml:space="preserve">     2021. gada 2. janvārī saņem pamatsummas un procentu atmaksu par attiecīgo periodu un veic sekojošus grāmatojumus:</w:t>
      </w:r>
    </w:p>
    <w:p w14:paraId="176F76A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2600</w:t>
      </w:r>
      <w:r w:rsidRPr="0067061C">
        <w:rPr>
          <w:rFonts w:ascii="Times New Roman" w:hAnsi="Times New Roman" w:cs="Times New Roman"/>
          <w:sz w:val="24"/>
          <w:szCs w:val="24"/>
        </w:rPr>
        <w:tab/>
        <w:t>Naudas līdzekļi</w:t>
      </w:r>
      <w:r w:rsidRPr="0067061C">
        <w:rPr>
          <w:rFonts w:ascii="Times New Roman" w:hAnsi="Times New Roman" w:cs="Times New Roman"/>
          <w:sz w:val="24"/>
          <w:szCs w:val="24"/>
        </w:rPr>
        <w:tab/>
        <w:t>2 408,00 EUR</w:t>
      </w:r>
    </w:p>
    <w:p w14:paraId="2A27789A"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408,00 EUR</w:t>
      </w:r>
    </w:p>
    <w:p w14:paraId="474A6B8F"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0D0D2EF5"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10)</w:t>
      </w:r>
      <w:r w:rsidR="0067061C" w:rsidRPr="0067061C">
        <w:rPr>
          <w:rFonts w:ascii="Times New Roman" w:hAnsi="Times New Roman" w:cs="Times New Roman"/>
          <w:sz w:val="24"/>
          <w:szCs w:val="24"/>
        </w:rPr>
        <w:t xml:space="preserve">  2021. gada 31. decembrī aprēķina un iegrāmato uzkrātos procentu ieņēmumus par attiecīgo pārskata periodu:</w:t>
      </w:r>
    </w:p>
    <w:p w14:paraId="4DCF36F5"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w:t>
      </w:r>
      <w:r w:rsidRPr="0067061C">
        <w:rPr>
          <w:rFonts w:ascii="Times New Roman" w:hAnsi="Times New Roman" w:cs="Times New Roman"/>
          <w:sz w:val="24"/>
          <w:szCs w:val="24"/>
        </w:rPr>
        <w:tab/>
        <w:t>uzkrātie</w:t>
      </w:r>
      <w:r w:rsidRPr="0067061C">
        <w:rPr>
          <w:rFonts w:ascii="Times New Roman" w:hAnsi="Times New Roman" w:cs="Times New Roman"/>
          <w:sz w:val="24"/>
          <w:szCs w:val="24"/>
        </w:rPr>
        <w:tab/>
        <w:t>ieņēmumi</w:t>
      </w:r>
      <w:r w:rsidRPr="0067061C">
        <w:rPr>
          <w:rFonts w:ascii="Times New Roman" w:hAnsi="Times New Roman" w:cs="Times New Roman"/>
          <w:sz w:val="24"/>
          <w:szCs w:val="24"/>
        </w:rPr>
        <w:tab/>
        <w:t>par aizdevumiem</w:t>
      </w:r>
      <w:r w:rsidRPr="0067061C">
        <w:rPr>
          <w:rFonts w:ascii="Times New Roman" w:hAnsi="Times New Roman" w:cs="Times New Roman"/>
          <w:sz w:val="24"/>
          <w:szCs w:val="24"/>
        </w:rPr>
        <w:tab/>
        <w:t>291,20 EUR</w:t>
      </w:r>
    </w:p>
    <w:p w14:paraId="217C398F"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291,20 EUR</w:t>
      </w:r>
    </w:p>
    <w:p w14:paraId="35B8F3A6"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11)</w:t>
      </w:r>
      <w:r w:rsidR="0067061C" w:rsidRPr="0067061C">
        <w:rPr>
          <w:rFonts w:ascii="Times New Roman" w:hAnsi="Times New Roman" w:cs="Times New Roman"/>
          <w:sz w:val="24"/>
          <w:szCs w:val="24"/>
        </w:rPr>
        <w:t xml:space="preserve">  2021. gada 31. decembrī nodala īstermiņa prasību daļu no ilgtermiņa daļas, veicot sekojošu grāmatojumu:</w:t>
      </w:r>
    </w:p>
    <w:p w14:paraId="1367F2D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15DBB2D1"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2 000,00 EUR</w:t>
      </w:r>
    </w:p>
    <w:p w14:paraId="2867C2CF"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w:t>
      </w:r>
      <w:r w:rsidR="00FF1C69">
        <w:rPr>
          <w:rFonts w:ascii="Times New Roman" w:hAnsi="Times New Roman" w:cs="Times New Roman"/>
          <w:sz w:val="24"/>
          <w:szCs w:val="24"/>
        </w:rPr>
        <w:t>2</w:t>
      </w:r>
      <w:r>
        <w:rPr>
          <w:rFonts w:ascii="Times New Roman" w:hAnsi="Times New Roman" w:cs="Times New Roman"/>
          <w:sz w:val="24"/>
          <w:szCs w:val="24"/>
        </w:rPr>
        <w:t xml:space="preserve">) </w:t>
      </w:r>
      <w:r w:rsidRPr="00370E9C">
        <w:rPr>
          <w:rFonts w:ascii="Times New Roman" w:hAnsi="Times New Roman" w:cs="Times New Roman"/>
          <w:sz w:val="24"/>
          <w:szCs w:val="24"/>
        </w:rPr>
        <w:t>2022. gada 2. janvārī atzīst prasību par saņemamajiem procentu maksājumiem:</w:t>
      </w:r>
    </w:p>
    <w:p w14:paraId="2FA95299" w14:textId="77777777" w:rsidR="00370E9C" w:rsidRPr="00370E9C" w:rsidRDefault="00370E9C" w:rsidP="00CD363C">
      <w:pPr>
        <w:spacing w:after="0" w:line="240" w:lineRule="auto"/>
        <w:ind w:right="407"/>
        <w:jc w:val="both"/>
        <w:rPr>
          <w:rFonts w:ascii="Times New Roman" w:hAnsi="Times New Roman" w:cs="Times New Roman"/>
          <w:sz w:val="24"/>
          <w:szCs w:val="24"/>
        </w:rPr>
      </w:pPr>
    </w:p>
    <w:p w14:paraId="0DD2716E"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292,80 EUR</w:t>
      </w:r>
    </w:p>
    <w:p w14:paraId="5D564520"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 uzkrātie ieņēmumi par aizdevumiem</w:t>
      </w:r>
      <w:r w:rsidRPr="00370E9C">
        <w:rPr>
          <w:rFonts w:ascii="Times New Roman" w:hAnsi="Times New Roman" w:cs="Times New Roman"/>
          <w:sz w:val="24"/>
          <w:szCs w:val="24"/>
        </w:rPr>
        <w:tab/>
        <w:t>291,20 EUR</w:t>
      </w:r>
    </w:p>
    <w:p w14:paraId="51A6D75B" w14:textId="77777777" w:rsidR="0067061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1,60 EUR</w:t>
      </w:r>
    </w:p>
    <w:p w14:paraId="08A0AC22" w14:textId="77777777" w:rsidR="0067061C" w:rsidRDefault="0067061C" w:rsidP="00CD363C">
      <w:pPr>
        <w:spacing w:after="0" w:line="240" w:lineRule="auto"/>
        <w:ind w:right="407"/>
        <w:jc w:val="both"/>
        <w:rPr>
          <w:rFonts w:ascii="Times New Roman" w:hAnsi="Times New Roman" w:cs="Times New Roman"/>
          <w:sz w:val="24"/>
          <w:szCs w:val="24"/>
        </w:rPr>
      </w:pPr>
    </w:p>
    <w:p w14:paraId="16F84150" w14:textId="77777777" w:rsidR="0067061C" w:rsidRDefault="0067061C" w:rsidP="00CD363C">
      <w:pPr>
        <w:spacing w:after="0" w:line="240" w:lineRule="auto"/>
        <w:ind w:right="407"/>
        <w:jc w:val="both"/>
        <w:rPr>
          <w:rFonts w:ascii="Times New Roman" w:hAnsi="Times New Roman" w:cs="Times New Roman"/>
          <w:sz w:val="24"/>
          <w:szCs w:val="24"/>
        </w:rPr>
      </w:pPr>
    </w:p>
    <w:p w14:paraId="4CEE4CF0" w14:textId="77777777" w:rsidR="0067061C" w:rsidRDefault="0067061C" w:rsidP="00CD363C">
      <w:pPr>
        <w:spacing w:after="0" w:line="240" w:lineRule="auto"/>
        <w:ind w:right="407"/>
        <w:jc w:val="both"/>
        <w:rPr>
          <w:rFonts w:ascii="Times New Roman" w:hAnsi="Times New Roman" w:cs="Times New Roman"/>
          <w:sz w:val="24"/>
          <w:szCs w:val="24"/>
        </w:rPr>
      </w:pPr>
    </w:p>
    <w:p w14:paraId="6D0A79D6" w14:textId="77777777" w:rsidR="00370E9C" w:rsidRDefault="00370E9C" w:rsidP="00CD363C">
      <w:pPr>
        <w:spacing w:after="0" w:line="240" w:lineRule="auto"/>
        <w:ind w:right="407"/>
        <w:jc w:val="both"/>
        <w:rPr>
          <w:rFonts w:ascii="Times New Roman" w:hAnsi="Times New Roman" w:cs="Times New Roman"/>
          <w:sz w:val="24"/>
          <w:szCs w:val="24"/>
        </w:rPr>
      </w:pPr>
    </w:p>
    <w:p w14:paraId="45F1011A" w14:textId="77777777" w:rsid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14:paraId="49C40DBF" w14:textId="77777777" w:rsidR="0067061C" w:rsidRPr="0067061C" w:rsidRDefault="0067061C" w:rsidP="00CD363C">
      <w:pPr>
        <w:spacing w:after="0" w:line="240" w:lineRule="auto"/>
        <w:ind w:right="407"/>
        <w:jc w:val="both"/>
        <w:rPr>
          <w:rFonts w:ascii="Times New Roman" w:hAnsi="Times New Roman" w:cs="Times New Roman"/>
        </w:rPr>
      </w:pPr>
      <w:r w:rsidRPr="0067061C">
        <w:rPr>
          <w:rFonts w:ascii="Times New Roman" w:hAnsi="Times New Roman" w:cs="Times New Roman"/>
        </w:rPr>
        <w:t>4 Valsts kase uzkrāto procentu grāmatojumus, kas aprēķināti un iegrāmatoti uz pārskata perioda beigām, nākamā pārskata perioda sākumā pirmajā datumā uzskaites sistēmā reversē, uz nākamā pārskata perioda beigām iegrāmato uzkrāto procentu summu no darījuma sākuma</w:t>
      </w:r>
    </w:p>
    <w:p w14:paraId="01504749" w14:textId="77777777" w:rsidR="0067061C" w:rsidRPr="0067061C" w:rsidRDefault="0067061C" w:rsidP="00CD363C">
      <w:pPr>
        <w:spacing w:after="0" w:line="240" w:lineRule="auto"/>
        <w:ind w:right="407"/>
        <w:jc w:val="both"/>
        <w:rPr>
          <w:rFonts w:ascii="Times New Roman" w:hAnsi="Times New Roman" w:cs="Times New Roman"/>
        </w:rPr>
      </w:pPr>
      <w:r w:rsidRPr="0067061C">
        <w:rPr>
          <w:rFonts w:ascii="Times New Roman" w:hAnsi="Times New Roman" w:cs="Times New Roman"/>
        </w:rPr>
        <w:t>5 Valsts kase ilgtermiņa darījuma īstermiņa daļas grāmatojumus, kas aprēķināti un iegrāmatoti uz pārskata perioda beigām, nākamā pārskata perioda sākumā pirmajā datumā uzskaites sistēmā reversē, uz nākamā pārskata perioda beigām iegrāmato ilgtermiņa darījuma īstermiņa daļas summu no darījuma sākuma</w:t>
      </w:r>
    </w:p>
    <w:p w14:paraId="7FCB6866" w14:textId="77777777" w:rsidR="0067061C" w:rsidRPr="0067061C" w:rsidRDefault="0067061C" w:rsidP="00CD363C">
      <w:pPr>
        <w:spacing w:after="0" w:line="240" w:lineRule="auto"/>
        <w:ind w:right="407"/>
        <w:jc w:val="both"/>
        <w:rPr>
          <w:rFonts w:ascii="Times New Roman" w:hAnsi="Times New Roman" w:cs="Times New Roman"/>
        </w:rPr>
        <w:sectPr w:rsidR="0067061C" w:rsidRPr="0067061C">
          <w:type w:val="continuous"/>
          <w:pgSz w:w="11910" w:h="16840"/>
          <w:pgMar w:top="840" w:right="500" w:bottom="740" w:left="1080" w:header="720" w:footer="720" w:gutter="0"/>
          <w:cols w:space="720"/>
        </w:sectPr>
      </w:pPr>
      <w:r w:rsidRPr="0067061C">
        <w:rPr>
          <w:rFonts w:ascii="Times New Roman" w:hAnsi="Times New Roman" w:cs="Times New Roman"/>
        </w:rPr>
        <w:t>6 Valsts kase, tā kā uzkrātie procentu maksājumi reversēti 01.01.20gg, tad grāmato Prasības par procentu un citiem</w:t>
      </w:r>
    </w:p>
    <w:p w14:paraId="397109B1"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13)</w:t>
      </w:r>
      <w:r w:rsidRPr="00370E9C">
        <w:rPr>
          <w:rFonts w:ascii="Times New Roman" w:hAnsi="Times New Roman" w:cs="Times New Roman"/>
          <w:sz w:val="24"/>
          <w:szCs w:val="24"/>
        </w:rPr>
        <w:t>2022. gada 2. janvārī saņem pamatsummas un procentu atmaksu par attiecīgo periodu un veic sekojošus grāmatojumus:</w:t>
      </w:r>
    </w:p>
    <w:p w14:paraId="408D9B40"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2600</w:t>
      </w:r>
      <w:r w:rsidRPr="00370E9C">
        <w:rPr>
          <w:rFonts w:ascii="Times New Roman" w:hAnsi="Times New Roman" w:cs="Times New Roman"/>
          <w:sz w:val="24"/>
          <w:szCs w:val="24"/>
        </w:rPr>
        <w:tab/>
        <w:t>Naudas līdzekļi</w:t>
      </w:r>
      <w:r w:rsidRPr="00370E9C">
        <w:rPr>
          <w:rFonts w:ascii="Times New Roman" w:hAnsi="Times New Roman" w:cs="Times New Roman"/>
          <w:sz w:val="24"/>
          <w:szCs w:val="24"/>
        </w:rPr>
        <w:tab/>
        <w:t>2 292,80 EUR</w:t>
      </w:r>
    </w:p>
    <w:p w14:paraId="1389B8D3"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292,80 EUR</w:t>
      </w:r>
    </w:p>
    <w:p w14:paraId="25843093"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5B483A89"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14)</w:t>
      </w:r>
      <w:r w:rsidRPr="00370E9C">
        <w:rPr>
          <w:rFonts w:ascii="Times New Roman" w:hAnsi="Times New Roman" w:cs="Times New Roman"/>
          <w:sz w:val="24"/>
          <w:szCs w:val="24"/>
        </w:rPr>
        <w:t xml:space="preserve">  2022. gada 31. decembrī aprēķina un iegrāmato uzkrāto procentu ieņēmumus par attiecīgo pārskata periodu:</w:t>
      </w:r>
    </w:p>
    <w:p w14:paraId="7CFA906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w:t>
      </w:r>
      <w:r w:rsidRPr="00370E9C">
        <w:rPr>
          <w:rFonts w:ascii="Times New Roman" w:hAnsi="Times New Roman" w:cs="Times New Roman"/>
          <w:sz w:val="24"/>
          <w:szCs w:val="24"/>
        </w:rPr>
        <w:tab/>
        <w:t>uzkrātie</w:t>
      </w:r>
      <w:r w:rsidRPr="00370E9C">
        <w:rPr>
          <w:rFonts w:ascii="Times New Roman" w:hAnsi="Times New Roman" w:cs="Times New Roman"/>
          <w:sz w:val="24"/>
          <w:szCs w:val="24"/>
        </w:rPr>
        <w:tab/>
        <w:t>ieņēmumi</w:t>
      </w:r>
      <w:r w:rsidRPr="00370E9C">
        <w:rPr>
          <w:rFonts w:ascii="Times New Roman" w:hAnsi="Times New Roman" w:cs="Times New Roman"/>
          <w:sz w:val="24"/>
          <w:szCs w:val="24"/>
        </w:rPr>
        <w:tab/>
        <w:t>par aizdevumiem</w:t>
      </w:r>
      <w:r w:rsidRPr="00370E9C">
        <w:rPr>
          <w:rFonts w:ascii="Times New Roman" w:hAnsi="Times New Roman" w:cs="Times New Roman"/>
          <w:sz w:val="24"/>
          <w:szCs w:val="24"/>
        </w:rPr>
        <w:tab/>
        <w:t>203,68 EUR</w:t>
      </w:r>
    </w:p>
    <w:p w14:paraId="3381C7AF"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203,68 EUR</w:t>
      </w:r>
    </w:p>
    <w:p w14:paraId="14D65487"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15)</w:t>
      </w:r>
      <w:r w:rsidRPr="00370E9C">
        <w:rPr>
          <w:rFonts w:ascii="Times New Roman" w:hAnsi="Times New Roman" w:cs="Times New Roman"/>
          <w:sz w:val="24"/>
          <w:szCs w:val="24"/>
        </w:rPr>
        <w:t xml:space="preserve">  2022. gada 31. decembrī nodala īstermiņa prasību daļu no ilgtermiņa daļas, veicot sekojošu grāmatojumu:</w:t>
      </w:r>
    </w:p>
    <w:p w14:paraId="7D756B3F"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1CA05689"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1339</w:t>
      </w:r>
      <w:r w:rsidRPr="00370E9C">
        <w:rPr>
          <w:rFonts w:ascii="Times New Roman" w:hAnsi="Times New Roman" w:cs="Times New Roman"/>
          <w:sz w:val="24"/>
          <w:szCs w:val="24"/>
        </w:rPr>
        <w:tab/>
        <w:t>Pārējie ilgtermiņa aizdevumi</w:t>
      </w:r>
      <w:r w:rsidRPr="00370E9C">
        <w:rPr>
          <w:rFonts w:ascii="Times New Roman" w:hAnsi="Times New Roman" w:cs="Times New Roman"/>
          <w:sz w:val="24"/>
          <w:szCs w:val="24"/>
        </w:rPr>
        <w:tab/>
        <w:t>2 000,00 EUR</w:t>
      </w:r>
    </w:p>
    <w:p w14:paraId="4E2488FB"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16) </w:t>
      </w:r>
      <w:r w:rsidRPr="00370E9C">
        <w:rPr>
          <w:rFonts w:ascii="Times New Roman" w:hAnsi="Times New Roman" w:cs="Times New Roman"/>
          <w:sz w:val="24"/>
          <w:szCs w:val="24"/>
        </w:rPr>
        <w:t>2023. gada 2. janvārī atzīst prasību par saņemamajiem procentu maksājumiem:</w:t>
      </w:r>
    </w:p>
    <w:p w14:paraId="6AA7DC66"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204,80 EUR</w:t>
      </w:r>
    </w:p>
    <w:p w14:paraId="44BF1F6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 uzkrātie ieņēmumi par aizdevumiem</w:t>
      </w:r>
      <w:r w:rsidRPr="00370E9C">
        <w:rPr>
          <w:rFonts w:ascii="Times New Roman" w:hAnsi="Times New Roman" w:cs="Times New Roman"/>
          <w:sz w:val="24"/>
          <w:szCs w:val="24"/>
        </w:rPr>
        <w:tab/>
        <w:t>203,68 EUR</w:t>
      </w:r>
    </w:p>
    <w:p w14:paraId="73239C69" w14:textId="77777777" w:rsidR="003A6579" w:rsidRPr="00C539C5"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1,12 EUR</w:t>
      </w:r>
    </w:p>
    <w:p w14:paraId="38344F9F"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17) </w:t>
      </w:r>
      <w:r w:rsidRPr="00370E9C">
        <w:rPr>
          <w:rFonts w:ascii="Times New Roman" w:hAnsi="Times New Roman" w:cs="Times New Roman"/>
          <w:sz w:val="24"/>
          <w:szCs w:val="24"/>
        </w:rPr>
        <w:t>2023. gada 2. janvārī saņem pamatsummas un procentu atmaksu par attiecīgo periodu un veic sekojošus grāmatojumus:</w:t>
      </w:r>
    </w:p>
    <w:p w14:paraId="49DF5AC2"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2600</w:t>
      </w:r>
      <w:r w:rsidRPr="00370E9C">
        <w:rPr>
          <w:rFonts w:ascii="Times New Roman" w:hAnsi="Times New Roman" w:cs="Times New Roman"/>
          <w:sz w:val="24"/>
          <w:szCs w:val="24"/>
        </w:rPr>
        <w:tab/>
        <w:t>Naudas līdzekļi</w:t>
      </w:r>
      <w:r w:rsidRPr="00370E9C">
        <w:rPr>
          <w:rFonts w:ascii="Times New Roman" w:hAnsi="Times New Roman" w:cs="Times New Roman"/>
          <w:sz w:val="24"/>
          <w:szCs w:val="24"/>
        </w:rPr>
        <w:tab/>
        <w:t>2 204,80 EUR</w:t>
      </w:r>
    </w:p>
    <w:p w14:paraId="18A98FB5"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204,80 EUR</w:t>
      </w:r>
    </w:p>
    <w:p w14:paraId="3BFAD45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20AFFECB"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18) </w:t>
      </w:r>
      <w:r w:rsidRPr="00370E9C">
        <w:rPr>
          <w:rFonts w:ascii="Times New Roman" w:hAnsi="Times New Roman" w:cs="Times New Roman"/>
          <w:sz w:val="24"/>
          <w:szCs w:val="24"/>
        </w:rPr>
        <w:t>2023. gada 31. decembrī aprēķina un iegrāmato uzkrāto procentu maksājumu:</w:t>
      </w:r>
    </w:p>
    <w:p w14:paraId="1ACE83A5"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w:t>
      </w:r>
      <w:r w:rsidRPr="00370E9C">
        <w:rPr>
          <w:rFonts w:ascii="Times New Roman" w:hAnsi="Times New Roman" w:cs="Times New Roman"/>
          <w:sz w:val="24"/>
          <w:szCs w:val="24"/>
        </w:rPr>
        <w:tab/>
        <w:t>uzkrātie</w:t>
      </w:r>
      <w:r w:rsidRPr="00370E9C">
        <w:rPr>
          <w:rFonts w:ascii="Times New Roman" w:hAnsi="Times New Roman" w:cs="Times New Roman"/>
          <w:sz w:val="24"/>
          <w:szCs w:val="24"/>
        </w:rPr>
        <w:tab/>
        <w:t>ieņēmumi</w:t>
      </w:r>
      <w:r w:rsidRPr="00370E9C">
        <w:rPr>
          <w:rFonts w:ascii="Times New Roman" w:hAnsi="Times New Roman" w:cs="Times New Roman"/>
          <w:sz w:val="24"/>
          <w:szCs w:val="24"/>
        </w:rPr>
        <w:tab/>
        <w:t>par aizdevumiem</w:t>
      </w:r>
      <w:r w:rsidRPr="00370E9C">
        <w:rPr>
          <w:rFonts w:ascii="Times New Roman" w:hAnsi="Times New Roman" w:cs="Times New Roman"/>
          <w:sz w:val="24"/>
          <w:szCs w:val="24"/>
        </w:rPr>
        <w:tab/>
        <w:t>98,46 EUR</w:t>
      </w:r>
    </w:p>
    <w:p w14:paraId="7F9D18DE"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98,46 EUR</w:t>
      </w:r>
    </w:p>
    <w:p w14:paraId="48D00B3D"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19) </w:t>
      </w:r>
      <w:r w:rsidRPr="00370E9C">
        <w:rPr>
          <w:rFonts w:ascii="Times New Roman" w:hAnsi="Times New Roman" w:cs="Times New Roman"/>
          <w:sz w:val="24"/>
          <w:szCs w:val="24"/>
        </w:rPr>
        <w:t>2023. gada 31. decembrī nodala īstermiņa prasību daļu no ilgtermiņa daļas, veicot sekojošu grāmatojumu:</w:t>
      </w:r>
    </w:p>
    <w:p w14:paraId="704BF01C"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2C4750EB"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1339</w:t>
      </w:r>
      <w:r w:rsidRPr="00370E9C">
        <w:rPr>
          <w:rFonts w:ascii="Times New Roman" w:hAnsi="Times New Roman" w:cs="Times New Roman"/>
          <w:sz w:val="24"/>
          <w:szCs w:val="24"/>
        </w:rPr>
        <w:tab/>
        <w:t>Pārējie ilgtermiņa aizdevumi</w:t>
      </w:r>
      <w:r w:rsidRPr="00370E9C">
        <w:rPr>
          <w:rFonts w:ascii="Times New Roman" w:hAnsi="Times New Roman" w:cs="Times New Roman"/>
          <w:sz w:val="24"/>
          <w:szCs w:val="24"/>
        </w:rPr>
        <w:tab/>
        <w:t>2 000,00 EUR</w:t>
      </w:r>
    </w:p>
    <w:p w14:paraId="46F80CD4" w14:textId="77777777" w:rsidR="00370E9C" w:rsidRPr="00370E9C" w:rsidRDefault="00FF1C69"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2</w:t>
      </w:r>
      <w:r w:rsidR="00370E9C">
        <w:rPr>
          <w:rFonts w:ascii="Times New Roman" w:hAnsi="Times New Roman" w:cs="Times New Roman"/>
          <w:sz w:val="24"/>
          <w:szCs w:val="24"/>
        </w:rPr>
        <w:t xml:space="preserve">0)  </w:t>
      </w:r>
      <w:r w:rsidR="00370E9C" w:rsidRPr="00370E9C">
        <w:rPr>
          <w:rFonts w:ascii="Times New Roman" w:hAnsi="Times New Roman" w:cs="Times New Roman"/>
          <w:sz w:val="24"/>
          <w:szCs w:val="24"/>
        </w:rPr>
        <w:t>2024. gada 2. janvārī atzīst prasību par saņemamajiem procentu maksājumiem:</w:t>
      </w:r>
    </w:p>
    <w:p w14:paraId="35110977"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99,00 EUR</w:t>
      </w:r>
    </w:p>
    <w:p w14:paraId="69A4FC02"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 uzkrātie ieņēmumi par aizdevumiem</w:t>
      </w:r>
      <w:r w:rsidRPr="00370E9C">
        <w:rPr>
          <w:rFonts w:ascii="Times New Roman" w:hAnsi="Times New Roman" w:cs="Times New Roman"/>
          <w:sz w:val="24"/>
          <w:szCs w:val="24"/>
        </w:rPr>
        <w:tab/>
        <w:t>98,46 EUR</w:t>
      </w:r>
    </w:p>
    <w:p w14:paraId="7964DA80"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0,54 EUR</w:t>
      </w:r>
    </w:p>
    <w:p w14:paraId="2D1F516B"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 xml:space="preserve"> </w:t>
      </w:r>
      <w:r>
        <w:rPr>
          <w:rFonts w:ascii="Times New Roman" w:hAnsi="Times New Roman" w:cs="Times New Roman"/>
          <w:sz w:val="24"/>
          <w:szCs w:val="24"/>
        </w:rPr>
        <w:t>21)</w:t>
      </w:r>
      <w:r w:rsidRPr="00370E9C">
        <w:rPr>
          <w:rFonts w:ascii="Times New Roman" w:hAnsi="Times New Roman" w:cs="Times New Roman"/>
          <w:sz w:val="24"/>
          <w:szCs w:val="24"/>
        </w:rPr>
        <w:t xml:space="preserve"> 2024. gada 2. janvārī saņem galīgo pamatsummas un procentu atmaksu par attiecīgo periodu un veic sekojošus grāmatojumus:</w:t>
      </w:r>
    </w:p>
    <w:p w14:paraId="25834586"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2600</w:t>
      </w:r>
      <w:r w:rsidRPr="00370E9C">
        <w:rPr>
          <w:rFonts w:ascii="Times New Roman" w:hAnsi="Times New Roman" w:cs="Times New Roman"/>
          <w:sz w:val="24"/>
          <w:szCs w:val="24"/>
        </w:rPr>
        <w:tab/>
        <w:t>Naudas līdzekļi</w:t>
      </w:r>
      <w:r w:rsidRPr="00370E9C">
        <w:rPr>
          <w:rFonts w:ascii="Times New Roman" w:hAnsi="Times New Roman" w:cs="Times New Roman"/>
          <w:sz w:val="24"/>
          <w:szCs w:val="24"/>
        </w:rPr>
        <w:tab/>
        <w:t>2 099,00 EUR</w:t>
      </w:r>
    </w:p>
    <w:p w14:paraId="380EDC6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99,00 EUR</w:t>
      </w:r>
    </w:p>
    <w:p w14:paraId="2D293FA5" w14:textId="77777777" w:rsidR="003A6579" w:rsidRPr="00957029"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227B5E95" w14:textId="77777777" w:rsidR="00370E9C" w:rsidRDefault="00370E9C" w:rsidP="00CD363C">
      <w:pPr>
        <w:pStyle w:val="Virsraksts4"/>
        <w:numPr>
          <w:ilvl w:val="2"/>
          <w:numId w:val="57"/>
        </w:numPr>
        <w:tabs>
          <w:tab w:val="left" w:pos="879"/>
        </w:tabs>
        <w:spacing w:before="0"/>
        <w:ind w:right="407"/>
        <w:jc w:val="both"/>
      </w:pPr>
      <w:r>
        <w:rPr>
          <w:color w:val="002069"/>
        </w:rPr>
        <w:t>Piemērs - finanšu saistību amortizētās vērtības noteikšana un uzskaite, piemērojot līgumā noteikto procentu likmi (aizņēmums)</w:t>
      </w:r>
    </w:p>
    <w:p w14:paraId="71E83219" w14:textId="77777777" w:rsidR="00370E9C" w:rsidRDefault="00FF1C69" w:rsidP="00CD363C">
      <w:pPr>
        <w:pStyle w:val="Pamatteksts"/>
        <w:ind w:right="407"/>
        <w:jc w:val="both"/>
      </w:pPr>
      <w:r>
        <w:t xml:space="preserve">877. </w:t>
      </w:r>
      <w:r w:rsidR="00370E9C">
        <w:t>2019. gada 2. janvārī pašvaldība noslēdz līgumu par aizņēmuma saņemšanu no Valsts kases 10 000,00 EUR vērtībā ar termiņu 5 gadi. Saskaņā ar normatīvo aktu prasībām aizņēmumu uzskaita tā amortizētajā vērtībā, piemērojot līgumā noteikto procentu likmi, pieņemot, ka līgumā noteiktā procentu likme ir vienāda ar tirgus likmi. Līgums paredz mainīgu procentu likmi 8.tabulā noteiktajā kārtībā:</w:t>
      </w:r>
    </w:p>
    <w:p w14:paraId="73D6DD38" w14:textId="77777777" w:rsidR="00370E9C" w:rsidRPr="00370E9C" w:rsidRDefault="00370E9C" w:rsidP="00CD363C">
      <w:pPr>
        <w:widowControl w:val="0"/>
        <w:tabs>
          <w:tab w:val="left" w:pos="6761"/>
        </w:tabs>
        <w:autoSpaceDE w:val="0"/>
        <w:autoSpaceDN w:val="0"/>
        <w:spacing w:after="0" w:line="240" w:lineRule="auto"/>
        <w:ind w:left="186" w:right="407"/>
        <w:jc w:val="both"/>
        <w:rPr>
          <w:i/>
          <w:sz w:val="20"/>
        </w:rPr>
      </w:pPr>
      <w:r>
        <w:rPr>
          <w:i/>
          <w:sz w:val="20"/>
        </w:rPr>
        <w:t>8.</w:t>
      </w:r>
      <w:r w:rsidRPr="00370E9C">
        <w:rPr>
          <w:i/>
          <w:sz w:val="20"/>
        </w:rPr>
        <w:t>tabula. Līgumā noteiktā procentu</w:t>
      </w:r>
      <w:r w:rsidRPr="00370E9C">
        <w:rPr>
          <w:i/>
          <w:spacing w:val="-5"/>
          <w:sz w:val="20"/>
        </w:rPr>
        <w:t xml:space="preserve"> </w:t>
      </w:r>
      <w:r w:rsidRPr="00370E9C">
        <w:rPr>
          <w:i/>
          <w:sz w:val="20"/>
        </w:rPr>
        <w:t>likme</w:t>
      </w: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27"/>
        <w:gridCol w:w="1418"/>
        <w:gridCol w:w="1418"/>
        <w:gridCol w:w="1557"/>
        <w:gridCol w:w="1559"/>
        <w:gridCol w:w="1418"/>
      </w:tblGrid>
      <w:tr w:rsidR="00370E9C" w14:paraId="7A0943E1" w14:textId="77777777" w:rsidTr="00FF1C69">
        <w:trPr>
          <w:trHeight w:val="230"/>
        </w:trPr>
        <w:tc>
          <w:tcPr>
            <w:tcW w:w="2127" w:type="dxa"/>
            <w:vMerge w:val="restart"/>
            <w:shd w:val="clear" w:color="auto" w:fill="F1F1F1"/>
          </w:tcPr>
          <w:p w14:paraId="14F19C2A" w14:textId="77777777" w:rsidR="00370E9C" w:rsidRDefault="00370E9C" w:rsidP="00CD363C">
            <w:pPr>
              <w:pStyle w:val="TableParagraph"/>
              <w:ind w:right="407"/>
              <w:jc w:val="both"/>
            </w:pPr>
          </w:p>
        </w:tc>
        <w:tc>
          <w:tcPr>
            <w:tcW w:w="1418" w:type="dxa"/>
            <w:shd w:val="clear" w:color="auto" w:fill="F1F1F1"/>
          </w:tcPr>
          <w:p w14:paraId="1400C39D" w14:textId="77777777" w:rsidR="00370E9C" w:rsidRDefault="00370E9C" w:rsidP="00CD363C">
            <w:pPr>
              <w:pStyle w:val="TableParagraph"/>
              <w:ind w:left="410" w:right="407"/>
              <w:jc w:val="both"/>
              <w:rPr>
                <w:b/>
                <w:sz w:val="20"/>
              </w:rPr>
            </w:pPr>
            <w:r>
              <w:rPr>
                <w:b/>
                <w:sz w:val="20"/>
              </w:rPr>
              <w:t>1.gads</w:t>
            </w:r>
          </w:p>
        </w:tc>
        <w:tc>
          <w:tcPr>
            <w:tcW w:w="1418" w:type="dxa"/>
            <w:shd w:val="clear" w:color="auto" w:fill="F1F1F1"/>
          </w:tcPr>
          <w:p w14:paraId="7C5D1507" w14:textId="77777777" w:rsidR="00370E9C" w:rsidRDefault="00370E9C" w:rsidP="00CD363C">
            <w:pPr>
              <w:pStyle w:val="TableParagraph"/>
              <w:ind w:left="408" w:right="407"/>
              <w:jc w:val="both"/>
              <w:rPr>
                <w:b/>
                <w:sz w:val="20"/>
              </w:rPr>
            </w:pPr>
            <w:r>
              <w:rPr>
                <w:b/>
                <w:sz w:val="20"/>
              </w:rPr>
              <w:t>2.gads</w:t>
            </w:r>
          </w:p>
        </w:tc>
        <w:tc>
          <w:tcPr>
            <w:tcW w:w="1557" w:type="dxa"/>
            <w:shd w:val="clear" w:color="auto" w:fill="F1F1F1"/>
          </w:tcPr>
          <w:p w14:paraId="19FCBA30" w14:textId="77777777" w:rsidR="00370E9C" w:rsidRDefault="00370E9C" w:rsidP="00CD363C">
            <w:pPr>
              <w:pStyle w:val="TableParagraph"/>
              <w:ind w:left="478" w:right="407"/>
              <w:jc w:val="both"/>
              <w:rPr>
                <w:b/>
                <w:sz w:val="20"/>
              </w:rPr>
            </w:pPr>
            <w:r>
              <w:rPr>
                <w:b/>
                <w:sz w:val="20"/>
              </w:rPr>
              <w:t>3.gads</w:t>
            </w:r>
          </w:p>
        </w:tc>
        <w:tc>
          <w:tcPr>
            <w:tcW w:w="1559" w:type="dxa"/>
            <w:shd w:val="clear" w:color="auto" w:fill="F1F1F1"/>
          </w:tcPr>
          <w:p w14:paraId="0F7F74AB" w14:textId="77777777" w:rsidR="00370E9C" w:rsidRDefault="00370E9C" w:rsidP="00CD363C">
            <w:pPr>
              <w:pStyle w:val="TableParagraph"/>
              <w:ind w:left="482" w:right="407"/>
              <w:jc w:val="both"/>
              <w:rPr>
                <w:b/>
                <w:sz w:val="20"/>
              </w:rPr>
            </w:pPr>
            <w:r>
              <w:rPr>
                <w:b/>
                <w:sz w:val="20"/>
              </w:rPr>
              <w:t>4.gads</w:t>
            </w:r>
          </w:p>
        </w:tc>
        <w:tc>
          <w:tcPr>
            <w:tcW w:w="1418" w:type="dxa"/>
            <w:shd w:val="clear" w:color="auto" w:fill="F1F1F1"/>
          </w:tcPr>
          <w:p w14:paraId="27AB8490" w14:textId="77777777" w:rsidR="00370E9C" w:rsidRDefault="00370E9C" w:rsidP="00CD363C">
            <w:pPr>
              <w:pStyle w:val="TableParagraph"/>
              <w:ind w:left="411" w:right="407"/>
              <w:jc w:val="both"/>
              <w:rPr>
                <w:b/>
                <w:sz w:val="20"/>
              </w:rPr>
            </w:pPr>
            <w:r>
              <w:rPr>
                <w:b/>
                <w:sz w:val="20"/>
              </w:rPr>
              <w:t>5.gads</w:t>
            </w:r>
          </w:p>
        </w:tc>
      </w:tr>
      <w:tr w:rsidR="00370E9C" w14:paraId="308EE47C" w14:textId="77777777" w:rsidTr="00FF1C69">
        <w:trPr>
          <w:trHeight w:val="414"/>
        </w:trPr>
        <w:tc>
          <w:tcPr>
            <w:tcW w:w="2127" w:type="dxa"/>
            <w:vMerge/>
            <w:tcBorders>
              <w:top w:val="nil"/>
            </w:tcBorders>
            <w:shd w:val="clear" w:color="auto" w:fill="F1F1F1"/>
          </w:tcPr>
          <w:p w14:paraId="507DF816" w14:textId="77777777" w:rsidR="00370E9C" w:rsidRDefault="00370E9C" w:rsidP="00CD363C">
            <w:pPr>
              <w:spacing w:after="0" w:line="240" w:lineRule="auto"/>
              <w:ind w:right="407"/>
              <w:jc w:val="both"/>
              <w:rPr>
                <w:sz w:val="2"/>
                <w:szCs w:val="2"/>
              </w:rPr>
            </w:pPr>
          </w:p>
        </w:tc>
        <w:tc>
          <w:tcPr>
            <w:tcW w:w="1418" w:type="dxa"/>
            <w:shd w:val="clear" w:color="auto" w:fill="F1F1F1"/>
          </w:tcPr>
          <w:p w14:paraId="0BA34CD2" w14:textId="77777777" w:rsidR="00370E9C" w:rsidRDefault="00370E9C" w:rsidP="00CD363C">
            <w:pPr>
              <w:pStyle w:val="TableParagraph"/>
              <w:ind w:left="203" w:right="407"/>
              <w:jc w:val="both"/>
              <w:rPr>
                <w:b/>
                <w:sz w:val="20"/>
              </w:rPr>
            </w:pPr>
            <w:r>
              <w:rPr>
                <w:b/>
                <w:sz w:val="20"/>
              </w:rPr>
              <w:t>31.12.2019.</w:t>
            </w:r>
          </w:p>
        </w:tc>
        <w:tc>
          <w:tcPr>
            <w:tcW w:w="1418" w:type="dxa"/>
            <w:shd w:val="clear" w:color="auto" w:fill="F1F1F1"/>
          </w:tcPr>
          <w:p w14:paraId="12C6CC30" w14:textId="77777777" w:rsidR="00370E9C" w:rsidRDefault="00370E9C" w:rsidP="00CD363C">
            <w:pPr>
              <w:pStyle w:val="TableParagraph"/>
              <w:ind w:left="201" w:right="407"/>
              <w:jc w:val="both"/>
              <w:rPr>
                <w:b/>
                <w:sz w:val="20"/>
              </w:rPr>
            </w:pPr>
            <w:r>
              <w:rPr>
                <w:b/>
                <w:sz w:val="20"/>
              </w:rPr>
              <w:t>31.12.2020.</w:t>
            </w:r>
          </w:p>
        </w:tc>
        <w:tc>
          <w:tcPr>
            <w:tcW w:w="1557" w:type="dxa"/>
            <w:shd w:val="clear" w:color="auto" w:fill="F1F1F1"/>
          </w:tcPr>
          <w:p w14:paraId="6F94143E" w14:textId="77777777" w:rsidR="00370E9C" w:rsidRDefault="00370E9C" w:rsidP="00CD363C">
            <w:pPr>
              <w:pStyle w:val="TableParagraph"/>
              <w:ind w:left="274" w:right="407"/>
              <w:jc w:val="both"/>
              <w:rPr>
                <w:b/>
                <w:sz w:val="20"/>
              </w:rPr>
            </w:pPr>
            <w:r>
              <w:rPr>
                <w:b/>
                <w:sz w:val="20"/>
              </w:rPr>
              <w:t>31.12.2021.</w:t>
            </w:r>
          </w:p>
        </w:tc>
        <w:tc>
          <w:tcPr>
            <w:tcW w:w="1559" w:type="dxa"/>
            <w:shd w:val="clear" w:color="auto" w:fill="F1F1F1"/>
          </w:tcPr>
          <w:p w14:paraId="1ED98151" w14:textId="77777777" w:rsidR="00370E9C" w:rsidRDefault="00370E9C" w:rsidP="00CD363C">
            <w:pPr>
              <w:pStyle w:val="TableParagraph"/>
              <w:ind w:left="278" w:right="407"/>
              <w:jc w:val="both"/>
              <w:rPr>
                <w:b/>
                <w:sz w:val="20"/>
              </w:rPr>
            </w:pPr>
            <w:r>
              <w:rPr>
                <w:b/>
                <w:sz w:val="20"/>
              </w:rPr>
              <w:t>31.12.2022.</w:t>
            </w:r>
          </w:p>
        </w:tc>
        <w:tc>
          <w:tcPr>
            <w:tcW w:w="1418" w:type="dxa"/>
            <w:shd w:val="clear" w:color="auto" w:fill="F1F1F1"/>
          </w:tcPr>
          <w:p w14:paraId="1942BE65" w14:textId="77777777" w:rsidR="00370E9C" w:rsidRDefault="00370E9C" w:rsidP="00CD363C">
            <w:pPr>
              <w:pStyle w:val="TableParagraph"/>
              <w:ind w:left="204" w:right="407"/>
              <w:jc w:val="both"/>
              <w:rPr>
                <w:b/>
                <w:sz w:val="20"/>
              </w:rPr>
            </w:pPr>
            <w:r>
              <w:rPr>
                <w:b/>
                <w:sz w:val="20"/>
              </w:rPr>
              <w:t>31.12.2023.</w:t>
            </w:r>
          </w:p>
        </w:tc>
      </w:tr>
      <w:tr w:rsidR="00370E9C" w14:paraId="05F063E2" w14:textId="77777777" w:rsidTr="00FF1C69">
        <w:trPr>
          <w:trHeight w:val="648"/>
        </w:trPr>
        <w:tc>
          <w:tcPr>
            <w:tcW w:w="2127" w:type="dxa"/>
          </w:tcPr>
          <w:p w14:paraId="74E040EF" w14:textId="77777777" w:rsidR="00370E9C" w:rsidRDefault="00370E9C" w:rsidP="00CD363C">
            <w:pPr>
              <w:pStyle w:val="TableParagraph"/>
              <w:ind w:left="107" w:right="407"/>
              <w:jc w:val="both"/>
              <w:rPr>
                <w:sz w:val="20"/>
              </w:rPr>
            </w:pPr>
            <w:r>
              <w:rPr>
                <w:sz w:val="20"/>
              </w:rPr>
              <w:t>Līgumā noteiktā gada procentu likme</w:t>
            </w:r>
          </w:p>
        </w:tc>
        <w:tc>
          <w:tcPr>
            <w:tcW w:w="1418" w:type="dxa"/>
          </w:tcPr>
          <w:p w14:paraId="5A28137F" w14:textId="77777777" w:rsidR="00370E9C" w:rsidRDefault="00370E9C" w:rsidP="00CD363C">
            <w:pPr>
              <w:pStyle w:val="TableParagraph"/>
              <w:ind w:right="407"/>
              <w:jc w:val="both"/>
              <w:rPr>
                <w:i/>
                <w:sz w:val="18"/>
              </w:rPr>
            </w:pPr>
          </w:p>
          <w:p w14:paraId="4E80E6F2" w14:textId="77777777" w:rsidR="00370E9C" w:rsidRDefault="00370E9C" w:rsidP="00CD363C">
            <w:pPr>
              <w:pStyle w:val="TableParagraph"/>
              <w:ind w:right="407"/>
              <w:jc w:val="both"/>
              <w:rPr>
                <w:b/>
                <w:sz w:val="20"/>
              </w:rPr>
            </w:pPr>
            <w:r>
              <w:rPr>
                <w:b/>
                <w:sz w:val="20"/>
              </w:rPr>
              <w:t>5%</w:t>
            </w:r>
          </w:p>
        </w:tc>
        <w:tc>
          <w:tcPr>
            <w:tcW w:w="1418" w:type="dxa"/>
          </w:tcPr>
          <w:p w14:paraId="4228BCC3" w14:textId="77777777" w:rsidR="00370E9C" w:rsidRDefault="00370E9C" w:rsidP="00CD363C">
            <w:pPr>
              <w:pStyle w:val="TableParagraph"/>
              <w:ind w:right="407"/>
              <w:jc w:val="both"/>
              <w:rPr>
                <w:i/>
                <w:sz w:val="18"/>
              </w:rPr>
            </w:pPr>
          </w:p>
          <w:p w14:paraId="2FDE5F6E" w14:textId="77777777" w:rsidR="00370E9C" w:rsidRDefault="00370E9C" w:rsidP="00CD363C">
            <w:pPr>
              <w:pStyle w:val="TableParagraph"/>
              <w:ind w:left="799" w:right="407"/>
              <w:jc w:val="both"/>
              <w:rPr>
                <w:b/>
                <w:sz w:val="20"/>
              </w:rPr>
            </w:pPr>
            <w:r>
              <w:rPr>
                <w:b/>
                <w:sz w:val="20"/>
              </w:rPr>
              <w:t>5,1%</w:t>
            </w:r>
          </w:p>
        </w:tc>
        <w:tc>
          <w:tcPr>
            <w:tcW w:w="1557" w:type="dxa"/>
          </w:tcPr>
          <w:p w14:paraId="00FFC998" w14:textId="77777777" w:rsidR="00370E9C" w:rsidRDefault="00370E9C" w:rsidP="00CD363C">
            <w:pPr>
              <w:pStyle w:val="TableParagraph"/>
              <w:ind w:right="407"/>
              <w:jc w:val="both"/>
              <w:rPr>
                <w:i/>
                <w:sz w:val="18"/>
              </w:rPr>
            </w:pPr>
          </w:p>
          <w:p w14:paraId="6FE57C65" w14:textId="77777777" w:rsidR="00370E9C" w:rsidRDefault="00370E9C" w:rsidP="00CD363C">
            <w:pPr>
              <w:pStyle w:val="TableParagraph"/>
              <w:ind w:left="843" w:right="407"/>
              <w:jc w:val="both"/>
              <w:rPr>
                <w:b/>
                <w:sz w:val="20"/>
              </w:rPr>
            </w:pPr>
            <w:r>
              <w:rPr>
                <w:b/>
                <w:sz w:val="20"/>
              </w:rPr>
              <w:t>4,88%</w:t>
            </w:r>
          </w:p>
        </w:tc>
        <w:tc>
          <w:tcPr>
            <w:tcW w:w="1559" w:type="dxa"/>
          </w:tcPr>
          <w:p w14:paraId="51E22707" w14:textId="77777777" w:rsidR="00370E9C" w:rsidRDefault="00370E9C" w:rsidP="00CD363C">
            <w:pPr>
              <w:pStyle w:val="TableParagraph"/>
              <w:ind w:right="407"/>
              <w:jc w:val="both"/>
              <w:rPr>
                <w:i/>
                <w:sz w:val="18"/>
              </w:rPr>
            </w:pPr>
          </w:p>
          <w:p w14:paraId="6C0011FB" w14:textId="77777777" w:rsidR="00370E9C" w:rsidRDefault="00370E9C" w:rsidP="00CD363C">
            <w:pPr>
              <w:pStyle w:val="TableParagraph"/>
              <w:ind w:left="846" w:right="407"/>
              <w:jc w:val="both"/>
              <w:rPr>
                <w:b/>
                <w:sz w:val="20"/>
              </w:rPr>
            </w:pPr>
            <w:r>
              <w:rPr>
                <w:b/>
                <w:sz w:val="20"/>
              </w:rPr>
              <w:t>5,12%</w:t>
            </w:r>
          </w:p>
        </w:tc>
        <w:tc>
          <w:tcPr>
            <w:tcW w:w="1418" w:type="dxa"/>
          </w:tcPr>
          <w:p w14:paraId="59BEAD3D" w14:textId="77777777" w:rsidR="00370E9C" w:rsidRDefault="00370E9C" w:rsidP="00CD363C">
            <w:pPr>
              <w:pStyle w:val="TableParagraph"/>
              <w:ind w:right="407"/>
              <w:jc w:val="both"/>
              <w:rPr>
                <w:i/>
                <w:sz w:val="18"/>
              </w:rPr>
            </w:pPr>
          </w:p>
          <w:p w14:paraId="0308DC19" w14:textId="77777777" w:rsidR="00370E9C" w:rsidRDefault="00370E9C" w:rsidP="00CD363C">
            <w:pPr>
              <w:pStyle w:val="TableParagraph"/>
              <w:ind w:left="704" w:right="407"/>
              <w:jc w:val="both"/>
              <w:rPr>
                <w:b/>
                <w:sz w:val="20"/>
              </w:rPr>
            </w:pPr>
            <w:r>
              <w:rPr>
                <w:b/>
                <w:sz w:val="20"/>
              </w:rPr>
              <w:t>4,95%</w:t>
            </w:r>
          </w:p>
        </w:tc>
      </w:tr>
    </w:tbl>
    <w:p w14:paraId="72347C70" w14:textId="77777777" w:rsidR="00370E9C" w:rsidRDefault="00370E9C" w:rsidP="00CD363C">
      <w:pPr>
        <w:pStyle w:val="Pamatteksts"/>
        <w:ind w:left="338" w:right="407"/>
        <w:jc w:val="both"/>
      </w:pPr>
      <w:r>
        <w:t>Piemērā tiek pieņemts, ka budžeta iestādei nerodas nekādas komisijas maksas pie aizņēmuma saņemšanas. Aizņēmuma</w:t>
      </w:r>
      <w:r>
        <w:rPr>
          <w:spacing w:val="-15"/>
        </w:rPr>
        <w:t xml:space="preserve"> </w:t>
      </w:r>
      <w:r>
        <w:t>uzskaites</w:t>
      </w:r>
      <w:r>
        <w:rPr>
          <w:spacing w:val="-15"/>
        </w:rPr>
        <w:t xml:space="preserve"> </w:t>
      </w:r>
      <w:r>
        <w:t>vērtība</w:t>
      </w:r>
      <w:r>
        <w:rPr>
          <w:spacing w:val="-14"/>
        </w:rPr>
        <w:t xml:space="preserve"> </w:t>
      </w:r>
      <w:r>
        <w:t>sākotnējās</w:t>
      </w:r>
      <w:r>
        <w:rPr>
          <w:spacing w:val="-16"/>
        </w:rPr>
        <w:t xml:space="preserve"> </w:t>
      </w:r>
      <w:r>
        <w:t>atzīšanas</w:t>
      </w:r>
      <w:r>
        <w:rPr>
          <w:spacing w:val="-14"/>
        </w:rPr>
        <w:t xml:space="preserve"> </w:t>
      </w:r>
      <w:r>
        <w:t>dienā</w:t>
      </w:r>
      <w:r>
        <w:rPr>
          <w:spacing w:val="-14"/>
        </w:rPr>
        <w:t xml:space="preserve"> </w:t>
      </w:r>
      <w:r>
        <w:t>ir</w:t>
      </w:r>
      <w:r>
        <w:rPr>
          <w:spacing w:val="-14"/>
        </w:rPr>
        <w:t xml:space="preserve"> </w:t>
      </w:r>
      <w:r>
        <w:t>vienāda</w:t>
      </w:r>
      <w:r>
        <w:rPr>
          <w:spacing w:val="-16"/>
        </w:rPr>
        <w:t xml:space="preserve"> </w:t>
      </w:r>
      <w:r>
        <w:t>ar</w:t>
      </w:r>
      <w:r>
        <w:rPr>
          <w:spacing w:val="-15"/>
        </w:rPr>
        <w:t xml:space="preserve"> </w:t>
      </w:r>
      <w:r>
        <w:t>tā</w:t>
      </w:r>
      <w:r>
        <w:rPr>
          <w:spacing w:val="-14"/>
        </w:rPr>
        <w:t xml:space="preserve"> </w:t>
      </w:r>
      <w:r>
        <w:t>pamatsummu</w:t>
      </w:r>
      <w:r>
        <w:rPr>
          <w:spacing w:val="-14"/>
        </w:rPr>
        <w:t xml:space="preserve"> </w:t>
      </w:r>
      <w:r>
        <w:t>10 000,00</w:t>
      </w:r>
      <w:r>
        <w:rPr>
          <w:spacing w:val="-14"/>
        </w:rPr>
        <w:t xml:space="preserve"> </w:t>
      </w:r>
      <w:r>
        <w:t>EUR</w:t>
      </w:r>
      <w:r>
        <w:rPr>
          <w:spacing w:val="-18"/>
        </w:rPr>
        <w:t xml:space="preserve"> </w:t>
      </w:r>
      <w:r>
        <w:t>apmērā.</w:t>
      </w:r>
    </w:p>
    <w:p w14:paraId="6296D361" w14:textId="77777777" w:rsidR="00370E9C" w:rsidRDefault="00370E9C" w:rsidP="00CD363C">
      <w:pPr>
        <w:widowControl w:val="0"/>
        <w:tabs>
          <w:tab w:val="left" w:pos="560"/>
        </w:tabs>
        <w:autoSpaceDE w:val="0"/>
        <w:autoSpaceDN w:val="0"/>
        <w:spacing w:after="0" w:line="240" w:lineRule="auto"/>
        <w:ind w:left="186" w:right="407"/>
        <w:jc w:val="both"/>
      </w:pPr>
      <w:r>
        <w:t>9.tabulā uzrādīta sagaidāmā aizņēmuma izejošā naudas plūsma līguma termiņa laikā –- piecu gadu laika periodā no tā saņemšanas dienas. Līgums nosaka aizņēmuma pamatsummas atmaksu ik gadu 2 000,00 EUR apmērā un procentu maksājumus atbilstoši attiecīgajai procentu likmei attiecīgajā</w:t>
      </w:r>
      <w:r w:rsidRPr="00370E9C">
        <w:rPr>
          <w:spacing w:val="-11"/>
        </w:rPr>
        <w:t xml:space="preserve"> </w:t>
      </w:r>
      <w:r>
        <w:t>periodā.</w:t>
      </w:r>
    </w:p>
    <w:p w14:paraId="4F382726" w14:textId="77777777" w:rsidR="00370E9C" w:rsidRDefault="00370E9C" w:rsidP="00CD363C">
      <w:pPr>
        <w:pStyle w:val="Sarakstarindkopa"/>
        <w:widowControl w:val="0"/>
        <w:numPr>
          <w:ilvl w:val="3"/>
          <w:numId w:val="43"/>
        </w:numPr>
        <w:tabs>
          <w:tab w:val="left" w:pos="4833"/>
        </w:tabs>
        <w:autoSpaceDE w:val="0"/>
        <w:autoSpaceDN w:val="0"/>
        <w:spacing w:after="0" w:line="240" w:lineRule="auto"/>
        <w:ind w:right="407" w:firstLine="4293"/>
        <w:contextualSpacing w:val="0"/>
        <w:jc w:val="both"/>
        <w:rPr>
          <w:i/>
          <w:sz w:val="20"/>
        </w:rPr>
      </w:pPr>
      <w:r>
        <w:rPr>
          <w:i/>
          <w:sz w:val="20"/>
        </w:rPr>
        <w:t>tabula. Aizņēmuma izejošās naudas plūsmas saskaņā ar</w:t>
      </w:r>
      <w:r>
        <w:rPr>
          <w:i/>
          <w:spacing w:val="-8"/>
          <w:sz w:val="20"/>
        </w:rPr>
        <w:t xml:space="preserve"> </w:t>
      </w:r>
      <w:r>
        <w:rPr>
          <w:i/>
          <w:sz w:val="20"/>
        </w:rPr>
        <w:t>līgumu</w:t>
      </w:r>
    </w:p>
    <w:p w14:paraId="3842C0C3" w14:textId="77777777" w:rsidR="00370E9C" w:rsidRDefault="00370E9C" w:rsidP="00CD363C">
      <w:pPr>
        <w:spacing w:after="0" w:line="240" w:lineRule="auto"/>
        <w:ind w:right="407"/>
        <w:jc w:val="both"/>
        <w:rPr>
          <w:sz w:val="20"/>
        </w:rPr>
        <w:sectPr w:rsidR="00370E9C">
          <w:pgSz w:w="11910" w:h="16840"/>
          <w:pgMar w:top="760" w:right="500" w:bottom="900" w:left="1080" w:header="0" w:footer="678" w:gutter="0"/>
          <w:cols w:space="720"/>
        </w:sect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55"/>
        <w:gridCol w:w="1136"/>
        <w:gridCol w:w="1133"/>
        <w:gridCol w:w="1136"/>
        <w:gridCol w:w="1133"/>
        <w:gridCol w:w="1136"/>
        <w:gridCol w:w="1133"/>
        <w:gridCol w:w="1136"/>
      </w:tblGrid>
      <w:tr w:rsidR="00370E9C" w14:paraId="3DE34F6C" w14:textId="77777777" w:rsidTr="00FF1C69">
        <w:trPr>
          <w:trHeight w:val="441"/>
        </w:trPr>
        <w:tc>
          <w:tcPr>
            <w:tcW w:w="1555" w:type="dxa"/>
            <w:shd w:val="clear" w:color="auto" w:fill="F1F1F1"/>
          </w:tcPr>
          <w:p w14:paraId="73E9B827" w14:textId="77777777" w:rsidR="00370E9C" w:rsidRDefault="00370E9C" w:rsidP="00CD363C">
            <w:pPr>
              <w:pStyle w:val="TableParagraph"/>
              <w:ind w:right="407"/>
              <w:jc w:val="both"/>
              <w:rPr>
                <w:sz w:val="20"/>
              </w:rPr>
            </w:pPr>
          </w:p>
        </w:tc>
        <w:tc>
          <w:tcPr>
            <w:tcW w:w="1136" w:type="dxa"/>
            <w:shd w:val="clear" w:color="auto" w:fill="F1F1F1"/>
          </w:tcPr>
          <w:p w14:paraId="684A9CA9" w14:textId="77777777" w:rsidR="00370E9C" w:rsidRDefault="00370E9C" w:rsidP="00CD363C">
            <w:pPr>
              <w:pStyle w:val="TableParagraph"/>
              <w:ind w:left="19" w:right="407"/>
              <w:jc w:val="both"/>
              <w:rPr>
                <w:sz w:val="20"/>
              </w:rPr>
            </w:pPr>
            <w:r>
              <w:rPr>
                <w:sz w:val="20"/>
              </w:rPr>
              <w:t>02.01.2019.</w:t>
            </w:r>
          </w:p>
        </w:tc>
        <w:tc>
          <w:tcPr>
            <w:tcW w:w="1133" w:type="dxa"/>
            <w:shd w:val="clear" w:color="auto" w:fill="F1F1F1"/>
          </w:tcPr>
          <w:p w14:paraId="11690033" w14:textId="77777777" w:rsidR="00370E9C" w:rsidRDefault="00370E9C" w:rsidP="00CD363C">
            <w:pPr>
              <w:pStyle w:val="TableParagraph"/>
              <w:ind w:right="407"/>
              <w:jc w:val="both"/>
              <w:rPr>
                <w:sz w:val="20"/>
              </w:rPr>
            </w:pPr>
            <w:r>
              <w:rPr>
                <w:w w:val="95"/>
                <w:sz w:val="20"/>
              </w:rPr>
              <w:t>02.01.2020.</w:t>
            </w:r>
          </w:p>
        </w:tc>
        <w:tc>
          <w:tcPr>
            <w:tcW w:w="1136" w:type="dxa"/>
            <w:shd w:val="clear" w:color="auto" w:fill="F1F1F1"/>
          </w:tcPr>
          <w:p w14:paraId="04396139" w14:textId="77777777" w:rsidR="00370E9C" w:rsidRDefault="00370E9C" w:rsidP="00CD363C">
            <w:pPr>
              <w:pStyle w:val="TableParagraph"/>
              <w:ind w:right="407"/>
              <w:jc w:val="both"/>
              <w:rPr>
                <w:sz w:val="20"/>
              </w:rPr>
            </w:pPr>
            <w:r>
              <w:rPr>
                <w:w w:val="95"/>
                <w:sz w:val="20"/>
              </w:rPr>
              <w:t>02.01.2021.</w:t>
            </w:r>
          </w:p>
        </w:tc>
        <w:tc>
          <w:tcPr>
            <w:tcW w:w="1133" w:type="dxa"/>
            <w:shd w:val="clear" w:color="auto" w:fill="F1F1F1"/>
          </w:tcPr>
          <w:p w14:paraId="28538021" w14:textId="77777777" w:rsidR="00370E9C" w:rsidRDefault="00370E9C" w:rsidP="00CD363C">
            <w:pPr>
              <w:pStyle w:val="TableParagraph"/>
              <w:ind w:right="407"/>
              <w:jc w:val="both"/>
              <w:rPr>
                <w:sz w:val="20"/>
              </w:rPr>
            </w:pPr>
            <w:r>
              <w:rPr>
                <w:w w:val="95"/>
                <w:sz w:val="20"/>
              </w:rPr>
              <w:t>02.01.2022.</w:t>
            </w:r>
          </w:p>
        </w:tc>
        <w:tc>
          <w:tcPr>
            <w:tcW w:w="1136" w:type="dxa"/>
            <w:shd w:val="clear" w:color="auto" w:fill="F1F1F1"/>
          </w:tcPr>
          <w:p w14:paraId="26674336" w14:textId="77777777" w:rsidR="00370E9C" w:rsidRDefault="00370E9C" w:rsidP="00CD363C">
            <w:pPr>
              <w:pStyle w:val="TableParagraph"/>
              <w:ind w:right="407"/>
              <w:jc w:val="both"/>
              <w:rPr>
                <w:sz w:val="20"/>
              </w:rPr>
            </w:pPr>
            <w:r>
              <w:rPr>
                <w:w w:val="95"/>
                <w:sz w:val="20"/>
              </w:rPr>
              <w:t>02.01.2022.</w:t>
            </w:r>
          </w:p>
        </w:tc>
        <w:tc>
          <w:tcPr>
            <w:tcW w:w="1133" w:type="dxa"/>
            <w:shd w:val="clear" w:color="auto" w:fill="F1F1F1"/>
          </w:tcPr>
          <w:p w14:paraId="628A448F" w14:textId="77777777" w:rsidR="00370E9C" w:rsidRDefault="00370E9C" w:rsidP="00CD363C">
            <w:pPr>
              <w:pStyle w:val="TableParagraph"/>
              <w:ind w:right="407"/>
              <w:jc w:val="both"/>
              <w:rPr>
                <w:sz w:val="20"/>
              </w:rPr>
            </w:pPr>
            <w:r>
              <w:rPr>
                <w:w w:val="95"/>
                <w:sz w:val="20"/>
              </w:rPr>
              <w:t>02.01.2023.</w:t>
            </w:r>
          </w:p>
        </w:tc>
        <w:tc>
          <w:tcPr>
            <w:tcW w:w="1136" w:type="dxa"/>
            <w:shd w:val="clear" w:color="auto" w:fill="F1F1F1"/>
          </w:tcPr>
          <w:p w14:paraId="6D7508E6" w14:textId="77777777" w:rsidR="00370E9C" w:rsidRDefault="00370E9C" w:rsidP="00CD363C">
            <w:pPr>
              <w:pStyle w:val="TableParagraph"/>
              <w:ind w:right="407"/>
              <w:jc w:val="both"/>
              <w:rPr>
                <w:b/>
                <w:sz w:val="20"/>
              </w:rPr>
            </w:pPr>
            <w:r>
              <w:rPr>
                <w:b/>
                <w:sz w:val="20"/>
              </w:rPr>
              <w:t>Kopā</w:t>
            </w:r>
          </w:p>
        </w:tc>
      </w:tr>
      <w:tr w:rsidR="00370E9C" w14:paraId="5E1CB88B" w14:textId="77777777" w:rsidTr="00FF1C69">
        <w:trPr>
          <w:trHeight w:val="457"/>
        </w:trPr>
        <w:tc>
          <w:tcPr>
            <w:tcW w:w="1555" w:type="dxa"/>
          </w:tcPr>
          <w:p w14:paraId="546AC36A" w14:textId="77777777" w:rsidR="00370E9C" w:rsidRDefault="00370E9C" w:rsidP="00CD363C">
            <w:pPr>
              <w:pStyle w:val="TableParagraph"/>
              <w:ind w:left="107" w:right="407"/>
              <w:jc w:val="both"/>
              <w:rPr>
                <w:sz w:val="20"/>
              </w:rPr>
            </w:pPr>
            <w:r>
              <w:rPr>
                <w:sz w:val="20"/>
              </w:rPr>
              <w:t>Pamatsumma,</w:t>
            </w:r>
          </w:p>
          <w:p w14:paraId="1ED7A9E7" w14:textId="77777777" w:rsidR="00370E9C" w:rsidRDefault="00370E9C" w:rsidP="00CD363C">
            <w:pPr>
              <w:pStyle w:val="TableParagraph"/>
              <w:ind w:left="107" w:right="407"/>
              <w:jc w:val="both"/>
              <w:rPr>
                <w:sz w:val="20"/>
              </w:rPr>
            </w:pPr>
            <w:r>
              <w:rPr>
                <w:sz w:val="20"/>
              </w:rPr>
              <w:t>EUR</w:t>
            </w:r>
          </w:p>
        </w:tc>
        <w:tc>
          <w:tcPr>
            <w:tcW w:w="1136" w:type="dxa"/>
          </w:tcPr>
          <w:p w14:paraId="529DC813" w14:textId="77777777" w:rsidR="00370E9C" w:rsidRDefault="00370E9C" w:rsidP="00CD363C">
            <w:pPr>
              <w:pStyle w:val="TableParagraph"/>
              <w:ind w:right="407"/>
              <w:jc w:val="both"/>
              <w:rPr>
                <w:sz w:val="20"/>
              </w:rPr>
            </w:pPr>
            <w:r>
              <w:rPr>
                <w:sz w:val="20"/>
              </w:rPr>
              <w:t>(10 000,00)</w:t>
            </w:r>
          </w:p>
        </w:tc>
        <w:tc>
          <w:tcPr>
            <w:tcW w:w="1133" w:type="dxa"/>
          </w:tcPr>
          <w:p w14:paraId="0A1173D9" w14:textId="77777777" w:rsidR="00370E9C" w:rsidRDefault="00370E9C" w:rsidP="00CD363C">
            <w:pPr>
              <w:pStyle w:val="TableParagraph"/>
              <w:ind w:right="407"/>
              <w:jc w:val="both"/>
              <w:rPr>
                <w:sz w:val="20"/>
              </w:rPr>
            </w:pPr>
            <w:r>
              <w:rPr>
                <w:sz w:val="20"/>
              </w:rPr>
              <w:t>2 000,00</w:t>
            </w:r>
          </w:p>
        </w:tc>
        <w:tc>
          <w:tcPr>
            <w:tcW w:w="1136" w:type="dxa"/>
          </w:tcPr>
          <w:p w14:paraId="5A95F15F" w14:textId="77777777" w:rsidR="00370E9C" w:rsidRDefault="00370E9C" w:rsidP="00CD363C">
            <w:pPr>
              <w:pStyle w:val="TableParagraph"/>
              <w:ind w:right="407"/>
              <w:jc w:val="both"/>
              <w:rPr>
                <w:sz w:val="20"/>
              </w:rPr>
            </w:pPr>
            <w:r>
              <w:rPr>
                <w:sz w:val="20"/>
              </w:rPr>
              <w:t>2 000,00</w:t>
            </w:r>
          </w:p>
        </w:tc>
        <w:tc>
          <w:tcPr>
            <w:tcW w:w="1133" w:type="dxa"/>
          </w:tcPr>
          <w:p w14:paraId="4559A36D" w14:textId="77777777" w:rsidR="00370E9C" w:rsidRDefault="00370E9C" w:rsidP="00CD363C">
            <w:pPr>
              <w:pStyle w:val="TableParagraph"/>
              <w:ind w:right="407"/>
              <w:jc w:val="both"/>
              <w:rPr>
                <w:sz w:val="20"/>
              </w:rPr>
            </w:pPr>
            <w:r>
              <w:rPr>
                <w:sz w:val="20"/>
              </w:rPr>
              <w:t>2 000,00</w:t>
            </w:r>
          </w:p>
        </w:tc>
        <w:tc>
          <w:tcPr>
            <w:tcW w:w="1136" w:type="dxa"/>
          </w:tcPr>
          <w:p w14:paraId="1ADF653E" w14:textId="77777777" w:rsidR="00370E9C" w:rsidRDefault="00370E9C" w:rsidP="00CD363C">
            <w:pPr>
              <w:pStyle w:val="TableParagraph"/>
              <w:ind w:right="407"/>
              <w:jc w:val="both"/>
              <w:rPr>
                <w:sz w:val="20"/>
              </w:rPr>
            </w:pPr>
            <w:r>
              <w:rPr>
                <w:sz w:val="20"/>
              </w:rPr>
              <w:t>2 000,00</w:t>
            </w:r>
          </w:p>
        </w:tc>
        <w:tc>
          <w:tcPr>
            <w:tcW w:w="1133" w:type="dxa"/>
          </w:tcPr>
          <w:p w14:paraId="073BAA6F" w14:textId="77777777" w:rsidR="00370E9C" w:rsidRDefault="00370E9C" w:rsidP="00CD363C">
            <w:pPr>
              <w:pStyle w:val="TableParagraph"/>
              <w:ind w:right="407"/>
              <w:jc w:val="both"/>
              <w:rPr>
                <w:sz w:val="20"/>
              </w:rPr>
            </w:pPr>
            <w:r>
              <w:rPr>
                <w:sz w:val="20"/>
              </w:rPr>
              <w:t>2 000,00</w:t>
            </w:r>
          </w:p>
        </w:tc>
        <w:tc>
          <w:tcPr>
            <w:tcW w:w="1136" w:type="dxa"/>
          </w:tcPr>
          <w:p w14:paraId="17060C90" w14:textId="77777777" w:rsidR="00370E9C" w:rsidRDefault="00370E9C" w:rsidP="00CD363C">
            <w:pPr>
              <w:pStyle w:val="TableParagraph"/>
              <w:ind w:right="407"/>
              <w:jc w:val="both"/>
              <w:rPr>
                <w:b/>
                <w:sz w:val="20"/>
              </w:rPr>
            </w:pPr>
            <w:r>
              <w:rPr>
                <w:b/>
                <w:sz w:val="20"/>
              </w:rPr>
              <w:t>10 000,00</w:t>
            </w:r>
          </w:p>
        </w:tc>
      </w:tr>
      <w:tr w:rsidR="00370E9C" w14:paraId="4047AD09" w14:textId="77777777" w:rsidTr="00FF1C69">
        <w:trPr>
          <w:trHeight w:val="460"/>
        </w:trPr>
        <w:tc>
          <w:tcPr>
            <w:tcW w:w="1555" w:type="dxa"/>
          </w:tcPr>
          <w:p w14:paraId="0EE08A3C" w14:textId="77777777" w:rsidR="00370E9C" w:rsidRDefault="00370E9C" w:rsidP="00CD363C">
            <w:pPr>
              <w:pStyle w:val="TableParagraph"/>
              <w:ind w:left="107" w:right="407"/>
              <w:jc w:val="both"/>
              <w:rPr>
                <w:sz w:val="20"/>
              </w:rPr>
            </w:pPr>
            <w:r>
              <w:rPr>
                <w:sz w:val="20"/>
              </w:rPr>
              <w:t>Piemērotā</w:t>
            </w:r>
          </w:p>
          <w:p w14:paraId="5723DC30" w14:textId="77777777" w:rsidR="00370E9C" w:rsidRDefault="00370E9C" w:rsidP="00CD363C">
            <w:pPr>
              <w:pStyle w:val="TableParagraph"/>
              <w:ind w:left="107" w:right="407"/>
              <w:jc w:val="both"/>
              <w:rPr>
                <w:sz w:val="20"/>
              </w:rPr>
            </w:pPr>
            <w:r>
              <w:rPr>
                <w:sz w:val="20"/>
              </w:rPr>
              <w:t>procentu likme</w:t>
            </w:r>
          </w:p>
        </w:tc>
        <w:tc>
          <w:tcPr>
            <w:tcW w:w="1136" w:type="dxa"/>
          </w:tcPr>
          <w:p w14:paraId="15C306B7" w14:textId="77777777" w:rsidR="00370E9C" w:rsidRDefault="00370E9C" w:rsidP="00CD363C">
            <w:pPr>
              <w:pStyle w:val="TableParagraph"/>
              <w:ind w:right="407"/>
              <w:jc w:val="both"/>
              <w:rPr>
                <w:sz w:val="20"/>
              </w:rPr>
            </w:pPr>
            <w:r>
              <w:rPr>
                <w:w w:val="99"/>
                <w:sz w:val="20"/>
              </w:rPr>
              <w:t>-</w:t>
            </w:r>
          </w:p>
        </w:tc>
        <w:tc>
          <w:tcPr>
            <w:tcW w:w="1133" w:type="dxa"/>
          </w:tcPr>
          <w:p w14:paraId="75E555D2" w14:textId="77777777" w:rsidR="00370E9C" w:rsidRDefault="00370E9C" w:rsidP="00CD363C">
            <w:pPr>
              <w:pStyle w:val="TableParagraph"/>
              <w:ind w:right="407"/>
              <w:jc w:val="both"/>
              <w:rPr>
                <w:sz w:val="20"/>
              </w:rPr>
            </w:pPr>
            <w:r>
              <w:rPr>
                <w:sz w:val="20"/>
              </w:rPr>
              <w:t>5,00%</w:t>
            </w:r>
          </w:p>
        </w:tc>
        <w:tc>
          <w:tcPr>
            <w:tcW w:w="1136" w:type="dxa"/>
          </w:tcPr>
          <w:p w14:paraId="7A1A5418" w14:textId="77777777" w:rsidR="00370E9C" w:rsidRDefault="00370E9C" w:rsidP="00CD363C">
            <w:pPr>
              <w:pStyle w:val="TableParagraph"/>
              <w:ind w:right="407"/>
              <w:jc w:val="both"/>
              <w:rPr>
                <w:sz w:val="20"/>
              </w:rPr>
            </w:pPr>
            <w:r>
              <w:rPr>
                <w:sz w:val="20"/>
              </w:rPr>
              <w:t>5,10%</w:t>
            </w:r>
          </w:p>
        </w:tc>
        <w:tc>
          <w:tcPr>
            <w:tcW w:w="1133" w:type="dxa"/>
          </w:tcPr>
          <w:p w14:paraId="5F1911D5" w14:textId="77777777" w:rsidR="00370E9C" w:rsidRDefault="00370E9C" w:rsidP="00CD363C">
            <w:pPr>
              <w:pStyle w:val="TableParagraph"/>
              <w:ind w:right="407"/>
              <w:jc w:val="both"/>
              <w:rPr>
                <w:sz w:val="20"/>
              </w:rPr>
            </w:pPr>
            <w:r>
              <w:rPr>
                <w:sz w:val="20"/>
              </w:rPr>
              <w:t>4,88%</w:t>
            </w:r>
          </w:p>
        </w:tc>
        <w:tc>
          <w:tcPr>
            <w:tcW w:w="1136" w:type="dxa"/>
          </w:tcPr>
          <w:p w14:paraId="5FCDEE9F" w14:textId="77777777" w:rsidR="00370E9C" w:rsidRDefault="00370E9C" w:rsidP="00CD363C">
            <w:pPr>
              <w:pStyle w:val="TableParagraph"/>
              <w:ind w:right="407"/>
              <w:jc w:val="both"/>
              <w:rPr>
                <w:sz w:val="20"/>
              </w:rPr>
            </w:pPr>
            <w:r>
              <w:rPr>
                <w:sz w:val="20"/>
              </w:rPr>
              <w:t>5,12%</w:t>
            </w:r>
          </w:p>
        </w:tc>
        <w:tc>
          <w:tcPr>
            <w:tcW w:w="1133" w:type="dxa"/>
          </w:tcPr>
          <w:p w14:paraId="7A482638" w14:textId="77777777" w:rsidR="00370E9C" w:rsidRDefault="00370E9C" w:rsidP="00CD363C">
            <w:pPr>
              <w:pStyle w:val="TableParagraph"/>
              <w:ind w:right="407"/>
              <w:jc w:val="both"/>
              <w:rPr>
                <w:sz w:val="20"/>
              </w:rPr>
            </w:pPr>
            <w:r>
              <w:rPr>
                <w:sz w:val="20"/>
              </w:rPr>
              <w:t>4,95%</w:t>
            </w:r>
          </w:p>
        </w:tc>
        <w:tc>
          <w:tcPr>
            <w:tcW w:w="1136" w:type="dxa"/>
          </w:tcPr>
          <w:p w14:paraId="3CEF3817" w14:textId="77777777" w:rsidR="00370E9C" w:rsidRDefault="00370E9C" w:rsidP="00CD363C">
            <w:pPr>
              <w:pStyle w:val="TableParagraph"/>
              <w:ind w:right="407"/>
              <w:jc w:val="both"/>
              <w:rPr>
                <w:sz w:val="20"/>
              </w:rPr>
            </w:pPr>
          </w:p>
        </w:tc>
      </w:tr>
      <w:tr w:rsidR="00370E9C" w14:paraId="6A6FB778" w14:textId="77777777" w:rsidTr="00FF1C69">
        <w:trPr>
          <w:trHeight w:val="230"/>
        </w:trPr>
        <w:tc>
          <w:tcPr>
            <w:tcW w:w="1555" w:type="dxa"/>
          </w:tcPr>
          <w:p w14:paraId="18C61494" w14:textId="77777777" w:rsidR="00370E9C" w:rsidRDefault="00370E9C" w:rsidP="00CD363C">
            <w:pPr>
              <w:pStyle w:val="TableParagraph"/>
              <w:ind w:left="107" w:right="407"/>
              <w:jc w:val="both"/>
              <w:rPr>
                <w:sz w:val="20"/>
              </w:rPr>
            </w:pPr>
            <w:r>
              <w:rPr>
                <w:sz w:val="20"/>
              </w:rPr>
              <w:t>Procenti*, EUR</w:t>
            </w:r>
          </w:p>
        </w:tc>
        <w:tc>
          <w:tcPr>
            <w:tcW w:w="1136" w:type="dxa"/>
          </w:tcPr>
          <w:p w14:paraId="0210313C" w14:textId="77777777" w:rsidR="00370E9C" w:rsidRDefault="00370E9C" w:rsidP="00CD363C">
            <w:pPr>
              <w:pStyle w:val="TableParagraph"/>
              <w:ind w:right="407"/>
              <w:jc w:val="both"/>
              <w:rPr>
                <w:sz w:val="20"/>
              </w:rPr>
            </w:pPr>
            <w:r>
              <w:rPr>
                <w:w w:val="99"/>
                <w:sz w:val="20"/>
              </w:rPr>
              <w:t>-</w:t>
            </w:r>
          </w:p>
        </w:tc>
        <w:tc>
          <w:tcPr>
            <w:tcW w:w="1133" w:type="dxa"/>
          </w:tcPr>
          <w:p w14:paraId="423D7881" w14:textId="77777777" w:rsidR="00370E9C" w:rsidRDefault="00370E9C" w:rsidP="00CD363C">
            <w:pPr>
              <w:pStyle w:val="TableParagraph"/>
              <w:ind w:right="407"/>
              <w:jc w:val="both"/>
              <w:rPr>
                <w:sz w:val="20"/>
              </w:rPr>
            </w:pPr>
            <w:r>
              <w:rPr>
                <w:sz w:val="20"/>
              </w:rPr>
              <w:t>500,00</w:t>
            </w:r>
          </w:p>
        </w:tc>
        <w:tc>
          <w:tcPr>
            <w:tcW w:w="1136" w:type="dxa"/>
          </w:tcPr>
          <w:p w14:paraId="4B44BF10" w14:textId="77777777" w:rsidR="00370E9C" w:rsidRDefault="00370E9C" w:rsidP="00CD363C">
            <w:pPr>
              <w:pStyle w:val="TableParagraph"/>
              <w:ind w:right="407"/>
              <w:jc w:val="both"/>
              <w:rPr>
                <w:sz w:val="20"/>
              </w:rPr>
            </w:pPr>
            <w:r>
              <w:rPr>
                <w:sz w:val="20"/>
              </w:rPr>
              <w:t>408,00</w:t>
            </w:r>
          </w:p>
        </w:tc>
        <w:tc>
          <w:tcPr>
            <w:tcW w:w="1133" w:type="dxa"/>
          </w:tcPr>
          <w:p w14:paraId="27629D42" w14:textId="77777777" w:rsidR="00370E9C" w:rsidRDefault="00370E9C" w:rsidP="00CD363C">
            <w:pPr>
              <w:pStyle w:val="TableParagraph"/>
              <w:ind w:right="407"/>
              <w:jc w:val="both"/>
              <w:rPr>
                <w:sz w:val="20"/>
              </w:rPr>
            </w:pPr>
            <w:r>
              <w:rPr>
                <w:sz w:val="20"/>
              </w:rPr>
              <w:t>292,80</w:t>
            </w:r>
          </w:p>
        </w:tc>
        <w:tc>
          <w:tcPr>
            <w:tcW w:w="1136" w:type="dxa"/>
          </w:tcPr>
          <w:p w14:paraId="0D37BBA8" w14:textId="77777777" w:rsidR="00370E9C" w:rsidRDefault="00370E9C" w:rsidP="00CD363C">
            <w:pPr>
              <w:pStyle w:val="TableParagraph"/>
              <w:ind w:right="407"/>
              <w:jc w:val="both"/>
              <w:rPr>
                <w:sz w:val="20"/>
              </w:rPr>
            </w:pPr>
            <w:r>
              <w:rPr>
                <w:sz w:val="20"/>
              </w:rPr>
              <w:t>204,80</w:t>
            </w:r>
          </w:p>
        </w:tc>
        <w:tc>
          <w:tcPr>
            <w:tcW w:w="1133" w:type="dxa"/>
          </w:tcPr>
          <w:p w14:paraId="2E26C4DE" w14:textId="77777777" w:rsidR="00370E9C" w:rsidRDefault="00370E9C" w:rsidP="00CD363C">
            <w:pPr>
              <w:pStyle w:val="TableParagraph"/>
              <w:ind w:right="407"/>
              <w:jc w:val="both"/>
              <w:rPr>
                <w:sz w:val="20"/>
              </w:rPr>
            </w:pPr>
            <w:r>
              <w:rPr>
                <w:sz w:val="20"/>
              </w:rPr>
              <w:t>99,00</w:t>
            </w:r>
          </w:p>
        </w:tc>
        <w:tc>
          <w:tcPr>
            <w:tcW w:w="1136" w:type="dxa"/>
          </w:tcPr>
          <w:p w14:paraId="205B5244" w14:textId="77777777" w:rsidR="00370E9C" w:rsidRDefault="00370E9C" w:rsidP="00CD363C">
            <w:pPr>
              <w:pStyle w:val="TableParagraph"/>
              <w:ind w:right="407"/>
              <w:jc w:val="both"/>
              <w:rPr>
                <w:b/>
                <w:sz w:val="20"/>
              </w:rPr>
            </w:pPr>
            <w:r>
              <w:rPr>
                <w:b/>
                <w:sz w:val="20"/>
              </w:rPr>
              <w:t>1 504,60</w:t>
            </w:r>
          </w:p>
        </w:tc>
      </w:tr>
      <w:tr w:rsidR="00370E9C" w14:paraId="37A39375" w14:textId="77777777" w:rsidTr="00FF1C69">
        <w:trPr>
          <w:trHeight w:val="366"/>
        </w:trPr>
        <w:tc>
          <w:tcPr>
            <w:tcW w:w="1555" w:type="dxa"/>
          </w:tcPr>
          <w:p w14:paraId="5ADE5C58" w14:textId="77777777" w:rsidR="00370E9C" w:rsidRDefault="00370E9C" w:rsidP="00CD363C">
            <w:pPr>
              <w:pStyle w:val="TableParagraph"/>
              <w:ind w:left="107" w:right="407"/>
              <w:jc w:val="both"/>
              <w:rPr>
                <w:b/>
                <w:sz w:val="20"/>
              </w:rPr>
            </w:pPr>
            <w:r>
              <w:rPr>
                <w:b/>
                <w:sz w:val="20"/>
              </w:rPr>
              <w:t>Kopā, EUR</w:t>
            </w:r>
          </w:p>
        </w:tc>
        <w:tc>
          <w:tcPr>
            <w:tcW w:w="1136" w:type="dxa"/>
          </w:tcPr>
          <w:p w14:paraId="1F898F70" w14:textId="77777777" w:rsidR="00370E9C" w:rsidRDefault="00370E9C" w:rsidP="00CD363C">
            <w:pPr>
              <w:pStyle w:val="TableParagraph"/>
              <w:ind w:left="35" w:right="407"/>
              <w:jc w:val="both"/>
              <w:rPr>
                <w:sz w:val="20"/>
              </w:rPr>
            </w:pPr>
            <w:r>
              <w:rPr>
                <w:sz w:val="20"/>
              </w:rPr>
              <w:t>(10 000,00)</w:t>
            </w:r>
          </w:p>
        </w:tc>
        <w:tc>
          <w:tcPr>
            <w:tcW w:w="1133" w:type="dxa"/>
          </w:tcPr>
          <w:p w14:paraId="7B506BA3" w14:textId="77777777" w:rsidR="00370E9C" w:rsidRDefault="00370E9C" w:rsidP="00CD363C">
            <w:pPr>
              <w:pStyle w:val="TableParagraph"/>
              <w:ind w:right="407"/>
              <w:jc w:val="both"/>
              <w:rPr>
                <w:sz w:val="20"/>
              </w:rPr>
            </w:pPr>
            <w:r>
              <w:rPr>
                <w:sz w:val="20"/>
              </w:rPr>
              <w:t>2 500,00</w:t>
            </w:r>
          </w:p>
        </w:tc>
        <w:tc>
          <w:tcPr>
            <w:tcW w:w="1136" w:type="dxa"/>
          </w:tcPr>
          <w:p w14:paraId="573E5602" w14:textId="77777777" w:rsidR="00370E9C" w:rsidRDefault="00370E9C" w:rsidP="00CD363C">
            <w:pPr>
              <w:pStyle w:val="TableParagraph"/>
              <w:ind w:right="407"/>
              <w:jc w:val="both"/>
              <w:rPr>
                <w:sz w:val="20"/>
              </w:rPr>
            </w:pPr>
            <w:r>
              <w:rPr>
                <w:sz w:val="20"/>
              </w:rPr>
              <w:t>2 408,00</w:t>
            </w:r>
          </w:p>
        </w:tc>
        <w:tc>
          <w:tcPr>
            <w:tcW w:w="1133" w:type="dxa"/>
          </w:tcPr>
          <w:p w14:paraId="0D766611" w14:textId="77777777" w:rsidR="00370E9C" w:rsidRDefault="00370E9C" w:rsidP="00CD363C">
            <w:pPr>
              <w:pStyle w:val="TableParagraph"/>
              <w:ind w:right="407"/>
              <w:jc w:val="both"/>
              <w:rPr>
                <w:sz w:val="20"/>
              </w:rPr>
            </w:pPr>
            <w:r>
              <w:rPr>
                <w:sz w:val="20"/>
              </w:rPr>
              <w:t>2 292,80</w:t>
            </w:r>
          </w:p>
        </w:tc>
        <w:tc>
          <w:tcPr>
            <w:tcW w:w="1136" w:type="dxa"/>
          </w:tcPr>
          <w:p w14:paraId="12365DC4" w14:textId="77777777" w:rsidR="00370E9C" w:rsidRDefault="00370E9C" w:rsidP="00CD363C">
            <w:pPr>
              <w:pStyle w:val="TableParagraph"/>
              <w:ind w:right="407"/>
              <w:jc w:val="both"/>
              <w:rPr>
                <w:sz w:val="20"/>
              </w:rPr>
            </w:pPr>
            <w:r>
              <w:rPr>
                <w:sz w:val="20"/>
              </w:rPr>
              <w:t>2 204,80</w:t>
            </w:r>
          </w:p>
        </w:tc>
        <w:tc>
          <w:tcPr>
            <w:tcW w:w="1133" w:type="dxa"/>
          </w:tcPr>
          <w:p w14:paraId="4AB7D589" w14:textId="77777777" w:rsidR="00370E9C" w:rsidRDefault="00370E9C" w:rsidP="00CD363C">
            <w:pPr>
              <w:pStyle w:val="TableParagraph"/>
              <w:ind w:right="407"/>
              <w:jc w:val="both"/>
              <w:rPr>
                <w:sz w:val="20"/>
              </w:rPr>
            </w:pPr>
            <w:r>
              <w:rPr>
                <w:sz w:val="20"/>
              </w:rPr>
              <w:t>2 099,00</w:t>
            </w:r>
          </w:p>
        </w:tc>
        <w:tc>
          <w:tcPr>
            <w:tcW w:w="1136" w:type="dxa"/>
          </w:tcPr>
          <w:p w14:paraId="0987BE7E" w14:textId="77777777" w:rsidR="00370E9C" w:rsidRDefault="00370E9C" w:rsidP="00CD363C">
            <w:pPr>
              <w:pStyle w:val="TableParagraph"/>
              <w:ind w:right="407"/>
              <w:jc w:val="both"/>
              <w:rPr>
                <w:b/>
                <w:sz w:val="20"/>
              </w:rPr>
            </w:pPr>
            <w:r>
              <w:rPr>
                <w:b/>
                <w:sz w:val="20"/>
              </w:rPr>
              <w:t>11 504,60</w:t>
            </w:r>
          </w:p>
        </w:tc>
      </w:tr>
    </w:tbl>
    <w:p w14:paraId="195CC560" w14:textId="77777777" w:rsidR="00370E9C" w:rsidRDefault="00370E9C" w:rsidP="00CD363C">
      <w:pPr>
        <w:spacing w:after="0" w:line="240" w:lineRule="auto"/>
        <w:ind w:left="338" w:right="407"/>
        <w:jc w:val="both"/>
        <w:rPr>
          <w:i/>
          <w:sz w:val="20"/>
        </w:rPr>
      </w:pPr>
      <w:r>
        <w:rPr>
          <w:i/>
          <w:sz w:val="20"/>
        </w:rPr>
        <w:t>*procentu aprēķins veikts, pamatojoties uz 365 dienām gadā.</w:t>
      </w:r>
    </w:p>
    <w:p w14:paraId="170CAD7F" w14:textId="77777777" w:rsidR="00370E9C" w:rsidRDefault="00370E9C" w:rsidP="00CD363C">
      <w:pPr>
        <w:pStyle w:val="Pamatteksts"/>
        <w:ind w:right="407"/>
        <w:jc w:val="both"/>
        <w:rPr>
          <w:i/>
          <w:sz w:val="20"/>
        </w:rPr>
      </w:pPr>
    </w:p>
    <w:p w14:paraId="5C68AEC3" w14:textId="77777777" w:rsidR="00370E9C" w:rsidRDefault="00370E9C" w:rsidP="00CD363C">
      <w:pPr>
        <w:pStyle w:val="Pamatteksts"/>
        <w:ind w:left="338" w:right="407"/>
        <w:jc w:val="both"/>
      </w:pPr>
      <w:r>
        <w:t>Saskaņā ar aprēķiniem aizņēmuma kopējā atmaksājamā summa būs 11 504,60 EUR.</w:t>
      </w:r>
    </w:p>
    <w:p w14:paraId="37054F93" w14:textId="77777777" w:rsidR="00370E9C" w:rsidRDefault="00370E9C" w:rsidP="00CD363C">
      <w:pPr>
        <w:pStyle w:val="Pamatteksts"/>
        <w:ind w:right="407"/>
        <w:jc w:val="both"/>
        <w:rPr>
          <w:sz w:val="20"/>
        </w:rPr>
      </w:pPr>
    </w:p>
    <w:p w14:paraId="61CA80FC" w14:textId="77777777" w:rsidR="00370E9C" w:rsidRDefault="00370E9C" w:rsidP="00CD363C">
      <w:pPr>
        <w:pStyle w:val="Sarakstarindkopa"/>
        <w:widowControl w:val="0"/>
        <w:numPr>
          <w:ilvl w:val="3"/>
          <w:numId w:val="43"/>
        </w:numPr>
        <w:tabs>
          <w:tab w:val="left" w:pos="671"/>
        </w:tabs>
        <w:autoSpaceDE w:val="0"/>
        <w:autoSpaceDN w:val="0"/>
        <w:spacing w:after="0" w:line="240" w:lineRule="auto"/>
        <w:ind w:right="407" w:firstLine="0"/>
        <w:contextualSpacing w:val="0"/>
        <w:jc w:val="both"/>
      </w:pPr>
      <w:r>
        <w:t>tabulā ir apkopota informācija par aizņēmuma amortizēto vērtību, procentu izdevumiem un naudas plūsmām (procentu maksājumiem un pamatsummu) katrā pārskata periodā līguma darbības</w:t>
      </w:r>
      <w:r>
        <w:rPr>
          <w:spacing w:val="-18"/>
        </w:rPr>
        <w:t xml:space="preserve"> </w:t>
      </w:r>
      <w:r>
        <w:t>laikā.</w:t>
      </w:r>
    </w:p>
    <w:p w14:paraId="30C3216F" w14:textId="77777777" w:rsidR="00370E9C" w:rsidRDefault="00370E9C" w:rsidP="00CD363C">
      <w:pPr>
        <w:pStyle w:val="Sarakstarindkopa"/>
        <w:widowControl w:val="0"/>
        <w:numPr>
          <w:ilvl w:val="4"/>
          <w:numId w:val="43"/>
        </w:numPr>
        <w:tabs>
          <w:tab w:val="left" w:pos="1119"/>
        </w:tabs>
        <w:autoSpaceDE w:val="0"/>
        <w:autoSpaceDN w:val="0"/>
        <w:spacing w:after="0" w:line="240" w:lineRule="auto"/>
        <w:ind w:right="407" w:hanging="302"/>
        <w:contextualSpacing w:val="0"/>
        <w:jc w:val="both"/>
        <w:rPr>
          <w:i/>
          <w:sz w:val="20"/>
        </w:rPr>
      </w:pPr>
      <w:r>
        <w:rPr>
          <w:i/>
          <w:sz w:val="20"/>
        </w:rPr>
        <w:t>tabula. Aizņēmuma amortizētā vērtība, procentu izdevumi un izejošās naudas plūsmas katrā pārskata</w:t>
      </w:r>
      <w:r>
        <w:rPr>
          <w:i/>
          <w:spacing w:val="-17"/>
          <w:sz w:val="20"/>
        </w:rPr>
        <w:t xml:space="preserve"> </w:t>
      </w:r>
      <w:r>
        <w:rPr>
          <w:i/>
          <w:sz w:val="20"/>
        </w:rPr>
        <w:t>periodā</w:t>
      </w:r>
    </w:p>
    <w:tbl>
      <w:tblPr>
        <w:tblW w:w="0" w:type="auto"/>
        <w:tblInd w:w="33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60"/>
        <w:gridCol w:w="1985"/>
        <w:gridCol w:w="1843"/>
        <w:gridCol w:w="1982"/>
        <w:gridCol w:w="2126"/>
      </w:tblGrid>
      <w:tr w:rsidR="00370E9C" w14:paraId="3FB497C3" w14:textId="77777777" w:rsidTr="00FF1C69">
        <w:trPr>
          <w:trHeight w:val="1512"/>
        </w:trPr>
        <w:tc>
          <w:tcPr>
            <w:tcW w:w="1560" w:type="dxa"/>
            <w:shd w:val="clear" w:color="auto" w:fill="F1F1F1"/>
          </w:tcPr>
          <w:p w14:paraId="48E669A7" w14:textId="77777777" w:rsidR="00370E9C" w:rsidRDefault="00370E9C" w:rsidP="00CD363C">
            <w:pPr>
              <w:pStyle w:val="TableParagraph"/>
              <w:ind w:right="407"/>
              <w:jc w:val="both"/>
              <w:rPr>
                <w:i/>
              </w:rPr>
            </w:pPr>
          </w:p>
          <w:p w14:paraId="4A700CB3" w14:textId="77777777" w:rsidR="00370E9C" w:rsidRDefault="00370E9C" w:rsidP="00CD363C">
            <w:pPr>
              <w:pStyle w:val="TableParagraph"/>
              <w:ind w:right="407"/>
              <w:jc w:val="both"/>
              <w:rPr>
                <w:i/>
              </w:rPr>
            </w:pPr>
          </w:p>
          <w:p w14:paraId="47A4117C" w14:textId="77777777" w:rsidR="00370E9C" w:rsidRDefault="00370E9C" w:rsidP="00CD363C">
            <w:pPr>
              <w:pStyle w:val="TableParagraph"/>
              <w:ind w:left="417" w:right="407"/>
              <w:jc w:val="both"/>
              <w:rPr>
                <w:b/>
                <w:sz w:val="20"/>
              </w:rPr>
            </w:pPr>
            <w:r>
              <w:rPr>
                <w:b/>
                <w:sz w:val="20"/>
              </w:rPr>
              <w:t>Datums</w:t>
            </w:r>
          </w:p>
        </w:tc>
        <w:tc>
          <w:tcPr>
            <w:tcW w:w="1985" w:type="dxa"/>
            <w:shd w:val="clear" w:color="auto" w:fill="F1F1F1"/>
          </w:tcPr>
          <w:p w14:paraId="7C3F8F72" w14:textId="77777777" w:rsidR="00370E9C" w:rsidRDefault="00370E9C" w:rsidP="00CD363C">
            <w:pPr>
              <w:pStyle w:val="TableParagraph"/>
              <w:ind w:left="201" w:right="407" w:firstLine="3"/>
              <w:jc w:val="both"/>
              <w:rPr>
                <w:b/>
                <w:sz w:val="20"/>
              </w:rPr>
            </w:pPr>
            <w:r>
              <w:rPr>
                <w:b/>
                <w:sz w:val="20"/>
              </w:rPr>
              <w:t>Uzskaites vērtība iepriekšējā aprēķina</w:t>
            </w:r>
            <w:r>
              <w:rPr>
                <w:b/>
                <w:spacing w:val="-12"/>
                <w:sz w:val="20"/>
              </w:rPr>
              <w:t xml:space="preserve"> </w:t>
            </w:r>
            <w:r>
              <w:rPr>
                <w:b/>
                <w:sz w:val="20"/>
              </w:rPr>
              <w:t>datumā, EUR</w:t>
            </w:r>
          </w:p>
        </w:tc>
        <w:tc>
          <w:tcPr>
            <w:tcW w:w="1843" w:type="dxa"/>
            <w:shd w:val="clear" w:color="auto" w:fill="F1F1F1"/>
          </w:tcPr>
          <w:p w14:paraId="2D6EFA9B" w14:textId="77777777" w:rsidR="00370E9C" w:rsidRDefault="00370E9C" w:rsidP="00CD363C">
            <w:pPr>
              <w:pStyle w:val="TableParagraph"/>
              <w:ind w:left="111" w:right="407"/>
              <w:jc w:val="both"/>
              <w:rPr>
                <w:b/>
                <w:sz w:val="20"/>
              </w:rPr>
            </w:pPr>
            <w:r>
              <w:rPr>
                <w:b/>
                <w:sz w:val="20"/>
              </w:rPr>
              <w:t>Aprēķinātās uzkrātās saistības par procentiem, EUR</w:t>
            </w:r>
          </w:p>
        </w:tc>
        <w:tc>
          <w:tcPr>
            <w:tcW w:w="1982" w:type="dxa"/>
            <w:shd w:val="clear" w:color="auto" w:fill="F1F1F1"/>
          </w:tcPr>
          <w:p w14:paraId="1590DF42" w14:textId="77777777" w:rsidR="00370E9C" w:rsidRDefault="00370E9C" w:rsidP="00CD363C">
            <w:pPr>
              <w:pStyle w:val="TableParagraph"/>
              <w:ind w:left="272" w:right="407"/>
              <w:jc w:val="both"/>
              <w:rPr>
                <w:b/>
                <w:sz w:val="20"/>
              </w:rPr>
            </w:pPr>
            <w:r>
              <w:rPr>
                <w:b/>
                <w:sz w:val="20"/>
              </w:rPr>
              <w:t>Izejošās naudas plūsmas (procentu maksājumi un pamatsumma), EUR</w:t>
            </w:r>
          </w:p>
        </w:tc>
        <w:tc>
          <w:tcPr>
            <w:tcW w:w="2126" w:type="dxa"/>
            <w:shd w:val="clear" w:color="auto" w:fill="F1F1F1"/>
          </w:tcPr>
          <w:p w14:paraId="71D19D5F" w14:textId="77777777" w:rsidR="00370E9C" w:rsidRDefault="00370E9C" w:rsidP="00CD363C">
            <w:pPr>
              <w:pStyle w:val="TableParagraph"/>
              <w:ind w:right="407"/>
              <w:jc w:val="both"/>
              <w:rPr>
                <w:i/>
                <w:sz w:val="25"/>
              </w:rPr>
            </w:pPr>
          </w:p>
          <w:p w14:paraId="118F40C6" w14:textId="77777777" w:rsidR="00370E9C" w:rsidRDefault="00370E9C" w:rsidP="00CD363C">
            <w:pPr>
              <w:pStyle w:val="TableParagraph"/>
              <w:ind w:left="212" w:right="407" w:firstLine="1"/>
              <w:jc w:val="both"/>
              <w:rPr>
                <w:b/>
                <w:sz w:val="20"/>
              </w:rPr>
            </w:pPr>
            <w:r>
              <w:rPr>
                <w:b/>
                <w:sz w:val="20"/>
              </w:rPr>
              <w:t>Uzskaites vērtība attiecīgajā</w:t>
            </w:r>
            <w:r>
              <w:rPr>
                <w:b/>
                <w:spacing w:val="-9"/>
                <w:sz w:val="20"/>
              </w:rPr>
              <w:t xml:space="preserve"> </w:t>
            </w:r>
            <w:r>
              <w:rPr>
                <w:b/>
                <w:sz w:val="20"/>
              </w:rPr>
              <w:t>datumā, EUR</w:t>
            </w:r>
          </w:p>
        </w:tc>
      </w:tr>
      <w:tr w:rsidR="00370E9C" w14:paraId="4CBE89A6" w14:textId="77777777" w:rsidTr="00FF1C69">
        <w:trPr>
          <w:trHeight w:val="229"/>
        </w:trPr>
        <w:tc>
          <w:tcPr>
            <w:tcW w:w="1560" w:type="dxa"/>
            <w:shd w:val="clear" w:color="auto" w:fill="F1F1F1"/>
          </w:tcPr>
          <w:p w14:paraId="0E2EF7A6" w14:textId="77777777" w:rsidR="00370E9C" w:rsidRDefault="00370E9C" w:rsidP="00CD363C">
            <w:pPr>
              <w:pStyle w:val="TableParagraph"/>
              <w:ind w:right="407"/>
              <w:jc w:val="both"/>
              <w:rPr>
                <w:sz w:val="16"/>
              </w:rPr>
            </w:pPr>
          </w:p>
        </w:tc>
        <w:tc>
          <w:tcPr>
            <w:tcW w:w="1985" w:type="dxa"/>
            <w:shd w:val="clear" w:color="auto" w:fill="F1F1F1"/>
          </w:tcPr>
          <w:p w14:paraId="3ADF4CAF" w14:textId="77777777" w:rsidR="00370E9C" w:rsidRDefault="00370E9C" w:rsidP="00CD363C">
            <w:pPr>
              <w:pStyle w:val="TableParagraph"/>
              <w:ind w:right="407"/>
              <w:jc w:val="both"/>
              <w:rPr>
                <w:b/>
                <w:sz w:val="20"/>
              </w:rPr>
            </w:pPr>
            <w:r>
              <w:rPr>
                <w:b/>
                <w:w w:val="99"/>
                <w:sz w:val="20"/>
              </w:rPr>
              <w:t>A</w:t>
            </w:r>
          </w:p>
        </w:tc>
        <w:tc>
          <w:tcPr>
            <w:tcW w:w="1843" w:type="dxa"/>
            <w:shd w:val="clear" w:color="auto" w:fill="F1F1F1"/>
          </w:tcPr>
          <w:p w14:paraId="238DA3F4" w14:textId="77777777" w:rsidR="00370E9C" w:rsidRDefault="00370E9C" w:rsidP="00CD363C">
            <w:pPr>
              <w:pStyle w:val="TableParagraph"/>
              <w:ind w:right="407"/>
              <w:jc w:val="both"/>
              <w:rPr>
                <w:b/>
                <w:sz w:val="20"/>
              </w:rPr>
            </w:pPr>
            <w:r>
              <w:rPr>
                <w:b/>
                <w:w w:val="99"/>
                <w:sz w:val="20"/>
              </w:rPr>
              <w:t>B</w:t>
            </w:r>
          </w:p>
        </w:tc>
        <w:tc>
          <w:tcPr>
            <w:tcW w:w="1982" w:type="dxa"/>
            <w:shd w:val="clear" w:color="auto" w:fill="F1F1F1"/>
          </w:tcPr>
          <w:p w14:paraId="0BD77AF8" w14:textId="77777777" w:rsidR="00370E9C" w:rsidRDefault="00370E9C" w:rsidP="00CD363C">
            <w:pPr>
              <w:pStyle w:val="TableParagraph"/>
              <w:ind w:right="407"/>
              <w:jc w:val="both"/>
              <w:rPr>
                <w:b/>
                <w:sz w:val="20"/>
              </w:rPr>
            </w:pPr>
            <w:r>
              <w:rPr>
                <w:b/>
                <w:w w:val="99"/>
                <w:sz w:val="20"/>
              </w:rPr>
              <w:t>C</w:t>
            </w:r>
          </w:p>
        </w:tc>
        <w:tc>
          <w:tcPr>
            <w:tcW w:w="2126" w:type="dxa"/>
            <w:shd w:val="clear" w:color="auto" w:fill="F1F1F1"/>
          </w:tcPr>
          <w:p w14:paraId="64953FD4" w14:textId="77777777" w:rsidR="00370E9C" w:rsidRDefault="00370E9C" w:rsidP="00CD363C">
            <w:pPr>
              <w:pStyle w:val="TableParagraph"/>
              <w:ind w:left="604" w:right="407"/>
              <w:jc w:val="both"/>
              <w:rPr>
                <w:b/>
                <w:sz w:val="20"/>
              </w:rPr>
            </w:pPr>
            <w:r>
              <w:rPr>
                <w:b/>
                <w:sz w:val="20"/>
              </w:rPr>
              <w:t>D=A+B-C</w:t>
            </w:r>
          </w:p>
        </w:tc>
      </w:tr>
      <w:tr w:rsidR="00370E9C" w14:paraId="6F24B6B1" w14:textId="77777777" w:rsidTr="00FF1C69">
        <w:trPr>
          <w:trHeight w:val="328"/>
        </w:trPr>
        <w:tc>
          <w:tcPr>
            <w:tcW w:w="1560" w:type="dxa"/>
          </w:tcPr>
          <w:p w14:paraId="44B372C8" w14:textId="77777777" w:rsidR="00370E9C" w:rsidRDefault="00370E9C" w:rsidP="00CD363C">
            <w:pPr>
              <w:pStyle w:val="TableParagraph"/>
              <w:ind w:right="407"/>
              <w:jc w:val="both"/>
              <w:rPr>
                <w:sz w:val="20"/>
              </w:rPr>
            </w:pPr>
            <w:r>
              <w:rPr>
                <w:w w:val="95"/>
                <w:sz w:val="20"/>
              </w:rPr>
              <w:t>31.12.2019.</w:t>
            </w:r>
          </w:p>
        </w:tc>
        <w:tc>
          <w:tcPr>
            <w:tcW w:w="1985" w:type="dxa"/>
          </w:tcPr>
          <w:p w14:paraId="33473574" w14:textId="77777777" w:rsidR="00370E9C" w:rsidRDefault="00370E9C" w:rsidP="00CD363C">
            <w:pPr>
              <w:pStyle w:val="TableParagraph"/>
              <w:ind w:right="407"/>
              <w:jc w:val="both"/>
              <w:rPr>
                <w:sz w:val="20"/>
              </w:rPr>
            </w:pPr>
            <w:r>
              <w:rPr>
                <w:sz w:val="20"/>
              </w:rPr>
              <w:t>10 000,00</w:t>
            </w:r>
          </w:p>
        </w:tc>
        <w:tc>
          <w:tcPr>
            <w:tcW w:w="1843" w:type="dxa"/>
          </w:tcPr>
          <w:p w14:paraId="4DDA71F7" w14:textId="77777777" w:rsidR="00370E9C" w:rsidRDefault="00370E9C" w:rsidP="00CD363C">
            <w:pPr>
              <w:pStyle w:val="TableParagraph"/>
              <w:ind w:right="407"/>
              <w:jc w:val="both"/>
              <w:rPr>
                <w:sz w:val="20"/>
              </w:rPr>
            </w:pPr>
            <w:r>
              <w:rPr>
                <w:w w:val="95"/>
                <w:sz w:val="20"/>
              </w:rPr>
              <w:t>497,26</w:t>
            </w:r>
          </w:p>
        </w:tc>
        <w:tc>
          <w:tcPr>
            <w:tcW w:w="1982" w:type="dxa"/>
          </w:tcPr>
          <w:p w14:paraId="5052EDDE" w14:textId="77777777" w:rsidR="00370E9C" w:rsidRDefault="00370E9C" w:rsidP="00CD363C">
            <w:pPr>
              <w:pStyle w:val="TableParagraph"/>
              <w:ind w:right="407"/>
              <w:jc w:val="both"/>
              <w:rPr>
                <w:sz w:val="20"/>
              </w:rPr>
            </w:pPr>
            <w:r>
              <w:rPr>
                <w:w w:val="99"/>
                <w:sz w:val="20"/>
              </w:rPr>
              <w:t>-</w:t>
            </w:r>
          </w:p>
        </w:tc>
        <w:tc>
          <w:tcPr>
            <w:tcW w:w="2126" w:type="dxa"/>
          </w:tcPr>
          <w:p w14:paraId="187C2F06" w14:textId="77777777" w:rsidR="00370E9C" w:rsidRDefault="00370E9C" w:rsidP="00CD363C">
            <w:pPr>
              <w:pStyle w:val="TableParagraph"/>
              <w:ind w:right="407"/>
              <w:jc w:val="both"/>
              <w:rPr>
                <w:sz w:val="20"/>
              </w:rPr>
            </w:pPr>
            <w:r>
              <w:rPr>
                <w:sz w:val="20"/>
              </w:rPr>
              <w:t>10 497,26</w:t>
            </w:r>
          </w:p>
        </w:tc>
      </w:tr>
      <w:tr w:rsidR="00370E9C" w14:paraId="4467B371" w14:textId="77777777" w:rsidTr="00FF1C69">
        <w:trPr>
          <w:trHeight w:val="330"/>
        </w:trPr>
        <w:tc>
          <w:tcPr>
            <w:tcW w:w="1560" w:type="dxa"/>
          </w:tcPr>
          <w:p w14:paraId="6E81A95F" w14:textId="77777777" w:rsidR="00370E9C" w:rsidRDefault="00370E9C" w:rsidP="00CD363C">
            <w:pPr>
              <w:pStyle w:val="TableParagraph"/>
              <w:ind w:right="407"/>
              <w:jc w:val="both"/>
              <w:rPr>
                <w:sz w:val="20"/>
              </w:rPr>
            </w:pPr>
            <w:r>
              <w:rPr>
                <w:w w:val="95"/>
                <w:sz w:val="20"/>
              </w:rPr>
              <w:t>02.01.2020.</w:t>
            </w:r>
          </w:p>
        </w:tc>
        <w:tc>
          <w:tcPr>
            <w:tcW w:w="1985" w:type="dxa"/>
          </w:tcPr>
          <w:p w14:paraId="7F4B9220" w14:textId="77777777" w:rsidR="00370E9C" w:rsidRDefault="00370E9C" w:rsidP="00CD363C">
            <w:pPr>
              <w:pStyle w:val="TableParagraph"/>
              <w:ind w:right="407"/>
              <w:jc w:val="both"/>
              <w:rPr>
                <w:sz w:val="20"/>
              </w:rPr>
            </w:pPr>
            <w:r>
              <w:rPr>
                <w:sz w:val="20"/>
              </w:rPr>
              <w:t>10 497,26</w:t>
            </w:r>
          </w:p>
        </w:tc>
        <w:tc>
          <w:tcPr>
            <w:tcW w:w="1843" w:type="dxa"/>
          </w:tcPr>
          <w:p w14:paraId="1131D621" w14:textId="77777777" w:rsidR="00370E9C" w:rsidRDefault="00370E9C" w:rsidP="00CD363C">
            <w:pPr>
              <w:pStyle w:val="TableParagraph"/>
              <w:ind w:right="407"/>
              <w:jc w:val="both"/>
              <w:rPr>
                <w:sz w:val="20"/>
              </w:rPr>
            </w:pPr>
            <w:r>
              <w:rPr>
                <w:sz w:val="20"/>
              </w:rPr>
              <w:t>2,74</w:t>
            </w:r>
          </w:p>
        </w:tc>
        <w:tc>
          <w:tcPr>
            <w:tcW w:w="1982" w:type="dxa"/>
          </w:tcPr>
          <w:p w14:paraId="3FF0773F" w14:textId="77777777" w:rsidR="00370E9C" w:rsidRDefault="00370E9C" w:rsidP="00CD363C">
            <w:pPr>
              <w:pStyle w:val="TableParagraph"/>
              <w:ind w:right="407"/>
              <w:jc w:val="both"/>
              <w:rPr>
                <w:sz w:val="20"/>
              </w:rPr>
            </w:pPr>
            <w:r>
              <w:rPr>
                <w:sz w:val="20"/>
              </w:rPr>
              <w:t>2 500,00</w:t>
            </w:r>
          </w:p>
        </w:tc>
        <w:tc>
          <w:tcPr>
            <w:tcW w:w="2126" w:type="dxa"/>
          </w:tcPr>
          <w:p w14:paraId="071B7BC4" w14:textId="77777777" w:rsidR="00370E9C" w:rsidRDefault="00370E9C" w:rsidP="00CD363C">
            <w:pPr>
              <w:pStyle w:val="TableParagraph"/>
              <w:ind w:right="407"/>
              <w:jc w:val="both"/>
              <w:rPr>
                <w:sz w:val="20"/>
              </w:rPr>
            </w:pPr>
            <w:r>
              <w:rPr>
                <w:sz w:val="20"/>
              </w:rPr>
              <w:t>8 000,00</w:t>
            </w:r>
          </w:p>
        </w:tc>
      </w:tr>
      <w:tr w:rsidR="00370E9C" w14:paraId="1551B4E5" w14:textId="77777777" w:rsidTr="00FF1C69">
        <w:trPr>
          <w:trHeight w:val="330"/>
        </w:trPr>
        <w:tc>
          <w:tcPr>
            <w:tcW w:w="1560" w:type="dxa"/>
          </w:tcPr>
          <w:p w14:paraId="595BDA74" w14:textId="77777777" w:rsidR="00370E9C" w:rsidRDefault="00370E9C" w:rsidP="00CD363C">
            <w:pPr>
              <w:pStyle w:val="TableParagraph"/>
              <w:ind w:right="407"/>
              <w:jc w:val="both"/>
              <w:rPr>
                <w:sz w:val="20"/>
              </w:rPr>
            </w:pPr>
            <w:r>
              <w:rPr>
                <w:w w:val="95"/>
                <w:sz w:val="20"/>
              </w:rPr>
              <w:t>31.12.2020.</w:t>
            </w:r>
          </w:p>
        </w:tc>
        <w:tc>
          <w:tcPr>
            <w:tcW w:w="1985" w:type="dxa"/>
          </w:tcPr>
          <w:p w14:paraId="33D87D44" w14:textId="77777777" w:rsidR="00370E9C" w:rsidRDefault="00370E9C" w:rsidP="00CD363C">
            <w:pPr>
              <w:pStyle w:val="TableParagraph"/>
              <w:ind w:right="407"/>
              <w:jc w:val="both"/>
              <w:rPr>
                <w:sz w:val="20"/>
              </w:rPr>
            </w:pPr>
            <w:r>
              <w:rPr>
                <w:sz w:val="20"/>
              </w:rPr>
              <w:t>8 000,00</w:t>
            </w:r>
          </w:p>
        </w:tc>
        <w:tc>
          <w:tcPr>
            <w:tcW w:w="1843" w:type="dxa"/>
          </w:tcPr>
          <w:p w14:paraId="134A6D7A" w14:textId="77777777" w:rsidR="00370E9C" w:rsidRDefault="00370E9C" w:rsidP="00CD363C">
            <w:pPr>
              <w:pStyle w:val="TableParagraph"/>
              <w:ind w:right="407"/>
              <w:jc w:val="both"/>
              <w:rPr>
                <w:sz w:val="20"/>
              </w:rPr>
            </w:pPr>
            <w:r>
              <w:rPr>
                <w:w w:val="95"/>
                <w:sz w:val="20"/>
              </w:rPr>
              <w:t>405,76</w:t>
            </w:r>
          </w:p>
        </w:tc>
        <w:tc>
          <w:tcPr>
            <w:tcW w:w="1982" w:type="dxa"/>
          </w:tcPr>
          <w:p w14:paraId="295697A5" w14:textId="77777777" w:rsidR="00370E9C" w:rsidRDefault="00370E9C" w:rsidP="00CD363C">
            <w:pPr>
              <w:pStyle w:val="TableParagraph"/>
              <w:ind w:right="407"/>
              <w:jc w:val="both"/>
              <w:rPr>
                <w:sz w:val="20"/>
              </w:rPr>
            </w:pPr>
            <w:r>
              <w:rPr>
                <w:w w:val="99"/>
                <w:sz w:val="20"/>
              </w:rPr>
              <w:t>-</w:t>
            </w:r>
          </w:p>
        </w:tc>
        <w:tc>
          <w:tcPr>
            <w:tcW w:w="2126" w:type="dxa"/>
          </w:tcPr>
          <w:p w14:paraId="7A0462DD" w14:textId="77777777" w:rsidR="00370E9C" w:rsidRDefault="00370E9C" w:rsidP="00CD363C">
            <w:pPr>
              <w:pStyle w:val="TableParagraph"/>
              <w:ind w:right="407"/>
              <w:jc w:val="both"/>
              <w:rPr>
                <w:sz w:val="20"/>
              </w:rPr>
            </w:pPr>
            <w:r>
              <w:rPr>
                <w:sz w:val="20"/>
              </w:rPr>
              <w:t>8 405,76</w:t>
            </w:r>
          </w:p>
        </w:tc>
      </w:tr>
      <w:tr w:rsidR="00370E9C" w14:paraId="56BF7859" w14:textId="77777777" w:rsidTr="00FF1C69">
        <w:trPr>
          <w:trHeight w:val="328"/>
        </w:trPr>
        <w:tc>
          <w:tcPr>
            <w:tcW w:w="1560" w:type="dxa"/>
          </w:tcPr>
          <w:p w14:paraId="7A956B5C" w14:textId="77777777" w:rsidR="00370E9C" w:rsidRDefault="00370E9C" w:rsidP="00CD363C">
            <w:pPr>
              <w:pStyle w:val="TableParagraph"/>
              <w:ind w:right="407"/>
              <w:jc w:val="both"/>
              <w:rPr>
                <w:sz w:val="20"/>
              </w:rPr>
            </w:pPr>
            <w:r>
              <w:rPr>
                <w:w w:val="95"/>
                <w:sz w:val="20"/>
              </w:rPr>
              <w:t>02.01.2021.</w:t>
            </w:r>
          </w:p>
        </w:tc>
        <w:tc>
          <w:tcPr>
            <w:tcW w:w="1985" w:type="dxa"/>
          </w:tcPr>
          <w:p w14:paraId="5144B523" w14:textId="77777777" w:rsidR="00370E9C" w:rsidRDefault="00370E9C" w:rsidP="00CD363C">
            <w:pPr>
              <w:pStyle w:val="TableParagraph"/>
              <w:ind w:right="407"/>
              <w:jc w:val="both"/>
              <w:rPr>
                <w:sz w:val="20"/>
              </w:rPr>
            </w:pPr>
            <w:r>
              <w:rPr>
                <w:sz w:val="20"/>
              </w:rPr>
              <w:t>8 405,76</w:t>
            </w:r>
          </w:p>
        </w:tc>
        <w:tc>
          <w:tcPr>
            <w:tcW w:w="1843" w:type="dxa"/>
          </w:tcPr>
          <w:p w14:paraId="53E5DE59" w14:textId="77777777" w:rsidR="00370E9C" w:rsidRDefault="00370E9C" w:rsidP="00CD363C">
            <w:pPr>
              <w:pStyle w:val="TableParagraph"/>
              <w:ind w:right="407"/>
              <w:jc w:val="both"/>
              <w:rPr>
                <w:sz w:val="20"/>
              </w:rPr>
            </w:pPr>
            <w:r>
              <w:rPr>
                <w:sz w:val="20"/>
              </w:rPr>
              <w:t>2,24</w:t>
            </w:r>
          </w:p>
        </w:tc>
        <w:tc>
          <w:tcPr>
            <w:tcW w:w="1982" w:type="dxa"/>
          </w:tcPr>
          <w:p w14:paraId="348FE5FB" w14:textId="77777777" w:rsidR="00370E9C" w:rsidRDefault="00370E9C" w:rsidP="00CD363C">
            <w:pPr>
              <w:pStyle w:val="TableParagraph"/>
              <w:ind w:right="407"/>
              <w:jc w:val="both"/>
              <w:rPr>
                <w:sz w:val="20"/>
              </w:rPr>
            </w:pPr>
            <w:r>
              <w:rPr>
                <w:sz w:val="20"/>
              </w:rPr>
              <w:t>2 408,00</w:t>
            </w:r>
          </w:p>
        </w:tc>
        <w:tc>
          <w:tcPr>
            <w:tcW w:w="2126" w:type="dxa"/>
          </w:tcPr>
          <w:p w14:paraId="0F76AC5F" w14:textId="77777777" w:rsidR="00370E9C" w:rsidRDefault="00370E9C" w:rsidP="00CD363C">
            <w:pPr>
              <w:pStyle w:val="TableParagraph"/>
              <w:ind w:right="407"/>
              <w:jc w:val="both"/>
              <w:rPr>
                <w:sz w:val="20"/>
              </w:rPr>
            </w:pPr>
            <w:r>
              <w:rPr>
                <w:sz w:val="20"/>
              </w:rPr>
              <w:t>6 000,00</w:t>
            </w:r>
          </w:p>
        </w:tc>
      </w:tr>
      <w:tr w:rsidR="00370E9C" w14:paraId="3712FD84" w14:textId="77777777" w:rsidTr="00FF1C69">
        <w:trPr>
          <w:trHeight w:val="330"/>
        </w:trPr>
        <w:tc>
          <w:tcPr>
            <w:tcW w:w="1560" w:type="dxa"/>
          </w:tcPr>
          <w:p w14:paraId="0A78E53F" w14:textId="77777777" w:rsidR="00370E9C" w:rsidRDefault="00370E9C" w:rsidP="00CD363C">
            <w:pPr>
              <w:pStyle w:val="TableParagraph"/>
              <w:ind w:right="407"/>
              <w:jc w:val="both"/>
              <w:rPr>
                <w:sz w:val="20"/>
              </w:rPr>
            </w:pPr>
            <w:r>
              <w:rPr>
                <w:w w:val="95"/>
                <w:sz w:val="20"/>
              </w:rPr>
              <w:t>31.12.2021.</w:t>
            </w:r>
          </w:p>
        </w:tc>
        <w:tc>
          <w:tcPr>
            <w:tcW w:w="1985" w:type="dxa"/>
          </w:tcPr>
          <w:p w14:paraId="5AFF5F7A" w14:textId="77777777" w:rsidR="00370E9C" w:rsidRDefault="00370E9C" w:rsidP="00CD363C">
            <w:pPr>
              <w:pStyle w:val="TableParagraph"/>
              <w:ind w:right="407"/>
              <w:jc w:val="both"/>
              <w:rPr>
                <w:sz w:val="20"/>
              </w:rPr>
            </w:pPr>
            <w:r>
              <w:rPr>
                <w:sz w:val="20"/>
              </w:rPr>
              <w:t>6 000,00</w:t>
            </w:r>
          </w:p>
        </w:tc>
        <w:tc>
          <w:tcPr>
            <w:tcW w:w="1843" w:type="dxa"/>
          </w:tcPr>
          <w:p w14:paraId="11FEB100" w14:textId="77777777" w:rsidR="00370E9C" w:rsidRDefault="00370E9C" w:rsidP="00CD363C">
            <w:pPr>
              <w:pStyle w:val="TableParagraph"/>
              <w:ind w:right="407"/>
              <w:jc w:val="both"/>
              <w:rPr>
                <w:sz w:val="20"/>
              </w:rPr>
            </w:pPr>
            <w:r>
              <w:rPr>
                <w:w w:val="95"/>
                <w:sz w:val="20"/>
              </w:rPr>
              <w:t>291,20</w:t>
            </w:r>
          </w:p>
        </w:tc>
        <w:tc>
          <w:tcPr>
            <w:tcW w:w="1982" w:type="dxa"/>
          </w:tcPr>
          <w:p w14:paraId="72D91321" w14:textId="77777777" w:rsidR="00370E9C" w:rsidRDefault="00370E9C" w:rsidP="00CD363C">
            <w:pPr>
              <w:pStyle w:val="TableParagraph"/>
              <w:ind w:right="407"/>
              <w:jc w:val="both"/>
              <w:rPr>
                <w:sz w:val="20"/>
              </w:rPr>
            </w:pPr>
            <w:r>
              <w:rPr>
                <w:w w:val="99"/>
                <w:sz w:val="20"/>
              </w:rPr>
              <w:t>-</w:t>
            </w:r>
          </w:p>
        </w:tc>
        <w:tc>
          <w:tcPr>
            <w:tcW w:w="2126" w:type="dxa"/>
          </w:tcPr>
          <w:p w14:paraId="0CBFD9CB" w14:textId="77777777" w:rsidR="00370E9C" w:rsidRDefault="00370E9C" w:rsidP="00CD363C">
            <w:pPr>
              <w:pStyle w:val="TableParagraph"/>
              <w:ind w:right="407"/>
              <w:jc w:val="both"/>
              <w:rPr>
                <w:sz w:val="20"/>
              </w:rPr>
            </w:pPr>
            <w:r>
              <w:rPr>
                <w:sz w:val="20"/>
              </w:rPr>
              <w:t>6 291,20</w:t>
            </w:r>
          </w:p>
        </w:tc>
      </w:tr>
      <w:tr w:rsidR="00370E9C" w14:paraId="6211952A" w14:textId="77777777" w:rsidTr="00FF1C69">
        <w:trPr>
          <w:trHeight w:val="330"/>
        </w:trPr>
        <w:tc>
          <w:tcPr>
            <w:tcW w:w="1560" w:type="dxa"/>
          </w:tcPr>
          <w:p w14:paraId="6E947057" w14:textId="77777777" w:rsidR="00370E9C" w:rsidRDefault="00370E9C" w:rsidP="00CD363C">
            <w:pPr>
              <w:pStyle w:val="TableParagraph"/>
              <w:ind w:right="407"/>
              <w:jc w:val="both"/>
              <w:rPr>
                <w:sz w:val="20"/>
              </w:rPr>
            </w:pPr>
            <w:r>
              <w:rPr>
                <w:w w:val="95"/>
                <w:sz w:val="20"/>
              </w:rPr>
              <w:t>02.01.2022.</w:t>
            </w:r>
          </w:p>
        </w:tc>
        <w:tc>
          <w:tcPr>
            <w:tcW w:w="1985" w:type="dxa"/>
          </w:tcPr>
          <w:p w14:paraId="4FA6AD12" w14:textId="77777777" w:rsidR="00370E9C" w:rsidRDefault="00370E9C" w:rsidP="00CD363C">
            <w:pPr>
              <w:pStyle w:val="TableParagraph"/>
              <w:ind w:right="407"/>
              <w:jc w:val="both"/>
              <w:rPr>
                <w:sz w:val="20"/>
              </w:rPr>
            </w:pPr>
            <w:r>
              <w:rPr>
                <w:sz w:val="20"/>
              </w:rPr>
              <w:t>6 291,20</w:t>
            </w:r>
          </w:p>
        </w:tc>
        <w:tc>
          <w:tcPr>
            <w:tcW w:w="1843" w:type="dxa"/>
          </w:tcPr>
          <w:p w14:paraId="484A61EE" w14:textId="77777777" w:rsidR="00370E9C" w:rsidRDefault="00370E9C" w:rsidP="00CD363C">
            <w:pPr>
              <w:pStyle w:val="TableParagraph"/>
              <w:ind w:right="407"/>
              <w:jc w:val="both"/>
              <w:rPr>
                <w:sz w:val="20"/>
              </w:rPr>
            </w:pPr>
            <w:r>
              <w:rPr>
                <w:sz w:val="20"/>
              </w:rPr>
              <w:t>1,60</w:t>
            </w:r>
          </w:p>
        </w:tc>
        <w:tc>
          <w:tcPr>
            <w:tcW w:w="1982" w:type="dxa"/>
          </w:tcPr>
          <w:p w14:paraId="689BD1DB" w14:textId="77777777" w:rsidR="00370E9C" w:rsidRDefault="00370E9C" w:rsidP="00CD363C">
            <w:pPr>
              <w:pStyle w:val="TableParagraph"/>
              <w:ind w:right="407"/>
              <w:jc w:val="both"/>
              <w:rPr>
                <w:sz w:val="20"/>
              </w:rPr>
            </w:pPr>
            <w:r>
              <w:rPr>
                <w:sz w:val="20"/>
              </w:rPr>
              <w:t>2 292,80</w:t>
            </w:r>
          </w:p>
        </w:tc>
        <w:tc>
          <w:tcPr>
            <w:tcW w:w="2126" w:type="dxa"/>
          </w:tcPr>
          <w:p w14:paraId="3CCEBC10" w14:textId="77777777" w:rsidR="00370E9C" w:rsidRDefault="00370E9C" w:rsidP="00CD363C">
            <w:pPr>
              <w:pStyle w:val="TableParagraph"/>
              <w:ind w:right="407"/>
              <w:jc w:val="both"/>
              <w:rPr>
                <w:sz w:val="20"/>
              </w:rPr>
            </w:pPr>
            <w:r>
              <w:rPr>
                <w:sz w:val="20"/>
              </w:rPr>
              <w:t>4 000,00</w:t>
            </w:r>
          </w:p>
        </w:tc>
      </w:tr>
      <w:tr w:rsidR="00370E9C" w14:paraId="20561937" w14:textId="77777777" w:rsidTr="00FF1C69">
        <w:trPr>
          <w:trHeight w:val="328"/>
        </w:trPr>
        <w:tc>
          <w:tcPr>
            <w:tcW w:w="1560" w:type="dxa"/>
          </w:tcPr>
          <w:p w14:paraId="579466EA" w14:textId="77777777" w:rsidR="00370E9C" w:rsidRDefault="00370E9C" w:rsidP="00CD363C">
            <w:pPr>
              <w:pStyle w:val="TableParagraph"/>
              <w:ind w:right="407"/>
              <w:jc w:val="both"/>
              <w:rPr>
                <w:sz w:val="20"/>
              </w:rPr>
            </w:pPr>
            <w:r>
              <w:rPr>
                <w:w w:val="95"/>
                <w:sz w:val="20"/>
              </w:rPr>
              <w:t>31.12.2022.</w:t>
            </w:r>
          </w:p>
        </w:tc>
        <w:tc>
          <w:tcPr>
            <w:tcW w:w="1985" w:type="dxa"/>
          </w:tcPr>
          <w:p w14:paraId="733D061B" w14:textId="77777777" w:rsidR="00370E9C" w:rsidRDefault="00370E9C" w:rsidP="00CD363C">
            <w:pPr>
              <w:pStyle w:val="TableParagraph"/>
              <w:ind w:right="407"/>
              <w:jc w:val="both"/>
              <w:rPr>
                <w:sz w:val="20"/>
              </w:rPr>
            </w:pPr>
            <w:r>
              <w:rPr>
                <w:sz w:val="20"/>
              </w:rPr>
              <w:t>4 000,00</w:t>
            </w:r>
          </w:p>
        </w:tc>
        <w:tc>
          <w:tcPr>
            <w:tcW w:w="1843" w:type="dxa"/>
          </w:tcPr>
          <w:p w14:paraId="0720379E" w14:textId="77777777" w:rsidR="00370E9C" w:rsidRDefault="00370E9C" w:rsidP="00CD363C">
            <w:pPr>
              <w:pStyle w:val="TableParagraph"/>
              <w:ind w:right="407"/>
              <w:jc w:val="both"/>
              <w:rPr>
                <w:sz w:val="20"/>
              </w:rPr>
            </w:pPr>
            <w:r>
              <w:rPr>
                <w:w w:val="95"/>
                <w:sz w:val="20"/>
              </w:rPr>
              <w:t>203,68</w:t>
            </w:r>
          </w:p>
        </w:tc>
        <w:tc>
          <w:tcPr>
            <w:tcW w:w="1982" w:type="dxa"/>
          </w:tcPr>
          <w:p w14:paraId="7A025AF9" w14:textId="77777777" w:rsidR="00370E9C" w:rsidRDefault="00370E9C" w:rsidP="00CD363C">
            <w:pPr>
              <w:pStyle w:val="TableParagraph"/>
              <w:ind w:right="407"/>
              <w:jc w:val="both"/>
              <w:rPr>
                <w:sz w:val="20"/>
              </w:rPr>
            </w:pPr>
            <w:r>
              <w:rPr>
                <w:w w:val="99"/>
                <w:sz w:val="20"/>
              </w:rPr>
              <w:t>-</w:t>
            </w:r>
          </w:p>
        </w:tc>
        <w:tc>
          <w:tcPr>
            <w:tcW w:w="2126" w:type="dxa"/>
          </w:tcPr>
          <w:p w14:paraId="4768F399" w14:textId="77777777" w:rsidR="00370E9C" w:rsidRDefault="00370E9C" w:rsidP="00CD363C">
            <w:pPr>
              <w:pStyle w:val="TableParagraph"/>
              <w:ind w:right="407"/>
              <w:jc w:val="both"/>
              <w:rPr>
                <w:sz w:val="20"/>
              </w:rPr>
            </w:pPr>
            <w:r>
              <w:rPr>
                <w:sz w:val="20"/>
              </w:rPr>
              <w:t>4 203,68</w:t>
            </w:r>
          </w:p>
        </w:tc>
      </w:tr>
      <w:tr w:rsidR="00370E9C" w14:paraId="09BA5289" w14:textId="77777777" w:rsidTr="00FF1C69">
        <w:trPr>
          <w:trHeight w:val="331"/>
        </w:trPr>
        <w:tc>
          <w:tcPr>
            <w:tcW w:w="1560" w:type="dxa"/>
          </w:tcPr>
          <w:p w14:paraId="22120449" w14:textId="77777777" w:rsidR="00370E9C" w:rsidRDefault="00370E9C" w:rsidP="00CD363C">
            <w:pPr>
              <w:pStyle w:val="TableParagraph"/>
              <w:ind w:right="407"/>
              <w:jc w:val="both"/>
              <w:rPr>
                <w:sz w:val="20"/>
              </w:rPr>
            </w:pPr>
            <w:r>
              <w:rPr>
                <w:w w:val="95"/>
                <w:sz w:val="20"/>
              </w:rPr>
              <w:t>02.01.2023.</w:t>
            </w:r>
          </w:p>
        </w:tc>
        <w:tc>
          <w:tcPr>
            <w:tcW w:w="1985" w:type="dxa"/>
          </w:tcPr>
          <w:p w14:paraId="283B2BEE" w14:textId="77777777" w:rsidR="00370E9C" w:rsidRDefault="00370E9C" w:rsidP="00CD363C">
            <w:pPr>
              <w:pStyle w:val="TableParagraph"/>
              <w:ind w:right="407"/>
              <w:jc w:val="both"/>
              <w:rPr>
                <w:sz w:val="20"/>
              </w:rPr>
            </w:pPr>
            <w:r>
              <w:rPr>
                <w:sz w:val="20"/>
              </w:rPr>
              <w:t>4 203,68</w:t>
            </w:r>
          </w:p>
        </w:tc>
        <w:tc>
          <w:tcPr>
            <w:tcW w:w="1843" w:type="dxa"/>
          </w:tcPr>
          <w:p w14:paraId="011100E9" w14:textId="77777777" w:rsidR="00370E9C" w:rsidRDefault="00370E9C" w:rsidP="00CD363C">
            <w:pPr>
              <w:pStyle w:val="TableParagraph"/>
              <w:ind w:right="407"/>
              <w:jc w:val="both"/>
              <w:rPr>
                <w:sz w:val="20"/>
              </w:rPr>
            </w:pPr>
            <w:r>
              <w:rPr>
                <w:sz w:val="20"/>
              </w:rPr>
              <w:t>1,12</w:t>
            </w:r>
          </w:p>
        </w:tc>
        <w:tc>
          <w:tcPr>
            <w:tcW w:w="1982" w:type="dxa"/>
          </w:tcPr>
          <w:p w14:paraId="045CAE02" w14:textId="77777777" w:rsidR="00370E9C" w:rsidRDefault="00370E9C" w:rsidP="00CD363C">
            <w:pPr>
              <w:pStyle w:val="TableParagraph"/>
              <w:ind w:right="407"/>
              <w:jc w:val="both"/>
              <w:rPr>
                <w:sz w:val="20"/>
              </w:rPr>
            </w:pPr>
            <w:r>
              <w:rPr>
                <w:sz w:val="20"/>
              </w:rPr>
              <w:t>2 204,80</w:t>
            </w:r>
          </w:p>
        </w:tc>
        <w:tc>
          <w:tcPr>
            <w:tcW w:w="2126" w:type="dxa"/>
          </w:tcPr>
          <w:p w14:paraId="728C4184" w14:textId="77777777" w:rsidR="00370E9C" w:rsidRDefault="00370E9C" w:rsidP="00CD363C">
            <w:pPr>
              <w:pStyle w:val="TableParagraph"/>
              <w:ind w:right="407"/>
              <w:jc w:val="both"/>
              <w:rPr>
                <w:sz w:val="20"/>
              </w:rPr>
            </w:pPr>
            <w:r>
              <w:rPr>
                <w:sz w:val="20"/>
              </w:rPr>
              <w:t>2 000,00</w:t>
            </w:r>
          </w:p>
        </w:tc>
      </w:tr>
      <w:tr w:rsidR="00370E9C" w14:paraId="4CAFCEA6" w14:textId="77777777" w:rsidTr="00FF1C69">
        <w:trPr>
          <w:trHeight w:val="330"/>
        </w:trPr>
        <w:tc>
          <w:tcPr>
            <w:tcW w:w="1560" w:type="dxa"/>
          </w:tcPr>
          <w:p w14:paraId="4BFD0372" w14:textId="77777777" w:rsidR="00370E9C" w:rsidRDefault="00370E9C" w:rsidP="00CD363C">
            <w:pPr>
              <w:pStyle w:val="TableParagraph"/>
              <w:ind w:right="407"/>
              <w:jc w:val="both"/>
              <w:rPr>
                <w:sz w:val="20"/>
              </w:rPr>
            </w:pPr>
            <w:r>
              <w:rPr>
                <w:w w:val="95"/>
                <w:sz w:val="20"/>
              </w:rPr>
              <w:t>31.12.2023.</w:t>
            </w:r>
          </w:p>
        </w:tc>
        <w:tc>
          <w:tcPr>
            <w:tcW w:w="1985" w:type="dxa"/>
          </w:tcPr>
          <w:p w14:paraId="447A16AA" w14:textId="77777777" w:rsidR="00370E9C" w:rsidRDefault="00370E9C" w:rsidP="00CD363C">
            <w:pPr>
              <w:pStyle w:val="TableParagraph"/>
              <w:ind w:right="407"/>
              <w:jc w:val="both"/>
              <w:rPr>
                <w:sz w:val="20"/>
              </w:rPr>
            </w:pPr>
            <w:r>
              <w:rPr>
                <w:sz w:val="20"/>
              </w:rPr>
              <w:t>2 000,00</w:t>
            </w:r>
          </w:p>
        </w:tc>
        <w:tc>
          <w:tcPr>
            <w:tcW w:w="1843" w:type="dxa"/>
          </w:tcPr>
          <w:p w14:paraId="1AC440F7" w14:textId="77777777" w:rsidR="00370E9C" w:rsidRDefault="00370E9C" w:rsidP="00CD363C">
            <w:pPr>
              <w:pStyle w:val="TableParagraph"/>
              <w:ind w:right="407"/>
              <w:jc w:val="both"/>
              <w:rPr>
                <w:sz w:val="20"/>
              </w:rPr>
            </w:pPr>
            <w:r>
              <w:rPr>
                <w:sz w:val="20"/>
              </w:rPr>
              <w:t>98,46</w:t>
            </w:r>
          </w:p>
        </w:tc>
        <w:tc>
          <w:tcPr>
            <w:tcW w:w="1982" w:type="dxa"/>
          </w:tcPr>
          <w:p w14:paraId="75FD08F6" w14:textId="77777777" w:rsidR="00370E9C" w:rsidRDefault="00370E9C" w:rsidP="00CD363C">
            <w:pPr>
              <w:pStyle w:val="TableParagraph"/>
              <w:ind w:right="407"/>
              <w:jc w:val="both"/>
              <w:rPr>
                <w:sz w:val="20"/>
              </w:rPr>
            </w:pPr>
            <w:r>
              <w:rPr>
                <w:w w:val="99"/>
                <w:sz w:val="20"/>
              </w:rPr>
              <w:t>-</w:t>
            </w:r>
          </w:p>
        </w:tc>
        <w:tc>
          <w:tcPr>
            <w:tcW w:w="2126" w:type="dxa"/>
          </w:tcPr>
          <w:p w14:paraId="074DBF48" w14:textId="77777777" w:rsidR="00370E9C" w:rsidRDefault="00370E9C" w:rsidP="00CD363C">
            <w:pPr>
              <w:pStyle w:val="TableParagraph"/>
              <w:ind w:right="407"/>
              <w:jc w:val="both"/>
              <w:rPr>
                <w:sz w:val="20"/>
              </w:rPr>
            </w:pPr>
            <w:r>
              <w:rPr>
                <w:sz w:val="20"/>
              </w:rPr>
              <w:t>2098,46</w:t>
            </w:r>
          </w:p>
        </w:tc>
      </w:tr>
      <w:tr w:rsidR="00370E9C" w14:paraId="783972FE" w14:textId="77777777" w:rsidTr="00FF1C69">
        <w:trPr>
          <w:trHeight w:val="328"/>
        </w:trPr>
        <w:tc>
          <w:tcPr>
            <w:tcW w:w="1560" w:type="dxa"/>
          </w:tcPr>
          <w:p w14:paraId="0F979791" w14:textId="77777777" w:rsidR="00370E9C" w:rsidRDefault="00370E9C" w:rsidP="00CD363C">
            <w:pPr>
              <w:pStyle w:val="TableParagraph"/>
              <w:ind w:right="407"/>
              <w:jc w:val="both"/>
              <w:rPr>
                <w:sz w:val="20"/>
              </w:rPr>
            </w:pPr>
            <w:r>
              <w:rPr>
                <w:w w:val="95"/>
                <w:sz w:val="20"/>
              </w:rPr>
              <w:t>02.01.2024.</w:t>
            </w:r>
          </w:p>
        </w:tc>
        <w:tc>
          <w:tcPr>
            <w:tcW w:w="1985" w:type="dxa"/>
          </w:tcPr>
          <w:p w14:paraId="459E404F" w14:textId="77777777" w:rsidR="00370E9C" w:rsidRDefault="00370E9C" w:rsidP="00CD363C">
            <w:pPr>
              <w:pStyle w:val="TableParagraph"/>
              <w:ind w:right="407"/>
              <w:jc w:val="both"/>
              <w:rPr>
                <w:sz w:val="20"/>
              </w:rPr>
            </w:pPr>
            <w:r>
              <w:rPr>
                <w:sz w:val="20"/>
              </w:rPr>
              <w:t>2 098,46</w:t>
            </w:r>
          </w:p>
        </w:tc>
        <w:tc>
          <w:tcPr>
            <w:tcW w:w="1843" w:type="dxa"/>
          </w:tcPr>
          <w:p w14:paraId="6315FE19" w14:textId="77777777" w:rsidR="00370E9C" w:rsidRDefault="00370E9C" w:rsidP="00CD363C">
            <w:pPr>
              <w:pStyle w:val="TableParagraph"/>
              <w:ind w:right="407"/>
              <w:jc w:val="both"/>
              <w:rPr>
                <w:sz w:val="20"/>
              </w:rPr>
            </w:pPr>
            <w:r>
              <w:rPr>
                <w:sz w:val="20"/>
              </w:rPr>
              <w:t>0,54</w:t>
            </w:r>
          </w:p>
        </w:tc>
        <w:tc>
          <w:tcPr>
            <w:tcW w:w="1982" w:type="dxa"/>
          </w:tcPr>
          <w:p w14:paraId="5DC1F865" w14:textId="77777777" w:rsidR="00370E9C" w:rsidRDefault="00370E9C" w:rsidP="00CD363C">
            <w:pPr>
              <w:pStyle w:val="TableParagraph"/>
              <w:ind w:right="407"/>
              <w:jc w:val="both"/>
              <w:rPr>
                <w:sz w:val="20"/>
              </w:rPr>
            </w:pPr>
            <w:r>
              <w:rPr>
                <w:sz w:val="20"/>
              </w:rPr>
              <w:t>2 099,00</w:t>
            </w:r>
          </w:p>
        </w:tc>
        <w:tc>
          <w:tcPr>
            <w:tcW w:w="2126" w:type="dxa"/>
          </w:tcPr>
          <w:p w14:paraId="7563296F" w14:textId="77777777" w:rsidR="00370E9C" w:rsidRDefault="00370E9C" w:rsidP="00CD363C">
            <w:pPr>
              <w:pStyle w:val="TableParagraph"/>
              <w:ind w:right="407"/>
              <w:jc w:val="both"/>
              <w:rPr>
                <w:sz w:val="20"/>
              </w:rPr>
            </w:pPr>
            <w:r>
              <w:rPr>
                <w:sz w:val="20"/>
              </w:rPr>
              <w:t>0,00</w:t>
            </w:r>
          </w:p>
        </w:tc>
      </w:tr>
      <w:tr w:rsidR="00370E9C" w14:paraId="37836462" w14:textId="77777777" w:rsidTr="00FF1C69">
        <w:trPr>
          <w:trHeight w:val="330"/>
        </w:trPr>
        <w:tc>
          <w:tcPr>
            <w:tcW w:w="1560" w:type="dxa"/>
          </w:tcPr>
          <w:p w14:paraId="4EFD7B39" w14:textId="77777777" w:rsidR="00370E9C" w:rsidRDefault="00370E9C" w:rsidP="00CD363C">
            <w:pPr>
              <w:pStyle w:val="TableParagraph"/>
              <w:ind w:right="407"/>
              <w:jc w:val="both"/>
              <w:rPr>
                <w:b/>
                <w:sz w:val="20"/>
              </w:rPr>
            </w:pPr>
            <w:r>
              <w:rPr>
                <w:b/>
                <w:w w:val="95"/>
                <w:sz w:val="20"/>
              </w:rPr>
              <w:t>Kopā:</w:t>
            </w:r>
          </w:p>
        </w:tc>
        <w:tc>
          <w:tcPr>
            <w:tcW w:w="1985" w:type="dxa"/>
          </w:tcPr>
          <w:p w14:paraId="6D6D2AC5" w14:textId="77777777" w:rsidR="00370E9C" w:rsidRDefault="00370E9C" w:rsidP="00CD363C">
            <w:pPr>
              <w:pStyle w:val="TableParagraph"/>
              <w:ind w:right="407"/>
              <w:jc w:val="both"/>
              <w:rPr>
                <w:b/>
                <w:sz w:val="20"/>
              </w:rPr>
            </w:pPr>
            <w:r>
              <w:rPr>
                <w:b/>
                <w:w w:val="99"/>
                <w:sz w:val="20"/>
              </w:rPr>
              <w:t>-</w:t>
            </w:r>
          </w:p>
        </w:tc>
        <w:tc>
          <w:tcPr>
            <w:tcW w:w="1843" w:type="dxa"/>
          </w:tcPr>
          <w:p w14:paraId="100ECB72" w14:textId="77777777" w:rsidR="00370E9C" w:rsidRDefault="00370E9C" w:rsidP="00CD363C">
            <w:pPr>
              <w:pStyle w:val="TableParagraph"/>
              <w:ind w:right="407"/>
              <w:jc w:val="both"/>
              <w:rPr>
                <w:b/>
                <w:sz w:val="20"/>
              </w:rPr>
            </w:pPr>
            <w:r>
              <w:rPr>
                <w:b/>
                <w:sz w:val="20"/>
              </w:rPr>
              <w:t>1 504,60</w:t>
            </w:r>
          </w:p>
        </w:tc>
        <w:tc>
          <w:tcPr>
            <w:tcW w:w="1982" w:type="dxa"/>
          </w:tcPr>
          <w:p w14:paraId="229F7BE7" w14:textId="77777777" w:rsidR="00370E9C" w:rsidRDefault="00370E9C" w:rsidP="00CD363C">
            <w:pPr>
              <w:pStyle w:val="TableParagraph"/>
              <w:ind w:right="407"/>
              <w:jc w:val="both"/>
              <w:rPr>
                <w:b/>
                <w:sz w:val="20"/>
              </w:rPr>
            </w:pPr>
            <w:r>
              <w:rPr>
                <w:b/>
                <w:sz w:val="20"/>
              </w:rPr>
              <w:t>11 504,60</w:t>
            </w:r>
          </w:p>
        </w:tc>
        <w:tc>
          <w:tcPr>
            <w:tcW w:w="2126" w:type="dxa"/>
          </w:tcPr>
          <w:p w14:paraId="5B611C31" w14:textId="77777777" w:rsidR="00370E9C" w:rsidRDefault="00370E9C" w:rsidP="00CD363C">
            <w:pPr>
              <w:pStyle w:val="TableParagraph"/>
              <w:ind w:right="407"/>
              <w:jc w:val="both"/>
              <w:rPr>
                <w:b/>
                <w:sz w:val="20"/>
              </w:rPr>
            </w:pPr>
            <w:r>
              <w:rPr>
                <w:b/>
                <w:w w:val="99"/>
                <w:sz w:val="20"/>
              </w:rPr>
              <w:t>-</w:t>
            </w:r>
          </w:p>
        </w:tc>
      </w:tr>
    </w:tbl>
    <w:p w14:paraId="46AEE29C" w14:textId="77777777" w:rsidR="003A6579" w:rsidRPr="00957029" w:rsidRDefault="003A6579" w:rsidP="00CD363C">
      <w:pPr>
        <w:spacing w:after="0" w:line="240" w:lineRule="auto"/>
        <w:ind w:right="407"/>
        <w:jc w:val="both"/>
        <w:rPr>
          <w:rFonts w:ascii="Times New Roman" w:hAnsi="Times New Roman" w:cs="Times New Roman"/>
          <w:sz w:val="24"/>
          <w:szCs w:val="24"/>
        </w:rPr>
      </w:pPr>
    </w:p>
    <w:p w14:paraId="3E3860CD" w14:textId="77777777" w:rsidR="003A6579" w:rsidRPr="004D21C1" w:rsidRDefault="004D21C1" w:rsidP="00CD363C">
      <w:pPr>
        <w:spacing w:after="0" w:line="240" w:lineRule="auto"/>
        <w:ind w:right="407"/>
        <w:jc w:val="both"/>
        <w:rPr>
          <w:rFonts w:ascii="Times New Roman" w:hAnsi="Times New Roman" w:cs="Times New Roman"/>
          <w:b/>
          <w:bCs/>
          <w:i/>
          <w:iCs/>
          <w:sz w:val="24"/>
          <w:szCs w:val="24"/>
        </w:rPr>
      </w:pPr>
      <w:r w:rsidRPr="004D21C1">
        <w:rPr>
          <w:rFonts w:ascii="Times New Roman" w:hAnsi="Times New Roman" w:cs="Times New Roman"/>
          <w:b/>
          <w:bCs/>
          <w:i/>
          <w:iCs/>
          <w:sz w:val="24"/>
          <w:szCs w:val="24"/>
        </w:rPr>
        <w:t>Grāmatojumi:</w:t>
      </w:r>
    </w:p>
    <w:p w14:paraId="13E6620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w:t>
      </w:r>
      <w:r w:rsidRPr="004D21C1">
        <w:rPr>
          <w:rFonts w:ascii="Times New Roman" w:hAnsi="Times New Roman" w:cs="Times New Roman"/>
          <w:sz w:val="24"/>
          <w:szCs w:val="24"/>
        </w:rPr>
        <w:tab/>
        <w:t>Budžeta iestāde atzīst saņemto aizņēmumu saskaņā ar līgumu tā saņemšanas dienā, 02.01.2019., veicot grāmatojumu:</w:t>
      </w:r>
    </w:p>
    <w:p w14:paraId="084C74C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10 000,00 EUR</w:t>
      </w:r>
    </w:p>
    <w:p w14:paraId="78299B6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10 000,00 EUR</w:t>
      </w:r>
    </w:p>
    <w:p w14:paraId="6F3BFB2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w:t>
      </w:r>
      <w:r w:rsidRPr="004D21C1">
        <w:rPr>
          <w:rFonts w:ascii="Times New Roman" w:hAnsi="Times New Roman" w:cs="Times New Roman"/>
          <w:sz w:val="24"/>
          <w:szCs w:val="24"/>
        </w:rPr>
        <w:tab/>
        <w:t>2019. gada 31. decembrī tiek atzīti procentu izdevumi, pamatojoties uz līgumā noteikto attiecīgo procentu likmi – 5% (10 000,00 EUR x 5% x 363 dienas/365 dienas):</w:t>
      </w:r>
    </w:p>
    <w:p w14:paraId="6B1F430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497,26 EUR</w:t>
      </w:r>
    </w:p>
    <w:p w14:paraId="295AB25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497,26 EUR</w:t>
      </w:r>
    </w:p>
    <w:p w14:paraId="17779A6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3)</w:t>
      </w:r>
      <w:r w:rsidRPr="004D21C1">
        <w:rPr>
          <w:rFonts w:ascii="Times New Roman" w:hAnsi="Times New Roman" w:cs="Times New Roman"/>
          <w:sz w:val="24"/>
          <w:szCs w:val="24"/>
        </w:rPr>
        <w:tab/>
        <w:t>2019. gada 31. decembrī budžeta iestāde nodala īstermiņa saistību daļu no ilgtermiņa daļas, veicot sekojošu grāmatojumu:</w:t>
      </w:r>
    </w:p>
    <w:p w14:paraId="626A439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21B0F0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w:t>
      </w:r>
    </w:p>
    <w:p w14:paraId="1BF6BD0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aizņēmumu īstermiņa daļa</w:t>
      </w:r>
      <w:r w:rsidRPr="004D21C1">
        <w:rPr>
          <w:rFonts w:ascii="Times New Roman" w:hAnsi="Times New Roman" w:cs="Times New Roman"/>
          <w:sz w:val="24"/>
          <w:szCs w:val="24"/>
        </w:rPr>
        <w:tab/>
        <w:t>2 000,00 EUR</w:t>
      </w:r>
    </w:p>
    <w:p w14:paraId="63BF85B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4)</w:t>
      </w:r>
      <w:r w:rsidRPr="004D21C1">
        <w:rPr>
          <w:rFonts w:ascii="Times New Roman" w:hAnsi="Times New Roman" w:cs="Times New Roman"/>
          <w:sz w:val="24"/>
          <w:szCs w:val="24"/>
        </w:rPr>
        <w:tab/>
        <w:t>2020.gada 2.janvārī atzīst saistības par procentu maksājumiem un procentu izdevumus par attiecīgo periodu (10 000,00 EUR x 5% x 2 dienas/365 dienas), veicot grāmatojumu:</w:t>
      </w:r>
    </w:p>
    <w:p w14:paraId="457ACB0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497,26 EUR</w:t>
      </w:r>
    </w:p>
    <w:p w14:paraId="12CC835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2,74 EUR</w:t>
      </w:r>
    </w:p>
    <w:p w14:paraId="4AD6B33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500,00 EUR</w:t>
      </w:r>
    </w:p>
    <w:p w14:paraId="29A5F0F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5)</w:t>
      </w:r>
      <w:r w:rsidRPr="004D21C1">
        <w:rPr>
          <w:rFonts w:ascii="Times New Roman" w:hAnsi="Times New Roman" w:cs="Times New Roman"/>
          <w:sz w:val="24"/>
          <w:szCs w:val="24"/>
        </w:rPr>
        <w:tab/>
        <w:t>2020.gada 2.janvārī, veicot pamatsummas un procentu maksājumu, budžeta iestāde (aizņēmējs) veic šādu grāmatojumu:</w:t>
      </w:r>
    </w:p>
    <w:p w14:paraId="5E19FF1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265CA4A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500,00 EUR</w:t>
      </w:r>
    </w:p>
    <w:p w14:paraId="4B26299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2 500,00 EUR</w:t>
      </w:r>
    </w:p>
    <w:p w14:paraId="1217185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6)</w:t>
      </w:r>
      <w:r w:rsidRPr="004D21C1">
        <w:rPr>
          <w:rFonts w:ascii="Times New Roman" w:hAnsi="Times New Roman" w:cs="Times New Roman"/>
          <w:sz w:val="24"/>
          <w:szCs w:val="24"/>
        </w:rPr>
        <w:tab/>
        <w:t>2020. gada 31. decembrī tiek atzīti procentu izdevumi, pamatojoties uz līgumā noteikto attiecīgo procentu likmi – 5,1%:</w:t>
      </w:r>
    </w:p>
    <w:p w14:paraId="1B0CC2A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405,76 EUR</w:t>
      </w:r>
    </w:p>
    <w:p w14:paraId="53954C3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219A1DB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405,76 EUR</w:t>
      </w:r>
    </w:p>
    <w:p w14:paraId="3071FA3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7)</w:t>
      </w:r>
      <w:r w:rsidRPr="004D21C1">
        <w:rPr>
          <w:rFonts w:ascii="Times New Roman" w:hAnsi="Times New Roman" w:cs="Times New Roman"/>
          <w:sz w:val="24"/>
          <w:szCs w:val="24"/>
        </w:rPr>
        <w:tab/>
        <w:t>2020. gada 31. decembrī budžeta iestāde nodala īstermiņa saistību daļu no ilgtermiņa daļas, veicot sekojošu grāmatojumu:</w:t>
      </w:r>
    </w:p>
    <w:p w14:paraId="1F993E4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54F67D3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0F2E578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8)</w:t>
      </w:r>
      <w:r w:rsidRPr="004D21C1">
        <w:rPr>
          <w:rFonts w:ascii="Times New Roman" w:hAnsi="Times New Roman" w:cs="Times New Roman"/>
          <w:sz w:val="24"/>
          <w:szCs w:val="24"/>
        </w:rPr>
        <w:tab/>
        <w:t>2021.gada 2.janvārī atzīst saistības par procentu maksājumiem, veicot grāmatojumu:</w:t>
      </w:r>
    </w:p>
    <w:p w14:paraId="7FE0F13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405,76 EUR</w:t>
      </w:r>
    </w:p>
    <w:p w14:paraId="7392D20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2,24 EUR</w:t>
      </w:r>
    </w:p>
    <w:p w14:paraId="628F302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408,00 EUR</w:t>
      </w:r>
    </w:p>
    <w:p w14:paraId="2A362B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9)</w:t>
      </w:r>
      <w:r w:rsidRPr="004D21C1">
        <w:rPr>
          <w:rFonts w:ascii="Times New Roman" w:hAnsi="Times New Roman" w:cs="Times New Roman"/>
          <w:sz w:val="24"/>
          <w:szCs w:val="24"/>
        </w:rPr>
        <w:tab/>
        <w:t>2021.gada 2.janvārī, veicot pamatsummas un procentu maksājumu, budžeta iestāde (aizņēmējs) veic šādu grāmatojumu:</w:t>
      </w:r>
    </w:p>
    <w:p w14:paraId="7B35219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4057B1F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408,00 EUR</w:t>
      </w:r>
    </w:p>
    <w:p w14:paraId="7F525B0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2 408,00 EUR</w:t>
      </w:r>
    </w:p>
    <w:p w14:paraId="157A9AF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10)</w:t>
      </w:r>
      <w:r w:rsidRPr="004D21C1">
        <w:rPr>
          <w:rFonts w:ascii="Times New Roman" w:hAnsi="Times New Roman" w:cs="Times New Roman"/>
          <w:sz w:val="24"/>
          <w:szCs w:val="24"/>
        </w:rPr>
        <w:tab/>
        <w:t>2021. gada 31. decembrī tiek atzīti procentu izdevumi, pamatojoties uz līgumā noteikto attiecīgo procentu likmi – 4,88%:</w:t>
      </w:r>
    </w:p>
    <w:p w14:paraId="1B96FE5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291,20 EUR</w:t>
      </w:r>
    </w:p>
    <w:p w14:paraId="0AA94EC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w:t>
      </w:r>
    </w:p>
    <w:p w14:paraId="1C4071C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291,20 EUR</w:t>
      </w:r>
    </w:p>
    <w:p w14:paraId="6F59A35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11)</w:t>
      </w:r>
      <w:r w:rsidRPr="004D21C1">
        <w:rPr>
          <w:rFonts w:ascii="Times New Roman" w:hAnsi="Times New Roman" w:cs="Times New Roman"/>
          <w:sz w:val="24"/>
          <w:szCs w:val="24"/>
        </w:rPr>
        <w:tab/>
        <w:t>2021. gada 31.decembrī budžeta iestāde nodala īstermiņa saistību daļu no ilgtermiņa daļas, veicot sekojošu grāmatojumu:</w:t>
      </w:r>
    </w:p>
    <w:p w14:paraId="5CDBA4A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7148A47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0ADA1E2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12)</w:t>
      </w:r>
      <w:r w:rsidRPr="004D21C1">
        <w:rPr>
          <w:rFonts w:ascii="Times New Roman" w:hAnsi="Times New Roman" w:cs="Times New Roman"/>
          <w:sz w:val="24"/>
          <w:szCs w:val="24"/>
        </w:rPr>
        <w:tab/>
        <w:t>2022.gada 2.janvārī atzīst saistības par procentu maksājumiem, veicot grāmatojumu:</w:t>
      </w:r>
    </w:p>
    <w:p w14:paraId="6CC2BB1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291,20 EUR</w:t>
      </w:r>
    </w:p>
    <w:p w14:paraId="059153A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1,60 EUR</w:t>
      </w:r>
    </w:p>
    <w:p w14:paraId="3342FAE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292,80 EUR</w:t>
      </w:r>
    </w:p>
    <w:p w14:paraId="2BA0EDA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13)</w:t>
      </w:r>
      <w:r w:rsidRPr="004D21C1">
        <w:rPr>
          <w:rFonts w:ascii="Times New Roman" w:hAnsi="Times New Roman" w:cs="Times New Roman"/>
          <w:sz w:val="24"/>
          <w:szCs w:val="24"/>
        </w:rPr>
        <w:tab/>
        <w:t>2022.gada 2.janvārī, veicot pamatsummas un procentu maksājumu, budžeta iestāde (aizņēmējs) veic šādu grāmatojumu:</w:t>
      </w:r>
    </w:p>
    <w:p w14:paraId="57C8EE5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526B4F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292,80 EUR</w:t>
      </w:r>
    </w:p>
    <w:p w14:paraId="79C567D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2 292,80 EUR</w:t>
      </w:r>
    </w:p>
    <w:p w14:paraId="252D78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14)</w:t>
      </w:r>
      <w:r w:rsidRPr="004D21C1">
        <w:rPr>
          <w:rFonts w:ascii="Times New Roman" w:hAnsi="Times New Roman" w:cs="Times New Roman"/>
          <w:sz w:val="24"/>
          <w:szCs w:val="24"/>
        </w:rPr>
        <w:tab/>
        <w:t>2022. gada 31. decembrī tiek atzīti procentu izdevumi, pamatojoties uz līgumā noteikto attiecīgo procentu likmi – 5,12%:</w:t>
      </w:r>
    </w:p>
    <w:p w14:paraId="5C644A2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203,68 EUR</w:t>
      </w:r>
    </w:p>
    <w:p w14:paraId="0E7D2DB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735032E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203,68 EUR</w:t>
      </w:r>
    </w:p>
    <w:p w14:paraId="66BE9FB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15)</w:t>
      </w:r>
      <w:r w:rsidRPr="004D21C1">
        <w:rPr>
          <w:rFonts w:ascii="Times New Roman" w:hAnsi="Times New Roman" w:cs="Times New Roman"/>
          <w:sz w:val="24"/>
          <w:szCs w:val="24"/>
        </w:rPr>
        <w:tab/>
        <w:t>2022. gada 31.decembrī budžeta iestāde nodala īstermiņa saistību daļu no ilgtermiņa daļas, veicot sekojošu grāmatojumu:</w:t>
      </w:r>
    </w:p>
    <w:p w14:paraId="3A010AD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550A97A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1268B39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16)</w:t>
      </w:r>
      <w:r w:rsidRPr="004D21C1">
        <w:rPr>
          <w:rFonts w:ascii="Times New Roman" w:hAnsi="Times New Roman" w:cs="Times New Roman"/>
          <w:sz w:val="24"/>
          <w:szCs w:val="24"/>
        </w:rPr>
        <w:tab/>
        <w:t>2023.gada 2.janvārī atzīst saistības par procentu maksājumiem, veicot grāmatojumu:</w:t>
      </w:r>
    </w:p>
    <w:p w14:paraId="55BD899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203,68 EUR</w:t>
      </w:r>
    </w:p>
    <w:p w14:paraId="6354E78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1,12 EUR</w:t>
      </w:r>
    </w:p>
    <w:p w14:paraId="4B433F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204,80 EUR</w:t>
      </w:r>
    </w:p>
    <w:p w14:paraId="6DED84B7" w14:textId="77777777" w:rsidR="00FF1C69" w:rsidRDefault="00FF1C69" w:rsidP="00CD363C">
      <w:pPr>
        <w:spacing w:after="0" w:line="240" w:lineRule="auto"/>
        <w:ind w:right="407"/>
        <w:jc w:val="both"/>
        <w:rPr>
          <w:rFonts w:ascii="Times New Roman" w:hAnsi="Times New Roman" w:cs="Times New Roman"/>
          <w:sz w:val="24"/>
          <w:szCs w:val="24"/>
        </w:rPr>
      </w:pPr>
    </w:p>
    <w:p w14:paraId="4C09504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17)</w:t>
      </w:r>
      <w:r w:rsidRPr="004D21C1">
        <w:rPr>
          <w:rFonts w:ascii="Times New Roman" w:hAnsi="Times New Roman" w:cs="Times New Roman"/>
          <w:sz w:val="24"/>
          <w:szCs w:val="24"/>
        </w:rPr>
        <w:tab/>
        <w:t>2023.gada 2.janvārī, veicot pamatsummas un procentu maksājumu, budžeta iestāde (aizņēmējs) veic šādu grāmatojumu:</w:t>
      </w:r>
    </w:p>
    <w:p w14:paraId="1C59679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w:t>
      </w:r>
    </w:p>
    <w:p w14:paraId="2CE7133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izņēmumu īstermiņa daļa</w:t>
      </w:r>
      <w:r w:rsidRPr="004D21C1">
        <w:rPr>
          <w:rFonts w:ascii="Times New Roman" w:hAnsi="Times New Roman" w:cs="Times New Roman"/>
          <w:sz w:val="24"/>
          <w:szCs w:val="24"/>
        </w:rPr>
        <w:tab/>
        <w:t>2 000,00 EUR</w:t>
      </w:r>
    </w:p>
    <w:p w14:paraId="37D93A9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204,80 EUR</w:t>
      </w:r>
    </w:p>
    <w:p w14:paraId="23AA68C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2 204,80 EUR</w:t>
      </w:r>
    </w:p>
    <w:p w14:paraId="5B81BE8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18)</w:t>
      </w:r>
      <w:r w:rsidRPr="004D21C1">
        <w:rPr>
          <w:rFonts w:ascii="Times New Roman" w:hAnsi="Times New Roman" w:cs="Times New Roman"/>
          <w:sz w:val="24"/>
          <w:szCs w:val="24"/>
        </w:rPr>
        <w:tab/>
        <w:t>2023. gada 31. decembrī tiek atzīti procentu izdevumi, pamatojoties uz līgumā noteikto attiecīgo procentu likmi – 4,95%:</w:t>
      </w:r>
    </w:p>
    <w:p w14:paraId="1B76478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98,46 EUR</w:t>
      </w:r>
    </w:p>
    <w:p w14:paraId="23A22E9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1FE2A4C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98,46 EUR</w:t>
      </w:r>
    </w:p>
    <w:p w14:paraId="54D7860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19)</w:t>
      </w:r>
      <w:r w:rsidRPr="004D21C1">
        <w:rPr>
          <w:rFonts w:ascii="Times New Roman" w:hAnsi="Times New Roman" w:cs="Times New Roman"/>
          <w:sz w:val="24"/>
          <w:szCs w:val="24"/>
        </w:rPr>
        <w:tab/>
        <w:t>2023. gada 31.decembrī budžeta iestāde pārgrāmato aizņēmumu uz īstermiņa pozīciju, veicot sekojošu grāmatojumu:</w:t>
      </w:r>
    </w:p>
    <w:p w14:paraId="6B3CEB4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1B1A892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640CD4A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20)</w:t>
      </w:r>
      <w:r w:rsidRPr="004D21C1">
        <w:rPr>
          <w:rFonts w:ascii="Times New Roman" w:hAnsi="Times New Roman" w:cs="Times New Roman"/>
          <w:sz w:val="24"/>
          <w:szCs w:val="24"/>
        </w:rPr>
        <w:tab/>
        <w:t>2024.gada 2.janvārī atzīst saistības par procentu maksājumiem, veicot grāmatojumu:</w:t>
      </w:r>
    </w:p>
    <w:p w14:paraId="5B4777B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98,46 EUR</w:t>
      </w:r>
    </w:p>
    <w:p w14:paraId="5FC982C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0,54 EUR</w:t>
      </w:r>
    </w:p>
    <w:p w14:paraId="50AABC1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99,00 EUR</w:t>
      </w:r>
    </w:p>
    <w:p w14:paraId="40FEE09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21)</w:t>
      </w:r>
      <w:r w:rsidRPr="004D21C1">
        <w:rPr>
          <w:rFonts w:ascii="Times New Roman" w:hAnsi="Times New Roman" w:cs="Times New Roman"/>
          <w:sz w:val="24"/>
          <w:szCs w:val="24"/>
        </w:rPr>
        <w:tab/>
        <w:t>2024.gada 2.janvārī, veicot galīgo pamatsummas un procentu maksājumu, budžeta iestāde (aizņēmējs) veic šādu grāmatojumu:</w:t>
      </w:r>
    </w:p>
    <w:p w14:paraId="0CFA4AE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7918888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99,00 EUR</w:t>
      </w:r>
    </w:p>
    <w:p w14:paraId="3D39E873" w14:textId="77777777" w:rsidR="003A6579" w:rsidRPr="00957029"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2 099,00 EUR</w:t>
      </w:r>
    </w:p>
    <w:p w14:paraId="71975C1D" w14:textId="77777777" w:rsidR="004D21C1" w:rsidRDefault="004D21C1" w:rsidP="00CD363C">
      <w:pPr>
        <w:pStyle w:val="Virsraksts4"/>
        <w:tabs>
          <w:tab w:val="left" w:pos="879"/>
        </w:tabs>
        <w:spacing w:before="0"/>
        <w:ind w:left="0" w:right="407"/>
        <w:jc w:val="both"/>
        <w:rPr>
          <w:color w:val="002069"/>
        </w:rPr>
      </w:pPr>
    </w:p>
    <w:p w14:paraId="56B5CAA8" w14:textId="77777777" w:rsidR="004D21C1" w:rsidRDefault="004D21C1" w:rsidP="00CD363C">
      <w:pPr>
        <w:pStyle w:val="Virsraksts4"/>
        <w:tabs>
          <w:tab w:val="left" w:pos="879"/>
        </w:tabs>
        <w:spacing w:before="0"/>
        <w:ind w:left="0" w:right="407"/>
        <w:jc w:val="both"/>
        <w:rPr>
          <w:color w:val="002069"/>
        </w:rPr>
      </w:pPr>
    </w:p>
    <w:p w14:paraId="172C6E45" w14:textId="77777777" w:rsidR="004D21C1" w:rsidRDefault="004D21C1" w:rsidP="00CD363C">
      <w:pPr>
        <w:pStyle w:val="Virsraksts4"/>
        <w:tabs>
          <w:tab w:val="left" w:pos="879"/>
        </w:tabs>
        <w:spacing w:before="0"/>
        <w:ind w:left="0" w:right="407"/>
        <w:jc w:val="both"/>
        <w:rPr>
          <w:color w:val="002069"/>
        </w:rPr>
      </w:pPr>
    </w:p>
    <w:p w14:paraId="1E8EFB60" w14:textId="77777777" w:rsidR="004D21C1" w:rsidRDefault="004D21C1" w:rsidP="00CD363C">
      <w:pPr>
        <w:pStyle w:val="Virsraksts4"/>
        <w:tabs>
          <w:tab w:val="left" w:pos="879"/>
        </w:tabs>
        <w:spacing w:before="0"/>
        <w:ind w:left="0" w:right="407"/>
        <w:jc w:val="both"/>
      </w:pPr>
      <w:r>
        <w:rPr>
          <w:color w:val="002069"/>
        </w:rPr>
        <w:t>21.8.3. Piemērs – efektīvās procentu likmes metodes piemērošana finanšu saistību sākotnējā atzīšanā un turpmākā</w:t>
      </w:r>
      <w:r>
        <w:rPr>
          <w:color w:val="002069"/>
          <w:spacing w:val="-1"/>
        </w:rPr>
        <w:t xml:space="preserve"> </w:t>
      </w:r>
      <w:r>
        <w:rPr>
          <w:color w:val="002069"/>
        </w:rPr>
        <w:t>novērtēšanā</w:t>
      </w:r>
    </w:p>
    <w:p w14:paraId="6E4E4F17" w14:textId="77777777" w:rsidR="004D21C1" w:rsidRDefault="00FF1C69" w:rsidP="00CD363C">
      <w:pPr>
        <w:pStyle w:val="Pamatteksts"/>
        <w:ind w:right="407"/>
        <w:jc w:val="both"/>
      </w:pPr>
      <w:r>
        <w:t xml:space="preserve">878. </w:t>
      </w:r>
      <w:r w:rsidR="004D21C1">
        <w:t>2019. gada 2. janvārī budžeta iestāde no kredītiestādes saņēma aizņēmumu 1 000 000,00 EUR vērtībā ar termiņu</w:t>
      </w:r>
      <w:r w:rsidR="004D21C1">
        <w:rPr>
          <w:spacing w:val="-13"/>
        </w:rPr>
        <w:t xml:space="preserve"> </w:t>
      </w:r>
      <w:r w:rsidR="004D21C1">
        <w:t>5</w:t>
      </w:r>
      <w:r w:rsidR="004D21C1">
        <w:rPr>
          <w:spacing w:val="-13"/>
        </w:rPr>
        <w:t xml:space="preserve"> </w:t>
      </w:r>
      <w:r w:rsidR="004D21C1">
        <w:t>gadi</w:t>
      </w:r>
      <w:r w:rsidR="004D21C1">
        <w:rPr>
          <w:spacing w:val="-12"/>
        </w:rPr>
        <w:t xml:space="preserve"> </w:t>
      </w:r>
      <w:r w:rsidR="004D21C1">
        <w:t>un</w:t>
      </w:r>
      <w:r w:rsidR="004D21C1">
        <w:rPr>
          <w:spacing w:val="-13"/>
        </w:rPr>
        <w:t xml:space="preserve"> </w:t>
      </w:r>
      <w:r w:rsidR="004D21C1">
        <w:t>līguma</w:t>
      </w:r>
      <w:r w:rsidR="004D21C1">
        <w:rPr>
          <w:spacing w:val="-13"/>
        </w:rPr>
        <w:t xml:space="preserve"> </w:t>
      </w:r>
      <w:r w:rsidR="004D21C1">
        <w:t>likmi</w:t>
      </w:r>
      <w:r w:rsidR="004D21C1">
        <w:rPr>
          <w:spacing w:val="-12"/>
        </w:rPr>
        <w:t xml:space="preserve"> </w:t>
      </w:r>
      <w:r w:rsidR="004D21C1">
        <w:t>10%</w:t>
      </w:r>
      <w:r w:rsidR="004D21C1">
        <w:rPr>
          <w:spacing w:val="-13"/>
        </w:rPr>
        <w:t xml:space="preserve"> </w:t>
      </w:r>
      <w:r w:rsidR="004D21C1">
        <w:t>gadā</w:t>
      </w:r>
      <w:r w:rsidR="004D21C1">
        <w:rPr>
          <w:spacing w:val="-13"/>
        </w:rPr>
        <w:t xml:space="preserve"> </w:t>
      </w:r>
      <w:r w:rsidR="004D21C1">
        <w:t>un</w:t>
      </w:r>
      <w:r w:rsidR="004D21C1">
        <w:rPr>
          <w:spacing w:val="-13"/>
        </w:rPr>
        <w:t xml:space="preserve"> </w:t>
      </w:r>
      <w:r w:rsidR="004D21C1">
        <w:t>nosacījumu,</w:t>
      </w:r>
      <w:r w:rsidR="004D21C1">
        <w:rPr>
          <w:spacing w:val="-13"/>
        </w:rPr>
        <w:t xml:space="preserve"> </w:t>
      </w:r>
      <w:r w:rsidR="004D21C1">
        <w:t>ka</w:t>
      </w:r>
      <w:r w:rsidR="004D21C1">
        <w:rPr>
          <w:spacing w:val="-13"/>
        </w:rPr>
        <w:t xml:space="preserve"> </w:t>
      </w:r>
      <w:r w:rsidR="004D21C1">
        <w:t>pēc</w:t>
      </w:r>
      <w:r w:rsidR="004D21C1">
        <w:rPr>
          <w:spacing w:val="-13"/>
        </w:rPr>
        <w:t xml:space="preserve"> </w:t>
      </w:r>
      <w:r w:rsidR="004D21C1">
        <w:t>5</w:t>
      </w:r>
      <w:r w:rsidR="004D21C1">
        <w:rPr>
          <w:spacing w:val="-13"/>
        </w:rPr>
        <w:t xml:space="preserve"> </w:t>
      </w:r>
      <w:r w:rsidR="004D21C1">
        <w:t>gadiem</w:t>
      </w:r>
      <w:r w:rsidR="004D21C1">
        <w:rPr>
          <w:spacing w:val="-13"/>
        </w:rPr>
        <w:t xml:space="preserve"> </w:t>
      </w:r>
      <w:r w:rsidR="004D21C1">
        <w:t>budžeta</w:t>
      </w:r>
      <w:r w:rsidR="004D21C1">
        <w:rPr>
          <w:spacing w:val="-2"/>
        </w:rPr>
        <w:t xml:space="preserve"> </w:t>
      </w:r>
      <w:r w:rsidR="004D21C1">
        <w:t>iestādei</w:t>
      </w:r>
      <w:r w:rsidR="004D21C1">
        <w:rPr>
          <w:spacing w:val="-15"/>
        </w:rPr>
        <w:t xml:space="preserve"> </w:t>
      </w:r>
      <w:r w:rsidR="004D21C1">
        <w:t>jāatmaksā</w:t>
      </w:r>
      <w:r w:rsidR="004D21C1">
        <w:rPr>
          <w:spacing w:val="-13"/>
        </w:rPr>
        <w:t xml:space="preserve"> </w:t>
      </w:r>
      <w:r w:rsidR="004D21C1">
        <w:t>papildus 250 000,00 EUR. Budžeta iestāde nosaka finanšu instrumenta efektīvo procentu likmi, Valsts kases tīmekļvietnē efektīvās procentu likmes kalkulatorā ievadot sagaidāmās naudas plūsmas. Saskaņā ar piemēra nosacījumiem efektīvā procentu likme –</w:t>
      </w:r>
      <w:r w:rsidR="004D21C1">
        <w:rPr>
          <w:spacing w:val="-6"/>
        </w:rPr>
        <w:t xml:space="preserve"> </w:t>
      </w:r>
      <w:r w:rsidR="004D21C1">
        <w:t>13,80%.</w:t>
      </w:r>
    </w:p>
    <w:p w14:paraId="4D3D0E8E" w14:textId="77777777" w:rsidR="004D21C1" w:rsidRDefault="004D21C1" w:rsidP="00CD363C">
      <w:pPr>
        <w:pStyle w:val="Pamatteksts"/>
        <w:ind w:left="338" w:right="407"/>
        <w:jc w:val="both"/>
      </w:pPr>
      <w:r>
        <w:t>Zemāk sniegti galvenie piemēra nosacījumi:</w:t>
      </w:r>
    </w:p>
    <w:p w14:paraId="3A643853" w14:textId="77777777" w:rsidR="004D21C1" w:rsidRDefault="004D21C1" w:rsidP="00CD363C">
      <w:pPr>
        <w:pStyle w:val="Pamatteksts"/>
        <w:ind w:right="407"/>
        <w:jc w:val="both"/>
        <w:rPr>
          <w:sz w:val="20"/>
        </w:rPr>
      </w:pPr>
    </w:p>
    <w:p w14:paraId="31D1A0B8" w14:textId="77777777" w:rsidR="004D21C1" w:rsidRDefault="004D21C1" w:rsidP="00CD363C">
      <w:pPr>
        <w:pStyle w:val="Pamatteksts"/>
        <w:ind w:right="407"/>
        <w:jc w:val="both"/>
        <w:rPr>
          <w:sz w:val="10"/>
        </w:rPr>
      </w:pPr>
    </w:p>
    <w:tbl>
      <w:tblPr>
        <w:tblW w:w="0" w:type="auto"/>
        <w:tblInd w:w="242" w:type="dxa"/>
        <w:tblLayout w:type="fixed"/>
        <w:tblCellMar>
          <w:left w:w="0" w:type="dxa"/>
          <w:right w:w="0" w:type="dxa"/>
        </w:tblCellMar>
        <w:tblLook w:val="01E0" w:firstRow="1" w:lastRow="1" w:firstColumn="1" w:lastColumn="1" w:noHBand="0" w:noVBand="0"/>
      </w:tblPr>
      <w:tblGrid>
        <w:gridCol w:w="4885"/>
        <w:gridCol w:w="2487"/>
      </w:tblGrid>
      <w:tr w:rsidR="004D21C1" w14:paraId="4A1C821D" w14:textId="77777777" w:rsidTr="00FF1C69">
        <w:trPr>
          <w:trHeight w:val="583"/>
        </w:trPr>
        <w:tc>
          <w:tcPr>
            <w:tcW w:w="4885" w:type="dxa"/>
          </w:tcPr>
          <w:p w14:paraId="520F8125" w14:textId="77777777" w:rsidR="004D21C1" w:rsidRDefault="004D21C1" w:rsidP="00CD363C">
            <w:pPr>
              <w:pStyle w:val="TableParagraph"/>
              <w:ind w:left="200" w:right="407"/>
              <w:jc w:val="both"/>
              <w:rPr>
                <w:b/>
              </w:rPr>
            </w:pPr>
            <w:r>
              <w:rPr>
                <w:b/>
              </w:rPr>
              <w:t>Aizņēmums tā patiesajā vērtībā sākotnēji</w:t>
            </w:r>
          </w:p>
        </w:tc>
        <w:tc>
          <w:tcPr>
            <w:tcW w:w="2487" w:type="dxa"/>
          </w:tcPr>
          <w:p w14:paraId="37DA3B2A" w14:textId="77777777" w:rsidR="004D21C1" w:rsidRDefault="004D21C1" w:rsidP="00CD363C">
            <w:pPr>
              <w:pStyle w:val="TableParagraph"/>
              <w:ind w:left="467" w:right="407"/>
              <w:jc w:val="both"/>
            </w:pPr>
            <w:r>
              <w:t>1 000 000,00 EUR</w:t>
            </w:r>
          </w:p>
        </w:tc>
      </w:tr>
      <w:tr w:rsidR="004D21C1" w14:paraId="417F776D" w14:textId="77777777" w:rsidTr="00FF1C69">
        <w:trPr>
          <w:trHeight w:val="822"/>
        </w:trPr>
        <w:tc>
          <w:tcPr>
            <w:tcW w:w="4885" w:type="dxa"/>
          </w:tcPr>
          <w:p w14:paraId="42B873CB" w14:textId="77777777" w:rsidR="004D21C1" w:rsidRDefault="004D21C1" w:rsidP="00CD363C">
            <w:pPr>
              <w:pStyle w:val="TableParagraph"/>
              <w:ind w:left="200" w:right="407"/>
              <w:jc w:val="both"/>
              <w:rPr>
                <w:b/>
              </w:rPr>
            </w:pPr>
            <w:r>
              <w:rPr>
                <w:b/>
              </w:rPr>
              <w:t>Efektīvā procentu likme</w:t>
            </w:r>
          </w:p>
        </w:tc>
        <w:tc>
          <w:tcPr>
            <w:tcW w:w="2487" w:type="dxa"/>
          </w:tcPr>
          <w:p w14:paraId="393F03BF" w14:textId="77777777" w:rsidR="004D21C1" w:rsidRDefault="004D21C1" w:rsidP="00CD363C">
            <w:pPr>
              <w:pStyle w:val="TableParagraph"/>
              <w:ind w:left="467" w:right="407"/>
              <w:jc w:val="both"/>
            </w:pPr>
            <w:r>
              <w:t>13,80%*</w:t>
            </w:r>
          </w:p>
        </w:tc>
      </w:tr>
      <w:tr w:rsidR="004D21C1" w14:paraId="1A7AA99F" w14:textId="77777777" w:rsidTr="00FF1C69">
        <w:trPr>
          <w:trHeight w:val="583"/>
        </w:trPr>
        <w:tc>
          <w:tcPr>
            <w:tcW w:w="4885" w:type="dxa"/>
          </w:tcPr>
          <w:p w14:paraId="52155D8C" w14:textId="77777777" w:rsidR="004D21C1" w:rsidRDefault="004D21C1" w:rsidP="00CD363C">
            <w:pPr>
              <w:pStyle w:val="TableParagraph"/>
              <w:ind w:left="200" w:right="407"/>
              <w:jc w:val="both"/>
              <w:rPr>
                <w:b/>
              </w:rPr>
            </w:pPr>
            <w:r>
              <w:rPr>
                <w:b/>
              </w:rPr>
              <w:t>Līguma procentu likme</w:t>
            </w:r>
          </w:p>
        </w:tc>
        <w:tc>
          <w:tcPr>
            <w:tcW w:w="2487" w:type="dxa"/>
          </w:tcPr>
          <w:p w14:paraId="18B2B29B" w14:textId="77777777" w:rsidR="004D21C1" w:rsidRDefault="004D21C1" w:rsidP="00CD363C">
            <w:pPr>
              <w:pStyle w:val="TableParagraph"/>
              <w:ind w:left="467" w:right="407"/>
              <w:jc w:val="both"/>
            </w:pPr>
            <w:r>
              <w:t>10%</w:t>
            </w:r>
          </w:p>
        </w:tc>
      </w:tr>
    </w:tbl>
    <w:p w14:paraId="6EC9ECE9" w14:textId="77777777" w:rsidR="004D21C1" w:rsidRDefault="004D21C1" w:rsidP="00CD363C">
      <w:pPr>
        <w:spacing w:after="0" w:line="240" w:lineRule="auto"/>
        <w:ind w:right="407"/>
        <w:jc w:val="both"/>
        <w:sectPr w:rsidR="004D21C1">
          <w:pgSz w:w="11910" w:h="16840"/>
          <w:pgMar w:top="880" w:right="500" w:bottom="940" w:left="1080" w:header="0" w:footer="678" w:gutter="0"/>
          <w:cols w:space="720"/>
        </w:sectPr>
      </w:pPr>
    </w:p>
    <w:tbl>
      <w:tblPr>
        <w:tblW w:w="0" w:type="auto"/>
        <w:tblInd w:w="242" w:type="dxa"/>
        <w:tblLayout w:type="fixed"/>
        <w:tblCellMar>
          <w:left w:w="0" w:type="dxa"/>
          <w:right w:w="0" w:type="dxa"/>
        </w:tblCellMar>
        <w:tblLook w:val="01E0" w:firstRow="1" w:lastRow="1" w:firstColumn="1" w:lastColumn="1" w:noHBand="0" w:noVBand="0"/>
      </w:tblPr>
      <w:tblGrid>
        <w:gridCol w:w="4143"/>
        <w:gridCol w:w="2733"/>
      </w:tblGrid>
      <w:tr w:rsidR="004D21C1" w14:paraId="70A7327C" w14:textId="77777777" w:rsidTr="00FF1C69">
        <w:trPr>
          <w:trHeight w:val="419"/>
        </w:trPr>
        <w:tc>
          <w:tcPr>
            <w:tcW w:w="4143" w:type="dxa"/>
          </w:tcPr>
          <w:p w14:paraId="539290AB" w14:textId="77777777" w:rsidR="004D21C1" w:rsidRDefault="004D21C1" w:rsidP="00CD363C">
            <w:pPr>
              <w:pStyle w:val="TableParagraph"/>
              <w:ind w:left="200" w:right="407"/>
              <w:jc w:val="both"/>
              <w:rPr>
                <w:b/>
              </w:rPr>
            </w:pPr>
            <w:r>
              <w:rPr>
                <w:b/>
              </w:rPr>
              <w:t>Procentu maksājumi katru gadu</w:t>
            </w:r>
          </w:p>
        </w:tc>
        <w:tc>
          <w:tcPr>
            <w:tcW w:w="2733" w:type="dxa"/>
          </w:tcPr>
          <w:p w14:paraId="38C4CADC" w14:textId="77777777" w:rsidR="004D21C1" w:rsidRDefault="004D21C1" w:rsidP="00CD363C">
            <w:pPr>
              <w:pStyle w:val="TableParagraph"/>
              <w:ind w:left="881" w:right="407"/>
              <w:jc w:val="both"/>
            </w:pPr>
            <w:r>
              <w:t>100 000,00 EUR</w:t>
            </w:r>
          </w:p>
        </w:tc>
      </w:tr>
      <w:tr w:rsidR="004D21C1" w14:paraId="3F8C22D5" w14:textId="77777777" w:rsidTr="00FF1C69">
        <w:trPr>
          <w:trHeight w:val="419"/>
        </w:trPr>
        <w:tc>
          <w:tcPr>
            <w:tcW w:w="4143" w:type="dxa"/>
          </w:tcPr>
          <w:p w14:paraId="5948B3B6" w14:textId="77777777" w:rsidR="004D21C1" w:rsidRDefault="004D21C1" w:rsidP="00CD363C">
            <w:pPr>
              <w:pStyle w:val="TableParagraph"/>
              <w:ind w:left="200" w:right="407"/>
              <w:jc w:val="both"/>
              <w:rPr>
                <w:b/>
              </w:rPr>
            </w:pPr>
            <w:r>
              <w:rPr>
                <w:b/>
              </w:rPr>
              <w:t>Atmaksa pēc 5 gadiem</w:t>
            </w:r>
          </w:p>
        </w:tc>
        <w:tc>
          <w:tcPr>
            <w:tcW w:w="2733" w:type="dxa"/>
          </w:tcPr>
          <w:p w14:paraId="55231FE9" w14:textId="77777777" w:rsidR="004D21C1" w:rsidRDefault="004D21C1" w:rsidP="00CD363C">
            <w:pPr>
              <w:pStyle w:val="TableParagraph"/>
              <w:ind w:left="881" w:right="407"/>
              <w:jc w:val="both"/>
            </w:pPr>
            <w:r>
              <w:t>1 250 000,00 EUR</w:t>
            </w:r>
          </w:p>
        </w:tc>
      </w:tr>
    </w:tbl>
    <w:p w14:paraId="7E212283" w14:textId="77777777" w:rsidR="004D21C1" w:rsidRDefault="004D21C1" w:rsidP="00CD363C">
      <w:pPr>
        <w:pStyle w:val="Pamatteksts"/>
        <w:ind w:right="407"/>
        <w:jc w:val="both"/>
        <w:rPr>
          <w:sz w:val="20"/>
        </w:rPr>
      </w:pPr>
    </w:p>
    <w:p w14:paraId="5835F353" w14:textId="77777777" w:rsidR="004D21C1" w:rsidRDefault="004D21C1" w:rsidP="00CD363C">
      <w:pPr>
        <w:spacing w:after="0" w:line="240" w:lineRule="auto"/>
        <w:ind w:left="338" w:right="407"/>
        <w:jc w:val="both"/>
        <w:rPr>
          <w:i/>
          <w:sz w:val="20"/>
        </w:rPr>
      </w:pPr>
      <w:r>
        <w:rPr>
          <w:i/>
          <w:sz w:val="20"/>
        </w:rPr>
        <w:t>*piemērā sniegtā efektīvā procentu likme noapaļota līdz divām zīmēm aiz komata. Piemēra aprēķinos izmantota pilna efektīvā procentu likme - 13.7973186026947%.</w:t>
      </w:r>
    </w:p>
    <w:p w14:paraId="28C49B2F" w14:textId="77777777" w:rsidR="004D21C1" w:rsidRDefault="004D21C1" w:rsidP="00CD363C">
      <w:pPr>
        <w:pStyle w:val="Sarakstarindkopa"/>
        <w:widowControl w:val="0"/>
        <w:numPr>
          <w:ilvl w:val="4"/>
          <w:numId w:val="43"/>
        </w:numPr>
        <w:tabs>
          <w:tab w:val="left" w:pos="6517"/>
        </w:tabs>
        <w:autoSpaceDE w:val="0"/>
        <w:autoSpaceDN w:val="0"/>
        <w:spacing w:after="0" w:line="240" w:lineRule="auto"/>
        <w:ind w:left="6516" w:right="407" w:hanging="301"/>
        <w:contextualSpacing w:val="0"/>
        <w:jc w:val="both"/>
        <w:rPr>
          <w:i/>
          <w:sz w:val="20"/>
        </w:rPr>
      </w:pPr>
      <w:r>
        <w:rPr>
          <w:i/>
          <w:sz w:val="20"/>
        </w:rPr>
        <w:t>tabula. Efektīvās procentu likmes</w:t>
      </w:r>
      <w:r>
        <w:rPr>
          <w:i/>
          <w:spacing w:val="-8"/>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1"/>
        <w:gridCol w:w="2696"/>
        <w:gridCol w:w="5389"/>
      </w:tblGrid>
      <w:tr w:rsidR="004D21C1" w14:paraId="73574A3F" w14:textId="77777777" w:rsidTr="00FF1C69">
        <w:trPr>
          <w:trHeight w:val="304"/>
        </w:trPr>
        <w:tc>
          <w:tcPr>
            <w:tcW w:w="1411" w:type="dxa"/>
            <w:shd w:val="clear" w:color="auto" w:fill="F1F1F1"/>
          </w:tcPr>
          <w:p w14:paraId="1982205C" w14:textId="77777777" w:rsidR="004D21C1" w:rsidRDefault="004D21C1" w:rsidP="00CD363C">
            <w:pPr>
              <w:pStyle w:val="TableParagraph"/>
              <w:ind w:left="453" w:right="407"/>
              <w:jc w:val="both"/>
              <w:rPr>
                <w:b/>
                <w:sz w:val="20"/>
              </w:rPr>
            </w:pPr>
            <w:r>
              <w:rPr>
                <w:b/>
                <w:sz w:val="20"/>
              </w:rPr>
              <w:t>Gads</w:t>
            </w:r>
          </w:p>
        </w:tc>
        <w:tc>
          <w:tcPr>
            <w:tcW w:w="2696" w:type="dxa"/>
            <w:shd w:val="clear" w:color="auto" w:fill="F1F1F1"/>
          </w:tcPr>
          <w:p w14:paraId="30202B6F" w14:textId="77777777" w:rsidR="004D21C1" w:rsidRDefault="004D21C1" w:rsidP="00CD363C">
            <w:pPr>
              <w:pStyle w:val="TableParagraph"/>
              <w:ind w:left="622" w:right="407"/>
              <w:jc w:val="both"/>
              <w:rPr>
                <w:b/>
                <w:sz w:val="20"/>
              </w:rPr>
            </w:pPr>
            <w:r>
              <w:rPr>
                <w:b/>
                <w:sz w:val="20"/>
              </w:rPr>
              <w:t>Naudas plūsmas</w:t>
            </w:r>
          </w:p>
        </w:tc>
        <w:tc>
          <w:tcPr>
            <w:tcW w:w="5389" w:type="dxa"/>
            <w:shd w:val="clear" w:color="auto" w:fill="F1F1F1"/>
          </w:tcPr>
          <w:p w14:paraId="5D2F1C23" w14:textId="77777777" w:rsidR="004D21C1" w:rsidRDefault="004D21C1" w:rsidP="00CD363C">
            <w:pPr>
              <w:pStyle w:val="TableParagraph"/>
              <w:ind w:left="422" w:right="407"/>
              <w:jc w:val="both"/>
              <w:rPr>
                <w:b/>
                <w:sz w:val="20"/>
              </w:rPr>
            </w:pPr>
            <w:r>
              <w:rPr>
                <w:b/>
                <w:sz w:val="20"/>
              </w:rPr>
              <w:t>Pamatsummas atmaksa līguma perioda beigās, EUR</w:t>
            </w:r>
          </w:p>
        </w:tc>
      </w:tr>
      <w:tr w:rsidR="004D21C1" w14:paraId="64380C65" w14:textId="77777777" w:rsidTr="00FF1C69">
        <w:trPr>
          <w:trHeight w:val="268"/>
        </w:trPr>
        <w:tc>
          <w:tcPr>
            <w:tcW w:w="1411" w:type="dxa"/>
            <w:shd w:val="clear" w:color="auto" w:fill="F1F1F1"/>
          </w:tcPr>
          <w:p w14:paraId="76C8436D" w14:textId="77777777" w:rsidR="004D21C1" w:rsidRDefault="004D21C1" w:rsidP="00CD363C">
            <w:pPr>
              <w:pStyle w:val="TableParagraph"/>
              <w:ind w:right="407"/>
              <w:jc w:val="both"/>
              <w:rPr>
                <w:b/>
                <w:sz w:val="20"/>
              </w:rPr>
            </w:pPr>
            <w:r>
              <w:rPr>
                <w:b/>
                <w:w w:val="99"/>
                <w:sz w:val="20"/>
              </w:rPr>
              <w:t>1</w:t>
            </w:r>
          </w:p>
        </w:tc>
        <w:tc>
          <w:tcPr>
            <w:tcW w:w="2696" w:type="dxa"/>
            <w:shd w:val="clear" w:color="auto" w:fill="F1F1F1"/>
          </w:tcPr>
          <w:p w14:paraId="7BCFA634" w14:textId="77777777" w:rsidR="004D21C1" w:rsidRDefault="004D21C1" w:rsidP="00CD363C">
            <w:pPr>
              <w:pStyle w:val="TableParagraph"/>
              <w:ind w:right="407"/>
              <w:jc w:val="both"/>
              <w:rPr>
                <w:b/>
                <w:sz w:val="20"/>
              </w:rPr>
            </w:pPr>
            <w:r>
              <w:rPr>
                <w:b/>
                <w:w w:val="99"/>
                <w:sz w:val="20"/>
              </w:rPr>
              <w:t>2</w:t>
            </w:r>
          </w:p>
        </w:tc>
        <w:tc>
          <w:tcPr>
            <w:tcW w:w="5389" w:type="dxa"/>
            <w:shd w:val="clear" w:color="auto" w:fill="F1F1F1"/>
          </w:tcPr>
          <w:p w14:paraId="68281199" w14:textId="77777777" w:rsidR="004D21C1" w:rsidRDefault="004D21C1" w:rsidP="00CD363C">
            <w:pPr>
              <w:pStyle w:val="TableParagraph"/>
              <w:ind w:right="407"/>
              <w:jc w:val="both"/>
              <w:rPr>
                <w:b/>
                <w:sz w:val="20"/>
              </w:rPr>
            </w:pPr>
            <w:r>
              <w:rPr>
                <w:b/>
                <w:w w:val="99"/>
                <w:sz w:val="20"/>
              </w:rPr>
              <w:t>3</w:t>
            </w:r>
          </w:p>
        </w:tc>
      </w:tr>
      <w:tr w:rsidR="004D21C1" w14:paraId="21E784F3" w14:textId="77777777" w:rsidTr="00FF1C69">
        <w:trPr>
          <w:trHeight w:val="371"/>
        </w:trPr>
        <w:tc>
          <w:tcPr>
            <w:tcW w:w="1411" w:type="dxa"/>
          </w:tcPr>
          <w:p w14:paraId="55407B85" w14:textId="77777777" w:rsidR="004D21C1" w:rsidRDefault="004D21C1" w:rsidP="00CD363C">
            <w:pPr>
              <w:pStyle w:val="TableParagraph"/>
              <w:ind w:left="107" w:right="407"/>
              <w:jc w:val="both"/>
              <w:rPr>
                <w:sz w:val="20"/>
              </w:rPr>
            </w:pPr>
            <w:r>
              <w:rPr>
                <w:sz w:val="20"/>
              </w:rPr>
              <w:t>02.01.2019</w:t>
            </w:r>
          </w:p>
        </w:tc>
        <w:tc>
          <w:tcPr>
            <w:tcW w:w="2696" w:type="dxa"/>
          </w:tcPr>
          <w:p w14:paraId="25CF8EAF" w14:textId="77777777" w:rsidR="004D21C1" w:rsidRDefault="004D21C1" w:rsidP="00CD363C">
            <w:pPr>
              <w:pStyle w:val="TableParagraph"/>
              <w:ind w:right="407"/>
              <w:jc w:val="both"/>
              <w:rPr>
                <w:sz w:val="20"/>
              </w:rPr>
            </w:pPr>
            <w:r>
              <w:rPr>
                <w:sz w:val="20"/>
              </w:rPr>
              <w:t>+ 1 000 000,00</w:t>
            </w:r>
          </w:p>
        </w:tc>
        <w:tc>
          <w:tcPr>
            <w:tcW w:w="5389" w:type="dxa"/>
          </w:tcPr>
          <w:p w14:paraId="26A1A299" w14:textId="77777777" w:rsidR="004D21C1" w:rsidRDefault="004D21C1" w:rsidP="00CD363C">
            <w:pPr>
              <w:pStyle w:val="TableParagraph"/>
              <w:ind w:left="105" w:right="407"/>
              <w:jc w:val="both"/>
              <w:rPr>
                <w:sz w:val="20"/>
              </w:rPr>
            </w:pPr>
            <w:r>
              <w:rPr>
                <w:sz w:val="20"/>
              </w:rPr>
              <w:t>Aizņēmuma saņemšana</w:t>
            </w:r>
          </w:p>
        </w:tc>
      </w:tr>
      <w:tr w:rsidR="004D21C1" w14:paraId="2D21DBA7" w14:textId="77777777" w:rsidTr="00FF1C69">
        <w:trPr>
          <w:trHeight w:val="374"/>
        </w:trPr>
        <w:tc>
          <w:tcPr>
            <w:tcW w:w="1411" w:type="dxa"/>
          </w:tcPr>
          <w:p w14:paraId="49E42F0D" w14:textId="77777777" w:rsidR="004D21C1" w:rsidRDefault="004D21C1" w:rsidP="00CD363C">
            <w:pPr>
              <w:pStyle w:val="TableParagraph"/>
              <w:ind w:left="107" w:right="407"/>
              <w:jc w:val="both"/>
              <w:rPr>
                <w:sz w:val="20"/>
              </w:rPr>
            </w:pPr>
            <w:r>
              <w:rPr>
                <w:sz w:val="20"/>
              </w:rPr>
              <w:t>02.01.2020</w:t>
            </w:r>
          </w:p>
        </w:tc>
        <w:tc>
          <w:tcPr>
            <w:tcW w:w="2696" w:type="dxa"/>
          </w:tcPr>
          <w:p w14:paraId="51EDD838" w14:textId="77777777" w:rsidR="004D21C1" w:rsidRDefault="004D21C1" w:rsidP="00CD363C">
            <w:pPr>
              <w:pStyle w:val="TableParagraph"/>
              <w:ind w:right="407"/>
              <w:jc w:val="both"/>
              <w:rPr>
                <w:sz w:val="20"/>
              </w:rPr>
            </w:pPr>
            <w:r>
              <w:rPr>
                <w:sz w:val="20"/>
              </w:rPr>
              <w:t>- 100 000,00</w:t>
            </w:r>
          </w:p>
        </w:tc>
        <w:tc>
          <w:tcPr>
            <w:tcW w:w="5389" w:type="dxa"/>
          </w:tcPr>
          <w:p w14:paraId="2C8CB5A9" w14:textId="77777777" w:rsidR="004D21C1" w:rsidRDefault="004D21C1" w:rsidP="00CD363C">
            <w:pPr>
              <w:pStyle w:val="TableParagraph"/>
              <w:ind w:left="105" w:right="407"/>
              <w:jc w:val="both"/>
              <w:rPr>
                <w:sz w:val="20"/>
              </w:rPr>
            </w:pPr>
            <w:r>
              <w:rPr>
                <w:sz w:val="20"/>
              </w:rPr>
              <w:t>Procentu samaksa</w:t>
            </w:r>
          </w:p>
        </w:tc>
      </w:tr>
      <w:tr w:rsidR="004D21C1" w14:paraId="39914E2C" w14:textId="77777777" w:rsidTr="00FF1C69">
        <w:trPr>
          <w:trHeight w:val="371"/>
        </w:trPr>
        <w:tc>
          <w:tcPr>
            <w:tcW w:w="1411" w:type="dxa"/>
          </w:tcPr>
          <w:p w14:paraId="06F4658C" w14:textId="77777777" w:rsidR="004D21C1" w:rsidRDefault="004D21C1" w:rsidP="00CD363C">
            <w:pPr>
              <w:pStyle w:val="TableParagraph"/>
              <w:ind w:left="107" w:right="407"/>
              <w:jc w:val="both"/>
              <w:rPr>
                <w:sz w:val="20"/>
              </w:rPr>
            </w:pPr>
            <w:r>
              <w:rPr>
                <w:sz w:val="20"/>
              </w:rPr>
              <w:t>02.01.2021</w:t>
            </w:r>
          </w:p>
        </w:tc>
        <w:tc>
          <w:tcPr>
            <w:tcW w:w="2696" w:type="dxa"/>
          </w:tcPr>
          <w:p w14:paraId="68E85119" w14:textId="77777777" w:rsidR="004D21C1" w:rsidRDefault="004D21C1" w:rsidP="00CD363C">
            <w:pPr>
              <w:pStyle w:val="TableParagraph"/>
              <w:ind w:right="407"/>
              <w:jc w:val="both"/>
              <w:rPr>
                <w:sz w:val="20"/>
              </w:rPr>
            </w:pPr>
            <w:r>
              <w:rPr>
                <w:sz w:val="20"/>
              </w:rPr>
              <w:t>- 100 000,00</w:t>
            </w:r>
          </w:p>
        </w:tc>
        <w:tc>
          <w:tcPr>
            <w:tcW w:w="5389" w:type="dxa"/>
          </w:tcPr>
          <w:p w14:paraId="337C107D" w14:textId="77777777" w:rsidR="004D21C1" w:rsidRDefault="004D21C1" w:rsidP="00CD363C">
            <w:pPr>
              <w:pStyle w:val="TableParagraph"/>
              <w:ind w:left="105" w:right="407"/>
              <w:jc w:val="both"/>
              <w:rPr>
                <w:sz w:val="20"/>
              </w:rPr>
            </w:pPr>
            <w:r>
              <w:rPr>
                <w:sz w:val="20"/>
              </w:rPr>
              <w:t>Procentu samaksa</w:t>
            </w:r>
          </w:p>
        </w:tc>
      </w:tr>
      <w:tr w:rsidR="004D21C1" w14:paraId="6E419A4B" w14:textId="77777777" w:rsidTr="00FF1C69">
        <w:trPr>
          <w:trHeight w:val="374"/>
        </w:trPr>
        <w:tc>
          <w:tcPr>
            <w:tcW w:w="1411" w:type="dxa"/>
          </w:tcPr>
          <w:p w14:paraId="1670C1C2" w14:textId="77777777" w:rsidR="004D21C1" w:rsidRDefault="004D21C1" w:rsidP="00CD363C">
            <w:pPr>
              <w:pStyle w:val="TableParagraph"/>
              <w:ind w:left="107" w:right="407"/>
              <w:jc w:val="both"/>
              <w:rPr>
                <w:sz w:val="20"/>
              </w:rPr>
            </w:pPr>
            <w:r>
              <w:rPr>
                <w:sz w:val="20"/>
              </w:rPr>
              <w:t>02.01.2022</w:t>
            </w:r>
          </w:p>
        </w:tc>
        <w:tc>
          <w:tcPr>
            <w:tcW w:w="2696" w:type="dxa"/>
          </w:tcPr>
          <w:p w14:paraId="7EC5E5CC" w14:textId="77777777" w:rsidR="004D21C1" w:rsidRDefault="004D21C1" w:rsidP="00CD363C">
            <w:pPr>
              <w:pStyle w:val="TableParagraph"/>
              <w:ind w:right="407"/>
              <w:jc w:val="both"/>
              <w:rPr>
                <w:sz w:val="20"/>
              </w:rPr>
            </w:pPr>
            <w:r>
              <w:rPr>
                <w:sz w:val="20"/>
              </w:rPr>
              <w:t>- 100 000,00</w:t>
            </w:r>
          </w:p>
        </w:tc>
        <w:tc>
          <w:tcPr>
            <w:tcW w:w="5389" w:type="dxa"/>
          </w:tcPr>
          <w:p w14:paraId="090DB767" w14:textId="77777777" w:rsidR="004D21C1" w:rsidRDefault="004D21C1" w:rsidP="00CD363C">
            <w:pPr>
              <w:pStyle w:val="TableParagraph"/>
              <w:ind w:left="105" w:right="407"/>
              <w:jc w:val="both"/>
              <w:rPr>
                <w:sz w:val="20"/>
              </w:rPr>
            </w:pPr>
            <w:r>
              <w:rPr>
                <w:sz w:val="20"/>
              </w:rPr>
              <w:t>Procentu samaksa</w:t>
            </w:r>
          </w:p>
        </w:tc>
      </w:tr>
      <w:tr w:rsidR="004D21C1" w14:paraId="4FF1CBE0" w14:textId="77777777" w:rsidTr="00FF1C69">
        <w:trPr>
          <w:trHeight w:val="374"/>
        </w:trPr>
        <w:tc>
          <w:tcPr>
            <w:tcW w:w="1411" w:type="dxa"/>
          </w:tcPr>
          <w:p w14:paraId="65C93212" w14:textId="77777777" w:rsidR="004D21C1" w:rsidRDefault="004D21C1" w:rsidP="00CD363C">
            <w:pPr>
              <w:pStyle w:val="TableParagraph"/>
              <w:ind w:left="107" w:right="407"/>
              <w:jc w:val="both"/>
              <w:rPr>
                <w:sz w:val="20"/>
              </w:rPr>
            </w:pPr>
            <w:r>
              <w:rPr>
                <w:sz w:val="20"/>
              </w:rPr>
              <w:t>02.01.2023</w:t>
            </w:r>
          </w:p>
        </w:tc>
        <w:tc>
          <w:tcPr>
            <w:tcW w:w="2696" w:type="dxa"/>
          </w:tcPr>
          <w:p w14:paraId="7292BC12" w14:textId="77777777" w:rsidR="004D21C1" w:rsidRDefault="004D21C1" w:rsidP="00CD363C">
            <w:pPr>
              <w:pStyle w:val="TableParagraph"/>
              <w:ind w:right="407"/>
              <w:jc w:val="both"/>
              <w:rPr>
                <w:sz w:val="20"/>
              </w:rPr>
            </w:pPr>
            <w:r>
              <w:rPr>
                <w:sz w:val="20"/>
              </w:rPr>
              <w:t>- 100 000,00</w:t>
            </w:r>
          </w:p>
        </w:tc>
        <w:tc>
          <w:tcPr>
            <w:tcW w:w="5389" w:type="dxa"/>
          </w:tcPr>
          <w:p w14:paraId="0245EF16" w14:textId="77777777" w:rsidR="004D21C1" w:rsidRDefault="004D21C1" w:rsidP="00CD363C">
            <w:pPr>
              <w:pStyle w:val="TableParagraph"/>
              <w:ind w:left="105" w:right="407"/>
              <w:jc w:val="both"/>
              <w:rPr>
                <w:sz w:val="20"/>
              </w:rPr>
            </w:pPr>
            <w:r>
              <w:rPr>
                <w:sz w:val="20"/>
              </w:rPr>
              <w:t>Procentu samaksa</w:t>
            </w:r>
          </w:p>
        </w:tc>
      </w:tr>
      <w:tr w:rsidR="004D21C1" w14:paraId="0DB91C96" w14:textId="77777777" w:rsidTr="00FF1C69">
        <w:trPr>
          <w:trHeight w:val="457"/>
        </w:trPr>
        <w:tc>
          <w:tcPr>
            <w:tcW w:w="1411" w:type="dxa"/>
          </w:tcPr>
          <w:p w14:paraId="0A2722A7" w14:textId="77777777" w:rsidR="004D21C1" w:rsidRDefault="004D21C1" w:rsidP="00CD363C">
            <w:pPr>
              <w:pStyle w:val="TableParagraph"/>
              <w:ind w:left="107" w:right="407"/>
              <w:jc w:val="both"/>
              <w:rPr>
                <w:sz w:val="20"/>
              </w:rPr>
            </w:pPr>
            <w:r>
              <w:rPr>
                <w:sz w:val="20"/>
              </w:rPr>
              <w:t>02.01.2024</w:t>
            </w:r>
          </w:p>
        </w:tc>
        <w:tc>
          <w:tcPr>
            <w:tcW w:w="2696" w:type="dxa"/>
          </w:tcPr>
          <w:p w14:paraId="1A6915B8" w14:textId="77777777" w:rsidR="004D21C1" w:rsidRDefault="004D21C1" w:rsidP="00CD363C">
            <w:pPr>
              <w:pStyle w:val="TableParagraph"/>
              <w:ind w:right="407"/>
              <w:jc w:val="both"/>
              <w:rPr>
                <w:sz w:val="20"/>
              </w:rPr>
            </w:pPr>
            <w:r>
              <w:rPr>
                <w:sz w:val="20"/>
              </w:rPr>
              <w:t>- 1 350 000,00</w:t>
            </w:r>
          </w:p>
        </w:tc>
        <w:tc>
          <w:tcPr>
            <w:tcW w:w="5389" w:type="dxa"/>
          </w:tcPr>
          <w:p w14:paraId="4C72FE66" w14:textId="77777777" w:rsidR="004D21C1" w:rsidRDefault="004D21C1" w:rsidP="00CD363C">
            <w:pPr>
              <w:pStyle w:val="TableParagraph"/>
              <w:ind w:left="105" w:right="407"/>
              <w:jc w:val="both"/>
              <w:rPr>
                <w:sz w:val="20"/>
              </w:rPr>
            </w:pPr>
            <w:r>
              <w:rPr>
                <w:sz w:val="20"/>
              </w:rPr>
              <w:t>Aizņēmuma pamatsummas, procentu un papildus prēmijas</w:t>
            </w:r>
          </w:p>
          <w:p w14:paraId="72965EA0" w14:textId="77777777" w:rsidR="004D21C1" w:rsidRDefault="004D21C1" w:rsidP="00CD363C">
            <w:pPr>
              <w:pStyle w:val="TableParagraph"/>
              <w:ind w:left="105" w:right="407"/>
              <w:jc w:val="both"/>
              <w:rPr>
                <w:sz w:val="20"/>
              </w:rPr>
            </w:pPr>
            <w:r>
              <w:rPr>
                <w:sz w:val="20"/>
              </w:rPr>
              <w:t>samaksa</w:t>
            </w:r>
          </w:p>
        </w:tc>
      </w:tr>
      <w:tr w:rsidR="004D21C1" w14:paraId="1CDBBF09" w14:textId="77777777" w:rsidTr="00FF1C69">
        <w:trPr>
          <w:trHeight w:val="292"/>
        </w:trPr>
        <w:tc>
          <w:tcPr>
            <w:tcW w:w="1411" w:type="dxa"/>
          </w:tcPr>
          <w:p w14:paraId="118A4EBB" w14:textId="77777777" w:rsidR="004D21C1" w:rsidRDefault="004D21C1" w:rsidP="00CD363C">
            <w:pPr>
              <w:pStyle w:val="TableParagraph"/>
              <w:ind w:right="407"/>
              <w:jc w:val="both"/>
              <w:rPr>
                <w:sz w:val="20"/>
              </w:rPr>
            </w:pPr>
          </w:p>
        </w:tc>
        <w:tc>
          <w:tcPr>
            <w:tcW w:w="2696" w:type="dxa"/>
          </w:tcPr>
          <w:p w14:paraId="01FB242B" w14:textId="77777777" w:rsidR="004D21C1" w:rsidRDefault="004D21C1" w:rsidP="00CD363C">
            <w:pPr>
              <w:pStyle w:val="TableParagraph"/>
              <w:ind w:right="407"/>
              <w:jc w:val="both"/>
              <w:rPr>
                <w:b/>
                <w:sz w:val="20"/>
              </w:rPr>
            </w:pPr>
            <w:r>
              <w:rPr>
                <w:b/>
                <w:sz w:val="20"/>
              </w:rPr>
              <w:t>13,80%</w:t>
            </w:r>
          </w:p>
        </w:tc>
        <w:tc>
          <w:tcPr>
            <w:tcW w:w="5389" w:type="dxa"/>
          </w:tcPr>
          <w:p w14:paraId="1AA73CFF" w14:textId="77777777" w:rsidR="004D21C1" w:rsidRDefault="004D21C1" w:rsidP="00CD363C">
            <w:pPr>
              <w:pStyle w:val="TableParagraph"/>
              <w:ind w:left="105" w:right="407"/>
              <w:jc w:val="both"/>
              <w:rPr>
                <w:sz w:val="20"/>
              </w:rPr>
            </w:pPr>
            <w:r>
              <w:rPr>
                <w:sz w:val="20"/>
              </w:rPr>
              <w:t>Efektīvā procentu likme</w:t>
            </w:r>
          </w:p>
        </w:tc>
      </w:tr>
    </w:tbl>
    <w:p w14:paraId="353C6FD2" w14:textId="77777777" w:rsidR="004D21C1" w:rsidRDefault="004D21C1" w:rsidP="00CD363C">
      <w:pPr>
        <w:pStyle w:val="Pamatteksts"/>
        <w:ind w:right="407"/>
        <w:jc w:val="both"/>
        <w:rPr>
          <w:i/>
        </w:rPr>
      </w:pPr>
    </w:p>
    <w:p w14:paraId="6A9AA3ED" w14:textId="77777777" w:rsidR="004D21C1" w:rsidRDefault="004D21C1" w:rsidP="00CD363C">
      <w:pPr>
        <w:pStyle w:val="Pamatteksts"/>
        <w:ind w:right="407"/>
        <w:jc w:val="both"/>
        <w:rPr>
          <w:i/>
          <w:sz w:val="31"/>
        </w:rPr>
      </w:pPr>
    </w:p>
    <w:p w14:paraId="498FB6BB" w14:textId="77777777" w:rsidR="004D21C1" w:rsidRDefault="004D21C1" w:rsidP="00CD363C">
      <w:pPr>
        <w:pStyle w:val="Pamatteksts"/>
        <w:ind w:left="338" w:right="407"/>
        <w:jc w:val="both"/>
      </w:pPr>
      <w:r>
        <w:t>Aizņēmuma</w:t>
      </w:r>
      <w:r>
        <w:rPr>
          <w:spacing w:val="-8"/>
        </w:rPr>
        <w:t xml:space="preserve"> </w:t>
      </w:r>
      <w:r>
        <w:t>uzskaites</w:t>
      </w:r>
      <w:r>
        <w:rPr>
          <w:spacing w:val="-9"/>
        </w:rPr>
        <w:t xml:space="preserve"> </w:t>
      </w:r>
      <w:r>
        <w:t>vērtība</w:t>
      </w:r>
      <w:r>
        <w:rPr>
          <w:spacing w:val="-7"/>
        </w:rPr>
        <w:t xml:space="preserve"> </w:t>
      </w:r>
      <w:r>
        <w:t>sākotnējās</w:t>
      </w:r>
      <w:r>
        <w:rPr>
          <w:spacing w:val="-9"/>
        </w:rPr>
        <w:t xml:space="preserve"> </w:t>
      </w:r>
      <w:r>
        <w:t>atzīšanas</w:t>
      </w:r>
      <w:r>
        <w:rPr>
          <w:spacing w:val="-9"/>
        </w:rPr>
        <w:t xml:space="preserve"> </w:t>
      </w:r>
      <w:r>
        <w:t>dienā</w:t>
      </w:r>
      <w:r>
        <w:rPr>
          <w:spacing w:val="-7"/>
        </w:rPr>
        <w:t xml:space="preserve"> </w:t>
      </w:r>
      <w:r>
        <w:t>ir</w:t>
      </w:r>
      <w:r>
        <w:rPr>
          <w:spacing w:val="-6"/>
        </w:rPr>
        <w:t xml:space="preserve"> </w:t>
      </w:r>
      <w:r>
        <w:t>1</w:t>
      </w:r>
      <w:r>
        <w:rPr>
          <w:spacing w:val="-10"/>
        </w:rPr>
        <w:t xml:space="preserve"> </w:t>
      </w:r>
      <w:r>
        <w:t>000</w:t>
      </w:r>
      <w:r>
        <w:rPr>
          <w:spacing w:val="1"/>
        </w:rPr>
        <w:t xml:space="preserve"> </w:t>
      </w:r>
      <w:r>
        <w:t>000,00</w:t>
      </w:r>
      <w:r>
        <w:rPr>
          <w:spacing w:val="-7"/>
        </w:rPr>
        <w:t xml:space="preserve"> </w:t>
      </w:r>
      <w:r>
        <w:t>EUR.</w:t>
      </w:r>
      <w:r>
        <w:rPr>
          <w:spacing w:val="-7"/>
        </w:rPr>
        <w:t xml:space="preserve"> </w:t>
      </w:r>
      <w:r>
        <w:t>12.</w:t>
      </w:r>
      <w:r>
        <w:rPr>
          <w:spacing w:val="-4"/>
        </w:rPr>
        <w:t xml:space="preserve"> </w:t>
      </w:r>
      <w:r>
        <w:t>tabulā</w:t>
      </w:r>
      <w:r>
        <w:rPr>
          <w:spacing w:val="-8"/>
        </w:rPr>
        <w:t xml:space="preserve"> </w:t>
      </w:r>
      <w:r>
        <w:t>uzrādīts</w:t>
      </w:r>
      <w:r>
        <w:rPr>
          <w:spacing w:val="-9"/>
        </w:rPr>
        <w:t xml:space="preserve"> </w:t>
      </w:r>
      <w:r>
        <w:t xml:space="preserve">aizņēmuma amortizētās vērtības aprēķins un naudas plūsmas 5 gadu laika periodā no aizņēmuma saņemšanas dienas. Katru gadu sagaidāmā aizņēmuma procentu atmaksa </w:t>
      </w:r>
      <w:r>
        <w:rPr>
          <w:spacing w:val="2"/>
        </w:rPr>
        <w:t xml:space="preserve">ir </w:t>
      </w:r>
      <w:r>
        <w:t>100 000,00 EUR un termiņa beigās visa saņemtā aizņēmuma summa, ieskaitot papildus summu – kopā 1 250 000,00 EUR.</w:t>
      </w:r>
    </w:p>
    <w:p w14:paraId="2961F289" w14:textId="77777777" w:rsidR="004D21C1" w:rsidRDefault="004D21C1" w:rsidP="00CD363C">
      <w:pPr>
        <w:pStyle w:val="Sarakstarindkopa"/>
        <w:widowControl w:val="0"/>
        <w:numPr>
          <w:ilvl w:val="4"/>
          <w:numId w:val="43"/>
        </w:numPr>
        <w:tabs>
          <w:tab w:val="left" w:pos="4478"/>
        </w:tabs>
        <w:autoSpaceDE w:val="0"/>
        <w:autoSpaceDN w:val="0"/>
        <w:spacing w:after="0" w:line="240" w:lineRule="auto"/>
        <w:ind w:left="4477" w:right="407"/>
        <w:contextualSpacing w:val="0"/>
        <w:jc w:val="both"/>
        <w:rPr>
          <w:i/>
          <w:sz w:val="20"/>
        </w:rPr>
      </w:pPr>
      <w:r>
        <w:rPr>
          <w:i/>
          <w:sz w:val="20"/>
        </w:rPr>
        <w:t>tabula. Aizņēmuma amortizētā vērtības aprēķini un naudas</w:t>
      </w:r>
      <w:r>
        <w:rPr>
          <w:i/>
          <w:spacing w:val="-12"/>
          <w:sz w:val="20"/>
        </w:rPr>
        <w:t xml:space="preserve"> </w:t>
      </w:r>
      <w:r>
        <w:rPr>
          <w:i/>
          <w:sz w:val="20"/>
        </w:rPr>
        <w:t>plūsmas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47"/>
        <w:gridCol w:w="1558"/>
        <w:gridCol w:w="1418"/>
        <w:gridCol w:w="1274"/>
        <w:gridCol w:w="1560"/>
        <w:gridCol w:w="1418"/>
        <w:gridCol w:w="1418"/>
      </w:tblGrid>
      <w:tr w:rsidR="004D21C1" w14:paraId="4D2DD816" w14:textId="77777777" w:rsidTr="00FF1C69">
        <w:trPr>
          <w:trHeight w:val="1380"/>
        </w:trPr>
        <w:tc>
          <w:tcPr>
            <w:tcW w:w="847" w:type="dxa"/>
            <w:shd w:val="clear" w:color="auto" w:fill="F1F1F1"/>
          </w:tcPr>
          <w:p w14:paraId="2DA23A00" w14:textId="77777777" w:rsidR="004D21C1" w:rsidRDefault="004D21C1" w:rsidP="00CD363C">
            <w:pPr>
              <w:pStyle w:val="TableParagraph"/>
              <w:ind w:right="407"/>
              <w:jc w:val="both"/>
              <w:rPr>
                <w:i/>
              </w:rPr>
            </w:pPr>
          </w:p>
          <w:p w14:paraId="4397EFBC" w14:textId="77777777" w:rsidR="004D21C1" w:rsidRDefault="004D21C1" w:rsidP="00CD363C">
            <w:pPr>
              <w:pStyle w:val="TableParagraph"/>
              <w:ind w:right="407"/>
              <w:jc w:val="both"/>
              <w:rPr>
                <w:i/>
                <w:sz w:val="27"/>
              </w:rPr>
            </w:pPr>
          </w:p>
          <w:p w14:paraId="36D4E20E" w14:textId="77777777" w:rsidR="004D21C1" w:rsidRDefault="004D21C1" w:rsidP="00CD363C">
            <w:pPr>
              <w:pStyle w:val="TableParagraph"/>
              <w:ind w:left="172" w:right="407"/>
              <w:jc w:val="both"/>
              <w:rPr>
                <w:b/>
                <w:sz w:val="20"/>
              </w:rPr>
            </w:pPr>
            <w:r>
              <w:rPr>
                <w:b/>
                <w:sz w:val="20"/>
              </w:rPr>
              <w:t>Gads</w:t>
            </w:r>
          </w:p>
        </w:tc>
        <w:tc>
          <w:tcPr>
            <w:tcW w:w="1558" w:type="dxa"/>
            <w:shd w:val="clear" w:color="auto" w:fill="F1F1F1"/>
          </w:tcPr>
          <w:p w14:paraId="1FF0F600" w14:textId="77777777" w:rsidR="004D21C1" w:rsidRDefault="004D21C1" w:rsidP="00CD363C">
            <w:pPr>
              <w:pStyle w:val="TableParagraph"/>
              <w:ind w:right="407"/>
              <w:jc w:val="both"/>
              <w:rPr>
                <w:i/>
                <w:sz w:val="29"/>
              </w:rPr>
            </w:pPr>
          </w:p>
          <w:p w14:paraId="7A1A1957" w14:textId="77777777" w:rsidR="004D21C1" w:rsidRDefault="004D21C1" w:rsidP="00CD363C">
            <w:pPr>
              <w:pStyle w:val="TableParagraph"/>
              <w:ind w:left="182" w:right="407" w:hanging="1"/>
              <w:jc w:val="both"/>
              <w:rPr>
                <w:b/>
                <w:sz w:val="20"/>
              </w:rPr>
            </w:pPr>
            <w:r>
              <w:rPr>
                <w:b/>
                <w:sz w:val="20"/>
              </w:rPr>
              <w:t>Aizņēmuma uzskaites vērtība, EUR</w:t>
            </w:r>
          </w:p>
        </w:tc>
        <w:tc>
          <w:tcPr>
            <w:tcW w:w="1418" w:type="dxa"/>
            <w:shd w:val="clear" w:color="auto" w:fill="F1F1F1"/>
          </w:tcPr>
          <w:p w14:paraId="564B1969" w14:textId="77777777" w:rsidR="004D21C1" w:rsidRDefault="004D21C1" w:rsidP="00CD363C">
            <w:pPr>
              <w:pStyle w:val="TableParagraph"/>
              <w:ind w:left="137" w:right="407"/>
              <w:jc w:val="both"/>
              <w:rPr>
                <w:b/>
                <w:sz w:val="20"/>
              </w:rPr>
            </w:pPr>
            <w:r>
              <w:rPr>
                <w:b/>
                <w:w w:val="95"/>
                <w:sz w:val="20"/>
              </w:rPr>
              <w:t xml:space="preserve">Amortizētā </w:t>
            </w:r>
            <w:r>
              <w:rPr>
                <w:b/>
                <w:sz w:val="20"/>
              </w:rPr>
              <w:t>vērtība perioda sākumā, EUR</w:t>
            </w:r>
          </w:p>
        </w:tc>
        <w:tc>
          <w:tcPr>
            <w:tcW w:w="1274" w:type="dxa"/>
            <w:shd w:val="clear" w:color="auto" w:fill="F1F1F1"/>
          </w:tcPr>
          <w:p w14:paraId="1A1AC643" w14:textId="77777777" w:rsidR="004D21C1" w:rsidRDefault="004D21C1" w:rsidP="00CD363C">
            <w:pPr>
              <w:pStyle w:val="TableParagraph"/>
              <w:ind w:right="407"/>
              <w:jc w:val="both"/>
              <w:rPr>
                <w:i/>
                <w:sz w:val="19"/>
              </w:rPr>
            </w:pPr>
          </w:p>
          <w:p w14:paraId="1034A826" w14:textId="77777777" w:rsidR="004D21C1" w:rsidRDefault="004D21C1" w:rsidP="00CD363C">
            <w:pPr>
              <w:pStyle w:val="TableParagraph"/>
              <w:ind w:left="132" w:right="407" w:hanging="3"/>
              <w:jc w:val="both"/>
              <w:rPr>
                <w:b/>
                <w:sz w:val="20"/>
              </w:rPr>
            </w:pPr>
            <w:r>
              <w:rPr>
                <w:b/>
                <w:sz w:val="20"/>
              </w:rPr>
              <w:t xml:space="preserve">Procentu </w:t>
            </w:r>
            <w:r>
              <w:rPr>
                <w:b/>
                <w:spacing w:val="-1"/>
                <w:sz w:val="20"/>
              </w:rPr>
              <w:t xml:space="preserve">maksājumi </w:t>
            </w:r>
            <w:r>
              <w:rPr>
                <w:b/>
                <w:sz w:val="20"/>
              </w:rPr>
              <w:t>(10%</w:t>
            </w:r>
          </w:p>
          <w:p w14:paraId="4F2368EF" w14:textId="77777777" w:rsidR="004D21C1" w:rsidRDefault="004D21C1" w:rsidP="00CD363C">
            <w:pPr>
              <w:pStyle w:val="TableParagraph"/>
              <w:ind w:left="25" w:right="407"/>
              <w:jc w:val="both"/>
              <w:rPr>
                <w:b/>
                <w:sz w:val="20"/>
              </w:rPr>
            </w:pPr>
            <w:r>
              <w:rPr>
                <w:b/>
                <w:sz w:val="20"/>
              </w:rPr>
              <w:t>gadā), EUR</w:t>
            </w:r>
          </w:p>
        </w:tc>
        <w:tc>
          <w:tcPr>
            <w:tcW w:w="1560" w:type="dxa"/>
            <w:shd w:val="clear" w:color="auto" w:fill="F1F1F1"/>
          </w:tcPr>
          <w:p w14:paraId="1C7D7C55" w14:textId="77777777" w:rsidR="004D21C1" w:rsidRDefault="004D21C1" w:rsidP="00CD363C">
            <w:pPr>
              <w:pStyle w:val="TableParagraph"/>
              <w:ind w:left="155" w:right="407"/>
              <w:jc w:val="both"/>
              <w:rPr>
                <w:b/>
                <w:sz w:val="20"/>
              </w:rPr>
            </w:pPr>
            <w:r>
              <w:rPr>
                <w:b/>
                <w:sz w:val="20"/>
              </w:rPr>
              <w:t>Atzītie procentu izdevumi pēc efektīvās procentu</w:t>
            </w:r>
          </w:p>
          <w:p w14:paraId="151784C0" w14:textId="77777777" w:rsidR="004D21C1" w:rsidRDefault="004D21C1" w:rsidP="00CD363C">
            <w:pPr>
              <w:pStyle w:val="TableParagraph"/>
              <w:ind w:left="153" w:right="407"/>
              <w:jc w:val="both"/>
              <w:rPr>
                <w:b/>
                <w:sz w:val="20"/>
              </w:rPr>
            </w:pPr>
            <w:r>
              <w:rPr>
                <w:b/>
                <w:sz w:val="20"/>
              </w:rPr>
              <w:t>likmes, EUR</w:t>
            </w:r>
          </w:p>
        </w:tc>
        <w:tc>
          <w:tcPr>
            <w:tcW w:w="1418" w:type="dxa"/>
            <w:shd w:val="clear" w:color="auto" w:fill="F1F1F1"/>
          </w:tcPr>
          <w:p w14:paraId="424C723F" w14:textId="77777777" w:rsidR="004D21C1" w:rsidRDefault="004D21C1" w:rsidP="00CD363C">
            <w:pPr>
              <w:pStyle w:val="TableParagraph"/>
              <w:ind w:left="153" w:right="407" w:firstLine="1"/>
              <w:jc w:val="both"/>
              <w:rPr>
                <w:b/>
                <w:sz w:val="20"/>
              </w:rPr>
            </w:pPr>
            <w:r>
              <w:rPr>
                <w:b/>
                <w:sz w:val="20"/>
              </w:rPr>
              <w:t>Amortizētā vērtība perioda beigās,</w:t>
            </w:r>
            <w:r>
              <w:rPr>
                <w:b/>
                <w:spacing w:val="-10"/>
                <w:sz w:val="20"/>
              </w:rPr>
              <w:t xml:space="preserve"> </w:t>
            </w:r>
            <w:r>
              <w:rPr>
                <w:b/>
                <w:sz w:val="20"/>
              </w:rPr>
              <w:t>EUR</w:t>
            </w:r>
          </w:p>
        </w:tc>
        <w:tc>
          <w:tcPr>
            <w:tcW w:w="1418" w:type="dxa"/>
            <w:shd w:val="clear" w:color="auto" w:fill="F1F1F1"/>
          </w:tcPr>
          <w:p w14:paraId="09C7B315" w14:textId="77777777" w:rsidR="004D21C1" w:rsidRDefault="004D21C1" w:rsidP="00CD363C">
            <w:pPr>
              <w:pStyle w:val="TableParagraph"/>
              <w:ind w:left="141" w:right="407"/>
              <w:jc w:val="both"/>
              <w:rPr>
                <w:b/>
                <w:sz w:val="20"/>
              </w:rPr>
            </w:pPr>
            <w:r>
              <w:rPr>
                <w:b/>
                <w:w w:val="95"/>
                <w:sz w:val="20"/>
              </w:rPr>
              <w:t xml:space="preserve">Pamatsumm </w:t>
            </w:r>
            <w:r>
              <w:rPr>
                <w:b/>
                <w:sz w:val="20"/>
              </w:rPr>
              <w:t>as atmaksa līguma perioda beigās, EUR</w:t>
            </w:r>
          </w:p>
        </w:tc>
      </w:tr>
      <w:tr w:rsidR="004D21C1" w14:paraId="2084A227" w14:textId="77777777" w:rsidTr="00FF1C69">
        <w:trPr>
          <w:trHeight w:val="230"/>
        </w:trPr>
        <w:tc>
          <w:tcPr>
            <w:tcW w:w="847" w:type="dxa"/>
            <w:shd w:val="clear" w:color="auto" w:fill="F1F1F1"/>
          </w:tcPr>
          <w:p w14:paraId="72C7AB51" w14:textId="77777777" w:rsidR="004D21C1" w:rsidRDefault="004D21C1" w:rsidP="00CD363C">
            <w:pPr>
              <w:pStyle w:val="TableParagraph"/>
              <w:ind w:right="407"/>
              <w:jc w:val="both"/>
              <w:rPr>
                <w:b/>
                <w:sz w:val="20"/>
              </w:rPr>
            </w:pPr>
            <w:r>
              <w:rPr>
                <w:b/>
                <w:w w:val="99"/>
                <w:sz w:val="20"/>
              </w:rPr>
              <w:t>1</w:t>
            </w:r>
          </w:p>
        </w:tc>
        <w:tc>
          <w:tcPr>
            <w:tcW w:w="1558" w:type="dxa"/>
            <w:shd w:val="clear" w:color="auto" w:fill="F1F1F1"/>
          </w:tcPr>
          <w:p w14:paraId="71042EC5" w14:textId="77777777" w:rsidR="004D21C1" w:rsidRDefault="004D21C1" w:rsidP="00CD363C">
            <w:pPr>
              <w:pStyle w:val="TableParagraph"/>
              <w:ind w:right="407"/>
              <w:jc w:val="both"/>
              <w:rPr>
                <w:b/>
                <w:sz w:val="20"/>
              </w:rPr>
            </w:pPr>
            <w:r>
              <w:rPr>
                <w:b/>
                <w:w w:val="99"/>
                <w:sz w:val="20"/>
              </w:rPr>
              <w:t>2</w:t>
            </w:r>
          </w:p>
        </w:tc>
        <w:tc>
          <w:tcPr>
            <w:tcW w:w="1418" w:type="dxa"/>
            <w:shd w:val="clear" w:color="auto" w:fill="F1F1F1"/>
          </w:tcPr>
          <w:p w14:paraId="48832E95" w14:textId="77777777" w:rsidR="004D21C1" w:rsidRDefault="004D21C1" w:rsidP="00CD363C">
            <w:pPr>
              <w:pStyle w:val="TableParagraph"/>
              <w:ind w:right="407"/>
              <w:jc w:val="both"/>
              <w:rPr>
                <w:b/>
                <w:sz w:val="20"/>
              </w:rPr>
            </w:pPr>
            <w:r>
              <w:rPr>
                <w:b/>
                <w:w w:val="99"/>
                <w:sz w:val="20"/>
              </w:rPr>
              <w:t>3</w:t>
            </w:r>
          </w:p>
        </w:tc>
        <w:tc>
          <w:tcPr>
            <w:tcW w:w="1274" w:type="dxa"/>
            <w:shd w:val="clear" w:color="auto" w:fill="F1F1F1"/>
          </w:tcPr>
          <w:p w14:paraId="6B9EDD12" w14:textId="77777777" w:rsidR="004D21C1" w:rsidRDefault="004D21C1" w:rsidP="00CD363C">
            <w:pPr>
              <w:pStyle w:val="TableParagraph"/>
              <w:ind w:right="407"/>
              <w:jc w:val="both"/>
              <w:rPr>
                <w:b/>
                <w:sz w:val="20"/>
              </w:rPr>
            </w:pPr>
            <w:r>
              <w:rPr>
                <w:b/>
                <w:w w:val="99"/>
                <w:sz w:val="20"/>
              </w:rPr>
              <w:t>4</w:t>
            </w:r>
          </w:p>
        </w:tc>
        <w:tc>
          <w:tcPr>
            <w:tcW w:w="1560" w:type="dxa"/>
            <w:shd w:val="clear" w:color="auto" w:fill="F1F1F1"/>
          </w:tcPr>
          <w:p w14:paraId="4893FEAA" w14:textId="77777777" w:rsidR="004D21C1" w:rsidRDefault="004D21C1" w:rsidP="00CD363C">
            <w:pPr>
              <w:pStyle w:val="TableParagraph"/>
              <w:ind w:left="219" w:right="407"/>
              <w:jc w:val="both"/>
              <w:rPr>
                <w:b/>
                <w:sz w:val="20"/>
              </w:rPr>
            </w:pPr>
            <w:r>
              <w:rPr>
                <w:b/>
                <w:sz w:val="20"/>
              </w:rPr>
              <w:t>5=3*13,80%</w:t>
            </w:r>
          </w:p>
        </w:tc>
        <w:tc>
          <w:tcPr>
            <w:tcW w:w="1418" w:type="dxa"/>
            <w:shd w:val="clear" w:color="auto" w:fill="F1F1F1"/>
          </w:tcPr>
          <w:p w14:paraId="709D94CC" w14:textId="77777777" w:rsidR="004D21C1" w:rsidRDefault="004D21C1" w:rsidP="00CD363C">
            <w:pPr>
              <w:pStyle w:val="TableParagraph"/>
              <w:ind w:left="141" w:right="407"/>
              <w:jc w:val="both"/>
              <w:rPr>
                <w:b/>
                <w:sz w:val="20"/>
              </w:rPr>
            </w:pPr>
            <w:r>
              <w:rPr>
                <w:b/>
                <w:sz w:val="20"/>
              </w:rPr>
              <w:t>6 =3-4+5</w:t>
            </w:r>
          </w:p>
        </w:tc>
        <w:tc>
          <w:tcPr>
            <w:tcW w:w="1418" w:type="dxa"/>
            <w:shd w:val="clear" w:color="auto" w:fill="F1F1F1"/>
          </w:tcPr>
          <w:p w14:paraId="68625C87" w14:textId="77777777" w:rsidR="004D21C1" w:rsidRDefault="004D21C1" w:rsidP="00CD363C">
            <w:pPr>
              <w:pStyle w:val="TableParagraph"/>
              <w:ind w:right="407"/>
              <w:jc w:val="both"/>
              <w:rPr>
                <w:b/>
                <w:sz w:val="20"/>
              </w:rPr>
            </w:pPr>
            <w:r>
              <w:rPr>
                <w:b/>
                <w:w w:val="99"/>
                <w:sz w:val="20"/>
              </w:rPr>
              <w:t>7</w:t>
            </w:r>
          </w:p>
        </w:tc>
      </w:tr>
      <w:tr w:rsidR="004D21C1" w14:paraId="1BCF10CC" w14:textId="77777777" w:rsidTr="00FF1C69">
        <w:trPr>
          <w:trHeight w:val="230"/>
        </w:trPr>
        <w:tc>
          <w:tcPr>
            <w:tcW w:w="847" w:type="dxa"/>
          </w:tcPr>
          <w:p w14:paraId="1B4D765B" w14:textId="77777777" w:rsidR="004D21C1" w:rsidRDefault="004D21C1" w:rsidP="00CD363C">
            <w:pPr>
              <w:pStyle w:val="TableParagraph"/>
              <w:ind w:right="407"/>
              <w:jc w:val="both"/>
              <w:rPr>
                <w:sz w:val="20"/>
              </w:rPr>
            </w:pPr>
            <w:r>
              <w:rPr>
                <w:sz w:val="20"/>
              </w:rPr>
              <w:t>2019</w:t>
            </w:r>
          </w:p>
        </w:tc>
        <w:tc>
          <w:tcPr>
            <w:tcW w:w="1558" w:type="dxa"/>
          </w:tcPr>
          <w:p w14:paraId="05C23FC7" w14:textId="77777777" w:rsidR="004D21C1" w:rsidRDefault="004D21C1" w:rsidP="00CD363C">
            <w:pPr>
              <w:pStyle w:val="TableParagraph"/>
              <w:ind w:right="407"/>
              <w:jc w:val="both"/>
              <w:rPr>
                <w:sz w:val="20"/>
              </w:rPr>
            </w:pPr>
            <w:r>
              <w:rPr>
                <w:sz w:val="20"/>
              </w:rPr>
              <w:t>1 000 000,00</w:t>
            </w:r>
          </w:p>
        </w:tc>
        <w:tc>
          <w:tcPr>
            <w:tcW w:w="1418" w:type="dxa"/>
          </w:tcPr>
          <w:p w14:paraId="08156A0C" w14:textId="77777777" w:rsidR="004D21C1" w:rsidRDefault="004D21C1" w:rsidP="00CD363C">
            <w:pPr>
              <w:pStyle w:val="TableParagraph"/>
              <w:ind w:left="141" w:right="407"/>
              <w:jc w:val="both"/>
              <w:rPr>
                <w:sz w:val="20"/>
              </w:rPr>
            </w:pPr>
            <w:r>
              <w:rPr>
                <w:sz w:val="20"/>
              </w:rPr>
              <w:t>1 000 000,00</w:t>
            </w:r>
          </w:p>
        </w:tc>
        <w:tc>
          <w:tcPr>
            <w:tcW w:w="1274" w:type="dxa"/>
          </w:tcPr>
          <w:p w14:paraId="3891FD0A" w14:textId="77777777" w:rsidR="004D21C1" w:rsidRDefault="004D21C1" w:rsidP="00CD363C">
            <w:pPr>
              <w:pStyle w:val="TableParagraph"/>
              <w:ind w:left="82" w:right="407"/>
              <w:jc w:val="both"/>
              <w:rPr>
                <w:sz w:val="20"/>
              </w:rPr>
            </w:pPr>
            <w:r>
              <w:rPr>
                <w:sz w:val="20"/>
              </w:rPr>
              <w:t>100 000,00</w:t>
            </w:r>
          </w:p>
        </w:tc>
        <w:tc>
          <w:tcPr>
            <w:tcW w:w="1560" w:type="dxa"/>
          </w:tcPr>
          <w:p w14:paraId="53A548B1" w14:textId="77777777" w:rsidR="004D21C1" w:rsidRDefault="004D21C1" w:rsidP="00CD363C">
            <w:pPr>
              <w:pStyle w:val="TableParagraph"/>
              <w:ind w:right="407"/>
              <w:jc w:val="both"/>
              <w:rPr>
                <w:sz w:val="20"/>
              </w:rPr>
            </w:pPr>
            <w:r>
              <w:rPr>
                <w:sz w:val="20"/>
              </w:rPr>
              <w:t>137 973,19</w:t>
            </w:r>
          </w:p>
        </w:tc>
        <w:tc>
          <w:tcPr>
            <w:tcW w:w="1418" w:type="dxa"/>
          </w:tcPr>
          <w:p w14:paraId="06E282E6" w14:textId="77777777" w:rsidR="004D21C1" w:rsidRDefault="004D21C1" w:rsidP="00CD363C">
            <w:pPr>
              <w:pStyle w:val="TableParagraph"/>
              <w:ind w:left="141" w:right="407"/>
              <w:jc w:val="both"/>
              <w:rPr>
                <w:sz w:val="20"/>
              </w:rPr>
            </w:pPr>
            <w:r>
              <w:rPr>
                <w:sz w:val="20"/>
              </w:rPr>
              <w:t>1 037 973,19</w:t>
            </w:r>
          </w:p>
        </w:tc>
        <w:tc>
          <w:tcPr>
            <w:tcW w:w="1418" w:type="dxa"/>
          </w:tcPr>
          <w:p w14:paraId="3AC467CE" w14:textId="77777777" w:rsidR="004D21C1" w:rsidRDefault="004D21C1" w:rsidP="00CD363C">
            <w:pPr>
              <w:pStyle w:val="TableParagraph"/>
              <w:ind w:right="407"/>
              <w:jc w:val="both"/>
              <w:rPr>
                <w:sz w:val="16"/>
              </w:rPr>
            </w:pPr>
          </w:p>
        </w:tc>
      </w:tr>
      <w:tr w:rsidR="004D21C1" w14:paraId="58833A27" w14:textId="77777777" w:rsidTr="00FF1C69">
        <w:trPr>
          <w:trHeight w:val="230"/>
        </w:trPr>
        <w:tc>
          <w:tcPr>
            <w:tcW w:w="847" w:type="dxa"/>
          </w:tcPr>
          <w:p w14:paraId="71C4161B" w14:textId="77777777" w:rsidR="004D21C1" w:rsidRDefault="004D21C1" w:rsidP="00CD363C">
            <w:pPr>
              <w:pStyle w:val="TableParagraph"/>
              <w:ind w:right="407"/>
              <w:jc w:val="both"/>
              <w:rPr>
                <w:sz w:val="20"/>
              </w:rPr>
            </w:pPr>
            <w:r>
              <w:rPr>
                <w:sz w:val="20"/>
              </w:rPr>
              <w:t>2020</w:t>
            </w:r>
          </w:p>
        </w:tc>
        <w:tc>
          <w:tcPr>
            <w:tcW w:w="1558" w:type="dxa"/>
          </w:tcPr>
          <w:p w14:paraId="0A910C43" w14:textId="77777777" w:rsidR="004D21C1" w:rsidRDefault="004D21C1" w:rsidP="00CD363C">
            <w:pPr>
              <w:pStyle w:val="TableParagraph"/>
              <w:ind w:right="407"/>
              <w:jc w:val="both"/>
              <w:rPr>
                <w:sz w:val="20"/>
              </w:rPr>
            </w:pPr>
            <w:r>
              <w:rPr>
                <w:sz w:val="20"/>
              </w:rPr>
              <w:t>1 037 973,19</w:t>
            </w:r>
          </w:p>
        </w:tc>
        <w:tc>
          <w:tcPr>
            <w:tcW w:w="1418" w:type="dxa"/>
          </w:tcPr>
          <w:p w14:paraId="799022F4" w14:textId="77777777" w:rsidR="004D21C1" w:rsidRDefault="004D21C1" w:rsidP="00CD363C">
            <w:pPr>
              <w:pStyle w:val="TableParagraph"/>
              <w:ind w:left="141" w:right="407"/>
              <w:jc w:val="both"/>
              <w:rPr>
                <w:sz w:val="20"/>
              </w:rPr>
            </w:pPr>
            <w:r>
              <w:rPr>
                <w:sz w:val="20"/>
              </w:rPr>
              <w:t>1 037 973,19</w:t>
            </w:r>
          </w:p>
        </w:tc>
        <w:tc>
          <w:tcPr>
            <w:tcW w:w="1274" w:type="dxa"/>
          </w:tcPr>
          <w:p w14:paraId="2999E8D2" w14:textId="77777777" w:rsidR="004D21C1" w:rsidRDefault="004D21C1" w:rsidP="00CD363C">
            <w:pPr>
              <w:pStyle w:val="TableParagraph"/>
              <w:ind w:left="82" w:right="407"/>
              <w:jc w:val="both"/>
              <w:rPr>
                <w:sz w:val="20"/>
              </w:rPr>
            </w:pPr>
            <w:r>
              <w:rPr>
                <w:sz w:val="20"/>
              </w:rPr>
              <w:t>100 000,00</w:t>
            </w:r>
          </w:p>
        </w:tc>
        <w:tc>
          <w:tcPr>
            <w:tcW w:w="1560" w:type="dxa"/>
          </w:tcPr>
          <w:p w14:paraId="108595A3" w14:textId="77777777" w:rsidR="004D21C1" w:rsidRDefault="004D21C1" w:rsidP="00CD363C">
            <w:pPr>
              <w:pStyle w:val="TableParagraph"/>
              <w:ind w:right="407"/>
              <w:jc w:val="both"/>
              <w:rPr>
                <w:sz w:val="20"/>
              </w:rPr>
            </w:pPr>
            <w:r>
              <w:rPr>
                <w:sz w:val="20"/>
              </w:rPr>
              <w:t>143 212,47</w:t>
            </w:r>
          </w:p>
        </w:tc>
        <w:tc>
          <w:tcPr>
            <w:tcW w:w="1418" w:type="dxa"/>
          </w:tcPr>
          <w:p w14:paraId="6FCA3D6B" w14:textId="77777777" w:rsidR="004D21C1" w:rsidRDefault="004D21C1" w:rsidP="00CD363C">
            <w:pPr>
              <w:pStyle w:val="TableParagraph"/>
              <w:ind w:left="141" w:right="407"/>
              <w:jc w:val="both"/>
              <w:rPr>
                <w:sz w:val="20"/>
              </w:rPr>
            </w:pPr>
            <w:r>
              <w:rPr>
                <w:sz w:val="20"/>
              </w:rPr>
              <w:t>1 081 185,65</w:t>
            </w:r>
          </w:p>
        </w:tc>
        <w:tc>
          <w:tcPr>
            <w:tcW w:w="1418" w:type="dxa"/>
          </w:tcPr>
          <w:p w14:paraId="3CA31C58" w14:textId="77777777" w:rsidR="004D21C1" w:rsidRDefault="004D21C1" w:rsidP="00CD363C">
            <w:pPr>
              <w:pStyle w:val="TableParagraph"/>
              <w:ind w:right="407"/>
              <w:jc w:val="both"/>
              <w:rPr>
                <w:sz w:val="16"/>
              </w:rPr>
            </w:pPr>
          </w:p>
        </w:tc>
      </w:tr>
      <w:tr w:rsidR="004D21C1" w14:paraId="18F953E2" w14:textId="77777777" w:rsidTr="00FF1C69">
        <w:trPr>
          <w:trHeight w:val="230"/>
        </w:trPr>
        <w:tc>
          <w:tcPr>
            <w:tcW w:w="847" w:type="dxa"/>
          </w:tcPr>
          <w:p w14:paraId="3D5AD05F" w14:textId="77777777" w:rsidR="004D21C1" w:rsidRDefault="004D21C1" w:rsidP="00CD363C">
            <w:pPr>
              <w:pStyle w:val="TableParagraph"/>
              <w:ind w:right="407"/>
              <w:jc w:val="both"/>
              <w:rPr>
                <w:sz w:val="20"/>
              </w:rPr>
            </w:pPr>
            <w:r>
              <w:rPr>
                <w:sz w:val="20"/>
              </w:rPr>
              <w:t>2021</w:t>
            </w:r>
          </w:p>
        </w:tc>
        <w:tc>
          <w:tcPr>
            <w:tcW w:w="1558" w:type="dxa"/>
          </w:tcPr>
          <w:p w14:paraId="5FF89D0F" w14:textId="77777777" w:rsidR="004D21C1" w:rsidRDefault="004D21C1" w:rsidP="00CD363C">
            <w:pPr>
              <w:pStyle w:val="TableParagraph"/>
              <w:ind w:right="407"/>
              <w:jc w:val="both"/>
              <w:rPr>
                <w:sz w:val="20"/>
              </w:rPr>
            </w:pPr>
            <w:r>
              <w:rPr>
                <w:sz w:val="20"/>
              </w:rPr>
              <w:t>1 081 185,65</w:t>
            </w:r>
          </w:p>
        </w:tc>
        <w:tc>
          <w:tcPr>
            <w:tcW w:w="1418" w:type="dxa"/>
          </w:tcPr>
          <w:p w14:paraId="5FAE2C67" w14:textId="77777777" w:rsidR="004D21C1" w:rsidRDefault="004D21C1" w:rsidP="00CD363C">
            <w:pPr>
              <w:pStyle w:val="TableParagraph"/>
              <w:ind w:left="141" w:right="407"/>
              <w:jc w:val="both"/>
              <w:rPr>
                <w:sz w:val="20"/>
              </w:rPr>
            </w:pPr>
            <w:r>
              <w:rPr>
                <w:sz w:val="20"/>
              </w:rPr>
              <w:t>1 081 185,65</w:t>
            </w:r>
          </w:p>
        </w:tc>
        <w:tc>
          <w:tcPr>
            <w:tcW w:w="1274" w:type="dxa"/>
          </w:tcPr>
          <w:p w14:paraId="37EA5119" w14:textId="77777777" w:rsidR="004D21C1" w:rsidRDefault="004D21C1" w:rsidP="00CD363C">
            <w:pPr>
              <w:pStyle w:val="TableParagraph"/>
              <w:ind w:left="82" w:right="407"/>
              <w:jc w:val="both"/>
              <w:rPr>
                <w:sz w:val="20"/>
              </w:rPr>
            </w:pPr>
            <w:r>
              <w:rPr>
                <w:sz w:val="20"/>
              </w:rPr>
              <w:t>100 000,00</w:t>
            </w:r>
          </w:p>
        </w:tc>
        <w:tc>
          <w:tcPr>
            <w:tcW w:w="1560" w:type="dxa"/>
          </w:tcPr>
          <w:p w14:paraId="3335F237" w14:textId="77777777" w:rsidR="004D21C1" w:rsidRDefault="004D21C1" w:rsidP="00CD363C">
            <w:pPr>
              <w:pStyle w:val="TableParagraph"/>
              <w:ind w:right="407"/>
              <w:jc w:val="both"/>
              <w:rPr>
                <w:sz w:val="20"/>
              </w:rPr>
            </w:pPr>
            <w:r>
              <w:rPr>
                <w:sz w:val="20"/>
              </w:rPr>
              <w:t>149 174,63</w:t>
            </w:r>
          </w:p>
        </w:tc>
        <w:tc>
          <w:tcPr>
            <w:tcW w:w="1418" w:type="dxa"/>
          </w:tcPr>
          <w:p w14:paraId="379A026B" w14:textId="77777777" w:rsidR="004D21C1" w:rsidRDefault="004D21C1" w:rsidP="00CD363C">
            <w:pPr>
              <w:pStyle w:val="TableParagraph"/>
              <w:ind w:left="141" w:right="407"/>
              <w:jc w:val="both"/>
              <w:rPr>
                <w:sz w:val="20"/>
              </w:rPr>
            </w:pPr>
            <w:r>
              <w:rPr>
                <w:sz w:val="20"/>
              </w:rPr>
              <w:t>1 130 360,28</w:t>
            </w:r>
          </w:p>
        </w:tc>
        <w:tc>
          <w:tcPr>
            <w:tcW w:w="1418" w:type="dxa"/>
          </w:tcPr>
          <w:p w14:paraId="2A5BA5EE" w14:textId="77777777" w:rsidR="004D21C1" w:rsidRDefault="004D21C1" w:rsidP="00CD363C">
            <w:pPr>
              <w:pStyle w:val="TableParagraph"/>
              <w:ind w:right="407"/>
              <w:jc w:val="both"/>
              <w:rPr>
                <w:sz w:val="16"/>
              </w:rPr>
            </w:pPr>
          </w:p>
        </w:tc>
      </w:tr>
      <w:tr w:rsidR="004D21C1" w14:paraId="46D32805" w14:textId="77777777" w:rsidTr="00FF1C69">
        <w:trPr>
          <w:trHeight w:val="230"/>
        </w:trPr>
        <w:tc>
          <w:tcPr>
            <w:tcW w:w="847" w:type="dxa"/>
          </w:tcPr>
          <w:p w14:paraId="3013D653" w14:textId="77777777" w:rsidR="004D21C1" w:rsidRDefault="004D21C1" w:rsidP="00CD363C">
            <w:pPr>
              <w:pStyle w:val="TableParagraph"/>
              <w:ind w:right="407"/>
              <w:jc w:val="both"/>
              <w:rPr>
                <w:sz w:val="20"/>
              </w:rPr>
            </w:pPr>
            <w:r>
              <w:rPr>
                <w:sz w:val="20"/>
              </w:rPr>
              <w:t>2022</w:t>
            </w:r>
          </w:p>
        </w:tc>
        <w:tc>
          <w:tcPr>
            <w:tcW w:w="1558" w:type="dxa"/>
          </w:tcPr>
          <w:p w14:paraId="04120419" w14:textId="77777777" w:rsidR="004D21C1" w:rsidRDefault="004D21C1" w:rsidP="00CD363C">
            <w:pPr>
              <w:pStyle w:val="TableParagraph"/>
              <w:ind w:right="407"/>
              <w:jc w:val="both"/>
              <w:rPr>
                <w:sz w:val="20"/>
              </w:rPr>
            </w:pPr>
            <w:r>
              <w:rPr>
                <w:sz w:val="20"/>
              </w:rPr>
              <w:t>1 130 360,28</w:t>
            </w:r>
          </w:p>
        </w:tc>
        <w:tc>
          <w:tcPr>
            <w:tcW w:w="1418" w:type="dxa"/>
          </w:tcPr>
          <w:p w14:paraId="4233F3AC" w14:textId="77777777" w:rsidR="004D21C1" w:rsidRDefault="004D21C1" w:rsidP="00CD363C">
            <w:pPr>
              <w:pStyle w:val="TableParagraph"/>
              <w:ind w:left="141" w:right="407"/>
              <w:jc w:val="both"/>
              <w:rPr>
                <w:sz w:val="20"/>
              </w:rPr>
            </w:pPr>
            <w:r>
              <w:rPr>
                <w:sz w:val="20"/>
              </w:rPr>
              <w:t>1 130 360,28</w:t>
            </w:r>
          </w:p>
        </w:tc>
        <w:tc>
          <w:tcPr>
            <w:tcW w:w="1274" w:type="dxa"/>
          </w:tcPr>
          <w:p w14:paraId="5E17D6FD" w14:textId="77777777" w:rsidR="004D21C1" w:rsidRDefault="004D21C1" w:rsidP="00CD363C">
            <w:pPr>
              <w:pStyle w:val="TableParagraph"/>
              <w:ind w:left="82" w:right="407"/>
              <w:jc w:val="both"/>
              <w:rPr>
                <w:sz w:val="20"/>
              </w:rPr>
            </w:pPr>
            <w:r>
              <w:rPr>
                <w:sz w:val="20"/>
              </w:rPr>
              <w:t>100 000,00</w:t>
            </w:r>
          </w:p>
        </w:tc>
        <w:tc>
          <w:tcPr>
            <w:tcW w:w="1560" w:type="dxa"/>
          </w:tcPr>
          <w:p w14:paraId="539F8904" w14:textId="77777777" w:rsidR="004D21C1" w:rsidRDefault="004D21C1" w:rsidP="00CD363C">
            <w:pPr>
              <w:pStyle w:val="TableParagraph"/>
              <w:ind w:right="407"/>
              <w:jc w:val="both"/>
              <w:rPr>
                <w:sz w:val="20"/>
              </w:rPr>
            </w:pPr>
            <w:r>
              <w:rPr>
                <w:sz w:val="20"/>
              </w:rPr>
              <w:t>155 959,41</w:t>
            </w:r>
          </w:p>
        </w:tc>
        <w:tc>
          <w:tcPr>
            <w:tcW w:w="1418" w:type="dxa"/>
          </w:tcPr>
          <w:p w14:paraId="2A5847E1" w14:textId="77777777" w:rsidR="004D21C1" w:rsidRDefault="004D21C1" w:rsidP="00CD363C">
            <w:pPr>
              <w:pStyle w:val="TableParagraph"/>
              <w:ind w:left="141" w:right="407"/>
              <w:jc w:val="both"/>
              <w:rPr>
                <w:sz w:val="20"/>
              </w:rPr>
            </w:pPr>
            <w:r>
              <w:rPr>
                <w:sz w:val="20"/>
              </w:rPr>
              <w:t>1 186 319,69</w:t>
            </w:r>
          </w:p>
        </w:tc>
        <w:tc>
          <w:tcPr>
            <w:tcW w:w="1418" w:type="dxa"/>
          </w:tcPr>
          <w:p w14:paraId="17CA4C05" w14:textId="77777777" w:rsidR="004D21C1" w:rsidRDefault="004D21C1" w:rsidP="00CD363C">
            <w:pPr>
              <w:pStyle w:val="TableParagraph"/>
              <w:ind w:right="407"/>
              <w:jc w:val="both"/>
              <w:rPr>
                <w:sz w:val="16"/>
              </w:rPr>
            </w:pPr>
          </w:p>
        </w:tc>
      </w:tr>
      <w:tr w:rsidR="004D21C1" w14:paraId="60DF1C5B" w14:textId="77777777" w:rsidTr="00FF1C69">
        <w:trPr>
          <w:trHeight w:val="230"/>
        </w:trPr>
        <w:tc>
          <w:tcPr>
            <w:tcW w:w="847" w:type="dxa"/>
          </w:tcPr>
          <w:p w14:paraId="2DB3173E" w14:textId="77777777" w:rsidR="004D21C1" w:rsidRDefault="004D21C1" w:rsidP="00CD363C">
            <w:pPr>
              <w:pStyle w:val="TableParagraph"/>
              <w:ind w:right="407"/>
              <w:jc w:val="both"/>
              <w:rPr>
                <w:sz w:val="20"/>
              </w:rPr>
            </w:pPr>
            <w:r>
              <w:rPr>
                <w:sz w:val="20"/>
              </w:rPr>
              <w:t>2023</w:t>
            </w:r>
          </w:p>
        </w:tc>
        <w:tc>
          <w:tcPr>
            <w:tcW w:w="1558" w:type="dxa"/>
          </w:tcPr>
          <w:p w14:paraId="4A8F6DAE" w14:textId="77777777" w:rsidR="004D21C1" w:rsidRDefault="004D21C1" w:rsidP="00CD363C">
            <w:pPr>
              <w:pStyle w:val="TableParagraph"/>
              <w:ind w:right="407"/>
              <w:jc w:val="both"/>
              <w:rPr>
                <w:sz w:val="20"/>
              </w:rPr>
            </w:pPr>
            <w:r>
              <w:rPr>
                <w:sz w:val="20"/>
              </w:rPr>
              <w:t>1 186 319,69</w:t>
            </w:r>
          </w:p>
        </w:tc>
        <w:tc>
          <w:tcPr>
            <w:tcW w:w="1418" w:type="dxa"/>
          </w:tcPr>
          <w:p w14:paraId="7B6F82F9" w14:textId="77777777" w:rsidR="004D21C1" w:rsidRDefault="004D21C1" w:rsidP="00CD363C">
            <w:pPr>
              <w:pStyle w:val="TableParagraph"/>
              <w:ind w:left="141" w:right="407"/>
              <w:jc w:val="both"/>
              <w:rPr>
                <w:sz w:val="20"/>
              </w:rPr>
            </w:pPr>
            <w:r>
              <w:rPr>
                <w:sz w:val="20"/>
              </w:rPr>
              <w:t>1 186 319,69</w:t>
            </w:r>
          </w:p>
        </w:tc>
        <w:tc>
          <w:tcPr>
            <w:tcW w:w="1274" w:type="dxa"/>
          </w:tcPr>
          <w:p w14:paraId="000097B3" w14:textId="77777777" w:rsidR="004D21C1" w:rsidRDefault="004D21C1" w:rsidP="00CD363C">
            <w:pPr>
              <w:pStyle w:val="TableParagraph"/>
              <w:ind w:left="82" w:right="407"/>
              <w:jc w:val="both"/>
              <w:rPr>
                <w:sz w:val="20"/>
              </w:rPr>
            </w:pPr>
            <w:r>
              <w:rPr>
                <w:sz w:val="20"/>
              </w:rPr>
              <w:t>100 000,00</w:t>
            </w:r>
          </w:p>
        </w:tc>
        <w:tc>
          <w:tcPr>
            <w:tcW w:w="1560" w:type="dxa"/>
          </w:tcPr>
          <w:p w14:paraId="31C870A4" w14:textId="77777777" w:rsidR="004D21C1" w:rsidRDefault="004D21C1" w:rsidP="00CD363C">
            <w:pPr>
              <w:pStyle w:val="TableParagraph"/>
              <w:ind w:right="407"/>
              <w:jc w:val="both"/>
              <w:rPr>
                <w:sz w:val="20"/>
              </w:rPr>
            </w:pPr>
            <w:r>
              <w:rPr>
                <w:sz w:val="20"/>
              </w:rPr>
              <w:t>163 680,31</w:t>
            </w:r>
          </w:p>
        </w:tc>
        <w:tc>
          <w:tcPr>
            <w:tcW w:w="1418" w:type="dxa"/>
          </w:tcPr>
          <w:p w14:paraId="71960969" w14:textId="77777777" w:rsidR="004D21C1" w:rsidRDefault="004D21C1" w:rsidP="00CD363C">
            <w:pPr>
              <w:pStyle w:val="TableParagraph"/>
              <w:ind w:left="141" w:right="407"/>
              <w:jc w:val="both"/>
              <w:rPr>
                <w:sz w:val="20"/>
              </w:rPr>
            </w:pPr>
            <w:r>
              <w:rPr>
                <w:sz w:val="20"/>
              </w:rPr>
              <w:t>1 250 000,00</w:t>
            </w:r>
          </w:p>
        </w:tc>
        <w:tc>
          <w:tcPr>
            <w:tcW w:w="1418" w:type="dxa"/>
          </w:tcPr>
          <w:p w14:paraId="23F3F3DD" w14:textId="77777777" w:rsidR="004D21C1" w:rsidRDefault="004D21C1" w:rsidP="00CD363C">
            <w:pPr>
              <w:pStyle w:val="TableParagraph"/>
              <w:ind w:left="141" w:right="407"/>
              <w:jc w:val="both"/>
              <w:rPr>
                <w:sz w:val="20"/>
              </w:rPr>
            </w:pPr>
            <w:r>
              <w:rPr>
                <w:sz w:val="20"/>
              </w:rPr>
              <w:t>1 250 000,00</w:t>
            </w:r>
          </w:p>
        </w:tc>
      </w:tr>
      <w:tr w:rsidR="004D21C1" w14:paraId="3E00C923" w14:textId="77777777" w:rsidTr="00FF1C69">
        <w:trPr>
          <w:trHeight w:val="229"/>
        </w:trPr>
        <w:tc>
          <w:tcPr>
            <w:tcW w:w="847" w:type="dxa"/>
          </w:tcPr>
          <w:p w14:paraId="6A4FBC4D" w14:textId="77777777" w:rsidR="004D21C1" w:rsidRDefault="004D21C1" w:rsidP="00CD363C">
            <w:pPr>
              <w:pStyle w:val="TableParagraph"/>
              <w:ind w:left="148" w:right="407"/>
              <w:jc w:val="both"/>
              <w:rPr>
                <w:b/>
                <w:sz w:val="20"/>
              </w:rPr>
            </w:pPr>
            <w:r>
              <w:rPr>
                <w:b/>
                <w:sz w:val="20"/>
              </w:rPr>
              <w:t>Kopā:</w:t>
            </w:r>
          </w:p>
        </w:tc>
        <w:tc>
          <w:tcPr>
            <w:tcW w:w="1558" w:type="dxa"/>
          </w:tcPr>
          <w:p w14:paraId="0FF7CFBC" w14:textId="77777777" w:rsidR="004D21C1" w:rsidRDefault="004D21C1" w:rsidP="00CD363C">
            <w:pPr>
              <w:pStyle w:val="TableParagraph"/>
              <w:ind w:right="407"/>
              <w:jc w:val="both"/>
              <w:rPr>
                <w:sz w:val="16"/>
              </w:rPr>
            </w:pPr>
          </w:p>
        </w:tc>
        <w:tc>
          <w:tcPr>
            <w:tcW w:w="1418" w:type="dxa"/>
          </w:tcPr>
          <w:p w14:paraId="30E91925" w14:textId="77777777" w:rsidR="004D21C1" w:rsidRDefault="004D21C1" w:rsidP="00CD363C">
            <w:pPr>
              <w:pStyle w:val="TableParagraph"/>
              <w:ind w:right="407"/>
              <w:jc w:val="both"/>
              <w:rPr>
                <w:sz w:val="16"/>
              </w:rPr>
            </w:pPr>
          </w:p>
        </w:tc>
        <w:tc>
          <w:tcPr>
            <w:tcW w:w="1274" w:type="dxa"/>
          </w:tcPr>
          <w:p w14:paraId="79765C9B" w14:textId="77777777" w:rsidR="004D21C1" w:rsidRDefault="004D21C1" w:rsidP="00CD363C">
            <w:pPr>
              <w:pStyle w:val="TableParagraph"/>
              <w:ind w:left="82" w:right="407"/>
              <w:jc w:val="both"/>
              <w:rPr>
                <w:b/>
                <w:sz w:val="20"/>
              </w:rPr>
            </w:pPr>
            <w:r>
              <w:rPr>
                <w:b/>
                <w:sz w:val="20"/>
              </w:rPr>
              <w:t>500 000,00</w:t>
            </w:r>
          </w:p>
        </w:tc>
        <w:tc>
          <w:tcPr>
            <w:tcW w:w="1560" w:type="dxa"/>
          </w:tcPr>
          <w:p w14:paraId="4CCBA10A" w14:textId="77777777" w:rsidR="004D21C1" w:rsidRDefault="004D21C1" w:rsidP="00CD363C">
            <w:pPr>
              <w:pStyle w:val="TableParagraph"/>
              <w:ind w:right="407"/>
              <w:jc w:val="both"/>
              <w:rPr>
                <w:b/>
                <w:sz w:val="20"/>
              </w:rPr>
            </w:pPr>
            <w:r>
              <w:rPr>
                <w:b/>
                <w:sz w:val="20"/>
              </w:rPr>
              <w:t>750 000,00</w:t>
            </w:r>
          </w:p>
        </w:tc>
        <w:tc>
          <w:tcPr>
            <w:tcW w:w="1418" w:type="dxa"/>
          </w:tcPr>
          <w:p w14:paraId="3AEDEADA" w14:textId="77777777" w:rsidR="004D21C1" w:rsidRDefault="004D21C1" w:rsidP="00CD363C">
            <w:pPr>
              <w:pStyle w:val="TableParagraph"/>
              <w:ind w:right="407"/>
              <w:jc w:val="both"/>
              <w:rPr>
                <w:sz w:val="16"/>
              </w:rPr>
            </w:pPr>
          </w:p>
        </w:tc>
        <w:tc>
          <w:tcPr>
            <w:tcW w:w="1418" w:type="dxa"/>
          </w:tcPr>
          <w:p w14:paraId="54578E74" w14:textId="77777777" w:rsidR="004D21C1" w:rsidRDefault="004D21C1" w:rsidP="00CD363C">
            <w:pPr>
              <w:pStyle w:val="TableParagraph"/>
              <w:ind w:right="407"/>
              <w:jc w:val="both"/>
              <w:rPr>
                <w:sz w:val="16"/>
              </w:rPr>
            </w:pPr>
          </w:p>
        </w:tc>
      </w:tr>
    </w:tbl>
    <w:p w14:paraId="3F312B1E" w14:textId="77777777" w:rsidR="004D21C1" w:rsidRDefault="004D21C1" w:rsidP="00CD363C">
      <w:pPr>
        <w:pStyle w:val="Pamatteksts"/>
        <w:ind w:right="407"/>
        <w:jc w:val="both"/>
        <w:rPr>
          <w:i/>
        </w:rPr>
      </w:pPr>
    </w:p>
    <w:p w14:paraId="5C4FEAD9" w14:textId="77777777" w:rsidR="000D29C5" w:rsidRDefault="000D29C5" w:rsidP="00CD363C">
      <w:pPr>
        <w:spacing w:after="0" w:line="240" w:lineRule="auto"/>
        <w:ind w:right="407"/>
        <w:jc w:val="both"/>
        <w:rPr>
          <w:rFonts w:ascii="Times New Roman" w:hAnsi="Times New Roman" w:cs="Times New Roman"/>
          <w:color w:val="FF0000"/>
          <w:sz w:val="24"/>
          <w:szCs w:val="24"/>
        </w:rPr>
      </w:pPr>
    </w:p>
    <w:p w14:paraId="00F17595" w14:textId="77777777" w:rsidR="000D29C5" w:rsidRDefault="000D29C5" w:rsidP="00CD363C">
      <w:pPr>
        <w:spacing w:after="0" w:line="240" w:lineRule="auto"/>
        <w:ind w:right="407"/>
        <w:jc w:val="both"/>
        <w:rPr>
          <w:rFonts w:ascii="Times New Roman" w:hAnsi="Times New Roman" w:cs="Times New Roman"/>
          <w:color w:val="FF0000"/>
          <w:sz w:val="24"/>
          <w:szCs w:val="24"/>
        </w:rPr>
      </w:pPr>
    </w:p>
    <w:p w14:paraId="4A387413" w14:textId="77777777" w:rsidR="000D29C5" w:rsidRPr="004D21C1" w:rsidRDefault="004D21C1" w:rsidP="00CD363C">
      <w:pPr>
        <w:spacing w:after="0" w:line="240" w:lineRule="auto"/>
        <w:ind w:right="407"/>
        <w:jc w:val="both"/>
        <w:rPr>
          <w:rFonts w:ascii="Times New Roman" w:hAnsi="Times New Roman" w:cs="Times New Roman"/>
          <w:b/>
          <w:bCs/>
          <w:i/>
          <w:iCs/>
          <w:sz w:val="24"/>
          <w:szCs w:val="24"/>
        </w:rPr>
      </w:pPr>
      <w:r w:rsidRPr="004D21C1">
        <w:rPr>
          <w:rFonts w:ascii="Times New Roman" w:hAnsi="Times New Roman" w:cs="Times New Roman"/>
          <w:b/>
          <w:bCs/>
          <w:i/>
          <w:iCs/>
          <w:sz w:val="24"/>
          <w:szCs w:val="24"/>
        </w:rPr>
        <w:t>Grāmatojumi:</w:t>
      </w:r>
    </w:p>
    <w:p w14:paraId="72C9D76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w:t>
      </w:r>
      <w:r w:rsidRPr="004D21C1">
        <w:rPr>
          <w:rFonts w:ascii="Times New Roman" w:hAnsi="Times New Roman" w:cs="Times New Roman"/>
          <w:sz w:val="24"/>
          <w:szCs w:val="24"/>
        </w:rPr>
        <w:tab/>
        <w:t>Budžeta iestāde atzīst saņemto aizņēmumu saskaņā ar līgumu tā saņemšanas dienā, 02.01.2019., veicot grāmatojumu:</w:t>
      </w:r>
    </w:p>
    <w:p w14:paraId="4459F2F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1 000 000,00 EUR</w:t>
      </w:r>
    </w:p>
    <w:p w14:paraId="49CBF34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1 000 000,00 EUR</w:t>
      </w:r>
    </w:p>
    <w:p w14:paraId="3040F86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w:t>
      </w:r>
      <w:r w:rsidRPr="004D21C1">
        <w:rPr>
          <w:rFonts w:ascii="Times New Roman" w:hAnsi="Times New Roman" w:cs="Times New Roman"/>
          <w:sz w:val="24"/>
          <w:szCs w:val="24"/>
        </w:rPr>
        <w:tab/>
        <w:t>2019. gada 31. decembrī tiek atzīti procentu izdevumi atbilstoši efektīvajai procentu likmei:</w:t>
      </w:r>
    </w:p>
    <w:p w14:paraId="4786932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137 973,19 EUR</w:t>
      </w:r>
    </w:p>
    <w:p w14:paraId="10C85C8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w:t>
      </w:r>
    </w:p>
    <w:p w14:paraId="71921EE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procentu un citiem maksājumiem par aizņēmumiem</w:t>
      </w:r>
      <w:r w:rsidRPr="004D21C1">
        <w:rPr>
          <w:rFonts w:ascii="Times New Roman" w:hAnsi="Times New Roman" w:cs="Times New Roman"/>
          <w:sz w:val="24"/>
          <w:szCs w:val="24"/>
        </w:rPr>
        <w:tab/>
        <w:t>137 973,19 EUR</w:t>
      </w:r>
    </w:p>
    <w:p w14:paraId="0DB758E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3)</w:t>
      </w:r>
      <w:r w:rsidRPr="004D21C1">
        <w:rPr>
          <w:rFonts w:ascii="Times New Roman" w:hAnsi="Times New Roman" w:cs="Times New Roman"/>
          <w:sz w:val="24"/>
          <w:szCs w:val="24"/>
        </w:rPr>
        <w:tab/>
        <w:t>2019. gada 31. decembrī budžeta iestāde novērtē to daļu, kas būs jāatmaksā 12 mēnešos, un pārklasificē to kā īstermiņa uzkrātās saistības:</w:t>
      </w:r>
    </w:p>
    <w:p w14:paraId="4DDB8F7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7B1C468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 maksājumiem par aizņēmumiem</w:t>
      </w:r>
      <w:r w:rsidRPr="004D21C1">
        <w:rPr>
          <w:rFonts w:ascii="Times New Roman" w:hAnsi="Times New Roman" w:cs="Times New Roman"/>
          <w:sz w:val="24"/>
          <w:szCs w:val="24"/>
        </w:rPr>
        <w:tab/>
        <w:t>100 000,00 EUR</w:t>
      </w:r>
    </w:p>
    <w:p w14:paraId="06CAE25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4)</w:t>
      </w:r>
      <w:r w:rsidRPr="004D21C1">
        <w:rPr>
          <w:rFonts w:ascii="Times New Roman" w:hAnsi="Times New Roman" w:cs="Times New Roman"/>
          <w:sz w:val="24"/>
          <w:szCs w:val="24"/>
        </w:rPr>
        <w:tab/>
        <w:t>2020. gada 2. janvārī atzīst saistības par procentu maksājumiem, veicot grāmatojumu:</w:t>
      </w:r>
    </w:p>
    <w:p w14:paraId="305A051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088202E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7EB5E63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5)</w:t>
      </w:r>
      <w:r w:rsidRPr="004D21C1">
        <w:rPr>
          <w:rFonts w:ascii="Times New Roman" w:hAnsi="Times New Roman" w:cs="Times New Roman"/>
          <w:sz w:val="24"/>
          <w:szCs w:val="24"/>
        </w:rPr>
        <w:tab/>
        <w:t>2020. gada 2. janvārī, veicot procentu maksājumu, budžeta iestāde veic šādu grāmatojumu:</w:t>
      </w:r>
    </w:p>
    <w:p w14:paraId="234E338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0A1AE68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450BB7B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6)</w:t>
      </w:r>
      <w:r w:rsidRPr="004D21C1">
        <w:rPr>
          <w:rFonts w:ascii="Times New Roman" w:hAnsi="Times New Roman" w:cs="Times New Roman"/>
          <w:sz w:val="24"/>
          <w:szCs w:val="24"/>
        </w:rPr>
        <w:tab/>
        <w:t>2020. gada 31. decembrī tiek atzīti procentu izdevumi atbilstoši efektīvajai procentu likmei:</w:t>
      </w:r>
    </w:p>
    <w:p w14:paraId="6D94CBE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143 212,47 EUR</w:t>
      </w:r>
    </w:p>
    <w:p w14:paraId="005FAC5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143 212,47 EUR</w:t>
      </w:r>
    </w:p>
    <w:p w14:paraId="7162973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7)</w:t>
      </w:r>
      <w:r w:rsidRPr="004D21C1">
        <w:rPr>
          <w:rFonts w:ascii="Times New Roman" w:hAnsi="Times New Roman" w:cs="Times New Roman"/>
          <w:sz w:val="24"/>
          <w:szCs w:val="24"/>
        </w:rPr>
        <w:tab/>
        <w:t>2020. gada 31. decembrī budžeta iestāde novērtē to daļu, kas būs jāatmaksā 12 mēnešos, un pārklasificē to kā īstermiņa uzkrātās saistības:</w:t>
      </w:r>
    </w:p>
    <w:p w14:paraId="6E50C3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2B6E79E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4847F24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100 000,00 EUR</w:t>
      </w:r>
    </w:p>
    <w:p w14:paraId="0B2679B1" w14:textId="77777777" w:rsidR="004D21C1" w:rsidRPr="004D21C1" w:rsidRDefault="004D21C1" w:rsidP="00CD363C">
      <w:pPr>
        <w:spacing w:after="0" w:line="240" w:lineRule="auto"/>
        <w:ind w:right="407"/>
        <w:jc w:val="both"/>
        <w:rPr>
          <w:rFonts w:ascii="Times New Roman" w:hAnsi="Times New Roman" w:cs="Times New Roman"/>
          <w:sz w:val="24"/>
          <w:szCs w:val="24"/>
        </w:rPr>
      </w:pPr>
    </w:p>
    <w:p w14:paraId="5E17445B" w14:textId="77777777" w:rsidR="00FF1C69" w:rsidRDefault="00FF1C69" w:rsidP="00CD363C">
      <w:pPr>
        <w:spacing w:after="0" w:line="240" w:lineRule="auto"/>
        <w:ind w:right="407"/>
        <w:jc w:val="both"/>
        <w:rPr>
          <w:rFonts w:ascii="Times New Roman" w:hAnsi="Times New Roman" w:cs="Times New Roman"/>
          <w:sz w:val="24"/>
          <w:szCs w:val="24"/>
        </w:rPr>
      </w:pPr>
    </w:p>
    <w:p w14:paraId="3DA634B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8)</w:t>
      </w:r>
      <w:r w:rsidRPr="004D21C1">
        <w:rPr>
          <w:rFonts w:ascii="Times New Roman" w:hAnsi="Times New Roman" w:cs="Times New Roman"/>
          <w:sz w:val="24"/>
          <w:szCs w:val="24"/>
        </w:rPr>
        <w:tab/>
        <w:t>2021. gada 2. janvārī atzīst saistības par procentu maksājumiem, veicot grāmatojumu:</w:t>
      </w:r>
    </w:p>
    <w:p w14:paraId="2C4152A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610BD7E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1E65DA7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9)</w:t>
      </w:r>
      <w:r w:rsidRPr="004D21C1">
        <w:rPr>
          <w:rFonts w:ascii="Times New Roman" w:hAnsi="Times New Roman" w:cs="Times New Roman"/>
          <w:sz w:val="24"/>
          <w:szCs w:val="24"/>
        </w:rPr>
        <w:tab/>
        <w:t>2021. gada 2. janvārī, veicot procentu maksājumu, budžeta iestāde veic šādu grāmatojumu:</w:t>
      </w:r>
    </w:p>
    <w:p w14:paraId="4479AC4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0AD3762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6D68F69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10)</w:t>
      </w:r>
      <w:r w:rsidRPr="004D21C1">
        <w:rPr>
          <w:rFonts w:ascii="Times New Roman" w:hAnsi="Times New Roman" w:cs="Times New Roman"/>
          <w:sz w:val="24"/>
          <w:szCs w:val="24"/>
        </w:rPr>
        <w:tab/>
        <w:t>2021. gada 31. decembrī tiek atzīti procentu izdevumi atbilstoši efektīvajai procentu likmei:</w:t>
      </w:r>
    </w:p>
    <w:p w14:paraId="6EC89D5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149 174,63 EUR</w:t>
      </w:r>
    </w:p>
    <w:p w14:paraId="21495CD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w:t>
      </w:r>
    </w:p>
    <w:p w14:paraId="167B612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procentu un citiem maksājumiem par aizņēmumiem</w:t>
      </w:r>
      <w:r w:rsidRPr="004D21C1">
        <w:rPr>
          <w:rFonts w:ascii="Times New Roman" w:hAnsi="Times New Roman" w:cs="Times New Roman"/>
          <w:sz w:val="24"/>
          <w:szCs w:val="24"/>
        </w:rPr>
        <w:tab/>
        <w:t>149 174,63 EUR</w:t>
      </w:r>
    </w:p>
    <w:p w14:paraId="164BB04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11)</w:t>
      </w:r>
      <w:r w:rsidRPr="004D21C1">
        <w:rPr>
          <w:rFonts w:ascii="Times New Roman" w:hAnsi="Times New Roman" w:cs="Times New Roman"/>
          <w:sz w:val="24"/>
          <w:szCs w:val="24"/>
        </w:rPr>
        <w:tab/>
        <w:t>2021. gada 31. decembrī budžeta iestāde novērtē to daļu, kas būs jāatmaksā 12 mēnešos, un pārklasificē to kā īstermiņa uzkrātās saistības:</w:t>
      </w:r>
    </w:p>
    <w:p w14:paraId="70B543D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74F9737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w:t>
      </w:r>
    </w:p>
    <w:p w14:paraId="20CF719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5144EA0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12)</w:t>
      </w:r>
      <w:r w:rsidRPr="004D21C1">
        <w:rPr>
          <w:rFonts w:ascii="Times New Roman" w:hAnsi="Times New Roman" w:cs="Times New Roman"/>
          <w:sz w:val="24"/>
          <w:szCs w:val="24"/>
        </w:rPr>
        <w:tab/>
        <w:t>2022. gada 2. janvārī atzīst saistības par procentu maksājumiem, veicot grāmatojumu:</w:t>
      </w:r>
    </w:p>
    <w:p w14:paraId="5BD3997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5FB237A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530EC77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13)</w:t>
      </w:r>
      <w:r w:rsidRPr="004D21C1">
        <w:rPr>
          <w:rFonts w:ascii="Times New Roman" w:hAnsi="Times New Roman" w:cs="Times New Roman"/>
          <w:sz w:val="24"/>
          <w:szCs w:val="24"/>
        </w:rPr>
        <w:tab/>
        <w:t>2022. gada 2. janvārī, veicot procentu maksājumu, budžeta iestāde veic šādu grāmatojumu:</w:t>
      </w:r>
    </w:p>
    <w:p w14:paraId="7906A4A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0EE769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5ECCA3C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14)</w:t>
      </w:r>
      <w:r w:rsidRPr="004D21C1">
        <w:rPr>
          <w:rFonts w:ascii="Times New Roman" w:hAnsi="Times New Roman" w:cs="Times New Roman"/>
          <w:sz w:val="24"/>
          <w:szCs w:val="24"/>
        </w:rPr>
        <w:tab/>
        <w:t>2022. gada 31. decembrī tiek atzīti procentu izdevumi atbilstoši efektīvajai procentu likmei:</w:t>
      </w:r>
    </w:p>
    <w:p w14:paraId="6BB4C68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155 959,41 EUR</w:t>
      </w:r>
    </w:p>
    <w:p w14:paraId="1131788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155 959,41 EUR</w:t>
      </w:r>
    </w:p>
    <w:p w14:paraId="31E95EC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15)</w:t>
      </w:r>
      <w:r w:rsidRPr="004D21C1">
        <w:rPr>
          <w:rFonts w:ascii="Times New Roman" w:hAnsi="Times New Roman" w:cs="Times New Roman"/>
          <w:sz w:val="24"/>
          <w:szCs w:val="24"/>
        </w:rPr>
        <w:tab/>
        <w:t>2022. gada 31. decembrī budžeta iestāde novērtē to daļu, kas būs jāatmaksā 12 mēnešos, un pārklasificē to kā īstermiņa uzkrātās saistības:</w:t>
      </w:r>
    </w:p>
    <w:p w14:paraId="60E6F28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16F3224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 maksājumiem par aizņēmumiem</w:t>
      </w:r>
      <w:r w:rsidRPr="004D21C1">
        <w:rPr>
          <w:rFonts w:ascii="Times New Roman" w:hAnsi="Times New Roman" w:cs="Times New Roman"/>
          <w:sz w:val="24"/>
          <w:szCs w:val="24"/>
        </w:rPr>
        <w:tab/>
        <w:t>100 000,00 EUR</w:t>
      </w:r>
    </w:p>
    <w:p w14:paraId="0875B8B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16)</w:t>
      </w:r>
      <w:r w:rsidRPr="004D21C1">
        <w:rPr>
          <w:rFonts w:ascii="Times New Roman" w:hAnsi="Times New Roman" w:cs="Times New Roman"/>
          <w:sz w:val="24"/>
          <w:szCs w:val="24"/>
        </w:rPr>
        <w:tab/>
        <w:t>2023. gada 2. janvārī atzīst saistības par procentu maksājumiem, veicot grāmatojumu:</w:t>
      </w:r>
    </w:p>
    <w:p w14:paraId="273CC2B7" w14:textId="77777777" w:rsidR="004D21C1" w:rsidRPr="004D21C1" w:rsidRDefault="004D21C1" w:rsidP="00CD363C">
      <w:pPr>
        <w:spacing w:after="0" w:line="240" w:lineRule="auto"/>
        <w:ind w:right="407"/>
        <w:jc w:val="both"/>
        <w:rPr>
          <w:rFonts w:ascii="Times New Roman" w:hAnsi="Times New Roman" w:cs="Times New Roman"/>
          <w:sz w:val="24"/>
          <w:szCs w:val="24"/>
        </w:rPr>
      </w:pPr>
    </w:p>
    <w:p w14:paraId="6106A5B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5710695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2BA740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17)</w:t>
      </w:r>
      <w:r w:rsidRPr="004D21C1">
        <w:rPr>
          <w:rFonts w:ascii="Times New Roman" w:hAnsi="Times New Roman" w:cs="Times New Roman"/>
          <w:sz w:val="24"/>
          <w:szCs w:val="24"/>
        </w:rPr>
        <w:tab/>
        <w:t>2023. gada 2. janvārī, veicot procentu maksājumu, budžeta iestāde veic šādu grāmatojumu:</w:t>
      </w:r>
    </w:p>
    <w:p w14:paraId="4A51D53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406DA7A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49C5712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18)</w:t>
      </w:r>
      <w:r w:rsidRPr="004D21C1">
        <w:rPr>
          <w:rFonts w:ascii="Times New Roman" w:hAnsi="Times New Roman" w:cs="Times New Roman"/>
          <w:sz w:val="24"/>
          <w:szCs w:val="24"/>
        </w:rPr>
        <w:tab/>
        <w:t>2023. gada 31. decembrī tiek atzīti procentu izdevumi atbilstoši efektīvajai procentu likmei:</w:t>
      </w:r>
    </w:p>
    <w:p w14:paraId="3691F96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163 680,31 EUR</w:t>
      </w:r>
    </w:p>
    <w:p w14:paraId="191A766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w:t>
      </w:r>
    </w:p>
    <w:p w14:paraId="273E3DC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par aizņēmumiem</w:t>
      </w:r>
      <w:r w:rsidRPr="004D21C1">
        <w:rPr>
          <w:rFonts w:ascii="Times New Roman" w:hAnsi="Times New Roman" w:cs="Times New Roman"/>
          <w:sz w:val="24"/>
          <w:szCs w:val="24"/>
        </w:rPr>
        <w:tab/>
        <w:t>163 680,31 EUR</w:t>
      </w:r>
    </w:p>
    <w:p w14:paraId="19D45FF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19)</w:t>
      </w:r>
      <w:r w:rsidRPr="004D21C1">
        <w:rPr>
          <w:rFonts w:ascii="Times New Roman" w:hAnsi="Times New Roman" w:cs="Times New Roman"/>
          <w:sz w:val="24"/>
          <w:szCs w:val="24"/>
        </w:rPr>
        <w:tab/>
        <w:t>2023. gada 31.decembrī novērtē un pārklasificē aizņēmuma pamatsummas ilgtermiņa daļu uz īstermiņa pozīciju:</w:t>
      </w:r>
    </w:p>
    <w:p w14:paraId="0371954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1 000 000,00 EUR</w:t>
      </w:r>
    </w:p>
    <w:p w14:paraId="3779119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1 000 000,00 EUR</w:t>
      </w:r>
    </w:p>
    <w:p w14:paraId="3AA3F82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20)</w:t>
      </w:r>
      <w:r w:rsidRPr="004D21C1">
        <w:rPr>
          <w:rFonts w:ascii="Times New Roman" w:hAnsi="Times New Roman" w:cs="Times New Roman"/>
          <w:sz w:val="24"/>
          <w:szCs w:val="24"/>
        </w:rPr>
        <w:tab/>
        <w:t>2023. gada 31. decembrī novērtē un pārklasificē aizņēmuma uzkrāto procentu ilgtermiņa daļu uz īstermiņa pozīciju:</w:t>
      </w:r>
    </w:p>
    <w:p w14:paraId="3F73385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350 000,00 EUR</w:t>
      </w:r>
    </w:p>
    <w:p w14:paraId="42457BC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w:t>
      </w:r>
      <w:r w:rsidRPr="004D21C1">
        <w:rPr>
          <w:rFonts w:ascii="Times New Roman" w:hAnsi="Times New Roman" w:cs="Times New Roman"/>
          <w:sz w:val="24"/>
          <w:szCs w:val="24"/>
        </w:rPr>
        <w:tab/>
        <w:t>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7EAB86F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350 000,00 EUR</w:t>
      </w:r>
    </w:p>
    <w:p w14:paraId="1566B37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21)</w:t>
      </w:r>
      <w:r w:rsidRPr="004D21C1">
        <w:rPr>
          <w:rFonts w:ascii="Times New Roman" w:hAnsi="Times New Roman" w:cs="Times New Roman"/>
          <w:sz w:val="24"/>
          <w:szCs w:val="24"/>
        </w:rPr>
        <w:tab/>
        <w:t>2024. gada 2. janvārī atzīst saistības par procentu maksājumiem, veicot grāmatojumu:</w:t>
      </w:r>
    </w:p>
    <w:p w14:paraId="1FFF930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350 000,00 EUR</w:t>
      </w:r>
    </w:p>
    <w:p w14:paraId="2AB75EB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350 000,00 EUR</w:t>
      </w:r>
    </w:p>
    <w:p w14:paraId="57BA362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22)</w:t>
      </w:r>
      <w:r w:rsidRPr="004D21C1">
        <w:rPr>
          <w:rFonts w:ascii="Times New Roman" w:hAnsi="Times New Roman" w:cs="Times New Roman"/>
          <w:sz w:val="24"/>
          <w:szCs w:val="24"/>
        </w:rPr>
        <w:tab/>
        <w:t>2024. gada 2. janvārī, veicot pamatsummas un procentu maksājumu, budžeta iestāde veic šādu grāmatojumu:</w:t>
      </w:r>
    </w:p>
    <w:p w14:paraId="1DBD3B0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w:t>
      </w:r>
    </w:p>
    <w:p w14:paraId="7F8F78B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aizņēmumu īstermiņa daļa</w:t>
      </w:r>
      <w:r w:rsidRPr="004D21C1">
        <w:rPr>
          <w:rFonts w:ascii="Times New Roman" w:hAnsi="Times New Roman" w:cs="Times New Roman"/>
          <w:sz w:val="24"/>
          <w:szCs w:val="24"/>
        </w:rPr>
        <w:tab/>
        <w:t>1 000 000,00 EUR</w:t>
      </w:r>
    </w:p>
    <w:p w14:paraId="3E166B7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350 000,00 EUR</w:t>
      </w:r>
    </w:p>
    <w:p w14:paraId="7D2527D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1 350 000,00 EUR</w:t>
      </w:r>
    </w:p>
    <w:p w14:paraId="15774A9D" w14:textId="77777777" w:rsidR="000D29C5" w:rsidRPr="004D21C1" w:rsidRDefault="000D29C5" w:rsidP="00CD363C">
      <w:pPr>
        <w:spacing w:after="0" w:line="240" w:lineRule="auto"/>
        <w:ind w:right="407"/>
        <w:jc w:val="both"/>
        <w:rPr>
          <w:rFonts w:ascii="Times New Roman" w:hAnsi="Times New Roman" w:cs="Times New Roman"/>
          <w:sz w:val="24"/>
          <w:szCs w:val="24"/>
        </w:rPr>
      </w:pPr>
    </w:p>
    <w:p w14:paraId="1C76304B" w14:textId="77777777" w:rsidR="00953398" w:rsidRDefault="00953398" w:rsidP="00CD363C">
      <w:pPr>
        <w:pStyle w:val="Virsraksts4"/>
        <w:tabs>
          <w:tab w:val="left" w:pos="879"/>
        </w:tabs>
        <w:spacing w:before="0"/>
        <w:ind w:left="0" w:right="407"/>
        <w:jc w:val="both"/>
      </w:pPr>
      <w:r>
        <w:rPr>
          <w:color w:val="002069"/>
        </w:rPr>
        <w:t>21.8.4.Piemērs - līguma atmaksas termiņa</w:t>
      </w:r>
      <w:r>
        <w:rPr>
          <w:color w:val="002069"/>
          <w:spacing w:val="-1"/>
        </w:rPr>
        <w:t xml:space="preserve"> </w:t>
      </w:r>
      <w:r>
        <w:rPr>
          <w:color w:val="002069"/>
        </w:rPr>
        <w:t>pagarināšana</w:t>
      </w:r>
    </w:p>
    <w:p w14:paraId="7D277D1E" w14:textId="77777777" w:rsidR="00953398" w:rsidRDefault="00FF1C69" w:rsidP="00CD363C">
      <w:pPr>
        <w:pStyle w:val="Pamatteksts"/>
        <w:ind w:right="407"/>
        <w:jc w:val="both"/>
      </w:pPr>
      <w:r>
        <w:t xml:space="preserve">879.  </w:t>
      </w:r>
      <w:r w:rsidR="00953398">
        <w:t>Budžeta iestāde (aizņēmējs) 2018. gada 1. decembrī saņem aizņēmumu no bankas 100 000,00 EUR apmērā ar</w:t>
      </w:r>
      <w:r w:rsidR="00953398">
        <w:rPr>
          <w:spacing w:val="-6"/>
        </w:rPr>
        <w:t xml:space="preserve"> </w:t>
      </w:r>
      <w:r w:rsidR="00953398">
        <w:t>līgumā</w:t>
      </w:r>
      <w:r w:rsidR="00953398">
        <w:rPr>
          <w:spacing w:val="-4"/>
        </w:rPr>
        <w:t xml:space="preserve"> </w:t>
      </w:r>
      <w:r w:rsidR="00953398">
        <w:t>noteikto</w:t>
      </w:r>
      <w:r w:rsidR="00953398">
        <w:rPr>
          <w:spacing w:val="-5"/>
        </w:rPr>
        <w:t xml:space="preserve"> </w:t>
      </w:r>
      <w:r w:rsidR="00953398">
        <w:t>procentu</w:t>
      </w:r>
      <w:r w:rsidR="00953398">
        <w:rPr>
          <w:spacing w:val="-7"/>
        </w:rPr>
        <w:t xml:space="preserve"> </w:t>
      </w:r>
      <w:r w:rsidR="00953398">
        <w:t>likmi</w:t>
      </w:r>
      <w:r w:rsidR="00953398">
        <w:rPr>
          <w:spacing w:val="-3"/>
        </w:rPr>
        <w:t xml:space="preserve"> </w:t>
      </w:r>
      <w:r w:rsidR="00953398">
        <w:t>10%</w:t>
      </w:r>
      <w:r w:rsidR="00953398">
        <w:rPr>
          <w:spacing w:val="-4"/>
        </w:rPr>
        <w:t xml:space="preserve"> </w:t>
      </w:r>
      <w:r w:rsidR="00953398">
        <w:t>gadā</w:t>
      </w:r>
      <w:r w:rsidR="00953398">
        <w:rPr>
          <w:spacing w:val="-5"/>
        </w:rPr>
        <w:t xml:space="preserve"> </w:t>
      </w:r>
      <w:r w:rsidR="00953398">
        <w:t>uz</w:t>
      </w:r>
      <w:r w:rsidR="00953398">
        <w:rPr>
          <w:spacing w:val="-4"/>
        </w:rPr>
        <w:t xml:space="preserve"> </w:t>
      </w:r>
      <w:r w:rsidR="00953398">
        <w:t>termiņu</w:t>
      </w:r>
      <w:r w:rsidR="00953398">
        <w:rPr>
          <w:spacing w:val="-4"/>
        </w:rPr>
        <w:t xml:space="preserve"> </w:t>
      </w:r>
      <w:r w:rsidR="00953398">
        <w:t>–</w:t>
      </w:r>
      <w:r w:rsidR="00953398">
        <w:rPr>
          <w:spacing w:val="-4"/>
        </w:rPr>
        <w:t xml:space="preserve"> </w:t>
      </w:r>
      <w:r w:rsidR="00953398">
        <w:t>5</w:t>
      </w:r>
      <w:r w:rsidR="00953398">
        <w:rPr>
          <w:spacing w:val="-5"/>
        </w:rPr>
        <w:t xml:space="preserve"> </w:t>
      </w:r>
      <w:r w:rsidR="00953398">
        <w:t>gadi.</w:t>
      </w:r>
      <w:r w:rsidR="00953398">
        <w:rPr>
          <w:spacing w:val="-6"/>
        </w:rPr>
        <w:t xml:space="preserve"> </w:t>
      </w:r>
      <w:r w:rsidR="00953398">
        <w:t>Aizņēmuma</w:t>
      </w:r>
      <w:r w:rsidR="00953398">
        <w:rPr>
          <w:spacing w:val="-4"/>
        </w:rPr>
        <w:t xml:space="preserve"> </w:t>
      </w:r>
      <w:r w:rsidR="00953398">
        <w:t>beigu</w:t>
      </w:r>
      <w:r w:rsidR="00953398">
        <w:rPr>
          <w:spacing w:val="-4"/>
        </w:rPr>
        <w:t xml:space="preserve"> </w:t>
      </w:r>
      <w:r w:rsidR="00953398">
        <w:t>termiņš</w:t>
      </w:r>
      <w:r w:rsidR="00953398">
        <w:rPr>
          <w:spacing w:val="-4"/>
        </w:rPr>
        <w:t xml:space="preserve"> </w:t>
      </w:r>
      <w:r w:rsidR="00953398">
        <w:t>ir</w:t>
      </w:r>
      <w:r w:rsidR="00953398">
        <w:rPr>
          <w:spacing w:val="-4"/>
        </w:rPr>
        <w:t xml:space="preserve"> </w:t>
      </w:r>
      <w:r w:rsidR="00953398">
        <w:t>2023.</w:t>
      </w:r>
      <w:r w:rsidR="00953398">
        <w:rPr>
          <w:spacing w:val="-4"/>
        </w:rPr>
        <w:t xml:space="preserve"> </w:t>
      </w:r>
      <w:r w:rsidR="00953398">
        <w:t>gada</w:t>
      </w:r>
      <w:r w:rsidR="00953398">
        <w:rPr>
          <w:spacing w:val="-7"/>
        </w:rPr>
        <w:t xml:space="preserve"> </w:t>
      </w:r>
      <w:r w:rsidR="00953398">
        <w:t>29. decembris. 2019. gadā budžeta iestādei (aizņēmējam) rodas finansiālas grūtības un tā lūdz bankai (aizdevējam) izmainīt aizņēmuma</w:t>
      </w:r>
      <w:r w:rsidR="00953398">
        <w:rPr>
          <w:spacing w:val="-1"/>
        </w:rPr>
        <w:t xml:space="preserve"> </w:t>
      </w:r>
      <w:r w:rsidR="00953398">
        <w:t>nosacījumus.</w:t>
      </w:r>
    </w:p>
    <w:p w14:paraId="6EF7D9DD" w14:textId="77777777" w:rsidR="00953398" w:rsidRDefault="00953398" w:rsidP="00CD363C">
      <w:pPr>
        <w:pStyle w:val="Pamatteksts"/>
        <w:ind w:left="338" w:right="407"/>
        <w:jc w:val="both"/>
      </w:pPr>
      <w:r>
        <w:t>Par</w:t>
      </w:r>
      <w:r>
        <w:rPr>
          <w:spacing w:val="-14"/>
        </w:rPr>
        <w:t xml:space="preserve"> </w:t>
      </w:r>
      <w:r>
        <w:t>jaunajiem</w:t>
      </w:r>
      <w:r>
        <w:rPr>
          <w:spacing w:val="-14"/>
        </w:rPr>
        <w:t xml:space="preserve"> </w:t>
      </w:r>
      <w:r>
        <w:t>nosacījumiem</w:t>
      </w:r>
      <w:r>
        <w:rPr>
          <w:spacing w:val="-15"/>
        </w:rPr>
        <w:t xml:space="preserve"> </w:t>
      </w:r>
      <w:r>
        <w:t>aizdevējs</w:t>
      </w:r>
      <w:r>
        <w:rPr>
          <w:spacing w:val="-11"/>
        </w:rPr>
        <w:t xml:space="preserve"> </w:t>
      </w:r>
      <w:r>
        <w:t>un</w:t>
      </w:r>
      <w:r>
        <w:rPr>
          <w:spacing w:val="-11"/>
        </w:rPr>
        <w:t xml:space="preserve"> </w:t>
      </w:r>
      <w:r>
        <w:t>aizņēmējs</w:t>
      </w:r>
      <w:r>
        <w:rPr>
          <w:spacing w:val="-14"/>
        </w:rPr>
        <w:t xml:space="preserve"> </w:t>
      </w:r>
      <w:r>
        <w:t>vienojās</w:t>
      </w:r>
      <w:r>
        <w:rPr>
          <w:spacing w:val="-10"/>
        </w:rPr>
        <w:t xml:space="preserve"> </w:t>
      </w:r>
      <w:r>
        <w:t>2019.</w:t>
      </w:r>
      <w:r>
        <w:rPr>
          <w:spacing w:val="-12"/>
        </w:rPr>
        <w:t xml:space="preserve"> </w:t>
      </w:r>
      <w:r>
        <w:t>gada</w:t>
      </w:r>
      <w:r>
        <w:rPr>
          <w:spacing w:val="-13"/>
        </w:rPr>
        <w:t xml:space="preserve"> </w:t>
      </w:r>
      <w:r>
        <w:t>2.</w:t>
      </w:r>
      <w:r>
        <w:rPr>
          <w:spacing w:val="-10"/>
        </w:rPr>
        <w:t xml:space="preserve"> </w:t>
      </w:r>
      <w:r>
        <w:t>novembrī,</w:t>
      </w:r>
      <w:r>
        <w:rPr>
          <w:spacing w:val="-14"/>
        </w:rPr>
        <w:t xml:space="preserve"> </w:t>
      </w:r>
      <w:r>
        <w:t>kā</w:t>
      </w:r>
      <w:r>
        <w:rPr>
          <w:spacing w:val="-10"/>
        </w:rPr>
        <w:t xml:space="preserve"> </w:t>
      </w:r>
      <w:r>
        <w:t>rezultātā</w:t>
      </w:r>
      <w:r>
        <w:rPr>
          <w:spacing w:val="-11"/>
        </w:rPr>
        <w:t xml:space="preserve"> </w:t>
      </w:r>
      <w:r>
        <w:t>aizņēmuma atmaksas termiņš tika pagarināts par diviem gadiem. Jaunie līguma nosacījumi noteica, ka 2020. un 2021. gadā</w:t>
      </w:r>
      <w:r>
        <w:rPr>
          <w:spacing w:val="-11"/>
        </w:rPr>
        <w:t xml:space="preserve"> </w:t>
      </w:r>
      <w:r>
        <w:t>procentu</w:t>
      </w:r>
      <w:r>
        <w:rPr>
          <w:spacing w:val="-12"/>
        </w:rPr>
        <w:t xml:space="preserve"> </w:t>
      </w:r>
      <w:r>
        <w:t>maksājumi</w:t>
      </w:r>
      <w:r>
        <w:rPr>
          <w:spacing w:val="-10"/>
        </w:rPr>
        <w:t xml:space="preserve"> </w:t>
      </w:r>
      <w:r>
        <w:t>aizņēmējam</w:t>
      </w:r>
      <w:r>
        <w:rPr>
          <w:spacing w:val="-15"/>
        </w:rPr>
        <w:t xml:space="preserve"> </w:t>
      </w:r>
      <w:r>
        <w:t>par</w:t>
      </w:r>
      <w:r>
        <w:rPr>
          <w:spacing w:val="-11"/>
        </w:rPr>
        <w:t xml:space="preserve"> </w:t>
      </w:r>
      <w:r>
        <w:t>aizņēmumu</w:t>
      </w:r>
      <w:r>
        <w:rPr>
          <w:spacing w:val="-11"/>
        </w:rPr>
        <w:t xml:space="preserve"> </w:t>
      </w:r>
      <w:r>
        <w:t>būs</w:t>
      </w:r>
      <w:r>
        <w:rPr>
          <w:spacing w:val="-11"/>
        </w:rPr>
        <w:t xml:space="preserve"> </w:t>
      </w:r>
      <w:r>
        <w:t>0,00</w:t>
      </w:r>
      <w:r>
        <w:rPr>
          <w:spacing w:val="-14"/>
        </w:rPr>
        <w:t xml:space="preserve"> </w:t>
      </w:r>
      <w:r>
        <w:t>EUR</w:t>
      </w:r>
      <w:r>
        <w:rPr>
          <w:spacing w:val="-12"/>
        </w:rPr>
        <w:t xml:space="preserve"> </w:t>
      </w:r>
      <w:r>
        <w:t>(procentu</w:t>
      </w:r>
      <w:r>
        <w:rPr>
          <w:spacing w:val="-14"/>
        </w:rPr>
        <w:t xml:space="preserve"> </w:t>
      </w:r>
      <w:r>
        <w:t>likme</w:t>
      </w:r>
      <w:r>
        <w:rPr>
          <w:spacing w:val="-10"/>
        </w:rPr>
        <w:t xml:space="preserve"> </w:t>
      </w:r>
      <w:r>
        <w:t>0%),</w:t>
      </w:r>
      <w:r>
        <w:rPr>
          <w:spacing w:val="-14"/>
        </w:rPr>
        <w:t xml:space="preserve"> </w:t>
      </w:r>
      <w:r>
        <w:t>taču</w:t>
      </w:r>
      <w:r>
        <w:rPr>
          <w:spacing w:val="-14"/>
        </w:rPr>
        <w:t xml:space="preserve"> </w:t>
      </w:r>
      <w:r>
        <w:t>sākot</w:t>
      </w:r>
      <w:r>
        <w:rPr>
          <w:spacing w:val="-11"/>
        </w:rPr>
        <w:t xml:space="preserve"> </w:t>
      </w:r>
      <w:r>
        <w:t>ar</w:t>
      </w:r>
      <w:r>
        <w:rPr>
          <w:spacing w:val="-14"/>
        </w:rPr>
        <w:t xml:space="preserve"> </w:t>
      </w:r>
      <w:r>
        <w:t>2022. gadu</w:t>
      </w:r>
      <w:r>
        <w:rPr>
          <w:spacing w:val="-9"/>
        </w:rPr>
        <w:t xml:space="preserve"> </w:t>
      </w:r>
      <w:r>
        <w:t>procentu</w:t>
      </w:r>
      <w:r>
        <w:rPr>
          <w:spacing w:val="-12"/>
        </w:rPr>
        <w:t xml:space="preserve"> </w:t>
      </w:r>
      <w:r>
        <w:t>likme</w:t>
      </w:r>
      <w:r>
        <w:rPr>
          <w:spacing w:val="-9"/>
        </w:rPr>
        <w:t xml:space="preserve"> </w:t>
      </w:r>
      <w:r>
        <w:t>tiek</w:t>
      </w:r>
      <w:r>
        <w:rPr>
          <w:spacing w:val="-11"/>
        </w:rPr>
        <w:t xml:space="preserve"> </w:t>
      </w:r>
      <w:r>
        <w:t>paaugstināta</w:t>
      </w:r>
      <w:r>
        <w:rPr>
          <w:spacing w:val="-12"/>
        </w:rPr>
        <w:t xml:space="preserve"> </w:t>
      </w:r>
      <w:r>
        <w:t>uz</w:t>
      </w:r>
      <w:r>
        <w:rPr>
          <w:spacing w:val="-11"/>
        </w:rPr>
        <w:t xml:space="preserve"> </w:t>
      </w:r>
      <w:r>
        <w:t>20%</w:t>
      </w:r>
      <w:r>
        <w:rPr>
          <w:spacing w:val="-9"/>
        </w:rPr>
        <w:t xml:space="preserve"> </w:t>
      </w:r>
      <w:r>
        <w:t>par</w:t>
      </w:r>
      <w:r>
        <w:rPr>
          <w:spacing w:val="-11"/>
        </w:rPr>
        <w:t xml:space="preserve"> </w:t>
      </w:r>
      <w:r>
        <w:t>atlikušo</w:t>
      </w:r>
      <w:r>
        <w:rPr>
          <w:spacing w:val="-6"/>
        </w:rPr>
        <w:t xml:space="preserve"> </w:t>
      </w:r>
      <w:r>
        <w:t>periodu</w:t>
      </w:r>
      <w:r>
        <w:rPr>
          <w:spacing w:val="-11"/>
        </w:rPr>
        <w:t xml:space="preserve"> </w:t>
      </w:r>
      <w:r>
        <w:t>no</w:t>
      </w:r>
      <w:r>
        <w:rPr>
          <w:spacing w:val="-10"/>
        </w:rPr>
        <w:t xml:space="preserve"> </w:t>
      </w:r>
      <w:r>
        <w:t>2022.</w:t>
      </w:r>
      <w:r>
        <w:rPr>
          <w:spacing w:val="-10"/>
        </w:rPr>
        <w:t xml:space="preserve"> </w:t>
      </w:r>
      <w:r>
        <w:t>gada</w:t>
      </w:r>
      <w:r>
        <w:rPr>
          <w:spacing w:val="-10"/>
        </w:rPr>
        <w:t xml:space="preserve"> </w:t>
      </w:r>
      <w:r>
        <w:t>līdz</w:t>
      </w:r>
      <w:r>
        <w:rPr>
          <w:spacing w:val="-12"/>
        </w:rPr>
        <w:t xml:space="preserve"> </w:t>
      </w:r>
      <w:r>
        <w:t>2025.gadam.</w:t>
      </w:r>
      <w:r>
        <w:rPr>
          <w:spacing w:val="-9"/>
        </w:rPr>
        <w:t xml:space="preserve"> </w:t>
      </w:r>
      <w:r>
        <w:t>Komisijas maksa par termiņa izmaiņām ir 5 000,00 EUR, kura tiek samaksāta 2019. gada 2. novembrī un atzīta kā pārskata perioda finanšu</w:t>
      </w:r>
      <w:r>
        <w:rPr>
          <w:spacing w:val="-3"/>
        </w:rPr>
        <w:t xml:space="preserve"> </w:t>
      </w:r>
      <w:r>
        <w:t>izdevumi.</w:t>
      </w:r>
    </w:p>
    <w:p w14:paraId="356DD7C4" w14:textId="77777777" w:rsidR="00953398" w:rsidRDefault="00953398" w:rsidP="00CD363C">
      <w:pPr>
        <w:pStyle w:val="Pamatteksts"/>
        <w:ind w:left="338" w:right="407"/>
        <w:jc w:val="both"/>
      </w:pPr>
      <w:r>
        <w:t>2019. gada 2.novembrī sākotnējā aizņēmuma summa ir 100 000,00 EUR.</w:t>
      </w:r>
    </w:p>
    <w:p w14:paraId="51FB4402" w14:textId="77777777" w:rsidR="00953398" w:rsidRDefault="00953398" w:rsidP="00CD363C">
      <w:pPr>
        <w:pStyle w:val="Pamatteksts"/>
        <w:ind w:right="407"/>
        <w:jc w:val="both"/>
        <w:rPr>
          <w:sz w:val="20"/>
        </w:rPr>
      </w:pPr>
    </w:p>
    <w:p w14:paraId="2F6CD758" w14:textId="77777777" w:rsidR="00953398" w:rsidRDefault="00953398" w:rsidP="00CD363C">
      <w:pPr>
        <w:pStyle w:val="Pamatteksts"/>
        <w:ind w:left="338" w:right="407"/>
        <w:jc w:val="both"/>
      </w:pPr>
      <w:r>
        <w:t>Piemērā</w:t>
      </w:r>
      <w:r>
        <w:rPr>
          <w:spacing w:val="-11"/>
        </w:rPr>
        <w:t xml:space="preserve"> </w:t>
      </w:r>
      <w:r>
        <w:t>tiek</w:t>
      </w:r>
      <w:r>
        <w:rPr>
          <w:spacing w:val="-12"/>
        </w:rPr>
        <w:t xml:space="preserve"> </w:t>
      </w:r>
      <w:r>
        <w:t>pieņemts,</w:t>
      </w:r>
      <w:r>
        <w:rPr>
          <w:spacing w:val="-10"/>
        </w:rPr>
        <w:t xml:space="preserve"> </w:t>
      </w:r>
      <w:r>
        <w:t>ka</w:t>
      </w:r>
      <w:r>
        <w:rPr>
          <w:spacing w:val="-11"/>
        </w:rPr>
        <w:t xml:space="preserve"> </w:t>
      </w:r>
      <w:r>
        <w:t>efektīvā</w:t>
      </w:r>
      <w:r>
        <w:rPr>
          <w:spacing w:val="-10"/>
        </w:rPr>
        <w:t xml:space="preserve"> </w:t>
      </w:r>
      <w:r>
        <w:t>procentu</w:t>
      </w:r>
      <w:r>
        <w:rPr>
          <w:spacing w:val="-12"/>
        </w:rPr>
        <w:t xml:space="preserve"> </w:t>
      </w:r>
      <w:r>
        <w:t>likme</w:t>
      </w:r>
      <w:r>
        <w:rPr>
          <w:spacing w:val="-11"/>
        </w:rPr>
        <w:t xml:space="preserve"> </w:t>
      </w:r>
      <w:r>
        <w:t>atbilst</w:t>
      </w:r>
      <w:r>
        <w:rPr>
          <w:spacing w:val="-9"/>
        </w:rPr>
        <w:t xml:space="preserve"> </w:t>
      </w:r>
      <w:r>
        <w:t>sākotnējai</w:t>
      </w:r>
      <w:r>
        <w:rPr>
          <w:spacing w:val="-12"/>
        </w:rPr>
        <w:t xml:space="preserve"> </w:t>
      </w:r>
      <w:r>
        <w:t>līgumā</w:t>
      </w:r>
      <w:r>
        <w:rPr>
          <w:spacing w:val="-10"/>
        </w:rPr>
        <w:t xml:space="preserve"> </w:t>
      </w:r>
      <w:r>
        <w:t>noteiktajai</w:t>
      </w:r>
      <w:r>
        <w:rPr>
          <w:spacing w:val="-10"/>
        </w:rPr>
        <w:t xml:space="preserve"> </w:t>
      </w:r>
      <w:r>
        <w:t>(nominālajai)</w:t>
      </w:r>
      <w:r>
        <w:rPr>
          <w:spacing w:val="-10"/>
        </w:rPr>
        <w:t xml:space="preserve"> </w:t>
      </w:r>
      <w:r>
        <w:t>procentu likmei (10%) pie sākotnējiem līguma nosacījumiem, jo pie jaunajiem nosacījumiem efektīvā procentu likme atšķiras no nominālās procentu likmes (0% un</w:t>
      </w:r>
      <w:r>
        <w:rPr>
          <w:spacing w:val="-1"/>
        </w:rPr>
        <w:t xml:space="preserve"> </w:t>
      </w:r>
      <w:r>
        <w:t>20%).</w:t>
      </w:r>
    </w:p>
    <w:p w14:paraId="7D8E23E8" w14:textId="77777777" w:rsidR="00953398" w:rsidRDefault="00953398" w:rsidP="00CD363C">
      <w:pPr>
        <w:pStyle w:val="Pamatteksts"/>
        <w:ind w:left="338" w:right="407"/>
        <w:jc w:val="both"/>
      </w:pPr>
      <w:r>
        <w:t>Budžeta iestāde aprēķina jauno aizņēmuma amortizēto vērtību, ņemot vērā līguma atmaksas termiņa pagarinājumu saskaņā ar diskontēto naudas plūsmu aprēķinu.</w:t>
      </w:r>
    </w:p>
    <w:p w14:paraId="51046C6C" w14:textId="77777777" w:rsidR="00953398" w:rsidRDefault="00953398" w:rsidP="00CD363C">
      <w:pPr>
        <w:pStyle w:val="Sarakstarindkopa"/>
        <w:widowControl w:val="0"/>
        <w:numPr>
          <w:ilvl w:val="4"/>
          <w:numId w:val="43"/>
        </w:numPr>
        <w:tabs>
          <w:tab w:val="left" w:pos="616"/>
        </w:tabs>
        <w:autoSpaceDE w:val="0"/>
        <w:autoSpaceDN w:val="0"/>
        <w:spacing w:after="0" w:line="240" w:lineRule="auto"/>
        <w:ind w:left="615" w:right="407" w:hanging="277"/>
        <w:contextualSpacing w:val="0"/>
        <w:jc w:val="both"/>
        <w:rPr>
          <w:sz w:val="20"/>
        </w:rPr>
      </w:pPr>
      <w:r>
        <w:t>tabulā ir uzrādīts diskontētās naudas plūsmas</w:t>
      </w:r>
      <w:r>
        <w:rPr>
          <w:spacing w:val="-9"/>
        </w:rPr>
        <w:t xml:space="preserve"> </w:t>
      </w:r>
      <w:r>
        <w:t>aprēķins:</w:t>
      </w:r>
    </w:p>
    <w:p w14:paraId="31C04FDD" w14:textId="77777777" w:rsidR="00953398" w:rsidRDefault="00953398" w:rsidP="00CD363C">
      <w:pPr>
        <w:pStyle w:val="Pamatteksts"/>
        <w:ind w:right="407"/>
        <w:jc w:val="both"/>
        <w:rPr>
          <w:sz w:val="20"/>
        </w:rPr>
      </w:pPr>
    </w:p>
    <w:p w14:paraId="39C4A8F4" w14:textId="77777777" w:rsidR="00953398" w:rsidRDefault="00953398" w:rsidP="00CD363C">
      <w:pPr>
        <w:pStyle w:val="Sarakstarindkopa"/>
        <w:widowControl w:val="0"/>
        <w:numPr>
          <w:ilvl w:val="0"/>
          <w:numId w:val="58"/>
        </w:numPr>
        <w:tabs>
          <w:tab w:val="left" w:pos="6295"/>
        </w:tabs>
        <w:autoSpaceDE w:val="0"/>
        <w:autoSpaceDN w:val="0"/>
        <w:spacing w:after="0" w:line="240" w:lineRule="auto"/>
        <w:ind w:right="407" w:firstLine="5704"/>
        <w:contextualSpacing w:val="0"/>
        <w:jc w:val="both"/>
        <w:rPr>
          <w:i/>
          <w:sz w:val="18"/>
        </w:rPr>
      </w:pPr>
      <w:r>
        <w:rPr>
          <w:i/>
          <w:sz w:val="20"/>
        </w:rPr>
        <w:t>tabula. Diskontētās naudas plūsmas</w:t>
      </w:r>
      <w:r>
        <w:rPr>
          <w:i/>
          <w:spacing w:val="-9"/>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116"/>
        <w:gridCol w:w="1983"/>
        <w:gridCol w:w="4398"/>
      </w:tblGrid>
      <w:tr w:rsidR="00953398" w14:paraId="1E857E20" w14:textId="77777777" w:rsidTr="00FF1C69">
        <w:trPr>
          <w:trHeight w:val="460"/>
        </w:trPr>
        <w:tc>
          <w:tcPr>
            <w:tcW w:w="3116" w:type="dxa"/>
            <w:shd w:val="clear" w:color="auto" w:fill="F1F1F1"/>
          </w:tcPr>
          <w:p w14:paraId="4892600C" w14:textId="77777777" w:rsidR="00953398" w:rsidRDefault="00953398" w:rsidP="00CD363C">
            <w:pPr>
              <w:pStyle w:val="TableParagraph"/>
              <w:ind w:left="351" w:right="407"/>
              <w:jc w:val="both"/>
              <w:rPr>
                <w:b/>
                <w:sz w:val="20"/>
              </w:rPr>
            </w:pPr>
            <w:r>
              <w:rPr>
                <w:b/>
                <w:sz w:val="20"/>
              </w:rPr>
              <w:t>Naudas plūsmas gads</w:t>
            </w:r>
          </w:p>
        </w:tc>
        <w:tc>
          <w:tcPr>
            <w:tcW w:w="1983" w:type="dxa"/>
            <w:shd w:val="clear" w:color="auto" w:fill="F1F1F1"/>
          </w:tcPr>
          <w:p w14:paraId="327B8A2C" w14:textId="77777777" w:rsidR="00953398" w:rsidRDefault="00953398" w:rsidP="00CD363C">
            <w:pPr>
              <w:pStyle w:val="TableParagraph"/>
              <w:ind w:left="738" w:right="407"/>
              <w:jc w:val="both"/>
              <w:rPr>
                <w:b/>
                <w:sz w:val="20"/>
              </w:rPr>
            </w:pPr>
            <w:r>
              <w:rPr>
                <w:b/>
                <w:sz w:val="20"/>
              </w:rPr>
              <w:t>Gads</w:t>
            </w:r>
          </w:p>
        </w:tc>
        <w:tc>
          <w:tcPr>
            <w:tcW w:w="4398" w:type="dxa"/>
            <w:shd w:val="clear" w:color="auto" w:fill="F1F1F1"/>
          </w:tcPr>
          <w:p w14:paraId="48707D58" w14:textId="77777777" w:rsidR="00953398" w:rsidRDefault="00953398" w:rsidP="00CD363C">
            <w:pPr>
              <w:pStyle w:val="TableParagraph"/>
              <w:ind w:left="529" w:right="407" w:hanging="377"/>
              <w:jc w:val="both"/>
              <w:rPr>
                <w:b/>
                <w:sz w:val="20"/>
              </w:rPr>
            </w:pPr>
            <w:r>
              <w:rPr>
                <w:b/>
                <w:sz w:val="20"/>
              </w:rPr>
              <w:t>Izejošās naudas plūsmas (procentu maksājumi, pamatsumma, komisijas maksa), EUR</w:t>
            </w:r>
          </w:p>
        </w:tc>
      </w:tr>
      <w:tr w:rsidR="00953398" w14:paraId="4EB7726A" w14:textId="77777777" w:rsidTr="00FF1C69">
        <w:trPr>
          <w:trHeight w:val="230"/>
        </w:trPr>
        <w:tc>
          <w:tcPr>
            <w:tcW w:w="3116" w:type="dxa"/>
          </w:tcPr>
          <w:p w14:paraId="02444D59" w14:textId="77777777" w:rsidR="00953398" w:rsidRDefault="00953398" w:rsidP="00CD363C">
            <w:pPr>
              <w:pStyle w:val="TableParagraph"/>
              <w:ind w:left="351" w:right="407"/>
              <w:jc w:val="both"/>
              <w:rPr>
                <w:sz w:val="20"/>
              </w:rPr>
            </w:pPr>
            <w:r>
              <w:rPr>
                <w:sz w:val="20"/>
              </w:rPr>
              <w:t>0.gads</w:t>
            </w:r>
          </w:p>
        </w:tc>
        <w:tc>
          <w:tcPr>
            <w:tcW w:w="1983" w:type="dxa"/>
          </w:tcPr>
          <w:p w14:paraId="1157F9E5" w14:textId="77777777" w:rsidR="00953398" w:rsidRDefault="00953398" w:rsidP="00CD363C">
            <w:pPr>
              <w:pStyle w:val="TableParagraph"/>
              <w:ind w:left="760" w:right="407"/>
              <w:jc w:val="both"/>
              <w:rPr>
                <w:sz w:val="20"/>
              </w:rPr>
            </w:pPr>
            <w:r>
              <w:rPr>
                <w:sz w:val="20"/>
              </w:rPr>
              <w:t>2019</w:t>
            </w:r>
          </w:p>
        </w:tc>
        <w:tc>
          <w:tcPr>
            <w:tcW w:w="4398" w:type="dxa"/>
          </w:tcPr>
          <w:p w14:paraId="771A8043" w14:textId="77777777" w:rsidR="00953398" w:rsidRDefault="00953398" w:rsidP="00CD363C">
            <w:pPr>
              <w:pStyle w:val="TableParagraph"/>
              <w:ind w:right="407"/>
              <w:jc w:val="both"/>
              <w:rPr>
                <w:sz w:val="20"/>
              </w:rPr>
            </w:pPr>
            <w:r>
              <w:rPr>
                <w:sz w:val="20"/>
              </w:rPr>
              <w:t>(5 000,00)*</w:t>
            </w:r>
          </w:p>
        </w:tc>
      </w:tr>
      <w:tr w:rsidR="00953398" w14:paraId="08C7C291" w14:textId="77777777" w:rsidTr="00FF1C69">
        <w:trPr>
          <w:trHeight w:val="230"/>
        </w:trPr>
        <w:tc>
          <w:tcPr>
            <w:tcW w:w="3116" w:type="dxa"/>
          </w:tcPr>
          <w:p w14:paraId="6EAD31E2" w14:textId="77777777" w:rsidR="00953398" w:rsidRDefault="00953398" w:rsidP="00CD363C">
            <w:pPr>
              <w:pStyle w:val="TableParagraph"/>
              <w:ind w:left="351" w:right="407"/>
              <w:jc w:val="both"/>
              <w:rPr>
                <w:sz w:val="20"/>
              </w:rPr>
            </w:pPr>
            <w:r>
              <w:rPr>
                <w:sz w:val="20"/>
              </w:rPr>
              <w:t>1.gads</w:t>
            </w:r>
          </w:p>
        </w:tc>
        <w:tc>
          <w:tcPr>
            <w:tcW w:w="1983" w:type="dxa"/>
          </w:tcPr>
          <w:p w14:paraId="055FA217" w14:textId="77777777" w:rsidR="00953398" w:rsidRDefault="00953398" w:rsidP="00CD363C">
            <w:pPr>
              <w:pStyle w:val="TableParagraph"/>
              <w:ind w:left="760" w:right="407"/>
              <w:jc w:val="both"/>
              <w:rPr>
                <w:sz w:val="20"/>
              </w:rPr>
            </w:pPr>
            <w:r>
              <w:rPr>
                <w:sz w:val="20"/>
              </w:rPr>
              <w:t>2020</w:t>
            </w:r>
          </w:p>
        </w:tc>
        <w:tc>
          <w:tcPr>
            <w:tcW w:w="4398" w:type="dxa"/>
          </w:tcPr>
          <w:p w14:paraId="40DA10EA" w14:textId="77777777" w:rsidR="00953398" w:rsidRDefault="00953398" w:rsidP="00CD363C">
            <w:pPr>
              <w:pStyle w:val="TableParagraph"/>
              <w:ind w:right="407"/>
              <w:jc w:val="both"/>
              <w:rPr>
                <w:sz w:val="20"/>
              </w:rPr>
            </w:pPr>
            <w:r>
              <w:rPr>
                <w:sz w:val="20"/>
              </w:rPr>
              <w:t>0,00</w:t>
            </w:r>
          </w:p>
        </w:tc>
      </w:tr>
      <w:tr w:rsidR="00953398" w14:paraId="71E7CFDD" w14:textId="77777777" w:rsidTr="00FF1C69">
        <w:trPr>
          <w:trHeight w:val="230"/>
        </w:trPr>
        <w:tc>
          <w:tcPr>
            <w:tcW w:w="3116" w:type="dxa"/>
          </w:tcPr>
          <w:p w14:paraId="727FFB2E" w14:textId="77777777" w:rsidR="00953398" w:rsidRDefault="00953398" w:rsidP="00CD363C">
            <w:pPr>
              <w:pStyle w:val="TableParagraph"/>
              <w:ind w:left="351" w:right="407"/>
              <w:jc w:val="both"/>
              <w:rPr>
                <w:sz w:val="20"/>
              </w:rPr>
            </w:pPr>
            <w:r>
              <w:rPr>
                <w:sz w:val="20"/>
              </w:rPr>
              <w:t>2.gads</w:t>
            </w:r>
          </w:p>
        </w:tc>
        <w:tc>
          <w:tcPr>
            <w:tcW w:w="1983" w:type="dxa"/>
          </w:tcPr>
          <w:p w14:paraId="32D410FE" w14:textId="77777777" w:rsidR="00953398" w:rsidRDefault="00953398" w:rsidP="00CD363C">
            <w:pPr>
              <w:pStyle w:val="TableParagraph"/>
              <w:ind w:left="760" w:right="407"/>
              <w:jc w:val="both"/>
              <w:rPr>
                <w:sz w:val="20"/>
              </w:rPr>
            </w:pPr>
            <w:r>
              <w:rPr>
                <w:sz w:val="20"/>
              </w:rPr>
              <w:t>2021</w:t>
            </w:r>
          </w:p>
        </w:tc>
        <w:tc>
          <w:tcPr>
            <w:tcW w:w="4398" w:type="dxa"/>
          </w:tcPr>
          <w:p w14:paraId="0C9CAEBA" w14:textId="77777777" w:rsidR="00953398" w:rsidRDefault="00953398" w:rsidP="00CD363C">
            <w:pPr>
              <w:pStyle w:val="TableParagraph"/>
              <w:ind w:right="407"/>
              <w:jc w:val="both"/>
              <w:rPr>
                <w:sz w:val="20"/>
              </w:rPr>
            </w:pPr>
            <w:r>
              <w:rPr>
                <w:sz w:val="20"/>
              </w:rPr>
              <w:t>0,00</w:t>
            </w:r>
          </w:p>
        </w:tc>
      </w:tr>
      <w:tr w:rsidR="00953398" w14:paraId="71663DF6" w14:textId="77777777" w:rsidTr="00FF1C69">
        <w:trPr>
          <w:trHeight w:val="230"/>
        </w:trPr>
        <w:tc>
          <w:tcPr>
            <w:tcW w:w="3116" w:type="dxa"/>
          </w:tcPr>
          <w:p w14:paraId="651E3743" w14:textId="77777777" w:rsidR="00953398" w:rsidRDefault="00953398" w:rsidP="00CD363C">
            <w:pPr>
              <w:pStyle w:val="TableParagraph"/>
              <w:ind w:left="351" w:right="407"/>
              <w:jc w:val="both"/>
              <w:rPr>
                <w:sz w:val="20"/>
              </w:rPr>
            </w:pPr>
            <w:r>
              <w:rPr>
                <w:sz w:val="20"/>
              </w:rPr>
              <w:t>3.gads</w:t>
            </w:r>
          </w:p>
        </w:tc>
        <w:tc>
          <w:tcPr>
            <w:tcW w:w="1983" w:type="dxa"/>
          </w:tcPr>
          <w:p w14:paraId="533AE76C" w14:textId="77777777" w:rsidR="00953398" w:rsidRDefault="00953398" w:rsidP="00CD363C">
            <w:pPr>
              <w:pStyle w:val="TableParagraph"/>
              <w:ind w:left="760" w:right="407"/>
              <w:jc w:val="both"/>
              <w:rPr>
                <w:sz w:val="20"/>
              </w:rPr>
            </w:pPr>
            <w:r>
              <w:rPr>
                <w:sz w:val="20"/>
              </w:rPr>
              <w:t>2022</w:t>
            </w:r>
          </w:p>
        </w:tc>
        <w:tc>
          <w:tcPr>
            <w:tcW w:w="4398" w:type="dxa"/>
          </w:tcPr>
          <w:p w14:paraId="15CCEB29" w14:textId="77777777" w:rsidR="00953398" w:rsidRDefault="00953398" w:rsidP="00CD363C">
            <w:pPr>
              <w:pStyle w:val="TableParagraph"/>
              <w:ind w:right="407"/>
              <w:jc w:val="both"/>
              <w:rPr>
                <w:sz w:val="20"/>
              </w:rPr>
            </w:pPr>
            <w:r>
              <w:rPr>
                <w:sz w:val="20"/>
              </w:rPr>
              <w:t>(20 000,00)</w:t>
            </w:r>
          </w:p>
        </w:tc>
      </w:tr>
      <w:tr w:rsidR="00953398" w14:paraId="7C487860" w14:textId="77777777" w:rsidTr="00FF1C69">
        <w:trPr>
          <w:trHeight w:val="229"/>
        </w:trPr>
        <w:tc>
          <w:tcPr>
            <w:tcW w:w="3116" w:type="dxa"/>
          </w:tcPr>
          <w:p w14:paraId="7A63FDCD" w14:textId="77777777" w:rsidR="00953398" w:rsidRDefault="00953398" w:rsidP="00CD363C">
            <w:pPr>
              <w:pStyle w:val="TableParagraph"/>
              <w:ind w:left="351" w:right="407"/>
              <w:jc w:val="both"/>
              <w:rPr>
                <w:sz w:val="20"/>
              </w:rPr>
            </w:pPr>
            <w:r>
              <w:rPr>
                <w:sz w:val="20"/>
              </w:rPr>
              <w:t>4.gads</w:t>
            </w:r>
          </w:p>
        </w:tc>
        <w:tc>
          <w:tcPr>
            <w:tcW w:w="1983" w:type="dxa"/>
          </w:tcPr>
          <w:p w14:paraId="690C8FFD" w14:textId="77777777" w:rsidR="00953398" w:rsidRDefault="00953398" w:rsidP="00CD363C">
            <w:pPr>
              <w:pStyle w:val="TableParagraph"/>
              <w:ind w:left="760" w:right="407"/>
              <w:jc w:val="both"/>
              <w:rPr>
                <w:sz w:val="20"/>
              </w:rPr>
            </w:pPr>
            <w:r>
              <w:rPr>
                <w:sz w:val="20"/>
              </w:rPr>
              <w:t>2023</w:t>
            </w:r>
          </w:p>
        </w:tc>
        <w:tc>
          <w:tcPr>
            <w:tcW w:w="4398" w:type="dxa"/>
          </w:tcPr>
          <w:p w14:paraId="21FCDA1E" w14:textId="77777777" w:rsidR="00953398" w:rsidRDefault="00953398" w:rsidP="00CD363C">
            <w:pPr>
              <w:pStyle w:val="TableParagraph"/>
              <w:ind w:right="407"/>
              <w:jc w:val="both"/>
              <w:rPr>
                <w:sz w:val="20"/>
              </w:rPr>
            </w:pPr>
            <w:r>
              <w:rPr>
                <w:sz w:val="20"/>
              </w:rPr>
              <w:t>(20 000,00)</w:t>
            </w:r>
          </w:p>
        </w:tc>
      </w:tr>
      <w:tr w:rsidR="00953398" w14:paraId="4BD8017D" w14:textId="77777777" w:rsidTr="00FF1C69">
        <w:trPr>
          <w:trHeight w:val="230"/>
        </w:trPr>
        <w:tc>
          <w:tcPr>
            <w:tcW w:w="3116" w:type="dxa"/>
          </w:tcPr>
          <w:p w14:paraId="033F0605" w14:textId="77777777" w:rsidR="00953398" w:rsidRDefault="00953398" w:rsidP="00CD363C">
            <w:pPr>
              <w:pStyle w:val="TableParagraph"/>
              <w:ind w:left="351" w:right="407"/>
              <w:jc w:val="both"/>
              <w:rPr>
                <w:sz w:val="20"/>
              </w:rPr>
            </w:pPr>
            <w:r>
              <w:rPr>
                <w:sz w:val="20"/>
              </w:rPr>
              <w:t>5.gads</w:t>
            </w:r>
          </w:p>
        </w:tc>
        <w:tc>
          <w:tcPr>
            <w:tcW w:w="1983" w:type="dxa"/>
          </w:tcPr>
          <w:p w14:paraId="23D6AD22" w14:textId="77777777" w:rsidR="00953398" w:rsidRDefault="00953398" w:rsidP="00CD363C">
            <w:pPr>
              <w:pStyle w:val="TableParagraph"/>
              <w:ind w:left="760" w:right="407"/>
              <w:jc w:val="both"/>
              <w:rPr>
                <w:sz w:val="20"/>
              </w:rPr>
            </w:pPr>
            <w:r>
              <w:rPr>
                <w:sz w:val="20"/>
              </w:rPr>
              <w:t>2024</w:t>
            </w:r>
          </w:p>
        </w:tc>
        <w:tc>
          <w:tcPr>
            <w:tcW w:w="4398" w:type="dxa"/>
          </w:tcPr>
          <w:p w14:paraId="7DBCB77C" w14:textId="77777777" w:rsidR="00953398" w:rsidRDefault="00953398" w:rsidP="00CD363C">
            <w:pPr>
              <w:pStyle w:val="TableParagraph"/>
              <w:ind w:right="407"/>
              <w:jc w:val="both"/>
              <w:rPr>
                <w:sz w:val="20"/>
              </w:rPr>
            </w:pPr>
            <w:r>
              <w:rPr>
                <w:sz w:val="20"/>
              </w:rPr>
              <w:t>(20 000,00)</w:t>
            </w:r>
          </w:p>
        </w:tc>
      </w:tr>
      <w:tr w:rsidR="00953398" w14:paraId="0F1637AA" w14:textId="77777777" w:rsidTr="00FF1C69">
        <w:trPr>
          <w:trHeight w:val="230"/>
        </w:trPr>
        <w:tc>
          <w:tcPr>
            <w:tcW w:w="3116" w:type="dxa"/>
          </w:tcPr>
          <w:p w14:paraId="38BDF28D" w14:textId="77777777" w:rsidR="00953398" w:rsidRDefault="00953398" w:rsidP="00CD363C">
            <w:pPr>
              <w:pStyle w:val="TableParagraph"/>
              <w:ind w:left="351" w:right="407"/>
              <w:jc w:val="both"/>
              <w:rPr>
                <w:sz w:val="20"/>
              </w:rPr>
            </w:pPr>
            <w:r>
              <w:rPr>
                <w:sz w:val="20"/>
              </w:rPr>
              <w:t>6.gads</w:t>
            </w:r>
          </w:p>
        </w:tc>
        <w:tc>
          <w:tcPr>
            <w:tcW w:w="1983" w:type="dxa"/>
          </w:tcPr>
          <w:p w14:paraId="6A0ED267" w14:textId="77777777" w:rsidR="00953398" w:rsidRDefault="00953398" w:rsidP="00CD363C">
            <w:pPr>
              <w:pStyle w:val="TableParagraph"/>
              <w:ind w:left="760" w:right="407"/>
              <w:jc w:val="both"/>
              <w:rPr>
                <w:sz w:val="20"/>
              </w:rPr>
            </w:pPr>
            <w:r>
              <w:rPr>
                <w:sz w:val="20"/>
              </w:rPr>
              <w:t>2025</w:t>
            </w:r>
          </w:p>
        </w:tc>
        <w:tc>
          <w:tcPr>
            <w:tcW w:w="4398" w:type="dxa"/>
          </w:tcPr>
          <w:p w14:paraId="55AAA8AF" w14:textId="77777777" w:rsidR="00953398" w:rsidRDefault="00953398" w:rsidP="00CD363C">
            <w:pPr>
              <w:pStyle w:val="TableParagraph"/>
              <w:ind w:right="407"/>
              <w:jc w:val="both"/>
              <w:rPr>
                <w:sz w:val="20"/>
              </w:rPr>
            </w:pPr>
            <w:r>
              <w:rPr>
                <w:sz w:val="20"/>
              </w:rPr>
              <w:t>(120 000,00)</w:t>
            </w:r>
          </w:p>
        </w:tc>
      </w:tr>
      <w:tr w:rsidR="00953398" w14:paraId="2B85806D" w14:textId="77777777" w:rsidTr="00FF1C69">
        <w:trPr>
          <w:trHeight w:val="230"/>
        </w:trPr>
        <w:tc>
          <w:tcPr>
            <w:tcW w:w="3116" w:type="dxa"/>
          </w:tcPr>
          <w:p w14:paraId="6262326C" w14:textId="77777777" w:rsidR="00953398" w:rsidRDefault="00953398" w:rsidP="00CD363C">
            <w:pPr>
              <w:pStyle w:val="TableParagraph"/>
              <w:ind w:left="351" w:right="407"/>
              <w:jc w:val="both"/>
              <w:rPr>
                <w:sz w:val="20"/>
              </w:rPr>
            </w:pPr>
            <w:r>
              <w:rPr>
                <w:sz w:val="20"/>
              </w:rPr>
              <w:t>Sākotnējā procentu likme, %</w:t>
            </w:r>
          </w:p>
        </w:tc>
        <w:tc>
          <w:tcPr>
            <w:tcW w:w="1983" w:type="dxa"/>
          </w:tcPr>
          <w:p w14:paraId="6C3545E1" w14:textId="77777777" w:rsidR="00953398" w:rsidRDefault="00953398" w:rsidP="00CD363C">
            <w:pPr>
              <w:pStyle w:val="TableParagraph"/>
              <w:ind w:right="407"/>
              <w:jc w:val="both"/>
              <w:rPr>
                <w:sz w:val="16"/>
              </w:rPr>
            </w:pPr>
          </w:p>
        </w:tc>
        <w:tc>
          <w:tcPr>
            <w:tcW w:w="4398" w:type="dxa"/>
          </w:tcPr>
          <w:p w14:paraId="52C6B11D" w14:textId="77777777" w:rsidR="00953398" w:rsidRDefault="00953398" w:rsidP="00CD363C">
            <w:pPr>
              <w:pStyle w:val="TableParagraph"/>
              <w:ind w:right="407"/>
              <w:jc w:val="both"/>
              <w:rPr>
                <w:b/>
                <w:sz w:val="20"/>
              </w:rPr>
            </w:pPr>
            <w:r>
              <w:rPr>
                <w:b/>
                <w:sz w:val="20"/>
              </w:rPr>
              <w:t>10%</w:t>
            </w:r>
          </w:p>
        </w:tc>
      </w:tr>
      <w:tr w:rsidR="00953398" w14:paraId="575CB33D" w14:textId="77777777" w:rsidTr="00FF1C69">
        <w:trPr>
          <w:trHeight w:val="230"/>
        </w:trPr>
        <w:tc>
          <w:tcPr>
            <w:tcW w:w="3116" w:type="dxa"/>
          </w:tcPr>
          <w:p w14:paraId="3B9C95BD" w14:textId="77777777" w:rsidR="00953398" w:rsidRDefault="00953398" w:rsidP="00CD363C">
            <w:pPr>
              <w:pStyle w:val="TableParagraph"/>
              <w:ind w:left="351" w:right="407"/>
              <w:jc w:val="both"/>
              <w:rPr>
                <w:b/>
                <w:sz w:val="20"/>
              </w:rPr>
            </w:pPr>
            <w:r>
              <w:rPr>
                <w:b/>
                <w:sz w:val="20"/>
              </w:rPr>
              <w:t>Pašreizējā vērtība, EUR</w:t>
            </w:r>
          </w:p>
        </w:tc>
        <w:tc>
          <w:tcPr>
            <w:tcW w:w="1983" w:type="dxa"/>
          </w:tcPr>
          <w:p w14:paraId="012939B9" w14:textId="77777777" w:rsidR="00953398" w:rsidRDefault="00953398" w:rsidP="00CD363C">
            <w:pPr>
              <w:pStyle w:val="TableParagraph"/>
              <w:ind w:right="407"/>
              <w:jc w:val="both"/>
              <w:rPr>
                <w:sz w:val="16"/>
              </w:rPr>
            </w:pPr>
          </w:p>
        </w:tc>
        <w:tc>
          <w:tcPr>
            <w:tcW w:w="4398" w:type="dxa"/>
          </w:tcPr>
          <w:p w14:paraId="25981B51" w14:textId="77777777" w:rsidR="00953398" w:rsidRDefault="00953398" w:rsidP="00CD363C">
            <w:pPr>
              <w:pStyle w:val="TableParagraph"/>
              <w:ind w:right="407"/>
              <w:jc w:val="both"/>
              <w:rPr>
                <w:b/>
                <w:sz w:val="20"/>
              </w:rPr>
            </w:pPr>
            <w:r>
              <w:rPr>
                <w:b/>
                <w:sz w:val="20"/>
              </w:rPr>
              <w:t>(108 841,86)</w:t>
            </w:r>
          </w:p>
        </w:tc>
      </w:tr>
    </w:tbl>
    <w:p w14:paraId="1A551513" w14:textId="77777777" w:rsidR="00953398" w:rsidRDefault="00953398" w:rsidP="00CD363C">
      <w:pPr>
        <w:spacing w:after="0" w:line="240" w:lineRule="auto"/>
        <w:ind w:left="338" w:right="407"/>
        <w:jc w:val="both"/>
        <w:rPr>
          <w:i/>
          <w:sz w:val="20"/>
        </w:rPr>
      </w:pPr>
      <w:r>
        <w:rPr>
          <w:i/>
          <w:sz w:val="20"/>
        </w:rPr>
        <w:t>*komisijas maksu 5 000,00 EUR apmērā neiekļauj diskontētās naudas plūsmas aprēķinā, jo tā tiek atzīta pārskata perioda finanšu izdevumos 2019. gadā</w:t>
      </w:r>
    </w:p>
    <w:p w14:paraId="4D1636E5" w14:textId="77777777" w:rsidR="00953398" w:rsidRDefault="00953398" w:rsidP="00CD363C">
      <w:pPr>
        <w:pStyle w:val="Pamatteksts"/>
        <w:ind w:right="407"/>
        <w:jc w:val="both"/>
      </w:pPr>
      <w:r>
        <w:t>Pamatojoties uz 13. tabulā uzrādītajiem aprēķiniem aizņēmuma pašreizējā vērtība saskaņā ar jaunajiem līguma nosacījumiem tiek aplēsta 108 841,86 EUR apmērā.</w:t>
      </w:r>
    </w:p>
    <w:p w14:paraId="6844C37C" w14:textId="77777777" w:rsidR="00953398" w:rsidRDefault="00953398" w:rsidP="00CD363C">
      <w:pPr>
        <w:pStyle w:val="Pamatteksts"/>
        <w:ind w:right="407"/>
        <w:jc w:val="both"/>
      </w:pPr>
      <w:r>
        <w:t>Budžeta iestāde nosaka, kādas ir izmaiņas naudas plūsmas pašreizējā vērtībā pret sākotnējo finanšu saistību naudas plūsmu pašreizējo vērtību. Finanšu saistību atlikušo naudas plūsmu sākotnējā pašreizējā vērtība ir 100 000,00 EUR.</w:t>
      </w:r>
    </w:p>
    <w:p w14:paraId="310C5326" w14:textId="77777777" w:rsidR="00953398" w:rsidRDefault="00953398" w:rsidP="00CD363C">
      <w:pPr>
        <w:pStyle w:val="Pamatteksts"/>
        <w:ind w:right="407"/>
        <w:jc w:val="both"/>
      </w:pPr>
      <w:r>
        <w:t>Aprēķinot</w:t>
      </w:r>
      <w:r>
        <w:rPr>
          <w:spacing w:val="-7"/>
        </w:rPr>
        <w:t xml:space="preserve"> </w:t>
      </w:r>
      <w:r>
        <w:t>absolūtās</w:t>
      </w:r>
      <w:r>
        <w:rPr>
          <w:spacing w:val="-4"/>
        </w:rPr>
        <w:t xml:space="preserve"> </w:t>
      </w:r>
      <w:r>
        <w:t>un</w:t>
      </w:r>
      <w:r>
        <w:rPr>
          <w:spacing w:val="-5"/>
        </w:rPr>
        <w:t xml:space="preserve"> </w:t>
      </w:r>
      <w:r>
        <w:t>procentuālās</w:t>
      </w:r>
      <w:r>
        <w:rPr>
          <w:spacing w:val="-4"/>
        </w:rPr>
        <w:t xml:space="preserve"> </w:t>
      </w:r>
      <w:r>
        <w:t>naudas</w:t>
      </w:r>
      <w:r>
        <w:rPr>
          <w:spacing w:val="-6"/>
        </w:rPr>
        <w:t xml:space="preserve"> </w:t>
      </w:r>
      <w:r>
        <w:t>plūsmas</w:t>
      </w:r>
      <w:r>
        <w:rPr>
          <w:spacing w:val="-4"/>
        </w:rPr>
        <w:t xml:space="preserve"> </w:t>
      </w:r>
      <w:r>
        <w:t>pašreizējās</w:t>
      </w:r>
      <w:r>
        <w:rPr>
          <w:spacing w:val="-4"/>
        </w:rPr>
        <w:t xml:space="preserve"> </w:t>
      </w:r>
      <w:r>
        <w:t>vērtības</w:t>
      </w:r>
      <w:r>
        <w:rPr>
          <w:spacing w:val="-4"/>
        </w:rPr>
        <w:t xml:space="preserve"> </w:t>
      </w:r>
      <w:r>
        <w:t>izmaiņas,</w:t>
      </w:r>
      <w:r>
        <w:rPr>
          <w:spacing w:val="-5"/>
        </w:rPr>
        <w:t xml:space="preserve"> </w:t>
      </w:r>
      <w:r>
        <w:t>budžeta</w:t>
      </w:r>
      <w:r>
        <w:rPr>
          <w:spacing w:val="-7"/>
        </w:rPr>
        <w:t xml:space="preserve"> </w:t>
      </w:r>
      <w:r>
        <w:t>iestāde</w:t>
      </w:r>
      <w:r>
        <w:rPr>
          <w:spacing w:val="-4"/>
        </w:rPr>
        <w:t xml:space="preserve"> </w:t>
      </w:r>
      <w:r>
        <w:t>to</w:t>
      </w:r>
      <w:r>
        <w:rPr>
          <w:spacing w:val="-7"/>
        </w:rPr>
        <w:t xml:space="preserve"> </w:t>
      </w:r>
      <w:r>
        <w:t>nosaka kā starpību starp sākotnēji noteikto  (100 000,00  EUR)  un  jauno  naudas  plūsmas  pašreizējo  vērtību  (108 841,86</w:t>
      </w:r>
      <w:r>
        <w:rPr>
          <w:spacing w:val="-1"/>
        </w:rPr>
        <w:t xml:space="preserve"> </w:t>
      </w:r>
      <w:r>
        <w:t>EUR):</w:t>
      </w:r>
    </w:p>
    <w:p w14:paraId="40DEB03F" w14:textId="77777777" w:rsidR="00953398" w:rsidRDefault="00953398" w:rsidP="00CD363C">
      <w:pPr>
        <w:pStyle w:val="Pamatteksts"/>
        <w:ind w:left="338" w:right="407"/>
        <w:jc w:val="both"/>
        <w:rPr>
          <w:b/>
        </w:rPr>
      </w:pPr>
      <w:r>
        <w:t xml:space="preserve">108 841,86 EUR – 100 000,00 EUR = 8 841,86 EUR jeb </w:t>
      </w:r>
      <w:r>
        <w:rPr>
          <w:b/>
        </w:rPr>
        <w:t>8,84%</w:t>
      </w:r>
    </w:p>
    <w:p w14:paraId="3A1C39C1"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Ņemot vērā to, ka naudas plūsmas pašreizējā diskontētā vērtība atšķiras no sākotnējo finanšu saistību atlikušās naudas plūsmas pašreizējās vērtības ne vairāk kā 10%, budžeta iestāde koriģē grāmatvedības uzskaitē atzītā aizņēmuma vērtību, veicot sekojošu grāmatojumu:</w:t>
      </w:r>
    </w:p>
    <w:p w14:paraId="67E064EC"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8290</w:t>
      </w:r>
      <w:r w:rsidRPr="00953398">
        <w:rPr>
          <w:rFonts w:ascii="Times New Roman" w:hAnsi="Times New Roman" w:cs="Times New Roman"/>
          <w:sz w:val="24"/>
          <w:szCs w:val="24"/>
        </w:rPr>
        <w:tab/>
        <w:t>Pārējie finanšu izdevumi</w:t>
      </w:r>
      <w:r w:rsidRPr="00953398">
        <w:rPr>
          <w:rFonts w:ascii="Times New Roman" w:hAnsi="Times New Roman" w:cs="Times New Roman"/>
          <w:sz w:val="24"/>
          <w:szCs w:val="24"/>
        </w:rPr>
        <w:tab/>
        <w:t>8 841,86 EUR</w:t>
      </w:r>
    </w:p>
    <w:p w14:paraId="268C9A56" w14:textId="77777777" w:rsidR="006162DC"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5119</w:t>
      </w:r>
      <w:r w:rsidRPr="00953398">
        <w:rPr>
          <w:rFonts w:ascii="Times New Roman" w:hAnsi="Times New Roman" w:cs="Times New Roman"/>
          <w:sz w:val="24"/>
          <w:szCs w:val="24"/>
        </w:rPr>
        <w:tab/>
        <w:t>Ilgtermiņa aizņēmumi</w:t>
      </w:r>
      <w:r w:rsidRPr="00953398">
        <w:rPr>
          <w:rFonts w:ascii="Times New Roman" w:hAnsi="Times New Roman" w:cs="Times New Roman"/>
          <w:sz w:val="24"/>
          <w:szCs w:val="24"/>
        </w:rPr>
        <w:tab/>
        <w:t>8 841,86 EUR</w:t>
      </w:r>
    </w:p>
    <w:p w14:paraId="7B099E98" w14:textId="77777777" w:rsidR="00953398" w:rsidRDefault="00953398" w:rsidP="00CD363C">
      <w:pPr>
        <w:pStyle w:val="Virsraksts4"/>
        <w:tabs>
          <w:tab w:val="left" w:pos="879"/>
        </w:tabs>
        <w:spacing w:before="0"/>
        <w:ind w:left="0" w:right="407"/>
        <w:jc w:val="both"/>
      </w:pPr>
      <w:r>
        <w:rPr>
          <w:color w:val="002069"/>
        </w:rPr>
        <w:t>21.8.5.Piemērs</w:t>
      </w:r>
      <w:r>
        <w:rPr>
          <w:color w:val="002069"/>
          <w:spacing w:val="-10"/>
        </w:rPr>
        <w:t xml:space="preserve"> </w:t>
      </w:r>
      <w:r>
        <w:rPr>
          <w:color w:val="002069"/>
        </w:rPr>
        <w:t>-</w:t>
      </w:r>
      <w:r>
        <w:rPr>
          <w:color w:val="002069"/>
          <w:spacing w:val="-10"/>
        </w:rPr>
        <w:t xml:space="preserve"> </w:t>
      </w:r>
      <w:r>
        <w:rPr>
          <w:color w:val="002069"/>
        </w:rPr>
        <w:t>bezprocentu</w:t>
      </w:r>
      <w:r>
        <w:rPr>
          <w:color w:val="002069"/>
          <w:spacing w:val="-9"/>
        </w:rPr>
        <w:t xml:space="preserve"> </w:t>
      </w:r>
      <w:r>
        <w:rPr>
          <w:color w:val="002069"/>
        </w:rPr>
        <w:t>aizdevums</w:t>
      </w:r>
      <w:r>
        <w:rPr>
          <w:color w:val="002069"/>
          <w:spacing w:val="-10"/>
        </w:rPr>
        <w:t xml:space="preserve"> </w:t>
      </w:r>
      <w:r>
        <w:rPr>
          <w:color w:val="002069"/>
        </w:rPr>
        <w:t>ar</w:t>
      </w:r>
      <w:r>
        <w:rPr>
          <w:color w:val="002069"/>
          <w:spacing w:val="-12"/>
        </w:rPr>
        <w:t xml:space="preserve"> </w:t>
      </w:r>
      <w:r>
        <w:rPr>
          <w:color w:val="002069"/>
        </w:rPr>
        <w:t>pamatsummas</w:t>
      </w:r>
      <w:r>
        <w:rPr>
          <w:color w:val="002069"/>
          <w:spacing w:val="-10"/>
        </w:rPr>
        <w:t xml:space="preserve"> </w:t>
      </w:r>
      <w:r>
        <w:rPr>
          <w:color w:val="002069"/>
        </w:rPr>
        <w:t>atmaksas</w:t>
      </w:r>
      <w:r>
        <w:rPr>
          <w:color w:val="002069"/>
          <w:spacing w:val="-9"/>
        </w:rPr>
        <w:t xml:space="preserve"> </w:t>
      </w:r>
      <w:r>
        <w:rPr>
          <w:color w:val="002069"/>
        </w:rPr>
        <w:t>saņemšanu</w:t>
      </w:r>
      <w:r>
        <w:rPr>
          <w:color w:val="002069"/>
          <w:spacing w:val="-14"/>
        </w:rPr>
        <w:t xml:space="preserve"> </w:t>
      </w:r>
      <w:r>
        <w:rPr>
          <w:color w:val="002069"/>
        </w:rPr>
        <w:t>termiņa</w:t>
      </w:r>
      <w:r>
        <w:rPr>
          <w:color w:val="002069"/>
          <w:spacing w:val="-11"/>
        </w:rPr>
        <w:t xml:space="preserve"> </w:t>
      </w:r>
      <w:r>
        <w:rPr>
          <w:color w:val="002069"/>
        </w:rPr>
        <w:t>beigās</w:t>
      </w:r>
      <w:r>
        <w:rPr>
          <w:color w:val="002069"/>
          <w:spacing w:val="-9"/>
        </w:rPr>
        <w:t xml:space="preserve"> </w:t>
      </w:r>
      <w:r>
        <w:rPr>
          <w:color w:val="002069"/>
        </w:rPr>
        <w:t>(no aizdevēja</w:t>
      </w:r>
      <w:r>
        <w:rPr>
          <w:color w:val="002069"/>
          <w:spacing w:val="-1"/>
        </w:rPr>
        <w:t xml:space="preserve"> </w:t>
      </w:r>
      <w:r>
        <w:rPr>
          <w:color w:val="002069"/>
        </w:rPr>
        <w:t>puses)</w:t>
      </w:r>
    </w:p>
    <w:p w14:paraId="3B1626C1" w14:textId="77777777" w:rsidR="00953398" w:rsidRDefault="00FF1C69" w:rsidP="00CD363C">
      <w:pPr>
        <w:pStyle w:val="Pamatteksts"/>
        <w:ind w:left="338" w:right="407"/>
        <w:jc w:val="both"/>
      </w:pPr>
      <w:r>
        <w:t xml:space="preserve">880. </w:t>
      </w:r>
      <w:r w:rsidR="00953398">
        <w:t>2019. gada 1. janvārī budžeta iestāde (aizdevējs) izsniedz bezprocentu aizdevumu 100 000,00 EUR apmērā uz</w:t>
      </w:r>
      <w:r w:rsidR="00953398">
        <w:rPr>
          <w:spacing w:val="-9"/>
        </w:rPr>
        <w:t xml:space="preserve"> </w:t>
      </w:r>
      <w:r w:rsidR="00953398">
        <w:t>termiņu</w:t>
      </w:r>
      <w:r w:rsidR="00953398">
        <w:rPr>
          <w:spacing w:val="-6"/>
        </w:rPr>
        <w:t xml:space="preserve"> </w:t>
      </w:r>
      <w:r w:rsidR="00953398">
        <w:t>3</w:t>
      </w:r>
      <w:r w:rsidR="00953398">
        <w:rPr>
          <w:spacing w:val="-6"/>
        </w:rPr>
        <w:t xml:space="preserve"> </w:t>
      </w:r>
      <w:r w:rsidR="00953398">
        <w:t>gadi</w:t>
      </w:r>
      <w:r w:rsidR="00953398">
        <w:rPr>
          <w:spacing w:val="-5"/>
        </w:rPr>
        <w:t xml:space="preserve"> </w:t>
      </w:r>
      <w:r w:rsidR="00953398">
        <w:t>bez</w:t>
      </w:r>
      <w:r w:rsidR="00953398">
        <w:rPr>
          <w:spacing w:val="-8"/>
        </w:rPr>
        <w:t xml:space="preserve"> </w:t>
      </w:r>
      <w:r w:rsidR="00953398">
        <w:t>izlietojuma</w:t>
      </w:r>
      <w:r w:rsidR="00953398">
        <w:rPr>
          <w:spacing w:val="-6"/>
        </w:rPr>
        <w:t xml:space="preserve"> </w:t>
      </w:r>
      <w:r w:rsidR="00953398">
        <w:t>nosacījumiem.</w:t>
      </w:r>
      <w:r w:rsidR="00953398">
        <w:rPr>
          <w:spacing w:val="-6"/>
        </w:rPr>
        <w:t xml:space="preserve"> </w:t>
      </w:r>
      <w:r w:rsidR="00953398">
        <w:t>Aizdevuma</w:t>
      </w:r>
      <w:r w:rsidR="00953398">
        <w:rPr>
          <w:spacing w:val="-7"/>
        </w:rPr>
        <w:t xml:space="preserve"> </w:t>
      </w:r>
      <w:r w:rsidR="00953398">
        <w:t>atmaksa</w:t>
      </w:r>
      <w:r w:rsidR="00953398">
        <w:rPr>
          <w:spacing w:val="-6"/>
        </w:rPr>
        <w:t xml:space="preserve"> </w:t>
      </w:r>
      <w:r w:rsidR="00953398">
        <w:t>ir</w:t>
      </w:r>
      <w:r w:rsidR="00953398">
        <w:rPr>
          <w:spacing w:val="-5"/>
        </w:rPr>
        <w:t xml:space="preserve"> </w:t>
      </w:r>
      <w:r w:rsidR="00953398">
        <w:t>paredzēta</w:t>
      </w:r>
      <w:r w:rsidR="00953398">
        <w:rPr>
          <w:spacing w:val="-8"/>
        </w:rPr>
        <w:t xml:space="preserve"> </w:t>
      </w:r>
      <w:r w:rsidR="00953398">
        <w:t>termiņa</w:t>
      </w:r>
      <w:r w:rsidR="00953398">
        <w:rPr>
          <w:spacing w:val="-7"/>
        </w:rPr>
        <w:t xml:space="preserve"> </w:t>
      </w:r>
      <w:r w:rsidR="00953398">
        <w:t>beigās</w:t>
      </w:r>
      <w:r w:rsidR="00953398">
        <w:rPr>
          <w:spacing w:val="-5"/>
        </w:rPr>
        <w:t xml:space="preserve"> </w:t>
      </w:r>
      <w:r w:rsidR="00953398">
        <w:t>2021.</w:t>
      </w:r>
      <w:r w:rsidR="00953398">
        <w:rPr>
          <w:spacing w:val="-6"/>
        </w:rPr>
        <w:t xml:space="preserve"> </w:t>
      </w:r>
      <w:r w:rsidR="00953398">
        <w:t>gadā. Vidējā tirgus procentu likme šāda veida aizdevumiem ir 4%. 1. tabulā ir attēloti aizdevuma atmaksas nosacījumi, naudas plūsmas un pašreizējās vērtības aprēķini līguma darbības</w:t>
      </w:r>
      <w:r w:rsidR="00953398">
        <w:rPr>
          <w:spacing w:val="-10"/>
        </w:rPr>
        <w:t xml:space="preserve"> </w:t>
      </w:r>
      <w:r w:rsidR="00953398">
        <w:t>laikā.</w:t>
      </w:r>
    </w:p>
    <w:p w14:paraId="5BD98591" w14:textId="77777777" w:rsidR="00953398" w:rsidRDefault="00953398" w:rsidP="00CD363C">
      <w:pPr>
        <w:pStyle w:val="Sarakstarindkopa"/>
        <w:widowControl w:val="0"/>
        <w:numPr>
          <w:ilvl w:val="0"/>
          <w:numId w:val="58"/>
        </w:numPr>
        <w:tabs>
          <w:tab w:val="left" w:pos="3844"/>
        </w:tabs>
        <w:autoSpaceDE w:val="0"/>
        <w:autoSpaceDN w:val="0"/>
        <w:spacing w:after="0" w:line="240" w:lineRule="auto"/>
        <w:ind w:left="3843" w:right="407"/>
        <w:contextualSpacing w:val="0"/>
        <w:jc w:val="both"/>
        <w:rPr>
          <w:i/>
          <w:sz w:val="18"/>
        </w:rPr>
      </w:pPr>
      <w:r>
        <w:rPr>
          <w:i/>
          <w:sz w:val="20"/>
        </w:rPr>
        <w:t>tabula. Bezprocentu aizdevuma nosacījumi un pašreizējās vērtības</w:t>
      </w:r>
      <w:r>
        <w:rPr>
          <w:i/>
          <w:spacing w:val="-9"/>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9"/>
        <w:gridCol w:w="1558"/>
        <w:gridCol w:w="1843"/>
        <w:gridCol w:w="1985"/>
        <w:gridCol w:w="3120"/>
      </w:tblGrid>
      <w:tr w:rsidR="00953398" w14:paraId="6A7C9D6A" w14:textId="77777777" w:rsidTr="00FF1C69">
        <w:trPr>
          <w:trHeight w:val="460"/>
        </w:trPr>
        <w:tc>
          <w:tcPr>
            <w:tcW w:w="989" w:type="dxa"/>
            <w:shd w:val="clear" w:color="auto" w:fill="F1F1F1"/>
          </w:tcPr>
          <w:p w14:paraId="42E5E225" w14:textId="77777777" w:rsidR="00953398" w:rsidRDefault="00953398" w:rsidP="00CD363C">
            <w:pPr>
              <w:pStyle w:val="TableParagraph"/>
              <w:ind w:left="242" w:right="407"/>
              <w:jc w:val="both"/>
              <w:rPr>
                <w:b/>
                <w:sz w:val="20"/>
              </w:rPr>
            </w:pPr>
            <w:r>
              <w:rPr>
                <w:b/>
                <w:sz w:val="20"/>
              </w:rPr>
              <w:t>Gads</w:t>
            </w:r>
          </w:p>
        </w:tc>
        <w:tc>
          <w:tcPr>
            <w:tcW w:w="1558" w:type="dxa"/>
            <w:shd w:val="clear" w:color="auto" w:fill="F1F1F1"/>
          </w:tcPr>
          <w:p w14:paraId="08217073" w14:textId="77777777" w:rsidR="00953398" w:rsidRDefault="00953398" w:rsidP="00CD363C">
            <w:pPr>
              <w:pStyle w:val="TableParagraph"/>
              <w:ind w:left="282" w:right="407" w:firstLine="45"/>
              <w:jc w:val="both"/>
              <w:rPr>
                <w:b/>
                <w:sz w:val="20"/>
              </w:rPr>
            </w:pPr>
            <w:r>
              <w:rPr>
                <w:b/>
                <w:sz w:val="20"/>
              </w:rPr>
              <w:t xml:space="preserve">Atmaksas </w:t>
            </w:r>
            <w:r>
              <w:rPr>
                <w:b/>
                <w:w w:val="95"/>
                <w:sz w:val="20"/>
              </w:rPr>
              <w:t>nosacījumi</w:t>
            </w:r>
          </w:p>
        </w:tc>
        <w:tc>
          <w:tcPr>
            <w:tcW w:w="1843" w:type="dxa"/>
            <w:shd w:val="clear" w:color="auto" w:fill="F1F1F1"/>
          </w:tcPr>
          <w:p w14:paraId="05E39870" w14:textId="77777777" w:rsidR="00953398" w:rsidRDefault="00953398" w:rsidP="00CD363C">
            <w:pPr>
              <w:pStyle w:val="TableParagraph"/>
              <w:ind w:left="681" w:right="407" w:hanging="540"/>
              <w:jc w:val="both"/>
              <w:rPr>
                <w:b/>
                <w:sz w:val="20"/>
              </w:rPr>
            </w:pPr>
            <w:r>
              <w:rPr>
                <w:b/>
                <w:sz w:val="20"/>
              </w:rPr>
              <w:t>Maksājumi kopā, EUR</w:t>
            </w:r>
          </w:p>
        </w:tc>
        <w:tc>
          <w:tcPr>
            <w:tcW w:w="1985" w:type="dxa"/>
            <w:shd w:val="clear" w:color="auto" w:fill="F1F1F1"/>
          </w:tcPr>
          <w:p w14:paraId="075BBE0F" w14:textId="77777777" w:rsidR="00953398" w:rsidRDefault="00953398" w:rsidP="00CD363C">
            <w:pPr>
              <w:pStyle w:val="TableParagraph"/>
              <w:ind w:left="199" w:right="407"/>
              <w:jc w:val="both"/>
              <w:rPr>
                <w:b/>
                <w:sz w:val="20"/>
              </w:rPr>
            </w:pPr>
            <w:r>
              <w:rPr>
                <w:b/>
                <w:sz w:val="20"/>
              </w:rPr>
              <w:t>Diskonta faktors*</w:t>
            </w:r>
          </w:p>
        </w:tc>
        <w:tc>
          <w:tcPr>
            <w:tcW w:w="3120" w:type="dxa"/>
            <w:shd w:val="clear" w:color="auto" w:fill="F1F1F1"/>
          </w:tcPr>
          <w:p w14:paraId="6596EFDB" w14:textId="77777777" w:rsidR="00953398" w:rsidRDefault="00953398" w:rsidP="00CD363C">
            <w:pPr>
              <w:pStyle w:val="TableParagraph"/>
              <w:ind w:left="1320" w:right="407" w:hanging="1088"/>
              <w:jc w:val="both"/>
              <w:rPr>
                <w:b/>
                <w:sz w:val="20"/>
              </w:rPr>
            </w:pPr>
            <w:r>
              <w:rPr>
                <w:b/>
                <w:sz w:val="20"/>
              </w:rPr>
              <w:t>Aizdevuma pašreizējā vērtība, EUR</w:t>
            </w:r>
          </w:p>
        </w:tc>
      </w:tr>
      <w:tr w:rsidR="00953398" w14:paraId="13CAB3E2" w14:textId="77777777" w:rsidTr="00FF1C69">
        <w:trPr>
          <w:trHeight w:val="228"/>
        </w:trPr>
        <w:tc>
          <w:tcPr>
            <w:tcW w:w="989" w:type="dxa"/>
            <w:shd w:val="clear" w:color="auto" w:fill="F1F1F1"/>
          </w:tcPr>
          <w:p w14:paraId="49AFEB2F" w14:textId="77777777" w:rsidR="00953398" w:rsidRDefault="00953398" w:rsidP="00CD363C">
            <w:pPr>
              <w:pStyle w:val="TableParagraph"/>
              <w:ind w:right="407"/>
              <w:jc w:val="both"/>
              <w:rPr>
                <w:b/>
                <w:i/>
                <w:sz w:val="20"/>
              </w:rPr>
            </w:pPr>
            <w:r>
              <w:rPr>
                <w:b/>
                <w:i/>
                <w:w w:val="99"/>
                <w:sz w:val="20"/>
              </w:rPr>
              <w:t>A</w:t>
            </w:r>
          </w:p>
        </w:tc>
        <w:tc>
          <w:tcPr>
            <w:tcW w:w="1558" w:type="dxa"/>
            <w:shd w:val="clear" w:color="auto" w:fill="F1F1F1"/>
          </w:tcPr>
          <w:p w14:paraId="7CDE57B1" w14:textId="77777777" w:rsidR="00953398" w:rsidRDefault="00953398" w:rsidP="00CD363C">
            <w:pPr>
              <w:pStyle w:val="TableParagraph"/>
              <w:ind w:right="407"/>
              <w:jc w:val="both"/>
              <w:rPr>
                <w:b/>
                <w:i/>
                <w:sz w:val="20"/>
              </w:rPr>
            </w:pPr>
            <w:r>
              <w:rPr>
                <w:b/>
                <w:i/>
                <w:w w:val="99"/>
                <w:sz w:val="20"/>
              </w:rPr>
              <w:t>B</w:t>
            </w:r>
          </w:p>
        </w:tc>
        <w:tc>
          <w:tcPr>
            <w:tcW w:w="1843" w:type="dxa"/>
            <w:shd w:val="clear" w:color="auto" w:fill="F1F1F1"/>
          </w:tcPr>
          <w:p w14:paraId="78D71789" w14:textId="77777777" w:rsidR="00953398" w:rsidRDefault="00953398" w:rsidP="00CD363C">
            <w:pPr>
              <w:pStyle w:val="TableParagraph"/>
              <w:ind w:right="407"/>
              <w:jc w:val="both"/>
              <w:rPr>
                <w:b/>
                <w:i/>
                <w:sz w:val="20"/>
              </w:rPr>
            </w:pPr>
            <w:r>
              <w:rPr>
                <w:b/>
                <w:i/>
                <w:w w:val="99"/>
                <w:sz w:val="20"/>
              </w:rPr>
              <w:t>C</w:t>
            </w:r>
          </w:p>
        </w:tc>
        <w:tc>
          <w:tcPr>
            <w:tcW w:w="1985" w:type="dxa"/>
            <w:shd w:val="clear" w:color="auto" w:fill="F1F1F1"/>
          </w:tcPr>
          <w:p w14:paraId="6EAED4E2" w14:textId="77777777" w:rsidR="00953398" w:rsidRDefault="00953398" w:rsidP="00CD363C">
            <w:pPr>
              <w:pStyle w:val="TableParagraph"/>
              <w:ind w:right="407"/>
              <w:jc w:val="both"/>
              <w:rPr>
                <w:b/>
                <w:i/>
                <w:sz w:val="20"/>
              </w:rPr>
            </w:pPr>
            <w:r>
              <w:rPr>
                <w:b/>
                <w:i/>
                <w:w w:val="99"/>
                <w:sz w:val="20"/>
              </w:rPr>
              <w:t>D</w:t>
            </w:r>
          </w:p>
        </w:tc>
        <w:tc>
          <w:tcPr>
            <w:tcW w:w="3120" w:type="dxa"/>
            <w:shd w:val="clear" w:color="auto" w:fill="F1F1F1"/>
          </w:tcPr>
          <w:p w14:paraId="4429D484" w14:textId="77777777" w:rsidR="00953398" w:rsidRDefault="00953398" w:rsidP="00CD363C">
            <w:pPr>
              <w:pStyle w:val="TableParagraph"/>
              <w:ind w:left="139" w:right="407"/>
              <w:jc w:val="both"/>
              <w:rPr>
                <w:b/>
                <w:i/>
                <w:sz w:val="20"/>
              </w:rPr>
            </w:pPr>
            <w:r>
              <w:rPr>
                <w:b/>
                <w:i/>
                <w:sz w:val="20"/>
              </w:rPr>
              <w:t>E = C x D</w:t>
            </w:r>
          </w:p>
        </w:tc>
      </w:tr>
      <w:tr w:rsidR="00953398" w14:paraId="0B06461C" w14:textId="77777777" w:rsidTr="00FF1C69">
        <w:trPr>
          <w:trHeight w:val="230"/>
        </w:trPr>
        <w:tc>
          <w:tcPr>
            <w:tcW w:w="989" w:type="dxa"/>
          </w:tcPr>
          <w:p w14:paraId="6263961A" w14:textId="77777777" w:rsidR="00953398" w:rsidRDefault="00953398" w:rsidP="00CD363C">
            <w:pPr>
              <w:pStyle w:val="TableParagraph"/>
              <w:ind w:right="407"/>
              <w:jc w:val="both"/>
              <w:rPr>
                <w:sz w:val="20"/>
              </w:rPr>
            </w:pPr>
            <w:r>
              <w:rPr>
                <w:sz w:val="20"/>
              </w:rPr>
              <w:t>2019</w:t>
            </w:r>
          </w:p>
        </w:tc>
        <w:tc>
          <w:tcPr>
            <w:tcW w:w="1558" w:type="dxa"/>
          </w:tcPr>
          <w:p w14:paraId="21825BB5" w14:textId="77777777" w:rsidR="00953398" w:rsidRDefault="00953398" w:rsidP="00CD363C">
            <w:pPr>
              <w:pStyle w:val="TableParagraph"/>
              <w:ind w:right="407"/>
              <w:jc w:val="both"/>
              <w:rPr>
                <w:sz w:val="20"/>
              </w:rPr>
            </w:pPr>
            <w:r>
              <w:rPr>
                <w:w w:val="99"/>
                <w:sz w:val="20"/>
              </w:rPr>
              <w:t>-</w:t>
            </w:r>
          </w:p>
        </w:tc>
        <w:tc>
          <w:tcPr>
            <w:tcW w:w="1843" w:type="dxa"/>
          </w:tcPr>
          <w:p w14:paraId="2104F6B0" w14:textId="77777777" w:rsidR="00953398" w:rsidRDefault="00953398" w:rsidP="00CD363C">
            <w:pPr>
              <w:pStyle w:val="TableParagraph"/>
              <w:ind w:right="407"/>
              <w:jc w:val="both"/>
              <w:rPr>
                <w:sz w:val="20"/>
              </w:rPr>
            </w:pPr>
            <w:r>
              <w:rPr>
                <w:sz w:val="20"/>
              </w:rPr>
              <w:t>0,00</w:t>
            </w:r>
          </w:p>
        </w:tc>
        <w:tc>
          <w:tcPr>
            <w:tcW w:w="1985" w:type="dxa"/>
          </w:tcPr>
          <w:p w14:paraId="56787FCC" w14:textId="77777777" w:rsidR="00953398" w:rsidRDefault="00953398" w:rsidP="00CD363C">
            <w:pPr>
              <w:pStyle w:val="TableParagraph"/>
              <w:ind w:right="407"/>
              <w:jc w:val="both"/>
              <w:rPr>
                <w:sz w:val="20"/>
              </w:rPr>
            </w:pPr>
            <w:r>
              <w:rPr>
                <w:sz w:val="20"/>
              </w:rPr>
              <w:t>0,960</w:t>
            </w:r>
          </w:p>
        </w:tc>
        <w:tc>
          <w:tcPr>
            <w:tcW w:w="3120" w:type="dxa"/>
          </w:tcPr>
          <w:p w14:paraId="67CBA859" w14:textId="77777777" w:rsidR="00953398" w:rsidRDefault="00953398" w:rsidP="00CD363C">
            <w:pPr>
              <w:pStyle w:val="TableParagraph"/>
              <w:ind w:right="407"/>
              <w:jc w:val="both"/>
              <w:rPr>
                <w:sz w:val="20"/>
              </w:rPr>
            </w:pPr>
            <w:r>
              <w:rPr>
                <w:sz w:val="20"/>
              </w:rPr>
              <w:t>0,00</w:t>
            </w:r>
          </w:p>
        </w:tc>
      </w:tr>
      <w:tr w:rsidR="00953398" w14:paraId="558EB50D" w14:textId="77777777" w:rsidTr="00FF1C69">
        <w:trPr>
          <w:trHeight w:val="230"/>
        </w:trPr>
        <w:tc>
          <w:tcPr>
            <w:tcW w:w="989" w:type="dxa"/>
          </w:tcPr>
          <w:p w14:paraId="0ABC699B" w14:textId="77777777" w:rsidR="00953398" w:rsidRDefault="00953398" w:rsidP="00CD363C">
            <w:pPr>
              <w:pStyle w:val="TableParagraph"/>
              <w:ind w:right="407"/>
              <w:jc w:val="both"/>
              <w:rPr>
                <w:sz w:val="20"/>
              </w:rPr>
            </w:pPr>
            <w:r>
              <w:rPr>
                <w:sz w:val="20"/>
              </w:rPr>
              <w:t>2020</w:t>
            </w:r>
          </w:p>
        </w:tc>
        <w:tc>
          <w:tcPr>
            <w:tcW w:w="1558" w:type="dxa"/>
          </w:tcPr>
          <w:p w14:paraId="792C1315" w14:textId="77777777" w:rsidR="00953398" w:rsidRDefault="00953398" w:rsidP="00CD363C">
            <w:pPr>
              <w:pStyle w:val="TableParagraph"/>
              <w:ind w:right="407"/>
              <w:jc w:val="both"/>
              <w:rPr>
                <w:sz w:val="20"/>
              </w:rPr>
            </w:pPr>
            <w:r>
              <w:rPr>
                <w:w w:val="99"/>
                <w:sz w:val="20"/>
              </w:rPr>
              <w:t>-</w:t>
            </w:r>
          </w:p>
        </w:tc>
        <w:tc>
          <w:tcPr>
            <w:tcW w:w="1843" w:type="dxa"/>
          </w:tcPr>
          <w:p w14:paraId="2AE4FA2D" w14:textId="77777777" w:rsidR="00953398" w:rsidRDefault="00953398" w:rsidP="00CD363C">
            <w:pPr>
              <w:pStyle w:val="TableParagraph"/>
              <w:ind w:right="407"/>
              <w:jc w:val="both"/>
              <w:rPr>
                <w:sz w:val="20"/>
              </w:rPr>
            </w:pPr>
            <w:r>
              <w:rPr>
                <w:sz w:val="20"/>
              </w:rPr>
              <w:t>0,00</w:t>
            </w:r>
          </w:p>
        </w:tc>
        <w:tc>
          <w:tcPr>
            <w:tcW w:w="1985" w:type="dxa"/>
          </w:tcPr>
          <w:p w14:paraId="2D5E5967" w14:textId="77777777" w:rsidR="00953398" w:rsidRDefault="00953398" w:rsidP="00CD363C">
            <w:pPr>
              <w:pStyle w:val="TableParagraph"/>
              <w:ind w:right="407"/>
              <w:jc w:val="both"/>
              <w:rPr>
                <w:sz w:val="20"/>
              </w:rPr>
            </w:pPr>
            <w:r>
              <w:rPr>
                <w:sz w:val="20"/>
              </w:rPr>
              <w:t>0,925</w:t>
            </w:r>
          </w:p>
        </w:tc>
        <w:tc>
          <w:tcPr>
            <w:tcW w:w="3120" w:type="dxa"/>
          </w:tcPr>
          <w:p w14:paraId="1798A215" w14:textId="77777777" w:rsidR="00953398" w:rsidRDefault="00953398" w:rsidP="00CD363C">
            <w:pPr>
              <w:pStyle w:val="TableParagraph"/>
              <w:ind w:right="407"/>
              <w:jc w:val="both"/>
              <w:rPr>
                <w:sz w:val="20"/>
              </w:rPr>
            </w:pPr>
            <w:r>
              <w:rPr>
                <w:sz w:val="20"/>
              </w:rPr>
              <w:t>0,00</w:t>
            </w:r>
          </w:p>
        </w:tc>
      </w:tr>
      <w:tr w:rsidR="00953398" w14:paraId="096AF9E7" w14:textId="77777777" w:rsidTr="00FF1C69">
        <w:trPr>
          <w:trHeight w:val="229"/>
        </w:trPr>
        <w:tc>
          <w:tcPr>
            <w:tcW w:w="989" w:type="dxa"/>
          </w:tcPr>
          <w:p w14:paraId="5EC4A11E" w14:textId="77777777" w:rsidR="00953398" w:rsidRDefault="00953398" w:rsidP="00CD363C">
            <w:pPr>
              <w:pStyle w:val="TableParagraph"/>
              <w:ind w:right="407"/>
              <w:jc w:val="both"/>
              <w:rPr>
                <w:sz w:val="20"/>
              </w:rPr>
            </w:pPr>
            <w:r>
              <w:rPr>
                <w:sz w:val="20"/>
              </w:rPr>
              <w:t>2021</w:t>
            </w:r>
          </w:p>
        </w:tc>
        <w:tc>
          <w:tcPr>
            <w:tcW w:w="1558" w:type="dxa"/>
          </w:tcPr>
          <w:p w14:paraId="3865DD3B" w14:textId="77777777" w:rsidR="00953398" w:rsidRDefault="00953398" w:rsidP="00CD363C">
            <w:pPr>
              <w:pStyle w:val="TableParagraph"/>
              <w:ind w:right="407"/>
              <w:jc w:val="both"/>
              <w:rPr>
                <w:sz w:val="20"/>
              </w:rPr>
            </w:pPr>
            <w:r>
              <w:rPr>
                <w:sz w:val="20"/>
              </w:rPr>
              <w:t>100%</w:t>
            </w:r>
          </w:p>
        </w:tc>
        <w:tc>
          <w:tcPr>
            <w:tcW w:w="1843" w:type="dxa"/>
          </w:tcPr>
          <w:p w14:paraId="36E4F866" w14:textId="77777777" w:rsidR="00953398" w:rsidRDefault="00953398" w:rsidP="00CD363C">
            <w:pPr>
              <w:pStyle w:val="TableParagraph"/>
              <w:ind w:right="407"/>
              <w:jc w:val="both"/>
              <w:rPr>
                <w:sz w:val="20"/>
              </w:rPr>
            </w:pPr>
            <w:r>
              <w:rPr>
                <w:sz w:val="20"/>
              </w:rPr>
              <w:t>100 000,00</w:t>
            </w:r>
          </w:p>
        </w:tc>
        <w:tc>
          <w:tcPr>
            <w:tcW w:w="1985" w:type="dxa"/>
          </w:tcPr>
          <w:p w14:paraId="091A4457" w14:textId="77777777" w:rsidR="00953398" w:rsidRDefault="00953398" w:rsidP="00CD363C">
            <w:pPr>
              <w:pStyle w:val="TableParagraph"/>
              <w:ind w:right="407"/>
              <w:jc w:val="both"/>
              <w:rPr>
                <w:sz w:val="20"/>
              </w:rPr>
            </w:pPr>
            <w:r>
              <w:rPr>
                <w:sz w:val="20"/>
              </w:rPr>
              <w:t>0,889</w:t>
            </w:r>
          </w:p>
        </w:tc>
        <w:tc>
          <w:tcPr>
            <w:tcW w:w="3120" w:type="dxa"/>
          </w:tcPr>
          <w:p w14:paraId="4FBC6491" w14:textId="77777777" w:rsidR="00953398" w:rsidRDefault="00953398" w:rsidP="00CD363C">
            <w:pPr>
              <w:pStyle w:val="TableParagraph"/>
              <w:ind w:right="407"/>
              <w:jc w:val="both"/>
              <w:rPr>
                <w:sz w:val="20"/>
              </w:rPr>
            </w:pPr>
            <w:r>
              <w:rPr>
                <w:sz w:val="20"/>
              </w:rPr>
              <w:t>88 899,64</w:t>
            </w:r>
          </w:p>
        </w:tc>
      </w:tr>
      <w:tr w:rsidR="00953398" w14:paraId="7B9120F8" w14:textId="77777777" w:rsidTr="00FF1C69">
        <w:trPr>
          <w:trHeight w:val="230"/>
        </w:trPr>
        <w:tc>
          <w:tcPr>
            <w:tcW w:w="989" w:type="dxa"/>
          </w:tcPr>
          <w:p w14:paraId="6801C39F" w14:textId="77777777" w:rsidR="00953398" w:rsidRDefault="00953398" w:rsidP="00CD363C">
            <w:pPr>
              <w:pStyle w:val="TableParagraph"/>
              <w:ind w:right="407"/>
              <w:jc w:val="both"/>
              <w:rPr>
                <w:b/>
                <w:sz w:val="20"/>
              </w:rPr>
            </w:pPr>
            <w:r>
              <w:rPr>
                <w:b/>
                <w:sz w:val="20"/>
              </w:rPr>
              <w:t>Kopā</w:t>
            </w:r>
          </w:p>
        </w:tc>
        <w:tc>
          <w:tcPr>
            <w:tcW w:w="1558" w:type="dxa"/>
          </w:tcPr>
          <w:p w14:paraId="26BA8726" w14:textId="77777777" w:rsidR="00953398" w:rsidRDefault="00953398" w:rsidP="00CD363C">
            <w:pPr>
              <w:pStyle w:val="TableParagraph"/>
              <w:ind w:right="407"/>
              <w:jc w:val="both"/>
              <w:rPr>
                <w:b/>
                <w:sz w:val="20"/>
              </w:rPr>
            </w:pPr>
            <w:r>
              <w:rPr>
                <w:b/>
                <w:w w:val="99"/>
                <w:sz w:val="20"/>
              </w:rPr>
              <w:t>-</w:t>
            </w:r>
          </w:p>
        </w:tc>
        <w:tc>
          <w:tcPr>
            <w:tcW w:w="1843" w:type="dxa"/>
          </w:tcPr>
          <w:p w14:paraId="5CDF9538" w14:textId="77777777" w:rsidR="00953398" w:rsidRDefault="00953398" w:rsidP="00CD363C">
            <w:pPr>
              <w:pStyle w:val="TableParagraph"/>
              <w:ind w:right="407"/>
              <w:jc w:val="both"/>
              <w:rPr>
                <w:b/>
                <w:sz w:val="20"/>
              </w:rPr>
            </w:pPr>
            <w:r>
              <w:rPr>
                <w:b/>
                <w:w w:val="99"/>
                <w:sz w:val="20"/>
              </w:rPr>
              <w:t>-</w:t>
            </w:r>
          </w:p>
        </w:tc>
        <w:tc>
          <w:tcPr>
            <w:tcW w:w="1985" w:type="dxa"/>
          </w:tcPr>
          <w:p w14:paraId="086C6C13" w14:textId="77777777" w:rsidR="00953398" w:rsidRDefault="00953398" w:rsidP="00CD363C">
            <w:pPr>
              <w:pStyle w:val="TableParagraph"/>
              <w:ind w:right="407"/>
              <w:jc w:val="both"/>
              <w:rPr>
                <w:b/>
                <w:sz w:val="20"/>
              </w:rPr>
            </w:pPr>
            <w:r>
              <w:rPr>
                <w:b/>
                <w:w w:val="99"/>
                <w:sz w:val="20"/>
              </w:rPr>
              <w:t>-</w:t>
            </w:r>
          </w:p>
        </w:tc>
        <w:tc>
          <w:tcPr>
            <w:tcW w:w="3120" w:type="dxa"/>
          </w:tcPr>
          <w:p w14:paraId="427AC981" w14:textId="77777777" w:rsidR="00953398" w:rsidRDefault="00953398" w:rsidP="00CD363C">
            <w:pPr>
              <w:pStyle w:val="TableParagraph"/>
              <w:ind w:right="407"/>
              <w:jc w:val="both"/>
              <w:rPr>
                <w:b/>
                <w:sz w:val="20"/>
              </w:rPr>
            </w:pPr>
            <w:r>
              <w:rPr>
                <w:b/>
                <w:sz w:val="20"/>
              </w:rPr>
              <w:t>88 899,64</w:t>
            </w:r>
          </w:p>
        </w:tc>
      </w:tr>
    </w:tbl>
    <w:p w14:paraId="09AAB266" w14:textId="77777777" w:rsidR="00953398" w:rsidRDefault="00953398" w:rsidP="00CD363C">
      <w:pPr>
        <w:spacing w:after="0" w:line="240" w:lineRule="auto"/>
        <w:ind w:left="338" w:right="407"/>
        <w:jc w:val="both"/>
        <w:rPr>
          <w:i/>
          <w:sz w:val="20"/>
        </w:rPr>
      </w:pPr>
      <w:r>
        <w:rPr>
          <w:i/>
          <w:sz w:val="20"/>
        </w:rPr>
        <w:t>*diskonta faktors tiek aprēķināts saskaņā ar sekojošu formulu:</w:t>
      </w:r>
    </w:p>
    <w:p w14:paraId="748AA089" w14:textId="77777777" w:rsidR="00953398" w:rsidRDefault="00953398" w:rsidP="00CD363C">
      <w:pPr>
        <w:pStyle w:val="Virsraksts5"/>
        <w:ind w:left="522" w:right="407"/>
        <w:jc w:val="both"/>
        <w:rPr>
          <w:rFonts w:ascii="DejaVu Serif"/>
        </w:rPr>
      </w:pPr>
      <w:r>
        <w:rPr>
          <w:rFonts w:ascii="DejaVu Serif"/>
          <w:w w:val="87"/>
        </w:rPr>
        <w:t>1</w:t>
      </w:r>
    </w:p>
    <w:p w14:paraId="053D8B6E" w14:textId="77777777" w:rsidR="00953398" w:rsidRDefault="00870ECE" w:rsidP="00CD363C">
      <w:pPr>
        <w:spacing w:after="0" w:line="240" w:lineRule="auto"/>
        <w:ind w:left="605" w:right="407"/>
        <w:jc w:val="both"/>
        <w:rPr>
          <w:rFonts w:ascii="DejaVu Serif" w:eastAsia="DejaVu Serif"/>
          <w:sz w:val="24"/>
        </w:rPr>
      </w:pPr>
      <w:r>
        <w:rPr>
          <w:noProof/>
        </w:rPr>
        <mc:AlternateContent>
          <mc:Choice Requires="wps">
            <w:drawing>
              <wp:anchor distT="0" distB="0" distL="114300" distR="114300" simplePos="0" relativeHeight="251698176" behindDoc="0" locked="0" layoutInCell="1" allowOverlap="1" wp14:anchorId="1011FB3E" wp14:editId="1CE036F8">
                <wp:simplePos x="0" y="0"/>
                <wp:positionH relativeFrom="page">
                  <wp:posOffset>3851910</wp:posOffset>
                </wp:positionH>
                <wp:positionV relativeFrom="paragraph">
                  <wp:posOffset>67310</wp:posOffset>
                </wp:positionV>
                <wp:extent cx="558165" cy="0"/>
                <wp:effectExtent l="13335" t="6350" r="9525" b="12700"/>
                <wp:wrapNone/>
                <wp:docPr id="50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338C3" id="Line 140"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3pt,5.3pt" to="347.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" strokeweight=".84pt">
                <w10:wrap anchorx="page"/>
              </v:line>
            </w:pict>
          </mc:Fallback>
        </mc:AlternateContent>
      </w:r>
      <w:r w:rsidR="00953398">
        <w:rPr>
          <w:rFonts w:ascii="DejaVu Serif" w:eastAsia="DejaVu Serif"/>
          <w:sz w:val="24"/>
        </w:rPr>
        <w:t>𝑑𝑓 =</w:t>
      </w:r>
    </w:p>
    <w:p w14:paraId="251A9E8E" w14:textId="77777777" w:rsidR="00953398" w:rsidRDefault="00953398" w:rsidP="00CD363C">
      <w:pPr>
        <w:spacing w:after="0" w:line="240" w:lineRule="auto"/>
        <w:ind w:left="605" w:right="407"/>
        <w:jc w:val="both"/>
        <w:rPr>
          <w:rFonts w:ascii="DejaVu Serif" w:eastAsia="DejaVu Serif"/>
          <w:sz w:val="17"/>
        </w:rPr>
      </w:pPr>
      <w:r>
        <w:rPr>
          <w:rFonts w:ascii="DejaVu Serif" w:eastAsia="DejaVu Serif"/>
          <w:sz w:val="24"/>
        </w:rPr>
        <w:t>(1 + 𝑝)</w:t>
      </w:r>
      <w:r>
        <w:rPr>
          <w:rFonts w:ascii="DejaVu Serif" w:eastAsia="DejaVu Serif"/>
          <w:position w:val="7"/>
          <w:sz w:val="17"/>
        </w:rPr>
        <w:t>𝑛</w:t>
      </w:r>
    </w:p>
    <w:p w14:paraId="09416BC8" w14:textId="77777777" w:rsidR="00953398" w:rsidRDefault="00953398" w:rsidP="00CD363C">
      <w:pPr>
        <w:spacing w:after="0" w:line="240" w:lineRule="auto"/>
        <w:ind w:left="338" w:right="407"/>
        <w:jc w:val="both"/>
        <w:rPr>
          <w:i/>
        </w:rPr>
      </w:pPr>
      <w:r>
        <w:rPr>
          <w:i/>
        </w:rPr>
        <w:t>kur:</w:t>
      </w:r>
    </w:p>
    <w:p w14:paraId="2DD081FE" w14:textId="77777777" w:rsidR="00953398" w:rsidRDefault="00953398" w:rsidP="00CD363C">
      <w:pPr>
        <w:spacing w:after="0" w:line="240" w:lineRule="auto"/>
        <w:ind w:left="338" w:right="407"/>
        <w:jc w:val="both"/>
        <w:rPr>
          <w:i/>
        </w:rPr>
      </w:pPr>
      <w:r>
        <w:rPr>
          <w:i/>
        </w:rPr>
        <w:t>df = diskonta faktors;</w:t>
      </w:r>
    </w:p>
    <w:p w14:paraId="3317B8CD" w14:textId="77777777" w:rsidR="00953398" w:rsidRDefault="00953398" w:rsidP="00CD363C">
      <w:pPr>
        <w:spacing w:after="0" w:line="240" w:lineRule="auto"/>
        <w:ind w:left="338" w:right="407"/>
        <w:jc w:val="both"/>
        <w:rPr>
          <w:i/>
        </w:rPr>
      </w:pPr>
      <w:r>
        <w:rPr>
          <w:i/>
        </w:rPr>
        <w:t>p = diskonta koeficients (piemērā koeficients ir 0,04 pie procentu likmes 4%); n = gads, kurā tiek veikts maksājums, attiecībā pret bāzes gadu.</w:t>
      </w:r>
    </w:p>
    <w:p w14:paraId="30196DE9" w14:textId="77777777" w:rsidR="00953398" w:rsidRDefault="00953398" w:rsidP="00CD363C">
      <w:pPr>
        <w:pStyle w:val="Sarakstarindkopa"/>
        <w:widowControl w:val="0"/>
        <w:numPr>
          <w:ilvl w:val="0"/>
          <w:numId w:val="58"/>
        </w:numPr>
        <w:tabs>
          <w:tab w:val="left" w:pos="671"/>
        </w:tabs>
        <w:autoSpaceDE w:val="0"/>
        <w:autoSpaceDN w:val="0"/>
        <w:spacing w:after="0" w:line="240" w:lineRule="auto"/>
        <w:ind w:right="407" w:firstLine="0"/>
        <w:contextualSpacing w:val="0"/>
        <w:jc w:val="both"/>
      </w:pPr>
      <w:r>
        <w:t>tabulā ir attēlots aizdevuma uzskaites vērtības un procentu aprēķins, izmantojot efektīvo procentu likmi, kas ir atbilstoša vidējai tirgus likmei</w:t>
      </w:r>
      <w:r>
        <w:rPr>
          <w:spacing w:val="-2"/>
        </w:rPr>
        <w:t xml:space="preserve"> </w:t>
      </w:r>
      <w:r>
        <w:t>4%.</w:t>
      </w:r>
    </w:p>
    <w:p w14:paraId="5A9A4A87" w14:textId="77777777" w:rsidR="00953398" w:rsidRDefault="00953398" w:rsidP="00CD363C">
      <w:pPr>
        <w:spacing w:after="0" w:line="240" w:lineRule="auto"/>
        <w:ind w:left="3937" w:right="407"/>
        <w:jc w:val="both"/>
        <w:rPr>
          <w:i/>
          <w:sz w:val="20"/>
        </w:rPr>
      </w:pPr>
      <w:r>
        <w:rPr>
          <w:i/>
          <w:sz w:val="20"/>
        </w:rPr>
        <w:t>15.tabula. Bezprocentu aizdevuma uzskaites vērtības un procentu 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55"/>
        <w:gridCol w:w="1764"/>
        <w:gridCol w:w="1658"/>
        <w:gridCol w:w="1821"/>
        <w:gridCol w:w="2694"/>
      </w:tblGrid>
      <w:tr w:rsidR="00953398" w14:paraId="56F53708" w14:textId="77777777" w:rsidTr="00FF1C69">
        <w:trPr>
          <w:trHeight w:val="690"/>
        </w:trPr>
        <w:tc>
          <w:tcPr>
            <w:tcW w:w="1555" w:type="dxa"/>
            <w:shd w:val="clear" w:color="auto" w:fill="F1F1F1"/>
          </w:tcPr>
          <w:p w14:paraId="6C29F070" w14:textId="77777777" w:rsidR="00953398" w:rsidRDefault="00953398" w:rsidP="00CD363C">
            <w:pPr>
              <w:pStyle w:val="TableParagraph"/>
              <w:ind w:right="407"/>
              <w:jc w:val="both"/>
              <w:rPr>
                <w:i/>
                <w:sz w:val="20"/>
              </w:rPr>
            </w:pPr>
          </w:p>
          <w:p w14:paraId="1FF9D8E6" w14:textId="77777777" w:rsidR="00953398" w:rsidRDefault="00953398" w:rsidP="00CD363C">
            <w:pPr>
              <w:pStyle w:val="TableParagraph"/>
              <w:ind w:left="494" w:right="407"/>
              <w:jc w:val="both"/>
              <w:rPr>
                <w:b/>
                <w:sz w:val="20"/>
              </w:rPr>
            </w:pPr>
            <w:r>
              <w:rPr>
                <w:b/>
                <w:sz w:val="20"/>
              </w:rPr>
              <w:t>Gads</w:t>
            </w:r>
          </w:p>
        </w:tc>
        <w:tc>
          <w:tcPr>
            <w:tcW w:w="1764" w:type="dxa"/>
            <w:shd w:val="clear" w:color="auto" w:fill="F1F1F1"/>
          </w:tcPr>
          <w:p w14:paraId="4F02ABB9" w14:textId="77777777" w:rsidR="00953398" w:rsidRDefault="00953398" w:rsidP="00CD363C">
            <w:pPr>
              <w:pStyle w:val="TableParagraph"/>
              <w:ind w:left="117" w:right="407"/>
              <w:jc w:val="both"/>
              <w:rPr>
                <w:b/>
                <w:sz w:val="20"/>
              </w:rPr>
            </w:pPr>
            <w:r>
              <w:rPr>
                <w:b/>
                <w:sz w:val="20"/>
              </w:rPr>
              <w:t>Uzskaites vērtība perioda sākumā, EUR</w:t>
            </w:r>
          </w:p>
        </w:tc>
        <w:tc>
          <w:tcPr>
            <w:tcW w:w="1658" w:type="dxa"/>
            <w:shd w:val="clear" w:color="auto" w:fill="F1F1F1"/>
          </w:tcPr>
          <w:p w14:paraId="3482AC94" w14:textId="77777777" w:rsidR="00953398" w:rsidRDefault="00953398" w:rsidP="00CD363C">
            <w:pPr>
              <w:pStyle w:val="TableParagraph"/>
              <w:ind w:left="180" w:right="407" w:firstLine="108"/>
              <w:jc w:val="both"/>
              <w:rPr>
                <w:b/>
                <w:sz w:val="20"/>
              </w:rPr>
            </w:pPr>
            <w:r>
              <w:rPr>
                <w:b/>
                <w:sz w:val="20"/>
              </w:rPr>
              <w:t>Aprēķinātie procenti, EUR</w:t>
            </w:r>
          </w:p>
        </w:tc>
        <w:tc>
          <w:tcPr>
            <w:tcW w:w="1821" w:type="dxa"/>
            <w:shd w:val="clear" w:color="auto" w:fill="F1F1F1"/>
          </w:tcPr>
          <w:p w14:paraId="1423717A" w14:textId="77777777" w:rsidR="00953398" w:rsidRDefault="00953398" w:rsidP="00CD363C">
            <w:pPr>
              <w:pStyle w:val="TableParagraph"/>
              <w:ind w:left="186" w:right="407" w:hanging="1"/>
              <w:jc w:val="both"/>
              <w:rPr>
                <w:b/>
                <w:sz w:val="20"/>
              </w:rPr>
            </w:pPr>
            <w:r>
              <w:rPr>
                <w:b/>
                <w:sz w:val="20"/>
              </w:rPr>
              <w:t>Samaksa (pamatsumma</w:t>
            </w:r>
            <w:r>
              <w:rPr>
                <w:b/>
                <w:spacing w:val="-7"/>
                <w:sz w:val="20"/>
              </w:rPr>
              <w:t xml:space="preserve"> </w:t>
            </w:r>
            <w:r>
              <w:rPr>
                <w:b/>
                <w:sz w:val="20"/>
              </w:rPr>
              <w:t>+ procenti),</w:t>
            </w:r>
            <w:r>
              <w:rPr>
                <w:b/>
                <w:spacing w:val="-3"/>
                <w:sz w:val="20"/>
              </w:rPr>
              <w:t xml:space="preserve"> </w:t>
            </w:r>
            <w:r>
              <w:rPr>
                <w:b/>
                <w:sz w:val="20"/>
              </w:rPr>
              <w:t>EUR</w:t>
            </w:r>
          </w:p>
        </w:tc>
        <w:tc>
          <w:tcPr>
            <w:tcW w:w="2694" w:type="dxa"/>
            <w:shd w:val="clear" w:color="auto" w:fill="F1F1F1"/>
          </w:tcPr>
          <w:p w14:paraId="2EC50247" w14:textId="77777777" w:rsidR="00953398" w:rsidRDefault="00953398" w:rsidP="00CD363C">
            <w:pPr>
              <w:pStyle w:val="TableParagraph"/>
              <w:ind w:left="792" w:right="407" w:hanging="560"/>
              <w:jc w:val="both"/>
              <w:rPr>
                <w:b/>
                <w:sz w:val="20"/>
              </w:rPr>
            </w:pPr>
            <w:r>
              <w:rPr>
                <w:b/>
                <w:sz w:val="20"/>
              </w:rPr>
              <w:t>Uzskaites vērtība perioda beigās, EUR</w:t>
            </w:r>
          </w:p>
        </w:tc>
      </w:tr>
      <w:tr w:rsidR="00953398" w14:paraId="0D7FF5B4" w14:textId="77777777" w:rsidTr="00FF1C69">
        <w:trPr>
          <w:trHeight w:val="230"/>
        </w:trPr>
        <w:tc>
          <w:tcPr>
            <w:tcW w:w="1555" w:type="dxa"/>
            <w:shd w:val="clear" w:color="auto" w:fill="F1F1F1"/>
          </w:tcPr>
          <w:p w14:paraId="184D1490" w14:textId="77777777" w:rsidR="00953398" w:rsidRDefault="00953398" w:rsidP="00CD363C">
            <w:pPr>
              <w:pStyle w:val="TableParagraph"/>
              <w:ind w:right="407"/>
              <w:jc w:val="both"/>
              <w:rPr>
                <w:b/>
                <w:i/>
                <w:sz w:val="20"/>
              </w:rPr>
            </w:pPr>
            <w:r>
              <w:rPr>
                <w:b/>
                <w:i/>
                <w:w w:val="99"/>
                <w:sz w:val="20"/>
              </w:rPr>
              <w:t>A</w:t>
            </w:r>
          </w:p>
        </w:tc>
        <w:tc>
          <w:tcPr>
            <w:tcW w:w="1764" w:type="dxa"/>
            <w:shd w:val="clear" w:color="auto" w:fill="F1F1F1"/>
          </w:tcPr>
          <w:p w14:paraId="601A85F1" w14:textId="77777777" w:rsidR="00953398" w:rsidRDefault="00953398" w:rsidP="00CD363C">
            <w:pPr>
              <w:pStyle w:val="TableParagraph"/>
              <w:ind w:right="407"/>
              <w:jc w:val="both"/>
              <w:rPr>
                <w:b/>
                <w:i/>
                <w:sz w:val="20"/>
              </w:rPr>
            </w:pPr>
            <w:r>
              <w:rPr>
                <w:b/>
                <w:i/>
                <w:w w:val="99"/>
                <w:sz w:val="20"/>
              </w:rPr>
              <w:t>B</w:t>
            </w:r>
          </w:p>
        </w:tc>
        <w:tc>
          <w:tcPr>
            <w:tcW w:w="1658" w:type="dxa"/>
            <w:shd w:val="clear" w:color="auto" w:fill="F1F1F1"/>
          </w:tcPr>
          <w:p w14:paraId="74916024" w14:textId="77777777" w:rsidR="00953398" w:rsidRDefault="00953398" w:rsidP="00CD363C">
            <w:pPr>
              <w:pStyle w:val="TableParagraph"/>
              <w:ind w:right="407"/>
              <w:jc w:val="both"/>
              <w:rPr>
                <w:b/>
                <w:i/>
                <w:sz w:val="20"/>
              </w:rPr>
            </w:pPr>
            <w:r>
              <w:rPr>
                <w:b/>
                <w:i/>
                <w:w w:val="99"/>
                <w:sz w:val="20"/>
              </w:rPr>
              <w:t>C</w:t>
            </w:r>
          </w:p>
        </w:tc>
        <w:tc>
          <w:tcPr>
            <w:tcW w:w="1821" w:type="dxa"/>
            <w:shd w:val="clear" w:color="auto" w:fill="F1F1F1"/>
          </w:tcPr>
          <w:p w14:paraId="08222D02" w14:textId="77777777" w:rsidR="00953398" w:rsidRDefault="00953398" w:rsidP="00CD363C">
            <w:pPr>
              <w:pStyle w:val="TableParagraph"/>
              <w:ind w:right="407"/>
              <w:jc w:val="both"/>
              <w:rPr>
                <w:b/>
                <w:i/>
                <w:sz w:val="20"/>
              </w:rPr>
            </w:pPr>
            <w:r>
              <w:rPr>
                <w:b/>
                <w:i/>
                <w:w w:val="99"/>
                <w:sz w:val="20"/>
              </w:rPr>
              <w:t>D</w:t>
            </w:r>
          </w:p>
        </w:tc>
        <w:tc>
          <w:tcPr>
            <w:tcW w:w="2694" w:type="dxa"/>
            <w:shd w:val="clear" w:color="auto" w:fill="F1F1F1"/>
          </w:tcPr>
          <w:p w14:paraId="222556CF" w14:textId="77777777" w:rsidR="00953398" w:rsidRDefault="00953398" w:rsidP="00CD363C">
            <w:pPr>
              <w:pStyle w:val="TableParagraph"/>
              <w:ind w:left="937" w:right="407"/>
              <w:jc w:val="both"/>
              <w:rPr>
                <w:b/>
                <w:i/>
                <w:sz w:val="20"/>
              </w:rPr>
            </w:pPr>
            <w:r>
              <w:rPr>
                <w:b/>
                <w:i/>
                <w:sz w:val="20"/>
              </w:rPr>
              <w:t>E = B+C</w:t>
            </w:r>
          </w:p>
        </w:tc>
      </w:tr>
      <w:tr w:rsidR="00953398" w14:paraId="21A73668" w14:textId="77777777" w:rsidTr="00FF1C69">
        <w:trPr>
          <w:trHeight w:val="230"/>
        </w:trPr>
        <w:tc>
          <w:tcPr>
            <w:tcW w:w="1555" w:type="dxa"/>
          </w:tcPr>
          <w:p w14:paraId="0101BE34" w14:textId="77777777" w:rsidR="00953398" w:rsidRDefault="00953398" w:rsidP="00CD363C">
            <w:pPr>
              <w:pStyle w:val="TableParagraph"/>
              <w:ind w:left="494" w:right="407"/>
              <w:jc w:val="both"/>
              <w:rPr>
                <w:sz w:val="20"/>
              </w:rPr>
            </w:pPr>
            <w:r>
              <w:rPr>
                <w:sz w:val="20"/>
              </w:rPr>
              <w:t>2019</w:t>
            </w:r>
          </w:p>
        </w:tc>
        <w:tc>
          <w:tcPr>
            <w:tcW w:w="1764" w:type="dxa"/>
          </w:tcPr>
          <w:p w14:paraId="3AEA9321" w14:textId="77777777" w:rsidR="00953398" w:rsidRDefault="00953398" w:rsidP="00CD363C">
            <w:pPr>
              <w:pStyle w:val="TableParagraph"/>
              <w:ind w:right="407"/>
              <w:jc w:val="both"/>
              <w:rPr>
                <w:sz w:val="20"/>
              </w:rPr>
            </w:pPr>
            <w:r>
              <w:rPr>
                <w:sz w:val="20"/>
              </w:rPr>
              <w:t>88 899,64</w:t>
            </w:r>
          </w:p>
        </w:tc>
        <w:tc>
          <w:tcPr>
            <w:tcW w:w="1658" w:type="dxa"/>
          </w:tcPr>
          <w:p w14:paraId="541B2258" w14:textId="77777777" w:rsidR="00953398" w:rsidRDefault="00953398" w:rsidP="00CD363C">
            <w:pPr>
              <w:pStyle w:val="TableParagraph"/>
              <w:ind w:right="407"/>
              <w:jc w:val="both"/>
              <w:rPr>
                <w:sz w:val="20"/>
              </w:rPr>
            </w:pPr>
            <w:r>
              <w:rPr>
                <w:sz w:val="20"/>
              </w:rPr>
              <w:t>3 555,99</w:t>
            </w:r>
          </w:p>
        </w:tc>
        <w:tc>
          <w:tcPr>
            <w:tcW w:w="1821" w:type="dxa"/>
          </w:tcPr>
          <w:p w14:paraId="3001689B" w14:textId="77777777" w:rsidR="00953398" w:rsidRDefault="00953398" w:rsidP="00CD363C">
            <w:pPr>
              <w:pStyle w:val="TableParagraph"/>
              <w:ind w:right="407"/>
              <w:jc w:val="both"/>
              <w:rPr>
                <w:sz w:val="20"/>
              </w:rPr>
            </w:pPr>
            <w:r>
              <w:rPr>
                <w:sz w:val="20"/>
              </w:rPr>
              <w:t>0,00</w:t>
            </w:r>
          </w:p>
        </w:tc>
        <w:tc>
          <w:tcPr>
            <w:tcW w:w="2694" w:type="dxa"/>
          </w:tcPr>
          <w:p w14:paraId="4116C598" w14:textId="77777777" w:rsidR="00953398" w:rsidRDefault="00953398" w:rsidP="00CD363C">
            <w:pPr>
              <w:pStyle w:val="TableParagraph"/>
              <w:ind w:right="407"/>
              <w:jc w:val="both"/>
              <w:rPr>
                <w:sz w:val="20"/>
              </w:rPr>
            </w:pPr>
            <w:r>
              <w:rPr>
                <w:sz w:val="20"/>
              </w:rPr>
              <w:t>92 455,63</w:t>
            </w:r>
          </w:p>
        </w:tc>
      </w:tr>
      <w:tr w:rsidR="00953398" w14:paraId="2651A4AC" w14:textId="77777777" w:rsidTr="00FF1C69">
        <w:trPr>
          <w:trHeight w:val="230"/>
        </w:trPr>
        <w:tc>
          <w:tcPr>
            <w:tcW w:w="1555" w:type="dxa"/>
          </w:tcPr>
          <w:p w14:paraId="26DEF39F" w14:textId="77777777" w:rsidR="00953398" w:rsidRDefault="00953398" w:rsidP="00CD363C">
            <w:pPr>
              <w:pStyle w:val="TableParagraph"/>
              <w:ind w:left="494" w:right="407"/>
              <w:jc w:val="both"/>
              <w:rPr>
                <w:sz w:val="20"/>
              </w:rPr>
            </w:pPr>
            <w:r>
              <w:rPr>
                <w:sz w:val="20"/>
              </w:rPr>
              <w:t>2020</w:t>
            </w:r>
          </w:p>
        </w:tc>
        <w:tc>
          <w:tcPr>
            <w:tcW w:w="1764" w:type="dxa"/>
          </w:tcPr>
          <w:p w14:paraId="5234EB4F" w14:textId="77777777" w:rsidR="00953398" w:rsidRDefault="00953398" w:rsidP="00CD363C">
            <w:pPr>
              <w:pStyle w:val="TableParagraph"/>
              <w:ind w:right="407"/>
              <w:jc w:val="both"/>
              <w:rPr>
                <w:sz w:val="20"/>
              </w:rPr>
            </w:pPr>
            <w:r>
              <w:rPr>
                <w:sz w:val="20"/>
              </w:rPr>
              <w:t>92 456,63</w:t>
            </w:r>
          </w:p>
        </w:tc>
        <w:tc>
          <w:tcPr>
            <w:tcW w:w="1658" w:type="dxa"/>
          </w:tcPr>
          <w:p w14:paraId="533419A7" w14:textId="77777777" w:rsidR="00953398" w:rsidRDefault="00953398" w:rsidP="00CD363C">
            <w:pPr>
              <w:pStyle w:val="TableParagraph"/>
              <w:ind w:right="407"/>
              <w:jc w:val="both"/>
              <w:rPr>
                <w:sz w:val="20"/>
              </w:rPr>
            </w:pPr>
            <w:r>
              <w:rPr>
                <w:sz w:val="20"/>
              </w:rPr>
              <w:t>3 698,22</w:t>
            </w:r>
          </w:p>
        </w:tc>
        <w:tc>
          <w:tcPr>
            <w:tcW w:w="1821" w:type="dxa"/>
          </w:tcPr>
          <w:p w14:paraId="10C90159" w14:textId="77777777" w:rsidR="00953398" w:rsidRDefault="00953398" w:rsidP="00CD363C">
            <w:pPr>
              <w:pStyle w:val="TableParagraph"/>
              <w:ind w:right="407"/>
              <w:jc w:val="both"/>
              <w:rPr>
                <w:sz w:val="20"/>
              </w:rPr>
            </w:pPr>
            <w:r>
              <w:rPr>
                <w:sz w:val="20"/>
              </w:rPr>
              <w:t>0,00</w:t>
            </w:r>
          </w:p>
        </w:tc>
        <w:tc>
          <w:tcPr>
            <w:tcW w:w="2694" w:type="dxa"/>
          </w:tcPr>
          <w:p w14:paraId="0A457978" w14:textId="77777777" w:rsidR="00953398" w:rsidRDefault="00953398" w:rsidP="00CD363C">
            <w:pPr>
              <w:pStyle w:val="TableParagraph"/>
              <w:ind w:right="407"/>
              <w:jc w:val="both"/>
              <w:rPr>
                <w:sz w:val="20"/>
              </w:rPr>
            </w:pPr>
            <w:r>
              <w:rPr>
                <w:sz w:val="20"/>
              </w:rPr>
              <w:t>96 153,85</w:t>
            </w:r>
          </w:p>
        </w:tc>
      </w:tr>
      <w:tr w:rsidR="00953398" w14:paraId="2D1AAF3E" w14:textId="77777777" w:rsidTr="00FF1C69">
        <w:trPr>
          <w:trHeight w:val="229"/>
        </w:trPr>
        <w:tc>
          <w:tcPr>
            <w:tcW w:w="1555" w:type="dxa"/>
          </w:tcPr>
          <w:p w14:paraId="2527172E" w14:textId="77777777" w:rsidR="00953398" w:rsidRDefault="00953398" w:rsidP="00CD363C">
            <w:pPr>
              <w:pStyle w:val="TableParagraph"/>
              <w:ind w:left="494" w:right="407"/>
              <w:jc w:val="both"/>
              <w:rPr>
                <w:sz w:val="20"/>
              </w:rPr>
            </w:pPr>
            <w:r>
              <w:rPr>
                <w:sz w:val="20"/>
              </w:rPr>
              <w:t>2021</w:t>
            </w:r>
          </w:p>
        </w:tc>
        <w:tc>
          <w:tcPr>
            <w:tcW w:w="1764" w:type="dxa"/>
          </w:tcPr>
          <w:p w14:paraId="67B0F821" w14:textId="77777777" w:rsidR="00953398" w:rsidRDefault="00953398" w:rsidP="00CD363C">
            <w:pPr>
              <w:pStyle w:val="TableParagraph"/>
              <w:ind w:right="407"/>
              <w:jc w:val="both"/>
              <w:rPr>
                <w:sz w:val="20"/>
              </w:rPr>
            </w:pPr>
            <w:r>
              <w:rPr>
                <w:sz w:val="20"/>
              </w:rPr>
              <w:t>96 153,85</w:t>
            </w:r>
          </w:p>
        </w:tc>
        <w:tc>
          <w:tcPr>
            <w:tcW w:w="1658" w:type="dxa"/>
          </w:tcPr>
          <w:p w14:paraId="0B2C0194" w14:textId="77777777" w:rsidR="00953398" w:rsidRDefault="00953398" w:rsidP="00CD363C">
            <w:pPr>
              <w:pStyle w:val="TableParagraph"/>
              <w:ind w:right="407"/>
              <w:jc w:val="both"/>
              <w:rPr>
                <w:sz w:val="20"/>
              </w:rPr>
            </w:pPr>
            <w:r>
              <w:rPr>
                <w:sz w:val="20"/>
              </w:rPr>
              <w:t>3 846,15</w:t>
            </w:r>
          </w:p>
        </w:tc>
        <w:tc>
          <w:tcPr>
            <w:tcW w:w="1821" w:type="dxa"/>
          </w:tcPr>
          <w:p w14:paraId="32453A59" w14:textId="77777777" w:rsidR="00953398" w:rsidRDefault="00953398" w:rsidP="00CD363C">
            <w:pPr>
              <w:pStyle w:val="TableParagraph"/>
              <w:ind w:right="407"/>
              <w:jc w:val="both"/>
              <w:rPr>
                <w:sz w:val="20"/>
              </w:rPr>
            </w:pPr>
            <w:r>
              <w:rPr>
                <w:sz w:val="20"/>
              </w:rPr>
              <w:t>100 000,00</w:t>
            </w:r>
          </w:p>
        </w:tc>
        <w:tc>
          <w:tcPr>
            <w:tcW w:w="2694" w:type="dxa"/>
          </w:tcPr>
          <w:p w14:paraId="24DC28EC" w14:textId="77777777" w:rsidR="00953398" w:rsidRDefault="00953398" w:rsidP="00CD363C">
            <w:pPr>
              <w:pStyle w:val="TableParagraph"/>
              <w:ind w:right="407"/>
              <w:jc w:val="both"/>
              <w:rPr>
                <w:sz w:val="20"/>
              </w:rPr>
            </w:pPr>
            <w:r>
              <w:rPr>
                <w:w w:val="99"/>
                <w:sz w:val="20"/>
              </w:rPr>
              <w:t>-</w:t>
            </w:r>
          </w:p>
        </w:tc>
      </w:tr>
      <w:tr w:rsidR="00953398" w14:paraId="2E16DC22" w14:textId="77777777" w:rsidTr="00FF1C69">
        <w:trPr>
          <w:trHeight w:val="230"/>
        </w:trPr>
        <w:tc>
          <w:tcPr>
            <w:tcW w:w="1555" w:type="dxa"/>
          </w:tcPr>
          <w:p w14:paraId="73C19844" w14:textId="77777777" w:rsidR="00953398" w:rsidRDefault="00953398" w:rsidP="00CD363C">
            <w:pPr>
              <w:pStyle w:val="TableParagraph"/>
              <w:ind w:left="494" w:right="407"/>
              <w:jc w:val="both"/>
              <w:rPr>
                <w:b/>
                <w:sz w:val="20"/>
              </w:rPr>
            </w:pPr>
            <w:r>
              <w:rPr>
                <w:b/>
                <w:sz w:val="20"/>
              </w:rPr>
              <w:t>Kopā</w:t>
            </w:r>
          </w:p>
        </w:tc>
        <w:tc>
          <w:tcPr>
            <w:tcW w:w="1764" w:type="dxa"/>
          </w:tcPr>
          <w:p w14:paraId="64FB5220" w14:textId="77777777" w:rsidR="00953398" w:rsidRDefault="00953398" w:rsidP="00CD363C">
            <w:pPr>
              <w:pStyle w:val="TableParagraph"/>
              <w:ind w:right="407"/>
              <w:jc w:val="both"/>
              <w:rPr>
                <w:sz w:val="20"/>
              </w:rPr>
            </w:pPr>
            <w:r>
              <w:rPr>
                <w:w w:val="95"/>
                <w:sz w:val="20"/>
              </w:rPr>
              <w:t>--</w:t>
            </w:r>
          </w:p>
        </w:tc>
        <w:tc>
          <w:tcPr>
            <w:tcW w:w="1658" w:type="dxa"/>
          </w:tcPr>
          <w:p w14:paraId="188A8559" w14:textId="77777777" w:rsidR="00953398" w:rsidRDefault="00953398" w:rsidP="00CD363C">
            <w:pPr>
              <w:pStyle w:val="TableParagraph"/>
              <w:ind w:right="407"/>
              <w:jc w:val="both"/>
              <w:rPr>
                <w:b/>
                <w:sz w:val="20"/>
              </w:rPr>
            </w:pPr>
            <w:r>
              <w:rPr>
                <w:b/>
                <w:sz w:val="20"/>
              </w:rPr>
              <w:t>11 100,36</w:t>
            </w:r>
          </w:p>
        </w:tc>
        <w:tc>
          <w:tcPr>
            <w:tcW w:w="1821" w:type="dxa"/>
          </w:tcPr>
          <w:p w14:paraId="152A5424" w14:textId="77777777" w:rsidR="00953398" w:rsidRDefault="00953398" w:rsidP="00CD363C">
            <w:pPr>
              <w:pStyle w:val="TableParagraph"/>
              <w:ind w:right="407"/>
              <w:jc w:val="both"/>
              <w:rPr>
                <w:sz w:val="20"/>
              </w:rPr>
            </w:pPr>
            <w:r>
              <w:rPr>
                <w:w w:val="99"/>
                <w:sz w:val="20"/>
              </w:rPr>
              <w:t>-</w:t>
            </w:r>
          </w:p>
        </w:tc>
        <w:tc>
          <w:tcPr>
            <w:tcW w:w="2694" w:type="dxa"/>
          </w:tcPr>
          <w:p w14:paraId="13EAB462" w14:textId="77777777" w:rsidR="00953398" w:rsidRDefault="00953398" w:rsidP="00CD363C">
            <w:pPr>
              <w:pStyle w:val="TableParagraph"/>
              <w:ind w:right="407"/>
              <w:jc w:val="both"/>
              <w:rPr>
                <w:sz w:val="20"/>
              </w:rPr>
            </w:pPr>
            <w:r>
              <w:rPr>
                <w:w w:val="99"/>
                <w:sz w:val="20"/>
              </w:rPr>
              <w:t>-</w:t>
            </w:r>
          </w:p>
        </w:tc>
      </w:tr>
    </w:tbl>
    <w:p w14:paraId="3E07D799" w14:textId="77777777" w:rsidR="006162DC" w:rsidRPr="00953398" w:rsidRDefault="006162DC" w:rsidP="00CD363C">
      <w:pPr>
        <w:spacing w:after="0" w:line="240" w:lineRule="auto"/>
        <w:ind w:right="407"/>
        <w:jc w:val="both"/>
        <w:rPr>
          <w:rFonts w:ascii="Times New Roman" w:hAnsi="Times New Roman" w:cs="Times New Roman"/>
          <w:sz w:val="24"/>
          <w:szCs w:val="24"/>
        </w:rPr>
      </w:pPr>
    </w:p>
    <w:p w14:paraId="4DE6DADA" w14:textId="77777777" w:rsidR="006162DC" w:rsidRPr="00953398" w:rsidRDefault="00953398" w:rsidP="00CD363C">
      <w:pPr>
        <w:spacing w:after="0" w:line="240" w:lineRule="auto"/>
        <w:ind w:right="407"/>
        <w:jc w:val="both"/>
        <w:rPr>
          <w:rFonts w:ascii="Times New Roman" w:hAnsi="Times New Roman" w:cs="Times New Roman"/>
          <w:b/>
          <w:bCs/>
          <w:i/>
          <w:iCs/>
          <w:sz w:val="24"/>
          <w:szCs w:val="24"/>
        </w:rPr>
      </w:pPr>
      <w:r w:rsidRPr="00953398">
        <w:rPr>
          <w:rFonts w:ascii="Times New Roman" w:hAnsi="Times New Roman" w:cs="Times New Roman"/>
          <w:b/>
          <w:bCs/>
          <w:i/>
          <w:iCs/>
          <w:sz w:val="24"/>
          <w:szCs w:val="24"/>
        </w:rPr>
        <w:t>Grāmatojumi:</w:t>
      </w:r>
    </w:p>
    <w:p w14:paraId="2C66C7F8"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1)</w:t>
      </w:r>
      <w:r w:rsidRPr="00953398">
        <w:rPr>
          <w:rFonts w:ascii="Times New Roman" w:hAnsi="Times New Roman" w:cs="Times New Roman"/>
          <w:sz w:val="24"/>
          <w:szCs w:val="24"/>
        </w:rPr>
        <w:tab/>
        <w:t>Grāmatojums aizdevuma izsniegšanas dienā 2019. gada 1. janvārī (darījuma diena atbilst naudas pārskaitījuma dienai):</w:t>
      </w:r>
    </w:p>
    <w:p w14:paraId="7E1248B6"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88 899,64 EUR</w:t>
      </w:r>
    </w:p>
    <w:p w14:paraId="1E7C633C"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8220</w:t>
      </w:r>
      <w:r w:rsidRPr="00953398">
        <w:rPr>
          <w:rFonts w:ascii="Times New Roman" w:hAnsi="Times New Roman" w:cs="Times New Roman"/>
          <w:sz w:val="24"/>
          <w:szCs w:val="24"/>
        </w:rPr>
        <w:tab/>
        <w:t>Procentu izdevumi</w:t>
      </w:r>
      <w:r w:rsidRPr="00953398">
        <w:rPr>
          <w:rFonts w:ascii="Times New Roman" w:hAnsi="Times New Roman" w:cs="Times New Roman"/>
          <w:sz w:val="24"/>
          <w:szCs w:val="24"/>
        </w:rPr>
        <w:tab/>
        <w:t>11 100,36 EUR</w:t>
      </w:r>
    </w:p>
    <w:p w14:paraId="24F7A4A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2600</w:t>
      </w:r>
      <w:r w:rsidRPr="00953398">
        <w:rPr>
          <w:rFonts w:ascii="Times New Roman" w:hAnsi="Times New Roman" w:cs="Times New Roman"/>
          <w:sz w:val="24"/>
          <w:szCs w:val="24"/>
        </w:rPr>
        <w:tab/>
        <w:t>Naudas līdzekļi</w:t>
      </w:r>
      <w:r w:rsidRPr="00953398">
        <w:rPr>
          <w:rFonts w:ascii="Times New Roman" w:hAnsi="Times New Roman" w:cs="Times New Roman"/>
          <w:sz w:val="24"/>
          <w:szCs w:val="24"/>
        </w:rPr>
        <w:tab/>
        <w:t>100 000,00 EUR</w:t>
      </w:r>
    </w:p>
    <w:p w14:paraId="4B755D4F"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2)</w:t>
      </w:r>
      <w:r w:rsidRPr="00953398">
        <w:rPr>
          <w:rFonts w:ascii="Times New Roman" w:hAnsi="Times New Roman" w:cs="Times New Roman"/>
          <w:sz w:val="24"/>
          <w:szCs w:val="24"/>
        </w:rPr>
        <w:tab/>
        <w:t>2019. gada 31.decembrī budžeta iestāde (aizdevuma izsniedzējs) atzīst procentu ieņēmumus, veicot sekojošu grāmatojumu:</w:t>
      </w:r>
    </w:p>
    <w:p w14:paraId="70897F15"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 xml:space="preserve"> D</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3 555,99 EUR</w:t>
      </w:r>
    </w:p>
    <w:p w14:paraId="65DD2B3C"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8120</w:t>
      </w:r>
      <w:r w:rsidRPr="00953398">
        <w:rPr>
          <w:rFonts w:ascii="Times New Roman" w:hAnsi="Times New Roman" w:cs="Times New Roman"/>
          <w:sz w:val="24"/>
          <w:szCs w:val="24"/>
        </w:rPr>
        <w:tab/>
        <w:t>Procentu ieņēmumi</w:t>
      </w:r>
      <w:r w:rsidRPr="00953398">
        <w:rPr>
          <w:rFonts w:ascii="Times New Roman" w:hAnsi="Times New Roman" w:cs="Times New Roman"/>
          <w:sz w:val="24"/>
          <w:szCs w:val="24"/>
        </w:rPr>
        <w:tab/>
        <w:t>3 555,99 EUR</w:t>
      </w:r>
    </w:p>
    <w:p w14:paraId="70D07822"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3)</w:t>
      </w:r>
      <w:r w:rsidRPr="00953398">
        <w:rPr>
          <w:rFonts w:ascii="Times New Roman" w:hAnsi="Times New Roman" w:cs="Times New Roman"/>
          <w:sz w:val="24"/>
          <w:szCs w:val="24"/>
        </w:rPr>
        <w:tab/>
        <w:t>2020. gada 31.decembrī budžeta iestāde (aizdevuma izsniedzējs) atzīst procentu ieņēmumus, veicot sekojošu grāmatojumu:</w:t>
      </w:r>
    </w:p>
    <w:p w14:paraId="089D9A4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3 698,22 EUR</w:t>
      </w:r>
    </w:p>
    <w:p w14:paraId="21354FD2"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8120</w:t>
      </w:r>
      <w:r w:rsidRPr="00953398">
        <w:rPr>
          <w:rFonts w:ascii="Times New Roman" w:hAnsi="Times New Roman" w:cs="Times New Roman"/>
          <w:sz w:val="24"/>
          <w:szCs w:val="24"/>
        </w:rPr>
        <w:tab/>
        <w:t>Procentu ieņēmumi</w:t>
      </w:r>
      <w:r w:rsidRPr="00953398">
        <w:rPr>
          <w:rFonts w:ascii="Times New Roman" w:hAnsi="Times New Roman" w:cs="Times New Roman"/>
          <w:sz w:val="24"/>
          <w:szCs w:val="24"/>
        </w:rPr>
        <w:tab/>
        <w:t>3 698,22 EUR</w:t>
      </w:r>
    </w:p>
    <w:p w14:paraId="1543E895"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4)</w:t>
      </w:r>
      <w:r w:rsidRPr="00953398">
        <w:rPr>
          <w:rFonts w:ascii="Times New Roman" w:hAnsi="Times New Roman" w:cs="Times New Roman"/>
          <w:sz w:val="24"/>
          <w:szCs w:val="24"/>
        </w:rPr>
        <w:tab/>
        <w:t>Vienlaikus 2020. gada 31. decembrī budžeta iestāde pārklasificē ilgtermiņa aizdevuma pozīcijā atzīto summu uz īstermiņa pozīciju:</w:t>
      </w:r>
    </w:p>
    <w:p w14:paraId="693E65E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2539</w:t>
      </w:r>
      <w:r w:rsidRPr="00953398">
        <w:rPr>
          <w:rFonts w:ascii="Times New Roman" w:hAnsi="Times New Roman" w:cs="Times New Roman"/>
          <w:sz w:val="24"/>
          <w:szCs w:val="24"/>
        </w:rPr>
        <w:tab/>
        <w:t>Pārējie īstermiņa aizdevumi</w:t>
      </w:r>
      <w:r w:rsidRPr="00953398">
        <w:rPr>
          <w:rFonts w:ascii="Times New Roman" w:hAnsi="Times New Roman" w:cs="Times New Roman"/>
          <w:sz w:val="24"/>
          <w:szCs w:val="24"/>
        </w:rPr>
        <w:tab/>
        <w:t>96 153,85 EUR</w:t>
      </w:r>
    </w:p>
    <w:p w14:paraId="19D95872"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96 153,85 EUR</w:t>
      </w:r>
    </w:p>
    <w:p w14:paraId="4222BFF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5)</w:t>
      </w:r>
      <w:r w:rsidRPr="00953398">
        <w:rPr>
          <w:rFonts w:ascii="Times New Roman" w:hAnsi="Times New Roman" w:cs="Times New Roman"/>
          <w:sz w:val="24"/>
          <w:szCs w:val="24"/>
        </w:rPr>
        <w:tab/>
        <w:t>2021. gada 28.decembrī budžeta iestāde (aizdevuma izsniedzējs) atzīst procentu ieņēmumus, veicot sekojošu grāmatojumu:</w:t>
      </w:r>
    </w:p>
    <w:p w14:paraId="4A2C3E0D"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2539</w:t>
      </w:r>
      <w:r w:rsidRPr="00953398">
        <w:rPr>
          <w:rFonts w:ascii="Times New Roman" w:hAnsi="Times New Roman" w:cs="Times New Roman"/>
          <w:sz w:val="24"/>
          <w:szCs w:val="24"/>
        </w:rPr>
        <w:tab/>
        <w:t>Pārējie īstermiņa aizdevumi</w:t>
      </w:r>
      <w:r w:rsidRPr="00953398">
        <w:rPr>
          <w:rFonts w:ascii="Times New Roman" w:hAnsi="Times New Roman" w:cs="Times New Roman"/>
          <w:sz w:val="24"/>
          <w:szCs w:val="24"/>
        </w:rPr>
        <w:tab/>
        <w:t>3 846,15 EUR</w:t>
      </w:r>
    </w:p>
    <w:p w14:paraId="1E555D34"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8120</w:t>
      </w:r>
      <w:r w:rsidRPr="00953398">
        <w:rPr>
          <w:rFonts w:ascii="Times New Roman" w:hAnsi="Times New Roman" w:cs="Times New Roman"/>
          <w:sz w:val="24"/>
          <w:szCs w:val="24"/>
        </w:rPr>
        <w:tab/>
        <w:t>Procentu ieņēmumi</w:t>
      </w:r>
      <w:r w:rsidRPr="00953398">
        <w:rPr>
          <w:rFonts w:ascii="Times New Roman" w:hAnsi="Times New Roman" w:cs="Times New Roman"/>
          <w:sz w:val="24"/>
          <w:szCs w:val="24"/>
        </w:rPr>
        <w:tab/>
        <w:t>3 846,15 EUR</w:t>
      </w:r>
    </w:p>
    <w:p w14:paraId="4BE55D9F"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6)</w:t>
      </w:r>
      <w:r w:rsidRPr="00953398">
        <w:rPr>
          <w:rFonts w:ascii="Times New Roman" w:hAnsi="Times New Roman" w:cs="Times New Roman"/>
          <w:sz w:val="24"/>
          <w:szCs w:val="24"/>
        </w:rPr>
        <w:tab/>
        <w:t>2021. gada 28.decembrī, saņemot aizdevuma atmaksu, veic sekojošu grāmatojumu:</w:t>
      </w:r>
    </w:p>
    <w:p w14:paraId="39456C69"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2600</w:t>
      </w:r>
      <w:r w:rsidRPr="00953398">
        <w:rPr>
          <w:rFonts w:ascii="Times New Roman" w:hAnsi="Times New Roman" w:cs="Times New Roman"/>
          <w:sz w:val="24"/>
          <w:szCs w:val="24"/>
        </w:rPr>
        <w:tab/>
        <w:t>Naudas līdzekļi</w:t>
      </w:r>
      <w:r w:rsidRPr="00953398">
        <w:rPr>
          <w:rFonts w:ascii="Times New Roman" w:hAnsi="Times New Roman" w:cs="Times New Roman"/>
          <w:sz w:val="24"/>
          <w:szCs w:val="24"/>
        </w:rPr>
        <w:tab/>
        <w:t>100 000,00 EUR</w:t>
      </w:r>
    </w:p>
    <w:p w14:paraId="375CD535" w14:textId="77777777" w:rsidR="006162DC"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2539</w:t>
      </w:r>
      <w:r w:rsidRPr="00953398">
        <w:rPr>
          <w:rFonts w:ascii="Times New Roman" w:hAnsi="Times New Roman" w:cs="Times New Roman"/>
          <w:sz w:val="24"/>
          <w:szCs w:val="24"/>
        </w:rPr>
        <w:tab/>
        <w:t>Pārējie īstermiņa aizdevumi</w:t>
      </w:r>
      <w:r w:rsidRPr="00953398">
        <w:rPr>
          <w:rFonts w:ascii="Times New Roman" w:hAnsi="Times New Roman" w:cs="Times New Roman"/>
          <w:sz w:val="24"/>
          <w:szCs w:val="24"/>
        </w:rPr>
        <w:tab/>
        <w:t>100 000,00 EUR</w:t>
      </w:r>
    </w:p>
    <w:p w14:paraId="7F6C1CA7" w14:textId="77777777" w:rsidR="00AB7B8E" w:rsidRDefault="00AB7B8E" w:rsidP="00CD363C">
      <w:pPr>
        <w:pStyle w:val="Virsraksts4"/>
        <w:tabs>
          <w:tab w:val="left" w:pos="879"/>
        </w:tabs>
        <w:spacing w:before="0"/>
        <w:ind w:left="0" w:right="407"/>
        <w:jc w:val="both"/>
      </w:pPr>
      <w:r>
        <w:rPr>
          <w:color w:val="002069"/>
        </w:rPr>
        <w:t>21.8.6.Piemērs – bezprocentu aizņēmums ar pamatsummas atmaksu termiņa beigās (no</w:t>
      </w:r>
      <w:r>
        <w:rPr>
          <w:color w:val="002069"/>
          <w:spacing w:val="-36"/>
        </w:rPr>
        <w:t xml:space="preserve"> </w:t>
      </w:r>
      <w:r>
        <w:rPr>
          <w:color w:val="002069"/>
        </w:rPr>
        <w:t>aizņēmēja puses)</w:t>
      </w:r>
    </w:p>
    <w:p w14:paraId="71944107" w14:textId="77777777" w:rsidR="00AB7B8E" w:rsidRDefault="00FF1C69" w:rsidP="00CD363C">
      <w:pPr>
        <w:pStyle w:val="Pamatteksts"/>
        <w:ind w:right="407"/>
        <w:jc w:val="both"/>
      </w:pPr>
      <w:r>
        <w:t xml:space="preserve">881. </w:t>
      </w:r>
      <w:r w:rsidR="00AB7B8E">
        <w:t>2019.</w:t>
      </w:r>
      <w:r w:rsidR="00AB7B8E">
        <w:rPr>
          <w:spacing w:val="-5"/>
        </w:rPr>
        <w:t xml:space="preserve"> </w:t>
      </w:r>
      <w:r w:rsidR="00AB7B8E">
        <w:t>gada</w:t>
      </w:r>
      <w:r w:rsidR="00AB7B8E">
        <w:rPr>
          <w:spacing w:val="-3"/>
        </w:rPr>
        <w:t xml:space="preserve"> </w:t>
      </w:r>
      <w:r w:rsidR="00AB7B8E">
        <w:t>2.janvārī</w:t>
      </w:r>
      <w:r w:rsidR="00AB7B8E">
        <w:rPr>
          <w:spacing w:val="-3"/>
        </w:rPr>
        <w:t xml:space="preserve"> </w:t>
      </w:r>
      <w:r w:rsidR="00AB7B8E">
        <w:t>budžeta</w:t>
      </w:r>
      <w:r w:rsidR="00AB7B8E">
        <w:rPr>
          <w:spacing w:val="-2"/>
        </w:rPr>
        <w:t xml:space="preserve"> </w:t>
      </w:r>
      <w:r w:rsidR="00AB7B8E">
        <w:t>iestāde</w:t>
      </w:r>
      <w:r w:rsidR="00AB7B8E">
        <w:rPr>
          <w:spacing w:val="-6"/>
        </w:rPr>
        <w:t xml:space="preserve"> </w:t>
      </w:r>
      <w:r w:rsidR="00AB7B8E">
        <w:t>(aizņēmējs)</w:t>
      </w:r>
      <w:r w:rsidR="00AB7B8E">
        <w:rPr>
          <w:spacing w:val="-3"/>
        </w:rPr>
        <w:t xml:space="preserve"> </w:t>
      </w:r>
      <w:r w:rsidR="00AB7B8E">
        <w:t>saņem</w:t>
      </w:r>
      <w:r w:rsidR="00AB7B8E">
        <w:rPr>
          <w:spacing w:val="-7"/>
        </w:rPr>
        <w:t xml:space="preserve"> </w:t>
      </w:r>
      <w:r w:rsidR="00AB7B8E">
        <w:t>bezprocentu</w:t>
      </w:r>
      <w:r w:rsidR="00AB7B8E">
        <w:rPr>
          <w:spacing w:val="-7"/>
        </w:rPr>
        <w:t xml:space="preserve"> </w:t>
      </w:r>
      <w:r w:rsidR="00AB7B8E">
        <w:t>aizņēmumu</w:t>
      </w:r>
      <w:r w:rsidR="00AB7B8E">
        <w:rPr>
          <w:spacing w:val="-4"/>
        </w:rPr>
        <w:t xml:space="preserve"> </w:t>
      </w:r>
      <w:r w:rsidR="00AB7B8E">
        <w:t>100</w:t>
      </w:r>
      <w:r w:rsidR="00AB7B8E">
        <w:rPr>
          <w:spacing w:val="3"/>
        </w:rPr>
        <w:t xml:space="preserve"> </w:t>
      </w:r>
      <w:r w:rsidR="00AB7B8E">
        <w:t>000,00</w:t>
      </w:r>
      <w:r w:rsidR="00AB7B8E">
        <w:rPr>
          <w:spacing w:val="-6"/>
        </w:rPr>
        <w:t xml:space="preserve"> </w:t>
      </w:r>
      <w:r w:rsidR="00AB7B8E">
        <w:t>EUR</w:t>
      </w:r>
      <w:r w:rsidR="00AB7B8E">
        <w:rPr>
          <w:spacing w:val="-5"/>
        </w:rPr>
        <w:t xml:space="preserve"> </w:t>
      </w:r>
      <w:r w:rsidR="00AB7B8E">
        <w:t>apmērā</w:t>
      </w:r>
      <w:r w:rsidR="00AB7B8E">
        <w:rPr>
          <w:spacing w:val="-3"/>
        </w:rPr>
        <w:t xml:space="preserve"> </w:t>
      </w:r>
      <w:r w:rsidR="00AB7B8E">
        <w:t>uz termiņu 3 gadi. Vidējā tirgus procentu likme šāda veida aizņēmumiem ir 4%. Līgums nenosaka papildus līguma</w:t>
      </w:r>
      <w:r w:rsidR="00AB7B8E">
        <w:rPr>
          <w:spacing w:val="-14"/>
        </w:rPr>
        <w:t xml:space="preserve"> </w:t>
      </w:r>
      <w:r w:rsidR="00AB7B8E">
        <w:t>izpildes</w:t>
      </w:r>
      <w:r w:rsidR="00AB7B8E">
        <w:rPr>
          <w:spacing w:val="-14"/>
        </w:rPr>
        <w:t xml:space="preserve"> </w:t>
      </w:r>
      <w:r w:rsidR="00AB7B8E">
        <w:t>nosacījumus,</w:t>
      </w:r>
      <w:r w:rsidR="00AB7B8E">
        <w:rPr>
          <w:spacing w:val="-14"/>
        </w:rPr>
        <w:t xml:space="preserve"> </w:t>
      </w:r>
      <w:r w:rsidR="00AB7B8E">
        <w:t>no</w:t>
      </w:r>
      <w:r w:rsidR="00AB7B8E">
        <w:rPr>
          <w:spacing w:val="-14"/>
        </w:rPr>
        <w:t xml:space="preserve"> </w:t>
      </w:r>
      <w:r w:rsidR="00AB7B8E">
        <w:t>kuriem</w:t>
      </w:r>
      <w:r w:rsidR="00AB7B8E">
        <w:rPr>
          <w:spacing w:val="-17"/>
        </w:rPr>
        <w:t xml:space="preserve"> </w:t>
      </w:r>
      <w:r w:rsidR="00AB7B8E">
        <w:t>izrietētu</w:t>
      </w:r>
      <w:r w:rsidR="00AB7B8E">
        <w:rPr>
          <w:spacing w:val="-14"/>
        </w:rPr>
        <w:t xml:space="preserve"> </w:t>
      </w:r>
      <w:r w:rsidR="00AB7B8E">
        <w:t>aizņēmēja</w:t>
      </w:r>
      <w:r w:rsidR="00AB7B8E">
        <w:rPr>
          <w:spacing w:val="-14"/>
        </w:rPr>
        <w:t xml:space="preserve"> </w:t>
      </w:r>
      <w:r w:rsidR="00AB7B8E">
        <w:t>pašreizējs</w:t>
      </w:r>
      <w:r w:rsidR="00AB7B8E">
        <w:rPr>
          <w:spacing w:val="-14"/>
        </w:rPr>
        <w:t xml:space="preserve"> </w:t>
      </w:r>
      <w:r w:rsidR="00AB7B8E">
        <w:t>pienākums,</w:t>
      </w:r>
      <w:r w:rsidR="00AB7B8E">
        <w:rPr>
          <w:spacing w:val="-11"/>
        </w:rPr>
        <w:t xml:space="preserve"> </w:t>
      </w:r>
      <w:r w:rsidR="00AB7B8E">
        <w:t>kā</w:t>
      </w:r>
      <w:r w:rsidR="00AB7B8E">
        <w:rPr>
          <w:spacing w:val="-9"/>
        </w:rPr>
        <w:t xml:space="preserve"> </w:t>
      </w:r>
      <w:r w:rsidR="00AB7B8E">
        <w:t>rezultātā</w:t>
      </w:r>
      <w:r w:rsidR="00AB7B8E">
        <w:rPr>
          <w:spacing w:val="-14"/>
        </w:rPr>
        <w:t xml:space="preserve"> </w:t>
      </w:r>
      <w:r w:rsidR="00AB7B8E">
        <w:t>būtu</w:t>
      </w:r>
      <w:r w:rsidR="00AB7B8E">
        <w:rPr>
          <w:spacing w:val="-14"/>
        </w:rPr>
        <w:t xml:space="preserve"> </w:t>
      </w:r>
      <w:r w:rsidR="00AB7B8E">
        <w:t>atzīstamas papildus saistības. 16. tabulā ir attēloti aizņēmuma atmaksas nosacījumi, naudas plūsmas un pašreizējās vērtības aprēķini līguma darbības</w:t>
      </w:r>
      <w:r w:rsidR="00AB7B8E">
        <w:rPr>
          <w:spacing w:val="-2"/>
        </w:rPr>
        <w:t xml:space="preserve"> </w:t>
      </w:r>
      <w:r w:rsidR="00AB7B8E">
        <w:t>laikā.</w:t>
      </w:r>
    </w:p>
    <w:p w14:paraId="5F8FAE3D" w14:textId="77777777" w:rsidR="00AB7B8E" w:rsidRDefault="00AB7B8E" w:rsidP="00CD363C">
      <w:pPr>
        <w:pStyle w:val="Sarakstarindkopa"/>
        <w:widowControl w:val="0"/>
        <w:numPr>
          <w:ilvl w:val="0"/>
          <w:numId w:val="58"/>
        </w:numPr>
        <w:tabs>
          <w:tab w:val="left" w:pos="3791"/>
        </w:tabs>
        <w:autoSpaceDE w:val="0"/>
        <w:autoSpaceDN w:val="0"/>
        <w:spacing w:after="0" w:line="240" w:lineRule="auto"/>
        <w:ind w:left="3790" w:right="407" w:hanging="302"/>
        <w:contextualSpacing w:val="0"/>
        <w:jc w:val="both"/>
        <w:rPr>
          <w:i/>
          <w:sz w:val="20"/>
        </w:rPr>
      </w:pPr>
      <w:r>
        <w:rPr>
          <w:i/>
          <w:sz w:val="20"/>
        </w:rPr>
        <w:t>tabula. Bezprocentu aizņēmuma nosacījumi un pašreizējās vērtības</w:t>
      </w:r>
      <w:r>
        <w:rPr>
          <w:i/>
          <w:spacing w:val="-11"/>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30"/>
        <w:gridCol w:w="1985"/>
        <w:gridCol w:w="1982"/>
        <w:gridCol w:w="1843"/>
        <w:gridCol w:w="2553"/>
      </w:tblGrid>
      <w:tr w:rsidR="00AB7B8E" w14:paraId="111577C3" w14:textId="77777777" w:rsidTr="00FF1C69">
        <w:trPr>
          <w:trHeight w:val="765"/>
        </w:trPr>
        <w:tc>
          <w:tcPr>
            <w:tcW w:w="1130" w:type="dxa"/>
            <w:shd w:val="clear" w:color="auto" w:fill="F1F1F1"/>
          </w:tcPr>
          <w:p w14:paraId="261C4E60" w14:textId="77777777" w:rsidR="00AB7B8E" w:rsidRDefault="00AB7B8E" w:rsidP="00CD363C">
            <w:pPr>
              <w:pStyle w:val="TableParagraph"/>
              <w:ind w:right="407"/>
              <w:jc w:val="both"/>
              <w:rPr>
                <w:i/>
                <w:sz w:val="23"/>
              </w:rPr>
            </w:pPr>
          </w:p>
          <w:p w14:paraId="26F78827" w14:textId="77777777" w:rsidR="00AB7B8E" w:rsidRDefault="00AB7B8E" w:rsidP="00CD363C">
            <w:pPr>
              <w:pStyle w:val="TableParagraph"/>
              <w:ind w:left="314" w:right="407"/>
              <w:jc w:val="both"/>
              <w:rPr>
                <w:b/>
                <w:sz w:val="20"/>
              </w:rPr>
            </w:pPr>
            <w:r>
              <w:rPr>
                <w:b/>
                <w:sz w:val="20"/>
              </w:rPr>
              <w:t>Gads</w:t>
            </w:r>
          </w:p>
        </w:tc>
        <w:tc>
          <w:tcPr>
            <w:tcW w:w="1985" w:type="dxa"/>
            <w:shd w:val="clear" w:color="auto" w:fill="F1F1F1"/>
          </w:tcPr>
          <w:p w14:paraId="012EFA64" w14:textId="77777777" w:rsidR="00AB7B8E" w:rsidRDefault="00AB7B8E" w:rsidP="00CD363C">
            <w:pPr>
              <w:pStyle w:val="TableParagraph"/>
              <w:ind w:left="494" w:right="407" w:firstLine="45"/>
              <w:jc w:val="both"/>
              <w:rPr>
                <w:b/>
                <w:sz w:val="20"/>
              </w:rPr>
            </w:pPr>
            <w:r>
              <w:rPr>
                <w:b/>
                <w:sz w:val="20"/>
              </w:rPr>
              <w:t xml:space="preserve">Atmaksas </w:t>
            </w:r>
            <w:r>
              <w:rPr>
                <w:b/>
                <w:w w:val="95"/>
                <w:sz w:val="20"/>
              </w:rPr>
              <w:t>nosacījumi</w:t>
            </w:r>
          </w:p>
        </w:tc>
        <w:tc>
          <w:tcPr>
            <w:tcW w:w="1982" w:type="dxa"/>
            <w:shd w:val="clear" w:color="auto" w:fill="F1F1F1"/>
          </w:tcPr>
          <w:p w14:paraId="024886FA" w14:textId="77777777" w:rsidR="00AB7B8E" w:rsidRDefault="00AB7B8E" w:rsidP="00CD363C">
            <w:pPr>
              <w:pStyle w:val="TableParagraph"/>
              <w:ind w:left="749" w:right="407" w:hanging="538"/>
              <w:jc w:val="both"/>
              <w:rPr>
                <w:b/>
                <w:sz w:val="20"/>
              </w:rPr>
            </w:pPr>
            <w:r>
              <w:rPr>
                <w:b/>
                <w:sz w:val="20"/>
              </w:rPr>
              <w:t>Maksājumi kopā, EUR</w:t>
            </w:r>
          </w:p>
        </w:tc>
        <w:tc>
          <w:tcPr>
            <w:tcW w:w="1843" w:type="dxa"/>
            <w:shd w:val="clear" w:color="auto" w:fill="F1F1F1"/>
          </w:tcPr>
          <w:p w14:paraId="336EE496" w14:textId="77777777" w:rsidR="00AB7B8E" w:rsidRDefault="00AB7B8E" w:rsidP="00CD363C">
            <w:pPr>
              <w:pStyle w:val="TableParagraph"/>
              <w:ind w:right="407"/>
              <w:jc w:val="both"/>
              <w:rPr>
                <w:b/>
                <w:sz w:val="20"/>
              </w:rPr>
            </w:pPr>
            <w:r>
              <w:rPr>
                <w:b/>
                <w:sz w:val="20"/>
              </w:rPr>
              <w:t>Diskonta faktors*</w:t>
            </w:r>
          </w:p>
        </w:tc>
        <w:tc>
          <w:tcPr>
            <w:tcW w:w="2553" w:type="dxa"/>
            <w:shd w:val="clear" w:color="auto" w:fill="F1F1F1"/>
          </w:tcPr>
          <w:p w14:paraId="40442392" w14:textId="77777777" w:rsidR="00AB7B8E" w:rsidRDefault="00AB7B8E" w:rsidP="00CD363C">
            <w:pPr>
              <w:pStyle w:val="TableParagraph"/>
              <w:ind w:left="683" w:right="407" w:hanging="408"/>
              <w:jc w:val="both"/>
              <w:rPr>
                <w:b/>
                <w:sz w:val="20"/>
              </w:rPr>
            </w:pPr>
            <w:r>
              <w:rPr>
                <w:b/>
                <w:sz w:val="20"/>
              </w:rPr>
              <w:t>Aizņēmuma pašreizējā vērtība, EUR</w:t>
            </w:r>
          </w:p>
        </w:tc>
      </w:tr>
      <w:tr w:rsidR="00AB7B8E" w14:paraId="564D1217" w14:textId="77777777" w:rsidTr="00FF1C69">
        <w:trPr>
          <w:trHeight w:val="230"/>
        </w:trPr>
        <w:tc>
          <w:tcPr>
            <w:tcW w:w="1130" w:type="dxa"/>
            <w:shd w:val="clear" w:color="auto" w:fill="F1F1F1"/>
          </w:tcPr>
          <w:p w14:paraId="7FA03C38" w14:textId="77777777" w:rsidR="00AB7B8E" w:rsidRDefault="00AB7B8E" w:rsidP="00CD363C">
            <w:pPr>
              <w:pStyle w:val="TableParagraph"/>
              <w:ind w:right="407"/>
              <w:jc w:val="both"/>
              <w:rPr>
                <w:b/>
                <w:sz w:val="20"/>
              </w:rPr>
            </w:pPr>
            <w:r>
              <w:rPr>
                <w:b/>
                <w:w w:val="99"/>
                <w:sz w:val="20"/>
              </w:rPr>
              <w:t>A</w:t>
            </w:r>
          </w:p>
        </w:tc>
        <w:tc>
          <w:tcPr>
            <w:tcW w:w="1985" w:type="dxa"/>
            <w:shd w:val="clear" w:color="auto" w:fill="F1F1F1"/>
          </w:tcPr>
          <w:p w14:paraId="41331C04" w14:textId="77777777" w:rsidR="00AB7B8E" w:rsidRDefault="00AB7B8E" w:rsidP="00CD363C">
            <w:pPr>
              <w:pStyle w:val="TableParagraph"/>
              <w:ind w:right="407"/>
              <w:jc w:val="both"/>
              <w:rPr>
                <w:b/>
                <w:sz w:val="20"/>
              </w:rPr>
            </w:pPr>
            <w:r>
              <w:rPr>
                <w:b/>
                <w:w w:val="99"/>
                <w:sz w:val="20"/>
              </w:rPr>
              <w:t>B</w:t>
            </w:r>
          </w:p>
        </w:tc>
        <w:tc>
          <w:tcPr>
            <w:tcW w:w="1982" w:type="dxa"/>
            <w:shd w:val="clear" w:color="auto" w:fill="F1F1F1"/>
          </w:tcPr>
          <w:p w14:paraId="60C6A00A" w14:textId="77777777" w:rsidR="00AB7B8E" w:rsidRDefault="00AB7B8E" w:rsidP="00CD363C">
            <w:pPr>
              <w:pStyle w:val="TableParagraph"/>
              <w:ind w:right="407"/>
              <w:jc w:val="both"/>
              <w:rPr>
                <w:b/>
                <w:sz w:val="20"/>
              </w:rPr>
            </w:pPr>
            <w:r>
              <w:rPr>
                <w:b/>
                <w:w w:val="99"/>
                <w:sz w:val="20"/>
              </w:rPr>
              <w:t>C</w:t>
            </w:r>
          </w:p>
        </w:tc>
        <w:tc>
          <w:tcPr>
            <w:tcW w:w="1843" w:type="dxa"/>
            <w:shd w:val="clear" w:color="auto" w:fill="F1F1F1"/>
          </w:tcPr>
          <w:p w14:paraId="3EF690A0" w14:textId="77777777" w:rsidR="00AB7B8E" w:rsidRDefault="00AB7B8E" w:rsidP="00CD363C">
            <w:pPr>
              <w:pStyle w:val="TableParagraph"/>
              <w:ind w:right="407"/>
              <w:jc w:val="both"/>
              <w:rPr>
                <w:b/>
                <w:sz w:val="20"/>
              </w:rPr>
            </w:pPr>
            <w:r>
              <w:rPr>
                <w:b/>
                <w:w w:val="99"/>
                <w:sz w:val="20"/>
              </w:rPr>
              <w:t>D</w:t>
            </w:r>
          </w:p>
        </w:tc>
        <w:tc>
          <w:tcPr>
            <w:tcW w:w="2553" w:type="dxa"/>
            <w:shd w:val="clear" w:color="auto" w:fill="F1F1F1"/>
          </w:tcPr>
          <w:p w14:paraId="141720AC" w14:textId="77777777" w:rsidR="00AB7B8E" w:rsidRDefault="00AB7B8E" w:rsidP="00CD363C">
            <w:pPr>
              <w:pStyle w:val="TableParagraph"/>
              <w:ind w:left="832" w:right="407"/>
              <w:jc w:val="both"/>
              <w:rPr>
                <w:b/>
                <w:sz w:val="20"/>
              </w:rPr>
            </w:pPr>
            <w:r>
              <w:rPr>
                <w:b/>
                <w:sz w:val="20"/>
              </w:rPr>
              <w:t>E = C x D</w:t>
            </w:r>
          </w:p>
        </w:tc>
      </w:tr>
      <w:tr w:rsidR="00AB7B8E" w14:paraId="36040AF1" w14:textId="77777777" w:rsidTr="00FF1C69">
        <w:trPr>
          <w:trHeight w:val="230"/>
        </w:trPr>
        <w:tc>
          <w:tcPr>
            <w:tcW w:w="1130" w:type="dxa"/>
          </w:tcPr>
          <w:p w14:paraId="65BBF19E" w14:textId="77777777" w:rsidR="00AB7B8E" w:rsidRDefault="00AB7B8E" w:rsidP="00CD363C">
            <w:pPr>
              <w:pStyle w:val="TableParagraph"/>
              <w:ind w:right="407"/>
              <w:jc w:val="both"/>
              <w:rPr>
                <w:sz w:val="20"/>
              </w:rPr>
            </w:pPr>
            <w:r>
              <w:rPr>
                <w:sz w:val="20"/>
              </w:rPr>
              <w:t>2019</w:t>
            </w:r>
          </w:p>
        </w:tc>
        <w:tc>
          <w:tcPr>
            <w:tcW w:w="1985" w:type="dxa"/>
          </w:tcPr>
          <w:p w14:paraId="76311E80" w14:textId="77777777" w:rsidR="00AB7B8E" w:rsidRDefault="00AB7B8E" w:rsidP="00CD363C">
            <w:pPr>
              <w:pStyle w:val="TableParagraph"/>
              <w:ind w:right="407"/>
              <w:jc w:val="both"/>
              <w:rPr>
                <w:sz w:val="20"/>
              </w:rPr>
            </w:pPr>
            <w:r>
              <w:rPr>
                <w:w w:val="99"/>
                <w:sz w:val="20"/>
              </w:rPr>
              <w:t>-</w:t>
            </w:r>
          </w:p>
        </w:tc>
        <w:tc>
          <w:tcPr>
            <w:tcW w:w="1982" w:type="dxa"/>
          </w:tcPr>
          <w:p w14:paraId="556C081D" w14:textId="77777777" w:rsidR="00AB7B8E" w:rsidRDefault="00AB7B8E" w:rsidP="00CD363C">
            <w:pPr>
              <w:pStyle w:val="TableParagraph"/>
              <w:ind w:right="407"/>
              <w:jc w:val="both"/>
              <w:rPr>
                <w:sz w:val="20"/>
              </w:rPr>
            </w:pPr>
            <w:r>
              <w:rPr>
                <w:sz w:val="20"/>
              </w:rPr>
              <w:t>0,00</w:t>
            </w:r>
          </w:p>
        </w:tc>
        <w:tc>
          <w:tcPr>
            <w:tcW w:w="1843" w:type="dxa"/>
          </w:tcPr>
          <w:p w14:paraId="2C8024DE" w14:textId="77777777" w:rsidR="00AB7B8E" w:rsidRDefault="00AB7B8E" w:rsidP="00CD363C">
            <w:pPr>
              <w:pStyle w:val="TableParagraph"/>
              <w:ind w:right="407"/>
              <w:jc w:val="both"/>
              <w:rPr>
                <w:sz w:val="20"/>
              </w:rPr>
            </w:pPr>
            <w:r>
              <w:rPr>
                <w:sz w:val="20"/>
              </w:rPr>
              <w:t>1,00</w:t>
            </w:r>
          </w:p>
        </w:tc>
        <w:tc>
          <w:tcPr>
            <w:tcW w:w="2553" w:type="dxa"/>
          </w:tcPr>
          <w:p w14:paraId="4B131471" w14:textId="77777777" w:rsidR="00AB7B8E" w:rsidRDefault="00AB7B8E" w:rsidP="00CD363C">
            <w:pPr>
              <w:pStyle w:val="TableParagraph"/>
              <w:ind w:right="407"/>
              <w:jc w:val="both"/>
              <w:rPr>
                <w:sz w:val="20"/>
              </w:rPr>
            </w:pPr>
            <w:r>
              <w:rPr>
                <w:sz w:val="20"/>
              </w:rPr>
              <w:t>0,00</w:t>
            </w:r>
          </w:p>
        </w:tc>
      </w:tr>
      <w:tr w:rsidR="00AB7B8E" w14:paraId="1F0A067F" w14:textId="77777777" w:rsidTr="00FF1C69">
        <w:trPr>
          <w:trHeight w:val="230"/>
        </w:trPr>
        <w:tc>
          <w:tcPr>
            <w:tcW w:w="1130" w:type="dxa"/>
          </w:tcPr>
          <w:p w14:paraId="54249BDD" w14:textId="77777777" w:rsidR="00AB7B8E" w:rsidRDefault="00AB7B8E" w:rsidP="00CD363C">
            <w:pPr>
              <w:pStyle w:val="TableParagraph"/>
              <w:ind w:right="407"/>
              <w:jc w:val="both"/>
              <w:rPr>
                <w:sz w:val="20"/>
              </w:rPr>
            </w:pPr>
            <w:r>
              <w:rPr>
                <w:sz w:val="20"/>
              </w:rPr>
              <w:t>2020</w:t>
            </w:r>
          </w:p>
        </w:tc>
        <w:tc>
          <w:tcPr>
            <w:tcW w:w="1985" w:type="dxa"/>
          </w:tcPr>
          <w:p w14:paraId="1B7C3EBC" w14:textId="77777777" w:rsidR="00AB7B8E" w:rsidRDefault="00AB7B8E" w:rsidP="00CD363C">
            <w:pPr>
              <w:pStyle w:val="TableParagraph"/>
              <w:ind w:right="407"/>
              <w:jc w:val="both"/>
              <w:rPr>
                <w:sz w:val="20"/>
              </w:rPr>
            </w:pPr>
            <w:r>
              <w:rPr>
                <w:w w:val="99"/>
                <w:sz w:val="20"/>
              </w:rPr>
              <w:t>-</w:t>
            </w:r>
          </w:p>
        </w:tc>
        <w:tc>
          <w:tcPr>
            <w:tcW w:w="1982" w:type="dxa"/>
          </w:tcPr>
          <w:p w14:paraId="087F76C9" w14:textId="77777777" w:rsidR="00AB7B8E" w:rsidRDefault="00AB7B8E" w:rsidP="00CD363C">
            <w:pPr>
              <w:pStyle w:val="TableParagraph"/>
              <w:ind w:right="407"/>
              <w:jc w:val="both"/>
              <w:rPr>
                <w:sz w:val="20"/>
              </w:rPr>
            </w:pPr>
            <w:r>
              <w:rPr>
                <w:sz w:val="20"/>
              </w:rPr>
              <w:t>0,00</w:t>
            </w:r>
          </w:p>
        </w:tc>
        <w:tc>
          <w:tcPr>
            <w:tcW w:w="1843" w:type="dxa"/>
          </w:tcPr>
          <w:p w14:paraId="1CFCB13F" w14:textId="77777777" w:rsidR="00AB7B8E" w:rsidRDefault="00AB7B8E" w:rsidP="00CD363C">
            <w:pPr>
              <w:pStyle w:val="TableParagraph"/>
              <w:ind w:right="407"/>
              <w:jc w:val="both"/>
              <w:rPr>
                <w:sz w:val="20"/>
              </w:rPr>
            </w:pPr>
            <w:r>
              <w:rPr>
                <w:sz w:val="20"/>
              </w:rPr>
              <w:t>1,08</w:t>
            </w:r>
          </w:p>
        </w:tc>
        <w:tc>
          <w:tcPr>
            <w:tcW w:w="2553" w:type="dxa"/>
          </w:tcPr>
          <w:p w14:paraId="25288884" w14:textId="77777777" w:rsidR="00AB7B8E" w:rsidRDefault="00AB7B8E" w:rsidP="00CD363C">
            <w:pPr>
              <w:pStyle w:val="TableParagraph"/>
              <w:ind w:right="407"/>
              <w:jc w:val="both"/>
              <w:rPr>
                <w:sz w:val="20"/>
              </w:rPr>
            </w:pPr>
            <w:r>
              <w:rPr>
                <w:sz w:val="20"/>
              </w:rPr>
              <w:t>0,00</w:t>
            </w:r>
          </w:p>
        </w:tc>
      </w:tr>
      <w:tr w:rsidR="00AB7B8E" w14:paraId="0EA8E647" w14:textId="77777777" w:rsidTr="00FF1C69">
        <w:trPr>
          <w:trHeight w:val="230"/>
        </w:trPr>
        <w:tc>
          <w:tcPr>
            <w:tcW w:w="1130" w:type="dxa"/>
          </w:tcPr>
          <w:p w14:paraId="5EA8081B" w14:textId="77777777" w:rsidR="00AB7B8E" w:rsidRDefault="00AB7B8E" w:rsidP="00CD363C">
            <w:pPr>
              <w:pStyle w:val="TableParagraph"/>
              <w:ind w:right="407"/>
              <w:jc w:val="both"/>
              <w:rPr>
                <w:sz w:val="20"/>
              </w:rPr>
            </w:pPr>
            <w:r>
              <w:rPr>
                <w:sz w:val="20"/>
              </w:rPr>
              <w:t>2021</w:t>
            </w:r>
          </w:p>
        </w:tc>
        <w:tc>
          <w:tcPr>
            <w:tcW w:w="1985" w:type="dxa"/>
          </w:tcPr>
          <w:p w14:paraId="6F4BE912" w14:textId="77777777" w:rsidR="00AB7B8E" w:rsidRDefault="00AB7B8E" w:rsidP="00CD363C">
            <w:pPr>
              <w:pStyle w:val="TableParagraph"/>
              <w:ind w:right="407"/>
              <w:jc w:val="both"/>
              <w:rPr>
                <w:sz w:val="20"/>
              </w:rPr>
            </w:pPr>
            <w:r>
              <w:rPr>
                <w:sz w:val="20"/>
              </w:rPr>
              <w:t>100%</w:t>
            </w:r>
          </w:p>
        </w:tc>
        <w:tc>
          <w:tcPr>
            <w:tcW w:w="1982" w:type="dxa"/>
          </w:tcPr>
          <w:p w14:paraId="4E393BA5" w14:textId="77777777" w:rsidR="00AB7B8E" w:rsidRDefault="00AB7B8E" w:rsidP="00CD363C">
            <w:pPr>
              <w:pStyle w:val="TableParagraph"/>
              <w:ind w:right="407"/>
              <w:jc w:val="both"/>
              <w:rPr>
                <w:sz w:val="20"/>
              </w:rPr>
            </w:pPr>
            <w:r>
              <w:rPr>
                <w:sz w:val="20"/>
              </w:rPr>
              <w:t>100 000,00</w:t>
            </w:r>
          </w:p>
        </w:tc>
        <w:tc>
          <w:tcPr>
            <w:tcW w:w="1843" w:type="dxa"/>
          </w:tcPr>
          <w:p w14:paraId="04B1F632" w14:textId="77777777" w:rsidR="00AB7B8E" w:rsidRDefault="00AB7B8E" w:rsidP="00CD363C">
            <w:pPr>
              <w:pStyle w:val="TableParagraph"/>
              <w:ind w:right="407"/>
              <w:jc w:val="both"/>
              <w:rPr>
                <w:sz w:val="20"/>
              </w:rPr>
            </w:pPr>
            <w:r>
              <w:rPr>
                <w:sz w:val="20"/>
              </w:rPr>
              <w:t>1,12</w:t>
            </w:r>
          </w:p>
        </w:tc>
        <w:tc>
          <w:tcPr>
            <w:tcW w:w="2553" w:type="dxa"/>
          </w:tcPr>
          <w:p w14:paraId="3A3E9A0E" w14:textId="77777777" w:rsidR="00AB7B8E" w:rsidRDefault="00AB7B8E" w:rsidP="00CD363C">
            <w:pPr>
              <w:pStyle w:val="TableParagraph"/>
              <w:ind w:right="407"/>
              <w:jc w:val="both"/>
              <w:rPr>
                <w:sz w:val="20"/>
              </w:rPr>
            </w:pPr>
            <w:r>
              <w:rPr>
                <w:sz w:val="20"/>
              </w:rPr>
              <w:t>88 899,64</w:t>
            </w:r>
          </w:p>
        </w:tc>
      </w:tr>
      <w:tr w:rsidR="00AB7B8E" w14:paraId="2EFDBF71" w14:textId="77777777" w:rsidTr="00FF1C69">
        <w:trPr>
          <w:trHeight w:val="230"/>
        </w:trPr>
        <w:tc>
          <w:tcPr>
            <w:tcW w:w="1130" w:type="dxa"/>
          </w:tcPr>
          <w:p w14:paraId="0096E772" w14:textId="77777777" w:rsidR="00AB7B8E" w:rsidRDefault="00AB7B8E" w:rsidP="00CD363C">
            <w:pPr>
              <w:pStyle w:val="TableParagraph"/>
              <w:ind w:right="407"/>
              <w:jc w:val="both"/>
              <w:rPr>
                <w:sz w:val="20"/>
              </w:rPr>
            </w:pPr>
            <w:r>
              <w:rPr>
                <w:w w:val="95"/>
                <w:sz w:val="20"/>
              </w:rPr>
              <w:t>Kopā</w:t>
            </w:r>
          </w:p>
        </w:tc>
        <w:tc>
          <w:tcPr>
            <w:tcW w:w="1985" w:type="dxa"/>
          </w:tcPr>
          <w:p w14:paraId="3839B5FD" w14:textId="77777777" w:rsidR="00AB7B8E" w:rsidRDefault="00AB7B8E" w:rsidP="00CD363C">
            <w:pPr>
              <w:pStyle w:val="TableParagraph"/>
              <w:ind w:right="407"/>
              <w:jc w:val="both"/>
              <w:rPr>
                <w:sz w:val="20"/>
              </w:rPr>
            </w:pPr>
            <w:r>
              <w:rPr>
                <w:w w:val="99"/>
                <w:sz w:val="20"/>
              </w:rPr>
              <w:t>-</w:t>
            </w:r>
          </w:p>
        </w:tc>
        <w:tc>
          <w:tcPr>
            <w:tcW w:w="1982" w:type="dxa"/>
          </w:tcPr>
          <w:p w14:paraId="19077FE2" w14:textId="77777777" w:rsidR="00AB7B8E" w:rsidRDefault="00AB7B8E" w:rsidP="00CD363C">
            <w:pPr>
              <w:pStyle w:val="TableParagraph"/>
              <w:ind w:right="407"/>
              <w:jc w:val="both"/>
              <w:rPr>
                <w:sz w:val="20"/>
              </w:rPr>
            </w:pPr>
            <w:r>
              <w:rPr>
                <w:w w:val="99"/>
                <w:sz w:val="20"/>
              </w:rPr>
              <w:t>-</w:t>
            </w:r>
          </w:p>
        </w:tc>
        <w:tc>
          <w:tcPr>
            <w:tcW w:w="1843" w:type="dxa"/>
          </w:tcPr>
          <w:p w14:paraId="4FC1BF4B" w14:textId="77777777" w:rsidR="00AB7B8E" w:rsidRDefault="00AB7B8E" w:rsidP="00CD363C">
            <w:pPr>
              <w:pStyle w:val="TableParagraph"/>
              <w:ind w:right="407"/>
              <w:jc w:val="both"/>
              <w:rPr>
                <w:sz w:val="20"/>
              </w:rPr>
            </w:pPr>
            <w:r>
              <w:rPr>
                <w:w w:val="99"/>
                <w:sz w:val="20"/>
              </w:rPr>
              <w:t>-</w:t>
            </w:r>
          </w:p>
        </w:tc>
        <w:tc>
          <w:tcPr>
            <w:tcW w:w="2553" w:type="dxa"/>
          </w:tcPr>
          <w:p w14:paraId="56D470F1" w14:textId="77777777" w:rsidR="00AB7B8E" w:rsidRDefault="00AB7B8E" w:rsidP="00CD363C">
            <w:pPr>
              <w:pStyle w:val="TableParagraph"/>
              <w:ind w:right="407"/>
              <w:jc w:val="both"/>
              <w:rPr>
                <w:sz w:val="20"/>
              </w:rPr>
            </w:pPr>
            <w:r>
              <w:rPr>
                <w:sz w:val="20"/>
              </w:rPr>
              <w:t>88 899,64</w:t>
            </w:r>
          </w:p>
        </w:tc>
      </w:tr>
    </w:tbl>
    <w:p w14:paraId="57A62F7C" w14:textId="77777777" w:rsidR="00AB7B8E" w:rsidRDefault="00AB7B8E" w:rsidP="00CD363C">
      <w:pPr>
        <w:spacing w:after="0" w:line="240" w:lineRule="auto"/>
        <w:ind w:left="338" w:right="407"/>
        <w:jc w:val="both"/>
        <w:rPr>
          <w:i/>
          <w:sz w:val="20"/>
        </w:rPr>
      </w:pPr>
      <w:r>
        <w:rPr>
          <w:i/>
          <w:sz w:val="20"/>
        </w:rPr>
        <w:t>*diskonta faktors tiek aprēķināts saskaņā ar sekojošu formulu:</w:t>
      </w:r>
    </w:p>
    <w:p w14:paraId="1D78954B" w14:textId="77777777" w:rsidR="00AB7B8E" w:rsidRDefault="00AB7B8E" w:rsidP="00CD363C">
      <w:pPr>
        <w:spacing w:after="0" w:line="240" w:lineRule="auto"/>
        <w:ind w:left="365" w:right="407"/>
        <w:jc w:val="both"/>
        <w:rPr>
          <w:rFonts w:ascii="DejaVu Serif"/>
          <w:sz w:val="20"/>
        </w:rPr>
      </w:pPr>
      <w:r>
        <w:rPr>
          <w:rFonts w:ascii="DejaVu Serif"/>
          <w:w w:val="86"/>
          <w:sz w:val="20"/>
        </w:rPr>
        <w:t>1</w:t>
      </w:r>
    </w:p>
    <w:p w14:paraId="360431A4" w14:textId="77777777" w:rsidR="00AB7B8E" w:rsidRDefault="00870ECE" w:rsidP="00CD363C">
      <w:pPr>
        <w:spacing w:after="0" w:line="240" w:lineRule="auto"/>
        <w:ind w:left="605" w:right="407"/>
        <w:jc w:val="both"/>
        <w:rPr>
          <w:rFonts w:ascii="DejaVu Serif"/>
          <w:sz w:val="20"/>
        </w:rPr>
      </w:pPr>
      <w:r>
        <w:rPr>
          <w:noProof/>
        </w:rPr>
        <mc:AlternateContent>
          <mc:Choice Requires="wps">
            <w:drawing>
              <wp:anchor distT="0" distB="0" distL="114300" distR="114300" simplePos="0" relativeHeight="251700224" behindDoc="0" locked="0" layoutInCell="1" allowOverlap="1" wp14:anchorId="60A97978" wp14:editId="60A5E555">
                <wp:simplePos x="0" y="0"/>
                <wp:positionH relativeFrom="page">
                  <wp:posOffset>3851910</wp:posOffset>
                </wp:positionH>
                <wp:positionV relativeFrom="paragraph">
                  <wp:posOffset>57150</wp:posOffset>
                </wp:positionV>
                <wp:extent cx="459105" cy="0"/>
                <wp:effectExtent l="13335" t="8255" r="13335" b="10795"/>
                <wp:wrapNone/>
                <wp:docPr id="49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F0508" id="Line 141"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3pt,4.5pt" to="33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CN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" strokeweight=".6pt">
                <w10:wrap anchorx="page"/>
              </v:line>
            </w:pict>
          </mc:Fallback>
        </mc:AlternateContent>
      </w:r>
      <w:r w:rsidR="00AB7B8E">
        <w:rPr>
          <w:rFonts w:ascii="DejaVu Serif"/>
          <w:w w:val="95"/>
          <w:sz w:val="20"/>
        </w:rPr>
        <w:t>df =</w:t>
      </w:r>
    </w:p>
    <w:p w14:paraId="59F140C9" w14:textId="77777777" w:rsidR="00AB7B8E" w:rsidRDefault="00AB7B8E" w:rsidP="00CD363C">
      <w:pPr>
        <w:spacing w:after="0" w:line="240" w:lineRule="auto"/>
        <w:ind w:left="605" w:right="407"/>
        <w:jc w:val="both"/>
        <w:rPr>
          <w:rFonts w:ascii="DejaVu Serif"/>
          <w:sz w:val="14"/>
        </w:rPr>
      </w:pPr>
      <w:r>
        <w:rPr>
          <w:rFonts w:ascii="DejaVu Serif"/>
          <w:sz w:val="20"/>
        </w:rPr>
        <w:t>(1 + p)</w:t>
      </w:r>
      <w:r>
        <w:rPr>
          <w:rFonts w:ascii="DejaVu Serif"/>
          <w:position w:val="6"/>
          <w:sz w:val="14"/>
        </w:rPr>
        <w:t>n</w:t>
      </w:r>
    </w:p>
    <w:p w14:paraId="174F418E" w14:textId="77777777" w:rsidR="00AB7B8E" w:rsidRDefault="00AB7B8E" w:rsidP="00CD363C">
      <w:pPr>
        <w:spacing w:after="0" w:line="240" w:lineRule="auto"/>
        <w:ind w:left="338" w:right="407"/>
        <w:jc w:val="both"/>
        <w:rPr>
          <w:i/>
          <w:sz w:val="20"/>
        </w:rPr>
      </w:pPr>
      <w:r>
        <w:rPr>
          <w:i/>
          <w:sz w:val="20"/>
        </w:rPr>
        <w:t>kur:</w:t>
      </w:r>
    </w:p>
    <w:p w14:paraId="56929297" w14:textId="77777777" w:rsidR="00AB7B8E" w:rsidRDefault="00AB7B8E" w:rsidP="00CD363C">
      <w:pPr>
        <w:spacing w:after="0" w:line="240" w:lineRule="auto"/>
        <w:ind w:left="338" w:right="407"/>
        <w:jc w:val="both"/>
        <w:rPr>
          <w:i/>
          <w:sz w:val="20"/>
        </w:rPr>
      </w:pPr>
      <w:r>
        <w:rPr>
          <w:i/>
          <w:sz w:val="20"/>
        </w:rPr>
        <w:t>df = diskonta faktors;</w:t>
      </w:r>
    </w:p>
    <w:p w14:paraId="500E98ED" w14:textId="77777777" w:rsidR="00AB7B8E" w:rsidRDefault="00AB7B8E" w:rsidP="00CD363C">
      <w:pPr>
        <w:spacing w:after="0" w:line="240" w:lineRule="auto"/>
        <w:ind w:left="338" w:right="407"/>
        <w:jc w:val="both"/>
        <w:rPr>
          <w:i/>
          <w:sz w:val="20"/>
        </w:rPr>
      </w:pPr>
      <w:r>
        <w:rPr>
          <w:i/>
          <w:sz w:val="20"/>
        </w:rPr>
        <w:t>p = diskonta koeficients (piemērā koeficients ir 0,04 pie procentu likmes 4%); n = gads, kurā tiek veikts maksājums, attiecībā pret bāzes gadu.</w:t>
      </w:r>
    </w:p>
    <w:p w14:paraId="5B0D8F6B" w14:textId="77777777" w:rsidR="00AB7B8E" w:rsidRDefault="00AB7B8E" w:rsidP="00CD363C">
      <w:pPr>
        <w:pStyle w:val="Sarakstarindkopa"/>
        <w:widowControl w:val="0"/>
        <w:numPr>
          <w:ilvl w:val="0"/>
          <w:numId w:val="58"/>
        </w:numPr>
        <w:tabs>
          <w:tab w:val="left" w:pos="671"/>
        </w:tabs>
        <w:autoSpaceDE w:val="0"/>
        <w:autoSpaceDN w:val="0"/>
        <w:spacing w:after="0" w:line="240" w:lineRule="auto"/>
        <w:ind w:right="407" w:firstLine="0"/>
        <w:contextualSpacing w:val="0"/>
        <w:jc w:val="both"/>
      </w:pPr>
      <w:r>
        <w:t>tabulā ir attēlots aizņēmuma uzskaites vērtības un procentu aprēķins izmantojot efektīvo procentu likmi, kas ir atbilstoša vidējai tirgus likmei</w:t>
      </w:r>
      <w:r>
        <w:rPr>
          <w:spacing w:val="-2"/>
        </w:rPr>
        <w:t xml:space="preserve"> </w:t>
      </w:r>
      <w:r>
        <w:t>4%.</w:t>
      </w:r>
    </w:p>
    <w:p w14:paraId="3243D51D" w14:textId="77777777" w:rsidR="00AB7B8E" w:rsidRDefault="00AB7B8E" w:rsidP="00CD363C">
      <w:pPr>
        <w:pStyle w:val="Sarakstarindkopa"/>
        <w:widowControl w:val="0"/>
        <w:numPr>
          <w:ilvl w:val="0"/>
          <w:numId w:val="59"/>
        </w:numPr>
        <w:tabs>
          <w:tab w:val="left" w:pos="4134"/>
        </w:tabs>
        <w:autoSpaceDE w:val="0"/>
        <w:autoSpaceDN w:val="0"/>
        <w:spacing w:after="0" w:line="240" w:lineRule="auto"/>
        <w:ind w:right="407" w:firstLine="3493"/>
        <w:contextualSpacing w:val="0"/>
        <w:jc w:val="both"/>
        <w:rPr>
          <w:i/>
          <w:sz w:val="20"/>
        </w:rPr>
      </w:pPr>
      <w:r>
        <w:rPr>
          <w:i/>
          <w:sz w:val="20"/>
        </w:rPr>
        <w:t>tabula. Bezprocentu aizņēmuma uzskaites vērtības un procentu</w:t>
      </w:r>
      <w:r>
        <w:rPr>
          <w:i/>
          <w:spacing w:val="-10"/>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76"/>
        <w:gridCol w:w="1940"/>
        <w:gridCol w:w="2009"/>
        <w:gridCol w:w="1839"/>
        <w:gridCol w:w="2532"/>
      </w:tblGrid>
      <w:tr w:rsidR="00AB7B8E" w14:paraId="22105DCE" w14:textId="77777777" w:rsidTr="00FF1C69">
        <w:trPr>
          <w:trHeight w:val="688"/>
        </w:trPr>
        <w:tc>
          <w:tcPr>
            <w:tcW w:w="1176" w:type="dxa"/>
            <w:shd w:val="clear" w:color="auto" w:fill="F1F1F1"/>
          </w:tcPr>
          <w:p w14:paraId="6F5379D2" w14:textId="77777777" w:rsidR="00AB7B8E" w:rsidRDefault="00AB7B8E" w:rsidP="00CD363C">
            <w:pPr>
              <w:pStyle w:val="TableParagraph"/>
              <w:ind w:right="407"/>
              <w:jc w:val="both"/>
              <w:rPr>
                <w:i/>
                <w:sz w:val="19"/>
              </w:rPr>
            </w:pPr>
          </w:p>
          <w:p w14:paraId="707567A5" w14:textId="77777777" w:rsidR="00AB7B8E" w:rsidRDefault="00AB7B8E" w:rsidP="00CD363C">
            <w:pPr>
              <w:pStyle w:val="TableParagraph"/>
              <w:ind w:left="335" w:right="407"/>
              <w:jc w:val="both"/>
              <w:rPr>
                <w:b/>
                <w:sz w:val="20"/>
              </w:rPr>
            </w:pPr>
            <w:r>
              <w:rPr>
                <w:b/>
                <w:sz w:val="20"/>
              </w:rPr>
              <w:t>Gads</w:t>
            </w:r>
          </w:p>
        </w:tc>
        <w:tc>
          <w:tcPr>
            <w:tcW w:w="1940" w:type="dxa"/>
            <w:shd w:val="clear" w:color="auto" w:fill="F1F1F1"/>
          </w:tcPr>
          <w:p w14:paraId="6316169B" w14:textId="77777777" w:rsidR="00AB7B8E" w:rsidRDefault="00AB7B8E" w:rsidP="00CD363C">
            <w:pPr>
              <w:pStyle w:val="TableParagraph"/>
              <w:ind w:left="182" w:right="407"/>
              <w:jc w:val="both"/>
              <w:rPr>
                <w:b/>
                <w:sz w:val="20"/>
              </w:rPr>
            </w:pPr>
            <w:r>
              <w:rPr>
                <w:b/>
                <w:sz w:val="20"/>
              </w:rPr>
              <w:t>Uzskaites vērtība perioda sākumā,</w:t>
            </w:r>
          </w:p>
          <w:p w14:paraId="616E2747" w14:textId="77777777" w:rsidR="00AB7B8E" w:rsidRDefault="00AB7B8E" w:rsidP="00CD363C">
            <w:pPr>
              <w:pStyle w:val="TableParagraph"/>
              <w:ind w:left="182" w:right="407"/>
              <w:jc w:val="both"/>
              <w:rPr>
                <w:b/>
                <w:sz w:val="20"/>
              </w:rPr>
            </w:pPr>
            <w:r>
              <w:rPr>
                <w:b/>
                <w:sz w:val="20"/>
              </w:rPr>
              <w:t>EUR</w:t>
            </w:r>
          </w:p>
        </w:tc>
        <w:tc>
          <w:tcPr>
            <w:tcW w:w="2009" w:type="dxa"/>
            <w:shd w:val="clear" w:color="auto" w:fill="F1F1F1"/>
          </w:tcPr>
          <w:p w14:paraId="59E5A901" w14:textId="77777777" w:rsidR="00AB7B8E" w:rsidRDefault="00AB7B8E" w:rsidP="00CD363C">
            <w:pPr>
              <w:pStyle w:val="TableParagraph"/>
              <w:ind w:left="354" w:right="407" w:firstLine="108"/>
              <w:jc w:val="both"/>
              <w:rPr>
                <w:b/>
                <w:sz w:val="20"/>
              </w:rPr>
            </w:pPr>
            <w:r>
              <w:rPr>
                <w:b/>
                <w:sz w:val="20"/>
              </w:rPr>
              <w:t>Aprēķinātie procenti, EUR</w:t>
            </w:r>
          </w:p>
        </w:tc>
        <w:tc>
          <w:tcPr>
            <w:tcW w:w="1839" w:type="dxa"/>
            <w:shd w:val="clear" w:color="auto" w:fill="F1F1F1"/>
          </w:tcPr>
          <w:p w14:paraId="5A917FE0" w14:textId="77777777" w:rsidR="00AB7B8E" w:rsidRDefault="00AB7B8E" w:rsidP="00CD363C">
            <w:pPr>
              <w:pStyle w:val="TableParagraph"/>
              <w:ind w:left="189" w:right="407" w:hanging="1"/>
              <w:jc w:val="both"/>
              <w:rPr>
                <w:b/>
                <w:sz w:val="20"/>
              </w:rPr>
            </w:pPr>
            <w:r>
              <w:rPr>
                <w:b/>
                <w:sz w:val="20"/>
              </w:rPr>
              <w:t>Atmaksa (pamatsumma</w:t>
            </w:r>
            <w:r>
              <w:rPr>
                <w:b/>
                <w:spacing w:val="-7"/>
                <w:sz w:val="20"/>
              </w:rPr>
              <w:t xml:space="preserve"> </w:t>
            </w:r>
            <w:r>
              <w:rPr>
                <w:b/>
                <w:sz w:val="20"/>
              </w:rPr>
              <w:t>+</w:t>
            </w:r>
          </w:p>
          <w:p w14:paraId="1AE39F86" w14:textId="77777777" w:rsidR="00AB7B8E" w:rsidRDefault="00AB7B8E" w:rsidP="00CD363C">
            <w:pPr>
              <w:pStyle w:val="TableParagraph"/>
              <w:ind w:left="217" w:right="407"/>
              <w:jc w:val="both"/>
              <w:rPr>
                <w:b/>
                <w:sz w:val="20"/>
              </w:rPr>
            </w:pPr>
            <w:r>
              <w:rPr>
                <w:b/>
                <w:sz w:val="20"/>
              </w:rPr>
              <w:t>procenti), EUR</w:t>
            </w:r>
          </w:p>
        </w:tc>
        <w:tc>
          <w:tcPr>
            <w:tcW w:w="2532" w:type="dxa"/>
            <w:shd w:val="clear" w:color="auto" w:fill="F1F1F1"/>
          </w:tcPr>
          <w:p w14:paraId="296BA7C8" w14:textId="77777777" w:rsidR="00AB7B8E" w:rsidRDefault="00AB7B8E" w:rsidP="00CD363C">
            <w:pPr>
              <w:pStyle w:val="TableParagraph"/>
              <w:ind w:left="707" w:right="407" w:hanging="560"/>
              <w:jc w:val="both"/>
              <w:rPr>
                <w:b/>
                <w:sz w:val="20"/>
              </w:rPr>
            </w:pPr>
            <w:r>
              <w:rPr>
                <w:b/>
                <w:sz w:val="20"/>
              </w:rPr>
              <w:t>Uzskaites vērtība perioda beigās, EUR</w:t>
            </w:r>
          </w:p>
        </w:tc>
      </w:tr>
      <w:tr w:rsidR="00AB7B8E" w14:paraId="6D17F863" w14:textId="77777777" w:rsidTr="00FF1C69">
        <w:trPr>
          <w:trHeight w:val="230"/>
        </w:trPr>
        <w:tc>
          <w:tcPr>
            <w:tcW w:w="1176" w:type="dxa"/>
            <w:shd w:val="clear" w:color="auto" w:fill="F1F1F1"/>
          </w:tcPr>
          <w:p w14:paraId="68EB5983" w14:textId="77777777" w:rsidR="00AB7B8E" w:rsidRDefault="00AB7B8E" w:rsidP="00CD363C">
            <w:pPr>
              <w:pStyle w:val="TableParagraph"/>
              <w:ind w:right="407"/>
              <w:jc w:val="both"/>
              <w:rPr>
                <w:b/>
                <w:sz w:val="20"/>
              </w:rPr>
            </w:pPr>
            <w:r>
              <w:rPr>
                <w:b/>
                <w:w w:val="99"/>
                <w:sz w:val="20"/>
              </w:rPr>
              <w:t>A</w:t>
            </w:r>
          </w:p>
        </w:tc>
        <w:tc>
          <w:tcPr>
            <w:tcW w:w="1940" w:type="dxa"/>
            <w:shd w:val="clear" w:color="auto" w:fill="F1F1F1"/>
          </w:tcPr>
          <w:p w14:paraId="27D5E0D7" w14:textId="77777777" w:rsidR="00AB7B8E" w:rsidRDefault="00AB7B8E" w:rsidP="00CD363C">
            <w:pPr>
              <w:pStyle w:val="TableParagraph"/>
              <w:ind w:right="407"/>
              <w:jc w:val="both"/>
              <w:rPr>
                <w:b/>
                <w:sz w:val="20"/>
              </w:rPr>
            </w:pPr>
            <w:r>
              <w:rPr>
                <w:b/>
                <w:w w:val="99"/>
                <w:sz w:val="20"/>
              </w:rPr>
              <w:t>B</w:t>
            </w:r>
          </w:p>
        </w:tc>
        <w:tc>
          <w:tcPr>
            <w:tcW w:w="2009" w:type="dxa"/>
            <w:shd w:val="clear" w:color="auto" w:fill="F1F1F1"/>
          </w:tcPr>
          <w:p w14:paraId="531F614F" w14:textId="77777777" w:rsidR="00AB7B8E" w:rsidRDefault="00AB7B8E" w:rsidP="00CD363C">
            <w:pPr>
              <w:pStyle w:val="TableParagraph"/>
              <w:ind w:right="407"/>
              <w:jc w:val="both"/>
              <w:rPr>
                <w:b/>
                <w:sz w:val="20"/>
              </w:rPr>
            </w:pPr>
            <w:r>
              <w:rPr>
                <w:b/>
                <w:w w:val="99"/>
                <w:sz w:val="20"/>
              </w:rPr>
              <w:t>C</w:t>
            </w:r>
          </w:p>
        </w:tc>
        <w:tc>
          <w:tcPr>
            <w:tcW w:w="1839" w:type="dxa"/>
            <w:shd w:val="clear" w:color="auto" w:fill="F1F1F1"/>
          </w:tcPr>
          <w:p w14:paraId="75E4FF4B" w14:textId="77777777" w:rsidR="00AB7B8E" w:rsidRDefault="00AB7B8E" w:rsidP="00CD363C">
            <w:pPr>
              <w:pStyle w:val="TableParagraph"/>
              <w:ind w:right="407"/>
              <w:jc w:val="both"/>
              <w:rPr>
                <w:b/>
                <w:sz w:val="20"/>
              </w:rPr>
            </w:pPr>
            <w:r>
              <w:rPr>
                <w:b/>
                <w:w w:val="99"/>
                <w:sz w:val="20"/>
              </w:rPr>
              <w:t>D</w:t>
            </w:r>
          </w:p>
        </w:tc>
        <w:tc>
          <w:tcPr>
            <w:tcW w:w="2532" w:type="dxa"/>
            <w:shd w:val="clear" w:color="auto" w:fill="F1F1F1"/>
          </w:tcPr>
          <w:p w14:paraId="6D22DA27" w14:textId="77777777" w:rsidR="00AB7B8E" w:rsidRDefault="00AB7B8E" w:rsidP="00CD363C">
            <w:pPr>
              <w:pStyle w:val="TableParagraph"/>
              <w:ind w:left="895" w:right="407"/>
              <w:jc w:val="both"/>
              <w:rPr>
                <w:b/>
                <w:sz w:val="20"/>
              </w:rPr>
            </w:pPr>
            <w:r>
              <w:rPr>
                <w:b/>
                <w:sz w:val="20"/>
              </w:rPr>
              <w:t>E=B+C</w:t>
            </w:r>
          </w:p>
        </w:tc>
      </w:tr>
      <w:tr w:rsidR="00AB7B8E" w14:paraId="3B1404A9" w14:textId="77777777" w:rsidTr="00FF1C69">
        <w:trPr>
          <w:trHeight w:val="230"/>
        </w:trPr>
        <w:tc>
          <w:tcPr>
            <w:tcW w:w="1176" w:type="dxa"/>
          </w:tcPr>
          <w:p w14:paraId="4BA0CF4C" w14:textId="77777777" w:rsidR="00AB7B8E" w:rsidRDefault="00AB7B8E" w:rsidP="00CD363C">
            <w:pPr>
              <w:pStyle w:val="TableParagraph"/>
              <w:ind w:right="407"/>
              <w:jc w:val="both"/>
              <w:rPr>
                <w:sz w:val="20"/>
              </w:rPr>
            </w:pPr>
            <w:r>
              <w:rPr>
                <w:sz w:val="20"/>
              </w:rPr>
              <w:t>2019</w:t>
            </w:r>
          </w:p>
        </w:tc>
        <w:tc>
          <w:tcPr>
            <w:tcW w:w="1940" w:type="dxa"/>
          </w:tcPr>
          <w:p w14:paraId="733D6EA6" w14:textId="77777777" w:rsidR="00AB7B8E" w:rsidRDefault="00AB7B8E" w:rsidP="00CD363C">
            <w:pPr>
              <w:pStyle w:val="TableParagraph"/>
              <w:ind w:right="407"/>
              <w:jc w:val="both"/>
              <w:rPr>
                <w:sz w:val="20"/>
              </w:rPr>
            </w:pPr>
            <w:r>
              <w:rPr>
                <w:sz w:val="20"/>
              </w:rPr>
              <w:t>88 899,64</w:t>
            </w:r>
          </w:p>
        </w:tc>
        <w:tc>
          <w:tcPr>
            <w:tcW w:w="2009" w:type="dxa"/>
          </w:tcPr>
          <w:p w14:paraId="16CAC08E" w14:textId="77777777" w:rsidR="00AB7B8E" w:rsidRDefault="00AB7B8E" w:rsidP="00CD363C">
            <w:pPr>
              <w:pStyle w:val="TableParagraph"/>
              <w:ind w:right="407"/>
              <w:jc w:val="both"/>
              <w:rPr>
                <w:sz w:val="20"/>
              </w:rPr>
            </w:pPr>
            <w:r>
              <w:rPr>
                <w:sz w:val="20"/>
              </w:rPr>
              <w:t>3 555,99</w:t>
            </w:r>
          </w:p>
        </w:tc>
        <w:tc>
          <w:tcPr>
            <w:tcW w:w="1839" w:type="dxa"/>
          </w:tcPr>
          <w:p w14:paraId="7B49D0F0" w14:textId="77777777" w:rsidR="00AB7B8E" w:rsidRDefault="00AB7B8E" w:rsidP="00CD363C">
            <w:pPr>
              <w:pStyle w:val="TableParagraph"/>
              <w:ind w:right="407"/>
              <w:jc w:val="both"/>
              <w:rPr>
                <w:sz w:val="20"/>
              </w:rPr>
            </w:pPr>
            <w:r>
              <w:rPr>
                <w:sz w:val="20"/>
              </w:rPr>
              <w:t>0,00</w:t>
            </w:r>
          </w:p>
        </w:tc>
        <w:tc>
          <w:tcPr>
            <w:tcW w:w="2532" w:type="dxa"/>
          </w:tcPr>
          <w:p w14:paraId="59E180B8" w14:textId="77777777" w:rsidR="00AB7B8E" w:rsidRDefault="00AB7B8E" w:rsidP="00CD363C">
            <w:pPr>
              <w:pStyle w:val="TableParagraph"/>
              <w:ind w:right="407"/>
              <w:jc w:val="both"/>
              <w:rPr>
                <w:sz w:val="20"/>
              </w:rPr>
            </w:pPr>
            <w:r>
              <w:rPr>
                <w:sz w:val="20"/>
              </w:rPr>
              <w:t>92 455,63</w:t>
            </w:r>
          </w:p>
        </w:tc>
      </w:tr>
      <w:tr w:rsidR="00AB7B8E" w14:paraId="65F166B5" w14:textId="77777777" w:rsidTr="00FF1C69">
        <w:trPr>
          <w:trHeight w:val="230"/>
        </w:trPr>
        <w:tc>
          <w:tcPr>
            <w:tcW w:w="1176" w:type="dxa"/>
          </w:tcPr>
          <w:p w14:paraId="0A039DDE" w14:textId="77777777" w:rsidR="00AB7B8E" w:rsidRDefault="00AB7B8E" w:rsidP="00CD363C">
            <w:pPr>
              <w:pStyle w:val="TableParagraph"/>
              <w:ind w:right="407"/>
              <w:jc w:val="both"/>
              <w:rPr>
                <w:sz w:val="20"/>
              </w:rPr>
            </w:pPr>
            <w:r>
              <w:rPr>
                <w:sz w:val="20"/>
              </w:rPr>
              <w:t>2020</w:t>
            </w:r>
          </w:p>
        </w:tc>
        <w:tc>
          <w:tcPr>
            <w:tcW w:w="1940" w:type="dxa"/>
          </w:tcPr>
          <w:p w14:paraId="47CBF24A" w14:textId="77777777" w:rsidR="00AB7B8E" w:rsidRDefault="00AB7B8E" w:rsidP="00CD363C">
            <w:pPr>
              <w:pStyle w:val="TableParagraph"/>
              <w:ind w:right="407"/>
              <w:jc w:val="both"/>
              <w:rPr>
                <w:sz w:val="20"/>
              </w:rPr>
            </w:pPr>
            <w:r>
              <w:rPr>
                <w:sz w:val="20"/>
              </w:rPr>
              <w:t>92 456,63</w:t>
            </w:r>
          </w:p>
        </w:tc>
        <w:tc>
          <w:tcPr>
            <w:tcW w:w="2009" w:type="dxa"/>
          </w:tcPr>
          <w:p w14:paraId="761AD3E6" w14:textId="77777777" w:rsidR="00AB7B8E" w:rsidRDefault="00AB7B8E" w:rsidP="00CD363C">
            <w:pPr>
              <w:pStyle w:val="TableParagraph"/>
              <w:ind w:right="407"/>
              <w:jc w:val="both"/>
              <w:rPr>
                <w:sz w:val="20"/>
              </w:rPr>
            </w:pPr>
            <w:r>
              <w:rPr>
                <w:sz w:val="20"/>
              </w:rPr>
              <w:t>3 698,22</w:t>
            </w:r>
          </w:p>
        </w:tc>
        <w:tc>
          <w:tcPr>
            <w:tcW w:w="1839" w:type="dxa"/>
          </w:tcPr>
          <w:p w14:paraId="7E4028A5" w14:textId="77777777" w:rsidR="00AB7B8E" w:rsidRDefault="00AB7B8E" w:rsidP="00CD363C">
            <w:pPr>
              <w:pStyle w:val="TableParagraph"/>
              <w:ind w:right="407"/>
              <w:jc w:val="both"/>
              <w:rPr>
                <w:sz w:val="20"/>
              </w:rPr>
            </w:pPr>
            <w:r>
              <w:rPr>
                <w:sz w:val="20"/>
              </w:rPr>
              <w:t>0,00</w:t>
            </w:r>
          </w:p>
        </w:tc>
        <w:tc>
          <w:tcPr>
            <w:tcW w:w="2532" w:type="dxa"/>
          </w:tcPr>
          <w:p w14:paraId="7E643926" w14:textId="77777777" w:rsidR="00AB7B8E" w:rsidRDefault="00AB7B8E" w:rsidP="00CD363C">
            <w:pPr>
              <w:pStyle w:val="TableParagraph"/>
              <w:ind w:right="407"/>
              <w:jc w:val="both"/>
              <w:rPr>
                <w:sz w:val="20"/>
              </w:rPr>
            </w:pPr>
            <w:r>
              <w:rPr>
                <w:sz w:val="20"/>
              </w:rPr>
              <w:t>96 153,85</w:t>
            </w:r>
          </w:p>
        </w:tc>
      </w:tr>
      <w:tr w:rsidR="00AB7B8E" w14:paraId="42CD9A36" w14:textId="77777777" w:rsidTr="00FF1C69">
        <w:trPr>
          <w:trHeight w:val="230"/>
        </w:trPr>
        <w:tc>
          <w:tcPr>
            <w:tcW w:w="1176" w:type="dxa"/>
          </w:tcPr>
          <w:p w14:paraId="78FE09FD" w14:textId="77777777" w:rsidR="00AB7B8E" w:rsidRDefault="00AB7B8E" w:rsidP="00CD363C">
            <w:pPr>
              <w:pStyle w:val="TableParagraph"/>
              <w:ind w:right="407"/>
              <w:jc w:val="both"/>
              <w:rPr>
                <w:sz w:val="20"/>
              </w:rPr>
            </w:pPr>
            <w:r>
              <w:rPr>
                <w:sz w:val="20"/>
              </w:rPr>
              <w:t>2021</w:t>
            </w:r>
          </w:p>
        </w:tc>
        <w:tc>
          <w:tcPr>
            <w:tcW w:w="1940" w:type="dxa"/>
          </w:tcPr>
          <w:p w14:paraId="44D21FC1" w14:textId="77777777" w:rsidR="00AB7B8E" w:rsidRDefault="00AB7B8E" w:rsidP="00CD363C">
            <w:pPr>
              <w:pStyle w:val="TableParagraph"/>
              <w:ind w:right="407"/>
              <w:jc w:val="both"/>
              <w:rPr>
                <w:sz w:val="20"/>
              </w:rPr>
            </w:pPr>
            <w:r>
              <w:rPr>
                <w:sz w:val="20"/>
              </w:rPr>
              <w:t>96 153,85</w:t>
            </w:r>
          </w:p>
        </w:tc>
        <w:tc>
          <w:tcPr>
            <w:tcW w:w="2009" w:type="dxa"/>
          </w:tcPr>
          <w:p w14:paraId="4C18F7DE" w14:textId="77777777" w:rsidR="00AB7B8E" w:rsidRDefault="00AB7B8E" w:rsidP="00CD363C">
            <w:pPr>
              <w:pStyle w:val="TableParagraph"/>
              <w:ind w:right="407"/>
              <w:jc w:val="both"/>
              <w:rPr>
                <w:sz w:val="20"/>
              </w:rPr>
            </w:pPr>
            <w:r>
              <w:rPr>
                <w:sz w:val="20"/>
              </w:rPr>
              <w:t>3 846,15</w:t>
            </w:r>
          </w:p>
        </w:tc>
        <w:tc>
          <w:tcPr>
            <w:tcW w:w="1839" w:type="dxa"/>
          </w:tcPr>
          <w:p w14:paraId="74E9E7CC" w14:textId="77777777" w:rsidR="00AB7B8E" w:rsidRDefault="00AB7B8E" w:rsidP="00CD363C">
            <w:pPr>
              <w:pStyle w:val="TableParagraph"/>
              <w:ind w:right="407"/>
              <w:jc w:val="both"/>
              <w:rPr>
                <w:sz w:val="20"/>
              </w:rPr>
            </w:pPr>
            <w:r>
              <w:rPr>
                <w:sz w:val="20"/>
              </w:rPr>
              <w:t>100 000,00</w:t>
            </w:r>
          </w:p>
        </w:tc>
        <w:tc>
          <w:tcPr>
            <w:tcW w:w="2532" w:type="dxa"/>
          </w:tcPr>
          <w:p w14:paraId="4C6E6961" w14:textId="77777777" w:rsidR="00AB7B8E" w:rsidRDefault="00AB7B8E" w:rsidP="00CD363C">
            <w:pPr>
              <w:pStyle w:val="TableParagraph"/>
              <w:ind w:right="407"/>
              <w:jc w:val="both"/>
              <w:rPr>
                <w:sz w:val="20"/>
              </w:rPr>
            </w:pPr>
            <w:r>
              <w:rPr>
                <w:w w:val="99"/>
                <w:sz w:val="20"/>
              </w:rPr>
              <w:t>-</w:t>
            </w:r>
          </w:p>
        </w:tc>
      </w:tr>
      <w:tr w:rsidR="00AB7B8E" w14:paraId="2C7A1773" w14:textId="77777777" w:rsidTr="00FF1C69">
        <w:trPr>
          <w:trHeight w:val="230"/>
        </w:trPr>
        <w:tc>
          <w:tcPr>
            <w:tcW w:w="1176" w:type="dxa"/>
          </w:tcPr>
          <w:p w14:paraId="64A1D9A4" w14:textId="77777777" w:rsidR="00AB7B8E" w:rsidRDefault="00AB7B8E" w:rsidP="00CD363C">
            <w:pPr>
              <w:pStyle w:val="TableParagraph"/>
              <w:ind w:right="407"/>
              <w:jc w:val="both"/>
              <w:rPr>
                <w:b/>
                <w:sz w:val="20"/>
              </w:rPr>
            </w:pPr>
            <w:r>
              <w:rPr>
                <w:b/>
                <w:sz w:val="20"/>
              </w:rPr>
              <w:t>Kopā</w:t>
            </w:r>
          </w:p>
        </w:tc>
        <w:tc>
          <w:tcPr>
            <w:tcW w:w="1940" w:type="dxa"/>
          </w:tcPr>
          <w:p w14:paraId="3027421E" w14:textId="77777777" w:rsidR="00AB7B8E" w:rsidRDefault="00AB7B8E" w:rsidP="00CD363C">
            <w:pPr>
              <w:pStyle w:val="TableParagraph"/>
              <w:ind w:right="407"/>
              <w:jc w:val="both"/>
              <w:rPr>
                <w:sz w:val="20"/>
              </w:rPr>
            </w:pPr>
            <w:r>
              <w:rPr>
                <w:w w:val="95"/>
                <w:sz w:val="20"/>
              </w:rPr>
              <w:t>--</w:t>
            </w:r>
          </w:p>
        </w:tc>
        <w:tc>
          <w:tcPr>
            <w:tcW w:w="2009" w:type="dxa"/>
          </w:tcPr>
          <w:p w14:paraId="6D20550F" w14:textId="77777777" w:rsidR="00AB7B8E" w:rsidRDefault="00AB7B8E" w:rsidP="00CD363C">
            <w:pPr>
              <w:pStyle w:val="TableParagraph"/>
              <w:ind w:right="407"/>
              <w:jc w:val="both"/>
              <w:rPr>
                <w:b/>
                <w:sz w:val="20"/>
              </w:rPr>
            </w:pPr>
            <w:r>
              <w:rPr>
                <w:b/>
                <w:sz w:val="20"/>
              </w:rPr>
              <w:t>11 100,36</w:t>
            </w:r>
          </w:p>
        </w:tc>
        <w:tc>
          <w:tcPr>
            <w:tcW w:w="1839" w:type="dxa"/>
          </w:tcPr>
          <w:p w14:paraId="0C6C0A54" w14:textId="77777777" w:rsidR="00AB7B8E" w:rsidRDefault="00AB7B8E" w:rsidP="00CD363C">
            <w:pPr>
              <w:pStyle w:val="TableParagraph"/>
              <w:ind w:right="407"/>
              <w:jc w:val="both"/>
              <w:rPr>
                <w:sz w:val="20"/>
              </w:rPr>
            </w:pPr>
            <w:r>
              <w:rPr>
                <w:w w:val="99"/>
                <w:sz w:val="20"/>
              </w:rPr>
              <w:t>-</w:t>
            </w:r>
          </w:p>
        </w:tc>
        <w:tc>
          <w:tcPr>
            <w:tcW w:w="2532" w:type="dxa"/>
          </w:tcPr>
          <w:p w14:paraId="27D4DEF5" w14:textId="77777777" w:rsidR="00AB7B8E" w:rsidRDefault="00AB7B8E" w:rsidP="00CD363C">
            <w:pPr>
              <w:pStyle w:val="TableParagraph"/>
              <w:ind w:right="407"/>
              <w:jc w:val="both"/>
              <w:rPr>
                <w:sz w:val="20"/>
              </w:rPr>
            </w:pPr>
            <w:r>
              <w:rPr>
                <w:w w:val="99"/>
                <w:sz w:val="20"/>
              </w:rPr>
              <w:t>-</w:t>
            </w:r>
          </w:p>
        </w:tc>
      </w:tr>
    </w:tbl>
    <w:p w14:paraId="62E26454" w14:textId="77777777" w:rsidR="006162DC" w:rsidRPr="00AB7B8E" w:rsidRDefault="006162DC" w:rsidP="00CD363C">
      <w:pPr>
        <w:spacing w:after="0" w:line="240" w:lineRule="auto"/>
        <w:ind w:right="407"/>
        <w:jc w:val="both"/>
        <w:rPr>
          <w:rFonts w:ascii="Times New Roman" w:hAnsi="Times New Roman" w:cs="Times New Roman"/>
          <w:b/>
          <w:bCs/>
          <w:i/>
          <w:iCs/>
          <w:sz w:val="24"/>
          <w:szCs w:val="24"/>
        </w:rPr>
      </w:pPr>
    </w:p>
    <w:p w14:paraId="222FC448" w14:textId="77777777" w:rsidR="00AB7B8E" w:rsidRPr="00AB7B8E" w:rsidRDefault="00AB7B8E" w:rsidP="00CD363C">
      <w:pPr>
        <w:spacing w:after="0" w:line="240" w:lineRule="auto"/>
        <w:ind w:right="407"/>
        <w:jc w:val="both"/>
        <w:rPr>
          <w:rFonts w:ascii="Times New Roman" w:hAnsi="Times New Roman" w:cs="Times New Roman"/>
          <w:b/>
          <w:bCs/>
          <w:i/>
          <w:iCs/>
          <w:sz w:val="24"/>
          <w:szCs w:val="24"/>
        </w:rPr>
      </w:pPr>
      <w:r w:rsidRPr="00AB7B8E">
        <w:rPr>
          <w:rFonts w:ascii="Times New Roman" w:hAnsi="Times New Roman" w:cs="Times New Roman"/>
          <w:b/>
          <w:bCs/>
          <w:i/>
          <w:iCs/>
          <w:sz w:val="24"/>
          <w:szCs w:val="24"/>
        </w:rPr>
        <w:t>Grāmatojumi;</w:t>
      </w:r>
    </w:p>
    <w:p w14:paraId="1D89C8DD"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1)</w:t>
      </w:r>
      <w:r w:rsidRPr="00AB7B8E">
        <w:rPr>
          <w:rFonts w:ascii="Times New Roman" w:hAnsi="Times New Roman" w:cs="Times New Roman"/>
          <w:sz w:val="24"/>
          <w:szCs w:val="24"/>
        </w:rPr>
        <w:tab/>
        <w:t>Grāmatojums aizņēmuma saņemšanas dienā 2019. gada 2. janvārī (darījuma diena atbilst naudas pārskaitījuma dienai):</w:t>
      </w:r>
    </w:p>
    <w:p w14:paraId="49EB7D6F"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2600</w:t>
      </w:r>
      <w:r w:rsidRPr="00AB7B8E">
        <w:rPr>
          <w:rFonts w:ascii="Times New Roman" w:hAnsi="Times New Roman" w:cs="Times New Roman"/>
          <w:sz w:val="24"/>
          <w:szCs w:val="24"/>
        </w:rPr>
        <w:tab/>
        <w:t>Naudas līdzekļi</w:t>
      </w:r>
      <w:r w:rsidRPr="00AB7B8E">
        <w:rPr>
          <w:rFonts w:ascii="Times New Roman" w:hAnsi="Times New Roman" w:cs="Times New Roman"/>
          <w:sz w:val="24"/>
          <w:szCs w:val="24"/>
        </w:rPr>
        <w:tab/>
        <w:t>100 000,00 EUR</w:t>
      </w:r>
    </w:p>
    <w:p w14:paraId="6A37D92C"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88 899,64 EUR</w:t>
      </w:r>
    </w:p>
    <w:p w14:paraId="7B93629E"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8120</w:t>
      </w:r>
      <w:r w:rsidRPr="00AB7B8E">
        <w:rPr>
          <w:rFonts w:ascii="Times New Roman" w:hAnsi="Times New Roman" w:cs="Times New Roman"/>
          <w:sz w:val="24"/>
          <w:szCs w:val="24"/>
        </w:rPr>
        <w:tab/>
        <w:t>Procentu ieņēmumi</w:t>
      </w:r>
      <w:r w:rsidRPr="00AB7B8E">
        <w:rPr>
          <w:rFonts w:ascii="Times New Roman" w:hAnsi="Times New Roman" w:cs="Times New Roman"/>
          <w:sz w:val="24"/>
          <w:szCs w:val="24"/>
        </w:rPr>
        <w:tab/>
        <w:t>11 100,36 EUR</w:t>
      </w:r>
    </w:p>
    <w:p w14:paraId="603B4E5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2)</w:t>
      </w:r>
      <w:r w:rsidRPr="00AB7B8E">
        <w:rPr>
          <w:rFonts w:ascii="Times New Roman" w:hAnsi="Times New Roman" w:cs="Times New Roman"/>
          <w:sz w:val="24"/>
          <w:szCs w:val="24"/>
        </w:rPr>
        <w:tab/>
        <w:t>2019. gada 31. decembrī budžeta iestāde (aizņēmuma saņēmējs) atzīst procentu izdevumus, veicot sekojošu grāmatojumu:</w:t>
      </w:r>
    </w:p>
    <w:p w14:paraId="5E39650D"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8220</w:t>
      </w:r>
      <w:r w:rsidRPr="00AB7B8E">
        <w:rPr>
          <w:rFonts w:ascii="Times New Roman" w:hAnsi="Times New Roman" w:cs="Times New Roman"/>
          <w:sz w:val="24"/>
          <w:szCs w:val="24"/>
        </w:rPr>
        <w:tab/>
        <w:t>Procentu izdevumi</w:t>
      </w:r>
      <w:r w:rsidRPr="00AB7B8E">
        <w:rPr>
          <w:rFonts w:ascii="Times New Roman" w:hAnsi="Times New Roman" w:cs="Times New Roman"/>
          <w:sz w:val="24"/>
          <w:szCs w:val="24"/>
        </w:rPr>
        <w:tab/>
        <w:t>3 555,99 EUR</w:t>
      </w:r>
    </w:p>
    <w:p w14:paraId="5AE690D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3 555,99 EUR</w:t>
      </w:r>
    </w:p>
    <w:p w14:paraId="5A4E8DBF"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3)</w:t>
      </w:r>
      <w:r w:rsidRPr="00AB7B8E">
        <w:rPr>
          <w:rFonts w:ascii="Times New Roman" w:hAnsi="Times New Roman" w:cs="Times New Roman"/>
          <w:sz w:val="24"/>
          <w:szCs w:val="24"/>
        </w:rPr>
        <w:tab/>
        <w:t>2020. gada 31. decembrī budžeta iestāde (aizņēmuma saņēmējs) atzīst procentu izdevumus, veicot sekojošu grāmatojumu:</w:t>
      </w:r>
    </w:p>
    <w:p w14:paraId="12A0C0D7"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8220</w:t>
      </w:r>
      <w:r w:rsidRPr="00AB7B8E">
        <w:rPr>
          <w:rFonts w:ascii="Times New Roman" w:hAnsi="Times New Roman" w:cs="Times New Roman"/>
          <w:sz w:val="24"/>
          <w:szCs w:val="24"/>
        </w:rPr>
        <w:tab/>
        <w:t>Procentu izdevumi</w:t>
      </w:r>
      <w:r w:rsidRPr="00AB7B8E">
        <w:rPr>
          <w:rFonts w:ascii="Times New Roman" w:hAnsi="Times New Roman" w:cs="Times New Roman"/>
          <w:sz w:val="24"/>
          <w:szCs w:val="24"/>
        </w:rPr>
        <w:tab/>
        <w:t>3 698,22 EUR</w:t>
      </w:r>
    </w:p>
    <w:p w14:paraId="3C12B386"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3 698,22 EUR</w:t>
      </w:r>
    </w:p>
    <w:p w14:paraId="347DF71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4)</w:t>
      </w:r>
      <w:r w:rsidRPr="00AB7B8E">
        <w:rPr>
          <w:rFonts w:ascii="Times New Roman" w:hAnsi="Times New Roman" w:cs="Times New Roman"/>
          <w:sz w:val="24"/>
          <w:szCs w:val="24"/>
        </w:rPr>
        <w:tab/>
        <w:t>Vienlaikus 2020. gada 31. decembrī budžeta iestāde pārklasificē ilgtermiņa aizņēmuma pozīcijā atzīto summu uz īstermiņa pozīciju:</w:t>
      </w:r>
    </w:p>
    <w:p w14:paraId="5F7D1E45"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96 153,85 EUR</w:t>
      </w:r>
    </w:p>
    <w:p w14:paraId="5DFF330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5219</w:t>
      </w:r>
      <w:r w:rsidRPr="00AB7B8E">
        <w:rPr>
          <w:rFonts w:ascii="Times New Roman" w:hAnsi="Times New Roman" w:cs="Times New Roman"/>
          <w:sz w:val="24"/>
          <w:szCs w:val="24"/>
        </w:rPr>
        <w:tab/>
        <w:t>Īstermiņa aizņēmumi un ilgtermiņa aizņēmumu īstermiņa daļa</w:t>
      </w:r>
      <w:r w:rsidRPr="00AB7B8E">
        <w:rPr>
          <w:rFonts w:ascii="Times New Roman" w:hAnsi="Times New Roman" w:cs="Times New Roman"/>
          <w:sz w:val="24"/>
          <w:szCs w:val="24"/>
        </w:rPr>
        <w:tab/>
        <w:t>96 153,85 EUR</w:t>
      </w:r>
    </w:p>
    <w:p w14:paraId="22548375"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5)</w:t>
      </w:r>
      <w:r w:rsidRPr="00AB7B8E">
        <w:rPr>
          <w:rFonts w:ascii="Times New Roman" w:hAnsi="Times New Roman" w:cs="Times New Roman"/>
          <w:sz w:val="24"/>
          <w:szCs w:val="24"/>
        </w:rPr>
        <w:tab/>
        <w:t>2021. gada 28. decembrī budžeta iestāde (aizņēmuma saņēmējs) atzīst procentu izdevumus, veicot sekojošu grāmatojumu:</w:t>
      </w:r>
    </w:p>
    <w:p w14:paraId="1F43EE0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8220</w:t>
      </w:r>
      <w:r w:rsidRPr="00AB7B8E">
        <w:rPr>
          <w:rFonts w:ascii="Times New Roman" w:hAnsi="Times New Roman" w:cs="Times New Roman"/>
          <w:sz w:val="24"/>
          <w:szCs w:val="24"/>
        </w:rPr>
        <w:tab/>
        <w:t>Procentu izdevumi</w:t>
      </w:r>
      <w:r w:rsidRPr="00AB7B8E">
        <w:rPr>
          <w:rFonts w:ascii="Times New Roman" w:hAnsi="Times New Roman" w:cs="Times New Roman"/>
          <w:sz w:val="24"/>
          <w:szCs w:val="24"/>
        </w:rPr>
        <w:tab/>
        <w:t>3 846,15 EUR</w:t>
      </w:r>
    </w:p>
    <w:p w14:paraId="0C0F6A2C"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5219</w:t>
      </w:r>
      <w:r w:rsidRPr="00AB7B8E">
        <w:rPr>
          <w:rFonts w:ascii="Times New Roman" w:hAnsi="Times New Roman" w:cs="Times New Roman"/>
          <w:sz w:val="24"/>
          <w:szCs w:val="24"/>
        </w:rPr>
        <w:tab/>
        <w:t>Īstermiņa aizņēmumi un ilgtermiņa aizņēmumu īstermiņa daļa</w:t>
      </w:r>
      <w:r w:rsidRPr="00AB7B8E">
        <w:rPr>
          <w:rFonts w:ascii="Times New Roman" w:hAnsi="Times New Roman" w:cs="Times New Roman"/>
          <w:sz w:val="24"/>
          <w:szCs w:val="24"/>
        </w:rPr>
        <w:tab/>
        <w:t>3 846,15 EUR</w:t>
      </w:r>
    </w:p>
    <w:p w14:paraId="4668D57A"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6)</w:t>
      </w:r>
      <w:r w:rsidRPr="00AB7B8E">
        <w:rPr>
          <w:rFonts w:ascii="Times New Roman" w:hAnsi="Times New Roman" w:cs="Times New Roman"/>
          <w:sz w:val="24"/>
          <w:szCs w:val="24"/>
        </w:rPr>
        <w:tab/>
        <w:t>2021. gada 28. decembrī, veicot aizņēmuma atmaksu, grāmato:</w:t>
      </w:r>
    </w:p>
    <w:p w14:paraId="3ED28BB4"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5219</w:t>
      </w:r>
      <w:r w:rsidRPr="00AB7B8E">
        <w:rPr>
          <w:rFonts w:ascii="Times New Roman" w:hAnsi="Times New Roman" w:cs="Times New Roman"/>
          <w:sz w:val="24"/>
          <w:szCs w:val="24"/>
        </w:rPr>
        <w:tab/>
        <w:t>Īstermiņa aizņēmumi un ilgtermiņa aizņēmumu īstermiņa daļa</w:t>
      </w:r>
      <w:r w:rsidRPr="00AB7B8E">
        <w:rPr>
          <w:rFonts w:ascii="Times New Roman" w:hAnsi="Times New Roman" w:cs="Times New Roman"/>
          <w:sz w:val="24"/>
          <w:szCs w:val="24"/>
        </w:rPr>
        <w:tab/>
        <w:t>100 000,00 EUR</w:t>
      </w:r>
    </w:p>
    <w:p w14:paraId="2E463ED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2600</w:t>
      </w:r>
      <w:r w:rsidRPr="00AB7B8E">
        <w:rPr>
          <w:rFonts w:ascii="Times New Roman" w:hAnsi="Times New Roman" w:cs="Times New Roman"/>
          <w:sz w:val="24"/>
          <w:szCs w:val="24"/>
        </w:rPr>
        <w:tab/>
        <w:t>Naudas līdzekļi</w:t>
      </w:r>
      <w:r w:rsidRPr="00AB7B8E">
        <w:rPr>
          <w:rFonts w:ascii="Times New Roman" w:hAnsi="Times New Roman" w:cs="Times New Roman"/>
          <w:sz w:val="24"/>
          <w:szCs w:val="24"/>
        </w:rPr>
        <w:tab/>
        <w:t>100 000,00 EUR</w:t>
      </w:r>
    </w:p>
    <w:p w14:paraId="57E4F49A" w14:textId="77777777" w:rsidR="00AB7B8E" w:rsidRDefault="00AB7B8E" w:rsidP="00CD363C">
      <w:pPr>
        <w:pStyle w:val="Virsraksts4"/>
        <w:numPr>
          <w:ilvl w:val="2"/>
          <w:numId w:val="60"/>
        </w:numPr>
        <w:tabs>
          <w:tab w:val="left" w:pos="879"/>
        </w:tabs>
        <w:spacing w:before="0"/>
        <w:ind w:right="407"/>
        <w:jc w:val="both"/>
      </w:pPr>
      <w:r>
        <w:rPr>
          <w:color w:val="002069"/>
        </w:rPr>
        <w:t>Piemērs – finanšu instrumenta vērtības samazināšanās novērtējums (pamatsumma un procenti)</w:t>
      </w:r>
    </w:p>
    <w:p w14:paraId="05888A85" w14:textId="77777777" w:rsidR="00AB7B8E" w:rsidRDefault="00FF1C69" w:rsidP="00CD363C">
      <w:pPr>
        <w:pStyle w:val="Pamatteksts"/>
        <w:ind w:right="407"/>
        <w:jc w:val="both"/>
      </w:pPr>
      <w:r>
        <w:t xml:space="preserve">882.  </w:t>
      </w:r>
      <w:r w:rsidR="00AB7B8E">
        <w:t>Budžeta iestādes rīcībā ir informācija, ka sadarbības partneris finansiālo grūtību dēļ nespēs savlaicīgi veikt visus aizdevuma pamatsummas un procentu maksājumus, kā rezultātā tiek pieņemts lēmums par aizdevuma pārstrukturēšanu. Budžeta iestāde paredz, ka saskaņā ar pārstrukturētā aizdevuma nosacījumiem sadarbības partneris spēs pildīt savas saistības. Vai budžeta iestādei jāatzīst izdevumi (zaudējumi) no vērtības samazināšanās, ja pārstrukturētā aizdevuma nosacījumi atbilst kādam no tālāk minētajiem gadījumiem?</w:t>
      </w:r>
    </w:p>
    <w:p w14:paraId="6236CA3C" w14:textId="77777777" w:rsidR="00AB7B8E" w:rsidRDefault="00AB7B8E" w:rsidP="00CD363C">
      <w:pPr>
        <w:pStyle w:val="Sarakstarindkopa"/>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piecus gadus vēlāk par sākotnēji noteikto atmaksas datumu, bet nemaksās sākotnējos nosacījumos paredzētos</w:t>
      </w:r>
      <w:r>
        <w:rPr>
          <w:spacing w:val="-28"/>
        </w:rPr>
        <w:t xml:space="preserve"> </w:t>
      </w:r>
      <w:r>
        <w:t>procentus.</w:t>
      </w:r>
    </w:p>
    <w:p w14:paraId="6AF9494B" w14:textId="77777777" w:rsidR="00AB7B8E" w:rsidRDefault="00AB7B8E" w:rsidP="00CD363C">
      <w:pPr>
        <w:pStyle w:val="Sarakstarindkopa"/>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sākotnēji noteiktajā atmaksas datumā, bet nemaksās sākotnējos nosacījumos paredzētos</w:t>
      </w:r>
      <w:r>
        <w:rPr>
          <w:spacing w:val="-7"/>
        </w:rPr>
        <w:t xml:space="preserve"> </w:t>
      </w:r>
      <w:r>
        <w:t>procentus.</w:t>
      </w:r>
    </w:p>
    <w:p w14:paraId="787DB8DB" w14:textId="77777777" w:rsidR="00AB7B8E" w:rsidRDefault="00AB7B8E" w:rsidP="00CD363C">
      <w:pPr>
        <w:pStyle w:val="Sarakstarindkopa"/>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sākotnēji noteiktajā atmaksas</w:t>
      </w:r>
      <w:r>
        <w:rPr>
          <w:spacing w:val="-10"/>
        </w:rPr>
        <w:t xml:space="preserve"> </w:t>
      </w:r>
      <w:r>
        <w:t>datumā</w:t>
      </w:r>
      <w:r>
        <w:rPr>
          <w:spacing w:val="-9"/>
        </w:rPr>
        <w:t xml:space="preserve"> </w:t>
      </w:r>
      <w:r>
        <w:t>kopā</w:t>
      </w:r>
      <w:r>
        <w:rPr>
          <w:spacing w:val="-9"/>
        </w:rPr>
        <w:t xml:space="preserve"> </w:t>
      </w:r>
      <w:r>
        <w:t>ar</w:t>
      </w:r>
      <w:r>
        <w:rPr>
          <w:spacing w:val="-11"/>
        </w:rPr>
        <w:t xml:space="preserve"> </w:t>
      </w:r>
      <w:r>
        <w:t>procentiem,</w:t>
      </w:r>
      <w:r>
        <w:rPr>
          <w:spacing w:val="-11"/>
        </w:rPr>
        <w:t xml:space="preserve"> </w:t>
      </w:r>
      <w:r>
        <w:t>bet</w:t>
      </w:r>
      <w:r>
        <w:rPr>
          <w:spacing w:val="-9"/>
        </w:rPr>
        <w:t xml:space="preserve"> </w:t>
      </w:r>
      <w:r>
        <w:t>ar</w:t>
      </w:r>
      <w:r>
        <w:rPr>
          <w:spacing w:val="-9"/>
        </w:rPr>
        <w:t xml:space="preserve"> </w:t>
      </w:r>
      <w:r>
        <w:t>zemāku</w:t>
      </w:r>
      <w:r>
        <w:rPr>
          <w:spacing w:val="-10"/>
        </w:rPr>
        <w:t xml:space="preserve"> </w:t>
      </w:r>
      <w:r>
        <w:t>procentu</w:t>
      </w:r>
      <w:r>
        <w:rPr>
          <w:spacing w:val="-12"/>
        </w:rPr>
        <w:t xml:space="preserve"> </w:t>
      </w:r>
      <w:r>
        <w:t>likmi</w:t>
      </w:r>
      <w:r>
        <w:rPr>
          <w:spacing w:val="-10"/>
        </w:rPr>
        <w:t xml:space="preserve"> </w:t>
      </w:r>
      <w:r>
        <w:t>nekā</w:t>
      </w:r>
      <w:r>
        <w:rPr>
          <w:spacing w:val="-9"/>
        </w:rPr>
        <w:t xml:space="preserve"> </w:t>
      </w:r>
      <w:r>
        <w:t>sākotnējam</w:t>
      </w:r>
      <w:r>
        <w:rPr>
          <w:spacing w:val="-13"/>
        </w:rPr>
        <w:t xml:space="preserve"> </w:t>
      </w:r>
      <w:r>
        <w:t>aizdevumam piemērotā procentu</w:t>
      </w:r>
      <w:r>
        <w:rPr>
          <w:spacing w:val="-3"/>
        </w:rPr>
        <w:t xml:space="preserve"> </w:t>
      </w:r>
      <w:r>
        <w:t>likme.</w:t>
      </w:r>
    </w:p>
    <w:p w14:paraId="0A299815" w14:textId="77777777" w:rsidR="00AB7B8E" w:rsidRDefault="00AB7B8E" w:rsidP="00CD363C">
      <w:pPr>
        <w:pStyle w:val="Sarakstarindkopa"/>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piecus gadus vēlāk par sākotnēji noteikto atmaksas datumu un visus procentus, kas uzkrājušies sākotnējā aizdevuma laikā, bet nemaksās procentus par pagarināto</w:t>
      </w:r>
      <w:r>
        <w:rPr>
          <w:spacing w:val="-1"/>
        </w:rPr>
        <w:t xml:space="preserve"> </w:t>
      </w:r>
      <w:r>
        <w:t>termiņu.</w:t>
      </w:r>
    </w:p>
    <w:p w14:paraId="78BC0E1B" w14:textId="77777777" w:rsidR="00AB7B8E" w:rsidRDefault="00AB7B8E" w:rsidP="00CD363C">
      <w:pPr>
        <w:pStyle w:val="Sarakstarindkopa"/>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piecus gadus vēlāk par sākotnēji noteikto atmaksas datumu kopā ar visiem procentiem - gan par sākotnējā aizdevuma laiku, gan par pagarināto</w:t>
      </w:r>
      <w:r>
        <w:rPr>
          <w:spacing w:val="-1"/>
        </w:rPr>
        <w:t xml:space="preserve"> </w:t>
      </w:r>
      <w:r>
        <w:t>termiņu.</w:t>
      </w:r>
    </w:p>
    <w:p w14:paraId="61760FA7" w14:textId="77777777" w:rsidR="00AB7B8E" w:rsidRDefault="00AB7B8E" w:rsidP="00CD363C">
      <w:pPr>
        <w:pStyle w:val="Virsraksts6"/>
        <w:ind w:right="407"/>
        <w:jc w:val="both"/>
      </w:pPr>
      <w:r>
        <w:rPr>
          <w:color w:val="002069"/>
          <w:u w:val="thick" w:color="002069"/>
        </w:rPr>
        <w:t>Atbilde:</w:t>
      </w:r>
    </w:p>
    <w:p w14:paraId="09435E9A" w14:textId="77777777" w:rsidR="00AB7B8E" w:rsidRDefault="00AB7B8E" w:rsidP="00CD363C">
      <w:pPr>
        <w:pStyle w:val="Pamatteksts"/>
        <w:ind w:right="407" w:firstLine="338"/>
        <w:jc w:val="both"/>
      </w:pPr>
      <w:r>
        <w:t>Budžeta iestāde novērtē izdevumus (zaudējumus) no finanšu instrumenta (aizdevuma) vērtības samazināšanās, ja ir objektīvi vērtības samazināšanās pierādījumi. Izdevumus (zaudējumus) no tāda finanšu aktīva vērtības samazināšanās, kas uzrādīts amortizētajā vērtībā, aprēķina kā starpību starp finanšu aktīva uzskaites vērtību un nākotnes pamatsummas un procentu maksājumu, kas diskontēti, izmantojot finanšu aktīva sākotnējo efektīvo procentu likmi, pašreizējo vērtību.</w:t>
      </w:r>
    </w:p>
    <w:p w14:paraId="7890E0C1" w14:textId="77777777" w:rsidR="00AB7B8E" w:rsidRDefault="00AB7B8E" w:rsidP="00CD363C">
      <w:pPr>
        <w:pStyle w:val="Pamatteksts"/>
        <w:ind w:right="407" w:firstLine="338"/>
        <w:jc w:val="both"/>
      </w:pPr>
      <w:r>
        <w:rPr>
          <w:b/>
        </w:rPr>
        <w:t xml:space="preserve">(a)-(d) </w:t>
      </w:r>
      <w:r>
        <w:t>gadījumos aizdevuma nākotnes pamatsummas un procentu maksājumu pašreizējā vērtība, kas diskontēta ar finanšu aktīva sākotnējo efektīvo procentu likmi, būs zemāka par aizdevuma uzskaites vērtību. Samazinoties nākotnē saņemamām summām, aizņēmuma pašreizējā vērtība samazināsies. Tādēļ šajos gadījumos jāatzīst finanšu instrumenta vērtības samazinājums.</w:t>
      </w:r>
    </w:p>
    <w:p w14:paraId="690B4FC3" w14:textId="77777777" w:rsidR="00AB7B8E" w:rsidRDefault="00AB7B8E" w:rsidP="00CD363C">
      <w:pPr>
        <w:pStyle w:val="Pamatteksts"/>
        <w:ind w:right="407" w:firstLine="338"/>
        <w:jc w:val="both"/>
      </w:pPr>
      <w:r>
        <w:rPr>
          <w:b/>
        </w:rPr>
        <w:t xml:space="preserve">(e) </w:t>
      </w:r>
      <w:r>
        <w:t>gadījumā, lai gan maksājumu veikšanas laiks mainījies, budžeta iestāde saņems nokavējuma naudu par procentu maksājumiem, kā arī nākotnes pamatsummas un procentu pašreizējā vērtība, kas diskontēta, izmantojot aizdevuma sākotnējo efektīvo procentu likmi, būs vienāda ar aizdevuma uzskaites vērtību. Tādēļ, visticamāk,</w:t>
      </w:r>
      <w:r>
        <w:rPr>
          <w:spacing w:val="-15"/>
        </w:rPr>
        <w:t xml:space="preserve"> </w:t>
      </w:r>
      <w:r>
        <w:t>izdevumi</w:t>
      </w:r>
      <w:r>
        <w:rPr>
          <w:spacing w:val="-13"/>
        </w:rPr>
        <w:t xml:space="preserve"> </w:t>
      </w:r>
      <w:r>
        <w:t>(zaudējumi)</w:t>
      </w:r>
      <w:r>
        <w:rPr>
          <w:spacing w:val="-15"/>
        </w:rPr>
        <w:t xml:space="preserve"> </w:t>
      </w:r>
      <w:r>
        <w:t>no</w:t>
      </w:r>
      <w:r>
        <w:rPr>
          <w:spacing w:val="-14"/>
        </w:rPr>
        <w:t xml:space="preserve"> </w:t>
      </w:r>
      <w:r>
        <w:t>vērtības</w:t>
      </w:r>
      <w:r>
        <w:rPr>
          <w:spacing w:val="-14"/>
        </w:rPr>
        <w:t xml:space="preserve"> </w:t>
      </w:r>
      <w:r>
        <w:t>samazināšanās</w:t>
      </w:r>
      <w:r>
        <w:rPr>
          <w:spacing w:val="-15"/>
        </w:rPr>
        <w:t xml:space="preserve"> </w:t>
      </w:r>
      <w:r>
        <w:t>nepastāv,</w:t>
      </w:r>
      <w:r>
        <w:rPr>
          <w:spacing w:val="-14"/>
        </w:rPr>
        <w:t xml:space="preserve"> </w:t>
      </w:r>
      <w:r>
        <w:t>tomēr</w:t>
      </w:r>
      <w:r>
        <w:rPr>
          <w:spacing w:val="-10"/>
        </w:rPr>
        <w:t xml:space="preserve"> </w:t>
      </w:r>
      <w:r>
        <w:t>šāda</w:t>
      </w:r>
      <w:r>
        <w:rPr>
          <w:spacing w:val="-14"/>
        </w:rPr>
        <w:t xml:space="preserve"> </w:t>
      </w:r>
      <w:r>
        <w:t>notikumu</w:t>
      </w:r>
      <w:r>
        <w:rPr>
          <w:spacing w:val="-14"/>
        </w:rPr>
        <w:t xml:space="preserve"> </w:t>
      </w:r>
      <w:r>
        <w:t>gaita</w:t>
      </w:r>
      <w:r>
        <w:rPr>
          <w:spacing w:val="-15"/>
        </w:rPr>
        <w:t xml:space="preserve"> </w:t>
      </w:r>
      <w:r>
        <w:t>nav</w:t>
      </w:r>
      <w:r>
        <w:rPr>
          <w:spacing w:val="-16"/>
        </w:rPr>
        <w:t xml:space="preserve"> </w:t>
      </w:r>
      <w:r>
        <w:t>ticama, ņemot vērā sadarbības partnera finansiālās</w:t>
      </w:r>
      <w:r>
        <w:rPr>
          <w:spacing w:val="-3"/>
        </w:rPr>
        <w:t xml:space="preserve"> </w:t>
      </w:r>
      <w:r>
        <w:t>grūtības.</w:t>
      </w:r>
    </w:p>
    <w:p w14:paraId="71FFCB39" w14:textId="77777777" w:rsidR="00AB7B8E" w:rsidRDefault="00AB7B8E" w:rsidP="00CD363C">
      <w:pPr>
        <w:pStyle w:val="Virsraksts4"/>
        <w:numPr>
          <w:ilvl w:val="2"/>
          <w:numId w:val="60"/>
        </w:numPr>
        <w:tabs>
          <w:tab w:val="left" w:pos="879"/>
        </w:tabs>
        <w:spacing w:before="0"/>
        <w:ind w:right="407"/>
        <w:jc w:val="both"/>
      </w:pPr>
      <w:r>
        <w:rPr>
          <w:color w:val="002069"/>
        </w:rPr>
        <w:t>Piemērs – vērtības samazināšanās uzskaite pārdošanai pieejamam finanšu</w:t>
      </w:r>
      <w:r>
        <w:rPr>
          <w:color w:val="002069"/>
          <w:spacing w:val="-8"/>
        </w:rPr>
        <w:t xml:space="preserve"> </w:t>
      </w:r>
      <w:r>
        <w:rPr>
          <w:color w:val="002069"/>
        </w:rPr>
        <w:t>aktīvam</w:t>
      </w:r>
    </w:p>
    <w:p w14:paraId="7D242C4F" w14:textId="77777777" w:rsidR="00AB7B8E" w:rsidRDefault="00FF1C69" w:rsidP="00CD363C">
      <w:pPr>
        <w:pStyle w:val="Pamatteksts"/>
        <w:ind w:right="407" w:firstLine="338"/>
        <w:jc w:val="both"/>
      </w:pPr>
      <w:r>
        <w:t xml:space="preserve">883. </w:t>
      </w:r>
      <w:r w:rsidR="00AB7B8E">
        <w:t>Budžeta</w:t>
      </w:r>
      <w:r w:rsidR="00AB7B8E">
        <w:rPr>
          <w:spacing w:val="-7"/>
        </w:rPr>
        <w:t xml:space="preserve"> </w:t>
      </w:r>
      <w:r w:rsidR="00AB7B8E">
        <w:t>iestāde</w:t>
      </w:r>
      <w:r w:rsidR="00AB7B8E">
        <w:rPr>
          <w:spacing w:val="-6"/>
        </w:rPr>
        <w:t xml:space="preserve"> </w:t>
      </w:r>
      <w:r w:rsidR="00AB7B8E">
        <w:t>2019.</w:t>
      </w:r>
      <w:r w:rsidR="00AB7B8E">
        <w:rPr>
          <w:spacing w:val="-2"/>
        </w:rPr>
        <w:t xml:space="preserve"> </w:t>
      </w:r>
      <w:r w:rsidR="00AB7B8E">
        <w:t>gadā</w:t>
      </w:r>
      <w:r w:rsidR="00AB7B8E">
        <w:rPr>
          <w:spacing w:val="-8"/>
        </w:rPr>
        <w:t xml:space="preserve"> </w:t>
      </w:r>
      <w:r w:rsidR="00AB7B8E">
        <w:t>iegādājās</w:t>
      </w:r>
      <w:r w:rsidR="00AB7B8E">
        <w:rPr>
          <w:spacing w:val="-5"/>
        </w:rPr>
        <w:t xml:space="preserve"> </w:t>
      </w:r>
      <w:r w:rsidR="00AB7B8E">
        <w:t>vērtspapīrus</w:t>
      </w:r>
      <w:r w:rsidR="00AB7B8E">
        <w:rPr>
          <w:spacing w:val="-6"/>
        </w:rPr>
        <w:t xml:space="preserve"> </w:t>
      </w:r>
      <w:r w:rsidR="00AB7B8E">
        <w:t>(obligācijas)</w:t>
      </w:r>
      <w:r w:rsidR="00AB7B8E">
        <w:rPr>
          <w:spacing w:val="-6"/>
        </w:rPr>
        <w:t xml:space="preserve"> </w:t>
      </w:r>
      <w:r w:rsidR="00AB7B8E">
        <w:t>10</w:t>
      </w:r>
      <w:r w:rsidR="00AB7B8E">
        <w:rPr>
          <w:spacing w:val="1"/>
        </w:rPr>
        <w:t xml:space="preserve"> </w:t>
      </w:r>
      <w:r w:rsidR="00AB7B8E">
        <w:t>000,00</w:t>
      </w:r>
      <w:r w:rsidR="00AB7B8E">
        <w:rPr>
          <w:spacing w:val="-7"/>
        </w:rPr>
        <w:t xml:space="preserve"> </w:t>
      </w:r>
      <w:r w:rsidR="00AB7B8E">
        <w:t>EUR</w:t>
      </w:r>
      <w:r w:rsidR="00AB7B8E">
        <w:rPr>
          <w:spacing w:val="-7"/>
        </w:rPr>
        <w:t xml:space="preserve"> </w:t>
      </w:r>
      <w:r w:rsidR="00AB7B8E">
        <w:t>vērtībā</w:t>
      </w:r>
      <w:r w:rsidR="00AB7B8E">
        <w:rPr>
          <w:spacing w:val="-6"/>
        </w:rPr>
        <w:t xml:space="preserve"> </w:t>
      </w:r>
      <w:r w:rsidR="00AB7B8E">
        <w:t>ar</w:t>
      </w:r>
      <w:r w:rsidR="00AB7B8E">
        <w:rPr>
          <w:spacing w:val="-6"/>
        </w:rPr>
        <w:t xml:space="preserve"> </w:t>
      </w:r>
      <w:r w:rsidR="00AB7B8E">
        <w:t>dzēšanas</w:t>
      </w:r>
      <w:r w:rsidR="00AB7B8E">
        <w:rPr>
          <w:spacing w:val="-5"/>
        </w:rPr>
        <w:t xml:space="preserve"> </w:t>
      </w:r>
      <w:r w:rsidR="00AB7B8E">
        <w:t>termiņu</w:t>
      </w:r>
      <w:r w:rsidR="00AB7B8E">
        <w:rPr>
          <w:spacing w:val="-6"/>
        </w:rPr>
        <w:t xml:space="preserve"> </w:t>
      </w:r>
      <w:r w:rsidR="00AB7B8E">
        <w:t>5 gadi un iespēju tās pārdot pirms noteiktā</w:t>
      </w:r>
      <w:r w:rsidR="00AB7B8E">
        <w:rPr>
          <w:spacing w:val="-3"/>
        </w:rPr>
        <w:t xml:space="preserve"> </w:t>
      </w:r>
      <w:r w:rsidR="00AB7B8E">
        <w:t>termiņa.</w:t>
      </w:r>
    </w:p>
    <w:p w14:paraId="6FC4D466"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1)</w:t>
      </w:r>
      <w:r w:rsidRPr="00AB7B8E">
        <w:rPr>
          <w:rFonts w:ascii="Times New Roman" w:hAnsi="Times New Roman" w:cs="Times New Roman"/>
          <w:sz w:val="24"/>
          <w:szCs w:val="24"/>
        </w:rPr>
        <w:tab/>
        <w:t>Budžeta iestāde, sākotnēji atzīstot obligācijas, tās klasificē kā pārdošanai pieejamu finanšu aktīvu, veicot grāmatojumu:</w:t>
      </w:r>
    </w:p>
    <w:p w14:paraId="6D15371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 xml:space="preserve"> D</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10 000,00 EUR</w:t>
      </w:r>
    </w:p>
    <w:p w14:paraId="61EED50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2620</w:t>
      </w:r>
      <w:r w:rsidRPr="00AB7B8E">
        <w:rPr>
          <w:rFonts w:ascii="Times New Roman" w:hAnsi="Times New Roman" w:cs="Times New Roman"/>
          <w:sz w:val="24"/>
          <w:szCs w:val="24"/>
        </w:rPr>
        <w:tab/>
        <w:t>Naudas līdzekļi</w:t>
      </w:r>
      <w:r w:rsidRPr="00AB7B8E">
        <w:rPr>
          <w:rFonts w:ascii="Times New Roman" w:hAnsi="Times New Roman" w:cs="Times New Roman"/>
          <w:sz w:val="24"/>
          <w:szCs w:val="24"/>
        </w:rPr>
        <w:tab/>
        <w:t>10 000,00 EUR</w:t>
      </w:r>
    </w:p>
    <w:p w14:paraId="226E600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2)</w:t>
      </w:r>
      <w:r w:rsidRPr="00AB7B8E">
        <w:rPr>
          <w:rFonts w:ascii="Times New Roman" w:hAnsi="Times New Roman" w:cs="Times New Roman"/>
          <w:sz w:val="24"/>
          <w:szCs w:val="24"/>
        </w:rPr>
        <w:tab/>
        <w:t>2019. gada beigās budžeta iestāde nosaka obligāciju patieso vērtību 31.12.2019. Vērtspapīri tiek kotēti, tāpēc budžeta iestāde ņem vērā to patieso vērtību biržā, kas ir 12 000,00 EUR. Budžeta iestāde novērtē finanšu instrumentu tā patiesajā vērtībā un atzīst patiesās vērtības izmaiņas (palielinājumu) 31.12.2019., veicot grāmatojumu:</w:t>
      </w:r>
    </w:p>
    <w:p w14:paraId="7F65DBA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2 000,00 EUR</w:t>
      </w:r>
    </w:p>
    <w:p w14:paraId="01A7A475"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 vērtības rezerve</w:t>
      </w:r>
      <w:r w:rsidRPr="00AB7B8E">
        <w:rPr>
          <w:rFonts w:ascii="Times New Roman" w:hAnsi="Times New Roman" w:cs="Times New Roman"/>
          <w:sz w:val="24"/>
          <w:szCs w:val="24"/>
        </w:rPr>
        <w:tab/>
        <w:t>2 000,00 EUR</w:t>
      </w:r>
    </w:p>
    <w:p w14:paraId="175CBE7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3)</w:t>
      </w:r>
      <w:r w:rsidRPr="00AB7B8E">
        <w:rPr>
          <w:rFonts w:ascii="Times New Roman" w:hAnsi="Times New Roman" w:cs="Times New Roman"/>
          <w:sz w:val="24"/>
          <w:szCs w:val="24"/>
        </w:rPr>
        <w:tab/>
        <w:t>2020. gada beigās budžeta iestāde, veicot obligāciju patiesās vērtības novērtējumu, konstatē negatīvas patiesās vērtības izmaiņas. Obligāciju patiesā vērtība 31.12.2020. ir 9 500,00 EUR, tomēr budžeta iestāde izvērtē un nekonstatē objektīvus pierādījumus vērtības samazinājuma atzīšanai, tādēļ budžeta iestāde novērtē finanšu instrumentu tā patiesajā vērtībā un atzīst patiesās vērtības izmaiņas (samazinājumu) 31.12.2020., veicot grāmatojumu:</w:t>
      </w:r>
    </w:p>
    <w:p w14:paraId="5C03001E" w14:textId="77777777" w:rsidR="00AB7B8E" w:rsidRPr="00AB7B8E" w:rsidRDefault="00AB7B8E" w:rsidP="00CD363C">
      <w:pPr>
        <w:spacing w:after="0" w:line="240" w:lineRule="auto"/>
        <w:ind w:right="407"/>
        <w:jc w:val="both"/>
        <w:rPr>
          <w:rFonts w:ascii="Times New Roman" w:hAnsi="Times New Roman" w:cs="Times New Roman"/>
          <w:sz w:val="24"/>
          <w:szCs w:val="24"/>
        </w:rPr>
      </w:pPr>
    </w:p>
    <w:p w14:paraId="7A28690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 vērtības rezerve</w:t>
      </w:r>
      <w:r w:rsidRPr="00AB7B8E">
        <w:rPr>
          <w:rFonts w:ascii="Times New Roman" w:hAnsi="Times New Roman" w:cs="Times New Roman"/>
          <w:sz w:val="24"/>
          <w:szCs w:val="24"/>
        </w:rPr>
        <w:tab/>
        <w:t>2 500,00 EUR</w:t>
      </w:r>
    </w:p>
    <w:p w14:paraId="7B52503D"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2 500,00 EUR</w:t>
      </w:r>
    </w:p>
    <w:p w14:paraId="1FDD299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4)</w:t>
      </w:r>
      <w:r w:rsidRPr="00AB7B8E">
        <w:rPr>
          <w:rFonts w:ascii="Times New Roman" w:hAnsi="Times New Roman" w:cs="Times New Roman"/>
          <w:sz w:val="24"/>
          <w:szCs w:val="24"/>
        </w:rPr>
        <w:tab/>
        <w:t>2021. gada beigās budžeta iestāde konstatē, ka obligāciju patiesā vērtība ir būtiski samazinājusies, kā arī pastāv objektīvi vērtības samazināšanās kritēriji (aizpildot finanšu aktīva vērtības samazinājuma novērtējuma aktu, kas sniegts 15.2. apakšnodaļā “15.2. Finanšu aktīva vērtības samazinājuma novērtējuma akts”). Obligāciju patiesā vērtība 31.12.2021. ir 6 000,00 EUR. Budžeta iestāde atzīst finanšu instrumenta vērtības samazinājumu 31.12.2021., nosakot to daļu, kas atzīstama finanšu instrumentu patiesās vērtības rezervē, un to daļu, kas atzīstama pārskata perioda finanšu izdevumos, veicot sekojošus grāmatojumus:</w:t>
      </w:r>
    </w:p>
    <w:p w14:paraId="0290B829"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500,00 EUR*</w:t>
      </w:r>
    </w:p>
    <w:p w14:paraId="04F5A283"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 vērtības rezerve</w:t>
      </w:r>
      <w:r w:rsidRPr="00AB7B8E">
        <w:rPr>
          <w:rFonts w:ascii="Times New Roman" w:hAnsi="Times New Roman" w:cs="Times New Roman"/>
          <w:sz w:val="24"/>
          <w:szCs w:val="24"/>
        </w:rPr>
        <w:tab/>
        <w:t>500,00 EUR*</w:t>
      </w:r>
    </w:p>
    <w:p w14:paraId="5E68361C"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*gadījumā, ja pārdošanai pieejama finanšu aktīva patiesās vērtības samazinājums bijis iepriekš atzīts finanšu instrumentu patiesās vērtības rezervē (pašu kapitālā), iepriekš atzīto uzkrāto izdevumu (zaudējumu) vērtību izslēdz no pašu kapitāla un atzīst pārskata perioda izdevumos. Pašu kapitālā iepriekš atzītais patiesās vērtības samazinājums ir 500,00 EUR.</w:t>
      </w:r>
    </w:p>
    <w:p w14:paraId="5EF0BBAF"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8290</w:t>
      </w:r>
      <w:r w:rsidRPr="00AB7B8E">
        <w:rPr>
          <w:rFonts w:ascii="Times New Roman" w:hAnsi="Times New Roman" w:cs="Times New Roman"/>
          <w:sz w:val="24"/>
          <w:szCs w:val="24"/>
        </w:rPr>
        <w:tab/>
        <w:t>Pārējie finanšu izdevumi</w:t>
      </w:r>
      <w:r w:rsidRPr="00AB7B8E">
        <w:rPr>
          <w:rFonts w:ascii="Times New Roman" w:hAnsi="Times New Roman" w:cs="Times New Roman"/>
          <w:sz w:val="24"/>
          <w:szCs w:val="24"/>
        </w:rPr>
        <w:tab/>
        <w:t>4 000,00 EUR*</w:t>
      </w:r>
    </w:p>
    <w:p w14:paraId="545D0C3A"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1348</w:t>
      </w:r>
      <w:r w:rsidRPr="00AB7B8E">
        <w:rPr>
          <w:rFonts w:ascii="Times New Roman" w:hAnsi="Times New Roman" w:cs="Times New Roman"/>
          <w:sz w:val="24"/>
          <w:szCs w:val="24"/>
        </w:rPr>
        <w:tab/>
        <w:t>Vērtības</w:t>
      </w:r>
      <w:r w:rsidRPr="00AB7B8E">
        <w:rPr>
          <w:rFonts w:ascii="Times New Roman" w:hAnsi="Times New Roman" w:cs="Times New Roman"/>
          <w:sz w:val="24"/>
          <w:szCs w:val="24"/>
        </w:rPr>
        <w:tab/>
        <w:t>samazinājums</w:t>
      </w:r>
    </w:p>
    <w:p w14:paraId="10AAFD3E"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ilgtermiņa</w:t>
      </w:r>
      <w:r w:rsidRPr="00AB7B8E">
        <w:rPr>
          <w:rFonts w:ascii="Times New Roman" w:hAnsi="Times New Roman" w:cs="Times New Roman"/>
          <w:sz w:val="24"/>
          <w:szCs w:val="24"/>
        </w:rPr>
        <w:tab/>
        <w:t>finanšu ieguldījumiem vērtspapīros</w:t>
      </w:r>
      <w:r w:rsidRPr="00AB7B8E">
        <w:rPr>
          <w:rFonts w:ascii="Times New Roman" w:hAnsi="Times New Roman" w:cs="Times New Roman"/>
          <w:sz w:val="24"/>
          <w:szCs w:val="24"/>
        </w:rPr>
        <w:tab/>
        <w:t>4 000,00 EUR*</w:t>
      </w:r>
    </w:p>
    <w:p w14:paraId="0AC1E3C8" w14:textId="77777777" w:rsidR="006162DC"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*pārdošanai pieejama aktīva vērtības samazināšanās gadījumā uz pārskata perioda finanšu izdevumiem izslēdz starpību starp finanšu instrumenta sākotnējo iegādes vērtību un pašreizējo patieso vērtību (10 000,00 EUR – 6 000,00 EUR =  4 000,00 EUR)</w:t>
      </w:r>
    </w:p>
    <w:p w14:paraId="4B4C223C" w14:textId="77777777" w:rsidR="00AB7B8E" w:rsidRDefault="00AB7B8E" w:rsidP="00CD363C">
      <w:pPr>
        <w:pStyle w:val="Virsraksts4"/>
        <w:tabs>
          <w:tab w:val="left" w:pos="903"/>
        </w:tabs>
        <w:spacing w:before="0"/>
        <w:ind w:left="0" w:right="113"/>
        <w:jc w:val="both"/>
      </w:pPr>
      <w:r>
        <w:rPr>
          <w:color w:val="002069"/>
        </w:rPr>
        <w:t>21.8.9.Piemērs – līdz termiņa beigām turēta finanšu instrumenta pārklasifikācija uz pārdošanai pieejamu finanšu aktīvu</w:t>
      </w:r>
    </w:p>
    <w:p w14:paraId="42CA2293" w14:textId="77777777" w:rsidR="00AB7B8E" w:rsidRDefault="00FF1C69" w:rsidP="00CD363C">
      <w:pPr>
        <w:pStyle w:val="Pamatteksts"/>
        <w:ind w:right="113"/>
        <w:jc w:val="both"/>
      </w:pPr>
      <w:r>
        <w:t xml:space="preserve">884.  </w:t>
      </w:r>
      <w:r w:rsidR="00AB7B8E">
        <w:t>2019. gadā budžeta iestāde iegādājas biržā kotētas obligācijas 100 000,00 EUR vērtībā, par tām veicot sākotnējo maksājumu 92 980,00 EUR. Obligāciju ikgadējā kupona likme 6%, termiņš – 5 gadi. Efektīvā procentu</w:t>
      </w:r>
      <w:r w:rsidR="00AB7B8E">
        <w:rPr>
          <w:spacing w:val="-11"/>
        </w:rPr>
        <w:t xml:space="preserve"> </w:t>
      </w:r>
      <w:r w:rsidR="00AB7B8E">
        <w:t>likme</w:t>
      </w:r>
      <w:r w:rsidR="00AB7B8E">
        <w:rPr>
          <w:spacing w:val="-7"/>
        </w:rPr>
        <w:t xml:space="preserve"> </w:t>
      </w:r>
      <w:r w:rsidR="00AB7B8E">
        <w:t>–</w:t>
      </w:r>
      <w:r w:rsidR="00AB7B8E">
        <w:rPr>
          <w:spacing w:val="-8"/>
        </w:rPr>
        <w:t xml:space="preserve"> </w:t>
      </w:r>
      <w:r w:rsidR="00AB7B8E">
        <w:t>7,75%</w:t>
      </w:r>
      <w:r w:rsidR="00AB7B8E">
        <w:rPr>
          <w:spacing w:val="-8"/>
        </w:rPr>
        <w:t xml:space="preserve"> </w:t>
      </w:r>
      <w:r w:rsidR="00AB7B8E">
        <w:t>(piemēra</w:t>
      </w:r>
      <w:r w:rsidR="00AB7B8E">
        <w:rPr>
          <w:spacing w:val="-8"/>
        </w:rPr>
        <w:t xml:space="preserve"> </w:t>
      </w:r>
      <w:r w:rsidR="00AB7B8E">
        <w:t>aprēķinos</w:t>
      </w:r>
      <w:r w:rsidR="00AB7B8E">
        <w:rPr>
          <w:spacing w:val="-9"/>
        </w:rPr>
        <w:t xml:space="preserve"> </w:t>
      </w:r>
      <w:r w:rsidR="00AB7B8E">
        <w:t>izmantota</w:t>
      </w:r>
      <w:r w:rsidR="00AB7B8E">
        <w:rPr>
          <w:spacing w:val="-8"/>
        </w:rPr>
        <w:t xml:space="preserve"> </w:t>
      </w:r>
      <w:r w:rsidR="00AB7B8E">
        <w:t>pilna</w:t>
      </w:r>
      <w:r w:rsidR="00AB7B8E">
        <w:rPr>
          <w:spacing w:val="-8"/>
        </w:rPr>
        <w:t xml:space="preserve"> </w:t>
      </w:r>
      <w:r w:rsidR="00AB7B8E">
        <w:t>efektīvā</w:t>
      </w:r>
      <w:r w:rsidR="00AB7B8E">
        <w:rPr>
          <w:spacing w:val="-8"/>
        </w:rPr>
        <w:t xml:space="preserve"> </w:t>
      </w:r>
      <w:r w:rsidR="00AB7B8E">
        <w:t>procentu</w:t>
      </w:r>
      <w:r w:rsidR="00AB7B8E">
        <w:rPr>
          <w:spacing w:val="-11"/>
        </w:rPr>
        <w:t xml:space="preserve"> </w:t>
      </w:r>
      <w:r w:rsidR="00AB7B8E">
        <w:t>likme</w:t>
      </w:r>
      <w:r w:rsidR="00AB7B8E">
        <w:rPr>
          <w:spacing w:val="-6"/>
        </w:rPr>
        <w:t xml:space="preserve"> </w:t>
      </w:r>
      <w:r w:rsidR="00AB7B8E">
        <w:t>–</w:t>
      </w:r>
      <w:r w:rsidR="00AB7B8E">
        <w:rPr>
          <w:spacing w:val="-8"/>
        </w:rPr>
        <w:t xml:space="preserve"> </w:t>
      </w:r>
      <w:r w:rsidR="00AB7B8E">
        <w:t xml:space="preserve">7,74647178120418%). Sākotnēji atzīstot, budžeta iestāde klasificē obligācijas kā līdz termiņa beigām turētus finanšu instrumentus. Finanšu instruments uzskaitīts kontā 1349 </w:t>
      </w:r>
      <w:r w:rsidR="00AB7B8E">
        <w:rPr>
          <w:i/>
        </w:rPr>
        <w:t>Ilgtermiņa finanšu ieguldījumi</w:t>
      </w:r>
      <w:r w:rsidR="00AB7B8E">
        <w:rPr>
          <w:i/>
          <w:spacing w:val="-10"/>
        </w:rPr>
        <w:t xml:space="preserve"> </w:t>
      </w:r>
      <w:r w:rsidR="00AB7B8E">
        <w:rPr>
          <w:i/>
        </w:rPr>
        <w:t>vērtspapīros</w:t>
      </w:r>
      <w:r w:rsidR="00AB7B8E">
        <w:t>.</w:t>
      </w:r>
    </w:p>
    <w:p w14:paraId="5F9D45E1" w14:textId="77777777" w:rsidR="00AB7B8E" w:rsidRDefault="00AB7B8E" w:rsidP="00CD363C">
      <w:pPr>
        <w:pStyle w:val="Sarakstarindkopa"/>
        <w:widowControl w:val="0"/>
        <w:numPr>
          <w:ilvl w:val="0"/>
          <w:numId w:val="59"/>
        </w:numPr>
        <w:tabs>
          <w:tab w:val="left" w:pos="671"/>
        </w:tabs>
        <w:autoSpaceDE w:val="0"/>
        <w:autoSpaceDN w:val="0"/>
        <w:spacing w:after="0" w:line="240" w:lineRule="auto"/>
        <w:ind w:left="0" w:right="113" w:firstLine="0"/>
        <w:contextualSpacing w:val="0"/>
        <w:jc w:val="both"/>
      </w:pPr>
      <w:r>
        <w:t>tabulā uzrādīts līdz termiņa beigām turētā finanšu instrumenta (obligāciju) amortizētās vērtības aprēķins un</w:t>
      </w:r>
      <w:r>
        <w:rPr>
          <w:spacing w:val="-14"/>
        </w:rPr>
        <w:t xml:space="preserve"> </w:t>
      </w:r>
      <w:r>
        <w:t>naudas</w:t>
      </w:r>
      <w:r>
        <w:rPr>
          <w:spacing w:val="-15"/>
        </w:rPr>
        <w:t xml:space="preserve"> </w:t>
      </w:r>
      <w:r>
        <w:t>plūsmas</w:t>
      </w:r>
      <w:r>
        <w:rPr>
          <w:spacing w:val="-14"/>
        </w:rPr>
        <w:t xml:space="preserve"> </w:t>
      </w:r>
      <w:r>
        <w:t>5</w:t>
      </w:r>
      <w:r>
        <w:rPr>
          <w:spacing w:val="-13"/>
        </w:rPr>
        <w:t xml:space="preserve"> </w:t>
      </w:r>
      <w:r>
        <w:t>gadu</w:t>
      </w:r>
      <w:r>
        <w:rPr>
          <w:spacing w:val="-16"/>
        </w:rPr>
        <w:t xml:space="preserve"> </w:t>
      </w:r>
      <w:r>
        <w:t>laika</w:t>
      </w:r>
      <w:r>
        <w:rPr>
          <w:spacing w:val="-13"/>
        </w:rPr>
        <w:t xml:space="preserve"> </w:t>
      </w:r>
      <w:r>
        <w:t>periodā.</w:t>
      </w:r>
      <w:r>
        <w:rPr>
          <w:spacing w:val="-15"/>
        </w:rPr>
        <w:t xml:space="preserve"> </w:t>
      </w:r>
      <w:r>
        <w:t>Katru</w:t>
      </w:r>
      <w:r>
        <w:rPr>
          <w:spacing w:val="-14"/>
        </w:rPr>
        <w:t xml:space="preserve"> </w:t>
      </w:r>
      <w:r>
        <w:t>gadu</w:t>
      </w:r>
      <w:r>
        <w:rPr>
          <w:spacing w:val="-15"/>
        </w:rPr>
        <w:t xml:space="preserve"> </w:t>
      </w:r>
      <w:r>
        <w:t>sagaidāmā</w:t>
      </w:r>
      <w:r>
        <w:rPr>
          <w:spacing w:val="-14"/>
        </w:rPr>
        <w:t xml:space="preserve"> </w:t>
      </w:r>
      <w:r>
        <w:t>aizņēmuma</w:t>
      </w:r>
      <w:r>
        <w:rPr>
          <w:spacing w:val="-13"/>
        </w:rPr>
        <w:t xml:space="preserve"> </w:t>
      </w:r>
      <w:r>
        <w:t>procentu</w:t>
      </w:r>
      <w:r>
        <w:rPr>
          <w:spacing w:val="-14"/>
        </w:rPr>
        <w:t xml:space="preserve"> </w:t>
      </w:r>
      <w:r>
        <w:t>atmaksa</w:t>
      </w:r>
      <w:r>
        <w:rPr>
          <w:spacing w:val="-13"/>
        </w:rPr>
        <w:t xml:space="preserve"> </w:t>
      </w:r>
      <w:r>
        <w:t>ir</w:t>
      </w:r>
      <w:r>
        <w:rPr>
          <w:spacing w:val="-15"/>
        </w:rPr>
        <w:t xml:space="preserve"> </w:t>
      </w:r>
      <w:r>
        <w:t>6</w:t>
      </w:r>
      <w:r>
        <w:rPr>
          <w:spacing w:val="-1"/>
        </w:rPr>
        <w:t xml:space="preserve"> </w:t>
      </w:r>
      <w:r>
        <w:t>000,00</w:t>
      </w:r>
      <w:r>
        <w:rPr>
          <w:spacing w:val="-2"/>
        </w:rPr>
        <w:t xml:space="preserve"> </w:t>
      </w:r>
      <w:r>
        <w:t>EUR un termiņa beigās sagaidāmā vērtība 106 000,00 EUR</w:t>
      </w:r>
      <w:r>
        <w:rPr>
          <w:spacing w:val="-5"/>
        </w:rPr>
        <w:t xml:space="preserve"> </w:t>
      </w:r>
      <w:r>
        <w:t>apmērā.</w:t>
      </w:r>
    </w:p>
    <w:p w14:paraId="2F8EB8D5" w14:textId="77777777" w:rsidR="00AB7B8E" w:rsidRDefault="00AB7B8E" w:rsidP="00CD363C">
      <w:pPr>
        <w:spacing w:after="0" w:line="240" w:lineRule="auto"/>
        <w:ind w:left="4174" w:right="113"/>
        <w:jc w:val="both"/>
        <w:rPr>
          <w:i/>
          <w:sz w:val="20"/>
        </w:rPr>
      </w:pPr>
      <w:r>
        <w:rPr>
          <w:i/>
          <w:sz w:val="20"/>
        </w:rPr>
        <w:t>18. tabula. Aizņēmuma amortizētā vērtības aprēķini un naudas plūsmas</w:t>
      </w:r>
    </w:p>
    <w:p w14:paraId="11559308" w14:textId="77777777" w:rsidR="00AB7B8E" w:rsidRDefault="00AB7B8E" w:rsidP="00CD363C">
      <w:pPr>
        <w:pStyle w:val="Pamatteksts"/>
        <w:ind w:right="113"/>
        <w:jc w:val="both"/>
        <w:rPr>
          <w:i/>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30"/>
        <w:gridCol w:w="1841"/>
        <w:gridCol w:w="1843"/>
        <w:gridCol w:w="2268"/>
        <w:gridCol w:w="2268"/>
      </w:tblGrid>
      <w:tr w:rsidR="00AB7B8E" w14:paraId="4AF5A5F8" w14:textId="77777777" w:rsidTr="00FF1C69">
        <w:trPr>
          <w:trHeight w:val="688"/>
        </w:trPr>
        <w:tc>
          <w:tcPr>
            <w:tcW w:w="1130" w:type="dxa"/>
            <w:shd w:val="clear" w:color="auto" w:fill="F1F1F1"/>
          </w:tcPr>
          <w:p w14:paraId="1AF6509B" w14:textId="77777777" w:rsidR="00AB7B8E" w:rsidRDefault="00AB7B8E" w:rsidP="00CD363C">
            <w:pPr>
              <w:pStyle w:val="TableParagraph"/>
              <w:ind w:right="113"/>
              <w:jc w:val="both"/>
              <w:rPr>
                <w:i/>
                <w:sz w:val="20"/>
              </w:rPr>
            </w:pPr>
          </w:p>
          <w:p w14:paraId="767F14B6" w14:textId="77777777" w:rsidR="00AB7B8E" w:rsidRDefault="00AB7B8E" w:rsidP="00CD363C">
            <w:pPr>
              <w:pStyle w:val="TableParagraph"/>
              <w:ind w:left="314" w:right="113"/>
              <w:jc w:val="both"/>
              <w:rPr>
                <w:b/>
                <w:sz w:val="20"/>
              </w:rPr>
            </w:pPr>
            <w:r>
              <w:rPr>
                <w:b/>
                <w:sz w:val="20"/>
              </w:rPr>
              <w:t>Gads</w:t>
            </w:r>
          </w:p>
        </w:tc>
        <w:tc>
          <w:tcPr>
            <w:tcW w:w="1841" w:type="dxa"/>
            <w:shd w:val="clear" w:color="auto" w:fill="F1F1F1"/>
          </w:tcPr>
          <w:p w14:paraId="044A721F" w14:textId="77777777" w:rsidR="00AB7B8E" w:rsidRDefault="00AB7B8E" w:rsidP="00CD363C">
            <w:pPr>
              <w:pStyle w:val="TableParagraph"/>
              <w:ind w:left="230" w:right="113" w:firstLine="177"/>
              <w:jc w:val="both"/>
              <w:rPr>
                <w:b/>
                <w:sz w:val="20"/>
              </w:rPr>
            </w:pPr>
            <w:r>
              <w:rPr>
                <w:b/>
                <w:sz w:val="20"/>
              </w:rPr>
              <w:t>Amortizētā</w:t>
            </w:r>
          </w:p>
          <w:p w14:paraId="3708C73C" w14:textId="77777777" w:rsidR="00AB7B8E" w:rsidRDefault="00AB7B8E" w:rsidP="00CD363C">
            <w:pPr>
              <w:pStyle w:val="TableParagraph"/>
              <w:ind w:left="230" w:right="113"/>
              <w:jc w:val="both"/>
              <w:rPr>
                <w:b/>
                <w:sz w:val="20"/>
              </w:rPr>
            </w:pPr>
            <w:r>
              <w:rPr>
                <w:b/>
                <w:sz w:val="20"/>
              </w:rPr>
              <w:t>vērtība perioda sākumā, EUR</w:t>
            </w:r>
          </w:p>
        </w:tc>
        <w:tc>
          <w:tcPr>
            <w:tcW w:w="1843" w:type="dxa"/>
            <w:shd w:val="clear" w:color="auto" w:fill="F1F1F1"/>
          </w:tcPr>
          <w:p w14:paraId="66D01692" w14:textId="77777777" w:rsidR="00AB7B8E" w:rsidRDefault="00AB7B8E" w:rsidP="00CD363C">
            <w:pPr>
              <w:pStyle w:val="TableParagraph"/>
              <w:ind w:left="415" w:right="113" w:hanging="1"/>
              <w:jc w:val="both"/>
              <w:rPr>
                <w:b/>
                <w:sz w:val="20"/>
              </w:rPr>
            </w:pPr>
            <w:r>
              <w:rPr>
                <w:b/>
                <w:sz w:val="20"/>
              </w:rPr>
              <w:t xml:space="preserve">Kupona </w:t>
            </w:r>
            <w:r>
              <w:rPr>
                <w:b/>
                <w:spacing w:val="-1"/>
                <w:sz w:val="20"/>
              </w:rPr>
              <w:t>maksājumi</w:t>
            </w:r>
          </w:p>
          <w:p w14:paraId="57FECDB5" w14:textId="77777777" w:rsidR="00AB7B8E" w:rsidRDefault="00AB7B8E" w:rsidP="00CD363C">
            <w:pPr>
              <w:pStyle w:val="TableParagraph"/>
              <w:ind w:left="111" w:right="113"/>
              <w:jc w:val="both"/>
              <w:rPr>
                <w:b/>
                <w:sz w:val="20"/>
              </w:rPr>
            </w:pPr>
            <w:r>
              <w:rPr>
                <w:b/>
                <w:sz w:val="20"/>
              </w:rPr>
              <w:t>(6% gadā), EUR</w:t>
            </w:r>
          </w:p>
        </w:tc>
        <w:tc>
          <w:tcPr>
            <w:tcW w:w="2268" w:type="dxa"/>
            <w:shd w:val="clear" w:color="auto" w:fill="F1F1F1"/>
          </w:tcPr>
          <w:p w14:paraId="65267D75" w14:textId="77777777" w:rsidR="00AB7B8E" w:rsidRDefault="00AB7B8E" w:rsidP="00CD363C">
            <w:pPr>
              <w:pStyle w:val="TableParagraph"/>
              <w:ind w:left="308" w:right="113" w:hanging="4"/>
              <w:jc w:val="both"/>
              <w:rPr>
                <w:sz w:val="20"/>
              </w:rPr>
            </w:pPr>
            <w:r>
              <w:rPr>
                <w:b/>
                <w:sz w:val="20"/>
              </w:rPr>
              <w:t xml:space="preserve">Atzītie procentu ieņēmumi </w:t>
            </w:r>
            <w:r>
              <w:rPr>
                <w:sz w:val="20"/>
              </w:rPr>
              <w:t>(7,75%),</w:t>
            </w:r>
          </w:p>
          <w:p w14:paraId="10A7D024" w14:textId="77777777" w:rsidR="00AB7B8E" w:rsidRDefault="00AB7B8E" w:rsidP="00CD363C">
            <w:pPr>
              <w:pStyle w:val="TableParagraph"/>
              <w:ind w:left="502" w:right="113"/>
              <w:jc w:val="both"/>
              <w:rPr>
                <w:sz w:val="20"/>
              </w:rPr>
            </w:pPr>
            <w:r>
              <w:rPr>
                <w:sz w:val="20"/>
              </w:rPr>
              <w:t>EUR</w:t>
            </w:r>
          </w:p>
        </w:tc>
        <w:tc>
          <w:tcPr>
            <w:tcW w:w="2268" w:type="dxa"/>
            <w:shd w:val="clear" w:color="auto" w:fill="F1F1F1"/>
          </w:tcPr>
          <w:p w14:paraId="10E8B85E" w14:textId="77777777" w:rsidR="00AB7B8E" w:rsidRDefault="00AB7B8E" w:rsidP="00CD363C">
            <w:pPr>
              <w:pStyle w:val="TableParagraph"/>
              <w:ind w:left="224" w:right="113" w:firstLine="67"/>
              <w:jc w:val="both"/>
              <w:rPr>
                <w:b/>
                <w:sz w:val="20"/>
              </w:rPr>
            </w:pPr>
            <w:r>
              <w:rPr>
                <w:b/>
                <w:sz w:val="20"/>
              </w:rPr>
              <w:t>Amortizētā vērtība perioda beigās, EUR</w:t>
            </w:r>
          </w:p>
        </w:tc>
      </w:tr>
      <w:tr w:rsidR="00AB7B8E" w14:paraId="6BF559D4" w14:textId="77777777" w:rsidTr="00FF1C69">
        <w:trPr>
          <w:trHeight w:val="227"/>
        </w:trPr>
        <w:tc>
          <w:tcPr>
            <w:tcW w:w="1130" w:type="dxa"/>
            <w:shd w:val="clear" w:color="auto" w:fill="F1F1F1"/>
          </w:tcPr>
          <w:p w14:paraId="4CED014C" w14:textId="77777777" w:rsidR="00AB7B8E" w:rsidRDefault="00AB7B8E" w:rsidP="00CD363C">
            <w:pPr>
              <w:pStyle w:val="TableParagraph"/>
              <w:ind w:right="113"/>
              <w:jc w:val="both"/>
              <w:rPr>
                <w:b/>
                <w:i/>
                <w:sz w:val="20"/>
              </w:rPr>
            </w:pPr>
            <w:r>
              <w:rPr>
                <w:b/>
                <w:i/>
                <w:w w:val="99"/>
                <w:sz w:val="20"/>
              </w:rPr>
              <w:t>1</w:t>
            </w:r>
          </w:p>
        </w:tc>
        <w:tc>
          <w:tcPr>
            <w:tcW w:w="1841" w:type="dxa"/>
            <w:shd w:val="clear" w:color="auto" w:fill="F1F1F1"/>
          </w:tcPr>
          <w:p w14:paraId="3B579128" w14:textId="77777777" w:rsidR="00AB7B8E" w:rsidRDefault="00AB7B8E" w:rsidP="00CD363C">
            <w:pPr>
              <w:pStyle w:val="TableParagraph"/>
              <w:ind w:left="840" w:right="113"/>
              <w:jc w:val="both"/>
              <w:rPr>
                <w:b/>
                <w:i/>
                <w:sz w:val="20"/>
              </w:rPr>
            </w:pPr>
            <w:r>
              <w:rPr>
                <w:b/>
                <w:i/>
                <w:w w:val="99"/>
                <w:sz w:val="20"/>
              </w:rPr>
              <w:t>2</w:t>
            </w:r>
          </w:p>
        </w:tc>
        <w:tc>
          <w:tcPr>
            <w:tcW w:w="1843" w:type="dxa"/>
            <w:shd w:val="clear" w:color="auto" w:fill="F1F1F1"/>
          </w:tcPr>
          <w:p w14:paraId="29688F7D" w14:textId="77777777" w:rsidR="00AB7B8E" w:rsidRDefault="00AB7B8E" w:rsidP="00CD363C">
            <w:pPr>
              <w:pStyle w:val="TableParagraph"/>
              <w:ind w:right="113"/>
              <w:jc w:val="both"/>
              <w:rPr>
                <w:b/>
                <w:i/>
                <w:sz w:val="20"/>
              </w:rPr>
            </w:pPr>
            <w:r>
              <w:rPr>
                <w:b/>
                <w:i/>
                <w:w w:val="99"/>
                <w:sz w:val="20"/>
              </w:rPr>
              <w:t>3</w:t>
            </w:r>
          </w:p>
        </w:tc>
        <w:tc>
          <w:tcPr>
            <w:tcW w:w="2268" w:type="dxa"/>
            <w:shd w:val="clear" w:color="auto" w:fill="F1F1F1"/>
          </w:tcPr>
          <w:p w14:paraId="2B556DBA" w14:textId="77777777" w:rsidR="00AB7B8E" w:rsidRDefault="00AB7B8E" w:rsidP="00CD363C">
            <w:pPr>
              <w:pStyle w:val="TableParagraph"/>
              <w:ind w:right="113"/>
              <w:jc w:val="both"/>
              <w:rPr>
                <w:b/>
                <w:i/>
                <w:sz w:val="20"/>
              </w:rPr>
            </w:pPr>
            <w:r>
              <w:rPr>
                <w:b/>
                <w:i/>
                <w:w w:val="99"/>
                <w:sz w:val="20"/>
              </w:rPr>
              <w:t>4</w:t>
            </w:r>
          </w:p>
        </w:tc>
        <w:tc>
          <w:tcPr>
            <w:tcW w:w="2268" w:type="dxa"/>
            <w:shd w:val="clear" w:color="auto" w:fill="F1F1F1"/>
          </w:tcPr>
          <w:p w14:paraId="075F3EB5" w14:textId="77777777" w:rsidR="00AB7B8E" w:rsidRDefault="00AB7B8E" w:rsidP="00CD363C">
            <w:pPr>
              <w:pStyle w:val="TableParagraph"/>
              <w:ind w:left="733" w:right="113"/>
              <w:jc w:val="both"/>
              <w:rPr>
                <w:b/>
                <w:i/>
                <w:sz w:val="20"/>
              </w:rPr>
            </w:pPr>
            <w:r>
              <w:rPr>
                <w:b/>
                <w:i/>
                <w:sz w:val="20"/>
              </w:rPr>
              <w:t>5 =2-3+4</w:t>
            </w:r>
          </w:p>
        </w:tc>
      </w:tr>
      <w:tr w:rsidR="00AB7B8E" w14:paraId="54D75EFB" w14:textId="77777777" w:rsidTr="00FF1C69">
        <w:trPr>
          <w:trHeight w:val="230"/>
        </w:trPr>
        <w:tc>
          <w:tcPr>
            <w:tcW w:w="1130" w:type="dxa"/>
          </w:tcPr>
          <w:p w14:paraId="3E83FD12" w14:textId="77777777" w:rsidR="00AB7B8E" w:rsidRDefault="00AB7B8E" w:rsidP="00CD363C">
            <w:pPr>
              <w:pStyle w:val="TableParagraph"/>
              <w:ind w:right="113"/>
              <w:jc w:val="both"/>
              <w:rPr>
                <w:sz w:val="20"/>
              </w:rPr>
            </w:pPr>
            <w:r>
              <w:rPr>
                <w:sz w:val="20"/>
              </w:rPr>
              <w:t>2019</w:t>
            </w:r>
          </w:p>
        </w:tc>
        <w:tc>
          <w:tcPr>
            <w:tcW w:w="1841" w:type="dxa"/>
          </w:tcPr>
          <w:p w14:paraId="68907A79" w14:textId="77777777" w:rsidR="00AB7B8E" w:rsidRDefault="00AB7B8E" w:rsidP="00CD363C">
            <w:pPr>
              <w:pStyle w:val="TableParagraph"/>
              <w:ind w:left="876" w:right="113"/>
              <w:jc w:val="both"/>
              <w:rPr>
                <w:sz w:val="20"/>
              </w:rPr>
            </w:pPr>
            <w:r>
              <w:rPr>
                <w:sz w:val="20"/>
              </w:rPr>
              <w:t>92 980,00</w:t>
            </w:r>
          </w:p>
        </w:tc>
        <w:tc>
          <w:tcPr>
            <w:tcW w:w="1843" w:type="dxa"/>
          </w:tcPr>
          <w:p w14:paraId="09B7531F" w14:textId="77777777" w:rsidR="00AB7B8E" w:rsidRDefault="00AB7B8E" w:rsidP="00CD363C">
            <w:pPr>
              <w:pStyle w:val="TableParagraph"/>
              <w:ind w:right="113"/>
              <w:jc w:val="both"/>
              <w:rPr>
                <w:sz w:val="20"/>
              </w:rPr>
            </w:pPr>
            <w:r>
              <w:rPr>
                <w:sz w:val="20"/>
              </w:rPr>
              <w:t>6 000,00</w:t>
            </w:r>
          </w:p>
        </w:tc>
        <w:tc>
          <w:tcPr>
            <w:tcW w:w="2268" w:type="dxa"/>
          </w:tcPr>
          <w:p w14:paraId="58FC7399" w14:textId="77777777" w:rsidR="00AB7B8E" w:rsidRDefault="00AB7B8E" w:rsidP="00CD363C">
            <w:pPr>
              <w:pStyle w:val="TableParagraph"/>
              <w:ind w:right="113"/>
              <w:jc w:val="both"/>
              <w:rPr>
                <w:sz w:val="20"/>
              </w:rPr>
            </w:pPr>
            <w:r>
              <w:rPr>
                <w:sz w:val="20"/>
              </w:rPr>
              <w:t>7 202,67</w:t>
            </w:r>
          </w:p>
        </w:tc>
        <w:tc>
          <w:tcPr>
            <w:tcW w:w="2268" w:type="dxa"/>
          </w:tcPr>
          <w:p w14:paraId="67EB9C48" w14:textId="77777777" w:rsidR="00AB7B8E" w:rsidRDefault="00AB7B8E" w:rsidP="00CD363C">
            <w:pPr>
              <w:pStyle w:val="TableParagraph"/>
              <w:ind w:right="113"/>
              <w:jc w:val="both"/>
              <w:rPr>
                <w:sz w:val="20"/>
              </w:rPr>
            </w:pPr>
            <w:r>
              <w:rPr>
                <w:sz w:val="20"/>
              </w:rPr>
              <w:t>94 182,67</w:t>
            </w:r>
          </w:p>
        </w:tc>
      </w:tr>
      <w:tr w:rsidR="00AB7B8E" w14:paraId="518A270A" w14:textId="77777777" w:rsidTr="00FF1C69">
        <w:trPr>
          <w:trHeight w:val="230"/>
        </w:trPr>
        <w:tc>
          <w:tcPr>
            <w:tcW w:w="1130" w:type="dxa"/>
          </w:tcPr>
          <w:p w14:paraId="6563A171" w14:textId="77777777" w:rsidR="00AB7B8E" w:rsidRDefault="00AB7B8E" w:rsidP="00CD363C">
            <w:pPr>
              <w:pStyle w:val="TableParagraph"/>
              <w:ind w:right="113"/>
              <w:jc w:val="both"/>
              <w:rPr>
                <w:sz w:val="20"/>
              </w:rPr>
            </w:pPr>
            <w:r>
              <w:rPr>
                <w:sz w:val="20"/>
              </w:rPr>
              <w:t>2020</w:t>
            </w:r>
          </w:p>
        </w:tc>
        <w:tc>
          <w:tcPr>
            <w:tcW w:w="1841" w:type="dxa"/>
          </w:tcPr>
          <w:p w14:paraId="3A355939" w14:textId="77777777" w:rsidR="00AB7B8E" w:rsidRDefault="00AB7B8E" w:rsidP="00CD363C">
            <w:pPr>
              <w:pStyle w:val="TableParagraph"/>
              <w:ind w:left="876" w:right="113"/>
              <w:jc w:val="both"/>
              <w:rPr>
                <w:sz w:val="20"/>
              </w:rPr>
            </w:pPr>
            <w:r>
              <w:rPr>
                <w:sz w:val="20"/>
              </w:rPr>
              <w:t>94 182,67</w:t>
            </w:r>
          </w:p>
        </w:tc>
        <w:tc>
          <w:tcPr>
            <w:tcW w:w="1843" w:type="dxa"/>
          </w:tcPr>
          <w:p w14:paraId="2BACAC23" w14:textId="77777777" w:rsidR="00AB7B8E" w:rsidRDefault="00AB7B8E" w:rsidP="00CD363C">
            <w:pPr>
              <w:pStyle w:val="TableParagraph"/>
              <w:ind w:right="113"/>
              <w:jc w:val="both"/>
              <w:rPr>
                <w:sz w:val="20"/>
              </w:rPr>
            </w:pPr>
            <w:r>
              <w:rPr>
                <w:sz w:val="20"/>
              </w:rPr>
              <w:t>6 000,00</w:t>
            </w:r>
          </w:p>
        </w:tc>
        <w:tc>
          <w:tcPr>
            <w:tcW w:w="2268" w:type="dxa"/>
          </w:tcPr>
          <w:p w14:paraId="1A5478AF" w14:textId="77777777" w:rsidR="00AB7B8E" w:rsidRDefault="00AB7B8E" w:rsidP="00CD363C">
            <w:pPr>
              <w:pStyle w:val="TableParagraph"/>
              <w:ind w:right="113"/>
              <w:jc w:val="both"/>
              <w:rPr>
                <w:sz w:val="20"/>
              </w:rPr>
            </w:pPr>
            <w:r>
              <w:rPr>
                <w:sz w:val="20"/>
              </w:rPr>
              <w:t>7 295,83</w:t>
            </w:r>
          </w:p>
        </w:tc>
        <w:tc>
          <w:tcPr>
            <w:tcW w:w="2268" w:type="dxa"/>
          </w:tcPr>
          <w:p w14:paraId="35A68D5E" w14:textId="77777777" w:rsidR="00AB7B8E" w:rsidRDefault="00AB7B8E" w:rsidP="00CD363C">
            <w:pPr>
              <w:pStyle w:val="TableParagraph"/>
              <w:ind w:right="113"/>
              <w:jc w:val="both"/>
              <w:rPr>
                <w:sz w:val="20"/>
              </w:rPr>
            </w:pPr>
            <w:r>
              <w:rPr>
                <w:sz w:val="20"/>
              </w:rPr>
              <w:t>95 478,50</w:t>
            </w:r>
          </w:p>
        </w:tc>
      </w:tr>
      <w:tr w:rsidR="00AB7B8E" w14:paraId="4AF414F0" w14:textId="77777777" w:rsidTr="00FF1C69">
        <w:trPr>
          <w:trHeight w:val="230"/>
        </w:trPr>
        <w:tc>
          <w:tcPr>
            <w:tcW w:w="1130" w:type="dxa"/>
          </w:tcPr>
          <w:p w14:paraId="3C0886F2" w14:textId="77777777" w:rsidR="00AB7B8E" w:rsidRDefault="00AB7B8E" w:rsidP="00CD363C">
            <w:pPr>
              <w:pStyle w:val="TableParagraph"/>
              <w:ind w:right="113"/>
              <w:jc w:val="both"/>
              <w:rPr>
                <w:sz w:val="20"/>
              </w:rPr>
            </w:pPr>
            <w:r>
              <w:rPr>
                <w:sz w:val="20"/>
              </w:rPr>
              <w:t>2021</w:t>
            </w:r>
          </w:p>
        </w:tc>
        <w:tc>
          <w:tcPr>
            <w:tcW w:w="1841" w:type="dxa"/>
          </w:tcPr>
          <w:p w14:paraId="2E2DC35D" w14:textId="77777777" w:rsidR="00AB7B8E" w:rsidRDefault="00AB7B8E" w:rsidP="00CD363C">
            <w:pPr>
              <w:pStyle w:val="TableParagraph"/>
              <w:ind w:left="876" w:right="113"/>
              <w:jc w:val="both"/>
              <w:rPr>
                <w:b/>
                <w:sz w:val="20"/>
              </w:rPr>
            </w:pPr>
            <w:r>
              <w:rPr>
                <w:b/>
                <w:sz w:val="20"/>
              </w:rPr>
              <w:t>95 478,50</w:t>
            </w:r>
          </w:p>
        </w:tc>
        <w:tc>
          <w:tcPr>
            <w:tcW w:w="1843" w:type="dxa"/>
          </w:tcPr>
          <w:p w14:paraId="2CAC8B45" w14:textId="77777777" w:rsidR="00AB7B8E" w:rsidRDefault="00AB7B8E" w:rsidP="00CD363C">
            <w:pPr>
              <w:pStyle w:val="TableParagraph"/>
              <w:ind w:right="113"/>
              <w:jc w:val="both"/>
              <w:rPr>
                <w:sz w:val="20"/>
              </w:rPr>
            </w:pPr>
            <w:r>
              <w:rPr>
                <w:sz w:val="20"/>
              </w:rPr>
              <w:t>6 000,00</w:t>
            </w:r>
          </w:p>
        </w:tc>
        <w:tc>
          <w:tcPr>
            <w:tcW w:w="2268" w:type="dxa"/>
          </w:tcPr>
          <w:p w14:paraId="7267B0A7" w14:textId="77777777" w:rsidR="00AB7B8E" w:rsidRDefault="00AB7B8E" w:rsidP="00CD363C">
            <w:pPr>
              <w:pStyle w:val="TableParagraph"/>
              <w:ind w:right="113"/>
              <w:jc w:val="both"/>
              <w:rPr>
                <w:sz w:val="20"/>
              </w:rPr>
            </w:pPr>
            <w:r>
              <w:rPr>
                <w:sz w:val="20"/>
              </w:rPr>
              <w:t>7 396,22</w:t>
            </w:r>
          </w:p>
        </w:tc>
        <w:tc>
          <w:tcPr>
            <w:tcW w:w="2268" w:type="dxa"/>
          </w:tcPr>
          <w:p w14:paraId="0EF0E7AA" w14:textId="77777777" w:rsidR="00AB7B8E" w:rsidRDefault="00AB7B8E" w:rsidP="00CD363C">
            <w:pPr>
              <w:pStyle w:val="TableParagraph"/>
              <w:ind w:right="113"/>
              <w:jc w:val="both"/>
              <w:rPr>
                <w:sz w:val="20"/>
              </w:rPr>
            </w:pPr>
            <w:r>
              <w:rPr>
                <w:sz w:val="20"/>
              </w:rPr>
              <w:t>96 874,72</w:t>
            </w:r>
          </w:p>
        </w:tc>
      </w:tr>
      <w:tr w:rsidR="00AB7B8E" w14:paraId="10F51F50" w14:textId="77777777" w:rsidTr="00FF1C69">
        <w:trPr>
          <w:trHeight w:val="229"/>
        </w:trPr>
        <w:tc>
          <w:tcPr>
            <w:tcW w:w="1130" w:type="dxa"/>
          </w:tcPr>
          <w:p w14:paraId="10D40D2A" w14:textId="77777777" w:rsidR="00AB7B8E" w:rsidRDefault="00AB7B8E" w:rsidP="00CD363C">
            <w:pPr>
              <w:pStyle w:val="TableParagraph"/>
              <w:ind w:right="113"/>
              <w:jc w:val="both"/>
              <w:rPr>
                <w:sz w:val="20"/>
              </w:rPr>
            </w:pPr>
            <w:r>
              <w:rPr>
                <w:sz w:val="20"/>
              </w:rPr>
              <w:t>2022</w:t>
            </w:r>
          </w:p>
        </w:tc>
        <w:tc>
          <w:tcPr>
            <w:tcW w:w="1841" w:type="dxa"/>
          </w:tcPr>
          <w:p w14:paraId="3209ACCC" w14:textId="77777777" w:rsidR="00AB7B8E" w:rsidRDefault="00AB7B8E" w:rsidP="00CD363C">
            <w:pPr>
              <w:pStyle w:val="TableParagraph"/>
              <w:ind w:left="876" w:right="113"/>
              <w:jc w:val="both"/>
              <w:rPr>
                <w:sz w:val="20"/>
              </w:rPr>
            </w:pPr>
            <w:r>
              <w:rPr>
                <w:sz w:val="20"/>
              </w:rPr>
              <w:t>96 874,72</w:t>
            </w:r>
          </w:p>
        </w:tc>
        <w:tc>
          <w:tcPr>
            <w:tcW w:w="1843" w:type="dxa"/>
          </w:tcPr>
          <w:p w14:paraId="3836CBDA" w14:textId="77777777" w:rsidR="00AB7B8E" w:rsidRDefault="00AB7B8E" w:rsidP="00CD363C">
            <w:pPr>
              <w:pStyle w:val="TableParagraph"/>
              <w:ind w:right="113"/>
              <w:jc w:val="both"/>
              <w:rPr>
                <w:sz w:val="20"/>
              </w:rPr>
            </w:pPr>
            <w:r>
              <w:rPr>
                <w:sz w:val="20"/>
              </w:rPr>
              <w:t>6 000,00</w:t>
            </w:r>
          </w:p>
        </w:tc>
        <w:tc>
          <w:tcPr>
            <w:tcW w:w="2268" w:type="dxa"/>
          </w:tcPr>
          <w:p w14:paraId="29373773" w14:textId="77777777" w:rsidR="00AB7B8E" w:rsidRDefault="00AB7B8E" w:rsidP="00CD363C">
            <w:pPr>
              <w:pStyle w:val="TableParagraph"/>
              <w:ind w:right="113"/>
              <w:jc w:val="both"/>
              <w:rPr>
                <w:sz w:val="20"/>
              </w:rPr>
            </w:pPr>
            <w:r>
              <w:rPr>
                <w:sz w:val="20"/>
              </w:rPr>
              <w:t>7 504,37</w:t>
            </w:r>
          </w:p>
        </w:tc>
        <w:tc>
          <w:tcPr>
            <w:tcW w:w="2268" w:type="dxa"/>
          </w:tcPr>
          <w:p w14:paraId="4656F4AB" w14:textId="77777777" w:rsidR="00AB7B8E" w:rsidRDefault="00AB7B8E" w:rsidP="00CD363C">
            <w:pPr>
              <w:pStyle w:val="TableParagraph"/>
              <w:ind w:right="113"/>
              <w:jc w:val="both"/>
              <w:rPr>
                <w:sz w:val="20"/>
              </w:rPr>
            </w:pPr>
            <w:r>
              <w:rPr>
                <w:sz w:val="20"/>
              </w:rPr>
              <w:t>98 379,09</w:t>
            </w:r>
          </w:p>
        </w:tc>
      </w:tr>
      <w:tr w:rsidR="00AB7B8E" w14:paraId="3C5E580D" w14:textId="77777777" w:rsidTr="00FF1C69">
        <w:trPr>
          <w:trHeight w:val="230"/>
        </w:trPr>
        <w:tc>
          <w:tcPr>
            <w:tcW w:w="1130" w:type="dxa"/>
          </w:tcPr>
          <w:p w14:paraId="26BEF5B7" w14:textId="77777777" w:rsidR="00AB7B8E" w:rsidRDefault="00AB7B8E" w:rsidP="00CD363C">
            <w:pPr>
              <w:pStyle w:val="TableParagraph"/>
              <w:ind w:right="113"/>
              <w:jc w:val="both"/>
              <w:rPr>
                <w:sz w:val="20"/>
              </w:rPr>
            </w:pPr>
            <w:r>
              <w:rPr>
                <w:sz w:val="20"/>
              </w:rPr>
              <w:t>2023</w:t>
            </w:r>
          </w:p>
        </w:tc>
        <w:tc>
          <w:tcPr>
            <w:tcW w:w="1841" w:type="dxa"/>
          </w:tcPr>
          <w:p w14:paraId="06E5230F" w14:textId="77777777" w:rsidR="00AB7B8E" w:rsidRDefault="00AB7B8E" w:rsidP="00CD363C">
            <w:pPr>
              <w:pStyle w:val="TableParagraph"/>
              <w:ind w:left="876" w:right="113"/>
              <w:jc w:val="both"/>
              <w:rPr>
                <w:sz w:val="20"/>
              </w:rPr>
            </w:pPr>
            <w:r>
              <w:rPr>
                <w:sz w:val="20"/>
              </w:rPr>
              <w:t>98 379,09</w:t>
            </w:r>
          </w:p>
        </w:tc>
        <w:tc>
          <w:tcPr>
            <w:tcW w:w="1843" w:type="dxa"/>
          </w:tcPr>
          <w:p w14:paraId="1F7EA50F" w14:textId="77777777" w:rsidR="00AB7B8E" w:rsidRDefault="00AB7B8E" w:rsidP="00CD363C">
            <w:pPr>
              <w:pStyle w:val="TableParagraph"/>
              <w:ind w:right="113"/>
              <w:jc w:val="both"/>
              <w:rPr>
                <w:sz w:val="20"/>
              </w:rPr>
            </w:pPr>
            <w:r>
              <w:rPr>
                <w:sz w:val="20"/>
              </w:rPr>
              <w:t>6 000,00</w:t>
            </w:r>
          </w:p>
        </w:tc>
        <w:tc>
          <w:tcPr>
            <w:tcW w:w="2268" w:type="dxa"/>
          </w:tcPr>
          <w:p w14:paraId="588EE32D" w14:textId="77777777" w:rsidR="00AB7B8E" w:rsidRDefault="00AB7B8E" w:rsidP="00CD363C">
            <w:pPr>
              <w:pStyle w:val="TableParagraph"/>
              <w:ind w:right="113"/>
              <w:jc w:val="both"/>
              <w:rPr>
                <w:sz w:val="20"/>
              </w:rPr>
            </w:pPr>
            <w:r>
              <w:rPr>
                <w:sz w:val="20"/>
              </w:rPr>
              <w:t>7 620,91</w:t>
            </w:r>
          </w:p>
        </w:tc>
        <w:tc>
          <w:tcPr>
            <w:tcW w:w="2268" w:type="dxa"/>
          </w:tcPr>
          <w:p w14:paraId="7CAE0E0F" w14:textId="77777777" w:rsidR="00AB7B8E" w:rsidRDefault="00AB7B8E" w:rsidP="00CD363C">
            <w:pPr>
              <w:pStyle w:val="TableParagraph"/>
              <w:ind w:right="113"/>
              <w:jc w:val="both"/>
              <w:rPr>
                <w:sz w:val="20"/>
              </w:rPr>
            </w:pPr>
            <w:r>
              <w:rPr>
                <w:sz w:val="20"/>
              </w:rPr>
              <w:t>100 000,00</w:t>
            </w:r>
          </w:p>
        </w:tc>
      </w:tr>
      <w:tr w:rsidR="00AB7B8E" w14:paraId="75625D66" w14:textId="77777777" w:rsidTr="00FF1C69">
        <w:trPr>
          <w:trHeight w:val="230"/>
        </w:trPr>
        <w:tc>
          <w:tcPr>
            <w:tcW w:w="1130" w:type="dxa"/>
          </w:tcPr>
          <w:p w14:paraId="0A64B548" w14:textId="77777777" w:rsidR="00AB7B8E" w:rsidRDefault="00AB7B8E" w:rsidP="00CD363C">
            <w:pPr>
              <w:pStyle w:val="TableParagraph"/>
              <w:ind w:right="113"/>
              <w:jc w:val="both"/>
              <w:rPr>
                <w:b/>
                <w:sz w:val="20"/>
              </w:rPr>
            </w:pPr>
            <w:r>
              <w:rPr>
                <w:b/>
                <w:w w:val="95"/>
                <w:sz w:val="20"/>
              </w:rPr>
              <w:t>Kopā:</w:t>
            </w:r>
          </w:p>
        </w:tc>
        <w:tc>
          <w:tcPr>
            <w:tcW w:w="1841" w:type="dxa"/>
          </w:tcPr>
          <w:p w14:paraId="548B345E" w14:textId="77777777" w:rsidR="00AB7B8E" w:rsidRDefault="00AB7B8E" w:rsidP="00CD363C">
            <w:pPr>
              <w:pStyle w:val="TableParagraph"/>
              <w:ind w:right="113"/>
              <w:jc w:val="both"/>
              <w:rPr>
                <w:sz w:val="16"/>
              </w:rPr>
            </w:pPr>
          </w:p>
        </w:tc>
        <w:tc>
          <w:tcPr>
            <w:tcW w:w="1843" w:type="dxa"/>
          </w:tcPr>
          <w:p w14:paraId="7B64D03D" w14:textId="77777777" w:rsidR="00AB7B8E" w:rsidRDefault="00AB7B8E" w:rsidP="00CD363C">
            <w:pPr>
              <w:pStyle w:val="TableParagraph"/>
              <w:ind w:right="113"/>
              <w:jc w:val="both"/>
              <w:rPr>
                <w:b/>
                <w:sz w:val="20"/>
              </w:rPr>
            </w:pPr>
            <w:r>
              <w:rPr>
                <w:b/>
                <w:sz w:val="20"/>
              </w:rPr>
              <w:t>30 000,00</w:t>
            </w:r>
          </w:p>
        </w:tc>
        <w:tc>
          <w:tcPr>
            <w:tcW w:w="2268" w:type="dxa"/>
          </w:tcPr>
          <w:p w14:paraId="6595A90C" w14:textId="77777777" w:rsidR="00AB7B8E" w:rsidRDefault="00AB7B8E" w:rsidP="00CD363C">
            <w:pPr>
              <w:pStyle w:val="TableParagraph"/>
              <w:ind w:right="113"/>
              <w:jc w:val="both"/>
              <w:rPr>
                <w:b/>
                <w:sz w:val="20"/>
              </w:rPr>
            </w:pPr>
            <w:r>
              <w:rPr>
                <w:b/>
                <w:sz w:val="20"/>
              </w:rPr>
              <w:t>37 020,00</w:t>
            </w:r>
          </w:p>
        </w:tc>
        <w:tc>
          <w:tcPr>
            <w:tcW w:w="2268" w:type="dxa"/>
          </w:tcPr>
          <w:p w14:paraId="398318FC" w14:textId="77777777" w:rsidR="00AB7B8E" w:rsidRDefault="00AB7B8E" w:rsidP="00CD363C">
            <w:pPr>
              <w:pStyle w:val="TableParagraph"/>
              <w:ind w:right="113"/>
              <w:jc w:val="both"/>
              <w:rPr>
                <w:sz w:val="16"/>
              </w:rPr>
            </w:pPr>
          </w:p>
        </w:tc>
      </w:tr>
    </w:tbl>
    <w:p w14:paraId="59A61ACC" w14:textId="77777777" w:rsidR="00AB7B8E" w:rsidRDefault="00AB7B8E" w:rsidP="00CD363C">
      <w:pPr>
        <w:pStyle w:val="Pamatteksts"/>
        <w:ind w:right="113"/>
        <w:jc w:val="both"/>
        <w:rPr>
          <w:i/>
        </w:rPr>
      </w:pPr>
    </w:p>
    <w:p w14:paraId="545EF0FB" w14:textId="77777777" w:rsidR="00AB7B8E" w:rsidRDefault="00AB7B8E" w:rsidP="00CD363C">
      <w:pPr>
        <w:pStyle w:val="Pamatteksts"/>
        <w:ind w:right="113"/>
        <w:jc w:val="both"/>
        <w:rPr>
          <w:i/>
          <w:sz w:val="29"/>
        </w:rPr>
      </w:pPr>
    </w:p>
    <w:p w14:paraId="594FA419" w14:textId="77777777" w:rsidR="00AB7B8E" w:rsidRDefault="00AB7B8E" w:rsidP="00CD363C">
      <w:pPr>
        <w:pStyle w:val="Pamatteksts"/>
        <w:ind w:left="338" w:right="113"/>
        <w:jc w:val="both"/>
      </w:pPr>
      <w:r>
        <w:t>2021. gada sākumā, izvērtējot budžeta iestādes nodomu un iespējas turēt attiecīgo finanšu instrumentu, tiek pieņemts lēmums vairs neturēt to līdz termiņa beigām. Budžeta iestāde izvērtē, vai:</w:t>
      </w:r>
    </w:p>
    <w:p w14:paraId="5F5747E5" w14:textId="77777777" w:rsidR="00AB7B8E" w:rsidRDefault="00AB7B8E" w:rsidP="00CD363C">
      <w:pPr>
        <w:pStyle w:val="Sarakstarindkopa"/>
        <w:widowControl w:val="0"/>
        <w:numPr>
          <w:ilvl w:val="0"/>
          <w:numId w:val="61"/>
        </w:numPr>
        <w:tabs>
          <w:tab w:val="left" w:pos="1853"/>
          <w:tab w:val="left" w:pos="1854"/>
        </w:tabs>
        <w:autoSpaceDE w:val="0"/>
        <w:autoSpaceDN w:val="0"/>
        <w:spacing w:after="0" w:line="240" w:lineRule="auto"/>
        <w:ind w:right="113"/>
        <w:contextualSpacing w:val="0"/>
        <w:jc w:val="both"/>
      </w:pPr>
      <w:r>
        <w:t>līdz finanšu aktīva termiņa beigām vai dzēšanai ir atlikušas mazāk nekā 90</w:t>
      </w:r>
      <w:r>
        <w:rPr>
          <w:spacing w:val="-11"/>
        </w:rPr>
        <w:t xml:space="preserve"> </w:t>
      </w:r>
      <w:r>
        <w:t>dienas;</w:t>
      </w:r>
    </w:p>
    <w:p w14:paraId="326DFCDA" w14:textId="77777777" w:rsidR="00AB7B8E" w:rsidRDefault="00AB7B8E" w:rsidP="00CD363C">
      <w:pPr>
        <w:pStyle w:val="Sarakstarindkopa"/>
        <w:widowControl w:val="0"/>
        <w:numPr>
          <w:ilvl w:val="0"/>
          <w:numId w:val="61"/>
        </w:numPr>
        <w:tabs>
          <w:tab w:val="left" w:pos="1853"/>
          <w:tab w:val="left" w:pos="1854"/>
        </w:tabs>
        <w:autoSpaceDE w:val="0"/>
        <w:autoSpaceDN w:val="0"/>
        <w:spacing w:after="0" w:line="240" w:lineRule="auto"/>
        <w:ind w:right="113"/>
        <w:contextualSpacing w:val="0"/>
        <w:jc w:val="both"/>
      </w:pPr>
      <w:r>
        <w:t>budžeta iestāde ir saņēmusi vismaz 90 procentus no aktīva</w:t>
      </w:r>
      <w:r>
        <w:rPr>
          <w:spacing w:val="-8"/>
        </w:rPr>
        <w:t xml:space="preserve"> </w:t>
      </w:r>
      <w:r>
        <w:t>pamatsummas;</w:t>
      </w:r>
    </w:p>
    <w:p w14:paraId="4089F6CF" w14:textId="77777777" w:rsidR="00AB7B8E" w:rsidRDefault="00AB7B8E" w:rsidP="00CD363C">
      <w:pPr>
        <w:pStyle w:val="Sarakstarindkopa"/>
        <w:widowControl w:val="0"/>
        <w:numPr>
          <w:ilvl w:val="0"/>
          <w:numId w:val="61"/>
        </w:numPr>
        <w:tabs>
          <w:tab w:val="left" w:pos="1853"/>
          <w:tab w:val="left" w:pos="1854"/>
        </w:tabs>
        <w:autoSpaceDE w:val="0"/>
        <w:autoSpaceDN w:val="0"/>
        <w:spacing w:after="0" w:line="240" w:lineRule="auto"/>
        <w:ind w:right="113"/>
        <w:contextualSpacing w:val="0"/>
        <w:jc w:val="both"/>
      </w:pPr>
      <w:r>
        <w:t xml:space="preserve">pārskata periodā noticis notikums, kuru budžeta iestāde pamatoti nav varējusi paredzēt </w:t>
      </w:r>
      <w:r>
        <w:rPr>
          <w:spacing w:val="-3"/>
        </w:rPr>
        <w:t xml:space="preserve">un </w:t>
      </w:r>
      <w:r>
        <w:t>kontrolēt un kurš regulāri</w:t>
      </w:r>
      <w:r>
        <w:rPr>
          <w:spacing w:val="-2"/>
        </w:rPr>
        <w:t xml:space="preserve"> </w:t>
      </w:r>
      <w:r>
        <w:t>neatkārtojas.</w:t>
      </w:r>
    </w:p>
    <w:p w14:paraId="07CE4536" w14:textId="77777777" w:rsidR="00AB7B8E" w:rsidRDefault="00AB7B8E" w:rsidP="00CD363C">
      <w:pPr>
        <w:pStyle w:val="Pamatteksts"/>
        <w:ind w:left="338" w:right="113"/>
        <w:jc w:val="both"/>
      </w:pPr>
      <w:r>
        <w:t>Ņemot vērā, ka pārskata gada laikā ir mainījies budžeta iestādes nolūks un iespējas turēt līdz termiņa beigām attiecīgo finanšu instrumentu un izvērtējot attiecīgos kritērijus, budžeta iestāde pārklasificē finanšu instrumentu no līdz termiņa beigām turēta finanšu instrumenta uz pārdošanai pieejamu finanšu aktīvu kategoriju. Finanšu instrumentu atzīst kā pārdošanai pieejamu finanšu aktīvu tā patiesajā vērtībā pārklasifikācijas dienā.</w:t>
      </w:r>
    </w:p>
    <w:p w14:paraId="0F41CC36" w14:textId="77777777" w:rsidR="00AB7B8E" w:rsidRDefault="00AB7B8E" w:rsidP="00CD363C">
      <w:pPr>
        <w:pStyle w:val="Pamatteksts"/>
        <w:ind w:left="338" w:right="113"/>
        <w:jc w:val="both"/>
      </w:pPr>
      <w:r>
        <w:t>Finanšu instrumenta amortizētā vērtība 2021. gada sākumā ir 95 478,50 EUR.</w:t>
      </w:r>
    </w:p>
    <w:p w14:paraId="6A43F1CE" w14:textId="77777777" w:rsidR="00AB7B8E" w:rsidRDefault="00AB7B8E" w:rsidP="00CD363C">
      <w:pPr>
        <w:pStyle w:val="Pamatteksts"/>
        <w:ind w:right="113"/>
        <w:jc w:val="both"/>
        <w:rPr>
          <w:sz w:val="20"/>
        </w:rPr>
      </w:pPr>
    </w:p>
    <w:p w14:paraId="4BA062E6" w14:textId="77777777" w:rsidR="00AB7B8E" w:rsidRDefault="00AB7B8E" w:rsidP="00CD363C">
      <w:pPr>
        <w:pStyle w:val="Pamatteksts"/>
        <w:ind w:left="338" w:right="113"/>
        <w:jc w:val="both"/>
      </w:pPr>
      <w:r>
        <w:t>Budžeta iestāde nosaka finanšu instrumenta patieso vērtību pārklasifikācijas dienā. Obligācijas ir kotētas biržā, tāpēc budžeta iestāde izmanto biržas informāciju par finanšu instrumenta patieso vērtību pārklasifikācijas datumā.</w:t>
      </w:r>
    </w:p>
    <w:p w14:paraId="62FEDD15" w14:textId="77777777" w:rsidR="00AB7B8E" w:rsidRDefault="00AB7B8E" w:rsidP="00CD363C">
      <w:pPr>
        <w:pStyle w:val="Pamatteksts"/>
        <w:ind w:left="338" w:right="113"/>
        <w:jc w:val="both"/>
      </w:pPr>
      <w:r>
        <w:t>Finanšu instrumenta patiesā vērtība pārklasifikācijas datumā ir 95 000,00 EUR.</w:t>
      </w:r>
    </w:p>
    <w:p w14:paraId="66744C10" w14:textId="77777777" w:rsidR="00AB7B8E" w:rsidRDefault="00AB7B8E" w:rsidP="00CD363C">
      <w:pPr>
        <w:pStyle w:val="Pamatteksts"/>
        <w:ind w:right="113"/>
        <w:jc w:val="both"/>
        <w:rPr>
          <w:sz w:val="20"/>
        </w:rPr>
      </w:pPr>
    </w:p>
    <w:p w14:paraId="1696EF10" w14:textId="77777777" w:rsidR="00AB7B8E" w:rsidRDefault="00AB7B8E" w:rsidP="00CD363C">
      <w:pPr>
        <w:pStyle w:val="Pamatteksts"/>
        <w:ind w:left="338" w:right="113"/>
        <w:jc w:val="both"/>
      </w:pPr>
      <w:r>
        <w:t>Starpība starp finanšu instrumenta amortizēto vērtību (95 478,50 EUR) un patieso vērtību (95 000,00 EUR) pārklasifikācijas dienā ir 478,50 EUR (zaudējumi).</w:t>
      </w:r>
    </w:p>
    <w:p w14:paraId="375DE5D8" w14:textId="77777777" w:rsidR="00AB7B8E" w:rsidRDefault="00AB7B8E" w:rsidP="00CD363C">
      <w:pPr>
        <w:pStyle w:val="Pamatteksts"/>
        <w:ind w:left="338" w:right="113"/>
        <w:jc w:val="both"/>
      </w:pPr>
      <w:r>
        <w:t>Pārklasifikācijas dienā budžeta iestāde veic sekojošus grāmatojumus:</w:t>
      </w:r>
    </w:p>
    <w:p w14:paraId="28476FAE" w14:textId="77777777" w:rsidR="00AB7B8E" w:rsidRDefault="00AB7B8E" w:rsidP="00CD363C">
      <w:pPr>
        <w:pStyle w:val="Pamatteksts"/>
        <w:ind w:left="338" w:right="113"/>
        <w:jc w:val="both"/>
      </w:pPr>
    </w:p>
    <w:p w14:paraId="57942261"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w:t>
      </w:r>
      <w:r w:rsidRPr="00AB7B8E">
        <w:rPr>
          <w:rFonts w:ascii="Times New Roman" w:hAnsi="Times New Roman" w:cs="Times New Roman"/>
          <w:sz w:val="24"/>
          <w:szCs w:val="24"/>
        </w:rPr>
        <w:tab/>
        <w:t>vērtības rezerve</w:t>
      </w:r>
      <w:r w:rsidRPr="00AB7B8E">
        <w:rPr>
          <w:rFonts w:ascii="Times New Roman" w:hAnsi="Times New Roman" w:cs="Times New Roman"/>
          <w:sz w:val="24"/>
          <w:szCs w:val="24"/>
        </w:rPr>
        <w:tab/>
        <w:t>478,50 EUR</w:t>
      </w:r>
    </w:p>
    <w:p w14:paraId="68F7B79B" w14:textId="77777777" w:rsidR="006162DC"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478,50 EUR</w:t>
      </w:r>
    </w:p>
    <w:p w14:paraId="024BA362" w14:textId="77777777" w:rsidR="00AB7B8E" w:rsidRDefault="00AB7B8E" w:rsidP="00CD363C">
      <w:pPr>
        <w:pStyle w:val="Pamatteksts"/>
        <w:ind w:left="338" w:right="113"/>
        <w:jc w:val="both"/>
      </w:pPr>
      <w:r>
        <w:t xml:space="preserve">Finanšu instrumenta turpmākā uzskaite tiek veikta saskaņā ar Rokasgrāmatā aprakstītajiem uzskaites principiem par pārdošanai pieejamiem finanšu instrumentiem. Ilustratīvs piemērs sniegts 21.8. apakšnodaļā </w:t>
      </w:r>
      <w:r>
        <w:rPr>
          <w:color w:val="0462C1"/>
          <w:u w:val="single" w:color="0462C1"/>
        </w:rPr>
        <w:t>“</w:t>
      </w:r>
      <w:hyperlink w:anchor="_bookmark365" w:history="1">
        <w:r>
          <w:rPr>
            <w:color w:val="0462C1"/>
            <w:u w:val="single" w:color="0462C1"/>
          </w:rPr>
          <w:t>21.8.8. Piemērs – vērtības samazināšanās uzskaite pārdošanai pieejamam finanšu aktīvam</w:t>
        </w:r>
      </w:hyperlink>
      <w:r>
        <w:rPr>
          <w:color w:val="0462C1"/>
          <w:u w:val="single" w:color="0462C1"/>
        </w:rPr>
        <w:t>”</w:t>
      </w:r>
      <w:r>
        <w:t>.</w:t>
      </w:r>
    </w:p>
    <w:p w14:paraId="2AC7938F" w14:textId="77777777" w:rsidR="000533E4" w:rsidRDefault="000533E4" w:rsidP="00CD363C">
      <w:pPr>
        <w:pStyle w:val="Virsraksts4"/>
        <w:numPr>
          <w:ilvl w:val="2"/>
          <w:numId w:val="60"/>
        </w:numPr>
        <w:tabs>
          <w:tab w:val="left" w:pos="1136"/>
        </w:tabs>
        <w:spacing w:before="0"/>
        <w:ind w:right="113"/>
        <w:jc w:val="both"/>
      </w:pPr>
      <w:r>
        <w:rPr>
          <w:color w:val="002069"/>
        </w:rPr>
        <w:t>Piemērs – informācijas uzrādīšanas ilustratīvs piemērs, balstoties uz piemēros izmantotajiem</w:t>
      </w:r>
      <w:r>
        <w:rPr>
          <w:color w:val="002069"/>
          <w:spacing w:val="1"/>
        </w:rPr>
        <w:t xml:space="preserve"> </w:t>
      </w:r>
      <w:r>
        <w:rPr>
          <w:color w:val="002069"/>
        </w:rPr>
        <w:t>datiem</w:t>
      </w:r>
    </w:p>
    <w:p w14:paraId="4574AE31" w14:textId="77777777" w:rsidR="000533E4" w:rsidRDefault="00FF1C69" w:rsidP="00CD363C">
      <w:pPr>
        <w:pStyle w:val="Pamatteksts"/>
        <w:ind w:left="338" w:right="113"/>
        <w:jc w:val="both"/>
      </w:pPr>
      <w:r>
        <w:t xml:space="preserve">885.  </w:t>
      </w:r>
      <w:r w:rsidR="000533E4">
        <w:t>Budžeta iestādei pārskata gada sākumā 01.01.2019. grāmatvedības uzskaitē uzskaitīti finanšu instrumenti sekojošos grāmatvedības uzskaites kontos*:</w:t>
      </w:r>
    </w:p>
    <w:p w14:paraId="284B6518" w14:textId="77777777" w:rsidR="000533E4" w:rsidRDefault="000533E4" w:rsidP="00CD363C">
      <w:pPr>
        <w:pStyle w:val="Pamatteksts"/>
        <w:ind w:right="113"/>
        <w:jc w:val="both"/>
        <w:rPr>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670"/>
        <w:gridCol w:w="4847"/>
        <w:gridCol w:w="2979"/>
      </w:tblGrid>
      <w:tr w:rsidR="000533E4" w14:paraId="11A729D8" w14:textId="77777777" w:rsidTr="00FF1C69">
        <w:trPr>
          <w:trHeight w:val="690"/>
        </w:trPr>
        <w:tc>
          <w:tcPr>
            <w:tcW w:w="1670" w:type="dxa"/>
            <w:shd w:val="clear" w:color="auto" w:fill="F1F1F1"/>
          </w:tcPr>
          <w:p w14:paraId="6F7214A5" w14:textId="77777777" w:rsidR="000533E4" w:rsidRDefault="000533E4" w:rsidP="00CD363C">
            <w:pPr>
              <w:pStyle w:val="TableParagraph"/>
              <w:ind w:right="113"/>
              <w:jc w:val="both"/>
              <w:rPr>
                <w:sz w:val="20"/>
              </w:rPr>
            </w:pPr>
          </w:p>
          <w:p w14:paraId="068EF05C" w14:textId="77777777" w:rsidR="000533E4" w:rsidRDefault="000533E4" w:rsidP="00CD363C">
            <w:pPr>
              <w:pStyle w:val="TableParagraph"/>
              <w:ind w:left="371" w:right="113"/>
              <w:jc w:val="both"/>
              <w:rPr>
                <w:b/>
                <w:sz w:val="20"/>
              </w:rPr>
            </w:pPr>
            <w:r>
              <w:rPr>
                <w:b/>
                <w:sz w:val="20"/>
              </w:rPr>
              <w:t>Konta Nr.</w:t>
            </w:r>
          </w:p>
        </w:tc>
        <w:tc>
          <w:tcPr>
            <w:tcW w:w="4847" w:type="dxa"/>
            <w:shd w:val="clear" w:color="auto" w:fill="F1F1F1"/>
          </w:tcPr>
          <w:p w14:paraId="34A7BAFC" w14:textId="77777777" w:rsidR="000533E4" w:rsidRDefault="000533E4" w:rsidP="00CD363C">
            <w:pPr>
              <w:pStyle w:val="TableParagraph"/>
              <w:ind w:right="113"/>
              <w:jc w:val="both"/>
              <w:rPr>
                <w:sz w:val="20"/>
              </w:rPr>
            </w:pPr>
          </w:p>
          <w:p w14:paraId="21BD2CEA" w14:textId="77777777" w:rsidR="000533E4" w:rsidRDefault="000533E4" w:rsidP="00CD363C">
            <w:pPr>
              <w:pStyle w:val="TableParagraph"/>
              <w:ind w:left="1596" w:right="113"/>
              <w:jc w:val="both"/>
              <w:rPr>
                <w:b/>
                <w:sz w:val="20"/>
              </w:rPr>
            </w:pPr>
            <w:r>
              <w:rPr>
                <w:b/>
                <w:sz w:val="20"/>
              </w:rPr>
              <w:t>Konta nosaukums</w:t>
            </w:r>
          </w:p>
        </w:tc>
        <w:tc>
          <w:tcPr>
            <w:tcW w:w="2979" w:type="dxa"/>
            <w:shd w:val="clear" w:color="auto" w:fill="F1F1F1"/>
          </w:tcPr>
          <w:p w14:paraId="7170DEE7" w14:textId="77777777" w:rsidR="000533E4" w:rsidRDefault="000533E4" w:rsidP="00CD363C">
            <w:pPr>
              <w:pStyle w:val="TableParagraph"/>
              <w:ind w:left="725" w:right="113"/>
              <w:jc w:val="both"/>
              <w:rPr>
                <w:sz w:val="20"/>
              </w:rPr>
            </w:pPr>
            <w:r>
              <w:rPr>
                <w:b/>
                <w:sz w:val="20"/>
              </w:rPr>
              <w:t>Uzskaites vērtība uz 01.01.</w:t>
            </w:r>
            <w:r>
              <w:rPr>
                <w:sz w:val="20"/>
              </w:rPr>
              <w:t>2019.</w:t>
            </w:r>
          </w:p>
          <w:p w14:paraId="12243237" w14:textId="77777777" w:rsidR="000533E4" w:rsidRDefault="000533E4" w:rsidP="00CD363C">
            <w:pPr>
              <w:pStyle w:val="TableParagraph"/>
              <w:ind w:left="722" w:right="113"/>
              <w:jc w:val="both"/>
              <w:rPr>
                <w:b/>
                <w:sz w:val="20"/>
              </w:rPr>
            </w:pPr>
            <w:r>
              <w:rPr>
                <w:b/>
                <w:sz w:val="20"/>
              </w:rPr>
              <w:t>EUR</w:t>
            </w:r>
          </w:p>
        </w:tc>
      </w:tr>
      <w:tr w:rsidR="000533E4" w14:paraId="5F8F5310" w14:textId="77777777" w:rsidTr="00FF1C69">
        <w:trPr>
          <w:trHeight w:val="273"/>
        </w:trPr>
        <w:tc>
          <w:tcPr>
            <w:tcW w:w="1670" w:type="dxa"/>
          </w:tcPr>
          <w:p w14:paraId="54FD1058" w14:textId="77777777" w:rsidR="000533E4" w:rsidRDefault="000533E4" w:rsidP="00CD363C">
            <w:pPr>
              <w:pStyle w:val="TableParagraph"/>
              <w:ind w:left="107" w:right="113"/>
              <w:jc w:val="both"/>
              <w:rPr>
                <w:sz w:val="20"/>
              </w:rPr>
            </w:pPr>
            <w:r>
              <w:rPr>
                <w:sz w:val="20"/>
              </w:rPr>
              <w:t>1349</w:t>
            </w:r>
          </w:p>
        </w:tc>
        <w:tc>
          <w:tcPr>
            <w:tcW w:w="4847" w:type="dxa"/>
          </w:tcPr>
          <w:p w14:paraId="0B68E7BF" w14:textId="77777777" w:rsidR="000533E4" w:rsidRDefault="000533E4" w:rsidP="00CD363C">
            <w:pPr>
              <w:pStyle w:val="TableParagraph"/>
              <w:ind w:left="108" w:right="113"/>
              <w:jc w:val="both"/>
              <w:rPr>
                <w:sz w:val="20"/>
              </w:rPr>
            </w:pPr>
            <w:r>
              <w:rPr>
                <w:sz w:val="20"/>
              </w:rPr>
              <w:t>Ilgtermiņa finanšu ieguldījumi vērtspapīros</w:t>
            </w:r>
          </w:p>
        </w:tc>
        <w:tc>
          <w:tcPr>
            <w:tcW w:w="2979" w:type="dxa"/>
          </w:tcPr>
          <w:p w14:paraId="528F53D1" w14:textId="77777777" w:rsidR="000533E4" w:rsidRDefault="000533E4" w:rsidP="00CD363C">
            <w:pPr>
              <w:pStyle w:val="TableParagraph"/>
              <w:ind w:right="113"/>
              <w:jc w:val="both"/>
              <w:rPr>
                <w:sz w:val="20"/>
              </w:rPr>
            </w:pPr>
            <w:r>
              <w:rPr>
                <w:sz w:val="20"/>
              </w:rPr>
              <w:t>9 500,00</w:t>
            </w:r>
          </w:p>
        </w:tc>
      </w:tr>
      <w:tr w:rsidR="000533E4" w14:paraId="03A71A32" w14:textId="77777777" w:rsidTr="00FF1C69">
        <w:trPr>
          <w:trHeight w:val="230"/>
        </w:trPr>
        <w:tc>
          <w:tcPr>
            <w:tcW w:w="1670" w:type="dxa"/>
          </w:tcPr>
          <w:p w14:paraId="18727A5C" w14:textId="77777777" w:rsidR="000533E4" w:rsidRDefault="000533E4" w:rsidP="00CD363C">
            <w:pPr>
              <w:pStyle w:val="TableParagraph"/>
              <w:ind w:left="107" w:right="113"/>
              <w:jc w:val="both"/>
              <w:rPr>
                <w:sz w:val="20"/>
              </w:rPr>
            </w:pPr>
            <w:r>
              <w:rPr>
                <w:sz w:val="20"/>
              </w:rPr>
              <w:t>5119</w:t>
            </w:r>
          </w:p>
        </w:tc>
        <w:tc>
          <w:tcPr>
            <w:tcW w:w="4847" w:type="dxa"/>
          </w:tcPr>
          <w:p w14:paraId="7ACCE453" w14:textId="77777777" w:rsidR="000533E4" w:rsidRDefault="000533E4" w:rsidP="00CD363C">
            <w:pPr>
              <w:pStyle w:val="TableParagraph"/>
              <w:ind w:left="108" w:right="113"/>
              <w:jc w:val="both"/>
              <w:rPr>
                <w:sz w:val="20"/>
              </w:rPr>
            </w:pPr>
            <w:r>
              <w:rPr>
                <w:sz w:val="20"/>
              </w:rPr>
              <w:t>Ilgtermiņa aizņēmumi</w:t>
            </w:r>
          </w:p>
        </w:tc>
        <w:tc>
          <w:tcPr>
            <w:tcW w:w="2979" w:type="dxa"/>
          </w:tcPr>
          <w:p w14:paraId="21603A3E" w14:textId="77777777" w:rsidR="000533E4" w:rsidRDefault="000533E4" w:rsidP="00CD363C">
            <w:pPr>
              <w:pStyle w:val="TableParagraph"/>
              <w:ind w:right="113"/>
              <w:jc w:val="both"/>
              <w:rPr>
                <w:sz w:val="20"/>
              </w:rPr>
            </w:pPr>
            <w:r>
              <w:rPr>
                <w:sz w:val="20"/>
              </w:rPr>
              <w:t>100 000,00</w:t>
            </w:r>
          </w:p>
        </w:tc>
      </w:tr>
      <w:tr w:rsidR="000533E4" w14:paraId="589AC8E1" w14:textId="77777777" w:rsidTr="00FF1C69">
        <w:trPr>
          <w:trHeight w:val="229"/>
        </w:trPr>
        <w:tc>
          <w:tcPr>
            <w:tcW w:w="1670" w:type="dxa"/>
          </w:tcPr>
          <w:p w14:paraId="3CA49016" w14:textId="77777777" w:rsidR="000533E4" w:rsidRDefault="000533E4" w:rsidP="00CD363C">
            <w:pPr>
              <w:pStyle w:val="TableParagraph"/>
              <w:ind w:left="107" w:right="113"/>
              <w:jc w:val="both"/>
              <w:rPr>
                <w:sz w:val="20"/>
              </w:rPr>
            </w:pPr>
            <w:r>
              <w:rPr>
                <w:sz w:val="20"/>
              </w:rPr>
              <w:t>1349</w:t>
            </w:r>
          </w:p>
        </w:tc>
        <w:tc>
          <w:tcPr>
            <w:tcW w:w="4847" w:type="dxa"/>
          </w:tcPr>
          <w:p w14:paraId="10385E02" w14:textId="77777777" w:rsidR="000533E4" w:rsidRDefault="000533E4" w:rsidP="00CD363C">
            <w:pPr>
              <w:pStyle w:val="TableParagraph"/>
              <w:ind w:left="108" w:right="113"/>
              <w:jc w:val="both"/>
              <w:rPr>
                <w:sz w:val="20"/>
              </w:rPr>
            </w:pPr>
            <w:r>
              <w:rPr>
                <w:sz w:val="20"/>
              </w:rPr>
              <w:t>Ilgtermiņa finanšu ieguldījumi vērtspapīros</w:t>
            </w:r>
          </w:p>
        </w:tc>
        <w:tc>
          <w:tcPr>
            <w:tcW w:w="2979" w:type="dxa"/>
          </w:tcPr>
          <w:p w14:paraId="5D7B272D" w14:textId="77777777" w:rsidR="000533E4" w:rsidRDefault="000533E4" w:rsidP="00CD363C">
            <w:pPr>
              <w:pStyle w:val="TableParagraph"/>
              <w:ind w:right="113"/>
              <w:jc w:val="both"/>
              <w:rPr>
                <w:sz w:val="20"/>
              </w:rPr>
            </w:pPr>
            <w:r>
              <w:rPr>
                <w:sz w:val="20"/>
              </w:rPr>
              <w:t>95 479,00</w:t>
            </w:r>
          </w:p>
        </w:tc>
      </w:tr>
    </w:tbl>
    <w:p w14:paraId="45195048" w14:textId="77777777" w:rsidR="000533E4" w:rsidRDefault="000533E4" w:rsidP="00CD363C">
      <w:pPr>
        <w:pStyle w:val="Sarakstarindkopa"/>
        <w:widowControl w:val="0"/>
        <w:numPr>
          <w:ilvl w:val="0"/>
          <w:numId w:val="42"/>
        </w:numPr>
        <w:tabs>
          <w:tab w:val="left" w:pos="490"/>
        </w:tabs>
        <w:autoSpaceDE w:val="0"/>
        <w:autoSpaceDN w:val="0"/>
        <w:spacing w:after="0" w:line="240" w:lineRule="auto"/>
        <w:ind w:left="489" w:right="113" w:hanging="151"/>
        <w:contextualSpacing w:val="0"/>
        <w:jc w:val="both"/>
        <w:rPr>
          <w:i/>
          <w:sz w:val="20"/>
        </w:rPr>
      </w:pPr>
      <w:r>
        <w:rPr>
          <w:i/>
          <w:sz w:val="20"/>
        </w:rPr>
        <w:t>piemērā pieņemts, ka uz 01.01.2019. budžeta iestādei nav citi finanšu</w:t>
      </w:r>
      <w:r>
        <w:rPr>
          <w:i/>
          <w:spacing w:val="-8"/>
          <w:sz w:val="20"/>
        </w:rPr>
        <w:t xml:space="preserve"> </w:t>
      </w:r>
      <w:r>
        <w:rPr>
          <w:i/>
          <w:sz w:val="20"/>
        </w:rPr>
        <w:t>instrumenti</w:t>
      </w:r>
    </w:p>
    <w:p w14:paraId="7729AD40" w14:textId="77777777" w:rsidR="000533E4" w:rsidRDefault="000533E4" w:rsidP="00CD363C">
      <w:pPr>
        <w:pStyle w:val="Pamatteksts"/>
        <w:ind w:right="113"/>
        <w:jc w:val="both"/>
        <w:rPr>
          <w:i/>
          <w:sz w:val="20"/>
        </w:rPr>
      </w:pPr>
    </w:p>
    <w:p w14:paraId="14E85AF3" w14:textId="77777777" w:rsidR="000533E4" w:rsidRDefault="000533E4" w:rsidP="00CD363C">
      <w:pPr>
        <w:pStyle w:val="Pamatteksts"/>
        <w:ind w:left="338" w:right="113"/>
        <w:jc w:val="both"/>
      </w:pPr>
      <w:r>
        <w:t>Pārskata periodā notikuši sekojoši notikumi:</w:t>
      </w:r>
    </w:p>
    <w:p w14:paraId="30F5E8EE" w14:textId="77777777" w:rsidR="000533E4" w:rsidRDefault="000533E4" w:rsidP="00CD363C">
      <w:pPr>
        <w:pStyle w:val="Pamatteksts"/>
        <w:ind w:right="113"/>
        <w:jc w:val="both"/>
        <w:rPr>
          <w:sz w:val="20"/>
        </w:rPr>
      </w:pPr>
    </w:p>
    <w:p w14:paraId="64F5C554" w14:textId="77777777" w:rsidR="000533E4" w:rsidRDefault="000533E4" w:rsidP="00CD363C">
      <w:pPr>
        <w:pStyle w:val="Pamatteksts"/>
        <w:ind w:left="1778" w:right="113" w:hanging="342"/>
        <w:jc w:val="both"/>
      </w:pPr>
      <w:r>
        <w:rPr>
          <w:noProof/>
          <w:position w:val="-4"/>
        </w:rPr>
        <w:drawing>
          <wp:inline distT="0" distB="0" distL="0" distR="0" wp14:anchorId="575BC791" wp14:editId="7703EFC5">
            <wp:extent cx="101345" cy="133350"/>
            <wp:effectExtent l="0" t="0" r="0" b="0"/>
            <wp:docPr id="799"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45.png"/>
                    <pic:cNvPicPr/>
                  </pic:nvPicPr>
                  <pic:blipFill>
                    <a:blip r:embed="rId36"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 xml:space="preserve">2019. gadā budžeta iestāde  noslēdz līgumu par  aizņēmuma  saņemšanu no Valsts  kases  10 000,00 EUR vērtībā ar termiņu 5 gadi. Aizņēmumu uzskaita tā amortizētajā vērtībā, piemērojot līgumā noteikto gada procentu likmi. 2019. gadam attiecināmā gada procentu likme – 5%. Detalizēts piemērs sniegts 21.8 apakšnodaļā </w:t>
      </w:r>
      <w:r>
        <w:rPr>
          <w:color w:val="0462C1"/>
          <w:u w:val="single" w:color="0462C1"/>
        </w:rPr>
        <w:t>“</w:t>
      </w:r>
      <w:hyperlink w:anchor="_bookmark359" w:history="1">
        <w:r>
          <w:rPr>
            <w:color w:val="0462C1"/>
            <w:u w:val="single" w:color="0462C1"/>
          </w:rPr>
          <w:t>21.8.2.. Piemērs - finanšu saistību</w:t>
        </w:r>
      </w:hyperlink>
      <w:r>
        <w:rPr>
          <w:color w:val="0462C1"/>
        </w:rPr>
        <w:t xml:space="preserve"> </w:t>
      </w:r>
      <w:hyperlink w:anchor="_bookmark359" w:history="1">
        <w:r>
          <w:rPr>
            <w:color w:val="0462C1"/>
            <w:u w:val="single" w:color="0462C1"/>
          </w:rPr>
          <w:t>amortizētās vērtības noteikšana un uzskaite, piemērojot līgumā noteikto procentu likmi</w:t>
        </w:r>
      </w:hyperlink>
      <w:r>
        <w:rPr>
          <w:color w:val="0462C1"/>
        </w:rPr>
        <w:t xml:space="preserve"> </w:t>
      </w:r>
      <w:hyperlink w:anchor="_bookmark359" w:history="1">
        <w:r>
          <w:rPr>
            <w:color w:val="0462C1"/>
            <w:u w:val="single" w:color="0462C1"/>
          </w:rPr>
          <w:t>(aizņēmums)</w:t>
        </w:r>
      </w:hyperlink>
      <w:r>
        <w:rPr>
          <w:color w:val="0462C1"/>
          <w:u w:val="single" w:color="0462C1"/>
        </w:rPr>
        <w:t>”</w:t>
      </w:r>
      <w:r>
        <w:t>.</w:t>
      </w:r>
    </w:p>
    <w:p w14:paraId="43A023AC" w14:textId="77777777" w:rsidR="000533E4" w:rsidRDefault="000533E4" w:rsidP="00CD363C">
      <w:pPr>
        <w:pStyle w:val="Pamatteksts"/>
        <w:ind w:left="1778" w:right="113" w:hanging="363"/>
        <w:jc w:val="both"/>
      </w:pPr>
      <w:r>
        <w:rPr>
          <w:noProof/>
          <w:position w:val="-4"/>
        </w:rPr>
        <w:drawing>
          <wp:inline distT="0" distB="0" distL="0" distR="0" wp14:anchorId="6D12608F" wp14:editId="750F41DC">
            <wp:extent cx="115061" cy="133350"/>
            <wp:effectExtent l="0" t="0" r="0" b="0"/>
            <wp:docPr id="801"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46.png"/>
                    <pic:cNvPicPr/>
                  </pic:nvPicPr>
                  <pic:blipFill>
                    <a:blip r:embed="rId34"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2019.</w:t>
      </w:r>
      <w:r>
        <w:rPr>
          <w:spacing w:val="-1"/>
        </w:rPr>
        <w:t xml:space="preserve"> </w:t>
      </w:r>
      <w:r>
        <w:t>gadā</w:t>
      </w:r>
      <w:r>
        <w:rPr>
          <w:spacing w:val="-7"/>
        </w:rPr>
        <w:t xml:space="preserve"> </w:t>
      </w:r>
      <w:r>
        <w:t>budžeta</w:t>
      </w:r>
      <w:r>
        <w:rPr>
          <w:spacing w:val="-9"/>
        </w:rPr>
        <w:t xml:space="preserve"> </w:t>
      </w:r>
      <w:r>
        <w:t>iestāde</w:t>
      </w:r>
      <w:r>
        <w:rPr>
          <w:spacing w:val="-7"/>
        </w:rPr>
        <w:t xml:space="preserve"> </w:t>
      </w:r>
      <w:r>
        <w:t>no</w:t>
      </w:r>
      <w:r>
        <w:rPr>
          <w:spacing w:val="-8"/>
        </w:rPr>
        <w:t xml:space="preserve"> </w:t>
      </w:r>
      <w:r>
        <w:t>kredītiestādes</w:t>
      </w:r>
      <w:r>
        <w:rPr>
          <w:spacing w:val="-7"/>
        </w:rPr>
        <w:t xml:space="preserve"> </w:t>
      </w:r>
      <w:r>
        <w:t>saņem</w:t>
      </w:r>
      <w:r>
        <w:rPr>
          <w:spacing w:val="-11"/>
        </w:rPr>
        <w:t xml:space="preserve"> </w:t>
      </w:r>
      <w:r>
        <w:t>aizņēmumu</w:t>
      </w:r>
      <w:r>
        <w:rPr>
          <w:spacing w:val="-8"/>
        </w:rPr>
        <w:t xml:space="preserve"> </w:t>
      </w:r>
      <w:r>
        <w:t>1</w:t>
      </w:r>
      <w:r>
        <w:rPr>
          <w:spacing w:val="3"/>
        </w:rPr>
        <w:t xml:space="preserve"> </w:t>
      </w:r>
      <w:r>
        <w:t>000 000,00</w:t>
      </w:r>
      <w:r>
        <w:rPr>
          <w:spacing w:val="-8"/>
        </w:rPr>
        <w:t xml:space="preserve"> </w:t>
      </w:r>
      <w:r>
        <w:t>EUR</w:t>
      </w:r>
      <w:r>
        <w:rPr>
          <w:spacing w:val="-8"/>
        </w:rPr>
        <w:t xml:space="preserve"> </w:t>
      </w:r>
      <w:r>
        <w:t>vērtībā</w:t>
      </w:r>
      <w:r>
        <w:rPr>
          <w:spacing w:val="-7"/>
        </w:rPr>
        <w:t xml:space="preserve"> </w:t>
      </w:r>
      <w:r>
        <w:rPr>
          <w:spacing w:val="-3"/>
        </w:rPr>
        <w:t xml:space="preserve">ar </w:t>
      </w:r>
      <w:r>
        <w:t xml:space="preserve">termiņu 5 gadi un līguma likmi 10% gadā un nosacījumu, ka pēc 5 gadiem budžeta iestādei jāatmaksā papildus 250 000,00 EUR. Aizņēmumu uzskaita tā amortizētajā vērtībā, piemērojot efektīvo procentu likmi – 13.80% (aprēķiniem izmantota pilnā procentu likme). Detalizēts piemērs sniegts 21.8 apakšnodaļā </w:t>
      </w:r>
      <w:r>
        <w:rPr>
          <w:color w:val="0462C1"/>
          <w:u w:val="single" w:color="0462C1"/>
        </w:rPr>
        <w:t>“</w:t>
      </w:r>
      <w:hyperlink w:anchor="_bookmark360" w:history="1">
        <w:r>
          <w:rPr>
            <w:color w:val="0462C1"/>
            <w:u w:val="single" w:color="0462C1"/>
          </w:rPr>
          <w:t>21.8.3..  Piemērs  –   efektīvās   procentu</w:t>
        </w:r>
      </w:hyperlink>
      <w:r>
        <w:rPr>
          <w:color w:val="0462C1"/>
        </w:rPr>
        <w:t xml:space="preserve">  </w:t>
      </w:r>
      <w:hyperlink w:anchor="_bookmark360" w:history="1">
        <w:r>
          <w:rPr>
            <w:color w:val="0462C1"/>
            <w:u w:val="single" w:color="0462C1"/>
          </w:rPr>
          <w:t>likmes metodes piemērošana finanšu saistību sākotnējā atzīšanā un turpmākā novērtēšanā</w:t>
        </w:r>
        <w:r>
          <w:rPr>
            <w:color w:val="0462C1"/>
            <w:spacing w:val="-22"/>
            <w:u w:val="single" w:color="0462C1"/>
          </w:rPr>
          <w:t xml:space="preserve"> </w:t>
        </w:r>
      </w:hyperlink>
      <w:r>
        <w:rPr>
          <w:color w:val="0462C1"/>
          <w:u w:val="single" w:color="0462C1"/>
        </w:rPr>
        <w:t>”</w:t>
      </w:r>
      <w:r>
        <w:t>.</w:t>
      </w:r>
    </w:p>
    <w:p w14:paraId="7185567F" w14:textId="77777777" w:rsidR="000533E4" w:rsidRDefault="000533E4" w:rsidP="00CD363C">
      <w:pPr>
        <w:pStyle w:val="Pamatteksts"/>
        <w:ind w:left="1778" w:right="113" w:hanging="358"/>
        <w:jc w:val="both"/>
      </w:pPr>
      <w:r>
        <w:rPr>
          <w:noProof/>
          <w:position w:val="-4"/>
        </w:rPr>
        <w:drawing>
          <wp:inline distT="0" distB="0" distL="0" distR="0" wp14:anchorId="655E951F" wp14:editId="788BBE5E">
            <wp:extent cx="112014" cy="133350"/>
            <wp:effectExtent l="0" t="0" r="0" b="0"/>
            <wp:docPr id="803"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47.png"/>
                    <pic:cNvPicPr/>
                  </pic:nvPicPr>
                  <pic:blipFill>
                    <a:blip r:embed="rId38"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2019. gadā budžeta iestāde vienojās ar aizdevēju par līguma atmaksas termiņa pagarināšanu un nosacījumu maiņu iepriekš saņemtajam aizdevumam 100 000,00 EUR apmērā. Budžeta iestāde aprēķina jauno aizņēmuma amortizēto vērtību, ņemot vērā līguma atmaksas termiņa pagarinājumu saskaņā ar diskontēto naudas plūsmu aprēķinu. Saskaņā ar jaunajiem līguma nosacījumiem aizdevuma pašreizējā vērtība aplēsta 108 841,86 EUR apmērā. 01.01.2019. aizņēmums</w:t>
      </w:r>
      <w:r>
        <w:rPr>
          <w:spacing w:val="18"/>
        </w:rPr>
        <w:t xml:space="preserve"> </w:t>
      </w:r>
      <w:r>
        <w:t>uzskaitīts</w:t>
      </w:r>
      <w:r>
        <w:rPr>
          <w:spacing w:val="18"/>
        </w:rPr>
        <w:t xml:space="preserve"> </w:t>
      </w:r>
      <w:r>
        <w:t>kontā</w:t>
      </w:r>
      <w:r>
        <w:rPr>
          <w:spacing w:val="19"/>
        </w:rPr>
        <w:t xml:space="preserve"> </w:t>
      </w:r>
      <w:r>
        <w:t>5119</w:t>
      </w:r>
      <w:r>
        <w:rPr>
          <w:spacing w:val="15"/>
        </w:rPr>
        <w:t xml:space="preserve"> </w:t>
      </w:r>
      <w:r>
        <w:t>“Ilgtermiņa</w:t>
      </w:r>
      <w:r>
        <w:rPr>
          <w:spacing w:val="18"/>
        </w:rPr>
        <w:t xml:space="preserve"> </w:t>
      </w:r>
      <w:r>
        <w:t>aizņēmumi”.</w:t>
      </w:r>
      <w:r>
        <w:rPr>
          <w:spacing w:val="19"/>
        </w:rPr>
        <w:t xml:space="preserve"> </w:t>
      </w:r>
      <w:r>
        <w:t>Detalizēts</w:t>
      </w:r>
      <w:r>
        <w:rPr>
          <w:spacing w:val="18"/>
        </w:rPr>
        <w:t xml:space="preserve"> </w:t>
      </w:r>
      <w:r>
        <w:t>piemērs</w:t>
      </w:r>
      <w:r>
        <w:rPr>
          <w:spacing w:val="25"/>
        </w:rPr>
        <w:t xml:space="preserve"> </w:t>
      </w:r>
      <w:r>
        <w:t>sniegts</w:t>
      </w:r>
    </w:p>
    <w:p w14:paraId="23543E40" w14:textId="77777777" w:rsidR="000533E4" w:rsidRDefault="000533E4" w:rsidP="00CD363C">
      <w:pPr>
        <w:pStyle w:val="Pamatteksts"/>
        <w:ind w:left="1778" w:right="113"/>
        <w:jc w:val="both"/>
      </w:pPr>
      <w:r>
        <w:t>21.8. apakšnodaļā</w:t>
      </w:r>
      <w:r>
        <w:rPr>
          <w:color w:val="0462C1"/>
        </w:rPr>
        <w:t xml:space="preserve"> </w:t>
      </w:r>
      <w:r>
        <w:rPr>
          <w:color w:val="0462C1"/>
          <w:u w:val="single" w:color="0462C1"/>
        </w:rPr>
        <w:t>“</w:t>
      </w:r>
      <w:hyperlink w:anchor="_bookmark361" w:history="1">
        <w:r>
          <w:rPr>
            <w:color w:val="0462C1"/>
            <w:u w:val="single" w:color="0462C1"/>
          </w:rPr>
          <w:t>21.8.4. Piemērs - līguma atmaksas termiņa pagarināšana</w:t>
        </w:r>
      </w:hyperlink>
      <w:r>
        <w:rPr>
          <w:color w:val="0462C1"/>
          <w:u w:val="single" w:color="0462C1"/>
        </w:rPr>
        <w:t>”</w:t>
      </w:r>
      <w:r>
        <w:t>.</w:t>
      </w:r>
    </w:p>
    <w:p w14:paraId="71E4D751" w14:textId="77777777" w:rsidR="000533E4" w:rsidRDefault="000533E4" w:rsidP="00CD363C">
      <w:pPr>
        <w:pStyle w:val="Pamatteksts"/>
        <w:tabs>
          <w:tab w:val="left" w:pos="6099"/>
        </w:tabs>
        <w:ind w:left="1778" w:right="113" w:hanging="363"/>
        <w:jc w:val="both"/>
      </w:pPr>
      <w:r>
        <w:rPr>
          <w:noProof/>
          <w:position w:val="-4"/>
        </w:rPr>
        <w:drawing>
          <wp:inline distT="0" distB="0" distL="0" distR="0" wp14:anchorId="241322DF" wp14:editId="0D2D8F45">
            <wp:extent cx="115061" cy="133350"/>
            <wp:effectExtent l="0" t="0" r="0" b="0"/>
            <wp:docPr id="805"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48.png"/>
                    <pic:cNvPicPr/>
                  </pic:nvPicPr>
                  <pic:blipFill>
                    <a:blip r:embed="rId75"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2019. gadā budžeta iestāde izsniedz bezprocentu aizdevumu 100 000,00 EUR apmērā uz termiņu 3 gadi. Vidējā tirgus procentu likme šāda veida aizdevumiem ir 4%. Detalizēts piemērs sniegts 21.8.</w:t>
      </w:r>
      <w:r>
        <w:rPr>
          <w:spacing w:val="-6"/>
        </w:rPr>
        <w:t xml:space="preserve"> </w:t>
      </w:r>
      <w:r>
        <w:t>apakšnodaļā</w:t>
      </w:r>
      <w:r>
        <w:rPr>
          <w:spacing w:val="1"/>
        </w:rPr>
        <w:t xml:space="preserve"> </w:t>
      </w:r>
      <w:r>
        <w:rPr>
          <w:color w:val="0462C1"/>
          <w:u w:val="single" w:color="0462C1"/>
        </w:rPr>
        <w:t>“</w:t>
      </w:r>
      <w:hyperlink w:anchor="_bookmark362" w:history="1">
        <w:r>
          <w:rPr>
            <w:color w:val="0462C1"/>
            <w:u w:val="single" w:color="0462C1"/>
          </w:rPr>
          <w:t>21.8.5.</w:t>
        </w:r>
        <w:r>
          <w:rPr>
            <w:color w:val="0462C1"/>
            <w:u w:val="single" w:color="0462C1"/>
          </w:rPr>
          <w:tab/>
          <w:t>Piemērs - bezprocentu aizdevums ar</w:t>
        </w:r>
      </w:hyperlink>
      <w:r>
        <w:rPr>
          <w:color w:val="0462C1"/>
        </w:rPr>
        <w:t xml:space="preserve"> </w:t>
      </w:r>
      <w:hyperlink w:anchor="_bookmark362" w:history="1">
        <w:r>
          <w:rPr>
            <w:color w:val="0462C1"/>
            <w:u w:val="single" w:color="0462C1"/>
          </w:rPr>
          <w:t>pamatsummas atmaksas saņemšanu termiņa beigās (no aizdevēja</w:t>
        </w:r>
        <w:r>
          <w:rPr>
            <w:color w:val="0462C1"/>
            <w:spacing w:val="-5"/>
            <w:u w:val="single" w:color="0462C1"/>
          </w:rPr>
          <w:t xml:space="preserve"> </w:t>
        </w:r>
        <w:r>
          <w:rPr>
            <w:color w:val="0462C1"/>
            <w:u w:val="single" w:color="0462C1"/>
          </w:rPr>
          <w:t>puses)</w:t>
        </w:r>
      </w:hyperlink>
      <w:r>
        <w:rPr>
          <w:color w:val="0462C1"/>
          <w:u w:val="single" w:color="0462C1"/>
        </w:rPr>
        <w:t>”</w:t>
      </w:r>
      <w:r>
        <w:t>.</w:t>
      </w:r>
    </w:p>
    <w:p w14:paraId="732535DC" w14:textId="77777777" w:rsidR="000533E4" w:rsidRDefault="000533E4" w:rsidP="00CD363C">
      <w:pPr>
        <w:pStyle w:val="Pamatteksts"/>
        <w:ind w:left="1778" w:right="113" w:hanging="356"/>
        <w:jc w:val="both"/>
      </w:pPr>
      <w:r>
        <w:rPr>
          <w:noProof/>
          <w:position w:val="-4"/>
        </w:rPr>
        <w:drawing>
          <wp:inline distT="0" distB="0" distL="0" distR="0" wp14:anchorId="27DDFDC5" wp14:editId="0A5D2EC9">
            <wp:extent cx="110489" cy="133350"/>
            <wp:effectExtent l="0" t="0" r="0" b="0"/>
            <wp:docPr id="807"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49.png"/>
                    <pic:cNvPicPr/>
                  </pic:nvPicPr>
                  <pic:blipFill>
                    <a:blip r:embed="rId76" cstate="print"/>
                    <a:stretch>
                      <a:fillRect/>
                    </a:stretch>
                  </pic:blipFill>
                  <pic:spPr>
                    <a:xfrm>
                      <a:off x="0" y="0"/>
                      <a:ext cx="110489" cy="133350"/>
                    </a:xfrm>
                    <a:prstGeom prst="rect">
                      <a:avLst/>
                    </a:prstGeom>
                  </pic:spPr>
                </pic:pic>
              </a:graphicData>
            </a:graphic>
          </wp:inline>
        </w:drawing>
      </w:r>
      <w:r>
        <w:rPr>
          <w:sz w:val="20"/>
        </w:rPr>
        <w:t xml:space="preserve">   </w:t>
      </w:r>
      <w:r>
        <w:rPr>
          <w:spacing w:val="-19"/>
          <w:sz w:val="20"/>
        </w:rPr>
        <w:t xml:space="preserve"> </w:t>
      </w:r>
      <w:r>
        <w:t>2019. gadā budžeta iestāde saņem bezprocentu aizņēmumu 100 000,00 EUR apmērā uz termiņu 3 gadi. Vidējā tirgus procentu likme šāda veida aizdevumiem ir 4%. Detalizēts piemērs</w:t>
      </w:r>
      <w:r>
        <w:rPr>
          <w:spacing w:val="-15"/>
        </w:rPr>
        <w:t xml:space="preserve"> </w:t>
      </w:r>
      <w:r>
        <w:t>sniegts</w:t>
      </w:r>
      <w:r>
        <w:rPr>
          <w:spacing w:val="-11"/>
        </w:rPr>
        <w:t xml:space="preserve"> </w:t>
      </w:r>
      <w:r>
        <w:t>21.8</w:t>
      </w:r>
      <w:r>
        <w:rPr>
          <w:spacing w:val="-14"/>
        </w:rPr>
        <w:t xml:space="preserve"> </w:t>
      </w:r>
      <w:r>
        <w:t>apakšnodaļā</w:t>
      </w:r>
      <w:r>
        <w:rPr>
          <w:spacing w:val="-11"/>
        </w:rPr>
        <w:t xml:space="preserve"> </w:t>
      </w:r>
      <w:r>
        <w:rPr>
          <w:color w:val="0462C1"/>
          <w:u w:val="single" w:color="0462C1"/>
        </w:rPr>
        <w:t>“</w:t>
      </w:r>
      <w:hyperlink w:anchor="_bookmark363" w:history="1">
        <w:r>
          <w:rPr>
            <w:color w:val="0462C1"/>
            <w:u w:val="single" w:color="0462C1"/>
          </w:rPr>
          <w:t>21.8.6.</w:t>
        </w:r>
        <w:r>
          <w:rPr>
            <w:color w:val="0462C1"/>
            <w:spacing w:val="-14"/>
            <w:u w:val="single" w:color="0462C1"/>
          </w:rPr>
          <w:t xml:space="preserve"> </w:t>
        </w:r>
        <w:r>
          <w:rPr>
            <w:color w:val="0462C1"/>
            <w:u w:val="single" w:color="0462C1"/>
          </w:rPr>
          <w:t>Piemērs</w:t>
        </w:r>
        <w:r>
          <w:rPr>
            <w:color w:val="0462C1"/>
            <w:spacing w:val="-13"/>
            <w:u w:val="single" w:color="0462C1"/>
          </w:rPr>
          <w:t xml:space="preserve"> </w:t>
        </w:r>
        <w:r>
          <w:rPr>
            <w:color w:val="0462C1"/>
            <w:u w:val="single" w:color="0462C1"/>
          </w:rPr>
          <w:t>–</w:t>
        </w:r>
        <w:r>
          <w:rPr>
            <w:color w:val="0462C1"/>
            <w:spacing w:val="-15"/>
            <w:u w:val="single" w:color="0462C1"/>
          </w:rPr>
          <w:t xml:space="preserve"> </w:t>
        </w:r>
        <w:r>
          <w:rPr>
            <w:color w:val="0462C1"/>
            <w:u w:val="single" w:color="0462C1"/>
          </w:rPr>
          <w:t>bezprocentu</w:t>
        </w:r>
        <w:r>
          <w:rPr>
            <w:color w:val="0462C1"/>
            <w:spacing w:val="-14"/>
            <w:u w:val="single" w:color="0462C1"/>
          </w:rPr>
          <w:t xml:space="preserve"> </w:t>
        </w:r>
        <w:r>
          <w:rPr>
            <w:color w:val="0462C1"/>
            <w:u w:val="single" w:color="0462C1"/>
          </w:rPr>
          <w:t>aizņēmums</w:t>
        </w:r>
        <w:r>
          <w:rPr>
            <w:color w:val="0462C1"/>
            <w:spacing w:val="-11"/>
            <w:u w:val="single" w:color="0462C1"/>
          </w:rPr>
          <w:t xml:space="preserve"> </w:t>
        </w:r>
        <w:r>
          <w:rPr>
            <w:color w:val="0462C1"/>
            <w:u w:val="single" w:color="0462C1"/>
          </w:rPr>
          <w:t>ar</w:t>
        </w:r>
        <w:r>
          <w:rPr>
            <w:color w:val="0462C1"/>
            <w:spacing w:val="-12"/>
            <w:u w:val="single" w:color="0462C1"/>
          </w:rPr>
          <w:t xml:space="preserve"> </w:t>
        </w:r>
        <w:r>
          <w:rPr>
            <w:color w:val="0462C1"/>
            <w:u w:val="single" w:color="0462C1"/>
          </w:rPr>
          <w:t>pamatsummas</w:t>
        </w:r>
      </w:hyperlink>
      <w:r>
        <w:rPr>
          <w:color w:val="0462C1"/>
        </w:rPr>
        <w:t xml:space="preserve"> </w:t>
      </w:r>
      <w:hyperlink w:anchor="_bookmark363" w:history="1">
        <w:r>
          <w:rPr>
            <w:color w:val="0462C1"/>
            <w:u w:val="single" w:color="0462C1"/>
          </w:rPr>
          <w:t>atmaksu termiņa beigās (no aizņēmēja</w:t>
        </w:r>
        <w:r>
          <w:rPr>
            <w:color w:val="0462C1"/>
            <w:spacing w:val="-4"/>
            <w:u w:val="single" w:color="0462C1"/>
          </w:rPr>
          <w:t xml:space="preserve"> </w:t>
        </w:r>
        <w:r>
          <w:rPr>
            <w:color w:val="0462C1"/>
            <w:u w:val="single" w:color="0462C1"/>
          </w:rPr>
          <w:t>puses)</w:t>
        </w:r>
      </w:hyperlink>
      <w:r>
        <w:rPr>
          <w:color w:val="0462C1"/>
          <w:u w:val="single" w:color="0462C1"/>
        </w:rPr>
        <w:t>”</w:t>
      </w:r>
      <w:r>
        <w:t>.</w:t>
      </w:r>
    </w:p>
    <w:p w14:paraId="75902770" w14:textId="77777777" w:rsidR="000533E4" w:rsidRDefault="000533E4" w:rsidP="00CD363C">
      <w:pPr>
        <w:pStyle w:val="Pamatteksts"/>
        <w:ind w:left="1778" w:right="113" w:hanging="358"/>
        <w:jc w:val="both"/>
      </w:pPr>
      <w:r>
        <w:rPr>
          <w:noProof/>
          <w:position w:val="-4"/>
        </w:rPr>
        <w:drawing>
          <wp:inline distT="0" distB="0" distL="0" distR="0" wp14:anchorId="33D87BAF" wp14:editId="130DB7ED">
            <wp:extent cx="112014" cy="133350"/>
            <wp:effectExtent l="0" t="0" r="0" b="0"/>
            <wp:docPr id="809"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50.png"/>
                    <pic:cNvPicPr/>
                  </pic:nvPicPr>
                  <pic:blipFill>
                    <a:blip r:embed="rId77"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2019.</w:t>
      </w:r>
      <w:r>
        <w:rPr>
          <w:spacing w:val="-2"/>
        </w:rPr>
        <w:t xml:space="preserve"> </w:t>
      </w:r>
      <w:r>
        <w:t>gada</w:t>
      </w:r>
      <w:r>
        <w:rPr>
          <w:spacing w:val="-6"/>
        </w:rPr>
        <w:t xml:space="preserve"> </w:t>
      </w:r>
      <w:r>
        <w:t>beigās</w:t>
      </w:r>
      <w:r>
        <w:rPr>
          <w:spacing w:val="-5"/>
        </w:rPr>
        <w:t xml:space="preserve"> </w:t>
      </w:r>
      <w:r>
        <w:t>budžeta</w:t>
      </w:r>
      <w:r>
        <w:rPr>
          <w:spacing w:val="-6"/>
        </w:rPr>
        <w:t xml:space="preserve"> </w:t>
      </w:r>
      <w:r>
        <w:t>iestāde</w:t>
      </w:r>
      <w:r>
        <w:rPr>
          <w:spacing w:val="-7"/>
        </w:rPr>
        <w:t xml:space="preserve"> </w:t>
      </w:r>
      <w:r>
        <w:t>konstatē,</w:t>
      </w:r>
      <w:r>
        <w:rPr>
          <w:spacing w:val="-6"/>
        </w:rPr>
        <w:t xml:space="preserve"> </w:t>
      </w:r>
      <w:r>
        <w:t>ka</w:t>
      </w:r>
      <w:r>
        <w:rPr>
          <w:spacing w:val="-6"/>
        </w:rPr>
        <w:t xml:space="preserve"> </w:t>
      </w:r>
      <w:r>
        <w:t>budžeta</w:t>
      </w:r>
      <w:r>
        <w:rPr>
          <w:spacing w:val="-8"/>
        </w:rPr>
        <w:t xml:space="preserve"> </w:t>
      </w:r>
      <w:r>
        <w:t>iestādes</w:t>
      </w:r>
      <w:r>
        <w:rPr>
          <w:spacing w:val="-7"/>
        </w:rPr>
        <w:t xml:space="preserve"> </w:t>
      </w:r>
      <w:r>
        <w:t>uzskaitē</w:t>
      </w:r>
      <w:r>
        <w:rPr>
          <w:spacing w:val="-6"/>
        </w:rPr>
        <w:t xml:space="preserve"> </w:t>
      </w:r>
      <w:r>
        <w:t>uzrādīto</w:t>
      </w:r>
      <w:r>
        <w:rPr>
          <w:spacing w:val="-6"/>
        </w:rPr>
        <w:t xml:space="preserve"> </w:t>
      </w:r>
      <w:r>
        <w:t>vērtspapīru patiesā vērtība ir būtiski samazinājusies, kā arī pastāv objektīvi vērtības samazināšanās kritēriji. Budžeta iestāde novērtē finanšu instrumentu tā patiesajā vērtībā un atzīst vērtības samazinājumu</w:t>
      </w:r>
      <w:r>
        <w:rPr>
          <w:spacing w:val="-8"/>
        </w:rPr>
        <w:t xml:space="preserve"> </w:t>
      </w:r>
      <w:r>
        <w:t>31.12.2019.</w:t>
      </w:r>
      <w:r>
        <w:rPr>
          <w:spacing w:val="-13"/>
        </w:rPr>
        <w:t xml:space="preserve"> </w:t>
      </w:r>
      <w:r>
        <w:t>Vērtspapīri</w:t>
      </w:r>
      <w:r>
        <w:rPr>
          <w:spacing w:val="-7"/>
        </w:rPr>
        <w:t xml:space="preserve"> </w:t>
      </w:r>
      <w:r>
        <w:t>01.01.2019.</w:t>
      </w:r>
      <w:r>
        <w:rPr>
          <w:spacing w:val="-7"/>
        </w:rPr>
        <w:t xml:space="preserve"> </w:t>
      </w:r>
      <w:r>
        <w:t>uzskaitīti</w:t>
      </w:r>
      <w:r>
        <w:rPr>
          <w:spacing w:val="-9"/>
        </w:rPr>
        <w:t xml:space="preserve"> </w:t>
      </w:r>
      <w:r>
        <w:t>kontā</w:t>
      </w:r>
      <w:r>
        <w:rPr>
          <w:spacing w:val="-8"/>
        </w:rPr>
        <w:t xml:space="preserve"> </w:t>
      </w:r>
      <w:r>
        <w:t>1349</w:t>
      </w:r>
      <w:r>
        <w:rPr>
          <w:spacing w:val="-10"/>
        </w:rPr>
        <w:t xml:space="preserve"> </w:t>
      </w:r>
      <w:r>
        <w:t>“Ilgtermiņa</w:t>
      </w:r>
      <w:r>
        <w:rPr>
          <w:spacing w:val="-8"/>
        </w:rPr>
        <w:t xml:space="preserve"> </w:t>
      </w:r>
      <w:r>
        <w:t xml:space="preserve">finanšu ieguldījumi vērtspapīros” 9 500,00 EUR vērtībā. Vērtspapīru patiesā vērtība 31.12.2019. ir 6 000,00 EUR. Detalizēts piemērs sniegts 21.8.. apakšnodaļā </w:t>
      </w:r>
      <w:r>
        <w:rPr>
          <w:color w:val="0462C1"/>
          <w:u w:val="single" w:color="0462C1"/>
        </w:rPr>
        <w:t>“</w:t>
      </w:r>
      <w:hyperlink w:anchor="_bookmark365" w:history="1">
        <w:r>
          <w:rPr>
            <w:color w:val="0462C1"/>
            <w:u w:val="single" w:color="0462C1"/>
          </w:rPr>
          <w:t>21.8.8.. Piemērs – vērtības</w:t>
        </w:r>
      </w:hyperlink>
      <w:r>
        <w:rPr>
          <w:color w:val="0462C1"/>
        </w:rPr>
        <w:t xml:space="preserve"> </w:t>
      </w:r>
      <w:hyperlink w:anchor="_bookmark365" w:history="1">
        <w:r>
          <w:rPr>
            <w:color w:val="0462C1"/>
            <w:u w:val="single" w:color="0462C1"/>
          </w:rPr>
          <w:t>samazināšanās uzskaite pārdošanai pieejamam finanšu</w:t>
        </w:r>
        <w:r>
          <w:rPr>
            <w:color w:val="0462C1"/>
            <w:spacing w:val="-6"/>
            <w:u w:val="single" w:color="0462C1"/>
          </w:rPr>
          <w:t xml:space="preserve"> </w:t>
        </w:r>
        <w:r>
          <w:rPr>
            <w:color w:val="0462C1"/>
            <w:u w:val="single" w:color="0462C1"/>
          </w:rPr>
          <w:t>aktīvam</w:t>
        </w:r>
      </w:hyperlink>
      <w:r>
        <w:rPr>
          <w:color w:val="0462C1"/>
          <w:u w:val="single" w:color="0462C1"/>
        </w:rPr>
        <w:t>”</w:t>
      </w:r>
      <w:r>
        <w:t>.</w:t>
      </w:r>
    </w:p>
    <w:p w14:paraId="3645F0E5" w14:textId="77777777" w:rsidR="000533E4" w:rsidRDefault="000533E4" w:rsidP="00CD363C">
      <w:pPr>
        <w:pStyle w:val="Pamatteksts"/>
        <w:ind w:left="1778" w:right="113" w:hanging="358"/>
        <w:jc w:val="both"/>
      </w:pPr>
      <w:r>
        <w:rPr>
          <w:noProof/>
          <w:position w:val="-4"/>
        </w:rPr>
        <w:drawing>
          <wp:inline distT="0" distB="0" distL="0" distR="0" wp14:anchorId="1055C04A" wp14:editId="44BE8B68">
            <wp:extent cx="112014" cy="133350"/>
            <wp:effectExtent l="0" t="0" r="0" b="0"/>
            <wp:docPr id="811"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51.png"/>
                    <pic:cNvPicPr/>
                  </pic:nvPicPr>
                  <pic:blipFill>
                    <a:blip r:embed="rId78"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2019. gadā budžeta iestāde pārklasificē līdz termiņa beigām turētu finanšu instrumentu uz pārdošanai pieejamu finanšu aktīvu kategoriju. Finanšu instruments uzskaitīts kontā 1349 Ilgtermiņa finanšu ieguldījumi vērtspapīros. Finanšu instrumenta amortizētā</w:t>
      </w:r>
      <w:r>
        <w:rPr>
          <w:spacing w:val="21"/>
        </w:rPr>
        <w:t xml:space="preserve"> </w:t>
      </w:r>
      <w:r>
        <w:t>vērtība</w:t>
      </w:r>
    </w:p>
    <w:p w14:paraId="343748C0" w14:textId="77777777" w:rsidR="000533E4" w:rsidRDefault="000533E4" w:rsidP="00CD363C">
      <w:pPr>
        <w:spacing w:after="0" w:line="240" w:lineRule="auto"/>
        <w:ind w:right="113"/>
        <w:jc w:val="both"/>
        <w:sectPr w:rsidR="000533E4">
          <w:pgSz w:w="11910" w:h="16840"/>
          <w:pgMar w:top="760" w:right="500" w:bottom="940" w:left="1080" w:header="0" w:footer="678" w:gutter="0"/>
          <w:cols w:space="720"/>
        </w:sectPr>
      </w:pPr>
    </w:p>
    <w:p w14:paraId="47EEB322" w14:textId="77777777" w:rsidR="000533E4" w:rsidRDefault="000533E4" w:rsidP="00CD363C">
      <w:pPr>
        <w:pStyle w:val="Pamatteksts"/>
        <w:ind w:left="1778" w:right="113"/>
        <w:jc w:val="both"/>
      </w:pPr>
      <w:r>
        <w:t xml:space="preserve">2019. gada sākumā ir 95 478,50 EUR. Budžeta iestāde nosaka finanšu instrumenta patieso vērtību pārklasifikācijas dienā. Obligācijas ir kotētas biržā. Finanšu instrumenta patiesā vērtība pārklasifikācijas datumā ir 95 000,00 EUR. Starpība starp finanšu instrumenta amortizēto vērtību (95 478,50 EUR) un patieso vērtību (95 000,00 EUR) pārklasifikācijas dienā ir 478,50 EUR  (zaudējumi).  Finanšu  instrumenta  patiesā  vērtība  31.12.2019.  ir  95 000,00 EUR. Detalizēts piemērs sniegts 21.8. apakšnodaļā </w:t>
      </w:r>
      <w:r>
        <w:rPr>
          <w:color w:val="0462C1"/>
          <w:u w:val="single" w:color="0462C1"/>
        </w:rPr>
        <w:t>“</w:t>
      </w:r>
      <w:hyperlink w:anchor="_bookmark366" w:history="1">
        <w:r>
          <w:rPr>
            <w:color w:val="0462C1"/>
            <w:u w:val="single" w:color="0462C1"/>
          </w:rPr>
          <w:t>21.8.9.. Piemērs – līdz termiņa</w:t>
        </w:r>
      </w:hyperlink>
      <w:r>
        <w:rPr>
          <w:color w:val="0462C1"/>
        </w:rPr>
        <w:t xml:space="preserve"> </w:t>
      </w:r>
      <w:hyperlink w:anchor="_bookmark366" w:history="1">
        <w:r>
          <w:rPr>
            <w:color w:val="0462C1"/>
            <w:u w:val="single" w:color="0462C1"/>
          </w:rPr>
          <w:t>beigām turēta finanšu instrumenta pārklasifikācija uz pārdošanai pieejamu finanšu</w:t>
        </w:r>
        <w:r>
          <w:rPr>
            <w:color w:val="0462C1"/>
            <w:spacing w:val="-21"/>
            <w:u w:val="single" w:color="0462C1"/>
          </w:rPr>
          <w:t xml:space="preserve"> </w:t>
        </w:r>
        <w:r>
          <w:rPr>
            <w:color w:val="0462C1"/>
            <w:u w:val="single" w:color="0462C1"/>
          </w:rPr>
          <w:t>aktīvu</w:t>
        </w:r>
      </w:hyperlink>
      <w:r>
        <w:rPr>
          <w:color w:val="0462C1"/>
          <w:u w:val="single" w:color="0462C1"/>
        </w:rPr>
        <w:t>”</w:t>
      </w:r>
      <w:r>
        <w:t>.</w:t>
      </w:r>
    </w:p>
    <w:p w14:paraId="2B5B00D6" w14:textId="77777777" w:rsidR="000533E4" w:rsidRDefault="000533E4" w:rsidP="00CD363C">
      <w:pPr>
        <w:pStyle w:val="Pamatteksts"/>
        <w:ind w:left="338" w:right="113"/>
        <w:jc w:val="both"/>
      </w:pPr>
      <w:r>
        <w:t>Pārskata perioda beigās budžeta iestāde finanšu pārskata pielikumos uzrāda sekojošu informāciju:</w:t>
      </w:r>
    </w:p>
    <w:p w14:paraId="5D3BD148" w14:textId="77777777" w:rsidR="000533E4" w:rsidRDefault="000533E4" w:rsidP="00CD363C">
      <w:pPr>
        <w:pStyle w:val="Pamatteksts"/>
        <w:ind w:right="113"/>
        <w:jc w:val="both"/>
        <w:rPr>
          <w:sz w:val="20"/>
        </w:rPr>
      </w:pPr>
    </w:p>
    <w:p w14:paraId="5AD89231" w14:textId="77777777" w:rsidR="000533E4" w:rsidRDefault="000533E4" w:rsidP="00CD363C">
      <w:pPr>
        <w:pStyle w:val="Pamatteksts"/>
        <w:ind w:left="338" w:right="113"/>
        <w:jc w:val="both"/>
      </w:pPr>
      <w:r>
        <w:rPr>
          <w:b/>
        </w:rPr>
        <w:t xml:space="preserve">Piezīmē V9.KATE </w:t>
      </w:r>
      <w:r>
        <w:t>budžeta iestāde norāda informāciju par finanšu aktīvu un finanšu saistību uzskaites vērtību pārskata perioda beigās un pārskata perioda sākumā sadalījumā pa finanšu instrumentiem atbilstoši šajos noteikumos noteiktajai klasifikācijai un sadalījumā pa finanšu instrumentu kategorijām atbilstoši Ministru kabineta noteikumos par grāmatvedības uzskaites kārtību budžeta iestādēs noteiktajai klasifikācijai.</w:t>
      </w:r>
    </w:p>
    <w:p w14:paraId="416D563D" w14:textId="77777777" w:rsidR="000533E4" w:rsidRDefault="000533E4" w:rsidP="00CD363C">
      <w:pPr>
        <w:pStyle w:val="Pamatteksts"/>
        <w:ind w:right="113"/>
        <w:jc w:val="both"/>
        <w:rPr>
          <w:sz w:val="24"/>
        </w:rPr>
      </w:pPr>
    </w:p>
    <w:p w14:paraId="1A924658" w14:textId="77777777" w:rsidR="000533E4" w:rsidRDefault="000533E4" w:rsidP="00CD363C">
      <w:pPr>
        <w:pStyle w:val="Pamatteksts"/>
        <w:ind w:right="113"/>
        <w:jc w:val="both"/>
        <w:rPr>
          <w:sz w:val="24"/>
        </w:rPr>
      </w:pPr>
    </w:p>
    <w:p w14:paraId="78A14BD2" w14:textId="77777777" w:rsidR="000533E4" w:rsidRDefault="000533E4" w:rsidP="00CD363C">
      <w:pPr>
        <w:pStyle w:val="Virsraksts6"/>
        <w:ind w:right="113"/>
        <w:jc w:val="both"/>
      </w:pPr>
      <w:r>
        <w:t>V9.KATE Informācija par finanšu aktīvu un finanšu saistību sadalījumu pa finanšu instrumentu kategorijām un cita informācija</w:t>
      </w:r>
    </w:p>
    <w:p w14:paraId="5EE6BDC9" w14:textId="77777777" w:rsidR="000533E4" w:rsidRDefault="000533E4" w:rsidP="00CD363C">
      <w:pPr>
        <w:pStyle w:val="Pamatteksts"/>
        <w:ind w:right="113"/>
        <w:jc w:val="both"/>
        <w:rPr>
          <w:b/>
          <w:sz w:val="17"/>
        </w:rPr>
      </w:pPr>
    </w:p>
    <w:tbl>
      <w:tblPr>
        <w:tblW w:w="0" w:type="auto"/>
        <w:tblInd w:w="19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50"/>
        <w:gridCol w:w="4113"/>
        <w:gridCol w:w="1561"/>
        <w:gridCol w:w="1419"/>
        <w:gridCol w:w="1703"/>
      </w:tblGrid>
      <w:tr w:rsidR="000533E4" w14:paraId="6D1EBAEE" w14:textId="77777777" w:rsidTr="00FF1C69">
        <w:trPr>
          <w:trHeight w:val="918"/>
        </w:trPr>
        <w:tc>
          <w:tcPr>
            <w:tcW w:w="850" w:type="dxa"/>
            <w:shd w:val="clear" w:color="auto" w:fill="F1F1F1"/>
          </w:tcPr>
          <w:p w14:paraId="550BA3A8" w14:textId="77777777" w:rsidR="000533E4" w:rsidRDefault="000533E4" w:rsidP="00CD363C">
            <w:pPr>
              <w:pStyle w:val="TableParagraph"/>
              <w:ind w:right="113"/>
              <w:jc w:val="both"/>
              <w:rPr>
                <w:b/>
                <w:sz w:val="30"/>
              </w:rPr>
            </w:pPr>
          </w:p>
          <w:p w14:paraId="3A92437E" w14:textId="77777777" w:rsidR="000533E4" w:rsidRDefault="000533E4" w:rsidP="00CD363C">
            <w:pPr>
              <w:pStyle w:val="TableParagraph"/>
              <w:ind w:left="174" w:right="113"/>
              <w:jc w:val="both"/>
              <w:rPr>
                <w:b/>
                <w:sz w:val="20"/>
              </w:rPr>
            </w:pPr>
            <w:r>
              <w:rPr>
                <w:b/>
                <w:sz w:val="20"/>
              </w:rPr>
              <w:t>Kods</w:t>
            </w:r>
          </w:p>
        </w:tc>
        <w:tc>
          <w:tcPr>
            <w:tcW w:w="4113" w:type="dxa"/>
            <w:shd w:val="clear" w:color="auto" w:fill="F1F1F1"/>
          </w:tcPr>
          <w:p w14:paraId="1833FBFD" w14:textId="77777777" w:rsidR="000533E4" w:rsidRDefault="000533E4" w:rsidP="00CD363C">
            <w:pPr>
              <w:pStyle w:val="TableParagraph"/>
              <w:ind w:right="113"/>
              <w:jc w:val="both"/>
              <w:rPr>
                <w:b/>
                <w:sz w:val="20"/>
              </w:rPr>
            </w:pPr>
          </w:p>
          <w:p w14:paraId="1D56C9C4" w14:textId="77777777" w:rsidR="000533E4" w:rsidRDefault="000533E4" w:rsidP="00CD363C">
            <w:pPr>
              <w:pStyle w:val="TableParagraph"/>
              <w:ind w:left="652" w:right="113" w:hanging="56"/>
              <w:jc w:val="both"/>
              <w:rPr>
                <w:b/>
                <w:sz w:val="20"/>
              </w:rPr>
            </w:pPr>
            <w:r>
              <w:rPr>
                <w:b/>
                <w:sz w:val="20"/>
              </w:rPr>
              <w:t>Finanšu instrumentu kategorijas/ finanšu instrumenta nosaukums</w:t>
            </w:r>
          </w:p>
        </w:tc>
        <w:tc>
          <w:tcPr>
            <w:tcW w:w="1561" w:type="dxa"/>
            <w:shd w:val="clear" w:color="auto" w:fill="F1F1F1"/>
          </w:tcPr>
          <w:p w14:paraId="2587282A" w14:textId="77777777" w:rsidR="000533E4" w:rsidRDefault="000533E4" w:rsidP="00CD363C">
            <w:pPr>
              <w:pStyle w:val="TableParagraph"/>
              <w:ind w:left="130" w:right="113" w:hanging="4"/>
              <w:jc w:val="both"/>
              <w:rPr>
                <w:b/>
                <w:sz w:val="20"/>
              </w:rPr>
            </w:pPr>
            <w:r>
              <w:rPr>
                <w:b/>
                <w:sz w:val="20"/>
              </w:rPr>
              <w:t>Pārskata perioda beigās EUR</w:t>
            </w:r>
          </w:p>
        </w:tc>
        <w:tc>
          <w:tcPr>
            <w:tcW w:w="1419" w:type="dxa"/>
            <w:shd w:val="clear" w:color="auto" w:fill="F1F1F1"/>
          </w:tcPr>
          <w:p w14:paraId="4D1CA36E" w14:textId="77777777" w:rsidR="000533E4" w:rsidRDefault="000533E4" w:rsidP="00CD363C">
            <w:pPr>
              <w:pStyle w:val="TableParagraph"/>
              <w:ind w:left="83" w:right="113"/>
              <w:jc w:val="both"/>
              <w:rPr>
                <w:b/>
                <w:sz w:val="20"/>
              </w:rPr>
            </w:pPr>
            <w:r>
              <w:rPr>
                <w:b/>
                <w:sz w:val="20"/>
              </w:rPr>
              <w:t>Pārskata perioda</w:t>
            </w:r>
          </w:p>
          <w:p w14:paraId="5EB69A6F" w14:textId="77777777" w:rsidR="000533E4" w:rsidRDefault="000533E4" w:rsidP="00CD363C">
            <w:pPr>
              <w:pStyle w:val="TableParagraph"/>
              <w:ind w:left="322" w:right="113"/>
              <w:jc w:val="both"/>
              <w:rPr>
                <w:b/>
                <w:sz w:val="20"/>
              </w:rPr>
            </w:pPr>
            <w:r>
              <w:rPr>
                <w:b/>
                <w:sz w:val="20"/>
              </w:rPr>
              <w:t>sākumā EUR</w:t>
            </w:r>
          </w:p>
        </w:tc>
        <w:tc>
          <w:tcPr>
            <w:tcW w:w="1703" w:type="dxa"/>
            <w:shd w:val="clear" w:color="auto" w:fill="F1F1F1"/>
          </w:tcPr>
          <w:p w14:paraId="1E4F8E9C" w14:textId="77777777" w:rsidR="000533E4" w:rsidRDefault="000533E4" w:rsidP="00CD363C">
            <w:pPr>
              <w:pStyle w:val="TableParagraph"/>
              <w:ind w:left="271" w:right="113" w:firstLine="45"/>
              <w:jc w:val="both"/>
              <w:rPr>
                <w:b/>
                <w:sz w:val="20"/>
              </w:rPr>
            </w:pPr>
            <w:r>
              <w:rPr>
                <w:b/>
                <w:sz w:val="20"/>
              </w:rPr>
              <w:t>Atsauces uz attiecīgajiem piemēriem</w:t>
            </w:r>
          </w:p>
        </w:tc>
      </w:tr>
      <w:tr w:rsidR="000533E4" w14:paraId="2B38574B" w14:textId="77777777" w:rsidTr="00FF1C69">
        <w:trPr>
          <w:trHeight w:val="297"/>
        </w:trPr>
        <w:tc>
          <w:tcPr>
            <w:tcW w:w="850" w:type="dxa"/>
            <w:shd w:val="clear" w:color="auto" w:fill="F1F1F1"/>
          </w:tcPr>
          <w:p w14:paraId="4EF62882" w14:textId="77777777" w:rsidR="000533E4" w:rsidRDefault="000533E4" w:rsidP="00CD363C">
            <w:pPr>
              <w:pStyle w:val="TableParagraph"/>
              <w:ind w:right="113"/>
              <w:jc w:val="both"/>
              <w:rPr>
                <w:b/>
                <w:sz w:val="20"/>
              </w:rPr>
            </w:pPr>
            <w:r>
              <w:rPr>
                <w:b/>
                <w:w w:val="99"/>
                <w:sz w:val="20"/>
              </w:rPr>
              <w:t>A</w:t>
            </w:r>
          </w:p>
        </w:tc>
        <w:tc>
          <w:tcPr>
            <w:tcW w:w="4113" w:type="dxa"/>
            <w:shd w:val="clear" w:color="auto" w:fill="F1F1F1"/>
          </w:tcPr>
          <w:p w14:paraId="547CDA5E" w14:textId="77777777" w:rsidR="000533E4" w:rsidRDefault="000533E4" w:rsidP="00CD363C">
            <w:pPr>
              <w:pStyle w:val="TableParagraph"/>
              <w:ind w:right="113"/>
              <w:jc w:val="both"/>
              <w:rPr>
                <w:b/>
                <w:sz w:val="20"/>
              </w:rPr>
            </w:pPr>
            <w:r>
              <w:rPr>
                <w:b/>
                <w:w w:val="99"/>
                <w:sz w:val="20"/>
              </w:rPr>
              <w:t>B</w:t>
            </w:r>
          </w:p>
        </w:tc>
        <w:tc>
          <w:tcPr>
            <w:tcW w:w="1561" w:type="dxa"/>
            <w:shd w:val="clear" w:color="auto" w:fill="F1F1F1"/>
          </w:tcPr>
          <w:p w14:paraId="54D22B81" w14:textId="77777777" w:rsidR="000533E4" w:rsidRDefault="000533E4" w:rsidP="00CD363C">
            <w:pPr>
              <w:pStyle w:val="TableParagraph"/>
              <w:ind w:right="113"/>
              <w:jc w:val="both"/>
              <w:rPr>
                <w:b/>
                <w:sz w:val="20"/>
              </w:rPr>
            </w:pPr>
            <w:r>
              <w:rPr>
                <w:b/>
                <w:w w:val="99"/>
                <w:sz w:val="20"/>
              </w:rPr>
              <w:t>1</w:t>
            </w:r>
          </w:p>
        </w:tc>
        <w:tc>
          <w:tcPr>
            <w:tcW w:w="1419" w:type="dxa"/>
            <w:shd w:val="clear" w:color="auto" w:fill="F1F1F1"/>
          </w:tcPr>
          <w:p w14:paraId="1DDBC829" w14:textId="77777777" w:rsidR="000533E4" w:rsidRDefault="000533E4" w:rsidP="00CD363C">
            <w:pPr>
              <w:pStyle w:val="TableParagraph"/>
              <w:ind w:right="113"/>
              <w:jc w:val="both"/>
              <w:rPr>
                <w:b/>
                <w:sz w:val="20"/>
              </w:rPr>
            </w:pPr>
            <w:r>
              <w:rPr>
                <w:b/>
                <w:w w:val="99"/>
                <w:sz w:val="20"/>
              </w:rPr>
              <w:t>2</w:t>
            </w:r>
          </w:p>
        </w:tc>
        <w:tc>
          <w:tcPr>
            <w:tcW w:w="1703" w:type="dxa"/>
            <w:shd w:val="clear" w:color="auto" w:fill="F1F1F1"/>
          </w:tcPr>
          <w:p w14:paraId="139A8DA3" w14:textId="77777777" w:rsidR="000533E4" w:rsidRDefault="000533E4" w:rsidP="00CD363C">
            <w:pPr>
              <w:pStyle w:val="TableParagraph"/>
              <w:ind w:right="113"/>
              <w:jc w:val="both"/>
              <w:rPr>
                <w:b/>
                <w:sz w:val="20"/>
              </w:rPr>
            </w:pPr>
            <w:r>
              <w:rPr>
                <w:b/>
                <w:w w:val="99"/>
                <w:sz w:val="20"/>
              </w:rPr>
              <w:t>3</w:t>
            </w:r>
          </w:p>
        </w:tc>
      </w:tr>
      <w:tr w:rsidR="000533E4" w14:paraId="18C78A64" w14:textId="77777777" w:rsidTr="00FF1C69">
        <w:trPr>
          <w:trHeight w:val="460"/>
        </w:trPr>
        <w:tc>
          <w:tcPr>
            <w:tcW w:w="850" w:type="dxa"/>
          </w:tcPr>
          <w:p w14:paraId="2B79B11D" w14:textId="77777777" w:rsidR="000533E4" w:rsidRDefault="000533E4" w:rsidP="00CD363C">
            <w:pPr>
              <w:pStyle w:val="TableParagraph"/>
              <w:ind w:left="107" w:right="113"/>
              <w:jc w:val="both"/>
              <w:rPr>
                <w:sz w:val="20"/>
              </w:rPr>
            </w:pPr>
            <w:r>
              <w:rPr>
                <w:sz w:val="20"/>
              </w:rPr>
              <w:t>FA</w:t>
            </w:r>
          </w:p>
        </w:tc>
        <w:tc>
          <w:tcPr>
            <w:tcW w:w="4113" w:type="dxa"/>
          </w:tcPr>
          <w:p w14:paraId="768C6958" w14:textId="77777777" w:rsidR="000533E4" w:rsidRDefault="000533E4" w:rsidP="00CD363C">
            <w:pPr>
              <w:pStyle w:val="TableParagraph"/>
              <w:ind w:left="107" w:right="113"/>
              <w:jc w:val="both"/>
              <w:rPr>
                <w:b/>
                <w:sz w:val="20"/>
              </w:rPr>
            </w:pPr>
            <w:r>
              <w:rPr>
                <w:b/>
                <w:sz w:val="20"/>
              </w:rPr>
              <w:t>Finanšu aktīvi</w:t>
            </w:r>
          </w:p>
        </w:tc>
        <w:tc>
          <w:tcPr>
            <w:tcW w:w="1561" w:type="dxa"/>
          </w:tcPr>
          <w:p w14:paraId="03B23D93" w14:textId="77777777" w:rsidR="000533E4" w:rsidRDefault="000533E4" w:rsidP="00CD363C">
            <w:pPr>
              <w:pStyle w:val="TableParagraph"/>
              <w:ind w:right="113"/>
              <w:jc w:val="both"/>
              <w:rPr>
                <w:sz w:val="20"/>
              </w:rPr>
            </w:pPr>
            <w:r>
              <w:rPr>
                <w:sz w:val="20"/>
              </w:rPr>
              <w:t>193 456</w:t>
            </w:r>
          </w:p>
        </w:tc>
        <w:tc>
          <w:tcPr>
            <w:tcW w:w="1419" w:type="dxa"/>
          </w:tcPr>
          <w:p w14:paraId="67F0D364" w14:textId="77777777" w:rsidR="000533E4" w:rsidRDefault="000533E4" w:rsidP="00CD363C">
            <w:pPr>
              <w:pStyle w:val="TableParagraph"/>
              <w:ind w:right="113"/>
              <w:jc w:val="both"/>
              <w:rPr>
                <w:sz w:val="20"/>
              </w:rPr>
            </w:pPr>
            <w:r>
              <w:rPr>
                <w:sz w:val="20"/>
              </w:rPr>
              <w:t>104 979</w:t>
            </w:r>
          </w:p>
        </w:tc>
        <w:tc>
          <w:tcPr>
            <w:tcW w:w="1703" w:type="dxa"/>
            <w:shd w:val="clear" w:color="auto" w:fill="EBF3F9"/>
          </w:tcPr>
          <w:p w14:paraId="1CEA9CDD" w14:textId="77777777" w:rsidR="000533E4" w:rsidRDefault="000533E4" w:rsidP="00CD363C">
            <w:pPr>
              <w:pStyle w:val="TableParagraph"/>
              <w:ind w:left="299" w:right="113"/>
              <w:jc w:val="both"/>
              <w:rPr>
                <w:sz w:val="20"/>
              </w:rPr>
            </w:pPr>
            <w:r>
              <w:rPr>
                <w:sz w:val="20"/>
              </w:rPr>
              <w:t>14.5.,</w:t>
            </w:r>
          </w:p>
          <w:p w14:paraId="6F909596" w14:textId="77777777" w:rsidR="000533E4" w:rsidRDefault="000533E4" w:rsidP="00CD363C">
            <w:pPr>
              <w:pStyle w:val="TableParagraph"/>
              <w:ind w:left="301" w:right="113"/>
              <w:jc w:val="both"/>
              <w:rPr>
                <w:sz w:val="20"/>
              </w:rPr>
            </w:pPr>
            <w:r>
              <w:rPr>
                <w:sz w:val="20"/>
              </w:rPr>
              <w:t>14.9., 14.10.</w:t>
            </w:r>
          </w:p>
        </w:tc>
      </w:tr>
      <w:tr w:rsidR="000533E4" w14:paraId="719278F2" w14:textId="77777777" w:rsidTr="00FF1C69">
        <w:trPr>
          <w:trHeight w:val="299"/>
        </w:trPr>
        <w:tc>
          <w:tcPr>
            <w:tcW w:w="850" w:type="dxa"/>
          </w:tcPr>
          <w:p w14:paraId="3A14CB36" w14:textId="77777777" w:rsidR="000533E4" w:rsidRDefault="000533E4" w:rsidP="00CD363C">
            <w:pPr>
              <w:pStyle w:val="TableParagraph"/>
              <w:ind w:left="107" w:right="113"/>
              <w:jc w:val="both"/>
              <w:rPr>
                <w:sz w:val="20"/>
              </w:rPr>
            </w:pPr>
            <w:r>
              <w:rPr>
                <w:sz w:val="20"/>
              </w:rPr>
              <w:t>TB</w:t>
            </w:r>
          </w:p>
        </w:tc>
        <w:tc>
          <w:tcPr>
            <w:tcW w:w="4113" w:type="dxa"/>
          </w:tcPr>
          <w:p w14:paraId="4AC4A8E3" w14:textId="77777777" w:rsidR="000533E4" w:rsidRDefault="000533E4" w:rsidP="00CD363C">
            <w:pPr>
              <w:pStyle w:val="TableParagraph"/>
              <w:ind w:left="107" w:right="113"/>
              <w:jc w:val="both"/>
              <w:rPr>
                <w:sz w:val="20"/>
              </w:rPr>
            </w:pPr>
            <w:r>
              <w:rPr>
                <w:sz w:val="20"/>
              </w:rPr>
              <w:t>Līdz termiņa beigām turētie ieguldījumi</w:t>
            </w:r>
          </w:p>
        </w:tc>
        <w:tc>
          <w:tcPr>
            <w:tcW w:w="1561" w:type="dxa"/>
          </w:tcPr>
          <w:p w14:paraId="758FF73C" w14:textId="77777777" w:rsidR="000533E4" w:rsidRDefault="000533E4" w:rsidP="00CD363C">
            <w:pPr>
              <w:pStyle w:val="TableParagraph"/>
              <w:ind w:right="113"/>
              <w:jc w:val="both"/>
              <w:rPr>
                <w:sz w:val="20"/>
              </w:rPr>
            </w:pPr>
            <w:r>
              <w:rPr>
                <w:w w:val="99"/>
                <w:sz w:val="20"/>
              </w:rPr>
              <w:t>-</w:t>
            </w:r>
          </w:p>
        </w:tc>
        <w:tc>
          <w:tcPr>
            <w:tcW w:w="1419" w:type="dxa"/>
          </w:tcPr>
          <w:p w14:paraId="2F0CB2C8" w14:textId="77777777" w:rsidR="000533E4" w:rsidRDefault="000533E4" w:rsidP="00CD363C">
            <w:pPr>
              <w:pStyle w:val="TableParagraph"/>
              <w:ind w:right="113"/>
              <w:jc w:val="both"/>
              <w:rPr>
                <w:sz w:val="20"/>
              </w:rPr>
            </w:pPr>
            <w:r>
              <w:rPr>
                <w:sz w:val="20"/>
              </w:rPr>
              <w:t>95 479</w:t>
            </w:r>
          </w:p>
        </w:tc>
        <w:tc>
          <w:tcPr>
            <w:tcW w:w="1703" w:type="dxa"/>
            <w:shd w:val="clear" w:color="auto" w:fill="EBF3F9"/>
          </w:tcPr>
          <w:p w14:paraId="15337169" w14:textId="77777777" w:rsidR="000533E4" w:rsidRDefault="000533E4" w:rsidP="00CD363C">
            <w:pPr>
              <w:pStyle w:val="TableParagraph"/>
              <w:ind w:left="299" w:right="113"/>
              <w:jc w:val="both"/>
              <w:rPr>
                <w:sz w:val="20"/>
              </w:rPr>
            </w:pPr>
            <w:r>
              <w:rPr>
                <w:sz w:val="20"/>
              </w:rPr>
              <w:t>14.10.</w:t>
            </w:r>
          </w:p>
        </w:tc>
      </w:tr>
      <w:tr w:rsidR="000533E4" w14:paraId="32A57393" w14:textId="77777777" w:rsidTr="00FF1C69">
        <w:trPr>
          <w:trHeight w:val="302"/>
        </w:trPr>
        <w:tc>
          <w:tcPr>
            <w:tcW w:w="850" w:type="dxa"/>
          </w:tcPr>
          <w:p w14:paraId="1B36D7C6" w14:textId="77777777" w:rsidR="000533E4" w:rsidRDefault="000533E4" w:rsidP="00CD363C">
            <w:pPr>
              <w:pStyle w:val="TableParagraph"/>
              <w:ind w:left="107" w:right="113"/>
              <w:jc w:val="both"/>
              <w:rPr>
                <w:sz w:val="20"/>
              </w:rPr>
            </w:pPr>
            <w:r>
              <w:rPr>
                <w:sz w:val="20"/>
              </w:rPr>
              <w:t>IVP</w:t>
            </w:r>
          </w:p>
        </w:tc>
        <w:tc>
          <w:tcPr>
            <w:tcW w:w="4113" w:type="dxa"/>
          </w:tcPr>
          <w:p w14:paraId="22008426" w14:textId="77777777" w:rsidR="000533E4" w:rsidRDefault="000533E4" w:rsidP="00CD363C">
            <w:pPr>
              <w:pStyle w:val="TableParagraph"/>
              <w:ind w:left="107" w:right="113"/>
              <w:jc w:val="both"/>
              <w:rPr>
                <w:sz w:val="20"/>
              </w:rPr>
            </w:pPr>
            <w:r>
              <w:rPr>
                <w:sz w:val="20"/>
              </w:rPr>
              <w:t>Vērtspapīri</w:t>
            </w:r>
          </w:p>
        </w:tc>
        <w:tc>
          <w:tcPr>
            <w:tcW w:w="1561" w:type="dxa"/>
          </w:tcPr>
          <w:p w14:paraId="08DA68A5" w14:textId="77777777" w:rsidR="000533E4" w:rsidRDefault="000533E4" w:rsidP="00CD363C">
            <w:pPr>
              <w:pStyle w:val="TableParagraph"/>
              <w:ind w:right="113"/>
              <w:jc w:val="both"/>
              <w:rPr>
                <w:sz w:val="20"/>
              </w:rPr>
            </w:pPr>
            <w:r>
              <w:rPr>
                <w:w w:val="99"/>
                <w:sz w:val="20"/>
              </w:rPr>
              <w:t>-</w:t>
            </w:r>
          </w:p>
        </w:tc>
        <w:tc>
          <w:tcPr>
            <w:tcW w:w="1419" w:type="dxa"/>
          </w:tcPr>
          <w:p w14:paraId="3DED3651" w14:textId="77777777" w:rsidR="000533E4" w:rsidRDefault="000533E4" w:rsidP="00CD363C">
            <w:pPr>
              <w:pStyle w:val="TableParagraph"/>
              <w:ind w:right="113"/>
              <w:jc w:val="both"/>
              <w:rPr>
                <w:sz w:val="20"/>
              </w:rPr>
            </w:pPr>
            <w:r>
              <w:rPr>
                <w:sz w:val="20"/>
              </w:rPr>
              <w:t>95 479</w:t>
            </w:r>
          </w:p>
        </w:tc>
        <w:tc>
          <w:tcPr>
            <w:tcW w:w="1703" w:type="dxa"/>
            <w:shd w:val="clear" w:color="auto" w:fill="EBF3F9"/>
          </w:tcPr>
          <w:p w14:paraId="504999FE" w14:textId="77777777" w:rsidR="000533E4" w:rsidRDefault="000533E4" w:rsidP="00CD363C">
            <w:pPr>
              <w:pStyle w:val="TableParagraph"/>
              <w:ind w:left="299" w:right="113"/>
              <w:jc w:val="both"/>
              <w:rPr>
                <w:sz w:val="20"/>
              </w:rPr>
            </w:pPr>
            <w:r>
              <w:rPr>
                <w:sz w:val="20"/>
              </w:rPr>
              <w:t>14.10.</w:t>
            </w:r>
          </w:p>
        </w:tc>
      </w:tr>
      <w:tr w:rsidR="000533E4" w14:paraId="30D96A4B" w14:textId="77777777" w:rsidTr="00FF1C69">
        <w:trPr>
          <w:trHeight w:val="299"/>
        </w:trPr>
        <w:tc>
          <w:tcPr>
            <w:tcW w:w="850" w:type="dxa"/>
          </w:tcPr>
          <w:p w14:paraId="104FA120" w14:textId="77777777" w:rsidR="000533E4" w:rsidRDefault="000533E4" w:rsidP="00CD363C">
            <w:pPr>
              <w:pStyle w:val="TableParagraph"/>
              <w:ind w:left="107" w:right="113"/>
              <w:jc w:val="both"/>
              <w:rPr>
                <w:sz w:val="20"/>
              </w:rPr>
            </w:pPr>
            <w:r>
              <w:rPr>
                <w:sz w:val="20"/>
              </w:rPr>
              <w:t>AP</w:t>
            </w:r>
          </w:p>
        </w:tc>
        <w:tc>
          <w:tcPr>
            <w:tcW w:w="4113" w:type="dxa"/>
          </w:tcPr>
          <w:p w14:paraId="59E5107B" w14:textId="77777777" w:rsidR="000533E4" w:rsidRDefault="000533E4" w:rsidP="00CD363C">
            <w:pPr>
              <w:pStyle w:val="TableParagraph"/>
              <w:ind w:left="107" w:right="113"/>
              <w:jc w:val="both"/>
              <w:rPr>
                <w:sz w:val="20"/>
              </w:rPr>
            </w:pPr>
            <w:r>
              <w:rPr>
                <w:sz w:val="20"/>
              </w:rPr>
              <w:t>Aizdevumi un prasības</w:t>
            </w:r>
          </w:p>
        </w:tc>
        <w:tc>
          <w:tcPr>
            <w:tcW w:w="1561" w:type="dxa"/>
          </w:tcPr>
          <w:p w14:paraId="43B61FF1" w14:textId="77777777" w:rsidR="000533E4" w:rsidRDefault="000533E4" w:rsidP="00CD363C">
            <w:pPr>
              <w:pStyle w:val="TableParagraph"/>
              <w:ind w:right="113"/>
              <w:jc w:val="both"/>
              <w:rPr>
                <w:sz w:val="20"/>
              </w:rPr>
            </w:pPr>
            <w:r>
              <w:rPr>
                <w:sz w:val="20"/>
              </w:rPr>
              <w:t>92 456</w:t>
            </w:r>
          </w:p>
        </w:tc>
        <w:tc>
          <w:tcPr>
            <w:tcW w:w="1419" w:type="dxa"/>
          </w:tcPr>
          <w:p w14:paraId="3CF4318C"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7F1DAF42" w14:textId="77777777" w:rsidR="000533E4" w:rsidRDefault="000533E4" w:rsidP="00CD363C">
            <w:pPr>
              <w:pStyle w:val="TableParagraph"/>
              <w:ind w:left="301" w:right="113"/>
              <w:jc w:val="both"/>
              <w:rPr>
                <w:sz w:val="20"/>
              </w:rPr>
            </w:pPr>
            <w:r>
              <w:rPr>
                <w:sz w:val="20"/>
              </w:rPr>
              <w:t>14.5.</w:t>
            </w:r>
          </w:p>
        </w:tc>
      </w:tr>
      <w:tr w:rsidR="000533E4" w14:paraId="39869DF8" w14:textId="77777777" w:rsidTr="00FF1C69">
        <w:trPr>
          <w:trHeight w:val="285"/>
        </w:trPr>
        <w:tc>
          <w:tcPr>
            <w:tcW w:w="850" w:type="dxa"/>
          </w:tcPr>
          <w:p w14:paraId="1FCF87B4" w14:textId="77777777" w:rsidR="000533E4" w:rsidRDefault="000533E4" w:rsidP="00CD363C">
            <w:pPr>
              <w:pStyle w:val="TableParagraph"/>
              <w:ind w:left="107" w:right="113"/>
              <w:jc w:val="both"/>
              <w:rPr>
                <w:sz w:val="20"/>
              </w:rPr>
            </w:pPr>
            <w:r>
              <w:rPr>
                <w:sz w:val="20"/>
              </w:rPr>
              <w:t>AIZ</w:t>
            </w:r>
          </w:p>
        </w:tc>
        <w:tc>
          <w:tcPr>
            <w:tcW w:w="4113" w:type="dxa"/>
          </w:tcPr>
          <w:p w14:paraId="7795D0AA" w14:textId="77777777" w:rsidR="000533E4" w:rsidRDefault="000533E4" w:rsidP="00CD363C">
            <w:pPr>
              <w:pStyle w:val="TableParagraph"/>
              <w:ind w:left="107" w:right="113"/>
              <w:jc w:val="both"/>
              <w:rPr>
                <w:sz w:val="20"/>
              </w:rPr>
            </w:pPr>
            <w:r>
              <w:rPr>
                <w:sz w:val="20"/>
              </w:rPr>
              <w:t>Aizdevumi</w:t>
            </w:r>
          </w:p>
        </w:tc>
        <w:tc>
          <w:tcPr>
            <w:tcW w:w="1561" w:type="dxa"/>
          </w:tcPr>
          <w:p w14:paraId="49730683" w14:textId="77777777" w:rsidR="000533E4" w:rsidRDefault="000533E4" w:rsidP="00CD363C">
            <w:pPr>
              <w:pStyle w:val="TableParagraph"/>
              <w:ind w:right="113"/>
              <w:jc w:val="both"/>
              <w:rPr>
                <w:sz w:val="20"/>
              </w:rPr>
            </w:pPr>
            <w:r>
              <w:rPr>
                <w:sz w:val="20"/>
              </w:rPr>
              <w:t>92 456</w:t>
            </w:r>
          </w:p>
        </w:tc>
        <w:tc>
          <w:tcPr>
            <w:tcW w:w="1419" w:type="dxa"/>
          </w:tcPr>
          <w:p w14:paraId="5CCDBA10"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5B67D5EC" w14:textId="77777777" w:rsidR="000533E4" w:rsidRDefault="000533E4" w:rsidP="00CD363C">
            <w:pPr>
              <w:pStyle w:val="TableParagraph"/>
              <w:ind w:left="301" w:right="113"/>
              <w:jc w:val="both"/>
              <w:rPr>
                <w:sz w:val="20"/>
              </w:rPr>
            </w:pPr>
            <w:r>
              <w:rPr>
                <w:sz w:val="20"/>
              </w:rPr>
              <w:t>14.5.</w:t>
            </w:r>
          </w:p>
        </w:tc>
      </w:tr>
      <w:tr w:rsidR="000533E4" w14:paraId="2F70B9ED" w14:textId="77777777" w:rsidTr="00FF1C69">
        <w:trPr>
          <w:trHeight w:val="230"/>
        </w:trPr>
        <w:tc>
          <w:tcPr>
            <w:tcW w:w="850" w:type="dxa"/>
          </w:tcPr>
          <w:p w14:paraId="7C6707C2" w14:textId="77777777" w:rsidR="000533E4" w:rsidRDefault="000533E4" w:rsidP="00CD363C">
            <w:pPr>
              <w:pStyle w:val="TableParagraph"/>
              <w:ind w:left="107" w:right="113"/>
              <w:jc w:val="both"/>
              <w:rPr>
                <w:sz w:val="20"/>
              </w:rPr>
            </w:pPr>
            <w:r>
              <w:rPr>
                <w:sz w:val="20"/>
              </w:rPr>
              <w:t>PR</w:t>
            </w:r>
          </w:p>
        </w:tc>
        <w:tc>
          <w:tcPr>
            <w:tcW w:w="4113" w:type="dxa"/>
          </w:tcPr>
          <w:p w14:paraId="17A1A76C" w14:textId="77777777" w:rsidR="000533E4" w:rsidRDefault="000533E4" w:rsidP="00CD363C">
            <w:pPr>
              <w:pStyle w:val="TableParagraph"/>
              <w:ind w:left="107" w:right="113"/>
              <w:jc w:val="both"/>
              <w:rPr>
                <w:sz w:val="20"/>
              </w:rPr>
            </w:pPr>
            <w:r>
              <w:rPr>
                <w:sz w:val="20"/>
              </w:rPr>
              <w:t>Prasības, kas ir finanšu instrumenti</w:t>
            </w:r>
          </w:p>
        </w:tc>
        <w:tc>
          <w:tcPr>
            <w:tcW w:w="1561" w:type="dxa"/>
          </w:tcPr>
          <w:p w14:paraId="2FA09D26" w14:textId="77777777" w:rsidR="000533E4" w:rsidRDefault="000533E4" w:rsidP="00CD363C">
            <w:pPr>
              <w:pStyle w:val="TableParagraph"/>
              <w:ind w:right="113"/>
              <w:jc w:val="both"/>
              <w:rPr>
                <w:sz w:val="20"/>
              </w:rPr>
            </w:pPr>
            <w:r>
              <w:rPr>
                <w:w w:val="99"/>
                <w:sz w:val="20"/>
              </w:rPr>
              <w:t>-</w:t>
            </w:r>
          </w:p>
        </w:tc>
        <w:tc>
          <w:tcPr>
            <w:tcW w:w="1419" w:type="dxa"/>
          </w:tcPr>
          <w:p w14:paraId="3FB97626"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48F66440" w14:textId="77777777" w:rsidR="000533E4" w:rsidRDefault="000533E4" w:rsidP="00CD363C">
            <w:pPr>
              <w:pStyle w:val="TableParagraph"/>
              <w:ind w:right="113"/>
              <w:jc w:val="both"/>
              <w:rPr>
                <w:sz w:val="16"/>
              </w:rPr>
            </w:pPr>
          </w:p>
        </w:tc>
      </w:tr>
      <w:tr w:rsidR="000533E4" w14:paraId="03DDE039" w14:textId="77777777" w:rsidTr="00FF1C69">
        <w:trPr>
          <w:trHeight w:val="285"/>
        </w:trPr>
        <w:tc>
          <w:tcPr>
            <w:tcW w:w="850" w:type="dxa"/>
          </w:tcPr>
          <w:p w14:paraId="1299884D" w14:textId="77777777" w:rsidR="000533E4" w:rsidRDefault="000533E4" w:rsidP="00CD363C">
            <w:pPr>
              <w:pStyle w:val="TableParagraph"/>
              <w:ind w:left="107" w:right="113"/>
              <w:jc w:val="both"/>
              <w:rPr>
                <w:sz w:val="20"/>
              </w:rPr>
            </w:pPr>
            <w:r>
              <w:rPr>
                <w:sz w:val="20"/>
              </w:rPr>
              <w:t>PP</w:t>
            </w:r>
          </w:p>
        </w:tc>
        <w:tc>
          <w:tcPr>
            <w:tcW w:w="4113" w:type="dxa"/>
          </w:tcPr>
          <w:p w14:paraId="270EA53A" w14:textId="77777777" w:rsidR="000533E4" w:rsidRDefault="000533E4" w:rsidP="00CD363C">
            <w:pPr>
              <w:pStyle w:val="TableParagraph"/>
              <w:ind w:left="107" w:right="113"/>
              <w:jc w:val="both"/>
              <w:rPr>
                <w:sz w:val="20"/>
              </w:rPr>
            </w:pPr>
            <w:r>
              <w:rPr>
                <w:sz w:val="20"/>
              </w:rPr>
              <w:t>Pārdošanai pieejamie finanšu aktīvi</w:t>
            </w:r>
          </w:p>
        </w:tc>
        <w:tc>
          <w:tcPr>
            <w:tcW w:w="1561" w:type="dxa"/>
          </w:tcPr>
          <w:p w14:paraId="77E55ED6" w14:textId="77777777" w:rsidR="000533E4" w:rsidRDefault="000533E4" w:rsidP="00CD363C">
            <w:pPr>
              <w:pStyle w:val="TableParagraph"/>
              <w:ind w:right="113"/>
              <w:jc w:val="both"/>
              <w:rPr>
                <w:sz w:val="20"/>
              </w:rPr>
            </w:pPr>
            <w:r>
              <w:rPr>
                <w:sz w:val="20"/>
              </w:rPr>
              <w:t>101 000</w:t>
            </w:r>
          </w:p>
        </w:tc>
        <w:tc>
          <w:tcPr>
            <w:tcW w:w="1419" w:type="dxa"/>
          </w:tcPr>
          <w:p w14:paraId="35741D7F" w14:textId="77777777" w:rsidR="000533E4" w:rsidRDefault="000533E4" w:rsidP="00CD363C">
            <w:pPr>
              <w:pStyle w:val="TableParagraph"/>
              <w:ind w:right="113"/>
              <w:jc w:val="both"/>
              <w:rPr>
                <w:sz w:val="20"/>
              </w:rPr>
            </w:pPr>
            <w:r>
              <w:rPr>
                <w:sz w:val="20"/>
              </w:rPr>
              <w:t>9 500</w:t>
            </w:r>
          </w:p>
        </w:tc>
        <w:tc>
          <w:tcPr>
            <w:tcW w:w="1703" w:type="dxa"/>
            <w:shd w:val="clear" w:color="auto" w:fill="EBF3F9"/>
          </w:tcPr>
          <w:p w14:paraId="429C5E63" w14:textId="77777777" w:rsidR="000533E4" w:rsidRDefault="000533E4" w:rsidP="00CD363C">
            <w:pPr>
              <w:pStyle w:val="TableParagraph"/>
              <w:ind w:left="301" w:right="113"/>
              <w:jc w:val="both"/>
              <w:rPr>
                <w:sz w:val="20"/>
              </w:rPr>
            </w:pPr>
            <w:r>
              <w:rPr>
                <w:sz w:val="20"/>
              </w:rPr>
              <w:t>14.9., 14.10.</w:t>
            </w:r>
          </w:p>
        </w:tc>
      </w:tr>
      <w:tr w:rsidR="000533E4" w14:paraId="5A7E9ED5" w14:textId="77777777" w:rsidTr="00FF1C69">
        <w:trPr>
          <w:trHeight w:val="228"/>
        </w:trPr>
        <w:tc>
          <w:tcPr>
            <w:tcW w:w="850" w:type="dxa"/>
            <w:tcBorders>
              <w:bottom w:val="nil"/>
            </w:tcBorders>
          </w:tcPr>
          <w:p w14:paraId="71EF9F87" w14:textId="77777777" w:rsidR="000533E4" w:rsidRDefault="000533E4" w:rsidP="00CD363C">
            <w:pPr>
              <w:pStyle w:val="TableParagraph"/>
              <w:ind w:right="113"/>
              <w:jc w:val="both"/>
              <w:rPr>
                <w:sz w:val="16"/>
              </w:rPr>
            </w:pPr>
          </w:p>
        </w:tc>
        <w:tc>
          <w:tcPr>
            <w:tcW w:w="4113" w:type="dxa"/>
            <w:tcBorders>
              <w:bottom w:val="nil"/>
            </w:tcBorders>
          </w:tcPr>
          <w:p w14:paraId="10C8006C" w14:textId="77777777" w:rsidR="000533E4" w:rsidRDefault="000533E4" w:rsidP="00CD363C">
            <w:pPr>
              <w:pStyle w:val="TableParagraph"/>
              <w:ind w:right="113"/>
              <w:jc w:val="both"/>
              <w:rPr>
                <w:sz w:val="16"/>
              </w:rPr>
            </w:pPr>
          </w:p>
        </w:tc>
        <w:tc>
          <w:tcPr>
            <w:tcW w:w="1561" w:type="dxa"/>
            <w:tcBorders>
              <w:bottom w:val="nil"/>
            </w:tcBorders>
          </w:tcPr>
          <w:p w14:paraId="63C4E4CE" w14:textId="77777777" w:rsidR="000533E4" w:rsidRDefault="000533E4" w:rsidP="00CD363C">
            <w:pPr>
              <w:pStyle w:val="TableParagraph"/>
              <w:ind w:right="113"/>
              <w:jc w:val="both"/>
              <w:rPr>
                <w:sz w:val="20"/>
              </w:rPr>
            </w:pPr>
            <w:r>
              <w:rPr>
                <w:sz w:val="20"/>
              </w:rPr>
              <w:t>101 000</w:t>
            </w:r>
          </w:p>
        </w:tc>
        <w:tc>
          <w:tcPr>
            <w:tcW w:w="1419" w:type="dxa"/>
            <w:tcBorders>
              <w:bottom w:val="nil"/>
            </w:tcBorders>
          </w:tcPr>
          <w:p w14:paraId="138AAE2C" w14:textId="77777777" w:rsidR="000533E4" w:rsidRDefault="000533E4" w:rsidP="00CD363C">
            <w:pPr>
              <w:pStyle w:val="TableParagraph"/>
              <w:ind w:right="113"/>
              <w:jc w:val="both"/>
              <w:rPr>
                <w:sz w:val="16"/>
              </w:rPr>
            </w:pPr>
          </w:p>
        </w:tc>
        <w:tc>
          <w:tcPr>
            <w:tcW w:w="1703" w:type="dxa"/>
            <w:tcBorders>
              <w:bottom w:val="nil"/>
            </w:tcBorders>
            <w:shd w:val="clear" w:color="auto" w:fill="EBF3F9"/>
          </w:tcPr>
          <w:p w14:paraId="4A4880B6" w14:textId="77777777" w:rsidR="000533E4" w:rsidRDefault="000533E4" w:rsidP="00CD363C">
            <w:pPr>
              <w:pStyle w:val="TableParagraph"/>
              <w:ind w:right="113"/>
              <w:jc w:val="both"/>
              <w:rPr>
                <w:sz w:val="16"/>
              </w:rPr>
            </w:pPr>
          </w:p>
        </w:tc>
      </w:tr>
      <w:tr w:rsidR="000533E4" w14:paraId="043974DC" w14:textId="77777777" w:rsidTr="00FF1C69">
        <w:trPr>
          <w:trHeight w:val="229"/>
        </w:trPr>
        <w:tc>
          <w:tcPr>
            <w:tcW w:w="850" w:type="dxa"/>
            <w:tcBorders>
              <w:top w:val="nil"/>
              <w:bottom w:val="nil"/>
            </w:tcBorders>
          </w:tcPr>
          <w:p w14:paraId="46A02D9E" w14:textId="77777777" w:rsidR="000533E4" w:rsidRDefault="000533E4" w:rsidP="00CD363C">
            <w:pPr>
              <w:pStyle w:val="TableParagraph"/>
              <w:ind w:left="107" w:right="113"/>
              <w:jc w:val="both"/>
              <w:rPr>
                <w:sz w:val="20"/>
              </w:rPr>
            </w:pPr>
            <w:r>
              <w:rPr>
                <w:sz w:val="20"/>
              </w:rPr>
              <w:t>IVP</w:t>
            </w:r>
          </w:p>
        </w:tc>
        <w:tc>
          <w:tcPr>
            <w:tcW w:w="4113" w:type="dxa"/>
            <w:tcBorders>
              <w:top w:val="nil"/>
              <w:bottom w:val="nil"/>
            </w:tcBorders>
          </w:tcPr>
          <w:p w14:paraId="0A02D0E1" w14:textId="77777777" w:rsidR="000533E4" w:rsidRDefault="000533E4" w:rsidP="00CD363C">
            <w:pPr>
              <w:pStyle w:val="TableParagraph"/>
              <w:ind w:left="107" w:right="113"/>
              <w:jc w:val="both"/>
              <w:rPr>
                <w:sz w:val="20"/>
              </w:rPr>
            </w:pPr>
            <w:r>
              <w:rPr>
                <w:sz w:val="20"/>
              </w:rPr>
              <w:t>Vērtspapīri</w:t>
            </w:r>
          </w:p>
        </w:tc>
        <w:tc>
          <w:tcPr>
            <w:tcW w:w="1561" w:type="dxa"/>
            <w:tcBorders>
              <w:top w:val="nil"/>
              <w:bottom w:val="nil"/>
            </w:tcBorders>
          </w:tcPr>
          <w:p w14:paraId="29141058" w14:textId="77777777" w:rsidR="000533E4" w:rsidRDefault="000533E4" w:rsidP="00CD363C">
            <w:pPr>
              <w:pStyle w:val="TableParagraph"/>
              <w:ind w:right="113"/>
              <w:jc w:val="both"/>
              <w:rPr>
                <w:sz w:val="20"/>
              </w:rPr>
            </w:pPr>
            <w:r>
              <w:rPr>
                <w:sz w:val="20"/>
              </w:rPr>
              <w:t>(6 000 +</w:t>
            </w:r>
          </w:p>
        </w:tc>
        <w:tc>
          <w:tcPr>
            <w:tcW w:w="1419" w:type="dxa"/>
            <w:tcBorders>
              <w:top w:val="nil"/>
              <w:bottom w:val="nil"/>
            </w:tcBorders>
          </w:tcPr>
          <w:p w14:paraId="01C3DA30" w14:textId="77777777" w:rsidR="000533E4" w:rsidRDefault="000533E4" w:rsidP="00CD363C">
            <w:pPr>
              <w:pStyle w:val="TableParagraph"/>
              <w:ind w:right="113"/>
              <w:jc w:val="both"/>
              <w:rPr>
                <w:sz w:val="20"/>
              </w:rPr>
            </w:pPr>
            <w:r>
              <w:rPr>
                <w:sz w:val="20"/>
              </w:rPr>
              <w:t>9 500</w:t>
            </w:r>
          </w:p>
        </w:tc>
        <w:tc>
          <w:tcPr>
            <w:tcW w:w="1703" w:type="dxa"/>
            <w:tcBorders>
              <w:top w:val="nil"/>
              <w:bottom w:val="nil"/>
            </w:tcBorders>
            <w:shd w:val="clear" w:color="auto" w:fill="EBF3F9"/>
          </w:tcPr>
          <w:p w14:paraId="51960B39" w14:textId="77777777" w:rsidR="000533E4" w:rsidRDefault="000533E4" w:rsidP="00CD363C">
            <w:pPr>
              <w:pStyle w:val="TableParagraph"/>
              <w:ind w:left="301" w:right="113"/>
              <w:jc w:val="both"/>
              <w:rPr>
                <w:sz w:val="20"/>
              </w:rPr>
            </w:pPr>
            <w:r>
              <w:rPr>
                <w:sz w:val="20"/>
              </w:rPr>
              <w:t>14.9., 14.10.</w:t>
            </w:r>
          </w:p>
        </w:tc>
      </w:tr>
      <w:tr w:rsidR="000533E4" w14:paraId="606720DF" w14:textId="77777777" w:rsidTr="00FF1C69">
        <w:trPr>
          <w:trHeight w:val="230"/>
        </w:trPr>
        <w:tc>
          <w:tcPr>
            <w:tcW w:w="850" w:type="dxa"/>
            <w:tcBorders>
              <w:top w:val="nil"/>
            </w:tcBorders>
          </w:tcPr>
          <w:p w14:paraId="2B44DCA9" w14:textId="77777777" w:rsidR="000533E4" w:rsidRDefault="000533E4" w:rsidP="00CD363C">
            <w:pPr>
              <w:pStyle w:val="TableParagraph"/>
              <w:ind w:right="113"/>
              <w:jc w:val="both"/>
              <w:rPr>
                <w:sz w:val="16"/>
              </w:rPr>
            </w:pPr>
          </w:p>
        </w:tc>
        <w:tc>
          <w:tcPr>
            <w:tcW w:w="4113" w:type="dxa"/>
            <w:tcBorders>
              <w:top w:val="nil"/>
            </w:tcBorders>
          </w:tcPr>
          <w:p w14:paraId="0BD216D7" w14:textId="77777777" w:rsidR="000533E4" w:rsidRDefault="000533E4" w:rsidP="00CD363C">
            <w:pPr>
              <w:pStyle w:val="TableParagraph"/>
              <w:ind w:right="113"/>
              <w:jc w:val="both"/>
              <w:rPr>
                <w:sz w:val="16"/>
              </w:rPr>
            </w:pPr>
          </w:p>
        </w:tc>
        <w:tc>
          <w:tcPr>
            <w:tcW w:w="1561" w:type="dxa"/>
            <w:tcBorders>
              <w:top w:val="nil"/>
            </w:tcBorders>
          </w:tcPr>
          <w:p w14:paraId="15C2E89C" w14:textId="77777777" w:rsidR="000533E4" w:rsidRDefault="000533E4" w:rsidP="00CD363C">
            <w:pPr>
              <w:pStyle w:val="TableParagraph"/>
              <w:ind w:right="113"/>
              <w:jc w:val="both"/>
              <w:rPr>
                <w:sz w:val="20"/>
              </w:rPr>
            </w:pPr>
            <w:r>
              <w:rPr>
                <w:sz w:val="20"/>
              </w:rPr>
              <w:t>95 000)</w:t>
            </w:r>
          </w:p>
        </w:tc>
        <w:tc>
          <w:tcPr>
            <w:tcW w:w="1419" w:type="dxa"/>
            <w:tcBorders>
              <w:top w:val="nil"/>
            </w:tcBorders>
          </w:tcPr>
          <w:p w14:paraId="71626C7B" w14:textId="77777777" w:rsidR="000533E4" w:rsidRDefault="000533E4" w:rsidP="00CD363C">
            <w:pPr>
              <w:pStyle w:val="TableParagraph"/>
              <w:ind w:right="113"/>
              <w:jc w:val="both"/>
              <w:rPr>
                <w:sz w:val="16"/>
              </w:rPr>
            </w:pPr>
          </w:p>
        </w:tc>
        <w:tc>
          <w:tcPr>
            <w:tcW w:w="1703" w:type="dxa"/>
            <w:tcBorders>
              <w:top w:val="nil"/>
            </w:tcBorders>
            <w:shd w:val="clear" w:color="auto" w:fill="EBF3F9"/>
          </w:tcPr>
          <w:p w14:paraId="67E89348" w14:textId="77777777" w:rsidR="000533E4" w:rsidRDefault="000533E4" w:rsidP="00CD363C">
            <w:pPr>
              <w:pStyle w:val="TableParagraph"/>
              <w:ind w:right="113"/>
              <w:jc w:val="both"/>
              <w:rPr>
                <w:sz w:val="16"/>
              </w:rPr>
            </w:pPr>
          </w:p>
        </w:tc>
      </w:tr>
      <w:tr w:rsidR="000533E4" w14:paraId="2044D63E" w14:textId="77777777" w:rsidTr="00FF1C69">
        <w:trPr>
          <w:trHeight w:val="285"/>
        </w:trPr>
        <w:tc>
          <w:tcPr>
            <w:tcW w:w="850" w:type="dxa"/>
          </w:tcPr>
          <w:p w14:paraId="6F65048B" w14:textId="77777777" w:rsidR="000533E4" w:rsidRDefault="000533E4" w:rsidP="00CD363C">
            <w:pPr>
              <w:pStyle w:val="TableParagraph"/>
              <w:ind w:left="107" w:right="113"/>
              <w:jc w:val="both"/>
              <w:rPr>
                <w:sz w:val="20"/>
              </w:rPr>
            </w:pPr>
            <w:r>
              <w:rPr>
                <w:sz w:val="20"/>
              </w:rPr>
              <w:t>PFI</w:t>
            </w:r>
          </w:p>
        </w:tc>
        <w:tc>
          <w:tcPr>
            <w:tcW w:w="4113" w:type="dxa"/>
          </w:tcPr>
          <w:p w14:paraId="116C3A2A" w14:textId="77777777" w:rsidR="000533E4" w:rsidRDefault="000533E4" w:rsidP="00CD363C">
            <w:pPr>
              <w:pStyle w:val="TableParagraph"/>
              <w:ind w:left="107" w:right="113"/>
              <w:jc w:val="both"/>
              <w:rPr>
                <w:sz w:val="20"/>
              </w:rPr>
            </w:pPr>
            <w:r>
              <w:rPr>
                <w:sz w:val="20"/>
              </w:rPr>
              <w:t>Pārējie finanšu instrumenti</w:t>
            </w:r>
          </w:p>
        </w:tc>
        <w:tc>
          <w:tcPr>
            <w:tcW w:w="1561" w:type="dxa"/>
          </w:tcPr>
          <w:p w14:paraId="000025DE" w14:textId="77777777" w:rsidR="000533E4" w:rsidRDefault="000533E4" w:rsidP="00CD363C">
            <w:pPr>
              <w:pStyle w:val="TableParagraph"/>
              <w:ind w:right="113"/>
              <w:jc w:val="both"/>
              <w:rPr>
                <w:sz w:val="20"/>
              </w:rPr>
            </w:pPr>
            <w:r>
              <w:rPr>
                <w:w w:val="99"/>
                <w:sz w:val="20"/>
              </w:rPr>
              <w:t>-</w:t>
            </w:r>
          </w:p>
        </w:tc>
        <w:tc>
          <w:tcPr>
            <w:tcW w:w="1419" w:type="dxa"/>
          </w:tcPr>
          <w:p w14:paraId="20B96980"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041121A8" w14:textId="77777777" w:rsidR="000533E4" w:rsidRDefault="000533E4" w:rsidP="00CD363C">
            <w:pPr>
              <w:pStyle w:val="TableParagraph"/>
              <w:ind w:right="113"/>
              <w:jc w:val="both"/>
              <w:rPr>
                <w:sz w:val="20"/>
              </w:rPr>
            </w:pPr>
          </w:p>
        </w:tc>
      </w:tr>
      <w:tr w:rsidR="000533E4" w14:paraId="6200F187" w14:textId="77777777" w:rsidTr="00FF1C69">
        <w:trPr>
          <w:trHeight w:val="460"/>
        </w:trPr>
        <w:tc>
          <w:tcPr>
            <w:tcW w:w="850" w:type="dxa"/>
          </w:tcPr>
          <w:p w14:paraId="0BDBC272" w14:textId="77777777" w:rsidR="000533E4" w:rsidRDefault="000533E4" w:rsidP="00CD363C">
            <w:pPr>
              <w:pStyle w:val="TableParagraph"/>
              <w:ind w:left="107" w:right="113"/>
              <w:jc w:val="both"/>
              <w:rPr>
                <w:sz w:val="20"/>
              </w:rPr>
            </w:pPr>
            <w:r>
              <w:rPr>
                <w:sz w:val="20"/>
              </w:rPr>
              <w:t>FS</w:t>
            </w:r>
          </w:p>
        </w:tc>
        <w:tc>
          <w:tcPr>
            <w:tcW w:w="4113" w:type="dxa"/>
          </w:tcPr>
          <w:p w14:paraId="08BF528E" w14:textId="77777777" w:rsidR="000533E4" w:rsidRDefault="000533E4" w:rsidP="00CD363C">
            <w:pPr>
              <w:pStyle w:val="TableParagraph"/>
              <w:ind w:left="107" w:right="113"/>
              <w:jc w:val="both"/>
              <w:rPr>
                <w:b/>
              </w:rPr>
            </w:pPr>
            <w:r>
              <w:rPr>
                <w:b/>
              </w:rPr>
              <w:t>Finanšu saistības</w:t>
            </w:r>
          </w:p>
        </w:tc>
        <w:tc>
          <w:tcPr>
            <w:tcW w:w="1561" w:type="dxa"/>
          </w:tcPr>
          <w:p w14:paraId="2ECEBB79" w14:textId="77777777" w:rsidR="000533E4" w:rsidRDefault="000533E4" w:rsidP="00CD363C">
            <w:pPr>
              <w:pStyle w:val="TableParagraph"/>
              <w:ind w:right="113"/>
              <w:jc w:val="both"/>
              <w:rPr>
                <w:sz w:val="20"/>
              </w:rPr>
            </w:pPr>
            <w:r>
              <w:rPr>
                <w:sz w:val="20"/>
              </w:rPr>
              <w:t>1 249 768</w:t>
            </w:r>
          </w:p>
        </w:tc>
        <w:tc>
          <w:tcPr>
            <w:tcW w:w="1419" w:type="dxa"/>
          </w:tcPr>
          <w:p w14:paraId="4BFAD90A" w14:textId="77777777" w:rsidR="000533E4" w:rsidRDefault="000533E4" w:rsidP="00CD363C">
            <w:pPr>
              <w:pStyle w:val="TableParagraph"/>
              <w:ind w:right="113"/>
              <w:jc w:val="both"/>
              <w:rPr>
                <w:sz w:val="20"/>
              </w:rPr>
            </w:pPr>
            <w:r>
              <w:rPr>
                <w:sz w:val="20"/>
              </w:rPr>
              <w:t>100 000,00</w:t>
            </w:r>
          </w:p>
        </w:tc>
        <w:tc>
          <w:tcPr>
            <w:tcW w:w="1703" w:type="dxa"/>
            <w:shd w:val="clear" w:color="auto" w:fill="EBF3F9"/>
          </w:tcPr>
          <w:p w14:paraId="7165246E" w14:textId="77777777" w:rsidR="000533E4" w:rsidRDefault="000533E4" w:rsidP="00CD363C">
            <w:pPr>
              <w:pStyle w:val="TableParagraph"/>
              <w:ind w:left="343" w:right="113"/>
              <w:jc w:val="both"/>
              <w:rPr>
                <w:sz w:val="20"/>
              </w:rPr>
            </w:pPr>
            <w:r>
              <w:rPr>
                <w:sz w:val="20"/>
              </w:rPr>
              <w:t>14.2., 14.3.,</w:t>
            </w:r>
          </w:p>
          <w:p w14:paraId="50337AF5" w14:textId="77777777" w:rsidR="000533E4" w:rsidRDefault="000533E4" w:rsidP="00CD363C">
            <w:pPr>
              <w:pStyle w:val="TableParagraph"/>
              <w:ind w:left="393" w:right="113"/>
              <w:jc w:val="both"/>
              <w:rPr>
                <w:sz w:val="20"/>
              </w:rPr>
            </w:pPr>
            <w:r>
              <w:rPr>
                <w:sz w:val="20"/>
              </w:rPr>
              <w:t>14.4, 14.6.</w:t>
            </w:r>
          </w:p>
        </w:tc>
      </w:tr>
      <w:tr w:rsidR="000533E4" w14:paraId="7C379EA4" w14:textId="77777777" w:rsidTr="00FF1C69">
        <w:trPr>
          <w:trHeight w:val="460"/>
        </w:trPr>
        <w:tc>
          <w:tcPr>
            <w:tcW w:w="850" w:type="dxa"/>
          </w:tcPr>
          <w:p w14:paraId="593EB0CB" w14:textId="77777777" w:rsidR="000533E4" w:rsidRDefault="000533E4" w:rsidP="00CD363C">
            <w:pPr>
              <w:pStyle w:val="TableParagraph"/>
              <w:ind w:left="107" w:right="113"/>
              <w:jc w:val="both"/>
              <w:rPr>
                <w:sz w:val="20"/>
              </w:rPr>
            </w:pPr>
            <w:r>
              <w:rPr>
                <w:sz w:val="20"/>
              </w:rPr>
              <w:t>PS</w:t>
            </w:r>
          </w:p>
        </w:tc>
        <w:tc>
          <w:tcPr>
            <w:tcW w:w="4113" w:type="dxa"/>
          </w:tcPr>
          <w:p w14:paraId="55113309" w14:textId="77777777" w:rsidR="000533E4" w:rsidRDefault="000533E4" w:rsidP="00CD363C">
            <w:pPr>
              <w:pStyle w:val="TableParagraph"/>
              <w:ind w:left="107" w:right="113"/>
              <w:jc w:val="both"/>
              <w:rPr>
                <w:sz w:val="20"/>
              </w:rPr>
            </w:pPr>
            <w:r>
              <w:rPr>
                <w:sz w:val="20"/>
              </w:rPr>
              <w:t>Finanšu saistības, kas novērtētas amortizētajā</w:t>
            </w:r>
          </w:p>
          <w:p w14:paraId="0FDFD190" w14:textId="77777777" w:rsidR="000533E4" w:rsidRDefault="000533E4" w:rsidP="00CD363C">
            <w:pPr>
              <w:pStyle w:val="TableParagraph"/>
              <w:ind w:left="107" w:right="113"/>
              <w:jc w:val="both"/>
              <w:rPr>
                <w:sz w:val="20"/>
              </w:rPr>
            </w:pPr>
            <w:r>
              <w:rPr>
                <w:sz w:val="20"/>
              </w:rPr>
              <w:t>vērtībā, un citas finanšu saistības</w:t>
            </w:r>
          </w:p>
        </w:tc>
        <w:tc>
          <w:tcPr>
            <w:tcW w:w="1561" w:type="dxa"/>
          </w:tcPr>
          <w:p w14:paraId="18774D5E" w14:textId="77777777" w:rsidR="000533E4" w:rsidRDefault="000533E4" w:rsidP="00CD363C">
            <w:pPr>
              <w:pStyle w:val="TableParagraph"/>
              <w:ind w:right="113"/>
              <w:jc w:val="both"/>
              <w:rPr>
                <w:sz w:val="20"/>
              </w:rPr>
            </w:pPr>
            <w:r>
              <w:rPr>
                <w:sz w:val="20"/>
              </w:rPr>
              <w:t>1 249 768</w:t>
            </w:r>
          </w:p>
        </w:tc>
        <w:tc>
          <w:tcPr>
            <w:tcW w:w="1419" w:type="dxa"/>
          </w:tcPr>
          <w:p w14:paraId="33DFD0A3" w14:textId="77777777" w:rsidR="000533E4" w:rsidRDefault="000533E4" w:rsidP="00CD363C">
            <w:pPr>
              <w:pStyle w:val="TableParagraph"/>
              <w:ind w:right="113"/>
              <w:jc w:val="both"/>
              <w:rPr>
                <w:sz w:val="20"/>
              </w:rPr>
            </w:pPr>
            <w:r>
              <w:rPr>
                <w:sz w:val="20"/>
              </w:rPr>
              <w:t>100 000,00</w:t>
            </w:r>
          </w:p>
        </w:tc>
        <w:tc>
          <w:tcPr>
            <w:tcW w:w="1703" w:type="dxa"/>
            <w:shd w:val="clear" w:color="auto" w:fill="EBF3F9"/>
          </w:tcPr>
          <w:p w14:paraId="2C53CD9D" w14:textId="77777777" w:rsidR="000533E4" w:rsidRDefault="000533E4" w:rsidP="00CD363C">
            <w:pPr>
              <w:pStyle w:val="TableParagraph"/>
              <w:ind w:left="343" w:right="113"/>
              <w:jc w:val="both"/>
              <w:rPr>
                <w:sz w:val="20"/>
              </w:rPr>
            </w:pPr>
            <w:r>
              <w:rPr>
                <w:sz w:val="20"/>
              </w:rPr>
              <w:t>14.2.,</w:t>
            </w:r>
            <w:r>
              <w:rPr>
                <w:spacing w:val="-1"/>
                <w:sz w:val="20"/>
              </w:rPr>
              <w:t xml:space="preserve"> </w:t>
            </w:r>
            <w:r>
              <w:rPr>
                <w:sz w:val="20"/>
              </w:rPr>
              <w:t>14.3.,</w:t>
            </w:r>
          </w:p>
          <w:p w14:paraId="2603D60E" w14:textId="77777777" w:rsidR="000533E4" w:rsidRDefault="000533E4" w:rsidP="00CD363C">
            <w:pPr>
              <w:pStyle w:val="TableParagraph"/>
              <w:ind w:left="369" w:right="113"/>
              <w:jc w:val="both"/>
              <w:rPr>
                <w:sz w:val="20"/>
              </w:rPr>
            </w:pPr>
            <w:r>
              <w:rPr>
                <w:sz w:val="20"/>
              </w:rPr>
              <w:t>14.4., 14.6.</w:t>
            </w:r>
          </w:p>
        </w:tc>
      </w:tr>
      <w:tr w:rsidR="000533E4" w14:paraId="185E30F1" w14:textId="77777777" w:rsidTr="00FF1C69">
        <w:trPr>
          <w:trHeight w:val="230"/>
        </w:trPr>
        <w:tc>
          <w:tcPr>
            <w:tcW w:w="850" w:type="dxa"/>
            <w:tcBorders>
              <w:bottom w:val="nil"/>
            </w:tcBorders>
          </w:tcPr>
          <w:p w14:paraId="7CCDE552" w14:textId="77777777" w:rsidR="000533E4" w:rsidRDefault="000533E4" w:rsidP="00CD363C">
            <w:pPr>
              <w:pStyle w:val="TableParagraph"/>
              <w:ind w:right="113"/>
              <w:jc w:val="both"/>
              <w:rPr>
                <w:sz w:val="16"/>
              </w:rPr>
            </w:pPr>
          </w:p>
        </w:tc>
        <w:tc>
          <w:tcPr>
            <w:tcW w:w="4113" w:type="dxa"/>
            <w:tcBorders>
              <w:bottom w:val="nil"/>
            </w:tcBorders>
          </w:tcPr>
          <w:p w14:paraId="01E382CA" w14:textId="77777777" w:rsidR="000533E4" w:rsidRDefault="000533E4" w:rsidP="00CD363C">
            <w:pPr>
              <w:pStyle w:val="TableParagraph"/>
              <w:ind w:right="113"/>
              <w:jc w:val="both"/>
              <w:rPr>
                <w:sz w:val="16"/>
              </w:rPr>
            </w:pPr>
          </w:p>
        </w:tc>
        <w:tc>
          <w:tcPr>
            <w:tcW w:w="1561" w:type="dxa"/>
            <w:tcBorders>
              <w:bottom w:val="nil"/>
            </w:tcBorders>
          </w:tcPr>
          <w:p w14:paraId="101D2693" w14:textId="77777777" w:rsidR="000533E4" w:rsidRDefault="000533E4" w:rsidP="00CD363C">
            <w:pPr>
              <w:pStyle w:val="TableParagraph"/>
              <w:ind w:right="113"/>
              <w:jc w:val="both"/>
              <w:rPr>
                <w:sz w:val="20"/>
              </w:rPr>
            </w:pPr>
            <w:r>
              <w:rPr>
                <w:sz w:val="20"/>
              </w:rPr>
              <w:t>1 249 768</w:t>
            </w:r>
          </w:p>
        </w:tc>
        <w:tc>
          <w:tcPr>
            <w:tcW w:w="1419" w:type="dxa"/>
            <w:tcBorders>
              <w:bottom w:val="nil"/>
            </w:tcBorders>
          </w:tcPr>
          <w:p w14:paraId="495D88CE" w14:textId="77777777" w:rsidR="000533E4" w:rsidRDefault="000533E4" w:rsidP="00CD363C">
            <w:pPr>
              <w:pStyle w:val="TableParagraph"/>
              <w:ind w:right="113"/>
              <w:jc w:val="both"/>
              <w:rPr>
                <w:sz w:val="16"/>
              </w:rPr>
            </w:pPr>
          </w:p>
        </w:tc>
        <w:tc>
          <w:tcPr>
            <w:tcW w:w="1703" w:type="dxa"/>
            <w:tcBorders>
              <w:bottom w:val="nil"/>
            </w:tcBorders>
            <w:shd w:val="clear" w:color="auto" w:fill="EBF3F9"/>
          </w:tcPr>
          <w:p w14:paraId="2456288B" w14:textId="77777777" w:rsidR="000533E4" w:rsidRDefault="000533E4" w:rsidP="00CD363C">
            <w:pPr>
              <w:pStyle w:val="TableParagraph"/>
              <w:ind w:right="113"/>
              <w:jc w:val="both"/>
              <w:rPr>
                <w:sz w:val="16"/>
              </w:rPr>
            </w:pPr>
          </w:p>
        </w:tc>
      </w:tr>
      <w:tr w:rsidR="000533E4" w14:paraId="41507BBA" w14:textId="77777777" w:rsidTr="00FF1C69">
        <w:trPr>
          <w:trHeight w:val="229"/>
        </w:trPr>
        <w:tc>
          <w:tcPr>
            <w:tcW w:w="850" w:type="dxa"/>
            <w:tcBorders>
              <w:top w:val="nil"/>
              <w:bottom w:val="nil"/>
            </w:tcBorders>
          </w:tcPr>
          <w:p w14:paraId="70885C39" w14:textId="77777777" w:rsidR="000533E4" w:rsidRDefault="000533E4" w:rsidP="00CD363C">
            <w:pPr>
              <w:pStyle w:val="TableParagraph"/>
              <w:ind w:right="113"/>
              <w:jc w:val="both"/>
              <w:rPr>
                <w:sz w:val="16"/>
              </w:rPr>
            </w:pPr>
          </w:p>
        </w:tc>
        <w:tc>
          <w:tcPr>
            <w:tcW w:w="4113" w:type="dxa"/>
            <w:tcBorders>
              <w:top w:val="nil"/>
              <w:bottom w:val="nil"/>
            </w:tcBorders>
          </w:tcPr>
          <w:p w14:paraId="3A46EC45" w14:textId="77777777" w:rsidR="000533E4" w:rsidRDefault="000533E4" w:rsidP="00CD363C">
            <w:pPr>
              <w:pStyle w:val="TableParagraph"/>
              <w:ind w:right="113"/>
              <w:jc w:val="both"/>
              <w:rPr>
                <w:sz w:val="16"/>
              </w:rPr>
            </w:pPr>
          </w:p>
        </w:tc>
        <w:tc>
          <w:tcPr>
            <w:tcW w:w="1561" w:type="dxa"/>
            <w:tcBorders>
              <w:top w:val="nil"/>
              <w:bottom w:val="nil"/>
            </w:tcBorders>
          </w:tcPr>
          <w:p w14:paraId="4DE2ECC1" w14:textId="77777777" w:rsidR="000533E4" w:rsidRDefault="000533E4" w:rsidP="00CD363C">
            <w:pPr>
              <w:pStyle w:val="TableParagraph"/>
              <w:ind w:right="113"/>
              <w:jc w:val="both"/>
              <w:rPr>
                <w:sz w:val="20"/>
              </w:rPr>
            </w:pPr>
            <w:r>
              <w:rPr>
                <w:sz w:val="20"/>
              </w:rPr>
              <w:t>(10 497,26 +</w:t>
            </w:r>
          </w:p>
        </w:tc>
        <w:tc>
          <w:tcPr>
            <w:tcW w:w="1419" w:type="dxa"/>
            <w:tcBorders>
              <w:top w:val="nil"/>
              <w:bottom w:val="nil"/>
            </w:tcBorders>
          </w:tcPr>
          <w:p w14:paraId="15A19237" w14:textId="77777777" w:rsidR="000533E4" w:rsidRDefault="000533E4" w:rsidP="00CD363C">
            <w:pPr>
              <w:pStyle w:val="TableParagraph"/>
              <w:ind w:right="113"/>
              <w:jc w:val="both"/>
              <w:rPr>
                <w:sz w:val="16"/>
              </w:rPr>
            </w:pPr>
          </w:p>
        </w:tc>
        <w:tc>
          <w:tcPr>
            <w:tcW w:w="1703" w:type="dxa"/>
            <w:tcBorders>
              <w:top w:val="nil"/>
              <w:bottom w:val="nil"/>
            </w:tcBorders>
            <w:shd w:val="clear" w:color="auto" w:fill="EBF3F9"/>
          </w:tcPr>
          <w:p w14:paraId="7273033F" w14:textId="77777777" w:rsidR="000533E4" w:rsidRDefault="000533E4" w:rsidP="00CD363C">
            <w:pPr>
              <w:pStyle w:val="TableParagraph"/>
              <w:ind w:left="299" w:right="113"/>
              <w:jc w:val="both"/>
              <w:rPr>
                <w:sz w:val="20"/>
              </w:rPr>
            </w:pPr>
            <w:r>
              <w:rPr>
                <w:sz w:val="20"/>
              </w:rPr>
              <w:t>14.2.,</w:t>
            </w:r>
          </w:p>
        </w:tc>
      </w:tr>
      <w:tr w:rsidR="000533E4" w14:paraId="2DE92FB7" w14:textId="77777777" w:rsidTr="00FF1C69">
        <w:trPr>
          <w:trHeight w:val="229"/>
        </w:trPr>
        <w:tc>
          <w:tcPr>
            <w:tcW w:w="850" w:type="dxa"/>
            <w:tcBorders>
              <w:top w:val="nil"/>
              <w:bottom w:val="nil"/>
            </w:tcBorders>
          </w:tcPr>
          <w:p w14:paraId="47A76184" w14:textId="77777777" w:rsidR="000533E4" w:rsidRDefault="000533E4" w:rsidP="00CD363C">
            <w:pPr>
              <w:pStyle w:val="TableParagraph"/>
              <w:ind w:left="107" w:right="113"/>
              <w:jc w:val="both"/>
              <w:rPr>
                <w:sz w:val="20"/>
              </w:rPr>
            </w:pPr>
            <w:r>
              <w:rPr>
                <w:sz w:val="20"/>
              </w:rPr>
              <w:t>AIN</w:t>
            </w:r>
          </w:p>
        </w:tc>
        <w:tc>
          <w:tcPr>
            <w:tcW w:w="4113" w:type="dxa"/>
            <w:tcBorders>
              <w:top w:val="nil"/>
              <w:bottom w:val="nil"/>
            </w:tcBorders>
          </w:tcPr>
          <w:p w14:paraId="7B54E1B6" w14:textId="77777777" w:rsidR="000533E4" w:rsidRDefault="000533E4" w:rsidP="00CD363C">
            <w:pPr>
              <w:pStyle w:val="TableParagraph"/>
              <w:ind w:left="107" w:right="113"/>
              <w:jc w:val="both"/>
              <w:rPr>
                <w:sz w:val="20"/>
              </w:rPr>
            </w:pPr>
            <w:r>
              <w:rPr>
                <w:sz w:val="20"/>
              </w:rPr>
              <w:t>Aizņēmumi</w:t>
            </w:r>
          </w:p>
        </w:tc>
        <w:tc>
          <w:tcPr>
            <w:tcW w:w="1561" w:type="dxa"/>
            <w:tcBorders>
              <w:top w:val="nil"/>
              <w:bottom w:val="nil"/>
            </w:tcBorders>
          </w:tcPr>
          <w:p w14:paraId="0263FE61" w14:textId="77777777" w:rsidR="000533E4" w:rsidRDefault="000533E4" w:rsidP="00CD363C">
            <w:pPr>
              <w:pStyle w:val="TableParagraph"/>
              <w:ind w:right="113"/>
              <w:jc w:val="both"/>
              <w:rPr>
                <w:sz w:val="20"/>
              </w:rPr>
            </w:pPr>
            <w:r>
              <w:rPr>
                <w:sz w:val="20"/>
              </w:rPr>
              <w:t>1 037 973,19 +</w:t>
            </w:r>
          </w:p>
        </w:tc>
        <w:tc>
          <w:tcPr>
            <w:tcW w:w="1419" w:type="dxa"/>
            <w:tcBorders>
              <w:top w:val="nil"/>
              <w:bottom w:val="nil"/>
            </w:tcBorders>
          </w:tcPr>
          <w:p w14:paraId="51227B12" w14:textId="77777777" w:rsidR="000533E4" w:rsidRDefault="000533E4" w:rsidP="00CD363C">
            <w:pPr>
              <w:pStyle w:val="TableParagraph"/>
              <w:ind w:right="113"/>
              <w:jc w:val="both"/>
              <w:rPr>
                <w:sz w:val="20"/>
              </w:rPr>
            </w:pPr>
            <w:r>
              <w:rPr>
                <w:sz w:val="20"/>
              </w:rPr>
              <w:t>100 000,00</w:t>
            </w:r>
          </w:p>
        </w:tc>
        <w:tc>
          <w:tcPr>
            <w:tcW w:w="1703" w:type="dxa"/>
            <w:tcBorders>
              <w:top w:val="nil"/>
              <w:bottom w:val="nil"/>
            </w:tcBorders>
            <w:shd w:val="clear" w:color="auto" w:fill="EBF3F9"/>
          </w:tcPr>
          <w:p w14:paraId="32D84559" w14:textId="77777777" w:rsidR="000533E4" w:rsidRDefault="000533E4" w:rsidP="00CD363C">
            <w:pPr>
              <w:pStyle w:val="TableParagraph"/>
              <w:ind w:left="299" w:right="113"/>
              <w:jc w:val="both"/>
              <w:rPr>
                <w:sz w:val="20"/>
              </w:rPr>
            </w:pPr>
            <w:r>
              <w:rPr>
                <w:sz w:val="20"/>
              </w:rPr>
              <w:t>14.3.,</w:t>
            </w:r>
          </w:p>
        </w:tc>
      </w:tr>
      <w:tr w:rsidR="000533E4" w14:paraId="1287418F" w14:textId="77777777" w:rsidTr="00FF1C69">
        <w:trPr>
          <w:trHeight w:val="230"/>
        </w:trPr>
        <w:tc>
          <w:tcPr>
            <w:tcW w:w="850" w:type="dxa"/>
            <w:tcBorders>
              <w:top w:val="nil"/>
              <w:bottom w:val="nil"/>
            </w:tcBorders>
          </w:tcPr>
          <w:p w14:paraId="65D844CA" w14:textId="77777777" w:rsidR="000533E4" w:rsidRDefault="000533E4" w:rsidP="00CD363C">
            <w:pPr>
              <w:pStyle w:val="TableParagraph"/>
              <w:ind w:right="113"/>
              <w:jc w:val="both"/>
              <w:rPr>
                <w:sz w:val="16"/>
              </w:rPr>
            </w:pPr>
          </w:p>
        </w:tc>
        <w:tc>
          <w:tcPr>
            <w:tcW w:w="4113" w:type="dxa"/>
            <w:tcBorders>
              <w:top w:val="nil"/>
              <w:bottom w:val="nil"/>
            </w:tcBorders>
          </w:tcPr>
          <w:p w14:paraId="34D3D3E6" w14:textId="77777777" w:rsidR="000533E4" w:rsidRDefault="000533E4" w:rsidP="00CD363C">
            <w:pPr>
              <w:pStyle w:val="TableParagraph"/>
              <w:ind w:right="113"/>
              <w:jc w:val="both"/>
              <w:rPr>
                <w:sz w:val="16"/>
              </w:rPr>
            </w:pPr>
          </w:p>
        </w:tc>
        <w:tc>
          <w:tcPr>
            <w:tcW w:w="1561" w:type="dxa"/>
            <w:tcBorders>
              <w:top w:val="nil"/>
              <w:bottom w:val="nil"/>
            </w:tcBorders>
          </w:tcPr>
          <w:p w14:paraId="3D74E237" w14:textId="77777777" w:rsidR="000533E4" w:rsidRDefault="000533E4" w:rsidP="00CD363C">
            <w:pPr>
              <w:pStyle w:val="TableParagraph"/>
              <w:ind w:right="113"/>
              <w:jc w:val="both"/>
              <w:rPr>
                <w:sz w:val="20"/>
              </w:rPr>
            </w:pPr>
            <w:r>
              <w:rPr>
                <w:sz w:val="20"/>
              </w:rPr>
              <w:t>108 841,85</w:t>
            </w:r>
          </w:p>
        </w:tc>
        <w:tc>
          <w:tcPr>
            <w:tcW w:w="1419" w:type="dxa"/>
            <w:tcBorders>
              <w:top w:val="nil"/>
              <w:bottom w:val="nil"/>
            </w:tcBorders>
          </w:tcPr>
          <w:p w14:paraId="481732A5" w14:textId="77777777" w:rsidR="000533E4" w:rsidRDefault="000533E4" w:rsidP="00CD363C">
            <w:pPr>
              <w:pStyle w:val="TableParagraph"/>
              <w:ind w:right="113"/>
              <w:jc w:val="both"/>
              <w:rPr>
                <w:sz w:val="16"/>
              </w:rPr>
            </w:pPr>
          </w:p>
        </w:tc>
        <w:tc>
          <w:tcPr>
            <w:tcW w:w="1703" w:type="dxa"/>
            <w:tcBorders>
              <w:top w:val="nil"/>
              <w:bottom w:val="nil"/>
            </w:tcBorders>
            <w:shd w:val="clear" w:color="auto" w:fill="EBF3F9"/>
          </w:tcPr>
          <w:p w14:paraId="3CFEB58A" w14:textId="77777777" w:rsidR="000533E4" w:rsidRDefault="000533E4" w:rsidP="00CD363C">
            <w:pPr>
              <w:pStyle w:val="TableParagraph"/>
              <w:ind w:left="298" w:right="113"/>
              <w:jc w:val="both"/>
              <w:rPr>
                <w:sz w:val="20"/>
              </w:rPr>
            </w:pPr>
            <w:r>
              <w:rPr>
                <w:sz w:val="20"/>
              </w:rPr>
              <w:t>14.4.,</w:t>
            </w:r>
          </w:p>
        </w:tc>
      </w:tr>
      <w:tr w:rsidR="000533E4" w14:paraId="10F37309" w14:textId="77777777" w:rsidTr="00FF1C69">
        <w:trPr>
          <w:trHeight w:val="230"/>
        </w:trPr>
        <w:tc>
          <w:tcPr>
            <w:tcW w:w="850" w:type="dxa"/>
            <w:tcBorders>
              <w:top w:val="nil"/>
            </w:tcBorders>
          </w:tcPr>
          <w:p w14:paraId="69EAB6EE" w14:textId="77777777" w:rsidR="000533E4" w:rsidRDefault="000533E4" w:rsidP="00CD363C">
            <w:pPr>
              <w:pStyle w:val="TableParagraph"/>
              <w:ind w:right="113"/>
              <w:jc w:val="both"/>
              <w:rPr>
                <w:sz w:val="16"/>
              </w:rPr>
            </w:pPr>
          </w:p>
        </w:tc>
        <w:tc>
          <w:tcPr>
            <w:tcW w:w="4113" w:type="dxa"/>
            <w:tcBorders>
              <w:top w:val="nil"/>
            </w:tcBorders>
          </w:tcPr>
          <w:p w14:paraId="6C78BA33" w14:textId="77777777" w:rsidR="000533E4" w:rsidRDefault="000533E4" w:rsidP="00CD363C">
            <w:pPr>
              <w:pStyle w:val="TableParagraph"/>
              <w:ind w:right="113"/>
              <w:jc w:val="both"/>
              <w:rPr>
                <w:sz w:val="16"/>
              </w:rPr>
            </w:pPr>
          </w:p>
        </w:tc>
        <w:tc>
          <w:tcPr>
            <w:tcW w:w="1561" w:type="dxa"/>
            <w:tcBorders>
              <w:top w:val="nil"/>
            </w:tcBorders>
          </w:tcPr>
          <w:p w14:paraId="6E8C2C63" w14:textId="77777777" w:rsidR="000533E4" w:rsidRDefault="000533E4" w:rsidP="00CD363C">
            <w:pPr>
              <w:pStyle w:val="TableParagraph"/>
              <w:ind w:right="113"/>
              <w:jc w:val="both"/>
              <w:rPr>
                <w:sz w:val="20"/>
              </w:rPr>
            </w:pPr>
            <w:r>
              <w:rPr>
                <w:sz w:val="20"/>
              </w:rPr>
              <w:t>+92 455,63)</w:t>
            </w:r>
          </w:p>
        </w:tc>
        <w:tc>
          <w:tcPr>
            <w:tcW w:w="1419" w:type="dxa"/>
            <w:tcBorders>
              <w:top w:val="nil"/>
            </w:tcBorders>
          </w:tcPr>
          <w:p w14:paraId="128FC788" w14:textId="77777777" w:rsidR="000533E4" w:rsidRDefault="000533E4" w:rsidP="00CD363C">
            <w:pPr>
              <w:pStyle w:val="TableParagraph"/>
              <w:ind w:right="113"/>
              <w:jc w:val="both"/>
              <w:rPr>
                <w:sz w:val="16"/>
              </w:rPr>
            </w:pPr>
          </w:p>
        </w:tc>
        <w:tc>
          <w:tcPr>
            <w:tcW w:w="1703" w:type="dxa"/>
            <w:tcBorders>
              <w:top w:val="nil"/>
            </w:tcBorders>
            <w:shd w:val="clear" w:color="auto" w:fill="EBF3F9"/>
          </w:tcPr>
          <w:p w14:paraId="30E65FBC" w14:textId="77777777" w:rsidR="000533E4" w:rsidRDefault="000533E4" w:rsidP="00CD363C">
            <w:pPr>
              <w:pStyle w:val="TableParagraph"/>
              <w:ind w:left="301" w:right="113"/>
              <w:jc w:val="both"/>
              <w:rPr>
                <w:sz w:val="20"/>
              </w:rPr>
            </w:pPr>
            <w:r>
              <w:rPr>
                <w:sz w:val="20"/>
              </w:rPr>
              <w:t>14.6.</w:t>
            </w:r>
          </w:p>
        </w:tc>
      </w:tr>
    </w:tbl>
    <w:p w14:paraId="6690DB89" w14:textId="77777777" w:rsidR="000533E4" w:rsidRDefault="000533E4" w:rsidP="00CD363C">
      <w:pPr>
        <w:pStyle w:val="Pamatteksts"/>
        <w:ind w:right="113"/>
        <w:jc w:val="both"/>
        <w:rPr>
          <w:b/>
          <w:sz w:val="24"/>
        </w:rPr>
      </w:pPr>
    </w:p>
    <w:p w14:paraId="5E430A9B" w14:textId="77777777" w:rsidR="000533E4" w:rsidRDefault="000533E4" w:rsidP="00CD363C">
      <w:pPr>
        <w:pStyle w:val="Pamatteksts"/>
        <w:ind w:right="113"/>
        <w:jc w:val="both"/>
        <w:rPr>
          <w:b/>
          <w:sz w:val="24"/>
        </w:rPr>
      </w:pPr>
    </w:p>
    <w:p w14:paraId="4CFAD578" w14:textId="77777777" w:rsidR="000533E4" w:rsidRDefault="000533E4" w:rsidP="00CD363C">
      <w:pPr>
        <w:pStyle w:val="Pamatteksts"/>
        <w:ind w:right="113"/>
        <w:jc w:val="both"/>
        <w:rPr>
          <w:b/>
          <w:sz w:val="28"/>
        </w:rPr>
      </w:pPr>
    </w:p>
    <w:p w14:paraId="4DDC2B6B" w14:textId="77777777" w:rsidR="000533E4" w:rsidRDefault="000533E4" w:rsidP="00CD363C">
      <w:pPr>
        <w:pStyle w:val="Pamatteksts"/>
        <w:ind w:left="338" w:right="113"/>
        <w:jc w:val="both"/>
      </w:pPr>
      <w:r>
        <w:t>Ailē</w:t>
      </w:r>
      <w:r>
        <w:rPr>
          <w:spacing w:val="-17"/>
        </w:rPr>
        <w:t xml:space="preserve"> </w:t>
      </w:r>
      <w:r>
        <w:t>“Kods”</w:t>
      </w:r>
      <w:r>
        <w:rPr>
          <w:spacing w:val="-15"/>
        </w:rPr>
        <w:t xml:space="preserve"> </w:t>
      </w:r>
      <w:r>
        <w:t>norāda</w:t>
      </w:r>
      <w:r>
        <w:rPr>
          <w:spacing w:val="-17"/>
        </w:rPr>
        <w:t xml:space="preserve"> </w:t>
      </w:r>
      <w:r>
        <w:t>finanšu</w:t>
      </w:r>
      <w:r>
        <w:rPr>
          <w:spacing w:val="-17"/>
        </w:rPr>
        <w:t xml:space="preserve"> </w:t>
      </w:r>
      <w:r>
        <w:t>instrumentu</w:t>
      </w:r>
      <w:r>
        <w:rPr>
          <w:spacing w:val="-14"/>
        </w:rPr>
        <w:t xml:space="preserve"> </w:t>
      </w:r>
      <w:r>
        <w:t>kategoriju</w:t>
      </w:r>
      <w:r>
        <w:rPr>
          <w:spacing w:val="-15"/>
        </w:rPr>
        <w:t xml:space="preserve"> </w:t>
      </w:r>
      <w:r>
        <w:t>atbilstoši</w:t>
      </w:r>
      <w:r>
        <w:rPr>
          <w:spacing w:val="-13"/>
        </w:rPr>
        <w:t xml:space="preserve"> </w:t>
      </w:r>
      <w:r>
        <w:t>Ministru</w:t>
      </w:r>
      <w:r>
        <w:rPr>
          <w:spacing w:val="-18"/>
        </w:rPr>
        <w:t xml:space="preserve"> </w:t>
      </w:r>
      <w:r>
        <w:t>kabineta</w:t>
      </w:r>
      <w:r>
        <w:rPr>
          <w:spacing w:val="-17"/>
        </w:rPr>
        <w:t xml:space="preserve"> </w:t>
      </w:r>
      <w:r>
        <w:t>noteikumos</w:t>
      </w:r>
      <w:r>
        <w:rPr>
          <w:spacing w:val="-15"/>
        </w:rPr>
        <w:t xml:space="preserve"> </w:t>
      </w:r>
      <w:r>
        <w:t>par</w:t>
      </w:r>
      <w:r>
        <w:rPr>
          <w:spacing w:val="-13"/>
        </w:rPr>
        <w:t xml:space="preserve"> </w:t>
      </w:r>
      <w:r>
        <w:t>grāmatvedības uzskaites kārtību budžeta iestādēs noteiktajam. Finanšu instrumentam, finanšu aktīvam/ saistībām vai iespējām saistībām (zembilance) piemēro šādus</w:t>
      </w:r>
      <w:r>
        <w:rPr>
          <w:spacing w:val="-9"/>
        </w:rPr>
        <w:t xml:space="preserve"> </w:t>
      </w:r>
      <w:r>
        <w:t>kodus:</w:t>
      </w:r>
    </w:p>
    <w:p w14:paraId="127A8503" w14:textId="77777777" w:rsidR="000533E4" w:rsidRDefault="000533E4" w:rsidP="00CD363C">
      <w:pPr>
        <w:pStyle w:val="Pamatteksts"/>
        <w:ind w:right="113"/>
        <w:jc w:val="both"/>
        <w:rPr>
          <w:sz w:val="17"/>
        </w:rPr>
      </w:pP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879"/>
        <w:gridCol w:w="7622"/>
      </w:tblGrid>
      <w:tr w:rsidR="000533E4" w14:paraId="6A07BD13" w14:textId="77777777" w:rsidTr="00FF1C69">
        <w:trPr>
          <w:trHeight w:val="299"/>
        </w:trPr>
        <w:tc>
          <w:tcPr>
            <w:tcW w:w="1879" w:type="dxa"/>
          </w:tcPr>
          <w:p w14:paraId="014D6F1A" w14:textId="77777777" w:rsidR="000533E4" w:rsidRDefault="000533E4" w:rsidP="00CD363C">
            <w:pPr>
              <w:pStyle w:val="TableParagraph"/>
              <w:ind w:left="107" w:right="113"/>
              <w:jc w:val="both"/>
              <w:rPr>
                <w:sz w:val="20"/>
              </w:rPr>
            </w:pPr>
            <w:r>
              <w:rPr>
                <w:sz w:val="20"/>
              </w:rPr>
              <w:t>Kods</w:t>
            </w:r>
          </w:p>
        </w:tc>
        <w:tc>
          <w:tcPr>
            <w:tcW w:w="7622" w:type="dxa"/>
          </w:tcPr>
          <w:p w14:paraId="12ABF5F7" w14:textId="77777777" w:rsidR="000533E4" w:rsidRDefault="000533E4" w:rsidP="00CD363C">
            <w:pPr>
              <w:pStyle w:val="TableParagraph"/>
              <w:ind w:left="108" w:right="113"/>
              <w:jc w:val="both"/>
              <w:rPr>
                <w:sz w:val="20"/>
              </w:rPr>
            </w:pPr>
            <w:r>
              <w:rPr>
                <w:sz w:val="20"/>
              </w:rPr>
              <w:t>Nosaukums</w:t>
            </w:r>
          </w:p>
        </w:tc>
      </w:tr>
      <w:tr w:rsidR="000533E4" w14:paraId="358687F8" w14:textId="77777777" w:rsidTr="00FF1C69">
        <w:trPr>
          <w:trHeight w:val="299"/>
        </w:trPr>
        <w:tc>
          <w:tcPr>
            <w:tcW w:w="1879" w:type="dxa"/>
          </w:tcPr>
          <w:p w14:paraId="45ED7E05" w14:textId="77777777" w:rsidR="000533E4" w:rsidRDefault="000533E4" w:rsidP="00CD363C">
            <w:pPr>
              <w:pStyle w:val="TableParagraph"/>
              <w:ind w:left="107" w:right="113"/>
              <w:jc w:val="both"/>
              <w:rPr>
                <w:sz w:val="20"/>
              </w:rPr>
            </w:pPr>
            <w:r>
              <w:rPr>
                <w:sz w:val="20"/>
              </w:rPr>
              <w:t>FA</w:t>
            </w:r>
          </w:p>
        </w:tc>
        <w:tc>
          <w:tcPr>
            <w:tcW w:w="7622" w:type="dxa"/>
          </w:tcPr>
          <w:p w14:paraId="43086E91" w14:textId="77777777" w:rsidR="000533E4" w:rsidRDefault="000533E4" w:rsidP="00CD363C">
            <w:pPr>
              <w:pStyle w:val="TableParagraph"/>
              <w:ind w:left="108" w:right="113"/>
              <w:jc w:val="both"/>
              <w:rPr>
                <w:sz w:val="20"/>
              </w:rPr>
            </w:pPr>
            <w:r>
              <w:rPr>
                <w:sz w:val="20"/>
              </w:rPr>
              <w:t>Finanšu aktīvi</w:t>
            </w:r>
          </w:p>
        </w:tc>
      </w:tr>
      <w:tr w:rsidR="000533E4" w14:paraId="68AE6948" w14:textId="77777777" w:rsidTr="00FF1C69">
        <w:trPr>
          <w:trHeight w:val="299"/>
        </w:trPr>
        <w:tc>
          <w:tcPr>
            <w:tcW w:w="1879" w:type="dxa"/>
          </w:tcPr>
          <w:p w14:paraId="051B0007" w14:textId="77777777" w:rsidR="000533E4" w:rsidRDefault="000533E4" w:rsidP="00CD363C">
            <w:pPr>
              <w:pStyle w:val="TableParagraph"/>
              <w:ind w:left="107" w:right="113"/>
              <w:jc w:val="both"/>
              <w:rPr>
                <w:sz w:val="20"/>
              </w:rPr>
            </w:pPr>
            <w:r>
              <w:rPr>
                <w:sz w:val="20"/>
              </w:rPr>
              <w:t>FS</w:t>
            </w:r>
          </w:p>
        </w:tc>
        <w:tc>
          <w:tcPr>
            <w:tcW w:w="7622" w:type="dxa"/>
          </w:tcPr>
          <w:p w14:paraId="77DCB23B" w14:textId="77777777" w:rsidR="000533E4" w:rsidRDefault="000533E4" w:rsidP="00CD363C">
            <w:pPr>
              <w:pStyle w:val="TableParagraph"/>
              <w:ind w:left="108" w:right="113"/>
              <w:jc w:val="both"/>
              <w:rPr>
                <w:sz w:val="20"/>
              </w:rPr>
            </w:pPr>
            <w:r>
              <w:rPr>
                <w:sz w:val="20"/>
              </w:rPr>
              <w:t>Finanšu saistības</w:t>
            </w:r>
          </w:p>
        </w:tc>
      </w:tr>
      <w:tr w:rsidR="000533E4" w14:paraId="60E11DAA" w14:textId="77777777" w:rsidTr="00FF1C69">
        <w:trPr>
          <w:trHeight w:val="229"/>
        </w:trPr>
        <w:tc>
          <w:tcPr>
            <w:tcW w:w="1879" w:type="dxa"/>
          </w:tcPr>
          <w:p w14:paraId="0609E612" w14:textId="77777777" w:rsidR="000533E4" w:rsidRDefault="000533E4" w:rsidP="00CD363C">
            <w:pPr>
              <w:pStyle w:val="TableParagraph"/>
              <w:ind w:left="107" w:right="113"/>
              <w:jc w:val="both"/>
              <w:rPr>
                <w:sz w:val="20"/>
              </w:rPr>
            </w:pPr>
            <w:r>
              <w:rPr>
                <w:sz w:val="20"/>
              </w:rPr>
              <w:t>ZBK</w:t>
            </w:r>
          </w:p>
        </w:tc>
        <w:tc>
          <w:tcPr>
            <w:tcW w:w="7622" w:type="dxa"/>
          </w:tcPr>
          <w:p w14:paraId="44CBFE21" w14:textId="77777777" w:rsidR="000533E4" w:rsidRDefault="000533E4" w:rsidP="00CD363C">
            <w:pPr>
              <w:pStyle w:val="TableParagraph"/>
              <w:ind w:left="108" w:right="113"/>
              <w:jc w:val="both"/>
              <w:rPr>
                <w:sz w:val="20"/>
              </w:rPr>
            </w:pPr>
            <w:r>
              <w:rPr>
                <w:sz w:val="20"/>
              </w:rPr>
              <w:t>Zembilances posteņos iekļautie finanšu instrumenti</w:t>
            </w:r>
          </w:p>
        </w:tc>
      </w:tr>
      <w:tr w:rsidR="000533E4" w14:paraId="3B55B4C7" w14:textId="77777777" w:rsidTr="00FF1C69">
        <w:trPr>
          <w:trHeight w:val="299"/>
        </w:trPr>
        <w:tc>
          <w:tcPr>
            <w:tcW w:w="1879" w:type="dxa"/>
          </w:tcPr>
          <w:p w14:paraId="373BEF41" w14:textId="77777777" w:rsidR="000533E4" w:rsidRDefault="000533E4" w:rsidP="00CD363C">
            <w:pPr>
              <w:pStyle w:val="TableParagraph"/>
              <w:ind w:left="107" w:right="113"/>
              <w:jc w:val="both"/>
              <w:rPr>
                <w:sz w:val="20"/>
              </w:rPr>
            </w:pPr>
            <w:r>
              <w:rPr>
                <w:sz w:val="20"/>
              </w:rPr>
              <w:t>AFI</w:t>
            </w:r>
          </w:p>
        </w:tc>
        <w:tc>
          <w:tcPr>
            <w:tcW w:w="7622" w:type="dxa"/>
          </w:tcPr>
          <w:p w14:paraId="11566B0E" w14:textId="77777777" w:rsidR="000533E4" w:rsidRDefault="000533E4" w:rsidP="00CD363C">
            <w:pPr>
              <w:pStyle w:val="TableParagraph"/>
              <w:ind w:left="108" w:right="113"/>
              <w:jc w:val="both"/>
              <w:rPr>
                <w:sz w:val="20"/>
              </w:rPr>
            </w:pPr>
            <w:r>
              <w:rPr>
                <w:sz w:val="20"/>
              </w:rPr>
              <w:t>Atvasinātie finanšu instrumenti</w:t>
            </w:r>
          </w:p>
        </w:tc>
      </w:tr>
      <w:tr w:rsidR="000533E4" w14:paraId="2A3C9E5B" w14:textId="77777777" w:rsidTr="00FF1C69">
        <w:trPr>
          <w:trHeight w:val="299"/>
        </w:trPr>
        <w:tc>
          <w:tcPr>
            <w:tcW w:w="1879" w:type="dxa"/>
          </w:tcPr>
          <w:p w14:paraId="62051513" w14:textId="77777777" w:rsidR="000533E4" w:rsidRDefault="000533E4" w:rsidP="00CD363C">
            <w:pPr>
              <w:pStyle w:val="TableParagraph"/>
              <w:ind w:left="107" w:right="113"/>
              <w:jc w:val="both"/>
              <w:rPr>
                <w:sz w:val="20"/>
              </w:rPr>
            </w:pPr>
            <w:r>
              <w:rPr>
                <w:sz w:val="20"/>
              </w:rPr>
              <w:t>IVP</w:t>
            </w:r>
          </w:p>
        </w:tc>
        <w:tc>
          <w:tcPr>
            <w:tcW w:w="7622" w:type="dxa"/>
          </w:tcPr>
          <w:p w14:paraId="7806717C" w14:textId="77777777" w:rsidR="000533E4" w:rsidRDefault="000533E4" w:rsidP="00CD363C">
            <w:pPr>
              <w:pStyle w:val="TableParagraph"/>
              <w:ind w:left="108" w:right="113"/>
              <w:jc w:val="both"/>
              <w:rPr>
                <w:sz w:val="20"/>
              </w:rPr>
            </w:pPr>
            <w:r>
              <w:rPr>
                <w:sz w:val="20"/>
              </w:rPr>
              <w:t>Vērtspapīri</w:t>
            </w:r>
          </w:p>
        </w:tc>
      </w:tr>
      <w:tr w:rsidR="000533E4" w14:paraId="05A4865A" w14:textId="77777777" w:rsidTr="00FF1C69">
        <w:trPr>
          <w:trHeight w:val="299"/>
        </w:trPr>
        <w:tc>
          <w:tcPr>
            <w:tcW w:w="1879" w:type="dxa"/>
          </w:tcPr>
          <w:p w14:paraId="7293C9B8" w14:textId="77777777" w:rsidR="000533E4" w:rsidRDefault="000533E4" w:rsidP="00CD363C">
            <w:pPr>
              <w:pStyle w:val="TableParagraph"/>
              <w:ind w:left="107" w:right="113"/>
              <w:jc w:val="both"/>
              <w:rPr>
                <w:sz w:val="20"/>
              </w:rPr>
            </w:pPr>
            <w:r>
              <w:rPr>
                <w:sz w:val="20"/>
              </w:rPr>
              <w:t>NOG</w:t>
            </w:r>
          </w:p>
        </w:tc>
        <w:tc>
          <w:tcPr>
            <w:tcW w:w="7622" w:type="dxa"/>
          </w:tcPr>
          <w:p w14:paraId="2AAE8EAF" w14:textId="77777777" w:rsidR="000533E4" w:rsidRDefault="000533E4" w:rsidP="00CD363C">
            <w:pPr>
              <w:pStyle w:val="TableParagraph"/>
              <w:ind w:left="108" w:right="113"/>
              <w:jc w:val="both"/>
              <w:rPr>
                <w:sz w:val="20"/>
              </w:rPr>
            </w:pPr>
            <w:r>
              <w:rPr>
                <w:sz w:val="20"/>
              </w:rPr>
              <w:t>Noguldījumi</w:t>
            </w:r>
          </w:p>
        </w:tc>
      </w:tr>
      <w:tr w:rsidR="000533E4" w14:paraId="299ABBC7" w14:textId="77777777" w:rsidTr="00FF1C69">
        <w:trPr>
          <w:trHeight w:val="285"/>
        </w:trPr>
        <w:tc>
          <w:tcPr>
            <w:tcW w:w="1879" w:type="dxa"/>
          </w:tcPr>
          <w:p w14:paraId="13C2D5B5" w14:textId="77777777" w:rsidR="000533E4" w:rsidRDefault="000533E4" w:rsidP="00CD363C">
            <w:pPr>
              <w:pStyle w:val="TableParagraph"/>
              <w:ind w:left="107" w:right="113"/>
              <w:jc w:val="both"/>
              <w:rPr>
                <w:sz w:val="20"/>
              </w:rPr>
            </w:pPr>
            <w:r>
              <w:rPr>
                <w:sz w:val="20"/>
              </w:rPr>
              <w:t>AIZ</w:t>
            </w:r>
          </w:p>
        </w:tc>
        <w:tc>
          <w:tcPr>
            <w:tcW w:w="7622" w:type="dxa"/>
          </w:tcPr>
          <w:p w14:paraId="348D3E45" w14:textId="77777777" w:rsidR="000533E4" w:rsidRDefault="000533E4" w:rsidP="00CD363C">
            <w:pPr>
              <w:pStyle w:val="TableParagraph"/>
              <w:ind w:left="108" w:right="113"/>
              <w:jc w:val="both"/>
              <w:rPr>
                <w:sz w:val="20"/>
              </w:rPr>
            </w:pPr>
            <w:r>
              <w:rPr>
                <w:sz w:val="20"/>
              </w:rPr>
              <w:t>Aizdevumi</w:t>
            </w:r>
          </w:p>
        </w:tc>
      </w:tr>
      <w:tr w:rsidR="000533E4" w14:paraId="7CB06B4F" w14:textId="77777777" w:rsidTr="00FF1C69">
        <w:trPr>
          <w:trHeight w:val="230"/>
        </w:trPr>
        <w:tc>
          <w:tcPr>
            <w:tcW w:w="1879" w:type="dxa"/>
          </w:tcPr>
          <w:p w14:paraId="30228B8C" w14:textId="77777777" w:rsidR="000533E4" w:rsidRDefault="000533E4" w:rsidP="00CD363C">
            <w:pPr>
              <w:pStyle w:val="TableParagraph"/>
              <w:ind w:left="107" w:right="113"/>
              <w:jc w:val="both"/>
              <w:rPr>
                <w:sz w:val="20"/>
              </w:rPr>
            </w:pPr>
            <w:r>
              <w:rPr>
                <w:sz w:val="20"/>
              </w:rPr>
              <w:t>PRA</w:t>
            </w:r>
          </w:p>
        </w:tc>
        <w:tc>
          <w:tcPr>
            <w:tcW w:w="7622" w:type="dxa"/>
          </w:tcPr>
          <w:p w14:paraId="385053ED" w14:textId="77777777" w:rsidR="000533E4" w:rsidRDefault="000533E4" w:rsidP="00CD363C">
            <w:pPr>
              <w:pStyle w:val="TableParagraph"/>
              <w:ind w:left="108" w:right="113"/>
              <w:jc w:val="both"/>
              <w:rPr>
                <w:sz w:val="20"/>
              </w:rPr>
            </w:pPr>
            <w:r>
              <w:rPr>
                <w:sz w:val="20"/>
              </w:rPr>
              <w:t>Prasības, kas ir finanšu instrumenti</w:t>
            </w:r>
          </w:p>
        </w:tc>
      </w:tr>
      <w:tr w:rsidR="000533E4" w14:paraId="17582EF2" w14:textId="77777777" w:rsidTr="00FF1C69">
        <w:trPr>
          <w:trHeight w:val="285"/>
        </w:trPr>
        <w:tc>
          <w:tcPr>
            <w:tcW w:w="1879" w:type="dxa"/>
          </w:tcPr>
          <w:p w14:paraId="1711A917" w14:textId="77777777" w:rsidR="000533E4" w:rsidRDefault="000533E4" w:rsidP="00CD363C">
            <w:pPr>
              <w:pStyle w:val="TableParagraph"/>
              <w:ind w:left="107" w:right="113"/>
              <w:jc w:val="both"/>
              <w:rPr>
                <w:sz w:val="20"/>
              </w:rPr>
            </w:pPr>
            <w:r>
              <w:rPr>
                <w:sz w:val="20"/>
              </w:rPr>
              <w:t>EVP</w:t>
            </w:r>
          </w:p>
        </w:tc>
        <w:tc>
          <w:tcPr>
            <w:tcW w:w="7622" w:type="dxa"/>
          </w:tcPr>
          <w:p w14:paraId="1B90A6B5" w14:textId="77777777" w:rsidR="000533E4" w:rsidRDefault="000533E4" w:rsidP="00CD363C">
            <w:pPr>
              <w:pStyle w:val="TableParagraph"/>
              <w:ind w:left="108" w:right="113"/>
              <w:jc w:val="both"/>
              <w:rPr>
                <w:sz w:val="20"/>
              </w:rPr>
            </w:pPr>
            <w:r>
              <w:rPr>
                <w:sz w:val="20"/>
              </w:rPr>
              <w:t>Emitētie vērtspapīri</w:t>
            </w:r>
          </w:p>
        </w:tc>
      </w:tr>
      <w:tr w:rsidR="000533E4" w14:paraId="280A4EDC" w14:textId="77777777" w:rsidTr="00FF1C69">
        <w:trPr>
          <w:trHeight w:val="285"/>
        </w:trPr>
        <w:tc>
          <w:tcPr>
            <w:tcW w:w="1879" w:type="dxa"/>
          </w:tcPr>
          <w:p w14:paraId="2D0DAE71" w14:textId="77777777" w:rsidR="000533E4" w:rsidRDefault="000533E4" w:rsidP="00CD363C">
            <w:pPr>
              <w:pStyle w:val="TableParagraph"/>
              <w:ind w:left="107" w:right="113"/>
              <w:jc w:val="both"/>
              <w:rPr>
                <w:sz w:val="20"/>
              </w:rPr>
            </w:pPr>
            <w:r>
              <w:rPr>
                <w:sz w:val="20"/>
              </w:rPr>
              <w:t>AIN</w:t>
            </w:r>
          </w:p>
        </w:tc>
        <w:tc>
          <w:tcPr>
            <w:tcW w:w="7622" w:type="dxa"/>
          </w:tcPr>
          <w:p w14:paraId="00E9E532" w14:textId="77777777" w:rsidR="000533E4" w:rsidRDefault="000533E4" w:rsidP="00CD363C">
            <w:pPr>
              <w:pStyle w:val="TableParagraph"/>
              <w:ind w:left="108" w:right="113"/>
              <w:jc w:val="both"/>
              <w:rPr>
                <w:sz w:val="20"/>
              </w:rPr>
            </w:pPr>
            <w:r>
              <w:rPr>
                <w:sz w:val="20"/>
              </w:rPr>
              <w:t>Aizņēmumi</w:t>
            </w:r>
          </w:p>
        </w:tc>
      </w:tr>
      <w:tr w:rsidR="000533E4" w14:paraId="53A3CF6C" w14:textId="77777777" w:rsidTr="00FF1C69">
        <w:trPr>
          <w:trHeight w:val="285"/>
        </w:trPr>
        <w:tc>
          <w:tcPr>
            <w:tcW w:w="1879" w:type="dxa"/>
          </w:tcPr>
          <w:p w14:paraId="2E802165" w14:textId="77777777" w:rsidR="000533E4" w:rsidRDefault="000533E4" w:rsidP="00CD363C">
            <w:pPr>
              <w:pStyle w:val="TableParagraph"/>
              <w:ind w:left="107" w:right="113"/>
              <w:jc w:val="both"/>
              <w:rPr>
                <w:sz w:val="20"/>
              </w:rPr>
            </w:pPr>
            <w:r>
              <w:rPr>
                <w:sz w:val="20"/>
              </w:rPr>
              <w:t>PNO</w:t>
            </w:r>
          </w:p>
        </w:tc>
        <w:tc>
          <w:tcPr>
            <w:tcW w:w="7622" w:type="dxa"/>
          </w:tcPr>
          <w:p w14:paraId="048DEC03" w14:textId="77777777" w:rsidR="000533E4" w:rsidRDefault="000533E4" w:rsidP="00CD363C">
            <w:pPr>
              <w:pStyle w:val="TableParagraph"/>
              <w:ind w:left="108" w:right="113"/>
              <w:jc w:val="both"/>
              <w:rPr>
                <w:sz w:val="20"/>
              </w:rPr>
            </w:pPr>
            <w:r>
              <w:rPr>
                <w:sz w:val="20"/>
              </w:rPr>
              <w:t>Pieņemtie noguldījumi</w:t>
            </w:r>
          </w:p>
        </w:tc>
      </w:tr>
      <w:tr w:rsidR="000533E4" w14:paraId="003C5491" w14:textId="77777777" w:rsidTr="00FF1C69">
        <w:trPr>
          <w:trHeight w:val="285"/>
        </w:trPr>
        <w:tc>
          <w:tcPr>
            <w:tcW w:w="1879" w:type="dxa"/>
          </w:tcPr>
          <w:p w14:paraId="4E593764" w14:textId="77777777" w:rsidR="000533E4" w:rsidRDefault="000533E4" w:rsidP="00CD363C">
            <w:pPr>
              <w:pStyle w:val="TableParagraph"/>
              <w:ind w:left="107" w:right="113"/>
              <w:jc w:val="both"/>
              <w:rPr>
                <w:sz w:val="20"/>
              </w:rPr>
            </w:pPr>
            <w:r>
              <w:rPr>
                <w:sz w:val="20"/>
              </w:rPr>
              <w:t>GAR</w:t>
            </w:r>
          </w:p>
        </w:tc>
        <w:tc>
          <w:tcPr>
            <w:tcW w:w="7622" w:type="dxa"/>
          </w:tcPr>
          <w:p w14:paraId="4FAECEB2" w14:textId="77777777" w:rsidR="000533E4" w:rsidRDefault="000533E4" w:rsidP="00CD363C">
            <w:pPr>
              <w:pStyle w:val="TableParagraph"/>
              <w:ind w:left="108" w:right="113"/>
              <w:jc w:val="both"/>
              <w:rPr>
                <w:sz w:val="20"/>
              </w:rPr>
            </w:pPr>
            <w:r>
              <w:rPr>
                <w:sz w:val="20"/>
              </w:rPr>
              <w:t>Garantijas</w:t>
            </w:r>
          </w:p>
        </w:tc>
      </w:tr>
      <w:tr w:rsidR="000533E4" w14:paraId="6C59AB03" w14:textId="77777777" w:rsidTr="00FF1C69">
        <w:trPr>
          <w:trHeight w:val="230"/>
        </w:trPr>
        <w:tc>
          <w:tcPr>
            <w:tcW w:w="1879" w:type="dxa"/>
          </w:tcPr>
          <w:p w14:paraId="2584E03F" w14:textId="77777777" w:rsidR="000533E4" w:rsidRDefault="000533E4" w:rsidP="00CD363C">
            <w:pPr>
              <w:pStyle w:val="TableParagraph"/>
              <w:ind w:left="107" w:right="113"/>
              <w:jc w:val="both"/>
              <w:rPr>
                <w:sz w:val="20"/>
              </w:rPr>
            </w:pPr>
            <w:r>
              <w:rPr>
                <w:sz w:val="20"/>
              </w:rPr>
              <w:t>PFI</w:t>
            </w:r>
          </w:p>
        </w:tc>
        <w:tc>
          <w:tcPr>
            <w:tcW w:w="7622" w:type="dxa"/>
          </w:tcPr>
          <w:p w14:paraId="759B92BF" w14:textId="77777777" w:rsidR="000533E4" w:rsidRDefault="000533E4" w:rsidP="00CD363C">
            <w:pPr>
              <w:pStyle w:val="TableParagraph"/>
              <w:ind w:left="108" w:right="113"/>
              <w:jc w:val="both"/>
              <w:rPr>
                <w:sz w:val="20"/>
              </w:rPr>
            </w:pPr>
            <w:r>
              <w:rPr>
                <w:sz w:val="20"/>
              </w:rPr>
              <w:t>Pārējie finanšu instrumenti</w:t>
            </w:r>
          </w:p>
        </w:tc>
      </w:tr>
    </w:tbl>
    <w:p w14:paraId="47027538" w14:textId="77777777" w:rsidR="000533E4" w:rsidRDefault="000533E4" w:rsidP="00CD363C">
      <w:pPr>
        <w:pStyle w:val="Pamatteksts"/>
        <w:ind w:right="113"/>
        <w:jc w:val="both"/>
        <w:rPr>
          <w:sz w:val="20"/>
        </w:rPr>
      </w:pPr>
    </w:p>
    <w:p w14:paraId="4457CB2C" w14:textId="77777777" w:rsidR="000533E4" w:rsidRDefault="000533E4" w:rsidP="00CD363C">
      <w:pPr>
        <w:pStyle w:val="Pamatteksts"/>
        <w:ind w:right="113"/>
        <w:jc w:val="both"/>
      </w:pPr>
    </w:p>
    <w:p w14:paraId="771A2B0D" w14:textId="77777777" w:rsidR="000533E4" w:rsidRDefault="000533E4" w:rsidP="00CD363C">
      <w:pPr>
        <w:pStyle w:val="Pamatteksts"/>
        <w:ind w:left="338" w:right="113"/>
        <w:jc w:val="both"/>
      </w:pPr>
      <w:r>
        <w:t>Ailē “Finanšu instrumentu kategorijas/finanšu instrumenta nosaukums” norāda finanšu instrumentu kategorijas nosaukumu atbilstoši Ministru kabineta noteikumos par grāmatvedības uzskaites kārtību budžeta iestādēs noteiktajam un finanšu instrumenta nosaukumu atbilstoši šajos noteikumos noteiktajiem finanšu instrumentu kodu nosaukumiem.</w:t>
      </w:r>
    </w:p>
    <w:p w14:paraId="41F28A48" w14:textId="77777777" w:rsidR="000533E4" w:rsidRDefault="000533E4" w:rsidP="00CD363C">
      <w:pPr>
        <w:pStyle w:val="Pamatteksts"/>
        <w:ind w:right="113"/>
        <w:jc w:val="both"/>
        <w:rPr>
          <w:sz w:val="24"/>
        </w:rPr>
      </w:pPr>
    </w:p>
    <w:p w14:paraId="10AFD00A" w14:textId="77777777" w:rsidR="000533E4" w:rsidRDefault="000533E4" w:rsidP="00CD363C">
      <w:pPr>
        <w:pStyle w:val="Pamatteksts"/>
        <w:ind w:right="113"/>
        <w:jc w:val="both"/>
        <w:rPr>
          <w:sz w:val="24"/>
        </w:rPr>
      </w:pPr>
    </w:p>
    <w:p w14:paraId="43CCC7FB" w14:textId="77777777" w:rsidR="000533E4" w:rsidRDefault="000533E4" w:rsidP="00CD363C">
      <w:pPr>
        <w:pStyle w:val="Virsraksts6"/>
        <w:ind w:right="113"/>
        <w:jc w:val="both"/>
      </w:pPr>
      <w:r>
        <w:t>V9.PVME Informācija par finanšu instrumentu patiesās vērtības novērtēšanas metodēm</w:t>
      </w:r>
    </w:p>
    <w:p w14:paraId="2220B271" w14:textId="77777777" w:rsidR="000533E4" w:rsidRDefault="000533E4" w:rsidP="00CD363C">
      <w:pPr>
        <w:pStyle w:val="Pamatteksts"/>
        <w:ind w:right="113"/>
        <w:jc w:val="both"/>
        <w:rPr>
          <w:b/>
          <w:sz w:val="20"/>
        </w:rPr>
      </w:pPr>
    </w:p>
    <w:tbl>
      <w:tblPr>
        <w:tblW w:w="0" w:type="auto"/>
        <w:tblInd w:w="41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83"/>
        <w:gridCol w:w="968"/>
        <w:gridCol w:w="1030"/>
        <w:gridCol w:w="1088"/>
        <w:gridCol w:w="956"/>
        <w:gridCol w:w="973"/>
        <w:gridCol w:w="724"/>
        <w:gridCol w:w="1266"/>
        <w:gridCol w:w="1307"/>
      </w:tblGrid>
      <w:tr w:rsidR="000533E4" w14:paraId="28A89DF8" w14:textId="77777777" w:rsidTr="00FF1C69">
        <w:trPr>
          <w:trHeight w:val="767"/>
        </w:trPr>
        <w:tc>
          <w:tcPr>
            <w:tcW w:w="1183" w:type="dxa"/>
            <w:vMerge w:val="restart"/>
            <w:shd w:val="clear" w:color="auto" w:fill="F1F1F1"/>
          </w:tcPr>
          <w:p w14:paraId="5B6A4CC0" w14:textId="77777777" w:rsidR="000533E4" w:rsidRDefault="000533E4" w:rsidP="00CD363C">
            <w:pPr>
              <w:pStyle w:val="TableParagraph"/>
              <w:ind w:right="113"/>
              <w:jc w:val="both"/>
              <w:rPr>
                <w:b/>
              </w:rPr>
            </w:pPr>
          </w:p>
          <w:p w14:paraId="180F4854" w14:textId="77777777" w:rsidR="000533E4" w:rsidRDefault="000533E4" w:rsidP="00CD363C">
            <w:pPr>
              <w:pStyle w:val="TableParagraph"/>
              <w:ind w:right="113"/>
              <w:jc w:val="both"/>
              <w:rPr>
                <w:b/>
                <w:sz w:val="31"/>
              </w:rPr>
            </w:pPr>
          </w:p>
          <w:p w14:paraId="1D568B8B" w14:textId="77777777" w:rsidR="000533E4" w:rsidRDefault="000533E4" w:rsidP="00CD363C">
            <w:pPr>
              <w:pStyle w:val="TableParagraph"/>
              <w:ind w:left="340" w:right="113"/>
              <w:jc w:val="both"/>
              <w:rPr>
                <w:b/>
                <w:sz w:val="20"/>
              </w:rPr>
            </w:pPr>
            <w:r>
              <w:rPr>
                <w:b/>
                <w:sz w:val="20"/>
              </w:rPr>
              <w:t>Kods</w:t>
            </w:r>
          </w:p>
        </w:tc>
        <w:tc>
          <w:tcPr>
            <w:tcW w:w="1998" w:type="dxa"/>
            <w:gridSpan w:val="2"/>
            <w:vMerge w:val="restart"/>
            <w:shd w:val="clear" w:color="auto" w:fill="F1F1F1"/>
          </w:tcPr>
          <w:p w14:paraId="1C3422D9" w14:textId="77777777" w:rsidR="000533E4" w:rsidRDefault="000533E4" w:rsidP="00CD363C">
            <w:pPr>
              <w:pStyle w:val="TableParagraph"/>
              <w:ind w:right="113"/>
              <w:jc w:val="both"/>
              <w:rPr>
                <w:b/>
                <w:sz w:val="23"/>
              </w:rPr>
            </w:pPr>
          </w:p>
          <w:p w14:paraId="1729A006" w14:textId="77777777" w:rsidR="000533E4" w:rsidRDefault="000533E4" w:rsidP="00CD363C">
            <w:pPr>
              <w:pStyle w:val="TableParagraph"/>
              <w:ind w:left="110" w:right="113" w:firstLine="3"/>
              <w:jc w:val="both"/>
              <w:rPr>
                <w:b/>
                <w:sz w:val="20"/>
              </w:rPr>
            </w:pPr>
            <w:r>
              <w:rPr>
                <w:b/>
                <w:sz w:val="20"/>
              </w:rPr>
              <w:t xml:space="preserve">Finanšu instrumenta </w:t>
            </w:r>
            <w:r>
              <w:rPr>
                <w:b/>
                <w:w w:val="95"/>
                <w:sz w:val="20"/>
              </w:rPr>
              <w:t xml:space="preserve">nosaukums/metodes </w:t>
            </w:r>
            <w:r>
              <w:rPr>
                <w:b/>
                <w:sz w:val="20"/>
              </w:rPr>
              <w:t>apraksts</w:t>
            </w:r>
          </w:p>
        </w:tc>
        <w:tc>
          <w:tcPr>
            <w:tcW w:w="1088" w:type="dxa"/>
            <w:vMerge w:val="restart"/>
            <w:shd w:val="clear" w:color="auto" w:fill="F1F1F1"/>
          </w:tcPr>
          <w:p w14:paraId="32ECBAB5" w14:textId="77777777" w:rsidR="000533E4" w:rsidRDefault="000533E4" w:rsidP="00CD363C">
            <w:pPr>
              <w:pStyle w:val="TableParagraph"/>
              <w:ind w:left="109" w:right="113"/>
              <w:jc w:val="both"/>
              <w:rPr>
                <w:b/>
                <w:sz w:val="20"/>
              </w:rPr>
            </w:pPr>
            <w:r>
              <w:rPr>
                <w:b/>
                <w:w w:val="95"/>
                <w:sz w:val="20"/>
              </w:rPr>
              <w:t xml:space="preserve">Uzskaites </w:t>
            </w:r>
            <w:r>
              <w:rPr>
                <w:b/>
                <w:sz w:val="20"/>
              </w:rPr>
              <w:t>vērtība pārskata perioda sākumā</w:t>
            </w:r>
          </w:p>
        </w:tc>
        <w:tc>
          <w:tcPr>
            <w:tcW w:w="2653" w:type="dxa"/>
            <w:gridSpan w:val="3"/>
            <w:shd w:val="clear" w:color="auto" w:fill="F1F1F1"/>
          </w:tcPr>
          <w:p w14:paraId="3EC371E5" w14:textId="77777777" w:rsidR="000533E4" w:rsidRDefault="000533E4" w:rsidP="00CD363C">
            <w:pPr>
              <w:pStyle w:val="TableParagraph"/>
              <w:ind w:left="728" w:right="113" w:hanging="449"/>
              <w:jc w:val="both"/>
              <w:rPr>
                <w:b/>
                <w:sz w:val="20"/>
              </w:rPr>
            </w:pPr>
            <w:r>
              <w:rPr>
                <w:b/>
                <w:sz w:val="20"/>
              </w:rPr>
              <w:t>Metožu maiņa pārskata periodā (+; -)</w:t>
            </w:r>
          </w:p>
        </w:tc>
        <w:tc>
          <w:tcPr>
            <w:tcW w:w="1266" w:type="dxa"/>
            <w:vMerge w:val="restart"/>
            <w:shd w:val="clear" w:color="auto" w:fill="F1F1F1"/>
          </w:tcPr>
          <w:p w14:paraId="6AF5243F" w14:textId="77777777" w:rsidR="000533E4" w:rsidRDefault="000533E4" w:rsidP="00CD363C">
            <w:pPr>
              <w:pStyle w:val="TableParagraph"/>
              <w:ind w:left="195" w:right="113"/>
              <w:jc w:val="both"/>
              <w:rPr>
                <w:b/>
                <w:sz w:val="20"/>
              </w:rPr>
            </w:pPr>
            <w:r>
              <w:rPr>
                <w:b/>
                <w:w w:val="95"/>
                <w:sz w:val="20"/>
              </w:rPr>
              <w:t xml:space="preserve">Uzskaites </w:t>
            </w:r>
            <w:r>
              <w:rPr>
                <w:b/>
                <w:sz w:val="20"/>
              </w:rPr>
              <w:t>vērtība pārskata perioda beigās</w:t>
            </w:r>
          </w:p>
        </w:tc>
        <w:tc>
          <w:tcPr>
            <w:tcW w:w="1307" w:type="dxa"/>
            <w:vMerge w:val="restart"/>
            <w:shd w:val="clear" w:color="auto" w:fill="F1F1F1"/>
          </w:tcPr>
          <w:p w14:paraId="597C7EB8" w14:textId="77777777" w:rsidR="000533E4" w:rsidRDefault="000533E4" w:rsidP="00CD363C">
            <w:pPr>
              <w:pStyle w:val="TableParagraph"/>
              <w:ind w:right="113"/>
              <w:jc w:val="both"/>
              <w:rPr>
                <w:b/>
              </w:rPr>
            </w:pPr>
          </w:p>
          <w:p w14:paraId="1816402C" w14:textId="77777777" w:rsidR="000533E4" w:rsidRDefault="000533E4" w:rsidP="00CD363C">
            <w:pPr>
              <w:pStyle w:val="TableParagraph"/>
              <w:ind w:left="69" w:right="113" w:firstLine="48"/>
              <w:jc w:val="both"/>
              <w:rPr>
                <w:b/>
                <w:sz w:val="20"/>
              </w:rPr>
            </w:pPr>
            <w:r>
              <w:rPr>
                <w:b/>
                <w:sz w:val="20"/>
              </w:rPr>
              <w:t>Atsauces uz attiecīgajiem piemēriem</w:t>
            </w:r>
          </w:p>
        </w:tc>
      </w:tr>
      <w:tr w:rsidR="000533E4" w14:paraId="3570FFD9" w14:textId="77777777" w:rsidTr="00FF1C69">
        <w:trPr>
          <w:trHeight w:val="688"/>
        </w:trPr>
        <w:tc>
          <w:tcPr>
            <w:tcW w:w="1183" w:type="dxa"/>
            <w:vMerge/>
            <w:tcBorders>
              <w:top w:val="nil"/>
            </w:tcBorders>
            <w:shd w:val="clear" w:color="auto" w:fill="F1F1F1"/>
          </w:tcPr>
          <w:p w14:paraId="67C0FF98" w14:textId="77777777" w:rsidR="000533E4" w:rsidRDefault="000533E4" w:rsidP="00CD363C">
            <w:pPr>
              <w:spacing w:after="0" w:line="240" w:lineRule="auto"/>
              <w:ind w:right="113"/>
              <w:jc w:val="both"/>
              <w:rPr>
                <w:sz w:val="2"/>
                <w:szCs w:val="2"/>
              </w:rPr>
            </w:pPr>
          </w:p>
        </w:tc>
        <w:tc>
          <w:tcPr>
            <w:tcW w:w="1998" w:type="dxa"/>
            <w:gridSpan w:val="2"/>
            <w:vMerge/>
            <w:tcBorders>
              <w:top w:val="nil"/>
            </w:tcBorders>
            <w:shd w:val="clear" w:color="auto" w:fill="F1F1F1"/>
          </w:tcPr>
          <w:p w14:paraId="721A5583" w14:textId="77777777" w:rsidR="000533E4" w:rsidRDefault="000533E4" w:rsidP="00CD363C">
            <w:pPr>
              <w:spacing w:after="0" w:line="240" w:lineRule="auto"/>
              <w:ind w:right="113"/>
              <w:jc w:val="both"/>
              <w:rPr>
                <w:sz w:val="2"/>
                <w:szCs w:val="2"/>
              </w:rPr>
            </w:pPr>
          </w:p>
        </w:tc>
        <w:tc>
          <w:tcPr>
            <w:tcW w:w="1088" w:type="dxa"/>
            <w:vMerge/>
            <w:tcBorders>
              <w:top w:val="nil"/>
            </w:tcBorders>
            <w:shd w:val="clear" w:color="auto" w:fill="F1F1F1"/>
          </w:tcPr>
          <w:p w14:paraId="774F86FC" w14:textId="77777777" w:rsidR="000533E4" w:rsidRDefault="000533E4" w:rsidP="00CD363C">
            <w:pPr>
              <w:spacing w:after="0" w:line="240" w:lineRule="auto"/>
              <w:ind w:right="113"/>
              <w:jc w:val="both"/>
              <w:rPr>
                <w:sz w:val="2"/>
                <w:szCs w:val="2"/>
              </w:rPr>
            </w:pPr>
          </w:p>
        </w:tc>
        <w:tc>
          <w:tcPr>
            <w:tcW w:w="956" w:type="dxa"/>
            <w:shd w:val="clear" w:color="auto" w:fill="F1F1F1"/>
          </w:tcPr>
          <w:p w14:paraId="40FA7040" w14:textId="77777777" w:rsidR="000533E4" w:rsidRDefault="000533E4" w:rsidP="00CD363C">
            <w:pPr>
              <w:pStyle w:val="TableParagraph"/>
              <w:ind w:left="157" w:right="113" w:firstLine="175"/>
              <w:jc w:val="both"/>
              <w:rPr>
                <w:b/>
                <w:sz w:val="20"/>
              </w:rPr>
            </w:pPr>
            <w:r>
              <w:rPr>
                <w:b/>
                <w:sz w:val="20"/>
              </w:rPr>
              <w:t>Uz</w:t>
            </w:r>
          </w:p>
          <w:p w14:paraId="62B12715" w14:textId="77777777" w:rsidR="000533E4" w:rsidRDefault="000533E4" w:rsidP="00CD363C">
            <w:pPr>
              <w:pStyle w:val="TableParagraph"/>
              <w:ind w:left="157" w:right="113"/>
              <w:jc w:val="both"/>
              <w:rPr>
                <w:b/>
                <w:sz w:val="20"/>
              </w:rPr>
            </w:pPr>
            <w:r>
              <w:rPr>
                <w:b/>
                <w:spacing w:val="-1"/>
                <w:sz w:val="20"/>
              </w:rPr>
              <w:t xml:space="preserve">metodi </w:t>
            </w:r>
            <w:r>
              <w:rPr>
                <w:b/>
                <w:sz w:val="20"/>
              </w:rPr>
              <w:t>(+)</w:t>
            </w:r>
          </w:p>
        </w:tc>
        <w:tc>
          <w:tcPr>
            <w:tcW w:w="973" w:type="dxa"/>
            <w:shd w:val="clear" w:color="auto" w:fill="F1F1F1"/>
          </w:tcPr>
          <w:p w14:paraId="413536AE" w14:textId="77777777" w:rsidR="000533E4" w:rsidRDefault="000533E4" w:rsidP="00CD363C">
            <w:pPr>
              <w:pStyle w:val="TableParagraph"/>
              <w:ind w:left="106" w:right="113" w:firstLine="244"/>
              <w:jc w:val="both"/>
              <w:rPr>
                <w:b/>
                <w:sz w:val="20"/>
              </w:rPr>
            </w:pPr>
            <w:r>
              <w:rPr>
                <w:b/>
                <w:sz w:val="20"/>
              </w:rPr>
              <w:t>no</w:t>
            </w:r>
          </w:p>
          <w:p w14:paraId="317F9A30" w14:textId="77777777" w:rsidR="000533E4" w:rsidRDefault="000533E4" w:rsidP="00CD363C">
            <w:pPr>
              <w:pStyle w:val="TableParagraph"/>
              <w:ind w:left="106" w:right="113"/>
              <w:jc w:val="both"/>
              <w:rPr>
                <w:b/>
                <w:sz w:val="20"/>
              </w:rPr>
            </w:pPr>
            <w:r>
              <w:rPr>
                <w:b/>
                <w:w w:val="95"/>
                <w:sz w:val="20"/>
              </w:rPr>
              <w:t xml:space="preserve">metodes </w:t>
            </w:r>
            <w:r>
              <w:rPr>
                <w:b/>
                <w:sz w:val="20"/>
              </w:rPr>
              <w:t>(-)</w:t>
            </w:r>
          </w:p>
        </w:tc>
        <w:tc>
          <w:tcPr>
            <w:tcW w:w="724" w:type="dxa"/>
            <w:shd w:val="clear" w:color="auto" w:fill="F1F1F1"/>
          </w:tcPr>
          <w:p w14:paraId="074AE946" w14:textId="77777777" w:rsidR="000533E4" w:rsidRDefault="000533E4" w:rsidP="00CD363C">
            <w:pPr>
              <w:pStyle w:val="TableParagraph"/>
              <w:ind w:left="108" w:right="113" w:firstLine="40"/>
              <w:jc w:val="both"/>
              <w:rPr>
                <w:b/>
                <w:sz w:val="20"/>
              </w:rPr>
            </w:pPr>
            <w:r>
              <w:rPr>
                <w:b/>
                <w:sz w:val="20"/>
              </w:rPr>
              <w:t>neto (2+3)</w:t>
            </w:r>
          </w:p>
        </w:tc>
        <w:tc>
          <w:tcPr>
            <w:tcW w:w="1266" w:type="dxa"/>
            <w:vMerge/>
            <w:tcBorders>
              <w:top w:val="nil"/>
            </w:tcBorders>
            <w:shd w:val="clear" w:color="auto" w:fill="F1F1F1"/>
          </w:tcPr>
          <w:p w14:paraId="5FE3E0FE" w14:textId="77777777" w:rsidR="000533E4" w:rsidRDefault="000533E4" w:rsidP="00CD363C">
            <w:pPr>
              <w:spacing w:after="0" w:line="240" w:lineRule="auto"/>
              <w:ind w:right="113"/>
              <w:jc w:val="both"/>
              <w:rPr>
                <w:sz w:val="2"/>
                <w:szCs w:val="2"/>
              </w:rPr>
            </w:pPr>
          </w:p>
        </w:tc>
        <w:tc>
          <w:tcPr>
            <w:tcW w:w="1307" w:type="dxa"/>
            <w:vMerge/>
            <w:tcBorders>
              <w:top w:val="nil"/>
            </w:tcBorders>
            <w:shd w:val="clear" w:color="auto" w:fill="F1F1F1"/>
          </w:tcPr>
          <w:p w14:paraId="443B63D0" w14:textId="77777777" w:rsidR="000533E4" w:rsidRDefault="000533E4" w:rsidP="00CD363C">
            <w:pPr>
              <w:spacing w:after="0" w:line="240" w:lineRule="auto"/>
              <w:ind w:right="113"/>
              <w:jc w:val="both"/>
              <w:rPr>
                <w:sz w:val="2"/>
                <w:szCs w:val="2"/>
              </w:rPr>
            </w:pPr>
          </w:p>
        </w:tc>
      </w:tr>
      <w:tr w:rsidR="000533E4" w14:paraId="625278D6" w14:textId="77777777" w:rsidTr="00FF1C69">
        <w:trPr>
          <w:trHeight w:val="296"/>
        </w:trPr>
        <w:tc>
          <w:tcPr>
            <w:tcW w:w="1183" w:type="dxa"/>
            <w:shd w:val="clear" w:color="auto" w:fill="F1F1F1"/>
          </w:tcPr>
          <w:p w14:paraId="4B140724" w14:textId="77777777" w:rsidR="000533E4" w:rsidRDefault="000533E4" w:rsidP="00CD363C">
            <w:pPr>
              <w:pStyle w:val="TableParagraph"/>
              <w:ind w:right="113"/>
              <w:jc w:val="both"/>
              <w:rPr>
                <w:b/>
                <w:sz w:val="20"/>
              </w:rPr>
            </w:pPr>
            <w:r>
              <w:rPr>
                <w:b/>
                <w:w w:val="99"/>
                <w:sz w:val="20"/>
              </w:rPr>
              <w:t>A</w:t>
            </w:r>
          </w:p>
        </w:tc>
        <w:tc>
          <w:tcPr>
            <w:tcW w:w="1998" w:type="dxa"/>
            <w:gridSpan w:val="2"/>
            <w:shd w:val="clear" w:color="auto" w:fill="F1F1F1"/>
          </w:tcPr>
          <w:p w14:paraId="5A62CBB7" w14:textId="77777777" w:rsidR="000533E4" w:rsidRDefault="000533E4" w:rsidP="00CD363C">
            <w:pPr>
              <w:pStyle w:val="TableParagraph"/>
              <w:ind w:right="113"/>
              <w:jc w:val="both"/>
              <w:rPr>
                <w:b/>
                <w:sz w:val="20"/>
              </w:rPr>
            </w:pPr>
            <w:r>
              <w:rPr>
                <w:b/>
                <w:w w:val="99"/>
                <w:sz w:val="20"/>
              </w:rPr>
              <w:t>B</w:t>
            </w:r>
          </w:p>
        </w:tc>
        <w:tc>
          <w:tcPr>
            <w:tcW w:w="1088" w:type="dxa"/>
            <w:shd w:val="clear" w:color="auto" w:fill="F1F1F1"/>
          </w:tcPr>
          <w:p w14:paraId="1B2E0AF1" w14:textId="77777777" w:rsidR="000533E4" w:rsidRDefault="000533E4" w:rsidP="00CD363C">
            <w:pPr>
              <w:pStyle w:val="TableParagraph"/>
              <w:ind w:left="464" w:right="113"/>
              <w:jc w:val="both"/>
              <w:rPr>
                <w:b/>
                <w:sz w:val="20"/>
              </w:rPr>
            </w:pPr>
            <w:r>
              <w:rPr>
                <w:b/>
                <w:w w:val="99"/>
                <w:sz w:val="20"/>
              </w:rPr>
              <w:t>1</w:t>
            </w:r>
          </w:p>
        </w:tc>
        <w:tc>
          <w:tcPr>
            <w:tcW w:w="956" w:type="dxa"/>
            <w:shd w:val="clear" w:color="auto" w:fill="F1F1F1"/>
          </w:tcPr>
          <w:p w14:paraId="506682C3" w14:textId="77777777" w:rsidR="000533E4" w:rsidRDefault="000533E4" w:rsidP="00CD363C">
            <w:pPr>
              <w:pStyle w:val="TableParagraph"/>
              <w:ind w:left="399" w:right="113"/>
              <w:jc w:val="both"/>
              <w:rPr>
                <w:b/>
                <w:sz w:val="20"/>
              </w:rPr>
            </w:pPr>
            <w:r>
              <w:rPr>
                <w:b/>
                <w:w w:val="99"/>
                <w:sz w:val="20"/>
              </w:rPr>
              <w:t>2</w:t>
            </w:r>
          </w:p>
        </w:tc>
        <w:tc>
          <w:tcPr>
            <w:tcW w:w="973" w:type="dxa"/>
            <w:shd w:val="clear" w:color="auto" w:fill="F1F1F1"/>
          </w:tcPr>
          <w:p w14:paraId="07B34A0F" w14:textId="77777777" w:rsidR="000533E4" w:rsidRDefault="000533E4" w:rsidP="00CD363C">
            <w:pPr>
              <w:pStyle w:val="TableParagraph"/>
              <w:ind w:left="406" w:right="113"/>
              <w:jc w:val="both"/>
              <w:rPr>
                <w:b/>
                <w:sz w:val="20"/>
              </w:rPr>
            </w:pPr>
            <w:r>
              <w:rPr>
                <w:b/>
                <w:w w:val="99"/>
                <w:sz w:val="20"/>
              </w:rPr>
              <w:t>3</w:t>
            </w:r>
          </w:p>
        </w:tc>
        <w:tc>
          <w:tcPr>
            <w:tcW w:w="724" w:type="dxa"/>
            <w:shd w:val="clear" w:color="auto" w:fill="F1F1F1"/>
          </w:tcPr>
          <w:p w14:paraId="042CE56A" w14:textId="77777777" w:rsidR="000533E4" w:rsidRDefault="000533E4" w:rsidP="00CD363C">
            <w:pPr>
              <w:pStyle w:val="TableParagraph"/>
              <w:ind w:right="113"/>
              <w:jc w:val="both"/>
              <w:rPr>
                <w:b/>
                <w:sz w:val="20"/>
              </w:rPr>
            </w:pPr>
            <w:r>
              <w:rPr>
                <w:b/>
                <w:w w:val="99"/>
                <w:sz w:val="20"/>
              </w:rPr>
              <w:t>4</w:t>
            </w:r>
          </w:p>
        </w:tc>
        <w:tc>
          <w:tcPr>
            <w:tcW w:w="1266" w:type="dxa"/>
            <w:shd w:val="clear" w:color="auto" w:fill="F1F1F1"/>
          </w:tcPr>
          <w:p w14:paraId="4969BD51" w14:textId="77777777" w:rsidR="000533E4" w:rsidRDefault="000533E4" w:rsidP="00CD363C">
            <w:pPr>
              <w:pStyle w:val="TableParagraph"/>
              <w:ind w:right="113"/>
              <w:jc w:val="both"/>
              <w:rPr>
                <w:b/>
                <w:sz w:val="20"/>
              </w:rPr>
            </w:pPr>
            <w:r>
              <w:rPr>
                <w:b/>
                <w:w w:val="99"/>
                <w:sz w:val="20"/>
              </w:rPr>
              <w:t>5</w:t>
            </w:r>
          </w:p>
        </w:tc>
        <w:tc>
          <w:tcPr>
            <w:tcW w:w="1307" w:type="dxa"/>
            <w:shd w:val="clear" w:color="auto" w:fill="F1F1F1"/>
          </w:tcPr>
          <w:p w14:paraId="7890B3E6" w14:textId="77777777" w:rsidR="000533E4" w:rsidRDefault="000533E4" w:rsidP="00CD363C">
            <w:pPr>
              <w:pStyle w:val="TableParagraph"/>
              <w:ind w:right="113"/>
              <w:jc w:val="both"/>
              <w:rPr>
                <w:b/>
                <w:sz w:val="20"/>
              </w:rPr>
            </w:pPr>
            <w:r>
              <w:rPr>
                <w:b/>
                <w:w w:val="99"/>
                <w:sz w:val="20"/>
              </w:rPr>
              <w:t>6</w:t>
            </w:r>
          </w:p>
        </w:tc>
      </w:tr>
      <w:tr w:rsidR="000533E4" w14:paraId="53F7A00C" w14:textId="77777777" w:rsidTr="00FF1C69">
        <w:trPr>
          <w:trHeight w:val="301"/>
        </w:trPr>
        <w:tc>
          <w:tcPr>
            <w:tcW w:w="1183" w:type="dxa"/>
          </w:tcPr>
          <w:p w14:paraId="10F2945E" w14:textId="77777777" w:rsidR="000533E4" w:rsidRDefault="000533E4" w:rsidP="00CD363C">
            <w:pPr>
              <w:pStyle w:val="TableParagraph"/>
              <w:ind w:left="158" w:right="113"/>
              <w:jc w:val="both"/>
              <w:rPr>
                <w:sz w:val="20"/>
              </w:rPr>
            </w:pPr>
            <w:r>
              <w:rPr>
                <w:sz w:val="20"/>
              </w:rPr>
              <w:t>FA</w:t>
            </w:r>
          </w:p>
        </w:tc>
        <w:tc>
          <w:tcPr>
            <w:tcW w:w="1998" w:type="dxa"/>
            <w:gridSpan w:val="2"/>
          </w:tcPr>
          <w:p w14:paraId="45329FD5" w14:textId="77777777" w:rsidR="000533E4" w:rsidRDefault="000533E4" w:rsidP="00CD363C">
            <w:pPr>
              <w:pStyle w:val="TableParagraph"/>
              <w:ind w:left="110" w:right="113"/>
              <w:jc w:val="both"/>
              <w:rPr>
                <w:b/>
              </w:rPr>
            </w:pPr>
            <w:r>
              <w:rPr>
                <w:b/>
              </w:rPr>
              <w:t>Finanšu aktīvi</w:t>
            </w:r>
          </w:p>
        </w:tc>
        <w:tc>
          <w:tcPr>
            <w:tcW w:w="1088" w:type="dxa"/>
          </w:tcPr>
          <w:p w14:paraId="422A855F" w14:textId="77777777" w:rsidR="000533E4" w:rsidRDefault="000533E4" w:rsidP="00CD363C">
            <w:pPr>
              <w:pStyle w:val="TableParagraph"/>
              <w:ind w:left="472" w:right="113"/>
              <w:jc w:val="both"/>
              <w:rPr>
                <w:sz w:val="20"/>
              </w:rPr>
            </w:pPr>
            <w:r>
              <w:rPr>
                <w:sz w:val="20"/>
              </w:rPr>
              <w:t>9 500</w:t>
            </w:r>
          </w:p>
        </w:tc>
        <w:tc>
          <w:tcPr>
            <w:tcW w:w="956" w:type="dxa"/>
          </w:tcPr>
          <w:p w14:paraId="744B62ED" w14:textId="77777777" w:rsidR="000533E4" w:rsidRDefault="000533E4" w:rsidP="00CD363C">
            <w:pPr>
              <w:pStyle w:val="TableParagraph"/>
              <w:ind w:left="399" w:right="113"/>
              <w:jc w:val="both"/>
              <w:rPr>
                <w:sz w:val="20"/>
              </w:rPr>
            </w:pPr>
            <w:r>
              <w:rPr>
                <w:w w:val="99"/>
                <w:sz w:val="20"/>
              </w:rPr>
              <w:t>x</w:t>
            </w:r>
          </w:p>
        </w:tc>
        <w:tc>
          <w:tcPr>
            <w:tcW w:w="973" w:type="dxa"/>
          </w:tcPr>
          <w:p w14:paraId="0B1F2100" w14:textId="77777777" w:rsidR="000533E4" w:rsidRDefault="000533E4" w:rsidP="00CD363C">
            <w:pPr>
              <w:pStyle w:val="TableParagraph"/>
              <w:ind w:left="406" w:right="113"/>
              <w:jc w:val="both"/>
              <w:rPr>
                <w:sz w:val="20"/>
              </w:rPr>
            </w:pPr>
            <w:r>
              <w:rPr>
                <w:w w:val="99"/>
                <w:sz w:val="20"/>
              </w:rPr>
              <w:t>x</w:t>
            </w:r>
          </w:p>
        </w:tc>
        <w:tc>
          <w:tcPr>
            <w:tcW w:w="724" w:type="dxa"/>
          </w:tcPr>
          <w:p w14:paraId="4441BD10" w14:textId="77777777" w:rsidR="000533E4" w:rsidRDefault="000533E4" w:rsidP="00CD363C">
            <w:pPr>
              <w:pStyle w:val="TableParagraph"/>
              <w:ind w:right="113"/>
              <w:jc w:val="both"/>
              <w:rPr>
                <w:sz w:val="20"/>
              </w:rPr>
            </w:pPr>
            <w:r>
              <w:rPr>
                <w:w w:val="99"/>
                <w:sz w:val="20"/>
              </w:rPr>
              <w:t>x</w:t>
            </w:r>
          </w:p>
        </w:tc>
        <w:tc>
          <w:tcPr>
            <w:tcW w:w="1266" w:type="dxa"/>
          </w:tcPr>
          <w:p w14:paraId="28FEF444" w14:textId="77777777" w:rsidR="000533E4" w:rsidRDefault="000533E4" w:rsidP="00CD363C">
            <w:pPr>
              <w:pStyle w:val="TableParagraph"/>
              <w:ind w:right="113"/>
              <w:jc w:val="both"/>
              <w:rPr>
                <w:sz w:val="20"/>
              </w:rPr>
            </w:pPr>
            <w:r>
              <w:rPr>
                <w:sz w:val="20"/>
              </w:rPr>
              <w:t>101 000</w:t>
            </w:r>
          </w:p>
        </w:tc>
        <w:tc>
          <w:tcPr>
            <w:tcW w:w="1307" w:type="dxa"/>
            <w:shd w:val="clear" w:color="auto" w:fill="EBF3F9"/>
          </w:tcPr>
          <w:p w14:paraId="57EDAC4B" w14:textId="77777777" w:rsidR="000533E4" w:rsidRDefault="000533E4" w:rsidP="00CD363C">
            <w:pPr>
              <w:pStyle w:val="TableParagraph"/>
              <w:ind w:left="101" w:right="113"/>
              <w:jc w:val="both"/>
              <w:rPr>
                <w:sz w:val="20"/>
              </w:rPr>
            </w:pPr>
            <w:r>
              <w:rPr>
                <w:sz w:val="20"/>
              </w:rPr>
              <w:t>14.9., 14.10.</w:t>
            </w:r>
          </w:p>
        </w:tc>
      </w:tr>
      <w:tr w:rsidR="000533E4" w14:paraId="715164A9" w14:textId="77777777" w:rsidTr="00FF1C69">
        <w:trPr>
          <w:trHeight w:val="299"/>
        </w:trPr>
        <w:tc>
          <w:tcPr>
            <w:tcW w:w="1183" w:type="dxa"/>
          </w:tcPr>
          <w:p w14:paraId="5DC3CE4A" w14:textId="77777777" w:rsidR="000533E4" w:rsidRDefault="000533E4" w:rsidP="00CD363C">
            <w:pPr>
              <w:pStyle w:val="TableParagraph"/>
              <w:ind w:left="107" w:right="113"/>
              <w:jc w:val="both"/>
              <w:rPr>
                <w:sz w:val="20"/>
              </w:rPr>
            </w:pPr>
            <w:r>
              <w:rPr>
                <w:sz w:val="20"/>
              </w:rPr>
              <w:t>IVP</w:t>
            </w:r>
          </w:p>
        </w:tc>
        <w:tc>
          <w:tcPr>
            <w:tcW w:w="1998" w:type="dxa"/>
            <w:gridSpan w:val="2"/>
          </w:tcPr>
          <w:p w14:paraId="3BCDD63C" w14:textId="77777777" w:rsidR="000533E4" w:rsidRDefault="000533E4" w:rsidP="00CD363C">
            <w:pPr>
              <w:pStyle w:val="TableParagraph"/>
              <w:ind w:left="110" w:right="113"/>
              <w:jc w:val="both"/>
              <w:rPr>
                <w:sz w:val="20"/>
              </w:rPr>
            </w:pPr>
            <w:r>
              <w:rPr>
                <w:sz w:val="20"/>
              </w:rPr>
              <w:t>Vērtspapīri</w:t>
            </w:r>
          </w:p>
        </w:tc>
        <w:tc>
          <w:tcPr>
            <w:tcW w:w="1088" w:type="dxa"/>
          </w:tcPr>
          <w:p w14:paraId="62A07E1B" w14:textId="77777777" w:rsidR="000533E4" w:rsidRDefault="000533E4" w:rsidP="00CD363C">
            <w:pPr>
              <w:pStyle w:val="TableParagraph"/>
              <w:ind w:left="472" w:right="113"/>
              <w:jc w:val="both"/>
              <w:rPr>
                <w:sz w:val="20"/>
              </w:rPr>
            </w:pPr>
            <w:r>
              <w:rPr>
                <w:sz w:val="20"/>
              </w:rPr>
              <w:t>9 500</w:t>
            </w:r>
          </w:p>
        </w:tc>
        <w:tc>
          <w:tcPr>
            <w:tcW w:w="956" w:type="dxa"/>
          </w:tcPr>
          <w:p w14:paraId="4212C87F" w14:textId="77777777" w:rsidR="000533E4" w:rsidRDefault="000533E4" w:rsidP="00CD363C">
            <w:pPr>
              <w:pStyle w:val="TableParagraph"/>
              <w:ind w:left="399" w:right="113"/>
              <w:jc w:val="both"/>
              <w:rPr>
                <w:sz w:val="20"/>
              </w:rPr>
            </w:pPr>
            <w:r>
              <w:rPr>
                <w:w w:val="99"/>
                <w:sz w:val="20"/>
              </w:rPr>
              <w:t>x</w:t>
            </w:r>
          </w:p>
        </w:tc>
        <w:tc>
          <w:tcPr>
            <w:tcW w:w="973" w:type="dxa"/>
          </w:tcPr>
          <w:p w14:paraId="65A27F2F" w14:textId="77777777" w:rsidR="000533E4" w:rsidRDefault="000533E4" w:rsidP="00CD363C">
            <w:pPr>
              <w:pStyle w:val="TableParagraph"/>
              <w:ind w:left="406" w:right="113"/>
              <w:jc w:val="both"/>
              <w:rPr>
                <w:sz w:val="20"/>
              </w:rPr>
            </w:pPr>
            <w:r>
              <w:rPr>
                <w:w w:val="99"/>
                <w:sz w:val="20"/>
              </w:rPr>
              <w:t>x</w:t>
            </w:r>
          </w:p>
        </w:tc>
        <w:tc>
          <w:tcPr>
            <w:tcW w:w="724" w:type="dxa"/>
          </w:tcPr>
          <w:p w14:paraId="25F6201E" w14:textId="77777777" w:rsidR="000533E4" w:rsidRDefault="000533E4" w:rsidP="00CD363C">
            <w:pPr>
              <w:pStyle w:val="TableParagraph"/>
              <w:ind w:right="113"/>
              <w:jc w:val="both"/>
              <w:rPr>
                <w:sz w:val="20"/>
              </w:rPr>
            </w:pPr>
            <w:r>
              <w:rPr>
                <w:w w:val="99"/>
                <w:sz w:val="20"/>
              </w:rPr>
              <w:t>x</w:t>
            </w:r>
          </w:p>
        </w:tc>
        <w:tc>
          <w:tcPr>
            <w:tcW w:w="1266" w:type="dxa"/>
          </w:tcPr>
          <w:p w14:paraId="6E3AE3E8" w14:textId="77777777" w:rsidR="000533E4" w:rsidRDefault="000533E4" w:rsidP="00CD363C">
            <w:pPr>
              <w:pStyle w:val="TableParagraph"/>
              <w:ind w:right="113"/>
              <w:jc w:val="both"/>
              <w:rPr>
                <w:sz w:val="20"/>
              </w:rPr>
            </w:pPr>
            <w:r>
              <w:rPr>
                <w:sz w:val="20"/>
              </w:rPr>
              <w:t>101 000</w:t>
            </w:r>
          </w:p>
        </w:tc>
        <w:tc>
          <w:tcPr>
            <w:tcW w:w="1307" w:type="dxa"/>
            <w:shd w:val="clear" w:color="auto" w:fill="EBF3F9"/>
          </w:tcPr>
          <w:p w14:paraId="64462048" w14:textId="77777777" w:rsidR="000533E4" w:rsidRDefault="000533E4" w:rsidP="00CD363C">
            <w:pPr>
              <w:pStyle w:val="TableParagraph"/>
              <w:ind w:left="101" w:right="113"/>
              <w:jc w:val="both"/>
              <w:rPr>
                <w:sz w:val="20"/>
              </w:rPr>
            </w:pPr>
            <w:r>
              <w:rPr>
                <w:sz w:val="20"/>
              </w:rPr>
              <w:t>14.9., 14.10.</w:t>
            </w:r>
          </w:p>
        </w:tc>
      </w:tr>
      <w:tr w:rsidR="000533E4" w14:paraId="1A6B827F" w14:textId="77777777" w:rsidTr="00FF1C69">
        <w:trPr>
          <w:trHeight w:val="688"/>
        </w:trPr>
        <w:tc>
          <w:tcPr>
            <w:tcW w:w="1183" w:type="dxa"/>
          </w:tcPr>
          <w:p w14:paraId="5A8FA6EC" w14:textId="77777777" w:rsidR="000533E4" w:rsidRDefault="000533E4" w:rsidP="00CD363C">
            <w:pPr>
              <w:pStyle w:val="TableParagraph"/>
              <w:ind w:right="113"/>
              <w:jc w:val="both"/>
              <w:rPr>
                <w:b/>
                <w:sz w:val="19"/>
              </w:rPr>
            </w:pPr>
          </w:p>
          <w:p w14:paraId="54038B91" w14:textId="77777777" w:rsidR="000533E4" w:rsidRDefault="000533E4" w:rsidP="00CD363C">
            <w:pPr>
              <w:pStyle w:val="TableParagraph"/>
              <w:ind w:left="107" w:right="113"/>
              <w:jc w:val="both"/>
              <w:rPr>
                <w:sz w:val="20"/>
              </w:rPr>
            </w:pPr>
            <w:r>
              <w:rPr>
                <w:sz w:val="20"/>
              </w:rPr>
              <w:t>MM1</w:t>
            </w:r>
          </w:p>
        </w:tc>
        <w:tc>
          <w:tcPr>
            <w:tcW w:w="1998" w:type="dxa"/>
            <w:gridSpan w:val="2"/>
          </w:tcPr>
          <w:p w14:paraId="270E1FBB" w14:textId="77777777" w:rsidR="000533E4" w:rsidRDefault="000533E4" w:rsidP="00CD363C">
            <w:pPr>
              <w:pStyle w:val="TableParagraph"/>
              <w:ind w:right="113"/>
              <w:jc w:val="both"/>
              <w:rPr>
                <w:b/>
                <w:sz w:val="19"/>
              </w:rPr>
            </w:pPr>
          </w:p>
          <w:p w14:paraId="63E40B8B" w14:textId="77777777" w:rsidR="000533E4" w:rsidRDefault="000533E4" w:rsidP="00CD363C">
            <w:pPr>
              <w:pStyle w:val="TableParagraph"/>
              <w:ind w:left="110" w:right="113"/>
              <w:jc w:val="both"/>
              <w:rPr>
                <w:sz w:val="20"/>
              </w:rPr>
            </w:pPr>
            <w:r>
              <w:rPr>
                <w:sz w:val="20"/>
              </w:rPr>
              <w:t>1.metode kopā</w:t>
            </w:r>
          </w:p>
        </w:tc>
        <w:tc>
          <w:tcPr>
            <w:tcW w:w="1088" w:type="dxa"/>
          </w:tcPr>
          <w:p w14:paraId="3E9BBFB1" w14:textId="77777777" w:rsidR="000533E4" w:rsidRDefault="000533E4" w:rsidP="00CD363C">
            <w:pPr>
              <w:pStyle w:val="TableParagraph"/>
              <w:ind w:right="113"/>
              <w:jc w:val="both"/>
              <w:rPr>
                <w:b/>
                <w:sz w:val="19"/>
              </w:rPr>
            </w:pPr>
          </w:p>
          <w:p w14:paraId="7815CE3A" w14:textId="77777777" w:rsidR="000533E4" w:rsidRDefault="000533E4" w:rsidP="00CD363C">
            <w:pPr>
              <w:pStyle w:val="TableParagraph"/>
              <w:ind w:left="472" w:right="113"/>
              <w:jc w:val="both"/>
              <w:rPr>
                <w:sz w:val="20"/>
              </w:rPr>
            </w:pPr>
            <w:r>
              <w:rPr>
                <w:sz w:val="20"/>
              </w:rPr>
              <w:t>9 500</w:t>
            </w:r>
          </w:p>
        </w:tc>
        <w:tc>
          <w:tcPr>
            <w:tcW w:w="956" w:type="dxa"/>
          </w:tcPr>
          <w:p w14:paraId="77957A9B" w14:textId="77777777" w:rsidR="000533E4" w:rsidRDefault="000533E4" w:rsidP="00CD363C">
            <w:pPr>
              <w:pStyle w:val="TableParagraph"/>
              <w:ind w:right="113"/>
              <w:jc w:val="both"/>
              <w:rPr>
                <w:b/>
                <w:sz w:val="19"/>
              </w:rPr>
            </w:pPr>
          </w:p>
          <w:p w14:paraId="3C8D901C" w14:textId="77777777" w:rsidR="000533E4" w:rsidRDefault="000533E4" w:rsidP="00CD363C">
            <w:pPr>
              <w:pStyle w:val="TableParagraph"/>
              <w:ind w:left="399" w:right="113"/>
              <w:jc w:val="both"/>
              <w:rPr>
                <w:sz w:val="20"/>
              </w:rPr>
            </w:pPr>
            <w:r>
              <w:rPr>
                <w:w w:val="99"/>
                <w:sz w:val="20"/>
              </w:rPr>
              <w:t>x</w:t>
            </w:r>
          </w:p>
        </w:tc>
        <w:tc>
          <w:tcPr>
            <w:tcW w:w="973" w:type="dxa"/>
          </w:tcPr>
          <w:p w14:paraId="1DDE4922" w14:textId="77777777" w:rsidR="000533E4" w:rsidRDefault="000533E4" w:rsidP="00CD363C">
            <w:pPr>
              <w:pStyle w:val="TableParagraph"/>
              <w:ind w:right="113"/>
              <w:jc w:val="both"/>
              <w:rPr>
                <w:b/>
                <w:sz w:val="19"/>
              </w:rPr>
            </w:pPr>
          </w:p>
          <w:p w14:paraId="73A85159" w14:textId="77777777" w:rsidR="000533E4" w:rsidRDefault="000533E4" w:rsidP="00CD363C">
            <w:pPr>
              <w:pStyle w:val="TableParagraph"/>
              <w:ind w:left="406" w:right="113"/>
              <w:jc w:val="both"/>
              <w:rPr>
                <w:sz w:val="20"/>
              </w:rPr>
            </w:pPr>
            <w:r>
              <w:rPr>
                <w:w w:val="99"/>
                <w:sz w:val="20"/>
              </w:rPr>
              <w:t>x</w:t>
            </w:r>
          </w:p>
        </w:tc>
        <w:tc>
          <w:tcPr>
            <w:tcW w:w="724" w:type="dxa"/>
          </w:tcPr>
          <w:p w14:paraId="1B45C5C9" w14:textId="77777777" w:rsidR="000533E4" w:rsidRDefault="000533E4" w:rsidP="00CD363C">
            <w:pPr>
              <w:pStyle w:val="TableParagraph"/>
              <w:ind w:right="113"/>
              <w:jc w:val="both"/>
              <w:rPr>
                <w:b/>
                <w:sz w:val="19"/>
              </w:rPr>
            </w:pPr>
          </w:p>
          <w:p w14:paraId="5EC16CA3" w14:textId="77777777" w:rsidR="000533E4" w:rsidRDefault="000533E4" w:rsidP="00CD363C">
            <w:pPr>
              <w:pStyle w:val="TableParagraph"/>
              <w:ind w:right="113"/>
              <w:jc w:val="both"/>
              <w:rPr>
                <w:sz w:val="20"/>
              </w:rPr>
            </w:pPr>
            <w:r>
              <w:rPr>
                <w:w w:val="99"/>
                <w:sz w:val="20"/>
              </w:rPr>
              <w:t>x</w:t>
            </w:r>
          </w:p>
        </w:tc>
        <w:tc>
          <w:tcPr>
            <w:tcW w:w="1266" w:type="dxa"/>
          </w:tcPr>
          <w:p w14:paraId="3D718108" w14:textId="77777777" w:rsidR="000533E4" w:rsidRDefault="000533E4" w:rsidP="00CD363C">
            <w:pPr>
              <w:pStyle w:val="TableParagraph"/>
              <w:ind w:left="444" w:right="113"/>
              <w:jc w:val="both"/>
              <w:rPr>
                <w:sz w:val="20"/>
              </w:rPr>
            </w:pPr>
            <w:r>
              <w:rPr>
                <w:sz w:val="20"/>
              </w:rPr>
              <w:t>101</w:t>
            </w:r>
            <w:r>
              <w:rPr>
                <w:spacing w:val="-1"/>
                <w:sz w:val="20"/>
              </w:rPr>
              <w:t xml:space="preserve"> </w:t>
            </w:r>
            <w:r>
              <w:rPr>
                <w:sz w:val="20"/>
              </w:rPr>
              <w:t>000</w:t>
            </w:r>
          </w:p>
          <w:p w14:paraId="466FE540" w14:textId="77777777" w:rsidR="000533E4" w:rsidRDefault="000533E4" w:rsidP="00CD363C">
            <w:pPr>
              <w:pStyle w:val="TableParagraph"/>
              <w:ind w:left="466" w:right="113"/>
              <w:jc w:val="both"/>
              <w:rPr>
                <w:sz w:val="20"/>
              </w:rPr>
            </w:pPr>
            <w:r>
              <w:rPr>
                <w:sz w:val="20"/>
              </w:rPr>
              <w:t>(6</w:t>
            </w:r>
            <w:r>
              <w:rPr>
                <w:spacing w:val="-2"/>
                <w:sz w:val="20"/>
              </w:rPr>
              <w:t xml:space="preserve"> </w:t>
            </w:r>
            <w:r>
              <w:rPr>
                <w:sz w:val="20"/>
              </w:rPr>
              <w:t>000+</w:t>
            </w:r>
          </w:p>
          <w:p w14:paraId="4DBA9DD1" w14:textId="77777777" w:rsidR="000533E4" w:rsidRDefault="000533E4" w:rsidP="00CD363C">
            <w:pPr>
              <w:pStyle w:val="TableParagraph"/>
              <w:ind w:left="480" w:right="113"/>
              <w:jc w:val="both"/>
              <w:rPr>
                <w:sz w:val="20"/>
              </w:rPr>
            </w:pPr>
            <w:r>
              <w:rPr>
                <w:sz w:val="20"/>
              </w:rPr>
              <w:t>95</w:t>
            </w:r>
            <w:r>
              <w:rPr>
                <w:spacing w:val="-1"/>
                <w:sz w:val="20"/>
              </w:rPr>
              <w:t xml:space="preserve"> </w:t>
            </w:r>
            <w:r>
              <w:rPr>
                <w:sz w:val="20"/>
              </w:rPr>
              <w:t>000)</w:t>
            </w:r>
          </w:p>
        </w:tc>
        <w:tc>
          <w:tcPr>
            <w:tcW w:w="1307" w:type="dxa"/>
            <w:shd w:val="clear" w:color="auto" w:fill="EBF3F9"/>
          </w:tcPr>
          <w:p w14:paraId="0B454567" w14:textId="77777777" w:rsidR="000533E4" w:rsidRDefault="000533E4" w:rsidP="00CD363C">
            <w:pPr>
              <w:pStyle w:val="TableParagraph"/>
              <w:ind w:right="113"/>
              <w:jc w:val="both"/>
              <w:rPr>
                <w:b/>
                <w:sz w:val="19"/>
              </w:rPr>
            </w:pPr>
          </w:p>
          <w:p w14:paraId="7B843829" w14:textId="77777777" w:rsidR="000533E4" w:rsidRDefault="000533E4" w:rsidP="00CD363C">
            <w:pPr>
              <w:pStyle w:val="TableParagraph"/>
              <w:ind w:left="101" w:right="113"/>
              <w:jc w:val="both"/>
              <w:rPr>
                <w:sz w:val="20"/>
              </w:rPr>
            </w:pPr>
            <w:r>
              <w:rPr>
                <w:sz w:val="20"/>
              </w:rPr>
              <w:t>14.9., 14.10.</w:t>
            </w:r>
          </w:p>
        </w:tc>
      </w:tr>
      <w:tr w:rsidR="000533E4" w14:paraId="58E2A9E9" w14:textId="77777777" w:rsidTr="00FF1C69">
        <w:trPr>
          <w:trHeight w:val="302"/>
        </w:trPr>
        <w:tc>
          <w:tcPr>
            <w:tcW w:w="1183" w:type="dxa"/>
          </w:tcPr>
          <w:p w14:paraId="2979F085" w14:textId="77777777" w:rsidR="000533E4" w:rsidRDefault="000533E4" w:rsidP="00CD363C">
            <w:pPr>
              <w:pStyle w:val="TableParagraph"/>
              <w:ind w:left="107" w:right="113"/>
              <w:jc w:val="both"/>
              <w:rPr>
                <w:sz w:val="20"/>
              </w:rPr>
            </w:pPr>
            <w:r>
              <w:rPr>
                <w:sz w:val="20"/>
              </w:rPr>
              <w:t>MM2</w:t>
            </w:r>
          </w:p>
        </w:tc>
        <w:tc>
          <w:tcPr>
            <w:tcW w:w="1998" w:type="dxa"/>
            <w:gridSpan w:val="2"/>
          </w:tcPr>
          <w:p w14:paraId="460CE280" w14:textId="77777777" w:rsidR="000533E4" w:rsidRDefault="000533E4" w:rsidP="00CD363C">
            <w:pPr>
              <w:pStyle w:val="TableParagraph"/>
              <w:ind w:left="110" w:right="113"/>
              <w:jc w:val="both"/>
              <w:rPr>
                <w:sz w:val="20"/>
              </w:rPr>
            </w:pPr>
            <w:r>
              <w:rPr>
                <w:sz w:val="20"/>
              </w:rPr>
              <w:t>2.metode kopā</w:t>
            </w:r>
          </w:p>
        </w:tc>
        <w:tc>
          <w:tcPr>
            <w:tcW w:w="1088" w:type="dxa"/>
          </w:tcPr>
          <w:p w14:paraId="775A2D93" w14:textId="77777777" w:rsidR="000533E4" w:rsidRDefault="000533E4" w:rsidP="00CD363C">
            <w:pPr>
              <w:pStyle w:val="TableParagraph"/>
              <w:ind w:left="481" w:right="113"/>
              <w:jc w:val="both"/>
              <w:rPr>
                <w:sz w:val="20"/>
              </w:rPr>
            </w:pPr>
            <w:r>
              <w:rPr>
                <w:w w:val="99"/>
                <w:sz w:val="20"/>
              </w:rPr>
              <w:t>-</w:t>
            </w:r>
          </w:p>
        </w:tc>
        <w:tc>
          <w:tcPr>
            <w:tcW w:w="956" w:type="dxa"/>
          </w:tcPr>
          <w:p w14:paraId="599361E1" w14:textId="77777777" w:rsidR="000533E4" w:rsidRDefault="000533E4" w:rsidP="00CD363C">
            <w:pPr>
              <w:pStyle w:val="TableParagraph"/>
              <w:ind w:left="416" w:right="113"/>
              <w:jc w:val="both"/>
              <w:rPr>
                <w:sz w:val="20"/>
              </w:rPr>
            </w:pPr>
            <w:r>
              <w:rPr>
                <w:w w:val="99"/>
                <w:sz w:val="20"/>
              </w:rPr>
              <w:t>-</w:t>
            </w:r>
          </w:p>
        </w:tc>
        <w:tc>
          <w:tcPr>
            <w:tcW w:w="973" w:type="dxa"/>
          </w:tcPr>
          <w:p w14:paraId="061EC9C9" w14:textId="77777777" w:rsidR="000533E4" w:rsidRDefault="000533E4" w:rsidP="00CD363C">
            <w:pPr>
              <w:pStyle w:val="TableParagraph"/>
              <w:ind w:left="422" w:right="113"/>
              <w:jc w:val="both"/>
              <w:rPr>
                <w:sz w:val="20"/>
              </w:rPr>
            </w:pPr>
            <w:r>
              <w:rPr>
                <w:w w:val="99"/>
                <w:sz w:val="20"/>
              </w:rPr>
              <w:t>-</w:t>
            </w:r>
          </w:p>
        </w:tc>
        <w:tc>
          <w:tcPr>
            <w:tcW w:w="724" w:type="dxa"/>
          </w:tcPr>
          <w:p w14:paraId="662FDDB6" w14:textId="77777777" w:rsidR="000533E4" w:rsidRDefault="000533E4" w:rsidP="00CD363C">
            <w:pPr>
              <w:pStyle w:val="TableParagraph"/>
              <w:ind w:right="113"/>
              <w:jc w:val="both"/>
              <w:rPr>
                <w:sz w:val="20"/>
              </w:rPr>
            </w:pPr>
            <w:r>
              <w:rPr>
                <w:w w:val="99"/>
                <w:sz w:val="20"/>
              </w:rPr>
              <w:t>-</w:t>
            </w:r>
          </w:p>
        </w:tc>
        <w:tc>
          <w:tcPr>
            <w:tcW w:w="1266" w:type="dxa"/>
          </w:tcPr>
          <w:p w14:paraId="55598A13" w14:textId="77777777" w:rsidR="000533E4" w:rsidRDefault="000533E4" w:rsidP="00CD363C">
            <w:pPr>
              <w:pStyle w:val="TableParagraph"/>
              <w:ind w:right="113"/>
              <w:jc w:val="both"/>
              <w:rPr>
                <w:sz w:val="20"/>
              </w:rPr>
            </w:pPr>
            <w:r>
              <w:rPr>
                <w:w w:val="99"/>
                <w:sz w:val="20"/>
              </w:rPr>
              <w:t>-</w:t>
            </w:r>
          </w:p>
        </w:tc>
        <w:tc>
          <w:tcPr>
            <w:tcW w:w="1307" w:type="dxa"/>
            <w:shd w:val="clear" w:color="auto" w:fill="EBF3F9"/>
          </w:tcPr>
          <w:p w14:paraId="6712D783" w14:textId="77777777" w:rsidR="000533E4" w:rsidRDefault="000533E4" w:rsidP="00CD363C">
            <w:pPr>
              <w:pStyle w:val="TableParagraph"/>
              <w:ind w:right="113"/>
              <w:jc w:val="both"/>
              <w:rPr>
                <w:sz w:val="20"/>
              </w:rPr>
            </w:pPr>
            <w:r>
              <w:rPr>
                <w:w w:val="99"/>
                <w:sz w:val="20"/>
              </w:rPr>
              <w:t>-</w:t>
            </w:r>
          </w:p>
        </w:tc>
      </w:tr>
      <w:tr w:rsidR="000533E4" w14:paraId="57216466" w14:textId="77777777" w:rsidTr="00FF1C69">
        <w:trPr>
          <w:trHeight w:val="299"/>
        </w:trPr>
        <w:tc>
          <w:tcPr>
            <w:tcW w:w="1183" w:type="dxa"/>
          </w:tcPr>
          <w:p w14:paraId="0A9D2A03" w14:textId="77777777" w:rsidR="000533E4" w:rsidRDefault="000533E4" w:rsidP="00CD363C">
            <w:pPr>
              <w:pStyle w:val="TableParagraph"/>
              <w:ind w:left="107" w:right="113"/>
              <w:jc w:val="both"/>
              <w:rPr>
                <w:sz w:val="20"/>
              </w:rPr>
            </w:pPr>
            <w:r>
              <w:rPr>
                <w:sz w:val="20"/>
              </w:rPr>
              <w:t>MM3</w:t>
            </w:r>
          </w:p>
        </w:tc>
        <w:tc>
          <w:tcPr>
            <w:tcW w:w="1998" w:type="dxa"/>
            <w:gridSpan w:val="2"/>
          </w:tcPr>
          <w:p w14:paraId="4A616AD0" w14:textId="77777777" w:rsidR="000533E4" w:rsidRDefault="000533E4" w:rsidP="00CD363C">
            <w:pPr>
              <w:pStyle w:val="TableParagraph"/>
              <w:ind w:left="110" w:right="113"/>
              <w:jc w:val="both"/>
              <w:rPr>
                <w:sz w:val="20"/>
              </w:rPr>
            </w:pPr>
            <w:r>
              <w:rPr>
                <w:sz w:val="20"/>
              </w:rPr>
              <w:t>3.metode</w:t>
            </w:r>
          </w:p>
        </w:tc>
        <w:tc>
          <w:tcPr>
            <w:tcW w:w="1088" w:type="dxa"/>
          </w:tcPr>
          <w:p w14:paraId="164B9079" w14:textId="77777777" w:rsidR="000533E4" w:rsidRDefault="000533E4" w:rsidP="00CD363C">
            <w:pPr>
              <w:pStyle w:val="TableParagraph"/>
              <w:ind w:left="481" w:right="113"/>
              <w:jc w:val="both"/>
              <w:rPr>
                <w:sz w:val="20"/>
              </w:rPr>
            </w:pPr>
            <w:r>
              <w:rPr>
                <w:w w:val="99"/>
                <w:sz w:val="20"/>
              </w:rPr>
              <w:t>-</w:t>
            </w:r>
          </w:p>
        </w:tc>
        <w:tc>
          <w:tcPr>
            <w:tcW w:w="956" w:type="dxa"/>
          </w:tcPr>
          <w:p w14:paraId="6BF21C70" w14:textId="77777777" w:rsidR="000533E4" w:rsidRDefault="000533E4" w:rsidP="00CD363C">
            <w:pPr>
              <w:pStyle w:val="TableParagraph"/>
              <w:ind w:left="416" w:right="113"/>
              <w:jc w:val="both"/>
              <w:rPr>
                <w:sz w:val="20"/>
              </w:rPr>
            </w:pPr>
            <w:r>
              <w:rPr>
                <w:w w:val="99"/>
                <w:sz w:val="20"/>
              </w:rPr>
              <w:t>-</w:t>
            </w:r>
          </w:p>
        </w:tc>
        <w:tc>
          <w:tcPr>
            <w:tcW w:w="973" w:type="dxa"/>
          </w:tcPr>
          <w:p w14:paraId="4239F484" w14:textId="77777777" w:rsidR="000533E4" w:rsidRDefault="000533E4" w:rsidP="00CD363C">
            <w:pPr>
              <w:pStyle w:val="TableParagraph"/>
              <w:ind w:left="422" w:right="113"/>
              <w:jc w:val="both"/>
              <w:rPr>
                <w:sz w:val="20"/>
              </w:rPr>
            </w:pPr>
            <w:r>
              <w:rPr>
                <w:w w:val="99"/>
                <w:sz w:val="20"/>
              </w:rPr>
              <w:t>-</w:t>
            </w:r>
          </w:p>
        </w:tc>
        <w:tc>
          <w:tcPr>
            <w:tcW w:w="724" w:type="dxa"/>
          </w:tcPr>
          <w:p w14:paraId="4466414C" w14:textId="77777777" w:rsidR="000533E4" w:rsidRDefault="000533E4" w:rsidP="00CD363C">
            <w:pPr>
              <w:pStyle w:val="TableParagraph"/>
              <w:ind w:right="113"/>
              <w:jc w:val="both"/>
              <w:rPr>
                <w:sz w:val="20"/>
              </w:rPr>
            </w:pPr>
            <w:r>
              <w:rPr>
                <w:w w:val="99"/>
                <w:sz w:val="20"/>
              </w:rPr>
              <w:t>-</w:t>
            </w:r>
          </w:p>
        </w:tc>
        <w:tc>
          <w:tcPr>
            <w:tcW w:w="1266" w:type="dxa"/>
          </w:tcPr>
          <w:p w14:paraId="21E3D62E" w14:textId="77777777" w:rsidR="000533E4" w:rsidRDefault="000533E4" w:rsidP="00CD363C">
            <w:pPr>
              <w:pStyle w:val="TableParagraph"/>
              <w:ind w:right="113"/>
              <w:jc w:val="both"/>
              <w:rPr>
                <w:sz w:val="20"/>
              </w:rPr>
            </w:pPr>
            <w:r>
              <w:rPr>
                <w:w w:val="99"/>
                <w:sz w:val="20"/>
              </w:rPr>
              <w:t>-</w:t>
            </w:r>
          </w:p>
        </w:tc>
        <w:tc>
          <w:tcPr>
            <w:tcW w:w="1307" w:type="dxa"/>
            <w:shd w:val="clear" w:color="auto" w:fill="EBF3F9"/>
          </w:tcPr>
          <w:p w14:paraId="3C9C66D2" w14:textId="77777777" w:rsidR="000533E4" w:rsidRDefault="000533E4" w:rsidP="00CD363C">
            <w:pPr>
              <w:pStyle w:val="TableParagraph"/>
              <w:ind w:right="113"/>
              <w:jc w:val="both"/>
              <w:rPr>
                <w:sz w:val="20"/>
              </w:rPr>
            </w:pPr>
            <w:r>
              <w:rPr>
                <w:w w:val="99"/>
                <w:sz w:val="20"/>
              </w:rPr>
              <w:t>-</w:t>
            </w:r>
          </w:p>
        </w:tc>
      </w:tr>
      <w:tr w:rsidR="000533E4" w14:paraId="56B104AC" w14:textId="77777777" w:rsidTr="00FF1C69">
        <w:trPr>
          <w:trHeight w:val="352"/>
        </w:trPr>
        <w:tc>
          <w:tcPr>
            <w:tcW w:w="2151" w:type="dxa"/>
            <w:gridSpan w:val="2"/>
          </w:tcPr>
          <w:p w14:paraId="37157C4A" w14:textId="77777777" w:rsidR="000533E4" w:rsidRDefault="000533E4" w:rsidP="00CD363C">
            <w:pPr>
              <w:pStyle w:val="TableParagraph"/>
              <w:ind w:left="107" w:right="113"/>
              <w:jc w:val="both"/>
              <w:rPr>
                <w:b/>
              </w:rPr>
            </w:pPr>
            <w:r>
              <w:rPr>
                <w:b/>
              </w:rPr>
              <w:t>Kods</w:t>
            </w:r>
          </w:p>
        </w:tc>
        <w:tc>
          <w:tcPr>
            <w:tcW w:w="6037" w:type="dxa"/>
            <w:gridSpan w:val="6"/>
            <w:shd w:val="clear" w:color="auto" w:fill="EBF3F9"/>
          </w:tcPr>
          <w:p w14:paraId="4E4DF78D" w14:textId="77777777" w:rsidR="000533E4" w:rsidRDefault="000533E4" w:rsidP="00CD363C">
            <w:pPr>
              <w:pStyle w:val="TableParagraph"/>
              <w:ind w:left="110" w:right="113"/>
              <w:jc w:val="both"/>
              <w:rPr>
                <w:b/>
              </w:rPr>
            </w:pPr>
            <w:r>
              <w:rPr>
                <w:b/>
              </w:rPr>
              <w:t>Metodes koda un metodes maiņas koda apraksts</w:t>
            </w:r>
          </w:p>
        </w:tc>
        <w:tc>
          <w:tcPr>
            <w:tcW w:w="1307" w:type="dxa"/>
            <w:shd w:val="clear" w:color="auto" w:fill="EBF3F9"/>
          </w:tcPr>
          <w:p w14:paraId="201EBFCE" w14:textId="77777777" w:rsidR="000533E4" w:rsidRDefault="000533E4" w:rsidP="00CD363C">
            <w:pPr>
              <w:pStyle w:val="TableParagraph"/>
              <w:ind w:right="113"/>
              <w:jc w:val="both"/>
              <w:rPr>
                <w:sz w:val="20"/>
              </w:rPr>
            </w:pPr>
          </w:p>
        </w:tc>
      </w:tr>
      <w:tr w:rsidR="000533E4" w14:paraId="3A4C3BBB" w14:textId="77777777" w:rsidTr="00FF1C69">
        <w:trPr>
          <w:trHeight w:val="330"/>
        </w:trPr>
        <w:tc>
          <w:tcPr>
            <w:tcW w:w="2151" w:type="dxa"/>
            <w:gridSpan w:val="2"/>
          </w:tcPr>
          <w:p w14:paraId="600D1539" w14:textId="77777777" w:rsidR="000533E4" w:rsidRDefault="000533E4" w:rsidP="00CD363C">
            <w:pPr>
              <w:pStyle w:val="TableParagraph"/>
              <w:ind w:left="107" w:right="113"/>
              <w:jc w:val="both"/>
              <w:rPr>
                <w:sz w:val="20"/>
              </w:rPr>
            </w:pPr>
            <w:r>
              <w:rPr>
                <w:sz w:val="20"/>
              </w:rPr>
              <w:t>MM1</w:t>
            </w:r>
          </w:p>
        </w:tc>
        <w:tc>
          <w:tcPr>
            <w:tcW w:w="6037" w:type="dxa"/>
            <w:gridSpan w:val="6"/>
          </w:tcPr>
          <w:p w14:paraId="70F40445" w14:textId="77777777" w:rsidR="000533E4" w:rsidRDefault="000533E4" w:rsidP="00CD363C">
            <w:pPr>
              <w:pStyle w:val="TableParagraph"/>
              <w:ind w:left="110" w:right="113"/>
              <w:jc w:val="both"/>
              <w:rPr>
                <w:sz w:val="20"/>
              </w:rPr>
            </w:pPr>
            <w:r>
              <w:rPr>
                <w:sz w:val="20"/>
              </w:rPr>
              <w:t>1. metode kopā</w:t>
            </w:r>
          </w:p>
        </w:tc>
        <w:tc>
          <w:tcPr>
            <w:tcW w:w="1307" w:type="dxa"/>
            <w:shd w:val="clear" w:color="auto" w:fill="EBF3F9"/>
          </w:tcPr>
          <w:p w14:paraId="5C54BFBA" w14:textId="77777777" w:rsidR="000533E4" w:rsidRDefault="000533E4" w:rsidP="00CD363C">
            <w:pPr>
              <w:pStyle w:val="TableParagraph"/>
              <w:ind w:right="113"/>
              <w:jc w:val="both"/>
              <w:rPr>
                <w:sz w:val="20"/>
              </w:rPr>
            </w:pPr>
          </w:p>
        </w:tc>
      </w:tr>
      <w:tr w:rsidR="000533E4" w14:paraId="442567A9" w14:textId="77777777" w:rsidTr="00FF1C69">
        <w:trPr>
          <w:trHeight w:val="328"/>
        </w:trPr>
        <w:tc>
          <w:tcPr>
            <w:tcW w:w="2151" w:type="dxa"/>
            <w:gridSpan w:val="2"/>
          </w:tcPr>
          <w:p w14:paraId="199C43C3" w14:textId="77777777" w:rsidR="000533E4" w:rsidRDefault="000533E4" w:rsidP="00CD363C">
            <w:pPr>
              <w:pStyle w:val="TableParagraph"/>
              <w:ind w:left="107" w:right="113"/>
              <w:jc w:val="both"/>
              <w:rPr>
                <w:sz w:val="20"/>
              </w:rPr>
            </w:pPr>
            <w:r>
              <w:rPr>
                <w:sz w:val="20"/>
              </w:rPr>
              <w:t>MM12</w:t>
            </w:r>
          </w:p>
        </w:tc>
        <w:tc>
          <w:tcPr>
            <w:tcW w:w="6037" w:type="dxa"/>
            <w:gridSpan w:val="6"/>
          </w:tcPr>
          <w:p w14:paraId="1AE0469D" w14:textId="77777777" w:rsidR="000533E4" w:rsidRDefault="000533E4" w:rsidP="00CD363C">
            <w:pPr>
              <w:pStyle w:val="TableParagraph"/>
              <w:ind w:left="110" w:right="113"/>
              <w:jc w:val="both"/>
              <w:rPr>
                <w:sz w:val="20"/>
              </w:rPr>
            </w:pPr>
            <w:r>
              <w:rPr>
                <w:sz w:val="20"/>
              </w:rPr>
              <w:t>no 1.metodes uz 2.metodi</w:t>
            </w:r>
          </w:p>
        </w:tc>
        <w:tc>
          <w:tcPr>
            <w:tcW w:w="1307" w:type="dxa"/>
            <w:shd w:val="clear" w:color="auto" w:fill="EBF3F9"/>
          </w:tcPr>
          <w:p w14:paraId="2901C669" w14:textId="77777777" w:rsidR="000533E4" w:rsidRDefault="000533E4" w:rsidP="00CD363C">
            <w:pPr>
              <w:pStyle w:val="TableParagraph"/>
              <w:ind w:right="113"/>
              <w:jc w:val="both"/>
              <w:rPr>
                <w:sz w:val="20"/>
              </w:rPr>
            </w:pPr>
          </w:p>
        </w:tc>
      </w:tr>
      <w:tr w:rsidR="000533E4" w14:paraId="2F1171F4" w14:textId="77777777" w:rsidTr="00FF1C69">
        <w:trPr>
          <w:trHeight w:val="330"/>
        </w:trPr>
        <w:tc>
          <w:tcPr>
            <w:tcW w:w="2151" w:type="dxa"/>
            <w:gridSpan w:val="2"/>
          </w:tcPr>
          <w:p w14:paraId="6A069D1A" w14:textId="77777777" w:rsidR="000533E4" w:rsidRDefault="000533E4" w:rsidP="00CD363C">
            <w:pPr>
              <w:pStyle w:val="TableParagraph"/>
              <w:ind w:left="107" w:right="113"/>
              <w:jc w:val="both"/>
              <w:rPr>
                <w:sz w:val="20"/>
              </w:rPr>
            </w:pPr>
            <w:r>
              <w:rPr>
                <w:sz w:val="20"/>
              </w:rPr>
              <w:t>MM13</w:t>
            </w:r>
          </w:p>
        </w:tc>
        <w:tc>
          <w:tcPr>
            <w:tcW w:w="6037" w:type="dxa"/>
            <w:gridSpan w:val="6"/>
          </w:tcPr>
          <w:p w14:paraId="1AC5DF11" w14:textId="77777777" w:rsidR="000533E4" w:rsidRDefault="000533E4" w:rsidP="00CD363C">
            <w:pPr>
              <w:pStyle w:val="TableParagraph"/>
              <w:ind w:left="110" w:right="113"/>
              <w:jc w:val="both"/>
              <w:rPr>
                <w:sz w:val="20"/>
              </w:rPr>
            </w:pPr>
            <w:r>
              <w:rPr>
                <w:sz w:val="20"/>
              </w:rPr>
              <w:t>no 1.metodes uz 3.metodi</w:t>
            </w:r>
          </w:p>
        </w:tc>
        <w:tc>
          <w:tcPr>
            <w:tcW w:w="1307" w:type="dxa"/>
            <w:shd w:val="clear" w:color="auto" w:fill="EBF3F9"/>
          </w:tcPr>
          <w:p w14:paraId="340B42E1" w14:textId="77777777" w:rsidR="000533E4" w:rsidRDefault="000533E4" w:rsidP="00CD363C">
            <w:pPr>
              <w:pStyle w:val="TableParagraph"/>
              <w:ind w:right="113"/>
              <w:jc w:val="both"/>
              <w:rPr>
                <w:sz w:val="20"/>
              </w:rPr>
            </w:pPr>
          </w:p>
        </w:tc>
      </w:tr>
      <w:tr w:rsidR="000533E4" w14:paraId="5E70167A" w14:textId="77777777" w:rsidTr="00FF1C69">
        <w:trPr>
          <w:trHeight w:val="330"/>
        </w:trPr>
        <w:tc>
          <w:tcPr>
            <w:tcW w:w="2151" w:type="dxa"/>
            <w:gridSpan w:val="2"/>
          </w:tcPr>
          <w:p w14:paraId="4B4D6AAB" w14:textId="77777777" w:rsidR="000533E4" w:rsidRDefault="000533E4" w:rsidP="00CD363C">
            <w:pPr>
              <w:pStyle w:val="TableParagraph"/>
              <w:ind w:left="107" w:right="113"/>
              <w:jc w:val="both"/>
              <w:rPr>
                <w:sz w:val="20"/>
              </w:rPr>
            </w:pPr>
            <w:r>
              <w:rPr>
                <w:sz w:val="20"/>
              </w:rPr>
              <w:t>MM2</w:t>
            </w:r>
          </w:p>
        </w:tc>
        <w:tc>
          <w:tcPr>
            <w:tcW w:w="6037" w:type="dxa"/>
            <w:gridSpan w:val="6"/>
          </w:tcPr>
          <w:p w14:paraId="7401F178" w14:textId="77777777" w:rsidR="000533E4" w:rsidRDefault="000533E4" w:rsidP="00CD363C">
            <w:pPr>
              <w:pStyle w:val="TableParagraph"/>
              <w:ind w:left="110" w:right="113"/>
              <w:jc w:val="both"/>
              <w:rPr>
                <w:sz w:val="20"/>
              </w:rPr>
            </w:pPr>
            <w:r>
              <w:rPr>
                <w:sz w:val="20"/>
              </w:rPr>
              <w:t>2. metode kopā</w:t>
            </w:r>
          </w:p>
        </w:tc>
        <w:tc>
          <w:tcPr>
            <w:tcW w:w="1307" w:type="dxa"/>
            <w:shd w:val="clear" w:color="auto" w:fill="EBF3F9"/>
          </w:tcPr>
          <w:p w14:paraId="09997026" w14:textId="77777777" w:rsidR="000533E4" w:rsidRDefault="000533E4" w:rsidP="00CD363C">
            <w:pPr>
              <w:pStyle w:val="TableParagraph"/>
              <w:ind w:right="113"/>
              <w:jc w:val="both"/>
              <w:rPr>
                <w:sz w:val="20"/>
              </w:rPr>
            </w:pPr>
          </w:p>
        </w:tc>
      </w:tr>
      <w:tr w:rsidR="000533E4" w14:paraId="49731C62" w14:textId="77777777" w:rsidTr="00FF1C69">
        <w:trPr>
          <w:trHeight w:val="328"/>
        </w:trPr>
        <w:tc>
          <w:tcPr>
            <w:tcW w:w="2151" w:type="dxa"/>
            <w:gridSpan w:val="2"/>
          </w:tcPr>
          <w:p w14:paraId="0D1B3AC3" w14:textId="77777777" w:rsidR="000533E4" w:rsidRDefault="000533E4" w:rsidP="00CD363C">
            <w:pPr>
              <w:pStyle w:val="TableParagraph"/>
              <w:ind w:left="107" w:right="113"/>
              <w:jc w:val="both"/>
              <w:rPr>
                <w:sz w:val="20"/>
              </w:rPr>
            </w:pPr>
            <w:r>
              <w:rPr>
                <w:sz w:val="20"/>
              </w:rPr>
              <w:t>MM21</w:t>
            </w:r>
          </w:p>
        </w:tc>
        <w:tc>
          <w:tcPr>
            <w:tcW w:w="6037" w:type="dxa"/>
            <w:gridSpan w:val="6"/>
          </w:tcPr>
          <w:p w14:paraId="68AA08A7" w14:textId="77777777" w:rsidR="000533E4" w:rsidRDefault="000533E4" w:rsidP="00CD363C">
            <w:pPr>
              <w:pStyle w:val="TableParagraph"/>
              <w:ind w:left="110" w:right="113"/>
              <w:jc w:val="both"/>
              <w:rPr>
                <w:sz w:val="20"/>
              </w:rPr>
            </w:pPr>
            <w:r>
              <w:rPr>
                <w:sz w:val="20"/>
              </w:rPr>
              <w:t>no 2.metodes uz 1.metodi</w:t>
            </w:r>
          </w:p>
        </w:tc>
        <w:tc>
          <w:tcPr>
            <w:tcW w:w="1307" w:type="dxa"/>
            <w:shd w:val="clear" w:color="auto" w:fill="EBF3F9"/>
          </w:tcPr>
          <w:p w14:paraId="5E1AE940" w14:textId="77777777" w:rsidR="000533E4" w:rsidRDefault="000533E4" w:rsidP="00CD363C">
            <w:pPr>
              <w:pStyle w:val="TableParagraph"/>
              <w:ind w:right="113"/>
              <w:jc w:val="both"/>
              <w:rPr>
                <w:sz w:val="20"/>
              </w:rPr>
            </w:pPr>
          </w:p>
        </w:tc>
      </w:tr>
      <w:tr w:rsidR="000533E4" w14:paraId="08534379" w14:textId="77777777" w:rsidTr="00FF1C69">
        <w:trPr>
          <w:trHeight w:val="330"/>
        </w:trPr>
        <w:tc>
          <w:tcPr>
            <w:tcW w:w="2151" w:type="dxa"/>
            <w:gridSpan w:val="2"/>
          </w:tcPr>
          <w:p w14:paraId="6014B72A" w14:textId="77777777" w:rsidR="000533E4" w:rsidRDefault="000533E4" w:rsidP="00CD363C">
            <w:pPr>
              <w:pStyle w:val="TableParagraph"/>
              <w:ind w:left="107" w:right="113"/>
              <w:jc w:val="both"/>
              <w:rPr>
                <w:sz w:val="20"/>
              </w:rPr>
            </w:pPr>
            <w:r>
              <w:rPr>
                <w:sz w:val="20"/>
              </w:rPr>
              <w:t>MM23</w:t>
            </w:r>
          </w:p>
        </w:tc>
        <w:tc>
          <w:tcPr>
            <w:tcW w:w="6037" w:type="dxa"/>
            <w:gridSpan w:val="6"/>
          </w:tcPr>
          <w:p w14:paraId="15C39EC0" w14:textId="77777777" w:rsidR="000533E4" w:rsidRDefault="000533E4" w:rsidP="00CD363C">
            <w:pPr>
              <w:pStyle w:val="TableParagraph"/>
              <w:ind w:left="110" w:right="113"/>
              <w:jc w:val="both"/>
              <w:rPr>
                <w:sz w:val="20"/>
              </w:rPr>
            </w:pPr>
            <w:r>
              <w:rPr>
                <w:sz w:val="20"/>
              </w:rPr>
              <w:t>no 2.metodes uz 3.metodi</w:t>
            </w:r>
          </w:p>
        </w:tc>
        <w:tc>
          <w:tcPr>
            <w:tcW w:w="1307" w:type="dxa"/>
            <w:shd w:val="clear" w:color="auto" w:fill="EBF3F9"/>
          </w:tcPr>
          <w:p w14:paraId="0CADF316" w14:textId="77777777" w:rsidR="000533E4" w:rsidRDefault="000533E4" w:rsidP="00CD363C">
            <w:pPr>
              <w:pStyle w:val="TableParagraph"/>
              <w:ind w:right="113"/>
              <w:jc w:val="both"/>
              <w:rPr>
                <w:sz w:val="20"/>
              </w:rPr>
            </w:pPr>
          </w:p>
        </w:tc>
      </w:tr>
      <w:tr w:rsidR="000533E4" w14:paraId="2F8C57C7" w14:textId="77777777" w:rsidTr="00FF1C69">
        <w:trPr>
          <w:trHeight w:val="331"/>
        </w:trPr>
        <w:tc>
          <w:tcPr>
            <w:tcW w:w="2151" w:type="dxa"/>
            <w:gridSpan w:val="2"/>
          </w:tcPr>
          <w:p w14:paraId="7D50406F" w14:textId="77777777" w:rsidR="000533E4" w:rsidRDefault="000533E4" w:rsidP="00CD363C">
            <w:pPr>
              <w:pStyle w:val="TableParagraph"/>
              <w:ind w:left="107" w:right="113"/>
              <w:jc w:val="both"/>
              <w:rPr>
                <w:sz w:val="20"/>
              </w:rPr>
            </w:pPr>
            <w:r>
              <w:rPr>
                <w:sz w:val="20"/>
              </w:rPr>
              <w:t>MM3</w:t>
            </w:r>
          </w:p>
        </w:tc>
        <w:tc>
          <w:tcPr>
            <w:tcW w:w="6037" w:type="dxa"/>
            <w:gridSpan w:val="6"/>
          </w:tcPr>
          <w:p w14:paraId="0AC4ED78" w14:textId="77777777" w:rsidR="000533E4" w:rsidRDefault="000533E4" w:rsidP="00CD363C">
            <w:pPr>
              <w:pStyle w:val="TableParagraph"/>
              <w:ind w:left="110" w:right="113"/>
              <w:jc w:val="both"/>
              <w:rPr>
                <w:sz w:val="20"/>
              </w:rPr>
            </w:pPr>
            <w:r>
              <w:rPr>
                <w:sz w:val="20"/>
              </w:rPr>
              <w:t>3. metode kopā</w:t>
            </w:r>
          </w:p>
        </w:tc>
        <w:tc>
          <w:tcPr>
            <w:tcW w:w="1307" w:type="dxa"/>
            <w:shd w:val="clear" w:color="auto" w:fill="EBF3F9"/>
          </w:tcPr>
          <w:p w14:paraId="3FD6D3E9" w14:textId="77777777" w:rsidR="000533E4" w:rsidRDefault="000533E4" w:rsidP="00CD363C">
            <w:pPr>
              <w:pStyle w:val="TableParagraph"/>
              <w:ind w:right="113"/>
              <w:jc w:val="both"/>
              <w:rPr>
                <w:sz w:val="20"/>
              </w:rPr>
            </w:pPr>
          </w:p>
        </w:tc>
      </w:tr>
      <w:tr w:rsidR="000533E4" w14:paraId="6F79B0E2" w14:textId="77777777" w:rsidTr="00FF1C69">
        <w:trPr>
          <w:trHeight w:val="328"/>
        </w:trPr>
        <w:tc>
          <w:tcPr>
            <w:tcW w:w="2151" w:type="dxa"/>
            <w:gridSpan w:val="2"/>
          </w:tcPr>
          <w:p w14:paraId="361047BB" w14:textId="77777777" w:rsidR="000533E4" w:rsidRDefault="000533E4" w:rsidP="00CD363C">
            <w:pPr>
              <w:pStyle w:val="TableParagraph"/>
              <w:ind w:left="107" w:right="113"/>
              <w:jc w:val="both"/>
              <w:rPr>
                <w:sz w:val="20"/>
              </w:rPr>
            </w:pPr>
            <w:r>
              <w:rPr>
                <w:sz w:val="20"/>
              </w:rPr>
              <w:t>MM31</w:t>
            </w:r>
          </w:p>
        </w:tc>
        <w:tc>
          <w:tcPr>
            <w:tcW w:w="6037" w:type="dxa"/>
            <w:gridSpan w:val="6"/>
          </w:tcPr>
          <w:p w14:paraId="299CB3FE" w14:textId="77777777" w:rsidR="000533E4" w:rsidRDefault="000533E4" w:rsidP="00CD363C">
            <w:pPr>
              <w:pStyle w:val="TableParagraph"/>
              <w:ind w:left="110" w:right="113"/>
              <w:jc w:val="both"/>
              <w:rPr>
                <w:sz w:val="20"/>
              </w:rPr>
            </w:pPr>
            <w:r>
              <w:rPr>
                <w:sz w:val="20"/>
              </w:rPr>
              <w:t>no 3.metodes uz 1.metodi</w:t>
            </w:r>
          </w:p>
        </w:tc>
        <w:tc>
          <w:tcPr>
            <w:tcW w:w="1307" w:type="dxa"/>
            <w:shd w:val="clear" w:color="auto" w:fill="EBF3F9"/>
          </w:tcPr>
          <w:p w14:paraId="7BB1CFB1" w14:textId="77777777" w:rsidR="000533E4" w:rsidRDefault="000533E4" w:rsidP="00CD363C">
            <w:pPr>
              <w:pStyle w:val="TableParagraph"/>
              <w:ind w:right="113"/>
              <w:jc w:val="both"/>
              <w:rPr>
                <w:sz w:val="20"/>
              </w:rPr>
            </w:pPr>
          </w:p>
        </w:tc>
      </w:tr>
      <w:tr w:rsidR="000533E4" w14:paraId="18FD5279" w14:textId="77777777" w:rsidTr="00FF1C69">
        <w:trPr>
          <w:trHeight w:val="330"/>
        </w:trPr>
        <w:tc>
          <w:tcPr>
            <w:tcW w:w="2151" w:type="dxa"/>
            <w:gridSpan w:val="2"/>
          </w:tcPr>
          <w:p w14:paraId="2A83CA69" w14:textId="77777777" w:rsidR="000533E4" w:rsidRDefault="000533E4" w:rsidP="00CD363C">
            <w:pPr>
              <w:pStyle w:val="TableParagraph"/>
              <w:ind w:left="107" w:right="113"/>
              <w:jc w:val="both"/>
              <w:rPr>
                <w:sz w:val="20"/>
              </w:rPr>
            </w:pPr>
            <w:r>
              <w:rPr>
                <w:sz w:val="20"/>
              </w:rPr>
              <w:t>MM32</w:t>
            </w:r>
          </w:p>
        </w:tc>
        <w:tc>
          <w:tcPr>
            <w:tcW w:w="6037" w:type="dxa"/>
            <w:gridSpan w:val="6"/>
          </w:tcPr>
          <w:p w14:paraId="1CF8DECF" w14:textId="77777777" w:rsidR="000533E4" w:rsidRDefault="000533E4" w:rsidP="00CD363C">
            <w:pPr>
              <w:pStyle w:val="TableParagraph"/>
              <w:ind w:left="110" w:right="113"/>
              <w:jc w:val="both"/>
              <w:rPr>
                <w:sz w:val="20"/>
              </w:rPr>
            </w:pPr>
            <w:r>
              <w:rPr>
                <w:sz w:val="20"/>
              </w:rPr>
              <w:t>no 3.metodes uz 2.metodi</w:t>
            </w:r>
          </w:p>
        </w:tc>
        <w:tc>
          <w:tcPr>
            <w:tcW w:w="1307" w:type="dxa"/>
            <w:shd w:val="clear" w:color="auto" w:fill="EBF3F9"/>
          </w:tcPr>
          <w:p w14:paraId="12887BAD" w14:textId="77777777" w:rsidR="000533E4" w:rsidRDefault="000533E4" w:rsidP="00CD363C">
            <w:pPr>
              <w:pStyle w:val="TableParagraph"/>
              <w:ind w:right="113"/>
              <w:jc w:val="both"/>
              <w:rPr>
                <w:sz w:val="20"/>
              </w:rPr>
            </w:pPr>
          </w:p>
        </w:tc>
      </w:tr>
    </w:tbl>
    <w:p w14:paraId="4951AF64" w14:textId="77777777" w:rsidR="000533E4" w:rsidRDefault="000533E4" w:rsidP="00CD363C">
      <w:pPr>
        <w:spacing w:after="0" w:line="240" w:lineRule="auto"/>
        <w:ind w:right="113"/>
        <w:jc w:val="both"/>
        <w:rPr>
          <w:sz w:val="20"/>
        </w:rPr>
        <w:sectPr w:rsidR="000533E4">
          <w:pgSz w:w="11910" w:h="16840"/>
          <w:pgMar w:top="840" w:right="500" w:bottom="940" w:left="1080" w:header="0" w:footer="678" w:gutter="0"/>
          <w:cols w:space="720"/>
        </w:sectPr>
      </w:pPr>
    </w:p>
    <w:p w14:paraId="5DC27B73" w14:textId="77777777" w:rsidR="000533E4" w:rsidRDefault="000533E4" w:rsidP="00CD363C">
      <w:pPr>
        <w:spacing w:after="0" w:line="240" w:lineRule="auto"/>
        <w:ind w:left="338" w:right="113"/>
        <w:jc w:val="both"/>
        <w:rPr>
          <w:b/>
        </w:rPr>
      </w:pPr>
      <w:r>
        <w:rPr>
          <w:b/>
        </w:rPr>
        <w:t>V9.FISA Informācija par finanšu saistību nediskontēto nākotnes naudas plūsmas termiņstruktūru</w:t>
      </w:r>
    </w:p>
    <w:p w14:paraId="0906C8BE" w14:textId="77777777" w:rsidR="000533E4" w:rsidRDefault="000533E4" w:rsidP="00CD363C">
      <w:pPr>
        <w:pStyle w:val="Pamatteksts"/>
        <w:ind w:right="113"/>
        <w:jc w:val="both"/>
        <w:rPr>
          <w:b/>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638"/>
        <w:gridCol w:w="1226"/>
        <w:gridCol w:w="771"/>
        <w:gridCol w:w="960"/>
        <w:gridCol w:w="783"/>
        <w:gridCol w:w="682"/>
        <w:gridCol w:w="732"/>
        <w:gridCol w:w="809"/>
        <w:gridCol w:w="806"/>
        <w:gridCol w:w="1008"/>
        <w:gridCol w:w="1215"/>
      </w:tblGrid>
      <w:tr w:rsidR="000533E4" w14:paraId="74DB064A" w14:textId="77777777" w:rsidTr="00FF1C69">
        <w:trPr>
          <w:trHeight w:val="621"/>
        </w:trPr>
        <w:tc>
          <w:tcPr>
            <w:tcW w:w="638" w:type="dxa"/>
            <w:shd w:val="clear" w:color="auto" w:fill="F1F1F1"/>
          </w:tcPr>
          <w:p w14:paraId="644FCBF5" w14:textId="77777777" w:rsidR="000533E4" w:rsidRDefault="000533E4" w:rsidP="00CD363C">
            <w:pPr>
              <w:pStyle w:val="TableParagraph"/>
              <w:ind w:right="113"/>
              <w:jc w:val="both"/>
              <w:rPr>
                <w:b/>
                <w:sz w:val="18"/>
              </w:rPr>
            </w:pPr>
          </w:p>
          <w:p w14:paraId="645052EA" w14:textId="77777777" w:rsidR="000533E4" w:rsidRDefault="000533E4" w:rsidP="00CD363C">
            <w:pPr>
              <w:pStyle w:val="TableParagraph"/>
              <w:ind w:left="143" w:right="113"/>
              <w:jc w:val="both"/>
              <w:rPr>
                <w:b/>
                <w:sz w:val="18"/>
              </w:rPr>
            </w:pPr>
            <w:r>
              <w:rPr>
                <w:b/>
                <w:sz w:val="18"/>
              </w:rPr>
              <w:t>Kods</w:t>
            </w:r>
          </w:p>
        </w:tc>
        <w:tc>
          <w:tcPr>
            <w:tcW w:w="1226" w:type="dxa"/>
            <w:shd w:val="clear" w:color="auto" w:fill="F1F1F1"/>
          </w:tcPr>
          <w:p w14:paraId="7889BDD6" w14:textId="77777777" w:rsidR="000533E4" w:rsidRDefault="000533E4" w:rsidP="00CD363C">
            <w:pPr>
              <w:pStyle w:val="TableParagraph"/>
              <w:ind w:left="218" w:right="113" w:firstLine="151"/>
              <w:jc w:val="both"/>
              <w:rPr>
                <w:b/>
                <w:sz w:val="18"/>
              </w:rPr>
            </w:pPr>
            <w:r>
              <w:rPr>
                <w:b/>
                <w:sz w:val="18"/>
              </w:rPr>
              <w:t>Finanšu instruments</w:t>
            </w:r>
          </w:p>
        </w:tc>
        <w:tc>
          <w:tcPr>
            <w:tcW w:w="2514" w:type="dxa"/>
            <w:gridSpan w:val="3"/>
            <w:tcBorders>
              <w:right w:val="nil"/>
            </w:tcBorders>
            <w:shd w:val="clear" w:color="auto" w:fill="F1F1F1"/>
          </w:tcPr>
          <w:p w14:paraId="5744AAFC" w14:textId="77777777" w:rsidR="000533E4" w:rsidRDefault="000533E4" w:rsidP="00CD363C">
            <w:pPr>
              <w:pStyle w:val="TableParagraph"/>
              <w:ind w:right="113"/>
              <w:jc w:val="both"/>
              <w:rPr>
                <w:b/>
                <w:sz w:val="18"/>
              </w:rPr>
            </w:pPr>
          </w:p>
          <w:p w14:paraId="00606349" w14:textId="77777777" w:rsidR="000533E4" w:rsidRDefault="000533E4" w:rsidP="00CD363C">
            <w:pPr>
              <w:pStyle w:val="TableParagraph"/>
              <w:ind w:left="644" w:right="113"/>
              <w:jc w:val="both"/>
              <w:rPr>
                <w:b/>
                <w:sz w:val="18"/>
              </w:rPr>
            </w:pPr>
            <w:r>
              <w:rPr>
                <w:b/>
                <w:sz w:val="18"/>
              </w:rPr>
              <w:t>Pārskata perioda beigās</w:t>
            </w:r>
          </w:p>
        </w:tc>
        <w:tc>
          <w:tcPr>
            <w:tcW w:w="682" w:type="dxa"/>
            <w:tcBorders>
              <w:left w:val="nil"/>
            </w:tcBorders>
            <w:shd w:val="clear" w:color="auto" w:fill="F1F1F1"/>
          </w:tcPr>
          <w:p w14:paraId="0CCDA3EA" w14:textId="77777777" w:rsidR="000533E4" w:rsidRDefault="000533E4" w:rsidP="00CD363C">
            <w:pPr>
              <w:pStyle w:val="TableParagraph"/>
              <w:ind w:right="113"/>
              <w:jc w:val="both"/>
              <w:rPr>
                <w:sz w:val="18"/>
              </w:rPr>
            </w:pPr>
          </w:p>
        </w:tc>
        <w:tc>
          <w:tcPr>
            <w:tcW w:w="3355" w:type="dxa"/>
            <w:gridSpan w:val="4"/>
            <w:shd w:val="clear" w:color="auto" w:fill="F1F1F1"/>
          </w:tcPr>
          <w:p w14:paraId="48160AEC" w14:textId="77777777" w:rsidR="000533E4" w:rsidRDefault="000533E4" w:rsidP="00CD363C">
            <w:pPr>
              <w:pStyle w:val="TableParagraph"/>
              <w:ind w:right="113"/>
              <w:jc w:val="both"/>
              <w:rPr>
                <w:b/>
                <w:sz w:val="18"/>
              </w:rPr>
            </w:pPr>
          </w:p>
          <w:p w14:paraId="10ADC975" w14:textId="77777777" w:rsidR="000533E4" w:rsidRDefault="000533E4" w:rsidP="00CD363C">
            <w:pPr>
              <w:pStyle w:val="TableParagraph"/>
              <w:ind w:left="662" w:right="113"/>
              <w:jc w:val="both"/>
              <w:rPr>
                <w:b/>
                <w:sz w:val="18"/>
              </w:rPr>
            </w:pPr>
            <w:r>
              <w:rPr>
                <w:b/>
                <w:sz w:val="18"/>
              </w:rPr>
              <w:t>Pārskata perioda sākumā</w:t>
            </w:r>
          </w:p>
        </w:tc>
        <w:tc>
          <w:tcPr>
            <w:tcW w:w="1215" w:type="dxa"/>
            <w:shd w:val="clear" w:color="auto" w:fill="F1F1F1"/>
          </w:tcPr>
          <w:p w14:paraId="76164DDD" w14:textId="77777777" w:rsidR="000533E4" w:rsidRDefault="000533E4" w:rsidP="00CD363C">
            <w:pPr>
              <w:pStyle w:val="TableParagraph"/>
              <w:ind w:left="173" w:right="113" w:firstLine="40"/>
              <w:jc w:val="both"/>
              <w:rPr>
                <w:b/>
                <w:sz w:val="18"/>
              </w:rPr>
            </w:pPr>
            <w:r>
              <w:rPr>
                <w:b/>
                <w:sz w:val="18"/>
              </w:rPr>
              <w:t>Atsauces uz</w:t>
            </w:r>
          </w:p>
          <w:p w14:paraId="50B6189C" w14:textId="77777777" w:rsidR="000533E4" w:rsidRDefault="000533E4" w:rsidP="00CD363C">
            <w:pPr>
              <w:pStyle w:val="TableParagraph"/>
              <w:ind w:left="255" w:right="113" w:hanging="82"/>
              <w:jc w:val="both"/>
              <w:rPr>
                <w:b/>
                <w:sz w:val="18"/>
              </w:rPr>
            </w:pPr>
            <w:r>
              <w:rPr>
                <w:b/>
                <w:sz w:val="18"/>
              </w:rPr>
              <w:t>attiecīgajiem piemēriem</w:t>
            </w:r>
          </w:p>
        </w:tc>
      </w:tr>
      <w:tr w:rsidR="000533E4" w14:paraId="0A4604D6" w14:textId="77777777" w:rsidTr="00FF1C69">
        <w:trPr>
          <w:trHeight w:val="826"/>
        </w:trPr>
        <w:tc>
          <w:tcPr>
            <w:tcW w:w="638" w:type="dxa"/>
            <w:shd w:val="clear" w:color="auto" w:fill="F1F1F1"/>
          </w:tcPr>
          <w:p w14:paraId="118D3B1F" w14:textId="77777777" w:rsidR="000533E4" w:rsidRDefault="000533E4" w:rsidP="00CD363C">
            <w:pPr>
              <w:pStyle w:val="TableParagraph"/>
              <w:ind w:right="113"/>
              <w:jc w:val="both"/>
              <w:rPr>
                <w:sz w:val="18"/>
              </w:rPr>
            </w:pPr>
          </w:p>
        </w:tc>
        <w:tc>
          <w:tcPr>
            <w:tcW w:w="1226" w:type="dxa"/>
            <w:shd w:val="clear" w:color="auto" w:fill="F1F1F1"/>
          </w:tcPr>
          <w:p w14:paraId="7221E003" w14:textId="77777777" w:rsidR="000533E4" w:rsidRDefault="000533E4" w:rsidP="00CD363C">
            <w:pPr>
              <w:pStyle w:val="TableParagraph"/>
              <w:ind w:right="113"/>
              <w:jc w:val="both"/>
              <w:rPr>
                <w:sz w:val="18"/>
              </w:rPr>
            </w:pPr>
          </w:p>
        </w:tc>
        <w:tc>
          <w:tcPr>
            <w:tcW w:w="771" w:type="dxa"/>
            <w:shd w:val="clear" w:color="auto" w:fill="F1F1F1"/>
          </w:tcPr>
          <w:p w14:paraId="189BC56F" w14:textId="77777777" w:rsidR="000533E4" w:rsidRDefault="000533E4" w:rsidP="00CD363C">
            <w:pPr>
              <w:pStyle w:val="TableParagraph"/>
              <w:ind w:right="113"/>
              <w:jc w:val="both"/>
              <w:rPr>
                <w:b/>
                <w:sz w:val="17"/>
              </w:rPr>
            </w:pPr>
          </w:p>
          <w:p w14:paraId="2AF1EDFF" w14:textId="77777777" w:rsidR="000533E4" w:rsidRDefault="000533E4" w:rsidP="00CD363C">
            <w:pPr>
              <w:pStyle w:val="TableParagraph"/>
              <w:ind w:left="97" w:right="113"/>
              <w:jc w:val="both"/>
              <w:rPr>
                <w:sz w:val="18"/>
              </w:rPr>
            </w:pPr>
            <w:r>
              <w:rPr>
                <w:sz w:val="18"/>
              </w:rPr>
              <w:t>&lt; 1</w:t>
            </w:r>
          </w:p>
          <w:p w14:paraId="1E440BBB" w14:textId="77777777" w:rsidR="000533E4" w:rsidRDefault="000533E4" w:rsidP="00CD363C">
            <w:pPr>
              <w:pStyle w:val="TableParagraph"/>
              <w:ind w:left="97" w:right="113"/>
              <w:jc w:val="both"/>
              <w:rPr>
                <w:sz w:val="18"/>
              </w:rPr>
            </w:pPr>
            <w:r>
              <w:rPr>
                <w:sz w:val="18"/>
              </w:rPr>
              <w:t>gadam</w:t>
            </w:r>
          </w:p>
        </w:tc>
        <w:tc>
          <w:tcPr>
            <w:tcW w:w="960" w:type="dxa"/>
            <w:shd w:val="clear" w:color="auto" w:fill="F1F1F1"/>
          </w:tcPr>
          <w:p w14:paraId="3382D256" w14:textId="77777777" w:rsidR="000533E4" w:rsidRDefault="000533E4" w:rsidP="00CD363C">
            <w:pPr>
              <w:pStyle w:val="TableParagraph"/>
              <w:ind w:left="120" w:right="113" w:firstLine="172"/>
              <w:jc w:val="both"/>
              <w:rPr>
                <w:sz w:val="18"/>
              </w:rPr>
            </w:pPr>
            <w:r>
              <w:rPr>
                <w:sz w:val="18"/>
              </w:rPr>
              <w:t>no 1 gada līdz 5 gadiem</w:t>
            </w:r>
          </w:p>
        </w:tc>
        <w:tc>
          <w:tcPr>
            <w:tcW w:w="783" w:type="dxa"/>
            <w:shd w:val="clear" w:color="auto" w:fill="F1F1F1"/>
          </w:tcPr>
          <w:p w14:paraId="3CCBF912" w14:textId="77777777" w:rsidR="000533E4" w:rsidRDefault="000533E4" w:rsidP="00CD363C">
            <w:pPr>
              <w:pStyle w:val="TableParagraph"/>
              <w:ind w:right="113"/>
              <w:jc w:val="both"/>
              <w:rPr>
                <w:b/>
                <w:sz w:val="17"/>
              </w:rPr>
            </w:pPr>
          </w:p>
          <w:p w14:paraId="781EFA7B" w14:textId="77777777" w:rsidR="000533E4" w:rsidRDefault="000533E4" w:rsidP="00CD363C">
            <w:pPr>
              <w:pStyle w:val="TableParagraph"/>
              <w:ind w:left="134" w:right="113"/>
              <w:jc w:val="both"/>
              <w:rPr>
                <w:sz w:val="18"/>
              </w:rPr>
            </w:pPr>
            <w:r>
              <w:rPr>
                <w:sz w:val="18"/>
              </w:rPr>
              <w:t>&gt; 5</w:t>
            </w:r>
          </w:p>
          <w:p w14:paraId="577C43CF" w14:textId="77777777" w:rsidR="000533E4" w:rsidRDefault="000533E4" w:rsidP="00CD363C">
            <w:pPr>
              <w:pStyle w:val="TableParagraph"/>
              <w:ind w:left="136" w:right="113"/>
              <w:jc w:val="both"/>
              <w:rPr>
                <w:sz w:val="18"/>
              </w:rPr>
            </w:pPr>
            <w:r>
              <w:rPr>
                <w:sz w:val="18"/>
              </w:rPr>
              <w:t>gadiem</w:t>
            </w:r>
          </w:p>
        </w:tc>
        <w:tc>
          <w:tcPr>
            <w:tcW w:w="682" w:type="dxa"/>
            <w:shd w:val="clear" w:color="auto" w:fill="F1F1F1"/>
          </w:tcPr>
          <w:p w14:paraId="5542313E" w14:textId="77777777" w:rsidR="000533E4" w:rsidRDefault="000533E4" w:rsidP="00CD363C">
            <w:pPr>
              <w:pStyle w:val="TableParagraph"/>
              <w:ind w:left="170" w:right="113" w:firstLine="21"/>
              <w:jc w:val="both"/>
              <w:rPr>
                <w:sz w:val="18"/>
              </w:rPr>
            </w:pPr>
            <w:r>
              <w:rPr>
                <w:sz w:val="18"/>
              </w:rPr>
              <w:t>Kopā (1.+2.</w:t>
            </w:r>
          </w:p>
          <w:p w14:paraId="6767F794" w14:textId="77777777" w:rsidR="000533E4" w:rsidRDefault="000533E4" w:rsidP="00CD363C">
            <w:pPr>
              <w:pStyle w:val="TableParagraph"/>
              <w:ind w:left="237" w:right="113"/>
              <w:jc w:val="both"/>
              <w:rPr>
                <w:sz w:val="18"/>
              </w:rPr>
            </w:pPr>
            <w:r>
              <w:rPr>
                <w:sz w:val="18"/>
              </w:rPr>
              <w:t>+3.)</w:t>
            </w:r>
          </w:p>
        </w:tc>
        <w:tc>
          <w:tcPr>
            <w:tcW w:w="732" w:type="dxa"/>
            <w:shd w:val="clear" w:color="auto" w:fill="F1F1F1"/>
          </w:tcPr>
          <w:p w14:paraId="1A91E3BA" w14:textId="77777777" w:rsidR="000533E4" w:rsidRDefault="000533E4" w:rsidP="00CD363C">
            <w:pPr>
              <w:pStyle w:val="TableParagraph"/>
              <w:ind w:right="113"/>
              <w:jc w:val="both"/>
              <w:rPr>
                <w:b/>
                <w:sz w:val="17"/>
              </w:rPr>
            </w:pPr>
          </w:p>
          <w:p w14:paraId="69DA0CD1" w14:textId="77777777" w:rsidR="000533E4" w:rsidRDefault="000533E4" w:rsidP="00CD363C">
            <w:pPr>
              <w:pStyle w:val="TableParagraph"/>
              <w:ind w:left="145" w:right="113"/>
              <w:jc w:val="both"/>
              <w:rPr>
                <w:sz w:val="18"/>
              </w:rPr>
            </w:pPr>
            <w:r>
              <w:rPr>
                <w:sz w:val="18"/>
              </w:rPr>
              <w:t>&lt; 1</w:t>
            </w:r>
          </w:p>
          <w:p w14:paraId="6D2A9B3E" w14:textId="77777777" w:rsidR="000533E4" w:rsidRDefault="000533E4" w:rsidP="00CD363C">
            <w:pPr>
              <w:pStyle w:val="TableParagraph"/>
              <w:ind w:left="145" w:right="113"/>
              <w:jc w:val="both"/>
              <w:rPr>
                <w:sz w:val="18"/>
              </w:rPr>
            </w:pPr>
            <w:r>
              <w:rPr>
                <w:sz w:val="18"/>
              </w:rPr>
              <w:t>gadam</w:t>
            </w:r>
          </w:p>
        </w:tc>
        <w:tc>
          <w:tcPr>
            <w:tcW w:w="809" w:type="dxa"/>
            <w:shd w:val="clear" w:color="auto" w:fill="F1F1F1"/>
          </w:tcPr>
          <w:p w14:paraId="16929A41" w14:textId="77777777" w:rsidR="000533E4" w:rsidRDefault="000533E4" w:rsidP="00CD363C">
            <w:pPr>
              <w:pStyle w:val="TableParagraph"/>
              <w:ind w:left="170" w:right="113" w:firstLine="45"/>
              <w:jc w:val="both"/>
              <w:rPr>
                <w:sz w:val="18"/>
              </w:rPr>
            </w:pPr>
            <w:r>
              <w:rPr>
                <w:sz w:val="18"/>
              </w:rPr>
              <w:t>no 1 gada līdz 5</w:t>
            </w:r>
          </w:p>
          <w:p w14:paraId="1134657D" w14:textId="77777777" w:rsidR="000533E4" w:rsidRDefault="000533E4" w:rsidP="00CD363C">
            <w:pPr>
              <w:pStyle w:val="TableParagraph"/>
              <w:ind w:left="107" w:right="113"/>
              <w:jc w:val="both"/>
              <w:rPr>
                <w:sz w:val="18"/>
              </w:rPr>
            </w:pPr>
            <w:r>
              <w:rPr>
                <w:sz w:val="18"/>
              </w:rPr>
              <w:t>gadiem</w:t>
            </w:r>
          </w:p>
        </w:tc>
        <w:tc>
          <w:tcPr>
            <w:tcW w:w="806" w:type="dxa"/>
            <w:shd w:val="clear" w:color="auto" w:fill="F1F1F1"/>
          </w:tcPr>
          <w:p w14:paraId="222636E4" w14:textId="77777777" w:rsidR="000533E4" w:rsidRDefault="000533E4" w:rsidP="00CD363C">
            <w:pPr>
              <w:pStyle w:val="TableParagraph"/>
              <w:ind w:right="113"/>
              <w:jc w:val="both"/>
              <w:rPr>
                <w:b/>
                <w:sz w:val="17"/>
              </w:rPr>
            </w:pPr>
          </w:p>
          <w:p w14:paraId="2F14916F" w14:textId="77777777" w:rsidR="000533E4" w:rsidRDefault="000533E4" w:rsidP="00CD363C">
            <w:pPr>
              <w:pStyle w:val="TableParagraph"/>
              <w:ind w:left="85" w:right="113"/>
              <w:jc w:val="both"/>
              <w:rPr>
                <w:sz w:val="18"/>
              </w:rPr>
            </w:pPr>
            <w:r>
              <w:rPr>
                <w:sz w:val="18"/>
              </w:rPr>
              <w:t>&gt; 5</w:t>
            </w:r>
          </w:p>
          <w:p w14:paraId="431C298A" w14:textId="77777777" w:rsidR="000533E4" w:rsidRDefault="000533E4" w:rsidP="00CD363C">
            <w:pPr>
              <w:pStyle w:val="TableParagraph"/>
              <w:ind w:left="87" w:right="113"/>
              <w:jc w:val="both"/>
              <w:rPr>
                <w:sz w:val="18"/>
              </w:rPr>
            </w:pPr>
            <w:r>
              <w:rPr>
                <w:sz w:val="18"/>
              </w:rPr>
              <w:t>gadiem</w:t>
            </w:r>
          </w:p>
        </w:tc>
        <w:tc>
          <w:tcPr>
            <w:tcW w:w="1008" w:type="dxa"/>
            <w:shd w:val="clear" w:color="auto" w:fill="F1F1F1"/>
          </w:tcPr>
          <w:p w14:paraId="2A726149" w14:textId="77777777" w:rsidR="000533E4" w:rsidRDefault="000533E4" w:rsidP="00CD363C">
            <w:pPr>
              <w:pStyle w:val="TableParagraph"/>
              <w:ind w:right="113"/>
              <w:jc w:val="both"/>
              <w:rPr>
                <w:b/>
                <w:sz w:val="17"/>
              </w:rPr>
            </w:pPr>
          </w:p>
          <w:p w14:paraId="010AF24F" w14:textId="77777777" w:rsidR="000533E4" w:rsidRDefault="000533E4" w:rsidP="00CD363C">
            <w:pPr>
              <w:pStyle w:val="TableParagraph"/>
              <w:ind w:left="111" w:right="113" w:firstLine="168"/>
              <w:jc w:val="both"/>
              <w:rPr>
                <w:sz w:val="18"/>
              </w:rPr>
            </w:pPr>
            <w:r>
              <w:rPr>
                <w:sz w:val="18"/>
              </w:rPr>
              <w:t>Kopā (5.+6.+7.)</w:t>
            </w:r>
          </w:p>
        </w:tc>
        <w:tc>
          <w:tcPr>
            <w:tcW w:w="1215" w:type="dxa"/>
            <w:shd w:val="clear" w:color="auto" w:fill="F1F1F1"/>
          </w:tcPr>
          <w:p w14:paraId="1BFE6A70" w14:textId="77777777" w:rsidR="000533E4" w:rsidRDefault="000533E4" w:rsidP="00CD363C">
            <w:pPr>
              <w:pStyle w:val="TableParagraph"/>
              <w:ind w:right="113"/>
              <w:jc w:val="both"/>
              <w:rPr>
                <w:sz w:val="18"/>
              </w:rPr>
            </w:pPr>
          </w:p>
        </w:tc>
      </w:tr>
      <w:tr w:rsidR="000533E4" w14:paraId="58D0A2C9" w14:textId="77777777" w:rsidTr="00FF1C69">
        <w:trPr>
          <w:trHeight w:val="230"/>
        </w:trPr>
        <w:tc>
          <w:tcPr>
            <w:tcW w:w="638" w:type="dxa"/>
            <w:shd w:val="clear" w:color="auto" w:fill="F1F1F1"/>
          </w:tcPr>
          <w:p w14:paraId="3B3442EC" w14:textId="77777777" w:rsidR="000533E4" w:rsidRDefault="000533E4" w:rsidP="00CD363C">
            <w:pPr>
              <w:pStyle w:val="TableParagraph"/>
              <w:ind w:right="113"/>
              <w:jc w:val="both"/>
              <w:rPr>
                <w:b/>
                <w:sz w:val="20"/>
              </w:rPr>
            </w:pPr>
            <w:r>
              <w:rPr>
                <w:b/>
                <w:w w:val="99"/>
                <w:sz w:val="20"/>
              </w:rPr>
              <w:t>A</w:t>
            </w:r>
          </w:p>
        </w:tc>
        <w:tc>
          <w:tcPr>
            <w:tcW w:w="1226" w:type="dxa"/>
            <w:shd w:val="clear" w:color="auto" w:fill="F1F1F1"/>
          </w:tcPr>
          <w:p w14:paraId="5EF82A44" w14:textId="77777777" w:rsidR="000533E4" w:rsidRDefault="000533E4" w:rsidP="00CD363C">
            <w:pPr>
              <w:pStyle w:val="TableParagraph"/>
              <w:ind w:right="113"/>
              <w:jc w:val="both"/>
              <w:rPr>
                <w:b/>
                <w:sz w:val="20"/>
              </w:rPr>
            </w:pPr>
            <w:r>
              <w:rPr>
                <w:b/>
                <w:w w:val="99"/>
                <w:sz w:val="20"/>
              </w:rPr>
              <w:t>B</w:t>
            </w:r>
          </w:p>
        </w:tc>
        <w:tc>
          <w:tcPr>
            <w:tcW w:w="771" w:type="dxa"/>
            <w:shd w:val="clear" w:color="auto" w:fill="F1F1F1"/>
          </w:tcPr>
          <w:p w14:paraId="717A62A5" w14:textId="77777777" w:rsidR="000533E4" w:rsidRDefault="000533E4" w:rsidP="00CD363C">
            <w:pPr>
              <w:pStyle w:val="TableParagraph"/>
              <w:ind w:right="113"/>
              <w:jc w:val="both"/>
              <w:rPr>
                <w:b/>
                <w:sz w:val="20"/>
              </w:rPr>
            </w:pPr>
            <w:r>
              <w:rPr>
                <w:b/>
                <w:w w:val="99"/>
                <w:sz w:val="20"/>
              </w:rPr>
              <w:t>1</w:t>
            </w:r>
          </w:p>
        </w:tc>
        <w:tc>
          <w:tcPr>
            <w:tcW w:w="960" w:type="dxa"/>
            <w:shd w:val="clear" w:color="auto" w:fill="F1F1F1"/>
          </w:tcPr>
          <w:p w14:paraId="7F273C03" w14:textId="77777777" w:rsidR="000533E4" w:rsidRDefault="000533E4" w:rsidP="00CD363C">
            <w:pPr>
              <w:pStyle w:val="TableParagraph"/>
              <w:ind w:right="113"/>
              <w:jc w:val="both"/>
              <w:rPr>
                <w:b/>
                <w:sz w:val="20"/>
              </w:rPr>
            </w:pPr>
            <w:r>
              <w:rPr>
                <w:b/>
                <w:w w:val="99"/>
                <w:sz w:val="20"/>
              </w:rPr>
              <w:t>2</w:t>
            </w:r>
          </w:p>
        </w:tc>
        <w:tc>
          <w:tcPr>
            <w:tcW w:w="783" w:type="dxa"/>
            <w:shd w:val="clear" w:color="auto" w:fill="F1F1F1"/>
          </w:tcPr>
          <w:p w14:paraId="1F364AD5" w14:textId="77777777" w:rsidR="000533E4" w:rsidRDefault="000533E4" w:rsidP="00CD363C">
            <w:pPr>
              <w:pStyle w:val="TableParagraph"/>
              <w:ind w:right="113"/>
              <w:jc w:val="both"/>
              <w:rPr>
                <w:b/>
                <w:sz w:val="20"/>
              </w:rPr>
            </w:pPr>
            <w:r>
              <w:rPr>
                <w:b/>
                <w:w w:val="99"/>
                <w:sz w:val="20"/>
              </w:rPr>
              <w:t>3</w:t>
            </w:r>
          </w:p>
        </w:tc>
        <w:tc>
          <w:tcPr>
            <w:tcW w:w="682" w:type="dxa"/>
            <w:shd w:val="clear" w:color="auto" w:fill="F1F1F1"/>
          </w:tcPr>
          <w:p w14:paraId="00E19E15" w14:textId="77777777" w:rsidR="000533E4" w:rsidRDefault="000533E4" w:rsidP="00CD363C">
            <w:pPr>
              <w:pStyle w:val="TableParagraph"/>
              <w:ind w:right="113"/>
              <w:jc w:val="both"/>
              <w:rPr>
                <w:b/>
                <w:sz w:val="20"/>
              </w:rPr>
            </w:pPr>
            <w:r>
              <w:rPr>
                <w:b/>
                <w:w w:val="99"/>
                <w:sz w:val="20"/>
              </w:rPr>
              <w:t>4</w:t>
            </w:r>
          </w:p>
        </w:tc>
        <w:tc>
          <w:tcPr>
            <w:tcW w:w="732" w:type="dxa"/>
            <w:shd w:val="clear" w:color="auto" w:fill="F1F1F1"/>
          </w:tcPr>
          <w:p w14:paraId="6A7A30CB" w14:textId="77777777" w:rsidR="000533E4" w:rsidRDefault="000533E4" w:rsidP="00CD363C">
            <w:pPr>
              <w:pStyle w:val="TableParagraph"/>
              <w:ind w:right="113"/>
              <w:jc w:val="both"/>
              <w:rPr>
                <w:b/>
                <w:sz w:val="20"/>
              </w:rPr>
            </w:pPr>
            <w:r>
              <w:rPr>
                <w:b/>
                <w:w w:val="99"/>
                <w:sz w:val="20"/>
              </w:rPr>
              <w:t>5</w:t>
            </w:r>
          </w:p>
        </w:tc>
        <w:tc>
          <w:tcPr>
            <w:tcW w:w="809" w:type="dxa"/>
            <w:shd w:val="clear" w:color="auto" w:fill="F1F1F1"/>
          </w:tcPr>
          <w:p w14:paraId="6CAEB92E" w14:textId="77777777" w:rsidR="000533E4" w:rsidRDefault="000533E4" w:rsidP="00CD363C">
            <w:pPr>
              <w:pStyle w:val="TableParagraph"/>
              <w:ind w:right="113"/>
              <w:jc w:val="both"/>
              <w:rPr>
                <w:b/>
                <w:sz w:val="20"/>
              </w:rPr>
            </w:pPr>
            <w:r>
              <w:rPr>
                <w:b/>
                <w:w w:val="99"/>
                <w:sz w:val="20"/>
              </w:rPr>
              <w:t>6</w:t>
            </w:r>
          </w:p>
        </w:tc>
        <w:tc>
          <w:tcPr>
            <w:tcW w:w="806" w:type="dxa"/>
            <w:shd w:val="clear" w:color="auto" w:fill="F1F1F1"/>
          </w:tcPr>
          <w:p w14:paraId="0603126D" w14:textId="77777777" w:rsidR="000533E4" w:rsidRDefault="000533E4" w:rsidP="00CD363C">
            <w:pPr>
              <w:pStyle w:val="TableParagraph"/>
              <w:ind w:right="113"/>
              <w:jc w:val="both"/>
              <w:rPr>
                <w:b/>
                <w:sz w:val="20"/>
              </w:rPr>
            </w:pPr>
            <w:r>
              <w:rPr>
                <w:b/>
                <w:w w:val="99"/>
                <w:sz w:val="20"/>
              </w:rPr>
              <w:t>7</w:t>
            </w:r>
          </w:p>
        </w:tc>
        <w:tc>
          <w:tcPr>
            <w:tcW w:w="1008" w:type="dxa"/>
            <w:shd w:val="clear" w:color="auto" w:fill="F1F1F1"/>
          </w:tcPr>
          <w:p w14:paraId="3EE684B0" w14:textId="77777777" w:rsidR="000533E4" w:rsidRDefault="000533E4" w:rsidP="00CD363C">
            <w:pPr>
              <w:pStyle w:val="TableParagraph"/>
              <w:ind w:right="113"/>
              <w:jc w:val="both"/>
              <w:rPr>
                <w:b/>
                <w:sz w:val="20"/>
              </w:rPr>
            </w:pPr>
            <w:r>
              <w:rPr>
                <w:b/>
                <w:w w:val="99"/>
                <w:sz w:val="20"/>
              </w:rPr>
              <w:t>8</w:t>
            </w:r>
          </w:p>
        </w:tc>
        <w:tc>
          <w:tcPr>
            <w:tcW w:w="1215" w:type="dxa"/>
            <w:shd w:val="clear" w:color="auto" w:fill="F1F1F1"/>
          </w:tcPr>
          <w:p w14:paraId="2C7D2A68" w14:textId="77777777" w:rsidR="000533E4" w:rsidRDefault="000533E4" w:rsidP="00CD363C">
            <w:pPr>
              <w:pStyle w:val="TableParagraph"/>
              <w:ind w:right="113"/>
              <w:jc w:val="both"/>
              <w:rPr>
                <w:b/>
                <w:sz w:val="20"/>
              </w:rPr>
            </w:pPr>
            <w:r>
              <w:rPr>
                <w:b/>
                <w:w w:val="99"/>
                <w:sz w:val="20"/>
              </w:rPr>
              <w:t>9</w:t>
            </w:r>
          </w:p>
        </w:tc>
      </w:tr>
      <w:tr w:rsidR="000533E4" w14:paraId="2F3541DF" w14:textId="77777777" w:rsidTr="00FF1C69">
        <w:trPr>
          <w:trHeight w:val="935"/>
        </w:trPr>
        <w:tc>
          <w:tcPr>
            <w:tcW w:w="638" w:type="dxa"/>
          </w:tcPr>
          <w:p w14:paraId="5701CC0A" w14:textId="77777777" w:rsidR="000533E4" w:rsidRDefault="000533E4" w:rsidP="00CD363C">
            <w:pPr>
              <w:pStyle w:val="TableParagraph"/>
              <w:ind w:right="113"/>
              <w:jc w:val="both"/>
              <w:rPr>
                <w:b/>
                <w:sz w:val="26"/>
              </w:rPr>
            </w:pPr>
          </w:p>
          <w:p w14:paraId="7AFD7F5C" w14:textId="77777777" w:rsidR="000533E4" w:rsidRDefault="000533E4" w:rsidP="00CD363C">
            <w:pPr>
              <w:pStyle w:val="TableParagraph"/>
              <w:ind w:left="148" w:right="113"/>
              <w:jc w:val="both"/>
              <w:rPr>
                <w:sz w:val="16"/>
              </w:rPr>
            </w:pPr>
            <w:r>
              <w:rPr>
                <w:sz w:val="16"/>
              </w:rPr>
              <w:t>FS</w:t>
            </w:r>
          </w:p>
        </w:tc>
        <w:tc>
          <w:tcPr>
            <w:tcW w:w="1226" w:type="dxa"/>
          </w:tcPr>
          <w:p w14:paraId="6A0BE38E" w14:textId="77777777" w:rsidR="000533E4" w:rsidRDefault="000533E4" w:rsidP="00CD363C">
            <w:pPr>
              <w:pStyle w:val="TableParagraph"/>
              <w:ind w:right="113"/>
              <w:jc w:val="both"/>
              <w:rPr>
                <w:b/>
                <w:sz w:val="17"/>
              </w:rPr>
            </w:pPr>
          </w:p>
          <w:p w14:paraId="6525B798" w14:textId="77777777" w:rsidR="000533E4" w:rsidRDefault="000533E4" w:rsidP="00CD363C">
            <w:pPr>
              <w:pStyle w:val="TableParagraph"/>
              <w:ind w:left="108" w:right="113"/>
              <w:jc w:val="both"/>
              <w:rPr>
                <w:b/>
                <w:sz w:val="16"/>
              </w:rPr>
            </w:pPr>
            <w:r>
              <w:rPr>
                <w:b/>
                <w:sz w:val="16"/>
              </w:rPr>
              <w:t>Kopā finanšu saistības</w:t>
            </w:r>
          </w:p>
        </w:tc>
        <w:tc>
          <w:tcPr>
            <w:tcW w:w="771" w:type="dxa"/>
          </w:tcPr>
          <w:p w14:paraId="73012978" w14:textId="77777777" w:rsidR="000533E4" w:rsidRDefault="000533E4" w:rsidP="00CD363C">
            <w:pPr>
              <w:pStyle w:val="TableParagraph"/>
              <w:ind w:right="113"/>
              <w:jc w:val="both"/>
              <w:rPr>
                <w:b/>
                <w:sz w:val="20"/>
              </w:rPr>
            </w:pPr>
          </w:p>
          <w:p w14:paraId="0EA0C5FA" w14:textId="77777777" w:rsidR="000533E4" w:rsidRDefault="000533E4" w:rsidP="00CD363C">
            <w:pPr>
              <w:pStyle w:val="TableParagraph"/>
              <w:ind w:left="5" w:right="113"/>
              <w:jc w:val="both"/>
              <w:rPr>
                <w:sz w:val="18"/>
              </w:rPr>
            </w:pPr>
            <w:r>
              <w:rPr>
                <w:sz w:val="18"/>
              </w:rPr>
              <w:t>102 500</w:t>
            </w:r>
          </w:p>
        </w:tc>
        <w:tc>
          <w:tcPr>
            <w:tcW w:w="960" w:type="dxa"/>
          </w:tcPr>
          <w:p w14:paraId="48D7B228" w14:textId="77777777" w:rsidR="000533E4" w:rsidRDefault="000533E4" w:rsidP="00CD363C">
            <w:pPr>
              <w:pStyle w:val="TableParagraph"/>
              <w:ind w:right="113"/>
              <w:jc w:val="both"/>
              <w:rPr>
                <w:b/>
                <w:sz w:val="20"/>
              </w:rPr>
            </w:pPr>
          </w:p>
          <w:p w14:paraId="15DA7410" w14:textId="77777777" w:rsidR="000533E4" w:rsidRDefault="000533E4" w:rsidP="00CD363C">
            <w:pPr>
              <w:pStyle w:val="TableParagraph"/>
              <w:ind w:left="113" w:right="113"/>
              <w:jc w:val="both"/>
              <w:rPr>
                <w:sz w:val="18"/>
              </w:rPr>
            </w:pPr>
            <w:r>
              <w:rPr>
                <w:sz w:val="18"/>
              </w:rPr>
              <w:t>1 719 005</w:t>
            </w:r>
          </w:p>
        </w:tc>
        <w:tc>
          <w:tcPr>
            <w:tcW w:w="783" w:type="dxa"/>
          </w:tcPr>
          <w:p w14:paraId="78A340E2" w14:textId="77777777" w:rsidR="000533E4" w:rsidRDefault="000533E4" w:rsidP="00CD363C">
            <w:pPr>
              <w:pStyle w:val="TableParagraph"/>
              <w:ind w:right="113"/>
              <w:jc w:val="both"/>
              <w:rPr>
                <w:b/>
                <w:sz w:val="20"/>
              </w:rPr>
            </w:pPr>
          </w:p>
          <w:p w14:paraId="29FD0B59" w14:textId="77777777" w:rsidR="000533E4" w:rsidRDefault="000533E4" w:rsidP="00CD363C">
            <w:pPr>
              <w:pStyle w:val="TableParagraph"/>
              <w:ind w:left="22" w:right="113"/>
              <w:jc w:val="both"/>
              <w:rPr>
                <w:sz w:val="18"/>
              </w:rPr>
            </w:pPr>
            <w:r>
              <w:rPr>
                <w:sz w:val="18"/>
              </w:rPr>
              <w:t>120 000</w:t>
            </w:r>
          </w:p>
        </w:tc>
        <w:tc>
          <w:tcPr>
            <w:tcW w:w="682" w:type="dxa"/>
          </w:tcPr>
          <w:p w14:paraId="6BA928E0" w14:textId="77777777" w:rsidR="000533E4" w:rsidRDefault="000533E4" w:rsidP="00CD363C">
            <w:pPr>
              <w:pStyle w:val="TableParagraph"/>
              <w:ind w:right="113"/>
              <w:jc w:val="both"/>
              <w:rPr>
                <w:sz w:val="18"/>
              </w:rPr>
            </w:pPr>
          </w:p>
        </w:tc>
        <w:tc>
          <w:tcPr>
            <w:tcW w:w="732" w:type="dxa"/>
          </w:tcPr>
          <w:p w14:paraId="53920785" w14:textId="77777777" w:rsidR="000533E4" w:rsidRDefault="000533E4" w:rsidP="00CD363C">
            <w:pPr>
              <w:pStyle w:val="TableParagraph"/>
              <w:ind w:right="113"/>
              <w:jc w:val="both"/>
              <w:rPr>
                <w:sz w:val="18"/>
              </w:rPr>
            </w:pPr>
          </w:p>
        </w:tc>
        <w:tc>
          <w:tcPr>
            <w:tcW w:w="809" w:type="dxa"/>
          </w:tcPr>
          <w:p w14:paraId="243753C2" w14:textId="77777777" w:rsidR="000533E4" w:rsidRDefault="000533E4" w:rsidP="00CD363C">
            <w:pPr>
              <w:pStyle w:val="TableParagraph"/>
              <w:ind w:right="113"/>
              <w:jc w:val="both"/>
              <w:rPr>
                <w:b/>
                <w:sz w:val="20"/>
              </w:rPr>
            </w:pPr>
          </w:p>
          <w:p w14:paraId="7994F62A" w14:textId="77777777" w:rsidR="000533E4" w:rsidRDefault="000533E4" w:rsidP="00CD363C">
            <w:pPr>
              <w:pStyle w:val="TableParagraph"/>
              <w:ind w:left="18" w:right="113"/>
              <w:jc w:val="both"/>
              <w:rPr>
                <w:sz w:val="18"/>
              </w:rPr>
            </w:pPr>
            <w:r>
              <w:rPr>
                <w:sz w:val="18"/>
              </w:rPr>
              <w:t>100 000</w:t>
            </w:r>
          </w:p>
        </w:tc>
        <w:tc>
          <w:tcPr>
            <w:tcW w:w="806" w:type="dxa"/>
          </w:tcPr>
          <w:p w14:paraId="62B4AE67" w14:textId="77777777" w:rsidR="000533E4" w:rsidRDefault="000533E4" w:rsidP="00CD363C">
            <w:pPr>
              <w:pStyle w:val="TableParagraph"/>
              <w:ind w:right="113"/>
              <w:jc w:val="both"/>
              <w:rPr>
                <w:sz w:val="18"/>
              </w:rPr>
            </w:pPr>
          </w:p>
        </w:tc>
        <w:tc>
          <w:tcPr>
            <w:tcW w:w="1008" w:type="dxa"/>
          </w:tcPr>
          <w:p w14:paraId="48939D14" w14:textId="77777777" w:rsidR="000533E4" w:rsidRDefault="000533E4" w:rsidP="00CD363C">
            <w:pPr>
              <w:pStyle w:val="TableParagraph"/>
              <w:ind w:right="113"/>
              <w:jc w:val="both"/>
              <w:rPr>
                <w:b/>
                <w:sz w:val="20"/>
              </w:rPr>
            </w:pPr>
          </w:p>
          <w:p w14:paraId="61FDE52D" w14:textId="77777777" w:rsidR="000533E4" w:rsidRDefault="000533E4" w:rsidP="00CD363C">
            <w:pPr>
              <w:pStyle w:val="TableParagraph"/>
              <w:ind w:left="165" w:right="113"/>
              <w:jc w:val="both"/>
              <w:rPr>
                <w:sz w:val="18"/>
              </w:rPr>
            </w:pPr>
            <w:r>
              <w:rPr>
                <w:sz w:val="18"/>
              </w:rPr>
              <w:t>100 000</w:t>
            </w:r>
          </w:p>
        </w:tc>
        <w:tc>
          <w:tcPr>
            <w:tcW w:w="1215" w:type="dxa"/>
            <w:shd w:val="clear" w:color="auto" w:fill="EBF3F9"/>
          </w:tcPr>
          <w:p w14:paraId="644DD22D" w14:textId="77777777" w:rsidR="000533E4" w:rsidRDefault="000533E4" w:rsidP="00CD363C">
            <w:pPr>
              <w:pStyle w:val="TableParagraph"/>
              <w:ind w:left="196" w:right="113"/>
              <w:jc w:val="both"/>
              <w:rPr>
                <w:sz w:val="16"/>
              </w:rPr>
            </w:pPr>
            <w:r>
              <w:rPr>
                <w:sz w:val="16"/>
              </w:rPr>
              <w:t>14.2.;14.3.;</w:t>
            </w:r>
          </w:p>
          <w:p w14:paraId="1884F898" w14:textId="77777777" w:rsidR="000533E4" w:rsidRDefault="000533E4" w:rsidP="00CD363C">
            <w:pPr>
              <w:pStyle w:val="TableParagraph"/>
              <w:ind w:left="194" w:right="113"/>
              <w:jc w:val="both"/>
              <w:rPr>
                <w:sz w:val="16"/>
              </w:rPr>
            </w:pPr>
            <w:r>
              <w:rPr>
                <w:sz w:val="16"/>
              </w:rPr>
              <w:t>14.4;</w:t>
            </w:r>
          </w:p>
          <w:p w14:paraId="40419671" w14:textId="77777777" w:rsidR="000533E4" w:rsidRDefault="000533E4" w:rsidP="00CD363C">
            <w:pPr>
              <w:pStyle w:val="TableParagraph"/>
              <w:ind w:left="194" w:right="113"/>
              <w:jc w:val="both"/>
              <w:rPr>
                <w:sz w:val="16"/>
              </w:rPr>
            </w:pPr>
            <w:r>
              <w:rPr>
                <w:sz w:val="16"/>
              </w:rPr>
              <w:t>14.6.14.6.</w:t>
            </w:r>
          </w:p>
        </w:tc>
      </w:tr>
      <w:tr w:rsidR="000533E4" w14:paraId="41851B84" w14:textId="77777777" w:rsidTr="00FF1C69">
        <w:trPr>
          <w:trHeight w:val="933"/>
        </w:trPr>
        <w:tc>
          <w:tcPr>
            <w:tcW w:w="638" w:type="dxa"/>
          </w:tcPr>
          <w:p w14:paraId="292CD32B" w14:textId="77777777" w:rsidR="000533E4" w:rsidRDefault="000533E4" w:rsidP="00CD363C">
            <w:pPr>
              <w:pStyle w:val="TableParagraph"/>
              <w:ind w:right="113"/>
              <w:jc w:val="both"/>
              <w:rPr>
                <w:b/>
                <w:sz w:val="26"/>
              </w:rPr>
            </w:pPr>
          </w:p>
          <w:p w14:paraId="37ADD337" w14:textId="77777777" w:rsidR="000533E4" w:rsidRDefault="000533E4" w:rsidP="00CD363C">
            <w:pPr>
              <w:pStyle w:val="TableParagraph"/>
              <w:ind w:left="107" w:right="113"/>
              <w:jc w:val="both"/>
              <w:rPr>
                <w:sz w:val="16"/>
              </w:rPr>
            </w:pPr>
            <w:r>
              <w:rPr>
                <w:sz w:val="16"/>
              </w:rPr>
              <w:t>NFS</w:t>
            </w:r>
          </w:p>
        </w:tc>
        <w:tc>
          <w:tcPr>
            <w:tcW w:w="1226" w:type="dxa"/>
          </w:tcPr>
          <w:p w14:paraId="228CC078" w14:textId="77777777" w:rsidR="000533E4" w:rsidRDefault="000533E4" w:rsidP="00CD363C">
            <w:pPr>
              <w:pStyle w:val="TableParagraph"/>
              <w:ind w:left="108" w:right="113"/>
              <w:jc w:val="both"/>
              <w:rPr>
                <w:b/>
                <w:sz w:val="16"/>
              </w:rPr>
            </w:pPr>
            <w:r>
              <w:rPr>
                <w:b/>
                <w:sz w:val="16"/>
              </w:rPr>
              <w:t>Neatvasinātās finanšu saistības</w:t>
            </w:r>
          </w:p>
        </w:tc>
        <w:tc>
          <w:tcPr>
            <w:tcW w:w="771" w:type="dxa"/>
          </w:tcPr>
          <w:p w14:paraId="0CC08D1F" w14:textId="77777777" w:rsidR="000533E4" w:rsidRDefault="000533E4" w:rsidP="00CD363C">
            <w:pPr>
              <w:pStyle w:val="TableParagraph"/>
              <w:ind w:right="113"/>
              <w:jc w:val="both"/>
              <w:rPr>
                <w:b/>
                <w:sz w:val="20"/>
              </w:rPr>
            </w:pPr>
          </w:p>
          <w:p w14:paraId="51F2835A" w14:textId="77777777" w:rsidR="000533E4" w:rsidRDefault="000533E4" w:rsidP="00CD363C">
            <w:pPr>
              <w:pStyle w:val="TableParagraph"/>
              <w:ind w:left="77" w:right="113"/>
              <w:jc w:val="both"/>
              <w:rPr>
                <w:sz w:val="18"/>
              </w:rPr>
            </w:pPr>
            <w:r>
              <w:rPr>
                <w:sz w:val="18"/>
              </w:rPr>
              <w:t>102 500</w:t>
            </w:r>
          </w:p>
        </w:tc>
        <w:tc>
          <w:tcPr>
            <w:tcW w:w="960" w:type="dxa"/>
          </w:tcPr>
          <w:p w14:paraId="5FA5EA29" w14:textId="77777777" w:rsidR="000533E4" w:rsidRDefault="000533E4" w:rsidP="00CD363C">
            <w:pPr>
              <w:pStyle w:val="TableParagraph"/>
              <w:ind w:right="113"/>
              <w:jc w:val="both"/>
              <w:rPr>
                <w:b/>
                <w:sz w:val="20"/>
              </w:rPr>
            </w:pPr>
          </w:p>
          <w:p w14:paraId="7B151842" w14:textId="77777777" w:rsidR="000533E4" w:rsidRDefault="000533E4" w:rsidP="00CD363C">
            <w:pPr>
              <w:pStyle w:val="TableParagraph"/>
              <w:ind w:left="168" w:right="113"/>
              <w:jc w:val="both"/>
              <w:rPr>
                <w:sz w:val="18"/>
              </w:rPr>
            </w:pPr>
            <w:r>
              <w:rPr>
                <w:sz w:val="18"/>
              </w:rPr>
              <w:t>1 719 005</w:t>
            </w:r>
          </w:p>
        </w:tc>
        <w:tc>
          <w:tcPr>
            <w:tcW w:w="783" w:type="dxa"/>
          </w:tcPr>
          <w:p w14:paraId="7350955C" w14:textId="77777777" w:rsidR="000533E4" w:rsidRDefault="000533E4" w:rsidP="00CD363C">
            <w:pPr>
              <w:pStyle w:val="TableParagraph"/>
              <w:ind w:right="113"/>
              <w:jc w:val="both"/>
              <w:rPr>
                <w:b/>
                <w:sz w:val="20"/>
              </w:rPr>
            </w:pPr>
          </w:p>
          <w:p w14:paraId="757ECE26" w14:textId="77777777" w:rsidR="000533E4" w:rsidRDefault="000533E4" w:rsidP="00CD363C">
            <w:pPr>
              <w:pStyle w:val="TableParagraph"/>
              <w:ind w:left="22" w:right="113"/>
              <w:jc w:val="both"/>
              <w:rPr>
                <w:sz w:val="18"/>
              </w:rPr>
            </w:pPr>
            <w:r>
              <w:rPr>
                <w:sz w:val="18"/>
              </w:rPr>
              <w:t>120 000</w:t>
            </w:r>
          </w:p>
        </w:tc>
        <w:tc>
          <w:tcPr>
            <w:tcW w:w="682" w:type="dxa"/>
          </w:tcPr>
          <w:p w14:paraId="1CB77F05" w14:textId="77777777" w:rsidR="000533E4" w:rsidRDefault="000533E4" w:rsidP="00CD363C">
            <w:pPr>
              <w:pStyle w:val="TableParagraph"/>
              <w:ind w:right="113"/>
              <w:jc w:val="both"/>
              <w:rPr>
                <w:sz w:val="18"/>
              </w:rPr>
            </w:pPr>
          </w:p>
        </w:tc>
        <w:tc>
          <w:tcPr>
            <w:tcW w:w="732" w:type="dxa"/>
          </w:tcPr>
          <w:p w14:paraId="469095FE" w14:textId="77777777" w:rsidR="000533E4" w:rsidRDefault="000533E4" w:rsidP="00CD363C">
            <w:pPr>
              <w:pStyle w:val="TableParagraph"/>
              <w:ind w:right="113"/>
              <w:jc w:val="both"/>
              <w:rPr>
                <w:sz w:val="18"/>
              </w:rPr>
            </w:pPr>
          </w:p>
        </w:tc>
        <w:tc>
          <w:tcPr>
            <w:tcW w:w="809" w:type="dxa"/>
          </w:tcPr>
          <w:p w14:paraId="33D70D70" w14:textId="77777777" w:rsidR="000533E4" w:rsidRDefault="000533E4" w:rsidP="00CD363C">
            <w:pPr>
              <w:pStyle w:val="TableParagraph"/>
              <w:ind w:right="113"/>
              <w:jc w:val="both"/>
              <w:rPr>
                <w:b/>
                <w:sz w:val="20"/>
              </w:rPr>
            </w:pPr>
          </w:p>
          <w:p w14:paraId="5C2B4532" w14:textId="77777777" w:rsidR="000533E4" w:rsidRDefault="000533E4" w:rsidP="00CD363C">
            <w:pPr>
              <w:pStyle w:val="TableParagraph"/>
              <w:ind w:left="11" w:right="113"/>
              <w:jc w:val="both"/>
              <w:rPr>
                <w:sz w:val="18"/>
              </w:rPr>
            </w:pPr>
            <w:r>
              <w:rPr>
                <w:sz w:val="18"/>
              </w:rPr>
              <w:t>100 000</w:t>
            </w:r>
          </w:p>
        </w:tc>
        <w:tc>
          <w:tcPr>
            <w:tcW w:w="806" w:type="dxa"/>
          </w:tcPr>
          <w:p w14:paraId="030A8242" w14:textId="77777777" w:rsidR="000533E4" w:rsidRDefault="000533E4" w:rsidP="00CD363C">
            <w:pPr>
              <w:pStyle w:val="TableParagraph"/>
              <w:ind w:right="113"/>
              <w:jc w:val="both"/>
              <w:rPr>
                <w:sz w:val="18"/>
              </w:rPr>
            </w:pPr>
          </w:p>
        </w:tc>
        <w:tc>
          <w:tcPr>
            <w:tcW w:w="1008" w:type="dxa"/>
          </w:tcPr>
          <w:p w14:paraId="4533D174" w14:textId="77777777" w:rsidR="000533E4" w:rsidRDefault="000533E4" w:rsidP="00CD363C">
            <w:pPr>
              <w:pStyle w:val="TableParagraph"/>
              <w:ind w:right="113"/>
              <w:jc w:val="both"/>
              <w:rPr>
                <w:b/>
                <w:sz w:val="20"/>
              </w:rPr>
            </w:pPr>
          </w:p>
          <w:p w14:paraId="6FF720D0" w14:textId="77777777" w:rsidR="000533E4" w:rsidRDefault="000533E4" w:rsidP="00CD363C">
            <w:pPr>
              <w:pStyle w:val="TableParagraph"/>
              <w:ind w:left="165" w:right="113"/>
              <w:jc w:val="both"/>
              <w:rPr>
                <w:sz w:val="18"/>
              </w:rPr>
            </w:pPr>
            <w:r>
              <w:rPr>
                <w:sz w:val="18"/>
              </w:rPr>
              <w:t>100 000</w:t>
            </w:r>
          </w:p>
        </w:tc>
        <w:tc>
          <w:tcPr>
            <w:tcW w:w="1215" w:type="dxa"/>
            <w:shd w:val="clear" w:color="auto" w:fill="EBF3F9"/>
          </w:tcPr>
          <w:p w14:paraId="76B2BBF4" w14:textId="77777777" w:rsidR="000533E4" w:rsidRDefault="000533E4" w:rsidP="00CD363C">
            <w:pPr>
              <w:pStyle w:val="TableParagraph"/>
              <w:ind w:left="72" w:right="113"/>
              <w:jc w:val="both"/>
              <w:rPr>
                <w:sz w:val="16"/>
              </w:rPr>
            </w:pPr>
            <w:r>
              <w:rPr>
                <w:sz w:val="16"/>
              </w:rPr>
              <w:t>14.2.;14.3.;</w:t>
            </w:r>
          </w:p>
          <w:p w14:paraId="41E16B2A" w14:textId="77777777" w:rsidR="000533E4" w:rsidRDefault="000533E4" w:rsidP="00CD363C">
            <w:pPr>
              <w:pStyle w:val="TableParagraph"/>
              <w:ind w:right="113"/>
              <w:jc w:val="both"/>
              <w:rPr>
                <w:b/>
                <w:sz w:val="19"/>
              </w:rPr>
            </w:pPr>
          </w:p>
          <w:p w14:paraId="7FD8F6E8" w14:textId="77777777" w:rsidR="000533E4" w:rsidRDefault="000533E4" w:rsidP="00CD363C">
            <w:pPr>
              <w:pStyle w:val="TableParagraph"/>
              <w:ind w:left="236" w:right="113"/>
              <w:jc w:val="both"/>
              <w:rPr>
                <w:sz w:val="16"/>
              </w:rPr>
            </w:pPr>
            <w:r>
              <w:rPr>
                <w:sz w:val="16"/>
              </w:rPr>
              <w:t>14.4; 14.6.</w:t>
            </w:r>
          </w:p>
        </w:tc>
      </w:tr>
      <w:tr w:rsidR="000533E4" w14:paraId="17C01D4C" w14:textId="77777777" w:rsidTr="00FF1C69">
        <w:trPr>
          <w:trHeight w:val="344"/>
        </w:trPr>
        <w:tc>
          <w:tcPr>
            <w:tcW w:w="638" w:type="dxa"/>
            <w:tcBorders>
              <w:bottom w:val="nil"/>
            </w:tcBorders>
          </w:tcPr>
          <w:p w14:paraId="2A7D6CE6" w14:textId="77777777" w:rsidR="000533E4" w:rsidRDefault="000533E4" w:rsidP="00CD363C">
            <w:pPr>
              <w:pStyle w:val="TableParagraph"/>
              <w:ind w:right="113"/>
              <w:jc w:val="both"/>
              <w:rPr>
                <w:sz w:val="18"/>
              </w:rPr>
            </w:pPr>
          </w:p>
        </w:tc>
        <w:tc>
          <w:tcPr>
            <w:tcW w:w="1226" w:type="dxa"/>
            <w:tcBorders>
              <w:bottom w:val="nil"/>
            </w:tcBorders>
          </w:tcPr>
          <w:p w14:paraId="28C77425" w14:textId="77777777" w:rsidR="000533E4" w:rsidRDefault="000533E4" w:rsidP="00CD363C">
            <w:pPr>
              <w:pStyle w:val="TableParagraph"/>
              <w:ind w:right="113"/>
              <w:jc w:val="both"/>
              <w:rPr>
                <w:sz w:val="18"/>
              </w:rPr>
            </w:pPr>
          </w:p>
        </w:tc>
        <w:tc>
          <w:tcPr>
            <w:tcW w:w="771" w:type="dxa"/>
            <w:tcBorders>
              <w:bottom w:val="nil"/>
            </w:tcBorders>
          </w:tcPr>
          <w:p w14:paraId="06BF78F3" w14:textId="77777777" w:rsidR="000533E4" w:rsidRDefault="000533E4" w:rsidP="00CD363C">
            <w:pPr>
              <w:pStyle w:val="TableParagraph"/>
              <w:ind w:right="113"/>
              <w:jc w:val="both"/>
              <w:rPr>
                <w:sz w:val="18"/>
              </w:rPr>
            </w:pPr>
          </w:p>
        </w:tc>
        <w:tc>
          <w:tcPr>
            <w:tcW w:w="960" w:type="dxa"/>
            <w:tcBorders>
              <w:bottom w:val="nil"/>
            </w:tcBorders>
          </w:tcPr>
          <w:p w14:paraId="7A8FBD05" w14:textId="77777777" w:rsidR="000533E4" w:rsidRDefault="000533E4" w:rsidP="00CD363C">
            <w:pPr>
              <w:pStyle w:val="TableParagraph"/>
              <w:ind w:left="96" w:right="113"/>
              <w:jc w:val="both"/>
              <w:rPr>
                <w:sz w:val="18"/>
              </w:rPr>
            </w:pPr>
            <w:r>
              <w:rPr>
                <w:sz w:val="18"/>
              </w:rPr>
              <w:t>1 719 005</w:t>
            </w:r>
          </w:p>
        </w:tc>
        <w:tc>
          <w:tcPr>
            <w:tcW w:w="783" w:type="dxa"/>
            <w:tcBorders>
              <w:bottom w:val="nil"/>
            </w:tcBorders>
          </w:tcPr>
          <w:p w14:paraId="7753523D" w14:textId="77777777" w:rsidR="000533E4" w:rsidRDefault="000533E4" w:rsidP="00CD363C">
            <w:pPr>
              <w:pStyle w:val="TableParagraph"/>
              <w:ind w:right="113"/>
              <w:jc w:val="both"/>
              <w:rPr>
                <w:sz w:val="18"/>
              </w:rPr>
            </w:pPr>
          </w:p>
        </w:tc>
        <w:tc>
          <w:tcPr>
            <w:tcW w:w="682" w:type="dxa"/>
            <w:vMerge w:val="restart"/>
          </w:tcPr>
          <w:p w14:paraId="5286DDE1" w14:textId="77777777" w:rsidR="000533E4" w:rsidRDefault="000533E4" w:rsidP="00CD363C">
            <w:pPr>
              <w:pStyle w:val="TableParagraph"/>
              <w:ind w:right="113"/>
              <w:jc w:val="both"/>
              <w:rPr>
                <w:sz w:val="18"/>
              </w:rPr>
            </w:pPr>
          </w:p>
        </w:tc>
        <w:tc>
          <w:tcPr>
            <w:tcW w:w="732" w:type="dxa"/>
            <w:vMerge w:val="restart"/>
          </w:tcPr>
          <w:p w14:paraId="1AFAD3FC" w14:textId="77777777" w:rsidR="000533E4" w:rsidRDefault="000533E4" w:rsidP="00CD363C">
            <w:pPr>
              <w:pStyle w:val="TableParagraph"/>
              <w:ind w:right="113"/>
              <w:jc w:val="both"/>
              <w:rPr>
                <w:sz w:val="18"/>
              </w:rPr>
            </w:pPr>
          </w:p>
        </w:tc>
        <w:tc>
          <w:tcPr>
            <w:tcW w:w="809" w:type="dxa"/>
            <w:tcBorders>
              <w:bottom w:val="nil"/>
            </w:tcBorders>
          </w:tcPr>
          <w:p w14:paraId="23A33CD2" w14:textId="77777777" w:rsidR="000533E4" w:rsidRDefault="000533E4" w:rsidP="00CD363C">
            <w:pPr>
              <w:pStyle w:val="TableParagraph"/>
              <w:ind w:right="113"/>
              <w:jc w:val="both"/>
              <w:rPr>
                <w:sz w:val="18"/>
              </w:rPr>
            </w:pPr>
          </w:p>
        </w:tc>
        <w:tc>
          <w:tcPr>
            <w:tcW w:w="806" w:type="dxa"/>
            <w:vMerge w:val="restart"/>
          </w:tcPr>
          <w:p w14:paraId="486108B3" w14:textId="77777777" w:rsidR="000533E4" w:rsidRDefault="000533E4" w:rsidP="00CD363C">
            <w:pPr>
              <w:pStyle w:val="TableParagraph"/>
              <w:ind w:right="113"/>
              <w:jc w:val="both"/>
              <w:rPr>
                <w:sz w:val="18"/>
              </w:rPr>
            </w:pPr>
          </w:p>
        </w:tc>
        <w:tc>
          <w:tcPr>
            <w:tcW w:w="1008" w:type="dxa"/>
            <w:tcBorders>
              <w:bottom w:val="nil"/>
            </w:tcBorders>
          </w:tcPr>
          <w:p w14:paraId="4D978EA6" w14:textId="77777777" w:rsidR="000533E4" w:rsidRDefault="000533E4" w:rsidP="00CD363C">
            <w:pPr>
              <w:pStyle w:val="TableParagraph"/>
              <w:ind w:right="113"/>
              <w:jc w:val="both"/>
              <w:rPr>
                <w:sz w:val="18"/>
              </w:rPr>
            </w:pPr>
          </w:p>
        </w:tc>
        <w:tc>
          <w:tcPr>
            <w:tcW w:w="1215" w:type="dxa"/>
            <w:vMerge w:val="restart"/>
            <w:shd w:val="clear" w:color="auto" w:fill="EBF3F9"/>
          </w:tcPr>
          <w:p w14:paraId="4A48450E" w14:textId="77777777" w:rsidR="000533E4" w:rsidRDefault="000533E4" w:rsidP="00CD363C">
            <w:pPr>
              <w:pStyle w:val="TableParagraph"/>
              <w:ind w:right="113"/>
              <w:jc w:val="both"/>
              <w:rPr>
                <w:b/>
                <w:sz w:val="25"/>
              </w:rPr>
            </w:pPr>
          </w:p>
          <w:p w14:paraId="518E0041" w14:textId="77777777" w:rsidR="000533E4" w:rsidRDefault="000533E4" w:rsidP="00CD363C">
            <w:pPr>
              <w:pStyle w:val="TableParagraph"/>
              <w:ind w:left="72" w:right="113"/>
              <w:jc w:val="both"/>
              <w:rPr>
                <w:sz w:val="16"/>
              </w:rPr>
            </w:pPr>
            <w:r>
              <w:rPr>
                <w:sz w:val="16"/>
              </w:rPr>
              <w:t>14.2.;14.3.;</w:t>
            </w:r>
          </w:p>
          <w:p w14:paraId="4FAC931B" w14:textId="77777777" w:rsidR="000533E4" w:rsidRDefault="000533E4" w:rsidP="00CD363C">
            <w:pPr>
              <w:pStyle w:val="TableParagraph"/>
              <w:ind w:right="113"/>
              <w:jc w:val="both"/>
              <w:rPr>
                <w:b/>
                <w:sz w:val="19"/>
              </w:rPr>
            </w:pPr>
          </w:p>
          <w:p w14:paraId="2A945651" w14:textId="77777777" w:rsidR="000533E4" w:rsidRDefault="000533E4" w:rsidP="00CD363C">
            <w:pPr>
              <w:pStyle w:val="TableParagraph"/>
              <w:ind w:left="217" w:right="113"/>
              <w:jc w:val="both"/>
              <w:rPr>
                <w:sz w:val="16"/>
              </w:rPr>
            </w:pPr>
            <w:r>
              <w:rPr>
                <w:sz w:val="16"/>
              </w:rPr>
              <w:t>14.4.; 14.6.</w:t>
            </w:r>
          </w:p>
        </w:tc>
      </w:tr>
      <w:tr w:rsidR="000533E4" w14:paraId="48622BCA" w14:textId="77777777" w:rsidTr="00FF1C69">
        <w:trPr>
          <w:trHeight w:val="404"/>
        </w:trPr>
        <w:tc>
          <w:tcPr>
            <w:tcW w:w="638" w:type="dxa"/>
            <w:tcBorders>
              <w:top w:val="nil"/>
              <w:bottom w:val="nil"/>
            </w:tcBorders>
          </w:tcPr>
          <w:p w14:paraId="4030A51B" w14:textId="77777777" w:rsidR="000533E4" w:rsidRDefault="000533E4" w:rsidP="00CD363C">
            <w:pPr>
              <w:pStyle w:val="TableParagraph"/>
              <w:ind w:left="107" w:right="113"/>
              <w:jc w:val="both"/>
              <w:rPr>
                <w:sz w:val="16"/>
              </w:rPr>
            </w:pPr>
            <w:r>
              <w:rPr>
                <w:sz w:val="16"/>
              </w:rPr>
              <w:t>AIN</w:t>
            </w:r>
          </w:p>
        </w:tc>
        <w:tc>
          <w:tcPr>
            <w:tcW w:w="1226" w:type="dxa"/>
            <w:tcBorders>
              <w:top w:val="nil"/>
              <w:bottom w:val="nil"/>
            </w:tcBorders>
          </w:tcPr>
          <w:p w14:paraId="253AD500" w14:textId="77777777" w:rsidR="000533E4" w:rsidRDefault="000533E4" w:rsidP="00CD363C">
            <w:pPr>
              <w:pStyle w:val="TableParagraph"/>
              <w:ind w:left="108" w:right="113"/>
              <w:jc w:val="both"/>
              <w:rPr>
                <w:b/>
                <w:sz w:val="16"/>
              </w:rPr>
            </w:pPr>
            <w:r>
              <w:rPr>
                <w:b/>
                <w:sz w:val="16"/>
              </w:rPr>
              <w:t>Aizņēmumi</w:t>
            </w:r>
          </w:p>
        </w:tc>
        <w:tc>
          <w:tcPr>
            <w:tcW w:w="771" w:type="dxa"/>
            <w:tcBorders>
              <w:top w:val="nil"/>
              <w:bottom w:val="nil"/>
            </w:tcBorders>
          </w:tcPr>
          <w:p w14:paraId="5D0A32D2" w14:textId="77777777" w:rsidR="000533E4" w:rsidRDefault="000533E4" w:rsidP="00CD363C">
            <w:pPr>
              <w:pStyle w:val="TableParagraph"/>
              <w:ind w:left="77" w:right="113"/>
              <w:jc w:val="both"/>
              <w:rPr>
                <w:sz w:val="18"/>
              </w:rPr>
            </w:pPr>
            <w:r>
              <w:rPr>
                <w:sz w:val="18"/>
              </w:rPr>
              <w:t>102 500</w:t>
            </w:r>
          </w:p>
          <w:p w14:paraId="6B4C899D" w14:textId="77777777" w:rsidR="000533E4" w:rsidRDefault="000533E4" w:rsidP="00CD363C">
            <w:pPr>
              <w:pStyle w:val="TableParagraph"/>
              <w:ind w:left="63" w:right="113"/>
              <w:jc w:val="both"/>
              <w:rPr>
                <w:sz w:val="18"/>
              </w:rPr>
            </w:pPr>
            <w:r>
              <w:rPr>
                <w:sz w:val="18"/>
              </w:rPr>
              <w:t>( 2 500 +</w:t>
            </w:r>
          </w:p>
        </w:tc>
        <w:tc>
          <w:tcPr>
            <w:tcW w:w="960" w:type="dxa"/>
            <w:tcBorders>
              <w:top w:val="nil"/>
              <w:bottom w:val="nil"/>
            </w:tcBorders>
          </w:tcPr>
          <w:p w14:paraId="72483861" w14:textId="77777777" w:rsidR="000533E4" w:rsidRDefault="000533E4" w:rsidP="00CD363C">
            <w:pPr>
              <w:pStyle w:val="TableParagraph"/>
              <w:ind w:left="110" w:right="113"/>
              <w:jc w:val="both"/>
              <w:rPr>
                <w:sz w:val="18"/>
              </w:rPr>
            </w:pPr>
            <w:r>
              <w:rPr>
                <w:sz w:val="18"/>
              </w:rPr>
              <w:t>(9 004,60</w:t>
            </w:r>
          </w:p>
          <w:p w14:paraId="57A7D441" w14:textId="77777777" w:rsidR="000533E4" w:rsidRDefault="000533E4" w:rsidP="00CD363C">
            <w:pPr>
              <w:pStyle w:val="TableParagraph"/>
              <w:ind w:left="46" w:right="113"/>
              <w:jc w:val="both"/>
              <w:rPr>
                <w:sz w:val="18"/>
              </w:rPr>
            </w:pPr>
            <w:r>
              <w:rPr>
                <w:sz w:val="18"/>
              </w:rPr>
              <w:t>+1 550 000</w:t>
            </w:r>
          </w:p>
        </w:tc>
        <w:tc>
          <w:tcPr>
            <w:tcW w:w="783" w:type="dxa"/>
            <w:tcBorders>
              <w:top w:val="nil"/>
              <w:bottom w:val="nil"/>
            </w:tcBorders>
          </w:tcPr>
          <w:p w14:paraId="5C86948F" w14:textId="77777777" w:rsidR="000533E4" w:rsidRDefault="000533E4" w:rsidP="00CD363C">
            <w:pPr>
              <w:pStyle w:val="TableParagraph"/>
              <w:ind w:right="113"/>
              <w:jc w:val="both"/>
              <w:rPr>
                <w:b/>
                <w:sz w:val="17"/>
              </w:rPr>
            </w:pPr>
          </w:p>
          <w:p w14:paraId="31FE0EB6" w14:textId="77777777" w:rsidR="000533E4" w:rsidRDefault="000533E4" w:rsidP="00CD363C">
            <w:pPr>
              <w:pStyle w:val="TableParagraph"/>
              <w:ind w:left="46" w:right="113"/>
              <w:jc w:val="both"/>
              <w:rPr>
                <w:sz w:val="18"/>
              </w:rPr>
            </w:pPr>
            <w:r>
              <w:rPr>
                <w:sz w:val="18"/>
              </w:rPr>
              <w:t>120 000</w:t>
            </w:r>
          </w:p>
        </w:tc>
        <w:tc>
          <w:tcPr>
            <w:tcW w:w="682" w:type="dxa"/>
            <w:vMerge/>
            <w:tcBorders>
              <w:top w:val="nil"/>
            </w:tcBorders>
          </w:tcPr>
          <w:p w14:paraId="7A873102" w14:textId="77777777" w:rsidR="000533E4" w:rsidRDefault="000533E4" w:rsidP="00CD363C">
            <w:pPr>
              <w:spacing w:after="0" w:line="240" w:lineRule="auto"/>
              <w:ind w:right="113"/>
              <w:jc w:val="both"/>
              <w:rPr>
                <w:sz w:val="2"/>
                <w:szCs w:val="2"/>
              </w:rPr>
            </w:pPr>
          </w:p>
        </w:tc>
        <w:tc>
          <w:tcPr>
            <w:tcW w:w="732" w:type="dxa"/>
            <w:vMerge/>
            <w:tcBorders>
              <w:top w:val="nil"/>
            </w:tcBorders>
          </w:tcPr>
          <w:p w14:paraId="2F701236" w14:textId="77777777" w:rsidR="000533E4" w:rsidRDefault="000533E4" w:rsidP="00CD363C">
            <w:pPr>
              <w:spacing w:after="0" w:line="240" w:lineRule="auto"/>
              <w:ind w:right="113"/>
              <w:jc w:val="both"/>
              <w:rPr>
                <w:sz w:val="2"/>
                <w:szCs w:val="2"/>
              </w:rPr>
            </w:pPr>
          </w:p>
        </w:tc>
        <w:tc>
          <w:tcPr>
            <w:tcW w:w="809" w:type="dxa"/>
            <w:tcBorders>
              <w:top w:val="nil"/>
              <w:bottom w:val="nil"/>
            </w:tcBorders>
          </w:tcPr>
          <w:p w14:paraId="79777E73" w14:textId="77777777" w:rsidR="000533E4" w:rsidRDefault="000533E4" w:rsidP="00CD363C">
            <w:pPr>
              <w:pStyle w:val="TableParagraph"/>
              <w:ind w:right="113"/>
              <w:jc w:val="both"/>
              <w:rPr>
                <w:b/>
                <w:sz w:val="17"/>
              </w:rPr>
            </w:pPr>
          </w:p>
          <w:p w14:paraId="783B0400" w14:textId="77777777" w:rsidR="000533E4" w:rsidRDefault="000533E4" w:rsidP="00CD363C">
            <w:pPr>
              <w:pStyle w:val="TableParagraph"/>
              <w:ind w:left="18" w:right="113"/>
              <w:jc w:val="both"/>
              <w:rPr>
                <w:sz w:val="18"/>
              </w:rPr>
            </w:pPr>
            <w:r>
              <w:rPr>
                <w:sz w:val="18"/>
              </w:rPr>
              <w:t>100 000</w:t>
            </w:r>
          </w:p>
        </w:tc>
        <w:tc>
          <w:tcPr>
            <w:tcW w:w="806" w:type="dxa"/>
            <w:vMerge/>
            <w:tcBorders>
              <w:top w:val="nil"/>
            </w:tcBorders>
          </w:tcPr>
          <w:p w14:paraId="0B156884" w14:textId="77777777" w:rsidR="000533E4" w:rsidRDefault="000533E4" w:rsidP="00CD363C">
            <w:pPr>
              <w:spacing w:after="0" w:line="240" w:lineRule="auto"/>
              <w:ind w:right="113"/>
              <w:jc w:val="both"/>
              <w:rPr>
                <w:sz w:val="2"/>
                <w:szCs w:val="2"/>
              </w:rPr>
            </w:pPr>
          </w:p>
        </w:tc>
        <w:tc>
          <w:tcPr>
            <w:tcW w:w="1008" w:type="dxa"/>
            <w:tcBorders>
              <w:top w:val="nil"/>
              <w:bottom w:val="nil"/>
            </w:tcBorders>
          </w:tcPr>
          <w:p w14:paraId="4F5754D0" w14:textId="77777777" w:rsidR="000533E4" w:rsidRDefault="000533E4" w:rsidP="00CD363C">
            <w:pPr>
              <w:pStyle w:val="TableParagraph"/>
              <w:ind w:right="113"/>
              <w:jc w:val="both"/>
              <w:rPr>
                <w:b/>
                <w:sz w:val="17"/>
              </w:rPr>
            </w:pPr>
          </w:p>
          <w:p w14:paraId="645D86A1" w14:textId="77777777" w:rsidR="000533E4" w:rsidRDefault="000533E4" w:rsidP="00CD363C">
            <w:pPr>
              <w:pStyle w:val="TableParagraph"/>
              <w:ind w:left="165" w:right="113"/>
              <w:jc w:val="both"/>
              <w:rPr>
                <w:sz w:val="18"/>
              </w:rPr>
            </w:pPr>
            <w:r>
              <w:rPr>
                <w:sz w:val="18"/>
              </w:rPr>
              <w:t>100 000</w:t>
            </w:r>
          </w:p>
        </w:tc>
        <w:tc>
          <w:tcPr>
            <w:tcW w:w="1215" w:type="dxa"/>
            <w:vMerge/>
            <w:tcBorders>
              <w:top w:val="nil"/>
            </w:tcBorders>
            <w:shd w:val="clear" w:color="auto" w:fill="EBF3F9"/>
          </w:tcPr>
          <w:p w14:paraId="7302AADF" w14:textId="77777777" w:rsidR="000533E4" w:rsidRDefault="000533E4" w:rsidP="00CD363C">
            <w:pPr>
              <w:spacing w:after="0" w:line="240" w:lineRule="auto"/>
              <w:ind w:right="113"/>
              <w:jc w:val="both"/>
              <w:rPr>
                <w:sz w:val="2"/>
                <w:szCs w:val="2"/>
              </w:rPr>
            </w:pPr>
          </w:p>
        </w:tc>
      </w:tr>
      <w:tr w:rsidR="000533E4" w14:paraId="43B54268" w14:textId="77777777" w:rsidTr="00FF1C69">
        <w:trPr>
          <w:trHeight w:val="197"/>
        </w:trPr>
        <w:tc>
          <w:tcPr>
            <w:tcW w:w="638" w:type="dxa"/>
            <w:tcBorders>
              <w:top w:val="nil"/>
              <w:bottom w:val="nil"/>
            </w:tcBorders>
          </w:tcPr>
          <w:p w14:paraId="7936CB1B" w14:textId="77777777" w:rsidR="000533E4" w:rsidRDefault="000533E4" w:rsidP="00CD363C">
            <w:pPr>
              <w:pStyle w:val="TableParagraph"/>
              <w:ind w:right="113"/>
              <w:jc w:val="both"/>
              <w:rPr>
                <w:sz w:val="12"/>
              </w:rPr>
            </w:pPr>
          </w:p>
        </w:tc>
        <w:tc>
          <w:tcPr>
            <w:tcW w:w="1226" w:type="dxa"/>
            <w:tcBorders>
              <w:top w:val="nil"/>
              <w:bottom w:val="nil"/>
            </w:tcBorders>
          </w:tcPr>
          <w:p w14:paraId="461ACC23" w14:textId="77777777" w:rsidR="000533E4" w:rsidRDefault="000533E4" w:rsidP="00CD363C">
            <w:pPr>
              <w:pStyle w:val="TableParagraph"/>
              <w:ind w:right="113"/>
              <w:jc w:val="both"/>
              <w:rPr>
                <w:sz w:val="12"/>
              </w:rPr>
            </w:pPr>
          </w:p>
        </w:tc>
        <w:tc>
          <w:tcPr>
            <w:tcW w:w="771" w:type="dxa"/>
            <w:tcBorders>
              <w:top w:val="nil"/>
              <w:bottom w:val="nil"/>
            </w:tcBorders>
          </w:tcPr>
          <w:p w14:paraId="0D1621FA" w14:textId="77777777" w:rsidR="000533E4" w:rsidRDefault="000533E4" w:rsidP="00CD363C">
            <w:pPr>
              <w:pStyle w:val="TableParagraph"/>
              <w:ind w:left="70" w:right="113"/>
              <w:jc w:val="both"/>
              <w:rPr>
                <w:sz w:val="18"/>
              </w:rPr>
            </w:pPr>
            <w:r>
              <w:rPr>
                <w:sz w:val="18"/>
              </w:rPr>
              <w:t>100 000)</w:t>
            </w:r>
          </w:p>
        </w:tc>
        <w:tc>
          <w:tcPr>
            <w:tcW w:w="960" w:type="dxa"/>
            <w:tcBorders>
              <w:top w:val="nil"/>
              <w:bottom w:val="nil"/>
            </w:tcBorders>
          </w:tcPr>
          <w:p w14:paraId="25221D55" w14:textId="77777777" w:rsidR="000533E4" w:rsidRDefault="000533E4" w:rsidP="00CD363C">
            <w:pPr>
              <w:pStyle w:val="TableParagraph"/>
              <w:ind w:left="158" w:right="113"/>
              <w:jc w:val="both"/>
              <w:rPr>
                <w:sz w:val="18"/>
              </w:rPr>
            </w:pPr>
            <w:r>
              <w:rPr>
                <w:sz w:val="18"/>
              </w:rPr>
              <w:t>+60 000</w:t>
            </w:r>
          </w:p>
        </w:tc>
        <w:tc>
          <w:tcPr>
            <w:tcW w:w="783" w:type="dxa"/>
            <w:tcBorders>
              <w:top w:val="nil"/>
              <w:bottom w:val="nil"/>
            </w:tcBorders>
          </w:tcPr>
          <w:p w14:paraId="28CC117C" w14:textId="77777777" w:rsidR="000533E4" w:rsidRDefault="000533E4" w:rsidP="00CD363C">
            <w:pPr>
              <w:pStyle w:val="TableParagraph"/>
              <w:ind w:right="113"/>
              <w:jc w:val="both"/>
              <w:rPr>
                <w:sz w:val="12"/>
              </w:rPr>
            </w:pPr>
          </w:p>
        </w:tc>
        <w:tc>
          <w:tcPr>
            <w:tcW w:w="682" w:type="dxa"/>
            <w:vMerge/>
            <w:tcBorders>
              <w:top w:val="nil"/>
            </w:tcBorders>
          </w:tcPr>
          <w:p w14:paraId="37C78017" w14:textId="77777777" w:rsidR="000533E4" w:rsidRDefault="000533E4" w:rsidP="00CD363C">
            <w:pPr>
              <w:spacing w:after="0" w:line="240" w:lineRule="auto"/>
              <w:ind w:right="113"/>
              <w:jc w:val="both"/>
              <w:rPr>
                <w:sz w:val="2"/>
                <w:szCs w:val="2"/>
              </w:rPr>
            </w:pPr>
          </w:p>
        </w:tc>
        <w:tc>
          <w:tcPr>
            <w:tcW w:w="732" w:type="dxa"/>
            <w:vMerge/>
            <w:tcBorders>
              <w:top w:val="nil"/>
            </w:tcBorders>
          </w:tcPr>
          <w:p w14:paraId="7B89B51D" w14:textId="77777777" w:rsidR="000533E4" w:rsidRDefault="000533E4" w:rsidP="00CD363C">
            <w:pPr>
              <w:spacing w:after="0" w:line="240" w:lineRule="auto"/>
              <w:ind w:right="113"/>
              <w:jc w:val="both"/>
              <w:rPr>
                <w:sz w:val="2"/>
                <w:szCs w:val="2"/>
              </w:rPr>
            </w:pPr>
          </w:p>
        </w:tc>
        <w:tc>
          <w:tcPr>
            <w:tcW w:w="809" w:type="dxa"/>
            <w:tcBorders>
              <w:top w:val="nil"/>
              <w:bottom w:val="nil"/>
            </w:tcBorders>
          </w:tcPr>
          <w:p w14:paraId="6CF613AA" w14:textId="77777777" w:rsidR="000533E4" w:rsidRDefault="000533E4" w:rsidP="00CD363C">
            <w:pPr>
              <w:pStyle w:val="TableParagraph"/>
              <w:ind w:right="113"/>
              <w:jc w:val="both"/>
              <w:rPr>
                <w:sz w:val="12"/>
              </w:rPr>
            </w:pPr>
          </w:p>
        </w:tc>
        <w:tc>
          <w:tcPr>
            <w:tcW w:w="806" w:type="dxa"/>
            <w:vMerge/>
            <w:tcBorders>
              <w:top w:val="nil"/>
            </w:tcBorders>
          </w:tcPr>
          <w:p w14:paraId="375D63F5" w14:textId="77777777" w:rsidR="000533E4" w:rsidRDefault="000533E4" w:rsidP="00CD363C">
            <w:pPr>
              <w:spacing w:after="0" w:line="240" w:lineRule="auto"/>
              <w:ind w:right="113"/>
              <w:jc w:val="both"/>
              <w:rPr>
                <w:sz w:val="2"/>
                <w:szCs w:val="2"/>
              </w:rPr>
            </w:pPr>
          </w:p>
        </w:tc>
        <w:tc>
          <w:tcPr>
            <w:tcW w:w="1008" w:type="dxa"/>
            <w:tcBorders>
              <w:top w:val="nil"/>
              <w:bottom w:val="nil"/>
            </w:tcBorders>
          </w:tcPr>
          <w:p w14:paraId="14D089F2" w14:textId="77777777" w:rsidR="000533E4" w:rsidRDefault="000533E4" w:rsidP="00CD363C">
            <w:pPr>
              <w:pStyle w:val="TableParagraph"/>
              <w:ind w:right="113"/>
              <w:jc w:val="both"/>
              <w:rPr>
                <w:sz w:val="12"/>
              </w:rPr>
            </w:pPr>
          </w:p>
        </w:tc>
        <w:tc>
          <w:tcPr>
            <w:tcW w:w="1215" w:type="dxa"/>
            <w:vMerge/>
            <w:tcBorders>
              <w:top w:val="nil"/>
            </w:tcBorders>
            <w:shd w:val="clear" w:color="auto" w:fill="EBF3F9"/>
          </w:tcPr>
          <w:p w14:paraId="1F48B786" w14:textId="77777777" w:rsidR="000533E4" w:rsidRDefault="000533E4" w:rsidP="00CD363C">
            <w:pPr>
              <w:spacing w:after="0" w:line="240" w:lineRule="auto"/>
              <w:ind w:right="113"/>
              <w:jc w:val="both"/>
              <w:rPr>
                <w:sz w:val="2"/>
                <w:szCs w:val="2"/>
              </w:rPr>
            </w:pPr>
          </w:p>
        </w:tc>
      </w:tr>
      <w:tr w:rsidR="000533E4" w14:paraId="203E7093" w14:textId="77777777" w:rsidTr="00FF1C69">
        <w:trPr>
          <w:trHeight w:val="343"/>
        </w:trPr>
        <w:tc>
          <w:tcPr>
            <w:tcW w:w="638" w:type="dxa"/>
            <w:tcBorders>
              <w:top w:val="nil"/>
            </w:tcBorders>
          </w:tcPr>
          <w:p w14:paraId="1BC16880" w14:textId="77777777" w:rsidR="000533E4" w:rsidRDefault="000533E4" w:rsidP="00CD363C">
            <w:pPr>
              <w:pStyle w:val="TableParagraph"/>
              <w:ind w:right="113"/>
              <w:jc w:val="both"/>
              <w:rPr>
                <w:sz w:val="18"/>
              </w:rPr>
            </w:pPr>
          </w:p>
        </w:tc>
        <w:tc>
          <w:tcPr>
            <w:tcW w:w="1226" w:type="dxa"/>
            <w:tcBorders>
              <w:top w:val="nil"/>
            </w:tcBorders>
          </w:tcPr>
          <w:p w14:paraId="65D2AC5F" w14:textId="77777777" w:rsidR="000533E4" w:rsidRDefault="000533E4" w:rsidP="00CD363C">
            <w:pPr>
              <w:pStyle w:val="TableParagraph"/>
              <w:ind w:right="113"/>
              <w:jc w:val="both"/>
              <w:rPr>
                <w:sz w:val="18"/>
              </w:rPr>
            </w:pPr>
          </w:p>
        </w:tc>
        <w:tc>
          <w:tcPr>
            <w:tcW w:w="771" w:type="dxa"/>
            <w:tcBorders>
              <w:top w:val="nil"/>
            </w:tcBorders>
          </w:tcPr>
          <w:p w14:paraId="5E2BA95A" w14:textId="77777777" w:rsidR="000533E4" w:rsidRDefault="000533E4" w:rsidP="00CD363C">
            <w:pPr>
              <w:pStyle w:val="TableParagraph"/>
              <w:ind w:right="113"/>
              <w:jc w:val="both"/>
              <w:rPr>
                <w:sz w:val="18"/>
              </w:rPr>
            </w:pPr>
          </w:p>
        </w:tc>
        <w:tc>
          <w:tcPr>
            <w:tcW w:w="960" w:type="dxa"/>
            <w:tcBorders>
              <w:top w:val="nil"/>
            </w:tcBorders>
          </w:tcPr>
          <w:p w14:paraId="4C0CD0AA" w14:textId="77777777" w:rsidR="000533E4" w:rsidRDefault="000533E4" w:rsidP="00CD363C">
            <w:pPr>
              <w:pStyle w:val="TableParagraph"/>
              <w:ind w:left="127" w:right="113"/>
              <w:jc w:val="both"/>
              <w:rPr>
                <w:sz w:val="18"/>
              </w:rPr>
            </w:pPr>
            <w:r>
              <w:rPr>
                <w:sz w:val="18"/>
              </w:rPr>
              <w:t>+100 00)</w:t>
            </w:r>
          </w:p>
        </w:tc>
        <w:tc>
          <w:tcPr>
            <w:tcW w:w="783" w:type="dxa"/>
            <w:tcBorders>
              <w:top w:val="nil"/>
            </w:tcBorders>
          </w:tcPr>
          <w:p w14:paraId="22ADE3F9" w14:textId="77777777" w:rsidR="000533E4" w:rsidRDefault="000533E4" w:rsidP="00CD363C">
            <w:pPr>
              <w:pStyle w:val="TableParagraph"/>
              <w:ind w:right="113"/>
              <w:jc w:val="both"/>
              <w:rPr>
                <w:sz w:val="18"/>
              </w:rPr>
            </w:pPr>
          </w:p>
        </w:tc>
        <w:tc>
          <w:tcPr>
            <w:tcW w:w="682" w:type="dxa"/>
            <w:vMerge/>
            <w:tcBorders>
              <w:top w:val="nil"/>
            </w:tcBorders>
          </w:tcPr>
          <w:p w14:paraId="040F959C" w14:textId="77777777" w:rsidR="000533E4" w:rsidRDefault="000533E4" w:rsidP="00CD363C">
            <w:pPr>
              <w:spacing w:after="0" w:line="240" w:lineRule="auto"/>
              <w:ind w:right="113"/>
              <w:jc w:val="both"/>
              <w:rPr>
                <w:sz w:val="2"/>
                <w:szCs w:val="2"/>
              </w:rPr>
            </w:pPr>
          </w:p>
        </w:tc>
        <w:tc>
          <w:tcPr>
            <w:tcW w:w="732" w:type="dxa"/>
            <w:vMerge/>
            <w:tcBorders>
              <w:top w:val="nil"/>
            </w:tcBorders>
          </w:tcPr>
          <w:p w14:paraId="64EB4674" w14:textId="77777777" w:rsidR="000533E4" w:rsidRDefault="000533E4" w:rsidP="00CD363C">
            <w:pPr>
              <w:spacing w:after="0" w:line="240" w:lineRule="auto"/>
              <w:ind w:right="113"/>
              <w:jc w:val="both"/>
              <w:rPr>
                <w:sz w:val="2"/>
                <w:szCs w:val="2"/>
              </w:rPr>
            </w:pPr>
          </w:p>
        </w:tc>
        <w:tc>
          <w:tcPr>
            <w:tcW w:w="809" w:type="dxa"/>
            <w:tcBorders>
              <w:top w:val="nil"/>
            </w:tcBorders>
          </w:tcPr>
          <w:p w14:paraId="30FAC69A" w14:textId="77777777" w:rsidR="000533E4" w:rsidRDefault="000533E4" w:rsidP="00CD363C">
            <w:pPr>
              <w:pStyle w:val="TableParagraph"/>
              <w:ind w:right="113"/>
              <w:jc w:val="both"/>
              <w:rPr>
                <w:sz w:val="18"/>
              </w:rPr>
            </w:pPr>
          </w:p>
        </w:tc>
        <w:tc>
          <w:tcPr>
            <w:tcW w:w="806" w:type="dxa"/>
            <w:vMerge/>
            <w:tcBorders>
              <w:top w:val="nil"/>
            </w:tcBorders>
          </w:tcPr>
          <w:p w14:paraId="1FA1E275" w14:textId="77777777" w:rsidR="000533E4" w:rsidRDefault="000533E4" w:rsidP="00CD363C">
            <w:pPr>
              <w:spacing w:after="0" w:line="240" w:lineRule="auto"/>
              <w:ind w:right="113"/>
              <w:jc w:val="both"/>
              <w:rPr>
                <w:sz w:val="2"/>
                <w:szCs w:val="2"/>
              </w:rPr>
            </w:pPr>
          </w:p>
        </w:tc>
        <w:tc>
          <w:tcPr>
            <w:tcW w:w="1008" w:type="dxa"/>
            <w:tcBorders>
              <w:top w:val="nil"/>
            </w:tcBorders>
          </w:tcPr>
          <w:p w14:paraId="2079542F" w14:textId="77777777" w:rsidR="000533E4" w:rsidRDefault="000533E4" w:rsidP="00CD363C">
            <w:pPr>
              <w:pStyle w:val="TableParagraph"/>
              <w:ind w:right="113"/>
              <w:jc w:val="both"/>
              <w:rPr>
                <w:sz w:val="18"/>
              </w:rPr>
            </w:pPr>
          </w:p>
        </w:tc>
        <w:tc>
          <w:tcPr>
            <w:tcW w:w="1215" w:type="dxa"/>
            <w:vMerge/>
            <w:tcBorders>
              <w:top w:val="nil"/>
            </w:tcBorders>
            <w:shd w:val="clear" w:color="auto" w:fill="EBF3F9"/>
          </w:tcPr>
          <w:p w14:paraId="699F52F5" w14:textId="77777777" w:rsidR="000533E4" w:rsidRDefault="000533E4" w:rsidP="00CD363C">
            <w:pPr>
              <w:spacing w:after="0" w:line="240" w:lineRule="auto"/>
              <w:ind w:right="113"/>
              <w:jc w:val="both"/>
              <w:rPr>
                <w:sz w:val="2"/>
                <w:szCs w:val="2"/>
              </w:rPr>
            </w:pPr>
          </w:p>
        </w:tc>
      </w:tr>
    </w:tbl>
    <w:p w14:paraId="16717CA4" w14:textId="77777777" w:rsidR="000533E4" w:rsidRDefault="000533E4" w:rsidP="00CD363C">
      <w:pPr>
        <w:pStyle w:val="Pamatteksts"/>
        <w:ind w:right="113"/>
        <w:jc w:val="both"/>
        <w:rPr>
          <w:b/>
          <w:sz w:val="24"/>
        </w:rPr>
      </w:pPr>
    </w:p>
    <w:p w14:paraId="1AC74CC3" w14:textId="77777777" w:rsidR="000533E4" w:rsidRDefault="000533E4" w:rsidP="00CD363C">
      <w:pPr>
        <w:pStyle w:val="Pamatteksts"/>
        <w:ind w:right="113"/>
        <w:jc w:val="both"/>
        <w:rPr>
          <w:b/>
          <w:sz w:val="24"/>
        </w:rPr>
      </w:pPr>
    </w:p>
    <w:p w14:paraId="6AD89C9E" w14:textId="77777777" w:rsidR="000533E4" w:rsidRDefault="000533E4" w:rsidP="00CD363C">
      <w:pPr>
        <w:pStyle w:val="Pamatteksts"/>
        <w:ind w:right="113"/>
        <w:jc w:val="both"/>
        <w:rPr>
          <w:b/>
          <w:sz w:val="27"/>
        </w:rPr>
      </w:pPr>
    </w:p>
    <w:p w14:paraId="12FD5A0E" w14:textId="77777777" w:rsidR="000533E4" w:rsidRDefault="000533E4" w:rsidP="00CD363C">
      <w:pPr>
        <w:spacing w:after="0" w:line="240" w:lineRule="auto"/>
        <w:ind w:left="338" w:right="113"/>
        <w:jc w:val="both"/>
        <w:rPr>
          <w:b/>
        </w:rPr>
      </w:pPr>
      <w:r>
        <w:rPr>
          <w:b/>
          <w:color w:val="002069"/>
          <w:u w:val="thick" w:color="002069"/>
        </w:rPr>
        <w:t>Pārskata par darbības finansiālajiem rezultātiem posteņu skaidrojums</w:t>
      </w:r>
      <w:r>
        <w:rPr>
          <w:b/>
          <w:color w:val="002069"/>
        </w:rPr>
        <w:t xml:space="preserve"> </w:t>
      </w:r>
      <w:r>
        <w:rPr>
          <w:b/>
        </w:rPr>
        <w:t>FD.A31VSAM Izdevumi no aktīvu vērtības samazinājuma</w:t>
      </w:r>
    </w:p>
    <w:p w14:paraId="1C7479EB" w14:textId="77777777" w:rsidR="000533E4" w:rsidRDefault="000533E4" w:rsidP="00CD363C">
      <w:pPr>
        <w:pStyle w:val="Pamatteksts"/>
        <w:ind w:right="113"/>
        <w:jc w:val="both"/>
        <w:rPr>
          <w:b/>
          <w:sz w:val="8"/>
        </w:rPr>
      </w:pPr>
    </w:p>
    <w:tbl>
      <w:tblPr>
        <w:tblW w:w="0" w:type="auto"/>
        <w:tblInd w:w="43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378"/>
        <w:gridCol w:w="3203"/>
        <w:gridCol w:w="1703"/>
        <w:gridCol w:w="1702"/>
        <w:gridCol w:w="1558"/>
      </w:tblGrid>
      <w:tr w:rsidR="000533E4" w14:paraId="27A83586" w14:textId="77777777" w:rsidTr="00FF1C69">
        <w:trPr>
          <w:trHeight w:val="690"/>
        </w:trPr>
        <w:tc>
          <w:tcPr>
            <w:tcW w:w="1378" w:type="dxa"/>
            <w:shd w:val="clear" w:color="auto" w:fill="F1F1F1"/>
          </w:tcPr>
          <w:p w14:paraId="3B75F401" w14:textId="77777777" w:rsidR="000533E4" w:rsidRDefault="000533E4" w:rsidP="00CD363C">
            <w:pPr>
              <w:pStyle w:val="TableParagraph"/>
              <w:ind w:right="113"/>
              <w:jc w:val="both"/>
              <w:rPr>
                <w:b/>
                <w:sz w:val="20"/>
              </w:rPr>
            </w:pPr>
          </w:p>
          <w:p w14:paraId="371E96B7" w14:textId="77777777" w:rsidR="000533E4" w:rsidRDefault="000533E4" w:rsidP="00CD363C">
            <w:pPr>
              <w:pStyle w:val="TableParagraph"/>
              <w:ind w:left="439" w:right="113"/>
              <w:jc w:val="both"/>
              <w:rPr>
                <w:b/>
                <w:sz w:val="20"/>
              </w:rPr>
            </w:pPr>
            <w:r>
              <w:rPr>
                <w:b/>
                <w:sz w:val="20"/>
              </w:rPr>
              <w:t>Kods</w:t>
            </w:r>
          </w:p>
        </w:tc>
        <w:tc>
          <w:tcPr>
            <w:tcW w:w="3203" w:type="dxa"/>
            <w:shd w:val="clear" w:color="auto" w:fill="F1F1F1"/>
          </w:tcPr>
          <w:p w14:paraId="2B88C7D8" w14:textId="77777777" w:rsidR="000533E4" w:rsidRDefault="000533E4" w:rsidP="00CD363C">
            <w:pPr>
              <w:pStyle w:val="TableParagraph"/>
              <w:ind w:right="113"/>
              <w:jc w:val="both"/>
              <w:rPr>
                <w:b/>
                <w:sz w:val="20"/>
              </w:rPr>
            </w:pPr>
          </w:p>
          <w:p w14:paraId="39676962" w14:textId="77777777" w:rsidR="000533E4" w:rsidRDefault="000533E4" w:rsidP="00CD363C">
            <w:pPr>
              <w:pStyle w:val="TableParagraph"/>
              <w:ind w:left="763" w:right="113"/>
              <w:jc w:val="both"/>
              <w:rPr>
                <w:b/>
                <w:sz w:val="20"/>
              </w:rPr>
            </w:pPr>
            <w:r>
              <w:rPr>
                <w:b/>
                <w:sz w:val="20"/>
              </w:rPr>
              <w:t>Darījuma apraksts</w:t>
            </w:r>
          </w:p>
        </w:tc>
        <w:tc>
          <w:tcPr>
            <w:tcW w:w="1703" w:type="dxa"/>
            <w:shd w:val="clear" w:color="auto" w:fill="F1F1F1"/>
          </w:tcPr>
          <w:p w14:paraId="4F42AC1E" w14:textId="77777777" w:rsidR="000533E4" w:rsidRDefault="000533E4" w:rsidP="00CD363C">
            <w:pPr>
              <w:pStyle w:val="TableParagraph"/>
              <w:ind w:left="493" w:right="113" w:hanging="56"/>
              <w:jc w:val="both"/>
              <w:rPr>
                <w:b/>
                <w:sz w:val="20"/>
              </w:rPr>
            </w:pPr>
            <w:r>
              <w:rPr>
                <w:b/>
                <w:w w:val="95"/>
                <w:sz w:val="20"/>
              </w:rPr>
              <w:t xml:space="preserve">Pārskata </w:t>
            </w:r>
            <w:r>
              <w:rPr>
                <w:b/>
                <w:sz w:val="20"/>
              </w:rPr>
              <w:t>periodā</w:t>
            </w:r>
          </w:p>
        </w:tc>
        <w:tc>
          <w:tcPr>
            <w:tcW w:w="1702" w:type="dxa"/>
            <w:shd w:val="clear" w:color="auto" w:fill="F1F1F1"/>
          </w:tcPr>
          <w:p w14:paraId="4BD1DABB" w14:textId="77777777" w:rsidR="000533E4" w:rsidRDefault="000533E4" w:rsidP="00CD363C">
            <w:pPr>
              <w:pStyle w:val="TableParagraph"/>
              <w:ind w:left="345" w:right="113"/>
              <w:jc w:val="both"/>
              <w:rPr>
                <w:b/>
                <w:sz w:val="20"/>
              </w:rPr>
            </w:pPr>
            <w:r>
              <w:rPr>
                <w:b/>
                <w:w w:val="95"/>
                <w:sz w:val="20"/>
              </w:rPr>
              <w:t xml:space="preserve">Iepriekšējā </w:t>
            </w:r>
            <w:r>
              <w:rPr>
                <w:b/>
                <w:sz w:val="20"/>
              </w:rPr>
              <w:t>pārskata periodā</w:t>
            </w:r>
          </w:p>
        </w:tc>
        <w:tc>
          <w:tcPr>
            <w:tcW w:w="1558" w:type="dxa"/>
            <w:shd w:val="clear" w:color="auto" w:fill="F1F1F1"/>
          </w:tcPr>
          <w:p w14:paraId="4CC11DFC" w14:textId="77777777" w:rsidR="000533E4" w:rsidRDefault="000533E4" w:rsidP="00CD363C">
            <w:pPr>
              <w:pStyle w:val="TableParagraph"/>
              <w:ind w:left="196" w:right="113" w:firstLine="48"/>
              <w:jc w:val="both"/>
              <w:rPr>
                <w:b/>
                <w:sz w:val="20"/>
              </w:rPr>
            </w:pPr>
            <w:r>
              <w:rPr>
                <w:b/>
                <w:sz w:val="20"/>
              </w:rPr>
              <w:t>Atsauces uz attiecīgajiem piemēriem</w:t>
            </w:r>
          </w:p>
        </w:tc>
      </w:tr>
      <w:tr w:rsidR="000533E4" w14:paraId="218A2752" w14:textId="77777777" w:rsidTr="00FF1C69">
        <w:trPr>
          <w:trHeight w:val="230"/>
        </w:trPr>
        <w:tc>
          <w:tcPr>
            <w:tcW w:w="1378" w:type="dxa"/>
            <w:shd w:val="clear" w:color="auto" w:fill="F1F1F1"/>
          </w:tcPr>
          <w:p w14:paraId="7B1A1B82" w14:textId="77777777" w:rsidR="000533E4" w:rsidRDefault="000533E4" w:rsidP="00CD363C">
            <w:pPr>
              <w:pStyle w:val="TableParagraph"/>
              <w:ind w:right="113"/>
              <w:jc w:val="both"/>
              <w:rPr>
                <w:b/>
                <w:sz w:val="20"/>
              </w:rPr>
            </w:pPr>
            <w:r>
              <w:rPr>
                <w:b/>
                <w:w w:val="99"/>
                <w:sz w:val="20"/>
              </w:rPr>
              <w:t>A</w:t>
            </w:r>
          </w:p>
        </w:tc>
        <w:tc>
          <w:tcPr>
            <w:tcW w:w="3203" w:type="dxa"/>
            <w:shd w:val="clear" w:color="auto" w:fill="F1F1F1"/>
          </w:tcPr>
          <w:p w14:paraId="339E5585" w14:textId="77777777" w:rsidR="000533E4" w:rsidRDefault="000533E4" w:rsidP="00CD363C">
            <w:pPr>
              <w:pStyle w:val="TableParagraph"/>
              <w:ind w:right="113"/>
              <w:jc w:val="both"/>
              <w:rPr>
                <w:b/>
                <w:sz w:val="20"/>
              </w:rPr>
            </w:pPr>
            <w:r>
              <w:rPr>
                <w:b/>
                <w:w w:val="99"/>
                <w:sz w:val="20"/>
              </w:rPr>
              <w:t>B</w:t>
            </w:r>
          </w:p>
        </w:tc>
        <w:tc>
          <w:tcPr>
            <w:tcW w:w="1703" w:type="dxa"/>
            <w:shd w:val="clear" w:color="auto" w:fill="F1F1F1"/>
          </w:tcPr>
          <w:p w14:paraId="5C439C91" w14:textId="77777777" w:rsidR="000533E4" w:rsidRDefault="000533E4" w:rsidP="00CD363C">
            <w:pPr>
              <w:pStyle w:val="TableParagraph"/>
              <w:ind w:right="113"/>
              <w:jc w:val="both"/>
              <w:rPr>
                <w:b/>
                <w:sz w:val="20"/>
              </w:rPr>
            </w:pPr>
            <w:r>
              <w:rPr>
                <w:b/>
                <w:w w:val="99"/>
                <w:sz w:val="20"/>
              </w:rPr>
              <w:t>1</w:t>
            </w:r>
          </w:p>
        </w:tc>
        <w:tc>
          <w:tcPr>
            <w:tcW w:w="1702" w:type="dxa"/>
            <w:shd w:val="clear" w:color="auto" w:fill="F1F1F1"/>
          </w:tcPr>
          <w:p w14:paraId="28DA4AEE" w14:textId="77777777" w:rsidR="000533E4" w:rsidRDefault="000533E4" w:rsidP="00CD363C">
            <w:pPr>
              <w:pStyle w:val="TableParagraph"/>
              <w:ind w:right="113"/>
              <w:jc w:val="both"/>
              <w:rPr>
                <w:b/>
                <w:sz w:val="20"/>
              </w:rPr>
            </w:pPr>
            <w:r>
              <w:rPr>
                <w:b/>
                <w:w w:val="99"/>
                <w:sz w:val="20"/>
              </w:rPr>
              <w:t>2</w:t>
            </w:r>
          </w:p>
        </w:tc>
        <w:tc>
          <w:tcPr>
            <w:tcW w:w="1558" w:type="dxa"/>
            <w:shd w:val="clear" w:color="auto" w:fill="F1F1F1"/>
          </w:tcPr>
          <w:p w14:paraId="597967A6" w14:textId="77777777" w:rsidR="000533E4" w:rsidRDefault="000533E4" w:rsidP="00CD363C">
            <w:pPr>
              <w:pStyle w:val="TableParagraph"/>
              <w:ind w:right="113"/>
              <w:jc w:val="both"/>
              <w:rPr>
                <w:sz w:val="16"/>
              </w:rPr>
            </w:pPr>
          </w:p>
        </w:tc>
      </w:tr>
      <w:tr w:rsidR="000533E4" w14:paraId="3C023B36" w14:textId="77777777" w:rsidTr="00FF1C69">
        <w:trPr>
          <w:trHeight w:val="460"/>
        </w:trPr>
        <w:tc>
          <w:tcPr>
            <w:tcW w:w="1378" w:type="dxa"/>
          </w:tcPr>
          <w:p w14:paraId="4C132A5D" w14:textId="77777777" w:rsidR="000533E4" w:rsidRDefault="000533E4" w:rsidP="00CD363C">
            <w:pPr>
              <w:pStyle w:val="TableParagraph"/>
              <w:ind w:left="107" w:right="113"/>
              <w:jc w:val="both"/>
              <w:rPr>
                <w:sz w:val="20"/>
              </w:rPr>
            </w:pPr>
            <w:r>
              <w:rPr>
                <w:sz w:val="20"/>
              </w:rPr>
              <w:t>VSFI</w:t>
            </w:r>
          </w:p>
        </w:tc>
        <w:tc>
          <w:tcPr>
            <w:tcW w:w="3203" w:type="dxa"/>
          </w:tcPr>
          <w:p w14:paraId="164D06C2" w14:textId="77777777" w:rsidR="000533E4" w:rsidRDefault="000533E4" w:rsidP="00CD363C">
            <w:pPr>
              <w:pStyle w:val="TableParagraph"/>
              <w:ind w:left="107" w:right="113"/>
              <w:jc w:val="both"/>
              <w:rPr>
                <w:sz w:val="20"/>
              </w:rPr>
            </w:pPr>
            <w:r>
              <w:rPr>
                <w:sz w:val="20"/>
              </w:rPr>
              <w:t>Izdevumi no vērtības samazinājuma</w:t>
            </w:r>
          </w:p>
          <w:p w14:paraId="2408F334" w14:textId="77777777" w:rsidR="000533E4" w:rsidRDefault="000533E4" w:rsidP="00CD363C">
            <w:pPr>
              <w:pStyle w:val="TableParagraph"/>
              <w:ind w:left="107" w:right="113"/>
              <w:jc w:val="both"/>
              <w:rPr>
                <w:sz w:val="20"/>
              </w:rPr>
            </w:pPr>
            <w:r>
              <w:rPr>
                <w:sz w:val="20"/>
              </w:rPr>
              <w:t>finanšu instrumentiem</w:t>
            </w:r>
          </w:p>
        </w:tc>
        <w:tc>
          <w:tcPr>
            <w:tcW w:w="1703" w:type="dxa"/>
          </w:tcPr>
          <w:p w14:paraId="0666EA9C" w14:textId="77777777" w:rsidR="000533E4" w:rsidRDefault="000533E4" w:rsidP="00CD363C">
            <w:pPr>
              <w:pStyle w:val="TableParagraph"/>
              <w:ind w:right="113"/>
              <w:jc w:val="both"/>
              <w:rPr>
                <w:sz w:val="20"/>
              </w:rPr>
            </w:pPr>
            <w:r>
              <w:rPr>
                <w:sz w:val="20"/>
              </w:rPr>
              <w:t>4 000</w:t>
            </w:r>
          </w:p>
        </w:tc>
        <w:tc>
          <w:tcPr>
            <w:tcW w:w="1702" w:type="dxa"/>
          </w:tcPr>
          <w:p w14:paraId="3543188C" w14:textId="77777777" w:rsidR="000533E4" w:rsidRDefault="000533E4" w:rsidP="00CD363C">
            <w:pPr>
              <w:pStyle w:val="TableParagraph"/>
              <w:ind w:right="113"/>
              <w:jc w:val="both"/>
              <w:rPr>
                <w:sz w:val="20"/>
              </w:rPr>
            </w:pPr>
            <w:r>
              <w:rPr>
                <w:w w:val="99"/>
                <w:sz w:val="20"/>
              </w:rPr>
              <w:t>-</w:t>
            </w:r>
          </w:p>
        </w:tc>
        <w:tc>
          <w:tcPr>
            <w:tcW w:w="1558" w:type="dxa"/>
            <w:shd w:val="clear" w:color="auto" w:fill="EBF3F9"/>
          </w:tcPr>
          <w:p w14:paraId="6A117D56" w14:textId="77777777" w:rsidR="000533E4" w:rsidRDefault="000533E4" w:rsidP="00CD363C">
            <w:pPr>
              <w:pStyle w:val="TableParagraph"/>
              <w:ind w:right="113"/>
              <w:jc w:val="both"/>
              <w:rPr>
                <w:sz w:val="20"/>
              </w:rPr>
            </w:pPr>
            <w:r>
              <w:rPr>
                <w:sz w:val="20"/>
              </w:rPr>
              <w:t>14.9.</w:t>
            </w:r>
          </w:p>
        </w:tc>
      </w:tr>
      <w:tr w:rsidR="000533E4" w14:paraId="60BE7BDA" w14:textId="77777777" w:rsidTr="00FF1C69">
        <w:trPr>
          <w:trHeight w:val="306"/>
        </w:trPr>
        <w:tc>
          <w:tcPr>
            <w:tcW w:w="1378" w:type="dxa"/>
          </w:tcPr>
          <w:p w14:paraId="3CA660D5" w14:textId="77777777" w:rsidR="000533E4" w:rsidRDefault="000533E4" w:rsidP="00CD363C">
            <w:pPr>
              <w:pStyle w:val="TableParagraph"/>
              <w:ind w:left="107" w:right="113"/>
              <w:jc w:val="both"/>
              <w:rPr>
                <w:sz w:val="20"/>
              </w:rPr>
            </w:pPr>
            <w:r>
              <w:rPr>
                <w:sz w:val="20"/>
              </w:rPr>
              <w:t>PP</w:t>
            </w:r>
          </w:p>
        </w:tc>
        <w:tc>
          <w:tcPr>
            <w:tcW w:w="3203" w:type="dxa"/>
          </w:tcPr>
          <w:p w14:paraId="55DD9987" w14:textId="77777777" w:rsidR="000533E4" w:rsidRDefault="000533E4" w:rsidP="00CD363C">
            <w:pPr>
              <w:pStyle w:val="TableParagraph"/>
              <w:ind w:left="107" w:right="113"/>
              <w:jc w:val="both"/>
              <w:rPr>
                <w:sz w:val="20"/>
              </w:rPr>
            </w:pPr>
            <w:r>
              <w:rPr>
                <w:sz w:val="20"/>
              </w:rPr>
              <w:t>Pārdošanai pieejamie finanšu aktīvi</w:t>
            </w:r>
          </w:p>
        </w:tc>
        <w:tc>
          <w:tcPr>
            <w:tcW w:w="1703" w:type="dxa"/>
          </w:tcPr>
          <w:p w14:paraId="3157BB31" w14:textId="77777777" w:rsidR="000533E4" w:rsidRDefault="000533E4" w:rsidP="00CD363C">
            <w:pPr>
              <w:pStyle w:val="TableParagraph"/>
              <w:ind w:right="113"/>
              <w:jc w:val="both"/>
              <w:rPr>
                <w:sz w:val="20"/>
              </w:rPr>
            </w:pPr>
            <w:r>
              <w:rPr>
                <w:sz w:val="20"/>
              </w:rPr>
              <w:t>4 000</w:t>
            </w:r>
          </w:p>
        </w:tc>
        <w:tc>
          <w:tcPr>
            <w:tcW w:w="1702" w:type="dxa"/>
          </w:tcPr>
          <w:p w14:paraId="0DB516E7" w14:textId="77777777" w:rsidR="000533E4" w:rsidRDefault="000533E4" w:rsidP="00CD363C">
            <w:pPr>
              <w:pStyle w:val="TableParagraph"/>
              <w:ind w:right="113"/>
              <w:jc w:val="both"/>
              <w:rPr>
                <w:sz w:val="20"/>
              </w:rPr>
            </w:pPr>
            <w:r>
              <w:rPr>
                <w:w w:val="99"/>
                <w:sz w:val="20"/>
              </w:rPr>
              <w:t>-</w:t>
            </w:r>
          </w:p>
        </w:tc>
        <w:tc>
          <w:tcPr>
            <w:tcW w:w="1558" w:type="dxa"/>
            <w:shd w:val="clear" w:color="auto" w:fill="EBF3F9"/>
          </w:tcPr>
          <w:p w14:paraId="773C560F" w14:textId="77777777" w:rsidR="000533E4" w:rsidRDefault="000533E4" w:rsidP="00CD363C">
            <w:pPr>
              <w:pStyle w:val="TableParagraph"/>
              <w:ind w:right="113"/>
              <w:jc w:val="both"/>
              <w:rPr>
                <w:sz w:val="20"/>
              </w:rPr>
            </w:pPr>
            <w:r>
              <w:rPr>
                <w:sz w:val="20"/>
              </w:rPr>
              <w:t>14.9.</w:t>
            </w:r>
          </w:p>
        </w:tc>
      </w:tr>
      <w:tr w:rsidR="000533E4" w14:paraId="7EBC3CC0" w14:textId="77777777" w:rsidTr="00FF1C69">
        <w:trPr>
          <w:trHeight w:val="309"/>
        </w:trPr>
        <w:tc>
          <w:tcPr>
            <w:tcW w:w="1378" w:type="dxa"/>
          </w:tcPr>
          <w:p w14:paraId="06A24486" w14:textId="77777777" w:rsidR="000533E4" w:rsidRDefault="000533E4" w:rsidP="00CD363C">
            <w:pPr>
              <w:pStyle w:val="TableParagraph"/>
              <w:ind w:left="107" w:right="113"/>
              <w:jc w:val="both"/>
              <w:rPr>
                <w:sz w:val="20"/>
              </w:rPr>
            </w:pPr>
            <w:r>
              <w:rPr>
                <w:sz w:val="20"/>
              </w:rPr>
              <w:t>PP.IVP</w:t>
            </w:r>
          </w:p>
        </w:tc>
        <w:tc>
          <w:tcPr>
            <w:tcW w:w="3203" w:type="dxa"/>
          </w:tcPr>
          <w:p w14:paraId="1A2B727E" w14:textId="77777777" w:rsidR="000533E4" w:rsidRDefault="000533E4" w:rsidP="00CD363C">
            <w:pPr>
              <w:pStyle w:val="TableParagraph"/>
              <w:ind w:left="811" w:right="113"/>
              <w:jc w:val="both"/>
              <w:rPr>
                <w:sz w:val="20"/>
              </w:rPr>
            </w:pPr>
            <w:r>
              <w:rPr>
                <w:sz w:val="20"/>
              </w:rPr>
              <w:t>Vērtspapīri</w:t>
            </w:r>
          </w:p>
        </w:tc>
        <w:tc>
          <w:tcPr>
            <w:tcW w:w="1703" w:type="dxa"/>
          </w:tcPr>
          <w:p w14:paraId="0FD40CE4" w14:textId="77777777" w:rsidR="000533E4" w:rsidRDefault="000533E4" w:rsidP="00CD363C">
            <w:pPr>
              <w:pStyle w:val="TableParagraph"/>
              <w:ind w:right="113"/>
              <w:jc w:val="both"/>
              <w:rPr>
                <w:sz w:val="20"/>
              </w:rPr>
            </w:pPr>
            <w:r>
              <w:rPr>
                <w:sz w:val="20"/>
              </w:rPr>
              <w:t>4 000</w:t>
            </w:r>
          </w:p>
        </w:tc>
        <w:tc>
          <w:tcPr>
            <w:tcW w:w="1702" w:type="dxa"/>
          </w:tcPr>
          <w:p w14:paraId="54FF3462" w14:textId="77777777" w:rsidR="000533E4" w:rsidRDefault="000533E4" w:rsidP="00CD363C">
            <w:pPr>
              <w:pStyle w:val="TableParagraph"/>
              <w:ind w:right="113"/>
              <w:jc w:val="both"/>
              <w:rPr>
                <w:sz w:val="20"/>
              </w:rPr>
            </w:pPr>
            <w:r>
              <w:rPr>
                <w:w w:val="99"/>
                <w:sz w:val="20"/>
              </w:rPr>
              <w:t>-</w:t>
            </w:r>
          </w:p>
        </w:tc>
        <w:tc>
          <w:tcPr>
            <w:tcW w:w="1558" w:type="dxa"/>
            <w:shd w:val="clear" w:color="auto" w:fill="EBF3F9"/>
          </w:tcPr>
          <w:p w14:paraId="5D897E39" w14:textId="77777777" w:rsidR="000533E4" w:rsidRDefault="000533E4" w:rsidP="00CD363C">
            <w:pPr>
              <w:pStyle w:val="TableParagraph"/>
              <w:ind w:right="113"/>
              <w:jc w:val="both"/>
              <w:rPr>
                <w:sz w:val="20"/>
              </w:rPr>
            </w:pPr>
            <w:r>
              <w:rPr>
                <w:sz w:val="20"/>
              </w:rPr>
              <w:t>14.9.</w:t>
            </w:r>
          </w:p>
        </w:tc>
      </w:tr>
      <w:tr w:rsidR="000533E4" w14:paraId="74D42CD1" w14:textId="77777777" w:rsidTr="00FF1C69">
        <w:trPr>
          <w:trHeight w:val="273"/>
        </w:trPr>
        <w:tc>
          <w:tcPr>
            <w:tcW w:w="1378" w:type="dxa"/>
          </w:tcPr>
          <w:p w14:paraId="16738F1C" w14:textId="77777777" w:rsidR="000533E4" w:rsidRDefault="000533E4" w:rsidP="00CD363C">
            <w:pPr>
              <w:pStyle w:val="TableParagraph"/>
              <w:ind w:right="113"/>
              <w:jc w:val="both"/>
              <w:rPr>
                <w:sz w:val="18"/>
              </w:rPr>
            </w:pPr>
          </w:p>
        </w:tc>
        <w:tc>
          <w:tcPr>
            <w:tcW w:w="3203" w:type="dxa"/>
          </w:tcPr>
          <w:p w14:paraId="6A45D44D" w14:textId="77777777" w:rsidR="000533E4" w:rsidRDefault="000533E4" w:rsidP="00CD363C">
            <w:pPr>
              <w:pStyle w:val="TableParagraph"/>
              <w:ind w:left="107" w:right="113"/>
              <w:jc w:val="both"/>
              <w:rPr>
                <w:b/>
                <w:sz w:val="20"/>
              </w:rPr>
            </w:pPr>
            <w:r>
              <w:rPr>
                <w:b/>
                <w:sz w:val="20"/>
              </w:rPr>
              <w:t>Kopā:</w:t>
            </w:r>
          </w:p>
        </w:tc>
        <w:tc>
          <w:tcPr>
            <w:tcW w:w="1703" w:type="dxa"/>
          </w:tcPr>
          <w:p w14:paraId="13EE717B" w14:textId="77777777" w:rsidR="000533E4" w:rsidRDefault="000533E4" w:rsidP="00CD363C">
            <w:pPr>
              <w:pStyle w:val="TableParagraph"/>
              <w:ind w:right="113"/>
              <w:jc w:val="both"/>
              <w:rPr>
                <w:b/>
                <w:sz w:val="20"/>
              </w:rPr>
            </w:pPr>
            <w:r>
              <w:rPr>
                <w:b/>
                <w:sz w:val="20"/>
              </w:rPr>
              <w:t>4 000</w:t>
            </w:r>
          </w:p>
        </w:tc>
        <w:tc>
          <w:tcPr>
            <w:tcW w:w="1702" w:type="dxa"/>
          </w:tcPr>
          <w:p w14:paraId="3D84378D" w14:textId="77777777" w:rsidR="000533E4" w:rsidRDefault="000533E4" w:rsidP="00CD363C">
            <w:pPr>
              <w:pStyle w:val="TableParagraph"/>
              <w:ind w:right="113"/>
              <w:jc w:val="both"/>
              <w:rPr>
                <w:b/>
                <w:sz w:val="20"/>
              </w:rPr>
            </w:pPr>
            <w:r>
              <w:rPr>
                <w:b/>
                <w:w w:val="99"/>
                <w:sz w:val="20"/>
              </w:rPr>
              <w:t>-</w:t>
            </w:r>
          </w:p>
        </w:tc>
        <w:tc>
          <w:tcPr>
            <w:tcW w:w="1558" w:type="dxa"/>
            <w:shd w:val="clear" w:color="auto" w:fill="EBF3F9"/>
          </w:tcPr>
          <w:p w14:paraId="1453FB16" w14:textId="77777777" w:rsidR="000533E4" w:rsidRDefault="000533E4" w:rsidP="00CD363C">
            <w:pPr>
              <w:pStyle w:val="TableParagraph"/>
              <w:ind w:right="113"/>
              <w:jc w:val="both"/>
              <w:rPr>
                <w:b/>
                <w:sz w:val="20"/>
              </w:rPr>
            </w:pPr>
            <w:r>
              <w:rPr>
                <w:b/>
                <w:sz w:val="20"/>
              </w:rPr>
              <w:t>14.9.</w:t>
            </w:r>
          </w:p>
        </w:tc>
      </w:tr>
    </w:tbl>
    <w:p w14:paraId="0AC8461D" w14:textId="77777777" w:rsidR="000533E4" w:rsidRDefault="000533E4" w:rsidP="00CD363C">
      <w:pPr>
        <w:spacing w:after="0" w:line="240" w:lineRule="auto"/>
        <w:ind w:left="338" w:right="113"/>
        <w:jc w:val="both"/>
        <w:rPr>
          <w:i/>
          <w:sz w:val="20"/>
        </w:rPr>
      </w:pPr>
      <w:r>
        <w:rPr>
          <w:i/>
          <w:sz w:val="20"/>
        </w:rPr>
        <w:t>*postenis netiek apskatīts šajā rokasgrāmatas sadaļā.</w:t>
      </w:r>
    </w:p>
    <w:p w14:paraId="40368780" w14:textId="77777777" w:rsidR="000533E4" w:rsidRDefault="000533E4" w:rsidP="00CD363C">
      <w:pPr>
        <w:pStyle w:val="Pamatteksts"/>
        <w:ind w:right="113"/>
        <w:jc w:val="both"/>
        <w:rPr>
          <w:i/>
        </w:rPr>
      </w:pPr>
    </w:p>
    <w:p w14:paraId="06F8FF7D" w14:textId="77777777" w:rsidR="000533E4" w:rsidRDefault="000533E4" w:rsidP="00CD363C">
      <w:pPr>
        <w:pStyle w:val="Pamatteksts"/>
        <w:ind w:right="113"/>
        <w:jc w:val="both"/>
        <w:rPr>
          <w:i/>
        </w:rPr>
      </w:pPr>
    </w:p>
    <w:p w14:paraId="196E048D" w14:textId="77777777" w:rsidR="000533E4" w:rsidRDefault="000533E4" w:rsidP="00CD363C">
      <w:pPr>
        <w:pStyle w:val="Pamatteksts"/>
        <w:ind w:right="113"/>
        <w:jc w:val="both"/>
        <w:rPr>
          <w:i/>
          <w:sz w:val="19"/>
        </w:rPr>
      </w:pPr>
    </w:p>
    <w:p w14:paraId="2CB15A28" w14:textId="77777777" w:rsidR="000533E4" w:rsidRDefault="000533E4" w:rsidP="00CD363C">
      <w:pPr>
        <w:pStyle w:val="Virsraksts6"/>
        <w:ind w:right="113"/>
        <w:jc w:val="both"/>
      </w:pPr>
      <w:r>
        <w:t>FD.A18 Procentu ieņēmumi</w:t>
      </w:r>
    </w:p>
    <w:p w14:paraId="2ADC8E91" w14:textId="77777777" w:rsidR="000533E4" w:rsidRDefault="000533E4" w:rsidP="00CD363C">
      <w:pPr>
        <w:pStyle w:val="Pamatteksts"/>
        <w:ind w:right="113"/>
        <w:jc w:val="both"/>
        <w:rPr>
          <w:b/>
          <w:sz w:val="20"/>
        </w:rPr>
      </w:pPr>
    </w:p>
    <w:tbl>
      <w:tblPr>
        <w:tblW w:w="0" w:type="auto"/>
        <w:tblInd w:w="43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95"/>
        <w:gridCol w:w="3898"/>
        <w:gridCol w:w="1416"/>
        <w:gridCol w:w="1399"/>
        <w:gridCol w:w="1985"/>
      </w:tblGrid>
      <w:tr w:rsidR="000533E4" w14:paraId="2B84AD95" w14:textId="77777777" w:rsidTr="00FF1C69">
        <w:trPr>
          <w:trHeight w:val="688"/>
        </w:trPr>
        <w:tc>
          <w:tcPr>
            <w:tcW w:w="895" w:type="dxa"/>
            <w:shd w:val="clear" w:color="auto" w:fill="F1F1F1"/>
          </w:tcPr>
          <w:p w14:paraId="6A5628F0" w14:textId="77777777" w:rsidR="000533E4" w:rsidRDefault="000533E4" w:rsidP="00CD363C">
            <w:pPr>
              <w:pStyle w:val="TableParagraph"/>
              <w:ind w:right="113"/>
              <w:jc w:val="both"/>
              <w:rPr>
                <w:b/>
                <w:sz w:val="20"/>
              </w:rPr>
            </w:pPr>
          </w:p>
          <w:p w14:paraId="066D7E58" w14:textId="77777777" w:rsidR="000533E4" w:rsidRDefault="000533E4" w:rsidP="00CD363C">
            <w:pPr>
              <w:pStyle w:val="TableParagraph"/>
              <w:ind w:left="196" w:right="113"/>
              <w:jc w:val="both"/>
              <w:rPr>
                <w:b/>
                <w:sz w:val="20"/>
              </w:rPr>
            </w:pPr>
            <w:r>
              <w:rPr>
                <w:b/>
                <w:sz w:val="20"/>
              </w:rPr>
              <w:t>Kods</w:t>
            </w:r>
          </w:p>
        </w:tc>
        <w:tc>
          <w:tcPr>
            <w:tcW w:w="3898" w:type="dxa"/>
            <w:shd w:val="clear" w:color="auto" w:fill="F1F1F1"/>
          </w:tcPr>
          <w:p w14:paraId="3194B2D0" w14:textId="77777777" w:rsidR="000533E4" w:rsidRDefault="000533E4" w:rsidP="00CD363C">
            <w:pPr>
              <w:pStyle w:val="TableParagraph"/>
              <w:ind w:right="113"/>
              <w:jc w:val="both"/>
              <w:rPr>
                <w:b/>
                <w:sz w:val="20"/>
              </w:rPr>
            </w:pPr>
          </w:p>
          <w:p w14:paraId="309C9BEC" w14:textId="77777777" w:rsidR="000533E4" w:rsidRDefault="000533E4" w:rsidP="00CD363C">
            <w:pPr>
              <w:pStyle w:val="TableParagraph"/>
              <w:ind w:left="107" w:right="113"/>
              <w:jc w:val="both"/>
              <w:rPr>
                <w:b/>
                <w:sz w:val="20"/>
              </w:rPr>
            </w:pPr>
            <w:r>
              <w:rPr>
                <w:b/>
                <w:sz w:val="20"/>
              </w:rPr>
              <w:t>Posteņa nosaukums vai darījuma apraksts</w:t>
            </w:r>
          </w:p>
        </w:tc>
        <w:tc>
          <w:tcPr>
            <w:tcW w:w="1416" w:type="dxa"/>
            <w:shd w:val="clear" w:color="auto" w:fill="F1F1F1"/>
          </w:tcPr>
          <w:p w14:paraId="031675B8" w14:textId="77777777" w:rsidR="000533E4" w:rsidRDefault="000533E4" w:rsidP="00CD363C">
            <w:pPr>
              <w:pStyle w:val="TableParagraph"/>
              <w:ind w:left="350" w:right="113" w:hanging="56"/>
              <w:jc w:val="both"/>
              <w:rPr>
                <w:b/>
                <w:sz w:val="20"/>
              </w:rPr>
            </w:pPr>
            <w:r>
              <w:rPr>
                <w:b/>
                <w:w w:val="95"/>
                <w:sz w:val="20"/>
              </w:rPr>
              <w:t xml:space="preserve">Pārskata </w:t>
            </w:r>
            <w:r>
              <w:rPr>
                <w:b/>
                <w:sz w:val="20"/>
              </w:rPr>
              <w:t>periodā</w:t>
            </w:r>
          </w:p>
        </w:tc>
        <w:tc>
          <w:tcPr>
            <w:tcW w:w="1399" w:type="dxa"/>
            <w:shd w:val="clear" w:color="auto" w:fill="F1F1F1"/>
          </w:tcPr>
          <w:p w14:paraId="0FAEC42D" w14:textId="77777777" w:rsidR="000533E4" w:rsidRDefault="000533E4" w:rsidP="00CD363C">
            <w:pPr>
              <w:pStyle w:val="TableParagraph"/>
              <w:ind w:left="293" w:right="113" w:hanging="101"/>
              <w:jc w:val="both"/>
              <w:rPr>
                <w:b/>
                <w:sz w:val="20"/>
              </w:rPr>
            </w:pPr>
            <w:r>
              <w:rPr>
                <w:b/>
                <w:sz w:val="20"/>
              </w:rPr>
              <w:t>Iepriekšējā</w:t>
            </w:r>
          </w:p>
          <w:p w14:paraId="3EA8ABE5" w14:textId="77777777" w:rsidR="000533E4" w:rsidRDefault="000533E4" w:rsidP="00CD363C">
            <w:pPr>
              <w:pStyle w:val="TableParagraph"/>
              <w:ind w:left="293" w:right="113"/>
              <w:jc w:val="both"/>
              <w:rPr>
                <w:b/>
                <w:sz w:val="20"/>
              </w:rPr>
            </w:pPr>
            <w:r>
              <w:rPr>
                <w:b/>
                <w:w w:val="95"/>
                <w:sz w:val="20"/>
              </w:rPr>
              <w:t xml:space="preserve">pārskata </w:t>
            </w:r>
            <w:r>
              <w:rPr>
                <w:b/>
                <w:sz w:val="20"/>
              </w:rPr>
              <w:t>periodā</w:t>
            </w:r>
          </w:p>
        </w:tc>
        <w:tc>
          <w:tcPr>
            <w:tcW w:w="1985" w:type="dxa"/>
            <w:shd w:val="clear" w:color="auto" w:fill="F1F1F1"/>
          </w:tcPr>
          <w:p w14:paraId="67D74DDA" w14:textId="77777777" w:rsidR="000533E4" w:rsidRDefault="000533E4" w:rsidP="00CD363C">
            <w:pPr>
              <w:pStyle w:val="TableParagraph"/>
              <w:ind w:left="416" w:right="113" w:firstLine="45"/>
              <w:jc w:val="both"/>
              <w:rPr>
                <w:b/>
                <w:sz w:val="20"/>
              </w:rPr>
            </w:pPr>
            <w:r>
              <w:rPr>
                <w:b/>
                <w:sz w:val="20"/>
              </w:rPr>
              <w:t>Atsauces uz</w:t>
            </w:r>
          </w:p>
          <w:p w14:paraId="49D27FFB" w14:textId="77777777" w:rsidR="000533E4" w:rsidRDefault="000533E4" w:rsidP="00CD363C">
            <w:pPr>
              <w:pStyle w:val="TableParagraph"/>
              <w:ind w:left="510" w:right="113" w:hanging="94"/>
              <w:jc w:val="both"/>
              <w:rPr>
                <w:b/>
                <w:sz w:val="20"/>
              </w:rPr>
            </w:pPr>
            <w:r>
              <w:rPr>
                <w:b/>
                <w:sz w:val="20"/>
              </w:rPr>
              <w:t>attiecīgajiem piemēriem</w:t>
            </w:r>
          </w:p>
        </w:tc>
      </w:tr>
      <w:tr w:rsidR="000533E4" w14:paraId="7230DB24" w14:textId="77777777" w:rsidTr="00FF1C69">
        <w:trPr>
          <w:trHeight w:val="227"/>
        </w:trPr>
        <w:tc>
          <w:tcPr>
            <w:tcW w:w="895" w:type="dxa"/>
            <w:shd w:val="clear" w:color="auto" w:fill="F1F1F1"/>
          </w:tcPr>
          <w:p w14:paraId="1C03E81A" w14:textId="77777777" w:rsidR="000533E4" w:rsidRDefault="000533E4" w:rsidP="00CD363C">
            <w:pPr>
              <w:pStyle w:val="TableParagraph"/>
              <w:ind w:right="113"/>
              <w:jc w:val="both"/>
              <w:rPr>
                <w:b/>
                <w:sz w:val="20"/>
              </w:rPr>
            </w:pPr>
            <w:r>
              <w:rPr>
                <w:b/>
                <w:w w:val="99"/>
                <w:sz w:val="20"/>
              </w:rPr>
              <w:t>A</w:t>
            </w:r>
          </w:p>
        </w:tc>
        <w:tc>
          <w:tcPr>
            <w:tcW w:w="3898" w:type="dxa"/>
            <w:shd w:val="clear" w:color="auto" w:fill="F1F1F1"/>
          </w:tcPr>
          <w:p w14:paraId="5CEBDF0C" w14:textId="77777777" w:rsidR="000533E4" w:rsidRDefault="000533E4" w:rsidP="00CD363C">
            <w:pPr>
              <w:pStyle w:val="TableParagraph"/>
              <w:ind w:right="113"/>
              <w:jc w:val="both"/>
              <w:rPr>
                <w:b/>
                <w:sz w:val="20"/>
              </w:rPr>
            </w:pPr>
            <w:r>
              <w:rPr>
                <w:b/>
                <w:w w:val="99"/>
                <w:sz w:val="20"/>
              </w:rPr>
              <w:t>B</w:t>
            </w:r>
          </w:p>
        </w:tc>
        <w:tc>
          <w:tcPr>
            <w:tcW w:w="1416" w:type="dxa"/>
            <w:shd w:val="clear" w:color="auto" w:fill="F1F1F1"/>
          </w:tcPr>
          <w:p w14:paraId="5FD8B2A3" w14:textId="77777777" w:rsidR="000533E4" w:rsidRDefault="000533E4" w:rsidP="00CD363C">
            <w:pPr>
              <w:pStyle w:val="TableParagraph"/>
              <w:ind w:right="113"/>
              <w:jc w:val="both"/>
              <w:rPr>
                <w:b/>
                <w:sz w:val="20"/>
              </w:rPr>
            </w:pPr>
            <w:r>
              <w:rPr>
                <w:b/>
                <w:w w:val="99"/>
                <w:sz w:val="20"/>
              </w:rPr>
              <w:t>1</w:t>
            </w:r>
          </w:p>
        </w:tc>
        <w:tc>
          <w:tcPr>
            <w:tcW w:w="1399" w:type="dxa"/>
            <w:shd w:val="clear" w:color="auto" w:fill="F1F1F1"/>
          </w:tcPr>
          <w:p w14:paraId="174A0AE8" w14:textId="77777777" w:rsidR="000533E4" w:rsidRDefault="000533E4" w:rsidP="00CD363C">
            <w:pPr>
              <w:pStyle w:val="TableParagraph"/>
              <w:ind w:right="113"/>
              <w:jc w:val="both"/>
              <w:rPr>
                <w:b/>
                <w:sz w:val="20"/>
              </w:rPr>
            </w:pPr>
            <w:r>
              <w:rPr>
                <w:b/>
                <w:w w:val="99"/>
                <w:sz w:val="20"/>
              </w:rPr>
              <w:t>2</w:t>
            </w:r>
          </w:p>
        </w:tc>
        <w:tc>
          <w:tcPr>
            <w:tcW w:w="1985" w:type="dxa"/>
            <w:shd w:val="clear" w:color="auto" w:fill="F1F1F1"/>
          </w:tcPr>
          <w:p w14:paraId="0E912B25" w14:textId="77777777" w:rsidR="000533E4" w:rsidRDefault="000533E4" w:rsidP="00CD363C">
            <w:pPr>
              <w:pStyle w:val="TableParagraph"/>
              <w:ind w:right="113"/>
              <w:jc w:val="both"/>
              <w:rPr>
                <w:b/>
                <w:sz w:val="20"/>
              </w:rPr>
            </w:pPr>
            <w:r>
              <w:rPr>
                <w:b/>
                <w:w w:val="99"/>
                <w:sz w:val="20"/>
              </w:rPr>
              <w:t>3</w:t>
            </w:r>
          </w:p>
        </w:tc>
      </w:tr>
      <w:tr w:rsidR="000533E4" w14:paraId="54102B6F" w14:textId="77777777" w:rsidTr="00FF1C69">
        <w:trPr>
          <w:trHeight w:val="460"/>
        </w:trPr>
        <w:tc>
          <w:tcPr>
            <w:tcW w:w="895" w:type="dxa"/>
          </w:tcPr>
          <w:p w14:paraId="5753F6D4" w14:textId="77777777" w:rsidR="000533E4" w:rsidRDefault="000533E4" w:rsidP="00CD363C">
            <w:pPr>
              <w:pStyle w:val="TableParagraph"/>
              <w:ind w:left="107" w:right="113"/>
              <w:jc w:val="both"/>
              <w:rPr>
                <w:sz w:val="20"/>
              </w:rPr>
            </w:pPr>
            <w:r>
              <w:rPr>
                <w:sz w:val="20"/>
              </w:rPr>
              <w:t>FI</w:t>
            </w:r>
          </w:p>
        </w:tc>
        <w:tc>
          <w:tcPr>
            <w:tcW w:w="3898" w:type="dxa"/>
          </w:tcPr>
          <w:p w14:paraId="4B30FB81" w14:textId="77777777" w:rsidR="000533E4" w:rsidRDefault="000533E4" w:rsidP="00CD363C">
            <w:pPr>
              <w:pStyle w:val="TableParagraph"/>
              <w:ind w:left="107" w:right="113"/>
              <w:jc w:val="both"/>
              <w:rPr>
                <w:sz w:val="20"/>
              </w:rPr>
            </w:pPr>
            <w:r>
              <w:rPr>
                <w:sz w:val="20"/>
              </w:rPr>
              <w:t>Procentu ieņēmumi par finanšu</w:t>
            </w:r>
          </w:p>
          <w:p w14:paraId="312D718F" w14:textId="77777777" w:rsidR="000533E4" w:rsidRDefault="000533E4" w:rsidP="00CD363C">
            <w:pPr>
              <w:pStyle w:val="TableParagraph"/>
              <w:ind w:left="107" w:right="113"/>
              <w:jc w:val="both"/>
              <w:rPr>
                <w:sz w:val="20"/>
              </w:rPr>
            </w:pPr>
            <w:r>
              <w:rPr>
                <w:sz w:val="20"/>
              </w:rPr>
              <w:t>instrumentiem, izņemot PVFA un PVFS</w:t>
            </w:r>
          </w:p>
        </w:tc>
        <w:tc>
          <w:tcPr>
            <w:tcW w:w="1416" w:type="dxa"/>
          </w:tcPr>
          <w:p w14:paraId="376A51CB" w14:textId="77777777" w:rsidR="000533E4" w:rsidRDefault="000533E4" w:rsidP="00CD363C">
            <w:pPr>
              <w:pStyle w:val="TableParagraph"/>
              <w:ind w:right="113"/>
              <w:jc w:val="both"/>
              <w:rPr>
                <w:sz w:val="20"/>
              </w:rPr>
            </w:pPr>
            <w:r>
              <w:rPr>
                <w:sz w:val="20"/>
              </w:rPr>
              <w:t>22 052</w:t>
            </w:r>
          </w:p>
        </w:tc>
        <w:tc>
          <w:tcPr>
            <w:tcW w:w="1399" w:type="dxa"/>
          </w:tcPr>
          <w:p w14:paraId="04D0A03B" w14:textId="77777777" w:rsidR="000533E4" w:rsidRDefault="000533E4" w:rsidP="00CD363C">
            <w:pPr>
              <w:pStyle w:val="TableParagraph"/>
              <w:ind w:right="113"/>
              <w:jc w:val="both"/>
              <w:rPr>
                <w:sz w:val="20"/>
              </w:rPr>
            </w:pPr>
            <w:r>
              <w:rPr>
                <w:w w:val="99"/>
                <w:sz w:val="20"/>
              </w:rPr>
              <w:t>-</w:t>
            </w:r>
          </w:p>
        </w:tc>
        <w:tc>
          <w:tcPr>
            <w:tcW w:w="1985" w:type="dxa"/>
            <w:shd w:val="clear" w:color="auto" w:fill="EBF3F9"/>
          </w:tcPr>
          <w:p w14:paraId="529FB5D9" w14:textId="77777777" w:rsidR="000533E4" w:rsidRDefault="000533E4" w:rsidP="00CD363C">
            <w:pPr>
              <w:pStyle w:val="TableParagraph"/>
              <w:ind w:right="113"/>
              <w:jc w:val="both"/>
              <w:rPr>
                <w:sz w:val="20"/>
              </w:rPr>
            </w:pPr>
            <w:r>
              <w:rPr>
                <w:sz w:val="20"/>
              </w:rPr>
              <w:t>14.5., 14.6., 14.10</w:t>
            </w:r>
          </w:p>
        </w:tc>
      </w:tr>
      <w:tr w:rsidR="000533E4" w14:paraId="7B37B84A" w14:textId="77777777" w:rsidTr="00FF1C69">
        <w:trPr>
          <w:trHeight w:val="318"/>
        </w:trPr>
        <w:tc>
          <w:tcPr>
            <w:tcW w:w="895" w:type="dxa"/>
          </w:tcPr>
          <w:p w14:paraId="0B5F26DB" w14:textId="77777777" w:rsidR="000533E4" w:rsidRDefault="000533E4" w:rsidP="00CD363C">
            <w:pPr>
              <w:pStyle w:val="TableParagraph"/>
              <w:ind w:left="107" w:right="113"/>
              <w:jc w:val="both"/>
              <w:rPr>
                <w:sz w:val="20"/>
              </w:rPr>
            </w:pPr>
            <w:r>
              <w:rPr>
                <w:sz w:val="20"/>
              </w:rPr>
              <w:t>FI.TB</w:t>
            </w:r>
          </w:p>
        </w:tc>
        <w:tc>
          <w:tcPr>
            <w:tcW w:w="3898" w:type="dxa"/>
          </w:tcPr>
          <w:p w14:paraId="5C6257C1" w14:textId="77777777" w:rsidR="000533E4" w:rsidRDefault="000533E4" w:rsidP="00CD363C">
            <w:pPr>
              <w:pStyle w:val="TableParagraph"/>
              <w:ind w:left="107" w:right="113"/>
              <w:jc w:val="both"/>
              <w:rPr>
                <w:sz w:val="20"/>
              </w:rPr>
            </w:pPr>
            <w:r>
              <w:rPr>
                <w:sz w:val="20"/>
              </w:rPr>
              <w:t>Līdz termiņa beigām turētie ieguldījumi</w:t>
            </w:r>
          </w:p>
        </w:tc>
        <w:tc>
          <w:tcPr>
            <w:tcW w:w="1416" w:type="dxa"/>
          </w:tcPr>
          <w:p w14:paraId="43CD69CB" w14:textId="77777777" w:rsidR="000533E4" w:rsidRDefault="000533E4" w:rsidP="00CD363C">
            <w:pPr>
              <w:pStyle w:val="TableParagraph"/>
              <w:ind w:right="113"/>
              <w:jc w:val="both"/>
              <w:rPr>
                <w:sz w:val="20"/>
              </w:rPr>
            </w:pPr>
            <w:r>
              <w:rPr>
                <w:w w:val="99"/>
                <w:sz w:val="20"/>
              </w:rPr>
              <w:t>-</w:t>
            </w:r>
          </w:p>
        </w:tc>
        <w:tc>
          <w:tcPr>
            <w:tcW w:w="1399" w:type="dxa"/>
          </w:tcPr>
          <w:p w14:paraId="3A60730D" w14:textId="77777777" w:rsidR="000533E4" w:rsidRDefault="000533E4" w:rsidP="00CD363C">
            <w:pPr>
              <w:pStyle w:val="TableParagraph"/>
              <w:ind w:right="113"/>
              <w:jc w:val="both"/>
              <w:rPr>
                <w:sz w:val="20"/>
              </w:rPr>
            </w:pPr>
            <w:r>
              <w:rPr>
                <w:sz w:val="20"/>
              </w:rPr>
              <w:t>7 296</w:t>
            </w:r>
          </w:p>
        </w:tc>
        <w:tc>
          <w:tcPr>
            <w:tcW w:w="1985" w:type="dxa"/>
            <w:shd w:val="clear" w:color="auto" w:fill="EBF3F9"/>
          </w:tcPr>
          <w:p w14:paraId="212A9F8D" w14:textId="77777777" w:rsidR="000533E4" w:rsidRDefault="000533E4" w:rsidP="00CD363C">
            <w:pPr>
              <w:pStyle w:val="TableParagraph"/>
              <w:ind w:right="113"/>
              <w:jc w:val="both"/>
              <w:rPr>
                <w:sz w:val="20"/>
              </w:rPr>
            </w:pPr>
            <w:r>
              <w:rPr>
                <w:w w:val="95"/>
                <w:sz w:val="20"/>
              </w:rPr>
              <w:t>14.10.</w:t>
            </w:r>
          </w:p>
        </w:tc>
      </w:tr>
      <w:tr w:rsidR="000533E4" w14:paraId="7E64A348" w14:textId="77777777" w:rsidTr="00FF1C69">
        <w:trPr>
          <w:trHeight w:val="318"/>
        </w:trPr>
        <w:tc>
          <w:tcPr>
            <w:tcW w:w="895" w:type="dxa"/>
          </w:tcPr>
          <w:p w14:paraId="23A5E772" w14:textId="77777777" w:rsidR="000533E4" w:rsidRDefault="000533E4" w:rsidP="00CD363C">
            <w:pPr>
              <w:pStyle w:val="TableParagraph"/>
              <w:ind w:left="107" w:right="113"/>
              <w:jc w:val="both"/>
              <w:rPr>
                <w:sz w:val="20"/>
              </w:rPr>
            </w:pPr>
            <w:r>
              <w:rPr>
                <w:sz w:val="20"/>
              </w:rPr>
              <w:t>FI.AP</w:t>
            </w:r>
          </w:p>
        </w:tc>
        <w:tc>
          <w:tcPr>
            <w:tcW w:w="3898" w:type="dxa"/>
          </w:tcPr>
          <w:p w14:paraId="2EACBDEE" w14:textId="77777777" w:rsidR="000533E4" w:rsidRDefault="000533E4" w:rsidP="00CD363C">
            <w:pPr>
              <w:pStyle w:val="TableParagraph"/>
              <w:ind w:left="107" w:right="113"/>
              <w:jc w:val="both"/>
              <w:rPr>
                <w:sz w:val="20"/>
              </w:rPr>
            </w:pPr>
            <w:r>
              <w:rPr>
                <w:sz w:val="20"/>
              </w:rPr>
              <w:t>Aizdevumi un prasības</w:t>
            </w:r>
          </w:p>
        </w:tc>
        <w:tc>
          <w:tcPr>
            <w:tcW w:w="1416" w:type="dxa"/>
          </w:tcPr>
          <w:p w14:paraId="33FF322C" w14:textId="77777777" w:rsidR="000533E4" w:rsidRDefault="000533E4" w:rsidP="00CD363C">
            <w:pPr>
              <w:pStyle w:val="TableParagraph"/>
              <w:ind w:right="113"/>
              <w:jc w:val="both"/>
              <w:rPr>
                <w:sz w:val="20"/>
              </w:rPr>
            </w:pPr>
            <w:r>
              <w:rPr>
                <w:sz w:val="20"/>
              </w:rPr>
              <w:t>3 556</w:t>
            </w:r>
          </w:p>
        </w:tc>
        <w:tc>
          <w:tcPr>
            <w:tcW w:w="1399" w:type="dxa"/>
          </w:tcPr>
          <w:p w14:paraId="60348C3D" w14:textId="77777777" w:rsidR="000533E4" w:rsidRDefault="000533E4" w:rsidP="00CD363C">
            <w:pPr>
              <w:pStyle w:val="TableParagraph"/>
              <w:ind w:right="113"/>
              <w:jc w:val="both"/>
              <w:rPr>
                <w:sz w:val="20"/>
              </w:rPr>
            </w:pPr>
            <w:r>
              <w:rPr>
                <w:w w:val="99"/>
                <w:sz w:val="20"/>
              </w:rPr>
              <w:t>-</w:t>
            </w:r>
          </w:p>
        </w:tc>
        <w:tc>
          <w:tcPr>
            <w:tcW w:w="1985" w:type="dxa"/>
            <w:shd w:val="clear" w:color="auto" w:fill="EBF3F9"/>
          </w:tcPr>
          <w:p w14:paraId="5AF4DA39" w14:textId="77777777" w:rsidR="000533E4" w:rsidRDefault="000533E4" w:rsidP="00CD363C">
            <w:pPr>
              <w:pStyle w:val="TableParagraph"/>
              <w:ind w:right="113"/>
              <w:jc w:val="both"/>
              <w:rPr>
                <w:sz w:val="20"/>
              </w:rPr>
            </w:pPr>
            <w:r>
              <w:rPr>
                <w:sz w:val="20"/>
              </w:rPr>
              <w:t>14.5.</w:t>
            </w:r>
          </w:p>
        </w:tc>
      </w:tr>
      <w:tr w:rsidR="000533E4" w14:paraId="43C76661" w14:textId="77777777" w:rsidTr="00FF1C69">
        <w:trPr>
          <w:trHeight w:val="254"/>
        </w:trPr>
        <w:tc>
          <w:tcPr>
            <w:tcW w:w="895" w:type="dxa"/>
          </w:tcPr>
          <w:p w14:paraId="75D8F48B" w14:textId="77777777" w:rsidR="000533E4" w:rsidRDefault="000533E4" w:rsidP="00CD363C">
            <w:pPr>
              <w:pStyle w:val="TableParagraph"/>
              <w:ind w:left="107" w:right="113"/>
              <w:jc w:val="both"/>
              <w:rPr>
                <w:sz w:val="20"/>
              </w:rPr>
            </w:pPr>
            <w:r>
              <w:rPr>
                <w:sz w:val="20"/>
              </w:rPr>
              <w:t>FI.PP</w:t>
            </w:r>
          </w:p>
        </w:tc>
        <w:tc>
          <w:tcPr>
            <w:tcW w:w="3898" w:type="dxa"/>
          </w:tcPr>
          <w:p w14:paraId="1F2A6E36" w14:textId="77777777" w:rsidR="000533E4" w:rsidRDefault="000533E4" w:rsidP="00CD363C">
            <w:pPr>
              <w:pStyle w:val="TableParagraph"/>
              <w:ind w:left="107" w:right="113"/>
              <w:jc w:val="both"/>
              <w:rPr>
                <w:sz w:val="20"/>
              </w:rPr>
            </w:pPr>
            <w:r>
              <w:rPr>
                <w:sz w:val="20"/>
              </w:rPr>
              <w:t>Pārdošanai pieejamie finanšu aktīvi</w:t>
            </w:r>
          </w:p>
        </w:tc>
        <w:tc>
          <w:tcPr>
            <w:tcW w:w="1416" w:type="dxa"/>
          </w:tcPr>
          <w:p w14:paraId="39D2CEE1" w14:textId="77777777" w:rsidR="000533E4" w:rsidRDefault="000533E4" w:rsidP="00CD363C">
            <w:pPr>
              <w:pStyle w:val="TableParagraph"/>
              <w:ind w:right="113"/>
              <w:jc w:val="both"/>
              <w:rPr>
                <w:sz w:val="20"/>
              </w:rPr>
            </w:pPr>
            <w:r>
              <w:rPr>
                <w:sz w:val="20"/>
              </w:rPr>
              <w:t>7 396</w:t>
            </w:r>
          </w:p>
        </w:tc>
        <w:tc>
          <w:tcPr>
            <w:tcW w:w="1399" w:type="dxa"/>
          </w:tcPr>
          <w:p w14:paraId="67576F98" w14:textId="77777777" w:rsidR="000533E4" w:rsidRDefault="000533E4" w:rsidP="00CD363C">
            <w:pPr>
              <w:pStyle w:val="TableParagraph"/>
              <w:ind w:right="113"/>
              <w:jc w:val="both"/>
              <w:rPr>
                <w:sz w:val="20"/>
              </w:rPr>
            </w:pPr>
            <w:r>
              <w:rPr>
                <w:w w:val="99"/>
                <w:sz w:val="20"/>
              </w:rPr>
              <w:t>-</w:t>
            </w:r>
          </w:p>
        </w:tc>
        <w:tc>
          <w:tcPr>
            <w:tcW w:w="1985" w:type="dxa"/>
            <w:shd w:val="clear" w:color="auto" w:fill="EBF3F9"/>
          </w:tcPr>
          <w:p w14:paraId="2060FC9A" w14:textId="77777777" w:rsidR="000533E4" w:rsidRDefault="000533E4" w:rsidP="00CD363C">
            <w:pPr>
              <w:pStyle w:val="TableParagraph"/>
              <w:ind w:right="113"/>
              <w:jc w:val="both"/>
              <w:rPr>
                <w:sz w:val="20"/>
              </w:rPr>
            </w:pPr>
            <w:r>
              <w:rPr>
                <w:w w:val="95"/>
                <w:sz w:val="20"/>
              </w:rPr>
              <w:t>14.10.</w:t>
            </w:r>
          </w:p>
        </w:tc>
      </w:tr>
      <w:tr w:rsidR="000533E4" w14:paraId="5E13D40E" w14:textId="77777777" w:rsidTr="00FF1C69">
        <w:trPr>
          <w:trHeight w:val="690"/>
        </w:trPr>
        <w:tc>
          <w:tcPr>
            <w:tcW w:w="895" w:type="dxa"/>
          </w:tcPr>
          <w:p w14:paraId="53AF6730" w14:textId="77777777" w:rsidR="000533E4" w:rsidRDefault="000533E4" w:rsidP="00CD363C">
            <w:pPr>
              <w:pStyle w:val="TableParagraph"/>
              <w:ind w:right="113"/>
              <w:jc w:val="both"/>
              <w:rPr>
                <w:b/>
                <w:sz w:val="19"/>
              </w:rPr>
            </w:pPr>
          </w:p>
          <w:p w14:paraId="0B166F03" w14:textId="77777777" w:rsidR="000533E4" w:rsidRDefault="000533E4" w:rsidP="00CD363C">
            <w:pPr>
              <w:pStyle w:val="TableParagraph"/>
              <w:ind w:left="107" w:right="113"/>
              <w:jc w:val="both"/>
              <w:rPr>
                <w:sz w:val="20"/>
              </w:rPr>
            </w:pPr>
            <w:r>
              <w:rPr>
                <w:sz w:val="20"/>
              </w:rPr>
              <w:t>FI.FS</w:t>
            </w:r>
          </w:p>
        </w:tc>
        <w:tc>
          <w:tcPr>
            <w:tcW w:w="3898" w:type="dxa"/>
          </w:tcPr>
          <w:p w14:paraId="76AD8002" w14:textId="77777777" w:rsidR="000533E4" w:rsidRDefault="000533E4" w:rsidP="00CD363C">
            <w:pPr>
              <w:pStyle w:val="TableParagraph"/>
              <w:ind w:left="107" w:right="113"/>
              <w:jc w:val="both"/>
              <w:rPr>
                <w:sz w:val="20"/>
              </w:rPr>
            </w:pPr>
            <w:r>
              <w:rPr>
                <w:sz w:val="20"/>
              </w:rPr>
              <w:t>Finanšu saistības, kas novērtētas</w:t>
            </w:r>
          </w:p>
          <w:p w14:paraId="7914B639" w14:textId="77777777" w:rsidR="000533E4" w:rsidRDefault="000533E4" w:rsidP="00CD363C">
            <w:pPr>
              <w:pStyle w:val="TableParagraph"/>
              <w:ind w:left="107" w:right="113"/>
              <w:jc w:val="both"/>
              <w:rPr>
                <w:sz w:val="20"/>
              </w:rPr>
            </w:pPr>
            <w:r>
              <w:rPr>
                <w:sz w:val="20"/>
              </w:rPr>
              <w:t>amortizētajā vērtībā, un citas finanšu saistības</w:t>
            </w:r>
          </w:p>
        </w:tc>
        <w:tc>
          <w:tcPr>
            <w:tcW w:w="1416" w:type="dxa"/>
          </w:tcPr>
          <w:p w14:paraId="2A9F9F52" w14:textId="77777777" w:rsidR="000533E4" w:rsidRDefault="000533E4" w:rsidP="00CD363C">
            <w:pPr>
              <w:pStyle w:val="TableParagraph"/>
              <w:ind w:right="113"/>
              <w:jc w:val="both"/>
              <w:rPr>
                <w:b/>
                <w:sz w:val="19"/>
              </w:rPr>
            </w:pPr>
          </w:p>
          <w:p w14:paraId="48AFD4F2" w14:textId="77777777" w:rsidR="000533E4" w:rsidRDefault="000533E4" w:rsidP="00CD363C">
            <w:pPr>
              <w:pStyle w:val="TableParagraph"/>
              <w:ind w:right="113"/>
              <w:jc w:val="both"/>
              <w:rPr>
                <w:sz w:val="20"/>
              </w:rPr>
            </w:pPr>
            <w:r>
              <w:rPr>
                <w:sz w:val="20"/>
              </w:rPr>
              <w:t>11 100</w:t>
            </w:r>
          </w:p>
        </w:tc>
        <w:tc>
          <w:tcPr>
            <w:tcW w:w="1399" w:type="dxa"/>
          </w:tcPr>
          <w:p w14:paraId="1C891EAF" w14:textId="77777777" w:rsidR="000533E4" w:rsidRDefault="000533E4" w:rsidP="00CD363C">
            <w:pPr>
              <w:pStyle w:val="TableParagraph"/>
              <w:ind w:right="113"/>
              <w:jc w:val="both"/>
              <w:rPr>
                <w:sz w:val="18"/>
              </w:rPr>
            </w:pPr>
          </w:p>
        </w:tc>
        <w:tc>
          <w:tcPr>
            <w:tcW w:w="1985" w:type="dxa"/>
            <w:shd w:val="clear" w:color="auto" w:fill="EBF3F9"/>
          </w:tcPr>
          <w:p w14:paraId="536AE016" w14:textId="77777777" w:rsidR="000533E4" w:rsidRDefault="000533E4" w:rsidP="00CD363C">
            <w:pPr>
              <w:pStyle w:val="TableParagraph"/>
              <w:ind w:right="113"/>
              <w:jc w:val="both"/>
              <w:rPr>
                <w:b/>
                <w:sz w:val="19"/>
              </w:rPr>
            </w:pPr>
          </w:p>
          <w:p w14:paraId="462394E4" w14:textId="77777777" w:rsidR="000533E4" w:rsidRDefault="000533E4" w:rsidP="00CD363C">
            <w:pPr>
              <w:pStyle w:val="TableParagraph"/>
              <w:ind w:right="113"/>
              <w:jc w:val="both"/>
              <w:rPr>
                <w:sz w:val="20"/>
              </w:rPr>
            </w:pPr>
            <w:r>
              <w:rPr>
                <w:sz w:val="20"/>
              </w:rPr>
              <w:t>14.6.</w:t>
            </w:r>
          </w:p>
        </w:tc>
      </w:tr>
      <w:tr w:rsidR="000533E4" w14:paraId="07F8884C" w14:textId="77777777" w:rsidTr="00FF1C69">
        <w:trPr>
          <w:trHeight w:val="230"/>
        </w:trPr>
        <w:tc>
          <w:tcPr>
            <w:tcW w:w="895" w:type="dxa"/>
          </w:tcPr>
          <w:p w14:paraId="39BB0623" w14:textId="77777777" w:rsidR="000533E4" w:rsidRDefault="000533E4" w:rsidP="00CD363C">
            <w:pPr>
              <w:pStyle w:val="TableParagraph"/>
              <w:ind w:right="113"/>
              <w:jc w:val="both"/>
              <w:rPr>
                <w:sz w:val="16"/>
              </w:rPr>
            </w:pPr>
          </w:p>
        </w:tc>
        <w:tc>
          <w:tcPr>
            <w:tcW w:w="3898" w:type="dxa"/>
          </w:tcPr>
          <w:p w14:paraId="56E73984" w14:textId="77777777" w:rsidR="000533E4" w:rsidRDefault="000533E4" w:rsidP="00CD363C">
            <w:pPr>
              <w:pStyle w:val="TableParagraph"/>
              <w:ind w:left="107" w:right="113"/>
              <w:jc w:val="both"/>
              <w:rPr>
                <w:b/>
                <w:sz w:val="20"/>
              </w:rPr>
            </w:pPr>
            <w:r>
              <w:rPr>
                <w:b/>
                <w:sz w:val="20"/>
              </w:rPr>
              <w:t>Kopā:</w:t>
            </w:r>
          </w:p>
        </w:tc>
        <w:tc>
          <w:tcPr>
            <w:tcW w:w="1416" w:type="dxa"/>
          </w:tcPr>
          <w:p w14:paraId="7F965DC2" w14:textId="77777777" w:rsidR="000533E4" w:rsidRDefault="000533E4" w:rsidP="00CD363C">
            <w:pPr>
              <w:pStyle w:val="TableParagraph"/>
              <w:ind w:right="113"/>
              <w:jc w:val="both"/>
              <w:rPr>
                <w:b/>
                <w:sz w:val="20"/>
              </w:rPr>
            </w:pPr>
            <w:r>
              <w:rPr>
                <w:b/>
                <w:sz w:val="20"/>
              </w:rPr>
              <w:t>22 052</w:t>
            </w:r>
          </w:p>
        </w:tc>
        <w:tc>
          <w:tcPr>
            <w:tcW w:w="1399" w:type="dxa"/>
          </w:tcPr>
          <w:p w14:paraId="4697CF64" w14:textId="77777777" w:rsidR="000533E4" w:rsidRDefault="000533E4" w:rsidP="00CD363C">
            <w:pPr>
              <w:pStyle w:val="TableParagraph"/>
              <w:ind w:right="113"/>
              <w:jc w:val="both"/>
              <w:rPr>
                <w:b/>
                <w:sz w:val="20"/>
              </w:rPr>
            </w:pPr>
            <w:r>
              <w:rPr>
                <w:b/>
                <w:sz w:val="20"/>
              </w:rPr>
              <w:t>7 296</w:t>
            </w:r>
          </w:p>
        </w:tc>
        <w:tc>
          <w:tcPr>
            <w:tcW w:w="1985" w:type="dxa"/>
            <w:shd w:val="clear" w:color="auto" w:fill="EBF3F9"/>
          </w:tcPr>
          <w:p w14:paraId="48FC092B" w14:textId="77777777" w:rsidR="000533E4" w:rsidRDefault="000533E4" w:rsidP="00CD363C">
            <w:pPr>
              <w:pStyle w:val="TableParagraph"/>
              <w:ind w:right="113"/>
              <w:jc w:val="both"/>
              <w:rPr>
                <w:b/>
                <w:sz w:val="20"/>
              </w:rPr>
            </w:pPr>
            <w:r>
              <w:rPr>
                <w:b/>
                <w:sz w:val="20"/>
              </w:rPr>
              <w:t>14.5., 14.6., 14.10.</w:t>
            </w:r>
          </w:p>
        </w:tc>
      </w:tr>
    </w:tbl>
    <w:p w14:paraId="64917EA2" w14:textId="77777777" w:rsidR="000533E4" w:rsidRDefault="000533E4" w:rsidP="00CD363C">
      <w:pPr>
        <w:spacing w:after="0" w:line="240" w:lineRule="auto"/>
        <w:ind w:left="338" w:right="113"/>
        <w:jc w:val="both"/>
        <w:rPr>
          <w:i/>
          <w:sz w:val="20"/>
        </w:rPr>
      </w:pPr>
      <w:r>
        <w:rPr>
          <w:i/>
          <w:sz w:val="20"/>
        </w:rPr>
        <w:t>*postenis netiek apskatīts šajā rokasgrāmatas sadaļā.</w:t>
      </w:r>
    </w:p>
    <w:p w14:paraId="3CB40171" w14:textId="77777777" w:rsidR="000533E4" w:rsidRDefault="000533E4" w:rsidP="00CD363C">
      <w:pPr>
        <w:pStyle w:val="Virsraksts6"/>
        <w:ind w:right="113"/>
        <w:jc w:val="both"/>
      </w:pPr>
      <w:r>
        <w:t>4-3.A28. Procentu izdevumi</w:t>
      </w:r>
    </w:p>
    <w:p w14:paraId="60A817CD" w14:textId="77777777" w:rsidR="000533E4" w:rsidRDefault="000533E4" w:rsidP="00CD363C">
      <w:pPr>
        <w:pStyle w:val="Pamatteksts"/>
        <w:ind w:right="113"/>
        <w:jc w:val="both"/>
        <w:rPr>
          <w:b/>
          <w:sz w:val="20"/>
        </w:rPr>
      </w:pPr>
    </w:p>
    <w:tbl>
      <w:tblPr>
        <w:tblW w:w="0" w:type="auto"/>
        <w:tblInd w:w="43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318"/>
        <w:gridCol w:w="2901"/>
        <w:gridCol w:w="1645"/>
        <w:gridCol w:w="1840"/>
        <w:gridCol w:w="1703"/>
      </w:tblGrid>
      <w:tr w:rsidR="000533E4" w14:paraId="7BCE36D2" w14:textId="77777777" w:rsidTr="00FF1C69">
        <w:trPr>
          <w:trHeight w:val="688"/>
        </w:trPr>
        <w:tc>
          <w:tcPr>
            <w:tcW w:w="1318" w:type="dxa"/>
            <w:shd w:val="clear" w:color="auto" w:fill="F1F1F1"/>
          </w:tcPr>
          <w:p w14:paraId="2BA605D1" w14:textId="77777777" w:rsidR="000533E4" w:rsidRDefault="000533E4" w:rsidP="00CD363C">
            <w:pPr>
              <w:pStyle w:val="TableParagraph"/>
              <w:ind w:right="113"/>
              <w:jc w:val="both"/>
              <w:rPr>
                <w:b/>
                <w:sz w:val="20"/>
              </w:rPr>
            </w:pPr>
          </w:p>
          <w:p w14:paraId="1B39DD73" w14:textId="77777777" w:rsidR="000533E4" w:rsidRDefault="000533E4" w:rsidP="00CD363C">
            <w:pPr>
              <w:pStyle w:val="TableParagraph"/>
              <w:ind w:left="407" w:right="113"/>
              <w:jc w:val="both"/>
              <w:rPr>
                <w:b/>
                <w:sz w:val="20"/>
              </w:rPr>
            </w:pPr>
            <w:r>
              <w:rPr>
                <w:b/>
                <w:sz w:val="20"/>
              </w:rPr>
              <w:t>Kods</w:t>
            </w:r>
          </w:p>
        </w:tc>
        <w:tc>
          <w:tcPr>
            <w:tcW w:w="2901" w:type="dxa"/>
            <w:shd w:val="clear" w:color="auto" w:fill="F1F1F1"/>
          </w:tcPr>
          <w:p w14:paraId="15F132F0" w14:textId="77777777" w:rsidR="000533E4" w:rsidRDefault="000533E4" w:rsidP="00CD363C">
            <w:pPr>
              <w:pStyle w:val="TableParagraph"/>
              <w:ind w:left="626" w:right="113" w:hanging="203"/>
              <w:jc w:val="both"/>
              <w:rPr>
                <w:b/>
                <w:sz w:val="20"/>
              </w:rPr>
            </w:pPr>
            <w:r>
              <w:rPr>
                <w:b/>
                <w:sz w:val="20"/>
              </w:rPr>
              <w:t>Posteņa nosaukums vai darījuma apraksts</w:t>
            </w:r>
          </w:p>
        </w:tc>
        <w:tc>
          <w:tcPr>
            <w:tcW w:w="1645" w:type="dxa"/>
            <w:shd w:val="clear" w:color="auto" w:fill="F1F1F1"/>
          </w:tcPr>
          <w:p w14:paraId="613BD077" w14:textId="77777777" w:rsidR="000533E4" w:rsidRDefault="000533E4" w:rsidP="00CD363C">
            <w:pPr>
              <w:pStyle w:val="TableParagraph"/>
              <w:ind w:left="464" w:right="113" w:hanging="56"/>
              <w:jc w:val="both"/>
              <w:rPr>
                <w:b/>
                <w:sz w:val="20"/>
              </w:rPr>
            </w:pPr>
            <w:r>
              <w:rPr>
                <w:b/>
                <w:w w:val="95"/>
                <w:sz w:val="20"/>
              </w:rPr>
              <w:t xml:space="preserve">Pārskata </w:t>
            </w:r>
            <w:r>
              <w:rPr>
                <w:b/>
                <w:sz w:val="20"/>
              </w:rPr>
              <w:t>periodā</w:t>
            </w:r>
          </w:p>
        </w:tc>
        <w:tc>
          <w:tcPr>
            <w:tcW w:w="1840" w:type="dxa"/>
            <w:shd w:val="clear" w:color="auto" w:fill="F1F1F1"/>
          </w:tcPr>
          <w:p w14:paraId="4EB956AC" w14:textId="77777777" w:rsidR="000533E4" w:rsidRDefault="000533E4" w:rsidP="00CD363C">
            <w:pPr>
              <w:pStyle w:val="TableParagraph"/>
              <w:ind w:left="155" w:right="113" w:firstLine="255"/>
              <w:jc w:val="both"/>
              <w:rPr>
                <w:b/>
                <w:sz w:val="20"/>
              </w:rPr>
            </w:pPr>
            <w:r>
              <w:rPr>
                <w:b/>
                <w:sz w:val="20"/>
              </w:rPr>
              <w:t>Iepriekšējā pārskata periodā</w:t>
            </w:r>
          </w:p>
        </w:tc>
        <w:tc>
          <w:tcPr>
            <w:tcW w:w="1703" w:type="dxa"/>
            <w:shd w:val="clear" w:color="auto" w:fill="F1F1F1"/>
          </w:tcPr>
          <w:p w14:paraId="373EDE79" w14:textId="77777777" w:rsidR="000533E4" w:rsidRDefault="000533E4" w:rsidP="00CD363C">
            <w:pPr>
              <w:pStyle w:val="TableParagraph"/>
              <w:ind w:left="270" w:right="113" w:firstLine="45"/>
              <w:jc w:val="both"/>
              <w:rPr>
                <w:b/>
                <w:sz w:val="20"/>
              </w:rPr>
            </w:pPr>
            <w:r>
              <w:rPr>
                <w:b/>
                <w:sz w:val="20"/>
              </w:rPr>
              <w:t>Atsauces uz</w:t>
            </w:r>
          </w:p>
          <w:p w14:paraId="01E9A792" w14:textId="77777777" w:rsidR="000533E4" w:rsidRDefault="000533E4" w:rsidP="00CD363C">
            <w:pPr>
              <w:pStyle w:val="TableParagraph"/>
              <w:ind w:left="363" w:right="113" w:hanging="94"/>
              <w:jc w:val="both"/>
              <w:rPr>
                <w:b/>
                <w:sz w:val="20"/>
              </w:rPr>
            </w:pPr>
            <w:r>
              <w:rPr>
                <w:b/>
                <w:sz w:val="20"/>
              </w:rPr>
              <w:t>attiecīgajiem piemēriem</w:t>
            </w:r>
          </w:p>
        </w:tc>
      </w:tr>
      <w:tr w:rsidR="000533E4" w14:paraId="3A4567D1" w14:textId="77777777" w:rsidTr="00FF1C69">
        <w:trPr>
          <w:trHeight w:val="290"/>
        </w:trPr>
        <w:tc>
          <w:tcPr>
            <w:tcW w:w="1318" w:type="dxa"/>
            <w:shd w:val="clear" w:color="auto" w:fill="F1F1F1"/>
          </w:tcPr>
          <w:p w14:paraId="311A0BA1" w14:textId="77777777" w:rsidR="000533E4" w:rsidRDefault="000533E4" w:rsidP="00CD363C">
            <w:pPr>
              <w:pStyle w:val="TableParagraph"/>
              <w:ind w:right="113"/>
              <w:jc w:val="both"/>
              <w:rPr>
                <w:b/>
                <w:sz w:val="20"/>
              </w:rPr>
            </w:pPr>
            <w:r>
              <w:rPr>
                <w:b/>
                <w:w w:val="99"/>
                <w:sz w:val="20"/>
              </w:rPr>
              <w:t>A</w:t>
            </w:r>
          </w:p>
        </w:tc>
        <w:tc>
          <w:tcPr>
            <w:tcW w:w="2901" w:type="dxa"/>
            <w:shd w:val="clear" w:color="auto" w:fill="F1F1F1"/>
          </w:tcPr>
          <w:p w14:paraId="4F3CFB46" w14:textId="77777777" w:rsidR="000533E4" w:rsidRDefault="000533E4" w:rsidP="00CD363C">
            <w:pPr>
              <w:pStyle w:val="TableParagraph"/>
              <w:ind w:right="113"/>
              <w:jc w:val="both"/>
              <w:rPr>
                <w:b/>
                <w:sz w:val="20"/>
              </w:rPr>
            </w:pPr>
            <w:r>
              <w:rPr>
                <w:b/>
                <w:w w:val="99"/>
                <w:sz w:val="20"/>
              </w:rPr>
              <w:t>B</w:t>
            </w:r>
          </w:p>
        </w:tc>
        <w:tc>
          <w:tcPr>
            <w:tcW w:w="1645" w:type="dxa"/>
            <w:shd w:val="clear" w:color="auto" w:fill="F1F1F1"/>
          </w:tcPr>
          <w:p w14:paraId="718099D3" w14:textId="77777777" w:rsidR="000533E4" w:rsidRDefault="000533E4" w:rsidP="00CD363C">
            <w:pPr>
              <w:pStyle w:val="TableParagraph"/>
              <w:ind w:right="113"/>
              <w:jc w:val="both"/>
              <w:rPr>
                <w:b/>
                <w:sz w:val="20"/>
              </w:rPr>
            </w:pPr>
            <w:r>
              <w:rPr>
                <w:b/>
                <w:w w:val="99"/>
                <w:sz w:val="20"/>
              </w:rPr>
              <w:t>1</w:t>
            </w:r>
          </w:p>
        </w:tc>
        <w:tc>
          <w:tcPr>
            <w:tcW w:w="1840" w:type="dxa"/>
            <w:shd w:val="clear" w:color="auto" w:fill="F1F1F1"/>
          </w:tcPr>
          <w:p w14:paraId="6D9A14FB" w14:textId="77777777" w:rsidR="000533E4" w:rsidRDefault="000533E4" w:rsidP="00CD363C">
            <w:pPr>
              <w:pStyle w:val="TableParagraph"/>
              <w:ind w:right="113"/>
              <w:jc w:val="both"/>
              <w:rPr>
                <w:b/>
                <w:sz w:val="20"/>
              </w:rPr>
            </w:pPr>
            <w:r>
              <w:rPr>
                <w:b/>
                <w:w w:val="99"/>
                <w:sz w:val="20"/>
              </w:rPr>
              <w:t>2</w:t>
            </w:r>
          </w:p>
        </w:tc>
        <w:tc>
          <w:tcPr>
            <w:tcW w:w="1703" w:type="dxa"/>
            <w:shd w:val="clear" w:color="auto" w:fill="F1F1F1"/>
          </w:tcPr>
          <w:p w14:paraId="4B23DF96" w14:textId="77777777" w:rsidR="000533E4" w:rsidRDefault="000533E4" w:rsidP="00CD363C">
            <w:pPr>
              <w:pStyle w:val="TableParagraph"/>
              <w:ind w:right="113"/>
              <w:jc w:val="both"/>
              <w:rPr>
                <w:sz w:val="18"/>
              </w:rPr>
            </w:pPr>
          </w:p>
        </w:tc>
      </w:tr>
      <w:tr w:rsidR="000533E4" w14:paraId="1C1E1398" w14:textId="77777777" w:rsidTr="00FF1C69">
        <w:trPr>
          <w:trHeight w:val="688"/>
        </w:trPr>
        <w:tc>
          <w:tcPr>
            <w:tcW w:w="1318" w:type="dxa"/>
          </w:tcPr>
          <w:p w14:paraId="13AC8D1A" w14:textId="77777777" w:rsidR="000533E4" w:rsidRDefault="000533E4" w:rsidP="00CD363C">
            <w:pPr>
              <w:pStyle w:val="TableParagraph"/>
              <w:ind w:right="113"/>
              <w:jc w:val="both"/>
              <w:rPr>
                <w:b/>
                <w:sz w:val="19"/>
              </w:rPr>
            </w:pPr>
          </w:p>
          <w:p w14:paraId="5DADDF8E" w14:textId="77777777" w:rsidR="000533E4" w:rsidRDefault="000533E4" w:rsidP="00CD363C">
            <w:pPr>
              <w:pStyle w:val="TableParagraph"/>
              <w:ind w:left="107" w:right="113"/>
              <w:jc w:val="both"/>
              <w:rPr>
                <w:sz w:val="20"/>
              </w:rPr>
            </w:pPr>
            <w:r>
              <w:rPr>
                <w:sz w:val="20"/>
              </w:rPr>
              <w:t>FI</w:t>
            </w:r>
          </w:p>
        </w:tc>
        <w:tc>
          <w:tcPr>
            <w:tcW w:w="2901" w:type="dxa"/>
          </w:tcPr>
          <w:p w14:paraId="726644DE" w14:textId="77777777" w:rsidR="000533E4" w:rsidRDefault="000533E4" w:rsidP="00CD363C">
            <w:pPr>
              <w:pStyle w:val="TableParagraph"/>
              <w:ind w:left="104" w:right="113"/>
              <w:jc w:val="both"/>
              <w:rPr>
                <w:sz w:val="20"/>
              </w:rPr>
            </w:pPr>
            <w:r>
              <w:rPr>
                <w:sz w:val="20"/>
              </w:rPr>
              <w:t>Procentu izdevumi par finanšu</w:t>
            </w:r>
          </w:p>
          <w:p w14:paraId="586CE345" w14:textId="77777777" w:rsidR="000533E4" w:rsidRDefault="000533E4" w:rsidP="00CD363C">
            <w:pPr>
              <w:pStyle w:val="TableParagraph"/>
              <w:ind w:left="104" w:right="113"/>
              <w:jc w:val="both"/>
              <w:rPr>
                <w:sz w:val="20"/>
              </w:rPr>
            </w:pPr>
            <w:r>
              <w:rPr>
                <w:sz w:val="20"/>
              </w:rPr>
              <w:t>instrumentiem, izņemot PVFA un PVFS</w:t>
            </w:r>
          </w:p>
        </w:tc>
        <w:tc>
          <w:tcPr>
            <w:tcW w:w="1645" w:type="dxa"/>
          </w:tcPr>
          <w:p w14:paraId="6457BA30" w14:textId="77777777" w:rsidR="000533E4" w:rsidRDefault="000533E4" w:rsidP="00CD363C">
            <w:pPr>
              <w:pStyle w:val="TableParagraph"/>
              <w:ind w:right="113"/>
              <w:jc w:val="both"/>
              <w:rPr>
                <w:b/>
                <w:sz w:val="19"/>
              </w:rPr>
            </w:pPr>
          </w:p>
          <w:p w14:paraId="148EA167" w14:textId="77777777" w:rsidR="000533E4" w:rsidRDefault="000533E4" w:rsidP="00CD363C">
            <w:pPr>
              <w:pStyle w:val="TableParagraph"/>
              <w:ind w:right="113"/>
              <w:jc w:val="both"/>
              <w:rPr>
                <w:sz w:val="20"/>
              </w:rPr>
            </w:pPr>
            <w:r>
              <w:rPr>
                <w:sz w:val="20"/>
              </w:rPr>
              <w:t>153 127</w:t>
            </w:r>
          </w:p>
        </w:tc>
        <w:tc>
          <w:tcPr>
            <w:tcW w:w="1840" w:type="dxa"/>
          </w:tcPr>
          <w:p w14:paraId="3ED2975A" w14:textId="77777777" w:rsidR="000533E4" w:rsidRDefault="000533E4" w:rsidP="00CD363C">
            <w:pPr>
              <w:pStyle w:val="TableParagraph"/>
              <w:ind w:right="113"/>
              <w:jc w:val="both"/>
              <w:rPr>
                <w:b/>
                <w:sz w:val="19"/>
              </w:rPr>
            </w:pPr>
          </w:p>
          <w:p w14:paraId="3005349C"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52C00123" w14:textId="77777777" w:rsidR="000533E4" w:rsidRDefault="000533E4" w:rsidP="00CD363C">
            <w:pPr>
              <w:pStyle w:val="TableParagraph"/>
              <w:ind w:right="113"/>
              <w:jc w:val="both"/>
              <w:rPr>
                <w:b/>
                <w:sz w:val="19"/>
              </w:rPr>
            </w:pPr>
          </w:p>
          <w:p w14:paraId="2AF88BF6" w14:textId="77777777" w:rsidR="000533E4" w:rsidRDefault="000533E4" w:rsidP="00CD363C">
            <w:pPr>
              <w:pStyle w:val="TableParagraph"/>
              <w:ind w:right="113"/>
              <w:jc w:val="both"/>
              <w:rPr>
                <w:sz w:val="20"/>
              </w:rPr>
            </w:pPr>
            <w:r>
              <w:rPr>
                <w:sz w:val="20"/>
              </w:rPr>
              <w:t>14.5.</w:t>
            </w:r>
          </w:p>
        </w:tc>
      </w:tr>
      <w:tr w:rsidR="000533E4" w14:paraId="3CE79C10" w14:textId="77777777" w:rsidTr="00FF1C69">
        <w:trPr>
          <w:trHeight w:val="318"/>
        </w:trPr>
        <w:tc>
          <w:tcPr>
            <w:tcW w:w="1318" w:type="dxa"/>
          </w:tcPr>
          <w:p w14:paraId="48E25CAD" w14:textId="77777777" w:rsidR="000533E4" w:rsidRDefault="000533E4" w:rsidP="00CD363C">
            <w:pPr>
              <w:pStyle w:val="TableParagraph"/>
              <w:ind w:left="107" w:right="113"/>
              <w:jc w:val="both"/>
              <w:rPr>
                <w:sz w:val="20"/>
              </w:rPr>
            </w:pPr>
            <w:r>
              <w:rPr>
                <w:sz w:val="20"/>
              </w:rPr>
              <w:t>FI.AP</w:t>
            </w:r>
          </w:p>
        </w:tc>
        <w:tc>
          <w:tcPr>
            <w:tcW w:w="2901" w:type="dxa"/>
          </w:tcPr>
          <w:p w14:paraId="2F0A2401" w14:textId="77777777" w:rsidR="000533E4" w:rsidRDefault="000533E4" w:rsidP="00CD363C">
            <w:pPr>
              <w:pStyle w:val="TableParagraph"/>
              <w:ind w:left="104" w:right="113"/>
              <w:jc w:val="both"/>
              <w:rPr>
                <w:sz w:val="20"/>
              </w:rPr>
            </w:pPr>
            <w:r>
              <w:rPr>
                <w:sz w:val="20"/>
              </w:rPr>
              <w:t>Aizdevumi un prasības</w:t>
            </w:r>
          </w:p>
        </w:tc>
        <w:tc>
          <w:tcPr>
            <w:tcW w:w="1645" w:type="dxa"/>
          </w:tcPr>
          <w:p w14:paraId="3313F4F5" w14:textId="77777777" w:rsidR="000533E4" w:rsidRDefault="000533E4" w:rsidP="00CD363C">
            <w:pPr>
              <w:pStyle w:val="TableParagraph"/>
              <w:ind w:right="113"/>
              <w:jc w:val="both"/>
              <w:rPr>
                <w:sz w:val="20"/>
              </w:rPr>
            </w:pPr>
            <w:r>
              <w:rPr>
                <w:sz w:val="20"/>
              </w:rPr>
              <w:t>11 100</w:t>
            </w:r>
          </w:p>
        </w:tc>
        <w:tc>
          <w:tcPr>
            <w:tcW w:w="1840" w:type="dxa"/>
          </w:tcPr>
          <w:p w14:paraId="1FA9367E" w14:textId="77777777" w:rsidR="000533E4" w:rsidRDefault="000533E4" w:rsidP="00CD363C">
            <w:pPr>
              <w:pStyle w:val="TableParagraph"/>
              <w:ind w:right="113"/>
              <w:jc w:val="both"/>
              <w:rPr>
                <w:sz w:val="18"/>
              </w:rPr>
            </w:pPr>
          </w:p>
        </w:tc>
        <w:tc>
          <w:tcPr>
            <w:tcW w:w="1703" w:type="dxa"/>
            <w:shd w:val="clear" w:color="auto" w:fill="EBF3F9"/>
          </w:tcPr>
          <w:p w14:paraId="399C514C" w14:textId="77777777" w:rsidR="000533E4" w:rsidRDefault="000533E4" w:rsidP="00CD363C">
            <w:pPr>
              <w:pStyle w:val="TableParagraph"/>
              <w:ind w:right="113"/>
              <w:jc w:val="both"/>
              <w:rPr>
                <w:sz w:val="20"/>
              </w:rPr>
            </w:pPr>
            <w:r>
              <w:rPr>
                <w:sz w:val="20"/>
              </w:rPr>
              <w:t>14.5.</w:t>
            </w:r>
          </w:p>
        </w:tc>
      </w:tr>
      <w:tr w:rsidR="000533E4" w14:paraId="059CF923" w14:textId="77777777" w:rsidTr="00FF1C69">
        <w:trPr>
          <w:trHeight w:val="921"/>
        </w:trPr>
        <w:tc>
          <w:tcPr>
            <w:tcW w:w="1318" w:type="dxa"/>
          </w:tcPr>
          <w:p w14:paraId="1C5AE848" w14:textId="77777777" w:rsidR="000533E4" w:rsidRDefault="000533E4" w:rsidP="00CD363C">
            <w:pPr>
              <w:pStyle w:val="TableParagraph"/>
              <w:ind w:right="113"/>
              <w:jc w:val="both"/>
              <w:rPr>
                <w:b/>
                <w:sz w:val="29"/>
              </w:rPr>
            </w:pPr>
          </w:p>
          <w:p w14:paraId="668DDD28" w14:textId="77777777" w:rsidR="000533E4" w:rsidRDefault="000533E4" w:rsidP="00CD363C">
            <w:pPr>
              <w:pStyle w:val="TableParagraph"/>
              <w:ind w:left="107" w:right="113"/>
              <w:jc w:val="both"/>
              <w:rPr>
                <w:sz w:val="20"/>
              </w:rPr>
            </w:pPr>
            <w:r>
              <w:rPr>
                <w:sz w:val="20"/>
              </w:rPr>
              <w:t>FI.FS</w:t>
            </w:r>
          </w:p>
        </w:tc>
        <w:tc>
          <w:tcPr>
            <w:tcW w:w="2901" w:type="dxa"/>
          </w:tcPr>
          <w:p w14:paraId="6B6A40EA" w14:textId="77777777" w:rsidR="000533E4" w:rsidRDefault="000533E4" w:rsidP="00CD363C">
            <w:pPr>
              <w:pStyle w:val="TableParagraph"/>
              <w:ind w:left="104" w:right="113"/>
              <w:jc w:val="both"/>
              <w:rPr>
                <w:sz w:val="20"/>
              </w:rPr>
            </w:pPr>
            <w:r>
              <w:rPr>
                <w:sz w:val="20"/>
              </w:rPr>
              <w:t>Finanšu saistības, kas novērtētas amortizētajā vērtībā, un citas finanšu saistības</w:t>
            </w:r>
          </w:p>
        </w:tc>
        <w:tc>
          <w:tcPr>
            <w:tcW w:w="1645" w:type="dxa"/>
          </w:tcPr>
          <w:p w14:paraId="664934BC" w14:textId="77777777" w:rsidR="000533E4" w:rsidRDefault="000533E4" w:rsidP="00CD363C">
            <w:pPr>
              <w:pStyle w:val="TableParagraph"/>
              <w:ind w:left="677" w:right="113"/>
              <w:jc w:val="both"/>
              <w:rPr>
                <w:sz w:val="20"/>
              </w:rPr>
            </w:pPr>
            <w:r>
              <w:rPr>
                <w:sz w:val="20"/>
              </w:rPr>
              <w:t>142</w:t>
            </w:r>
            <w:r>
              <w:rPr>
                <w:spacing w:val="-1"/>
                <w:sz w:val="20"/>
              </w:rPr>
              <w:t xml:space="preserve"> </w:t>
            </w:r>
            <w:r>
              <w:rPr>
                <w:sz w:val="20"/>
              </w:rPr>
              <w:t>027</w:t>
            </w:r>
          </w:p>
          <w:p w14:paraId="21790783" w14:textId="77777777" w:rsidR="000533E4" w:rsidRDefault="000533E4" w:rsidP="00CD363C">
            <w:pPr>
              <w:pStyle w:val="TableParagraph"/>
              <w:ind w:left="675" w:right="113"/>
              <w:jc w:val="both"/>
              <w:rPr>
                <w:sz w:val="20"/>
              </w:rPr>
            </w:pPr>
            <w:r>
              <w:rPr>
                <w:sz w:val="20"/>
              </w:rPr>
              <w:t>(497,26 +</w:t>
            </w:r>
          </w:p>
          <w:p w14:paraId="3B21DFB1" w14:textId="77777777" w:rsidR="000533E4" w:rsidRDefault="000533E4" w:rsidP="00CD363C">
            <w:pPr>
              <w:pStyle w:val="TableParagraph"/>
              <w:ind w:left="413" w:right="113"/>
              <w:jc w:val="both"/>
              <w:rPr>
                <w:sz w:val="20"/>
              </w:rPr>
            </w:pPr>
            <w:r>
              <w:rPr>
                <w:sz w:val="20"/>
              </w:rPr>
              <w:t>137 973,19</w:t>
            </w:r>
            <w:r>
              <w:rPr>
                <w:spacing w:val="-1"/>
                <w:sz w:val="20"/>
              </w:rPr>
              <w:t xml:space="preserve"> </w:t>
            </w:r>
            <w:r>
              <w:rPr>
                <w:sz w:val="20"/>
              </w:rPr>
              <w:t>+</w:t>
            </w:r>
          </w:p>
          <w:p w14:paraId="1D8F5E7F" w14:textId="77777777" w:rsidR="000533E4" w:rsidRDefault="000533E4" w:rsidP="00CD363C">
            <w:pPr>
              <w:pStyle w:val="TableParagraph"/>
              <w:ind w:left="677" w:right="113"/>
              <w:jc w:val="both"/>
              <w:rPr>
                <w:sz w:val="20"/>
              </w:rPr>
            </w:pPr>
            <w:r>
              <w:rPr>
                <w:sz w:val="20"/>
              </w:rPr>
              <w:t>3</w:t>
            </w:r>
            <w:r>
              <w:rPr>
                <w:spacing w:val="-3"/>
                <w:sz w:val="20"/>
              </w:rPr>
              <w:t xml:space="preserve"> </w:t>
            </w:r>
            <w:r>
              <w:rPr>
                <w:sz w:val="20"/>
              </w:rPr>
              <w:t>555,99)</w:t>
            </w:r>
          </w:p>
        </w:tc>
        <w:tc>
          <w:tcPr>
            <w:tcW w:w="1840" w:type="dxa"/>
          </w:tcPr>
          <w:p w14:paraId="2028F5C5" w14:textId="77777777" w:rsidR="000533E4" w:rsidRDefault="000533E4" w:rsidP="00CD363C">
            <w:pPr>
              <w:pStyle w:val="TableParagraph"/>
              <w:ind w:right="113"/>
              <w:jc w:val="both"/>
              <w:rPr>
                <w:b/>
                <w:sz w:val="29"/>
              </w:rPr>
            </w:pPr>
          </w:p>
          <w:p w14:paraId="5E6952EB"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099EDEBC" w14:textId="77777777" w:rsidR="000533E4" w:rsidRDefault="000533E4" w:rsidP="00CD363C">
            <w:pPr>
              <w:pStyle w:val="TableParagraph"/>
              <w:ind w:right="113"/>
              <w:jc w:val="both"/>
              <w:rPr>
                <w:b/>
                <w:sz w:val="29"/>
              </w:rPr>
            </w:pPr>
          </w:p>
          <w:p w14:paraId="2ED39236" w14:textId="77777777" w:rsidR="000533E4" w:rsidRDefault="000533E4" w:rsidP="00CD363C">
            <w:pPr>
              <w:pStyle w:val="TableParagraph"/>
              <w:ind w:right="113"/>
              <w:jc w:val="both"/>
              <w:rPr>
                <w:sz w:val="20"/>
              </w:rPr>
            </w:pPr>
            <w:r>
              <w:rPr>
                <w:sz w:val="20"/>
              </w:rPr>
              <w:t>14.2., 14.3., 14.6.</w:t>
            </w:r>
          </w:p>
        </w:tc>
      </w:tr>
      <w:tr w:rsidR="000533E4" w14:paraId="435AC208" w14:textId="77777777" w:rsidTr="00FF1C69">
        <w:trPr>
          <w:trHeight w:val="230"/>
        </w:trPr>
        <w:tc>
          <w:tcPr>
            <w:tcW w:w="1318" w:type="dxa"/>
          </w:tcPr>
          <w:p w14:paraId="720E6D2F" w14:textId="77777777" w:rsidR="000533E4" w:rsidRDefault="000533E4" w:rsidP="00CD363C">
            <w:pPr>
              <w:pStyle w:val="TableParagraph"/>
              <w:ind w:right="113"/>
              <w:jc w:val="both"/>
              <w:rPr>
                <w:sz w:val="16"/>
              </w:rPr>
            </w:pPr>
          </w:p>
        </w:tc>
        <w:tc>
          <w:tcPr>
            <w:tcW w:w="2901" w:type="dxa"/>
          </w:tcPr>
          <w:p w14:paraId="2E7F8A21" w14:textId="77777777" w:rsidR="000533E4" w:rsidRDefault="000533E4" w:rsidP="00CD363C">
            <w:pPr>
              <w:pStyle w:val="TableParagraph"/>
              <w:ind w:left="104" w:right="113"/>
              <w:jc w:val="both"/>
              <w:rPr>
                <w:b/>
                <w:sz w:val="20"/>
              </w:rPr>
            </w:pPr>
            <w:r>
              <w:rPr>
                <w:b/>
                <w:sz w:val="20"/>
              </w:rPr>
              <w:t>Kopā:</w:t>
            </w:r>
          </w:p>
        </w:tc>
        <w:tc>
          <w:tcPr>
            <w:tcW w:w="1645" w:type="dxa"/>
          </w:tcPr>
          <w:p w14:paraId="6DE2D6BF" w14:textId="77777777" w:rsidR="000533E4" w:rsidRDefault="000533E4" w:rsidP="00CD363C">
            <w:pPr>
              <w:pStyle w:val="TableParagraph"/>
              <w:ind w:right="113"/>
              <w:jc w:val="both"/>
              <w:rPr>
                <w:b/>
                <w:sz w:val="20"/>
              </w:rPr>
            </w:pPr>
            <w:r>
              <w:rPr>
                <w:b/>
                <w:sz w:val="20"/>
              </w:rPr>
              <w:t>153 127</w:t>
            </w:r>
          </w:p>
        </w:tc>
        <w:tc>
          <w:tcPr>
            <w:tcW w:w="1840" w:type="dxa"/>
          </w:tcPr>
          <w:p w14:paraId="32555785" w14:textId="77777777" w:rsidR="000533E4" w:rsidRDefault="000533E4" w:rsidP="00CD363C">
            <w:pPr>
              <w:pStyle w:val="TableParagraph"/>
              <w:ind w:right="113"/>
              <w:jc w:val="both"/>
              <w:rPr>
                <w:sz w:val="16"/>
              </w:rPr>
            </w:pPr>
          </w:p>
        </w:tc>
        <w:tc>
          <w:tcPr>
            <w:tcW w:w="1703" w:type="dxa"/>
            <w:shd w:val="clear" w:color="auto" w:fill="EBF3F9"/>
          </w:tcPr>
          <w:p w14:paraId="0F0B6628" w14:textId="77777777" w:rsidR="000533E4" w:rsidRDefault="000533E4" w:rsidP="00CD363C">
            <w:pPr>
              <w:pStyle w:val="TableParagraph"/>
              <w:ind w:right="113"/>
              <w:jc w:val="both"/>
              <w:rPr>
                <w:b/>
                <w:sz w:val="20"/>
              </w:rPr>
            </w:pPr>
            <w:r>
              <w:rPr>
                <w:b/>
                <w:sz w:val="20"/>
              </w:rPr>
              <w:t>14.2., 14.3., 14.6.</w:t>
            </w:r>
          </w:p>
        </w:tc>
      </w:tr>
    </w:tbl>
    <w:p w14:paraId="0BD27AE9" w14:textId="77777777" w:rsidR="000533E4" w:rsidRDefault="000533E4" w:rsidP="00CD363C">
      <w:pPr>
        <w:pStyle w:val="Pamatteksts"/>
        <w:ind w:right="113"/>
        <w:jc w:val="both"/>
        <w:rPr>
          <w:b/>
          <w:sz w:val="24"/>
        </w:rPr>
      </w:pPr>
    </w:p>
    <w:p w14:paraId="24C1F37E" w14:textId="77777777" w:rsidR="000533E4" w:rsidRDefault="000533E4" w:rsidP="00CD363C">
      <w:pPr>
        <w:pStyle w:val="Pamatteksts"/>
        <w:ind w:right="113"/>
        <w:jc w:val="both"/>
        <w:rPr>
          <w:b/>
          <w:sz w:val="27"/>
        </w:rPr>
      </w:pPr>
    </w:p>
    <w:p w14:paraId="3FA7011D" w14:textId="77777777" w:rsidR="000533E4" w:rsidRDefault="000533E4" w:rsidP="00CD363C">
      <w:pPr>
        <w:spacing w:after="0" w:line="240" w:lineRule="auto"/>
        <w:ind w:left="338" w:right="113"/>
        <w:jc w:val="both"/>
        <w:rPr>
          <w:b/>
        </w:rPr>
      </w:pPr>
      <w:r>
        <w:rPr>
          <w:b/>
        </w:rPr>
        <w:t>4-3.V9.NETO Finanšu instrumentu neto rezultāts</w:t>
      </w:r>
    </w:p>
    <w:p w14:paraId="04E2954C" w14:textId="77777777" w:rsidR="000533E4" w:rsidRDefault="000533E4" w:rsidP="00CD363C">
      <w:pPr>
        <w:pStyle w:val="Pamatteksts"/>
        <w:ind w:right="113"/>
        <w:jc w:val="both"/>
        <w:rPr>
          <w:b/>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703"/>
        <w:gridCol w:w="2554"/>
        <w:gridCol w:w="566"/>
        <w:gridCol w:w="991"/>
        <w:gridCol w:w="851"/>
        <w:gridCol w:w="565"/>
        <w:gridCol w:w="566"/>
        <w:gridCol w:w="851"/>
        <w:gridCol w:w="424"/>
        <w:gridCol w:w="1274"/>
      </w:tblGrid>
      <w:tr w:rsidR="000533E4" w14:paraId="3FCF0CBD" w14:textId="77777777" w:rsidTr="00FF1C69">
        <w:trPr>
          <w:trHeight w:val="549"/>
        </w:trPr>
        <w:tc>
          <w:tcPr>
            <w:tcW w:w="703" w:type="dxa"/>
            <w:vMerge w:val="restart"/>
            <w:shd w:val="clear" w:color="auto" w:fill="F1F1F1"/>
          </w:tcPr>
          <w:p w14:paraId="03863D56" w14:textId="77777777" w:rsidR="000533E4" w:rsidRDefault="000533E4" w:rsidP="00CD363C">
            <w:pPr>
              <w:pStyle w:val="TableParagraph"/>
              <w:ind w:right="113"/>
              <w:jc w:val="both"/>
              <w:rPr>
                <w:b/>
                <w:sz w:val="20"/>
              </w:rPr>
            </w:pPr>
          </w:p>
          <w:p w14:paraId="4FEBAC9C" w14:textId="77777777" w:rsidR="000533E4" w:rsidRDefault="000533E4" w:rsidP="00CD363C">
            <w:pPr>
              <w:pStyle w:val="TableParagraph"/>
              <w:ind w:right="113"/>
              <w:jc w:val="both"/>
              <w:rPr>
                <w:b/>
                <w:sz w:val="20"/>
              </w:rPr>
            </w:pPr>
          </w:p>
          <w:p w14:paraId="1F49C87F" w14:textId="77777777" w:rsidR="000533E4" w:rsidRDefault="000533E4" w:rsidP="00CD363C">
            <w:pPr>
              <w:pStyle w:val="TableParagraph"/>
              <w:ind w:right="113"/>
              <w:jc w:val="both"/>
              <w:rPr>
                <w:b/>
                <w:sz w:val="20"/>
              </w:rPr>
            </w:pPr>
          </w:p>
          <w:p w14:paraId="6C9D7239" w14:textId="77777777" w:rsidR="000533E4" w:rsidRDefault="000533E4" w:rsidP="00CD363C">
            <w:pPr>
              <w:pStyle w:val="TableParagraph"/>
              <w:ind w:right="113"/>
              <w:jc w:val="both"/>
              <w:rPr>
                <w:b/>
                <w:sz w:val="29"/>
              </w:rPr>
            </w:pPr>
          </w:p>
          <w:p w14:paraId="6F33D67C" w14:textId="77777777" w:rsidR="000533E4" w:rsidRDefault="000533E4" w:rsidP="00CD363C">
            <w:pPr>
              <w:pStyle w:val="TableParagraph"/>
              <w:ind w:left="203" w:right="113"/>
              <w:jc w:val="both"/>
              <w:rPr>
                <w:b/>
                <w:sz w:val="18"/>
              </w:rPr>
            </w:pPr>
            <w:r>
              <w:rPr>
                <w:b/>
                <w:sz w:val="18"/>
              </w:rPr>
              <w:t>Kods</w:t>
            </w:r>
          </w:p>
        </w:tc>
        <w:tc>
          <w:tcPr>
            <w:tcW w:w="2554" w:type="dxa"/>
            <w:vMerge w:val="restart"/>
            <w:shd w:val="clear" w:color="auto" w:fill="F1F1F1"/>
          </w:tcPr>
          <w:p w14:paraId="32B854E6" w14:textId="77777777" w:rsidR="000533E4" w:rsidRDefault="000533E4" w:rsidP="00CD363C">
            <w:pPr>
              <w:pStyle w:val="TableParagraph"/>
              <w:ind w:right="113"/>
              <w:jc w:val="both"/>
              <w:rPr>
                <w:b/>
                <w:sz w:val="20"/>
              </w:rPr>
            </w:pPr>
          </w:p>
          <w:p w14:paraId="649DCD26" w14:textId="77777777" w:rsidR="000533E4" w:rsidRDefault="000533E4" w:rsidP="00CD363C">
            <w:pPr>
              <w:pStyle w:val="TableParagraph"/>
              <w:ind w:right="113"/>
              <w:jc w:val="both"/>
              <w:rPr>
                <w:b/>
                <w:sz w:val="20"/>
              </w:rPr>
            </w:pPr>
          </w:p>
          <w:p w14:paraId="14D42398" w14:textId="77777777" w:rsidR="000533E4" w:rsidRDefault="000533E4" w:rsidP="00CD363C">
            <w:pPr>
              <w:pStyle w:val="TableParagraph"/>
              <w:ind w:right="113"/>
              <w:jc w:val="both"/>
              <w:rPr>
                <w:b/>
                <w:sz w:val="20"/>
              </w:rPr>
            </w:pPr>
          </w:p>
          <w:p w14:paraId="29662A34" w14:textId="77777777" w:rsidR="000533E4" w:rsidRDefault="000533E4" w:rsidP="00CD363C">
            <w:pPr>
              <w:pStyle w:val="TableParagraph"/>
              <w:ind w:left="142" w:right="113"/>
              <w:jc w:val="both"/>
              <w:rPr>
                <w:b/>
                <w:sz w:val="18"/>
              </w:rPr>
            </w:pPr>
            <w:r>
              <w:rPr>
                <w:b/>
                <w:sz w:val="18"/>
              </w:rPr>
              <w:t>Darījuma apraksts/ Finanšu instrumenta kategorijas nosaukums</w:t>
            </w:r>
          </w:p>
        </w:tc>
        <w:tc>
          <w:tcPr>
            <w:tcW w:w="2408" w:type="dxa"/>
            <w:gridSpan w:val="3"/>
            <w:shd w:val="clear" w:color="auto" w:fill="F1F1F1"/>
          </w:tcPr>
          <w:p w14:paraId="4F6DD845" w14:textId="77777777" w:rsidR="000533E4" w:rsidRDefault="000533E4" w:rsidP="00CD363C">
            <w:pPr>
              <w:pStyle w:val="TableParagraph"/>
              <w:ind w:left="513" w:right="113"/>
              <w:jc w:val="both"/>
              <w:rPr>
                <w:b/>
                <w:sz w:val="18"/>
              </w:rPr>
            </w:pPr>
            <w:r>
              <w:rPr>
                <w:b/>
                <w:sz w:val="18"/>
              </w:rPr>
              <w:t>Pārskata periodā</w:t>
            </w:r>
          </w:p>
        </w:tc>
        <w:tc>
          <w:tcPr>
            <w:tcW w:w="2406" w:type="dxa"/>
            <w:gridSpan w:val="4"/>
            <w:shd w:val="clear" w:color="auto" w:fill="F1F1F1"/>
          </w:tcPr>
          <w:p w14:paraId="440E9E91" w14:textId="77777777" w:rsidR="000533E4" w:rsidRDefault="000533E4" w:rsidP="00CD363C">
            <w:pPr>
              <w:pStyle w:val="TableParagraph"/>
              <w:ind w:left="881" w:right="113" w:hanging="498"/>
              <w:jc w:val="both"/>
              <w:rPr>
                <w:b/>
                <w:sz w:val="18"/>
              </w:rPr>
            </w:pPr>
            <w:r>
              <w:rPr>
                <w:b/>
                <w:sz w:val="18"/>
              </w:rPr>
              <w:t>Iepriekšējā pārskata periodā</w:t>
            </w:r>
          </w:p>
        </w:tc>
        <w:tc>
          <w:tcPr>
            <w:tcW w:w="1274" w:type="dxa"/>
            <w:vMerge w:val="restart"/>
            <w:shd w:val="clear" w:color="auto" w:fill="F1F1F1"/>
          </w:tcPr>
          <w:p w14:paraId="7FE5EFCC" w14:textId="77777777" w:rsidR="000533E4" w:rsidRDefault="000533E4" w:rsidP="00CD363C">
            <w:pPr>
              <w:pStyle w:val="TableParagraph"/>
              <w:ind w:right="113"/>
              <w:jc w:val="both"/>
              <w:rPr>
                <w:b/>
                <w:sz w:val="20"/>
              </w:rPr>
            </w:pPr>
          </w:p>
          <w:p w14:paraId="332D5E1F" w14:textId="77777777" w:rsidR="000533E4" w:rsidRDefault="000533E4" w:rsidP="00CD363C">
            <w:pPr>
              <w:pStyle w:val="TableParagraph"/>
              <w:ind w:right="113"/>
              <w:jc w:val="both"/>
              <w:rPr>
                <w:b/>
                <w:sz w:val="20"/>
              </w:rPr>
            </w:pPr>
          </w:p>
          <w:p w14:paraId="6E808C39" w14:textId="77777777" w:rsidR="000533E4" w:rsidRDefault="000533E4" w:rsidP="00CD363C">
            <w:pPr>
              <w:pStyle w:val="TableParagraph"/>
              <w:ind w:right="113"/>
              <w:jc w:val="both"/>
              <w:rPr>
                <w:b/>
                <w:sz w:val="20"/>
              </w:rPr>
            </w:pPr>
          </w:p>
          <w:p w14:paraId="5490530D" w14:textId="77777777" w:rsidR="000533E4" w:rsidRDefault="000533E4" w:rsidP="00CD363C">
            <w:pPr>
              <w:pStyle w:val="TableParagraph"/>
              <w:ind w:left="119" w:right="113" w:firstLine="43"/>
              <w:jc w:val="both"/>
              <w:rPr>
                <w:b/>
                <w:sz w:val="18"/>
              </w:rPr>
            </w:pPr>
            <w:r>
              <w:rPr>
                <w:b/>
                <w:sz w:val="18"/>
              </w:rPr>
              <w:t>Atsauces uz attiecīgajiem piemēriem</w:t>
            </w:r>
          </w:p>
        </w:tc>
      </w:tr>
      <w:tr w:rsidR="000533E4" w14:paraId="65641229" w14:textId="77777777" w:rsidTr="00FF1C69">
        <w:trPr>
          <w:trHeight w:val="1705"/>
        </w:trPr>
        <w:tc>
          <w:tcPr>
            <w:tcW w:w="703" w:type="dxa"/>
            <w:vMerge/>
            <w:tcBorders>
              <w:top w:val="nil"/>
            </w:tcBorders>
            <w:shd w:val="clear" w:color="auto" w:fill="F1F1F1"/>
          </w:tcPr>
          <w:p w14:paraId="05288189" w14:textId="77777777" w:rsidR="000533E4" w:rsidRDefault="000533E4" w:rsidP="00CD363C">
            <w:pPr>
              <w:spacing w:after="0" w:line="240" w:lineRule="auto"/>
              <w:ind w:right="113"/>
              <w:jc w:val="both"/>
              <w:rPr>
                <w:sz w:val="2"/>
                <w:szCs w:val="2"/>
              </w:rPr>
            </w:pPr>
          </w:p>
        </w:tc>
        <w:tc>
          <w:tcPr>
            <w:tcW w:w="2554" w:type="dxa"/>
            <w:vMerge/>
            <w:tcBorders>
              <w:top w:val="nil"/>
            </w:tcBorders>
            <w:shd w:val="clear" w:color="auto" w:fill="F1F1F1"/>
          </w:tcPr>
          <w:p w14:paraId="7DFE1432" w14:textId="77777777" w:rsidR="000533E4" w:rsidRDefault="000533E4" w:rsidP="00CD363C">
            <w:pPr>
              <w:spacing w:after="0" w:line="240" w:lineRule="auto"/>
              <w:ind w:right="113"/>
              <w:jc w:val="both"/>
              <w:rPr>
                <w:sz w:val="2"/>
                <w:szCs w:val="2"/>
              </w:rPr>
            </w:pPr>
          </w:p>
        </w:tc>
        <w:tc>
          <w:tcPr>
            <w:tcW w:w="566" w:type="dxa"/>
            <w:shd w:val="clear" w:color="auto" w:fill="F1F1F1"/>
            <w:textDirection w:val="btLr"/>
          </w:tcPr>
          <w:p w14:paraId="1759C18C" w14:textId="77777777" w:rsidR="000533E4" w:rsidRDefault="000533E4" w:rsidP="00CD363C">
            <w:pPr>
              <w:pStyle w:val="TableParagraph"/>
              <w:ind w:right="113"/>
              <w:jc w:val="both"/>
              <w:rPr>
                <w:b/>
                <w:sz w:val="18"/>
              </w:rPr>
            </w:pPr>
            <w:r>
              <w:rPr>
                <w:b/>
                <w:sz w:val="18"/>
              </w:rPr>
              <w:t>Atzīts ieņēmumos (+)</w:t>
            </w:r>
          </w:p>
          <w:p w14:paraId="6962C33E" w14:textId="77777777" w:rsidR="000533E4" w:rsidRDefault="000533E4" w:rsidP="00CD363C">
            <w:pPr>
              <w:pStyle w:val="TableParagraph"/>
              <w:ind w:right="113"/>
              <w:jc w:val="both"/>
              <w:rPr>
                <w:b/>
                <w:sz w:val="18"/>
              </w:rPr>
            </w:pPr>
            <w:r>
              <w:rPr>
                <w:b/>
                <w:sz w:val="18"/>
              </w:rPr>
              <w:t>/ izdevumos (-)</w:t>
            </w:r>
          </w:p>
        </w:tc>
        <w:tc>
          <w:tcPr>
            <w:tcW w:w="991" w:type="dxa"/>
            <w:shd w:val="clear" w:color="auto" w:fill="F1F1F1"/>
            <w:textDirection w:val="btLr"/>
          </w:tcPr>
          <w:p w14:paraId="0CE901E2" w14:textId="77777777" w:rsidR="000533E4" w:rsidRDefault="000533E4" w:rsidP="00CD363C">
            <w:pPr>
              <w:pStyle w:val="TableParagraph"/>
              <w:ind w:right="113"/>
              <w:jc w:val="both"/>
              <w:rPr>
                <w:b/>
                <w:sz w:val="20"/>
              </w:rPr>
            </w:pPr>
          </w:p>
          <w:p w14:paraId="61FA0534" w14:textId="77777777" w:rsidR="000533E4" w:rsidRDefault="000533E4" w:rsidP="00CD363C">
            <w:pPr>
              <w:pStyle w:val="TableParagraph"/>
              <w:ind w:left="62" w:right="113"/>
              <w:jc w:val="both"/>
              <w:rPr>
                <w:b/>
                <w:sz w:val="18"/>
              </w:rPr>
            </w:pPr>
            <w:r>
              <w:rPr>
                <w:b/>
                <w:sz w:val="18"/>
              </w:rPr>
              <w:t>Atzīts rezervēs (+;-)</w:t>
            </w:r>
          </w:p>
        </w:tc>
        <w:tc>
          <w:tcPr>
            <w:tcW w:w="851" w:type="dxa"/>
            <w:shd w:val="clear" w:color="auto" w:fill="F1F1F1"/>
            <w:textDirection w:val="btLr"/>
          </w:tcPr>
          <w:p w14:paraId="4FA68E61" w14:textId="77777777" w:rsidR="000533E4" w:rsidRDefault="000533E4" w:rsidP="00CD363C">
            <w:pPr>
              <w:pStyle w:val="TableParagraph"/>
              <w:ind w:right="113"/>
              <w:jc w:val="both"/>
              <w:rPr>
                <w:b/>
                <w:sz w:val="28"/>
              </w:rPr>
            </w:pPr>
          </w:p>
          <w:p w14:paraId="43B10E0F" w14:textId="77777777" w:rsidR="000533E4" w:rsidRDefault="000533E4" w:rsidP="00CD363C">
            <w:pPr>
              <w:pStyle w:val="TableParagraph"/>
              <w:ind w:left="366" w:right="113"/>
              <w:jc w:val="both"/>
              <w:rPr>
                <w:b/>
                <w:sz w:val="18"/>
              </w:rPr>
            </w:pPr>
            <w:r>
              <w:rPr>
                <w:b/>
                <w:sz w:val="18"/>
              </w:rPr>
              <w:t>Kopā(1.+2.)</w:t>
            </w:r>
          </w:p>
        </w:tc>
        <w:tc>
          <w:tcPr>
            <w:tcW w:w="565" w:type="dxa"/>
            <w:shd w:val="clear" w:color="auto" w:fill="F1F1F1"/>
            <w:textDirection w:val="btLr"/>
          </w:tcPr>
          <w:p w14:paraId="7A7521B9" w14:textId="77777777" w:rsidR="000533E4" w:rsidRDefault="000533E4" w:rsidP="00CD363C">
            <w:pPr>
              <w:pStyle w:val="TableParagraph"/>
              <w:ind w:right="113"/>
              <w:jc w:val="both"/>
              <w:rPr>
                <w:b/>
                <w:sz w:val="18"/>
              </w:rPr>
            </w:pPr>
            <w:r>
              <w:rPr>
                <w:b/>
                <w:sz w:val="18"/>
              </w:rPr>
              <w:t>Atzīts ieņēmumos (+)</w:t>
            </w:r>
          </w:p>
          <w:p w14:paraId="7A9BB2F6" w14:textId="77777777" w:rsidR="000533E4" w:rsidRDefault="000533E4" w:rsidP="00CD363C">
            <w:pPr>
              <w:pStyle w:val="TableParagraph"/>
              <w:ind w:right="113"/>
              <w:jc w:val="both"/>
              <w:rPr>
                <w:b/>
                <w:sz w:val="18"/>
              </w:rPr>
            </w:pPr>
            <w:r>
              <w:rPr>
                <w:b/>
                <w:sz w:val="18"/>
              </w:rPr>
              <w:t>/ izdevumos (-)</w:t>
            </w:r>
          </w:p>
        </w:tc>
        <w:tc>
          <w:tcPr>
            <w:tcW w:w="566" w:type="dxa"/>
            <w:shd w:val="clear" w:color="auto" w:fill="F1F1F1"/>
            <w:textDirection w:val="btLr"/>
          </w:tcPr>
          <w:p w14:paraId="422D71D7" w14:textId="77777777" w:rsidR="000533E4" w:rsidRDefault="000533E4" w:rsidP="00CD363C">
            <w:pPr>
              <w:pStyle w:val="TableParagraph"/>
              <w:ind w:left="652" w:right="113" w:hanging="396"/>
              <w:jc w:val="both"/>
              <w:rPr>
                <w:b/>
                <w:sz w:val="18"/>
              </w:rPr>
            </w:pPr>
            <w:r>
              <w:rPr>
                <w:b/>
                <w:sz w:val="18"/>
              </w:rPr>
              <w:t>Atzīts rezervēs (+;-)</w:t>
            </w:r>
          </w:p>
        </w:tc>
        <w:tc>
          <w:tcPr>
            <w:tcW w:w="851" w:type="dxa"/>
            <w:shd w:val="clear" w:color="auto" w:fill="F1F1F1"/>
            <w:textDirection w:val="btLr"/>
          </w:tcPr>
          <w:p w14:paraId="6475234A" w14:textId="77777777" w:rsidR="000533E4" w:rsidRDefault="000533E4" w:rsidP="00CD363C">
            <w:pPr>
              <w:pStyle w:val="TableParagraph"/>
              <w:ind w:right="113"/>
              <w:jc w:val="both"/>
              <w:rPr>
                <w:b/>
                <w:sz w:val="18"/>
              </w:rPr>
            </w:pPr>
            <w:r>
              <w:rPr>
                <w:b/>
                <w:sz w:val="18"/>
              </w:rPr>
              <w:t>Atzīts pārskata gada budžeta izpildes rezultātā (+;-)</w:t>
            </w:r>
          </w:p>
        </w:tc>
        <w:tc>
          <w:tcPr>
            <w:tcW w:w="424" w:type="dxa"/>
            <w:shd w:val="clear" w:color="auto" w:fill="F1F1F1"/>
            <w:textDirection w:val="btLr"/>
          </w:tcPr>
          <w:p w14:paraId="7CD7B415" w14:textId="77777777" w:rsidR="000533E4" w:rsidRDefault="000533E4" w:rsidP="00CD363C">
            <w:pPr>
              <w:pStyle w:val="TableParagraph"/>
              <w:ind w:left="225" w:right="113"/>
              <w:jc w:val="both"/>
              <w:rPr>
                <w:b/>
                <w:sz w:val="18"/>
              </w:rPr>
            </w:pPr>
            <w:r>
              <w:rPr>
                <w:b/>
                <w:sz w:val="18"/>
              </w:rPr>
              <w:t>Kopā (4.+5.+6.)</w:t>
            </w:r>
          </w:p>
        </w:tc>
        <w:tc>
          <w:tcPr>
            <w:tcW w:w="1274" w:type="dxa"/>
            <w:vMerge/>
            <w:tcBorders>
              <w:top w:val="nil"/>
            </w:tcBorders>
            <w:shd w:val="clear" w:color="auto" w:fill="F1F1F1"/>
          </w:tcPr>
          <w:p w14:paraId="7A248089" w14:textId="77777777" w:rsidR="000533E4" w:rsidRDefault="000533E4" w:rsidP="00CD363C">
            <w:pPr>
              <w:spacing w:after="0" w:line="240" w:lineRule="auto"/>
              <w:ind w:right="113"/>
              <w:jc w:val="both"/>
              <w:rPr>
                <w:sz w:val="2"/>
                <w:szCs w:val="2"/>
              </w:rPr>
            </w:pPr>
          </w:p>
        </w:tc>
      </w:tr>
      <w:tr w:rsidR="000533E4" w14:paraId="03F4B7C7" w14:textId="77777777" w:rsidTr="00FF1C69">
        <w:trPr>
          <w:trHeight w:val="306"/>
        </w:trPr>
        <w:tc>
          <w:tcPr>
            <w:tcW w:w="703" w:type="dxa"/>
            <w:shd w:val="clear" w:color="auto" w:fill="F1F1F1"/>
          </w:tcPr>
          <w:p w14:paraId="4B199B9D" w14:textId="77777777" w:rsidR="000533E4" w:rsidRDefault="000533E4" w:rsidP="00CD363C">
            <w:pPr>
              <w:pStyle w:val="TableParagraph"/>
              <w:ind w:left="340" w:right="113"/>
              <w:jc w:val="both"/>
              <w:rPr>
                <w:b/>
                <w:sz w:val="18"/>
              </w:rPr>
            </w:pPr>
            <w:r>
              <w:rPr>
                <w:b/>
                <w:w w:val="99"/>
                <w:sz w:val="18"/>
              </w:rPr>
              <w:t>A</w:t>
            </w:r>
          </w:p>
        </w:tc>
        <w:tc>
          <w:tcPr>
            <w:tcW w:w="2554" w:type="dxa"/>
            <w:shd w:val="clear" w:color="auto" w:fill="F1F1F1"/>
          </w:tcPr>
          <w:p w14:paraId="3073C561" w14:textId="77777777" w:rsidR="000533E4" w:rsidRDefault="000533E4" w:rsidP="00CD363C">
            <w:pPr>
              <w:pStyle w:val="TableParagraph"/>
              <w:ind w:right="113"/>
              <w:jc w:val="both"/>
              <w:rPr>
                <w:b/>
                <w:sz w:val="18"/>
              </w:rPr>
            </w:pPr>
            <w:r>
              <w:rPr>
                <w:b/>
                <w:sz w:val="18"/>
              </w:rPr>
              <w:t>B</w:t>
            </w:r>
          </w:p>
        </w:tc>
        <w:tc>
          <w:tcPr>
            <w:tcW w:w="566" w:type="dxa"/>
            <w:shd w:val="clear" w:color="auto" w:fill="F1F1F1"/>
          </w:tcPr>
          <w:p w14:paraId="6467F0EE" w14:textId="77777777" w:rsidR="000533E4" w:rsidRDefault="000533E4" w:rsidP="00CD363C">
            <w:pPr>
              <w:pStyle w:val="TableParagraph"/>
              <w:ind w:right="113"/>
              <w:jc w:val="both"/>
              <w:rPr>
                <w:b/>
                <w:sz w:val="18"/>
              </w:rPr>
            </w:pPr>
            <w:r>
              <w:rPr>
                <w:b/>
                <w:sz w:val="18"/>
              </w:rPr>
              <w:t>1</w:t>
            </w:r>
          </w:p>
        </w:tc>
        <w:tc>
          <w:tcPr>
            <w:tcW w:w="991" w:type="dxa"/>
            <w:shd w:val="clear" w:color="auto" w:fill="F1F1F1"/>
          </w:tcPr>
          <w:p w14:paraId="0292BA60" w14:textId="77777777" w:rsidR="000533E4" w:rsidRDefault="000533E4" w:rsidP="00CD363C">
            <w:pPr>
              <w:pStyle w:val="TableParagraph"/>
              <w:ind w:right="113"/>
              <w:jc w:val="both"/>
              <w:rPr>
                <w:b/>
                <w:sz w:val="18"/>
              </w:rPr>
            </w:pPr>
            <w:r>
              <w:rPr>
                <w:b/>
                <w:sz w:val="18"/>
              </w:rPr>
              <w:t>2</w:t>
            </w:r>
          </w:p>
        </w:tc>
        <w:tc>
          <w:tcPr>
            <w:tcW w:w="851" w:type="dxa"/>
            <w:shd w:val="clear" w:color="auto" w:fill="F1F1F1"/>
          </w:tcPr>
          <w:p w14:paraId="5204952B" w14:textId="77777777" w:rsidR="000533E4" w:rsidRDefault="000533E4" w:rsidP="00CD363C">
            <w:pPr>
              <w:pStyle w:val="TableParagraph"/>
              <w:ind w:right="113"/>
              <w:jc w:val="both"/>
              <w:rPr>
                <w:b/>
                <w:sz w:val="18"/>
              </w:rPr>
            </w:pPr>
            <w:r>
              <w:rPr>
                <w:b/>
                <w:sz w:val="18"/>
              </w:rPr>
              <w:t>3</w:t>
            </w:r>
          </w:p>
        </w:tc>
        <w:tc>
          <w:tcPr>
            <w:tcW w:w="565" w:type="dxa"/>
            <w:shd w:val="clear" w:color="auto" w:fill="F1F1F1"/>
          </w:tcPr>
          <w:p w14:paraId="14DB777B" w14:textId="77777777" w:rsidR="000533E4" w:rsidRDefault="000533E4" w:rsidP="00CD363C">
            <w:pPr>
              <w:pStyle w:val="TableParagraph"/>
              <w:ind w:left="208" w:right="113"/>
              <w:jc w:val="both"/>
              <w:rPr>
                <w:b/>
                <w:sz w:val="18"/>
              </w:rPr>
            </w:pPr>
            <w:r>
              <w:rPr>
                <w:b/>
                <w:sz w:val="18"/>
              </w:rPr>
              <w:t>4</w:t>
            </w:r>
          </w:p>
        </w:tc>
        <w:tc>
          <w:tcPr>
            <w:tcW w:w="566" w:type="dxa"/>
            <w:shd w:val="clear" w:color="auto" w:fill="F1F1F1"/>
          </w:tcPr>
          <w:p w14:paraId="42836088" w14:textId="77777777" w:rsidR="000533E4" w:rsidRDefault="000533E4" w:rsidP="00CD363C">
            <w:pPr>
              <w:pStyle w:val="TableParagraph"/>
              <w:ind w:left="212" w:right="113"/>
              <w:jc w:val="both"/>
              <w:rPr>
                <w:b/>
                <w:sz w:val="18"/>
              </w:rPr>
            </w:pPr>
            <w:r>
              <w:rPr>
                <w:b/>
                <w:sz w:val="18"/>
              </w:rPr>
              <w:t>5</w:t>
            </w:r>
          </w:p>
        </w:tc>
        <w:tc>
          <w:tcPr>
            <w:tcW w:w="851" w:type="dxa"/>
            <w:shd w:val="clear" w:color="auto" w:fill="F1F1F1"/>
          </w:tcPr>
          <w:p w14:paraId="451B19BF" w14:textId="77777777" w:rsidR="000533E4" w:rsidRDefault="000533E4" w:rsidP="00CD363C">
            <w:pPr>
              <w:pStyle w:val="TableParagraph"/>
              <w:ind w:left="354" w:right="113"/>
              <w:jc w:val="both"/>
              <w:rPr>
                <w:b/>
                <w:sz w:val="18"/>
              </w:rPr>
            </w:pPr>
            <w:r>
              <w:rPr>
                <w:b/>
                <w:sz w:val="18"/>
              </w:rPr>
              <w:t>6</w:t>
            </w:r>
          </w:p>
        </w:tc>
        <w:tc>
          <w:tcPr>
            <w:tcW w:w="424" w:type="dxa"/>
            <w:shd w:val="clear" w:color="auto" w:fill="F1F1F1"/>
          </w:tcPr>
          <w:p w14:paraId="3BB79425" w14:textId="77777777" w:rsidR="000533E4" w:rsidRDefault="000533E4" w:rsidP="00CD363C">
            <w:pPr>
              <w:pStyle w:val="TableParagraph"/>
              <w:ind w:left="139" w:right="113"/>
              <w:jc w:val="both"/>
              <w:rPr>
                <w:b/>
                <w:sz w:val="18"/>
              </w:rPr>
            </w:pPr>
            <w:r>
              <w:rPr>
                <w:b/>
                <w:sz w:val="18"/>
              </w:rPr>
              <w:t>7</w:t>
            </w:r>
          </w:p>
        </w:tc>
        <w:tc>
          <w:tcPr>
            <w:tcW w:w="1274" w:type="dxa"/>
            <w:shd w:val="clear" w:color="auto" w:fill="F1F1F1"/>
          </w:tcPr>
          <w:p w14:paraId="0CBB2E87" w14:textId="77777777" w:rsidR="000533E4" w:rsidRDefault="000533E4" w:rsidP="00CD363C">
            <w:pPr>
              <w:pStyle w:val="TableParagraph"/>
              <w:ind w:right="113"/>
              <w:jc w:val="both"/>
              <w:rPr>
                <w:b/>
                <w:sz w:val="18"/>
              </w:rPr>
            </w:pPr>
            <w:r>
              <w:rPr>
                <w:b/>
                <w:sz w:val="18"/>
              </w:rPr>
              <w:t>8</w:t>
            </w:r>
          </w:p>
        </w:tc>
      </w:tr>
      <w:tr w:rsidR="000533E4" w14:paraId="19EEBADA" w14:textId="77777777" w:rsidTr="00FF1C69">
        <w:trPr>
          <w:trHeight w:val="306"/>
        </w:trPr>
        <w:tc>
          <w:tcPr>
            <w:tcW w:w="703" w:type="dxa"/>
          </w:tcPr>
          <w:p w14:paraId="5E3B12C0" w14:textId="77777777" w:rsidR="000533E4" w:rsidRDefault="000533E4" w:rsidP="00CD363C">
            <w:pPr>
              <w:pStyle w:val="TableParagraph"/>
              <w:ind w:left="107" w:right="113"/>
              <w:jc w:val="both"/>
              <w:rPr>
                <w:sz w:val="20"/>
              </w:rPr>
            </w:pPr>
            <w:r>
              <w:rPr>
                <w:sz w:val="20"/>
              </w:rPr>
              <w:t>NETO</w:t>
            </w:r>
          </w:p>
        </w:tc>
        <w:tc>
          <w:tcPr>
            <w:tcW w:w="2554" w:type="dxa"/>
          </w:tcPr>
          <w:p w14:paraId="1B4B3834" w14:textId="77777777" w:rsidR="000533E4" w:rsidRDefault="000533E4" w:rsidP="00CD363C">
            <w:pPr>
              <w:pStyle w:val="TableParagraph"/>
              <w:ind w:right="113"/>
              <w:jc w:val="both"/>
              <w:rPr>
                <w:sz w:val="20"/>
              </w:rPr>
            </w:pPr>
            <w:r>
              <w:rPr>
                <w:sz w:val="20"/>
              </w:rPr>
              <w:t>Neto rezultāts:</w:t>
            </w:r>
          </w:p>
        </w:tc>
        <w:tc>
          <w:tcPr>
            <w:tcW w:w="566" w:type="dxa"/>
          </w:tcPr>
          <w:p w14:paraId="2FB7DE4F" w14:textId="77777777" w:rsidR="000533E4" w:rsidRDefault="000533E4" w:rsidP="00CD363C">
            <w:pPr>
              <w:pStyle w:val="TableParagraph"/>
              <w:ind w:left="34" w:right="113"/>
              <w:jc w:val="both"/>
              <w:rPr>
                <w:sz w:val="20"/>
              </w:rPr>
            </w:pPr>
            <w:r>
              <w:rPr>
                <w:sz w:val="20"/>
              </w:rPr>
              <w:t>4-3 B</w:t>
            </w:r>
          </w:p>
        </w:tc>
        <w:tc>
          <w:tcPr>
            <w:tcW w:w="991" w:type="dxa"/>
          </w:tcPr>
          <w:p w14:paraId="3BD8581D" w14:textId="77777777" w:rsidR="000533E4" w:rsidRDefault="000533E4" w:rsidP="00CD363C">
            <w:pPr>
              <w:pStyle w:val="TableParagraph"/>
              <w:ind w:left="97" w:right="113"/>
              <w:jc w:val="both"/>
              <w:rPr>
                <w:b/>
                <w:sz w:val="20"/>
              </w:rPr>
            </w:pPr>
            <w:r>
              <w:rPr>
                <w:b/>
                <w:sz w:val="20"/>
              </w:rPr>
              <w:t>(479)</w:t>
            </w:r>
          </w:p>
        </w:tc>
        <w:tc>
          <w:tcPr>
            <w:tcW w:w="851" w:type="dxa"/>
          </w:tcPr>
          <w:p w14:paraId="75B91B16" w14:textId="77777777" w:rsidR="000533E4" w:rsidRDefault="000533E4" w:rsidP="00CD363C">
            <w:pPr>
              <w:pStyle w:val="TableParagraph"/>
              <w:ind w:left="160" w:right="113"/>
              <w:jc w:val="both"/>
              <w:rPr>
                <w:b/>
                <w:sz w:val="20"/>
              </w:rPr>
            </w:pPr>
            <w:r>
              <w:rPr>
                <w:b/>
                <w:sz w:val="20"/>
              </w:rPr>
              <w:t>(479)</w:t>
            </w:r>
          </w:p>
        </w:tc>
        <w:tc>
          <w:tcPr>
            <w:tcW w:w="565" w:type="dxa"/>
          </w:tcPr>
          <w:p w14:paraId="595110EE" w14:textId="77777777" w:rsidR="000533E4" w:rsidRDefault="000533E4" w:rsidP="00CD363C">
            <w:pPr>
              <w:pStyle w:val="TableParagraph"/>
              <w:ind w:right="113"/>
              <w:jc w:val="both"/>
              <w:rPr>
                <w:sz w:val="18"/>
              </w:rPr>
            </w:pPr>
          </w:p>
        </w:tc>
        <w:tc>
          <w:tcPr>
            <w:tcW w:w="566" w:type="dxa"/>
          </w:tcPr>
          <w:p w14:paraId="160350B5" w14:textId="77777777" w:rsidR="000533E4" w:rsidRDefault="000533E4" w:rsidP="00CD363C">
            <w:pPr>
              <w:pStyle w:val="TableParagraph"/>
              <w:ind w:right="113"/>
              <w:jc w:val="both"/>
              <w:rPr>
                <w:sz w:val="18"/>
              </w:rPr>
            </w:pPr>
          </w:p>
        </w:tc>
        <w:tc>
          <w:tcPr>
            <w:tcW w:w="851" w:type="dxa"/>
          </w:tcPr>
          <w:p w14:paraId="183BE5DB" w14:textId="77777777" w:rsidR="000533E4" w:rsidRDefault="000533E4" w:rsidP="00CD363C">
            <w:pPr>
              <w:pStyle w:val="TableParagraph"/>
              <w:ind w:right="113"/>
              <w:jc w:val="both"/>
              <w:rPr>
                <w:sz w:val="18"/>
              </w:rPr>
            </w:pPr>
          </w:p>
        </w:tc>
        <w:tc>
          <w:tcPr>
            <w:tcW w:w="424" w:type="dxa"/>
          </w:tcPr>
          <w:p w14:paraId="4CEDBB94" w14:textId="77777777" w:rsidR="000533E4" w:rsidRDefault="000533E4" w:rsidP="00CD363C">
            <w:pPr>
              <w:pStyle w:val="TableParagraph"/>
              <w:ind w:right="113"/>
              <w:jc w:val="both"/>
              <w:rPr>
                <w:sz w:val="18"/>
              </w:rPr>
            </w:pPr>
          </w:p>
        </w:tc>
        <w:tc>
          <w:tcPr>
            <w:tcW w:w="1274" w:type="dxa"/>
            <w:shd w:val="clear" w:color="auto" w:fill="EBF3F9"/>
          </w:tcPr>
          <w:p w14:paraId="5741FF5F" w14:textId="77777777" w:rsidR="000533E4" w:rsidRDefault="000533E4" w:rsidP="00CD363C">
            <w:pPr>
              <w:pStyle w:val="TableParagraph"/>
              <w:ind w:left="37" w:right="113"/>
              <w:jc w:val="both"/>
              <w:rPr>
                <w:sz w:val="20"/>
              </w:rPr>
            </w:pPr>
            <w:r>
              <w:rPr>
                <w:sz w:val="20"/>
              </w:rPr>
              <w:t>14.10.</w:t>
            </w:r>
          </w:p>
        </w:tc>
      </w:tr>
      <w:tr w:rsidR="000533E4" w14:paraId="2AC277E6" w14:textId="77777777" w:rsidTr="00FF1C69">
        <w:trPr>
          <w:trHeight w:val="458"/>
        </w:trPr>
        <w:tc>
          <w:tcPr>
            <w:tcW w:w="703" w:type="dxa"/>
          </w:tcPr>
          <w:p w14:paraId="768300C7" w14:textId="77777777" w:rsidR="000533E4" w:rsidRDefault="000533E4" w:rsidP="00CD363C">
            <w:pPr>
              <w:pStyle w:val="TableParagraph"/>
              <w:ind w:left="107" w:right="113"/>
              <w:jc w:val="both"/>
              <w:rPr>
                <w:sz w:val="20"/>
              </w:rPr>
            </w:pPr>
            <w:r>
              <w:rPr>
                <w:sz w:val="20"/>
              </w:rPr>
              <w:t>PP</w:t>
            </w:r>
          </w:p>
        </w:tc>
        <w:tc>
          <w:tcPr>
            <w:tcW w:w="2554" w:type="dxa"/>
          </w:tcPr>
          <w:p w14:paraId="1AC1CC5B" w14:textId="77777777" w:rsidR="000533E4" w:rsidRDefault="000533E4" w:rsidP="00CD363C">
            <w:pPr>
              <w:pStyle w:val="TableParagraph"/>
              <w:ind w:left="107" w:right="113"/>
              <w:jc w:val="both"/>
              <w:rPr>
                <w:sz w:val="20"/>
              </w:rPr>
            </w:pPr>
            <w:r>
              <w:rPr>
                <w:sz w:val="20"/>
              </w:rPr>
              <w:t>Pārdošanai pieejamie</w:t>
            </w:r>
          </w:p>
          <w:p w14:paraId="17C96E7E" w14:textId="77777777" w:rsidR="000533E4" w:rsidRDefault="000533E4" w:rsidP="00CD363C">
            <w:pPr>
              <w:pStyle w:val="TableParagraph"/>
              <w:ind w:left="107" w:right="113"/>
              <w:jc w:val="both"/>
              <w:rPr>
                <w:sz w:val="20"/>
              </w:rPr>
            </w:pPr>
            <w:r>
              <w:rPr>
                <w:sz w:val="20"/>
              </w:rPr>
              <w:t>finanšu aktīvi</w:t>
            </w:r>
          </w:p>
        </w:tc>
        <w:tc>
          <w:tcPr>
            <w:tcW w:w="566" w:type="dxa"/>
          </w:tcPr>
          <w:p w14:paraId="25A08A6D" w14:textId="77777777" w:rsidR="000533E4" w:rsidRDefault="000533E4" w:rsidP="00CD363C">
            <w:pPr>
              <w:pStyle w:val="TableParagraph"/>
              <w:ind w:right="113"/>
              <w:jc w:val="both"/>
              <w:rPr>
                <w:sz w:val="20"/>
              </w:rPr>
            </w:pPr>
            <w:r>
              <w:rPr>
                <w:w w:val="99"/>
                <w:sz w:val="20"/>
              </w:rPr>
              <w:t>-</w:t>
            </w:r>
          </w:p>
        </w:tc>
        <w:tc>
          <w:tcPr>
            <w:tcW w:w="991" w:type="dxa"/>
          </w:tcPr>
          <w:p w14:paraId="1AEB4959" w14:textId="77777777" w:rsidR="000533E4" w:rsidRDefault="000533E4" w:rsidP="00CD363C">
            <w:pPr>
              <w:pStyle w:val="TableParagraph"/>
              <w:ind w:left="96" w:right="113"/>
              <w:jc w:val="both"/>
              <w:rPr>
                <w:sz w:val="20"/>
              </w:rPr>
            </w:pPr>
            <w:r>
              <w:rPr>
                <w:sz w:val="20"/>
              </w:rPr>
              <w:t>(479)</w:t>
            </w:r>
          </w:p>
        </w:tc>
        <w:tc>
          <w:tcPr>
            <w:tcW w:w="851" w:type="dxa"/>
          </w:tcPr>
          <w:p w14:paraId="4F699553" w14:textId="77777777" w:rsidR="000533E4" w:rsidRDefault="000533E4" w:rsidP="00CD363C">
            <w:pPr>
              <w:pStyle w:val="TableParagraph"/>
              <w:ind w:left="160" w:right="113"/>
              <w:jc w:val="both"/>
              <w:rPr>
                <w:sz w:val="20"/>
              </w:rPr>
            </w:pPr>
            <w:r>
              <w:rPr>
                <w:sz w:val="20"/>
              </w:rPr>
              <w:t>(479)</w:t>
            </w:r>
          </w:p>
        </w:tc>
        <w:tc>
          <w:tcPr>
            <w:tcW w:w="565" w:type="dxa"/>
          </w:tcPr>
          <w:p w14:paraId="2092819F" w14:textId="77777777" w:rsidR="000533E4" w:rsidRDefault="000533E4" w:rsidP="00CD363C">
            <w:pPr>
              <w:pStyle w:val="TableParagraph"/>
              <w:ind w:left="220" w:right="113"/>
              <w:jc w:val="both"/>
              <w:rPr>
                <w:sz w:val="20"/>
              </w:rPr>
            </w:pPr>
            <w:r>
              <w:rPr>
                <w:w w:val="99"/>
                <w:sz w:val="20"/>
              </w:rPr>
              <w:t>-</w:t>
            </w:r>
          </w:p>
        </w:tc>
        <w:tc>
          <w:tcPr>
            <w:tcW w:w="566" w:type="dxa"/>
          </w:tcPr>
          <w:p w14:paraId="2F837CE4" w14:textId="77777777" w:rsidR="000533E4" w:rsidRDefault="000533E4" w:rsidP="00CD363C">
            <w:pPr>
              <w:pStyle w:val="TableParagraph"/>
              <w:ind w:left="224" w:right="113"/>
              <w:jc w:val="both"/>
              <w:rPr>
                <w:sz w:val="20"/>
              </w:rPr>
            </w:pPr>
            <w:r>
              <w:rPr>
                <w:w w:val="99"/>
                <w:sz w:val="20"/>
              </w:rPr>
              <w:t>-</w:t>
            </w:r>
          </w:p>
        </w:tc>
        <w:tc>
          <w:tcPr>
            <w:tcW w:w="851" w:type="dxa"/>
          </w:tcPr>
          <w:p w14:paraId="625AFF48" w14:textId="77777777" w:rsidR="000533E4" w:rsidRDefault="000533E4" w:rsidP="00CD363C">
            <w:pPr>
              <w:pStyle w:val="TableParagraph"/>
              <w:ind w:left="366" w:right="113"/>
              <w:jc w:val="both"/>
              <w:rPr>
                <w:sz w:val="20"/>
              </w:rPr>
            </w:pPr>
            <w:r>
              <w:rPr>
                <w:w w:val="99"/>
                <w:sz w:val="20"/>
              </w:rPr>
              <w:t>-</w:t>
            </w:r>
          </w:p>
        </w:tc>
        <w:tc>
          <w:tcPr>
            <w:tcW w:w="424" w:type="dxa"/>
          </w:tcPr>
          <w:p w14:paraId="58005FCC"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2167EB81" w14:textId="77777777" w:rsidR="000533E4" w:rsidRDefault="000533E4" w:rsidP="00CD363C">
            <w:pPr>
              <w:pStyle w:val="TableParagraph"/>
              <w:ind w:left="37" w:right="113"/>
              <w:jc w:val="both"/>
              <w:rPr>
                <w:sz w:val="20"/>
              </w:rPr>
            </w:pPr>
            <w:r>
              <w:rPr>
                <w:sz w:val="20"/>
              </w:rPr>
              <w:t>14.10.</w:t>
            </w:r>
          </w:p>
        </w:tc>
      </w:tr>
      <w:tr w:rsidR="000533E4" w14:paraId="170BEE20" w14:textId="77777777" w:rsidTr="00FF1C69">
        <w:trPr>
          <w:trHeight w:val="606"/>
        </w:trPr>
        <w:tc>
          <w:tcPr>
            <w:tcW w:w="703" w:type="dxa"/>
          </w:tcPr>
          <w:p w14:paraId="017E89B3" w14:textId="77777777" w:rsidR="000533E4" w:rsidRDefault="000533E4" w:rsidP="00CD363C">
            <w:pPr>
              <w:pStyle w:val="TableParagraph"/>
              <w:ind w:left="107" w:right="113"/>
              <w:jc w:val="both"/>
              <w:rPr>
                <w:sz w:val="20"/>
              </w:rPr>
            </w:pPr>
            <w:r>
              <w:rPr>
                <w:sz w:val="20"/>
              </w:rPr>
              <w:t>PVI</w:t>
            </w:r>
          </w:p>
        </w:tc>
        <w:tc>
          <w:tcPr>
            <w:tcW w:w="2554" w:type="dxa"/>
          </w:tcPr>
          <w:p w14:paraId="6E755504" w14:textId="77777777" w:rsidR="000533E4" w:rsidRDefault="000533E4" w:rsidP="00CD363C">
            <w:pPr>
              <w:pStyle w:val="TableParagraph"/>
              <w:tabs>
                <w:tab w:val="left" w:pos="1691"/>
              </w:tabs>
              <w:ind w:left="107" w:right="113" w:firstLine="439"/>
              <w:jc w:val="both"/>
            </w:pPr>
            <w:r>
              <w:t>Patiesās</w:t>
            </w:r>
            <w:r>
              <w:tab/>
            </w:r>
            <w:r>
              <w:rPr>
                <w:spacing w:val="-1"/>
              </w:rPr>
              <w:t xml:space="preserve">vērtības </w:t>
            </w:r>
            <w:r>
              <w:t>izmaiņas</w:t>
            </w:r>
          </w:p>
        </w:tc>
        <w:tc>
          <w:tcPr>
            <w:tcW w:w="566" w:type="dxa"/>
          </w:tcPr>
          <w:p w14:paraId="264B751D" w14:textId="77777777" w:rsidR="000533E4" w:rsidRDefault="000533E4" w:rsidP="00CD363C">
            <w:pPr>
              <w:pStyle w:val="TableParagraph"/>
              <w:ind w:right="113"/>
              <w:jc w:val="both"/>
              <w:rPr>
                <w:sz w:val="20"/>
              </w:rPr>
            </w:pPr>
            <w:r>
              <w:rPr>
                <w:w w:val="99"/>
                <w:sz w:val="20"/>
              </w:rPr>
              <w:t>-</w:t>
            </w:r>
          </w:p>
        </w:tc>
        <w:tc>
          <w:tcPr>
            <w:tcW w:w="991" w:type="dxa"/>
          </w:tcPr>
          <w:p w14:paraId="37D8A5E3" w14:textId="77777777" w:rsidR="000533E4" w:rsidRDefault="000533E4" w:rsidP="00CD363C">
            <w:pPr>
              <w:pStyle w:val="TableParagraph"/>
              <w:ind w:right="113"/>
              <w:jc w:val="both"/>
              <w:rPr>
                <w:sz w:val="20"/>
              </w:rPr>
            </w:pPr>
            <w:r>
              <w:rPr>
                <w:w w:val="99"/>
                <w:sz w:val="20"/>
              </w:rPr>
              <w:t>-</w:t>
            </w:r>
          </w:p>
        </w:tc>
        <w:tc>
          <w:tcPr>
            <w:tcW w:w="851" w:type="dxa"/>
          </w:tcPr>
          <w:p w14:paraId="0D60D2D4" w14:textId="77777777" w:rsidR="000533E4" w:rsidRDefault="000533E4" w:rsidP="00CD363C">
            <w:pPr>
              <w:pStyle w:val="TableParagraph"/>
              <w:ind w:right="113"/>
              <w:jc w:val="both"/>
              <w:rPr>
                <w:sz w:val="20"/>
              </w:rPr>
            </w:pPr>
            <w:r>
              <w:rPr>
                <w:w w:val="99"/>
                <w:sz w:val="20"/>
              </w:rPr>
              <w:t>-</w:t>
            </w:r>
          </w:p>
        </w:tc>
        <w:tc>
          <w:tcPr>
            <w:tcW w:w="565" w:type="dxa"/>
          </w:tcPr>
          <w:p w14:paraId="5684CEEE" w14:textId="77777777" w:rsidR="000533E4" w:rsidRDefault="000533E4" w:rsidP="00CD363C">
            <w:pPr>
              <w:pStyle w:val="TableParagraph"/>
              <w:ind w:left="220" w:right="113"/>
              <w:jc w:val="both"/>
              <w:rPr>
                <w:sz w:val="20"/>
              </w:rPr>
            </w:pPr>
            <w:r>
              <w:rPr>
                <w:w w:val="99"/>
                <w:sz w:val="20"/>
              </w:rPr>
              <w:t>-</w:t>
            </w:r>
          </w:p>
        </w:tc>
        <w:tc>
          <w:tcPr>
            <w:tcW w:w="566" w:type="dxa"/>
          </w:tcPr>
          <w:p w14:paraId="400357FA" w14:textId="77777777" w:rsidR="000533E4" w:rsidRDefault="000533E4" w:rsidP="00CD363C">
            <w:pPr>
              <w:pStyle w:val="TableParagraph"/>
              <w:ind w:left="224" w:right="113"/>
              <w:jc w:val="both"/>
              <w:rPr>
                <w:sz w:val="20"/>
              </w:rPr>
            </w:pPr>
            <w:r>
              <w:rPr>
                <w:w w:val="99"/>
                <w:sz w:val="20"/>
              </w:rPr>
              <w:t>-</w:t>
            </w:r>
          </w:p>
        </w:tc>
        <w:tc>
          <w:tcPr>
            <w:tcW w:w="851" w:type="dxa"/>
          </w:tcPr>
          <w:p w14:paraId="5B52F1A7" w14:textId="77777777" w:rsidR="000533E4" w:rsidRDefault="000533E4" w:rsidP="00CD363C">
            <w:pPr>
              <w:pStyle w:val="TableParagraph"/>
              <w:ind w:left="366" w:right="113"/>
              <w:jc w:val="both"/>
              <w:rPr>
                <w:sz w:val="20"/>
              </w:rPr>
            </w:pPr>
            <w:r>
              <w:rPr>
                <w:w w:val="99"/>
                <w:sz w:val="20"/>
              </w:rPr>
              <w:t>-</w:t>
            </w:r>
          </w:p>
        </w:tc>
        <w:tc>
          <w:tcPr>
            <w:tcW w:w="424" w:type="dxa"/>
          </w:tcPr>
          <w:p w14:paraId="180D79B9"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580370D1" w14:textId="77777777" w:rsidR="000533E4" w:rsidRDefault="000533E4" w:rsidP="00CD363C">
            <w:pPr>
              <w:pStyle w:val="TableParagraph"/>
              <w:ind w:right="113"/>
              <w:jc w:val="both"/>
              <w:rPr>
                <w:sz w:val="20"/>
              </w:rPr>
            </w:pPr>
            <w:r>
              <w:rPr>
                <w:w w:val="99"/>
                <w:sz w:val="20"/>
              </w:rPr>
              <w:t>-</w:t>
            </w:r>
          </w:p>
        </w:tc>
      </w:tr>
      <w:tr w:rsidR="000533E4" w14:paraId="418B6DB5" w14:textId="77777777" w:rsidTr="00FF1C69">
        <w:trPr>
          <w:trHeight w:val="573"/>
        </w:trPr>
        <w:tc>
          <w:tcPr>
            <w:tcW w:w="703" w:type="dxa"/>
          </w:tcPr>
          <w:p w14:paraId="3FBB0031" w14:textId="77777777" w:rsidR="000533E4" w:rsidRDefault="000533E4" w:rsidP="00CD363C">
            <w:pPr>
              <w:pStyle w:val="TableParagraph"/>
              <w:ind w:left="107" w:right="113"/>
              <w:jc w:val="both"/>
              <w:rPr>
                <w:sz w:val="20"/>
              </w:rPr>
            </w:pPr>
            <w:r>
              <w:rPr>
                <w:sz w:val="20"/>
              </w:rPr>
              <w:t>AVK</w:t>
            </w:r>
          </w:p>
        </w:tc>
        <w:tc>
          <w:tcPr>
            <w:tcW w:w="2554" w:type="dxa"/>
          </w:tcPr>
          <w:p w14:paraId="040324FB" w14:textId="77777777" w:rsidR="000533E4" w:rsidRDefault="000533E4" w:rsidP="00CD363C">
            <w:pPr>
              <w:pStyle w:val="TableParagraph"/>
              <w:ind w:left="107" w:right="113"/>
              <w:jc w:val="both"/>
              <w:rPr>
                <w:sz w:val="20"/>
              </w:rPr>
            </w:pPr>
            <w:r>
              <w:rPr>
                <w:sz w:val="20"/>
              </w:rPr>
              <w:t>Ārvalstu valūtas kursa izmaiņas</w:t>
            </w:r>
          </w:p>
        </w:tc>
        <w:tc>
          <w:tcPr>
            <w:tcW w:w="566" w:type="dxa"/>
          </w:tcPr>
          <w:p w14:paraId="07AE681C" w14:textId="77777777" w:rsidR="000533E4" w:rsidRDefault="000533E4" w:rsidP="00CD363C">
            <w:pPr>
              <w:pStyle w:val="TableParagraph"/>
              <w:ind w:right="113"/>
              <w:jc w:val="both"/>
              <w:rPr>
                <w:sz w:val="20"/>
              </w:rPr>
            </w:pPr>
            <w:r>
              <w:rPr>
                <w:w w:val="99"/>
                <w:sz w:val="20"/>
              </w:rPr>
              <w:t>-</w:t>
            </w:r>
          </w:p>
        </w:tc>
        <w:tc>
          <w:tcPr>
            <w:tcW w:w="991" w:type="dxa"/>
          </w:tcPr>
          <w:p w14:paraId="48DCB31E" w14:textId="77777777" w:rsidR="000533E4" w:rsidRDefault="000533E4" w:rsidP="00CD363C">
            <w:pPr>
              <w:pStyle w:val="TableParagraph"/>
              <w:ind w:right="113"/>
              <w:jc w:val="both"/>
              <w:rPr>
                <w:sz w:val="20"/>
              </w:rPr>
            </w:pPr>
            <w:r>
              <w:rPr>
                <w:w w:val="99"/>
                <w:sz w:val="20"/>
              </w:rPr>
              <w:t>-</w:t>
            </w:r>
          </w:p>
        </w:tc>
        <w:tc>
          <w:tcPr>
            <w:tcW w:w="851" w:type="dxa"/>
          </w:tcPr>
          <w:p w14:paraId="55D06189" w14:textId="77777777" w:rsidR="000533E4" w:rsidRDefault="000533E4" w:rsidP="00CD363C">
            <w:pPr>
              <w:pStyle w:val="TableParagraph"/>
              <w:ind w:right="113"/>
              <w:jc w:val="both"/>
              <w:rPr>
                <w:sz w:val="20"/>
              </w:rPr>
            </w:pPr>
            <w:r>
              <w:rPr>
                <w:w w:val="99"/>
                <w:sz w:val="20"/>
              </w:rPr>
              <w:t>-</w:t>
            </w:r>
          </w:p>
        </w:tc>
        <w:tc>
          <w:tcPr>
            <w:tcW w:w="565" w:type="dxa"/>
          </w:tcPr>
          <w:p w14:paraId="363AA43B" w14:textId="77777777" w:rsidR="000533E4" w:rsidRDefault="000533E4" w:rsidP="00CD363C">
            <w:pPr>
              <w:pStyle w:val="TableParagraph"/>
              <w:ind w:left="220" w:right="113"/>
              <w:jc w:val="both"/>
              <w:rPr>
                <w:sz w:val="20"/>
              </w:rPr>
            </w:pPr>
            <w:r>
              <w:rPr>
                <w:w w:val="99"/>
                <w:sz w:val="20"/>
              </w:rPr>
              <w:t>-</w:t>
            </w:r>
          </w:p>
        </w:tc>
        <w:tc>
          <w:tcPr>
            <w:tcW w:w="566" w:type="dxa"/>
          </w:tcPr>
          <w:p w14:paraId="02BB2EA6" w14:textId="77777777" w:rsidR="000533E4" w:rsidRDefault="000533E4" w:rsidP="00CD363C">
            <w:pPr>
              <w:pStyle w:val="TableParagraph"/>
              <w:ind w:left="224" w:right="113"/>
              <w:jc w:val="both"/>
              <w:rPr>
                <w:sz w:val="20"/>
              </w:rPr>
            </w:pPr>
            <w:r>
              <w:rPr>
                <w:w w:val="99"/>
                <w:sz w:val="20"/>
              </w:rPr>
              <w:t>-</w:t>
            </w:r>
          </w:p>
        </w:tc>
        <w:tc>
          <w:tcPr>
            <w:tcW w:w="851" w:type="dxa"/>
          </w:tcPr>
          <w:p w14:paraId="61F94728" w14:textId="77777777" w:rsidR="000533E4" w:rsidRDefault="000533E4" w:rsidP="00CD363C">
            <w:pPr>
              <w:pStyle w:val="TableParagraph"/>
              <w:ind w:left="366" w:right="113"/>
              <w:jc w:val="both"/>
              <w:rPr>
                <w:sz w:val="20"/>
              </w:rPr>
            </w:pPr>
            <w:r>
              <w:rPr>
                <w:w w:val="99"/>
                <w:sz w:val="20"/>
              </w:rPr>
              <w:t>-</w:t>
            </w:r>
          </w:p>
        </w:tc>
        <w:tc>
          <w:tcPr>
            <w:tcW w:w="424" w:type="dxa"/>
          </w:tcPr>
          <w:p w14:paraId="332BB3DC"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2E9FBFBC" w14:textId="77777777" w:rsidR="000533E4" w:rsidRDefault="000533E4" w:rsidP="00CD363C">
            <w:pPr>
              <w:pStyle w:val="TableParagraph"/>
              <w:ind w:right="113"/>
              <w:jc w:val="both"/>
              <w:rPr>
                <w:sz w:val="20"/>
              </w:rPr>
            </w:pPr>
            <w:r>
              <w:rPr>
                <w:w w:val="99"/>
                <w:sz w:val="20"/>
              </w:rPr>
              <w:t>-</w:t>
            </w:r>
          </w:p>
        </w:tc>
      </w:tr>
      <w:tr w:rsidR="000533E4" w14:paraId="788931BE" w14:textId="77777777" w:rsidTr="00FF1C69">
        <w:trPr>
          <w:trHeight w:val="460"/>
        </w:trPr>
        <w:tc>
          <w:tcPr>
            <w:tcW w:w="703" w:type="dxa"/>
          </w:tcPr>
          <w:p w14:paraId="1CFC8D80" w14:textId="77777777" w:rsidR="000533E4" w:rsidRDefault="000533E4" w:rsidP="00CD363C">
            <w:pPr>
              <w:pStyle w:val="TableParagraph"/>
              <w:ind w:left="107" w:right="113"/>
              <w:jc w:val="both"/>
              <w:rPr>
                <w:sz w:val="20"/>
              </w:rPr>
            </w:pPr>
            <w:r>
              <w:rPr>
                <w:sz w:val="20"/>
              </w:rPr>
              <w:t>ATS</w:t>
            </w:r>
          </w:p>
        </w:tc>
        <w:tc>
          <w:tcPr>
            <w:tcW w:w="2554" w:type="dxa"/>
          </w:tcPr>
          <w:p w14:paraId="1FCD2BB0" w14:textId="77777777" w:rsidR="000533E4" w:rsidRDefault="000533E4" w:rsidP="00CD363C">
            <w:pPr>
              <w:pStyle w:val="TableParagraph"/>
              <w:ind w:left="107" w:right="113"/>
              <w:jc w:val="both"/>
              <w:rPr>
                <w:sz w:val="20"/>
              </w:rPr>
            </w:pPr>
            <w:r>
              <w:rPr>
                <w:sz w:val="20"/>
              </w:rPr>
              <w:t>Atsavināšana un izslēgšana</w:t>
            </w:r>
          </w:p>
          <w:p w14:paraId="1D11BDA8" w14:textId="77777777" w:rsidR="000533E4" w:rsidRDefault="000533E4" w:rsidP="00CD363C">
            <w:pPr>
              <w:pStyle w:val="TableParagraph"/>
              <w:ind w:left="107" w:right="113"/>
              <w:jc w:val="both"/>
              <w:rPr>
                <w:sz w:val="20"/>
              </w:rPr>
            </w:pPr>
            <w:r>
              <w:rPr>
                <w:sz w:val="20"/>
              </w:rPr>
              <w:t>no uzskaites</w:t>
            </w:r>
          </w:p>
        </w:tc>
        <w:tc>
          <w:tcPr>
            <w:tcW w:w="566" w:type="dxa"/>
          </w:tcPr>
          <w:p w14:paraId="4CA58AC8" w14:textId="77777777" w:rsidR="000533E4" w:rsidRDefault="000533E4" w:rsidP="00CD363C">
            <w:pPr>
              <w:pStyle w:val="TableParagraph"/>
              <w:ind w:right="113"/>
              <w:jc w:val="both"/>
              <w:rPr>
                <w:sz w:val="20"/>
              </w:rPr>
            </w:pPr>
            <w:r>
              <w:rPr>
                <w:w w:val="99"/>
                <w:sz w:val="20"/>
              </w:rPr>
              <w:t>-</w:t>
            </w:r>
          </w:p>
        </w:tc>
        <w:tc>
          <w:tcPr>
            <w:tcW w:w="991" w:type="dxa"/>
          </w:tcPr>
          <w:p w14:paraId="05C9EFB4" w14:textId="77777777" w:rsidR="000533E4" w:rsidRDefault="000533E4" w:rsidP="00CD363C">
            <w:pPr>
              <w:pStyle w:val="TableParagraph"/>
              <w:ind w:right="113"/>
              <w:jc w:val="both"/>
              <w:rPr>
                <w:sz w:val="20"/>
              </w:rPr>
            </w:pPr>
            <w:r>
              <w:rPr>
                <w:w w:val="99"/>
                <w:sz w:val="20"/>
              </w:rPr>
              <w:t>-</w:t>
            </w:r>
          </w:p>
        </w:tc>
        <w:tc>
          <w:tcPr>
            <w:tcW w:w="851" w:type="dxa"/>
          </w:tcPr>
          <w:p w14:paraId="2EFD8616" w14:textId="77777777" w:rsidR="000533E4" w:rsidRDefault="000533E4" w:rsidP="00CD363C">
            <w:pPr>
              <w:pStyle w:val="TableParagraph"/>
              <w:ind w:right="113"/>
              <w:jc w:val="both"/>
              <w:rPr>
                <w:sz w:val="20"/>
              </w:rPr>
            </w:pPr>
            <w:r>
              <w:rPr>
                <w:w w:val="99"/>
                <w:sz w:val="20"/>
              </w:rPr>
              <w:t>-</w:t>
            </w:r>
          </w:p>
        </w:tc>
        <w:tc>
          <w:tcPr>
            <w:tcW w:w="565" w:type="dxa"/>
          </w:tcPr>
          <w:p w14:paraId="4F0DCE96" w14:textId="77777777" w:rsidR="000533E4" w:rsidRDefault="000533E4" w:rsidP="00CD363C">
            <w:pPr>
              <w:pStyle w:val="TableParagraph"/>
              <w:ind w:left="220" w:right="113"/>
              <w:jc w:val="both"/>
              <w:rPr>
                <w:sz w:val="20"/>
              </w:rPr>
            </w:pPr>
            <w:r>
              <w:rPr>
                <w:w w:val="99"/>
                <w:sz w:val="20"/>
              </w:rPr>
              <w:t>-</w:t>
            </w:r>
          </w:p>
        </w:tc>
        <w:tc>
          <w:tcPr>
            <w:tcW w:w="566" w:type="dxa"/>
          </w:tcPr>
          <w:p w14:paraId="5FBB2D1A" w14:textId="77777777" w:rsidR="000533E4" w:rsidRDefault="000533E4" w:rsidP="00CD363C">
            <w:pPr>
              <w:pStyle w:val="TableParagraph"/>
              <w:ind w:left="224" w:right="113"/>
              <w:jc w:val="both"/>
              <w:rPr>
                <w:sz w:val="20"/>
              </w:rPr>
            </w:pPr>
            <w:r>
              <w:rPr>
                <w:w w:val="99"/>
                <w:sz w:val="20"/>
              </w:rPr>
              <w:t>-</w:t>
            </w:r>
          </w:p>
        </w:tc>
        <w:tc>
          <w:tcPr>
            <w:tcW w:w="851" w:type="dxa"/>
          </w:tcPr>
          <w:p w14:paraId="2ABE2BC4" w14:textId="77777777" w:rsidR="000533E4" w:rsidRDefault="000533E4" w:rsidP="00CD363C">
            <w:pPr>
              <w:pStyle w:val="TableParagraph"/>
              <w:ind w:left="366" w:right="113"/>
              <w:jc w:val="both"/>
              <w:rPr>
                <w:sz w:val="20"/>
              </w:rPr>
            </w:pPr>
            <w:r>
              <w:rPr>
                <w:w w:val="99"/>
                <w:sz w:val="20"/>
              </w:rPr>
              <w:t>-</w:t>
            </w:r>
          </w:p>
        </w:tc>
        <w:tc>
          <w:tcPr>
            <w:tcW w:w="424" w:type="dxa"/>
          </w:tcPr>
          <w:p w14:paraId="5CA1D891"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47FE0EC3" w14:textId="77777777" w:rsidR="000533E4" w:rsidRDefault="000533E4" w:rsidP="00CD363C">
            <w:pPr>
              <w:pStyle w:val="TableParagraph"/>
              <w:ind w:right="113"/>
              <w:jc w:val="both"/>
              <w:rPr>
                <w:sz w:val="20"/>
              </w:rPr>
            </w:pPr>
            <w:r>
              <w:rPr>
                <w:w w:val="99"/>
                <w:sz w:val="20"/>
              </w:rPr>
              <w:t>-</w:t>
            </w:r>
          </w:p>
        </w:tc>
      </w:tr>
      <w:tr w:rsidR="000533E4" w14:paraId="7620E2AA" w14:textId="77777777" w:rsidTr="00FF1C69">
        <w:trPr>
          <w:trHeight w:val="460"/>
        </w:trPr>
        <w:tc>
          <w:tcPr>
            <w:tcW w:w="703" w:type="dxa"/>
          </w:tcPr>
          <w:p w14:paraId="42463D3C" w14:textId="77777777" w:rsidR="000533E4" w:rsidRDefault="000533E4" w:rsidP="00CD363C">
            <w:pPr>
              <w:pStyle w:val="TableParagraph"/>
              <w:ind w:left="107" w:right="113"/>
              <w:jc w:val="both"/>
              <w:rPr>
                <w:sz w:val="20"/>
              </w:rPr>
            </w:pPr>
            <w:r>
              <w:rPr>
                <w:sz w:val="20"/>
              </w:rPr>
              <w:t>PARK</w:t>
            </w:r>
          </w:p>
        </w:tc>
        <w:tc>
          <w:tcPr>
            <w:tcW w:w="2554" w:type="dxa"/>
          </w:tcPr>
          <w:p w14:paraId="1BA80057" w14:textId="77777777" w:rsidR="000533E4" w:rsidRDefault="000533E4" w:rsidP="00CD363C">
            <w:pPr>
              <w:pStyle w:val="TableParagraph"/>
              <w:ind w:left="107" w:right="113"/>
              <w:jc w:val="both"/>
              <w:rPr>
                <w:sz w:val="20"/>
              </w:rPr>
            </w:pPr>
            <w:r>
              <w:rPr>
                <w:sz w:val="20"/>
              </w:rPr>
              <w:t>Pārklasifikācija no/ uz citu</w:t>
            </w:r>
          </w:p>
          <w:p w14:paraId="1721BF68" w14:textId="77777777" w:rsidR="000533E4" w:rsidRDefault="000533E4" w:rsidP="00CD363C">
            <w:pPr>
              <w:pStyle w:val="TableParagraph"/>
              <w:ind w:left="107" w:right="113"/>
              <w:jc w:val="both"/>
              <w:rPr>
                <w:sz w:val="20"/>
              </w:rPr>
            </w:pPr>
            <w:r>
              <w:rPr>
                <w:sz w:val="20"/>
              </w:rPr>
              <w:t>kategoriju</w:t>
            </w:r>
          </w:p>
        </w:tc>
        <w:tc>
          <w:tcPr>
            <w:tcW w:w="566" w:type="dxa"/>
          </w:tcPr>
          <w:p w14:paraId="04B8BC4C" w14:textId="77777777" w:rsidR="000533E4" w:rsidRDefault="000533E4" w:rsidP="00CD363C">
            <w:pPr>
              <w:pStyle w:val="TableParagraph"/>
              <w:ind w:right="113"/>
              <w:jc w:val="both"/>
              <w:rPr>
                <w:sz w:val="20"/>
              </w:rPr>
            </w:pPr>
            <w:r>
              <w:rPr>
                <w:w w:val="99"/>
                <w:sz w:val="20"/>
              </w:rPr>
              <w:t>-</w:t>
            </w:r>
          </w:p>
        </w:tc>
        <w:tc>
          <w:tcPr>
            <w:tcW w:w="991" w:type="dxa"/>
          </w:tcPr>
          <w:p w14:paraId="3E1C55F9" w14:textId="77777777" w:rsidR="000533E4" w:rsidRDefault="000533E4" w:rsidP="00CD363C">
            <w:pPr>
              <w:pStyle w:val="TableParagraph"/>
              <w:ind w:left="97" w:right="113"/>
              <w:jc w:val="both"/>
              <w:rPr>
                <w:sz w:val="20"/>
              </w:rPr>
            </w:pPr>
            <w:r>
              <w:rPr>
                <w:sz w:val="20"/>
              </w:rPr>
              <w:t>(479)</w:t>
            </w:r>
          </w:p>
        </w:tc>
        <w:tc>
          <w:tcPr>
            <w:tcW w:w="851" w:type="dxa"/>
          </w:tcPr>
          <w:p w14:paraId="601B0B4B" w14:textId="77777777" w:rsidR="000533E4" w:rsidRDefault="000533E4" w:rsidP="00CD363C">
            <w:pPr>
              <w:pStyle w:val="TableParagraph"/>
              <w:ind w:left="160" w:right="113"/>
              <w:jc w:val="both"/>
              <w:rPr>
                <w:sz w:val="20"/>
              </w:rPr>
            </w:pPr>
            <w:r>
              <w:rPr>
                <w:sz w:val="20"/>
              </w:rPr>
              <w:t>(479)</w:t>
            </w:r>
          </w:p>
        </w:tc>
        <w:tc>
          <w:tcPr>
            <w:tcW w:w="565" w:type="dxa"/>
          </w:tcPr>
          <w:p w14:paraId="088D3449" w14:textId="77777777" w:rsidR="000533E4" w:rsidRDefault="000533E4" w:rsidP="00CD363C">
            <w:pPr>
              <w:pStyle w:val="TableParagraph"/>
              <w:ind w:left="220" w:right="113"/>
              <w:jc w:val="both"/>
              <w:rPr>
                <w:sz w:val="20"/>
              </w:rPr>
            </w:pPr>
            <w:r>
              <w:rPr>
                <w:w w:val="99"/>
                <w:sz w:val="20"/>
              </w:rPr>
              <w:t>-</w:t>
            </w:r>
          </w:p>
        </w:tc>
        <w:tc>
          <w:tcPr>
            <w:tcW w:w="566" w:type="dxa"/>
          </w:tcPr>
          <w:p w14:paraId="2C1B878C" w14:textId="77777777" w:rsidR="000533E4" w:rsidRDefault="000533E4" w:rsidP="00CD363C">
            <w:pPr>
              <w:pStyle w:val="TableParagraph"/>
              <w:ind w:left="224" w:right="113"/>
              <w:jc w:val="both"/>
              <w:rPr>
                <w:sz w:val="20"/>
              </w:rPr>
            </w:pPr>
            <w:r>
              <w:rPr>
                <w:w w:val="99"/>
                <w:sz w:val="20"/>
              </w:rPr>
              <w:t>-</w:t>
            </w:r>
          </w:p>
        </w:tc>
        <w:tc>
          <w:tcPr>
            <w:tcW w:w="851" w:type="dxa"/>
          </w:tcPr>
          <w:p w14:paraId="372BD416" w14:textId="77777777" w:rsidR="000533E4" w:rsidRDefault="000533E4" w:rsidP="00CD363C">
            <w:pPr>
              <w:pStyle w:val="TableParagraph"/>
              <w:ind w:left="366" w:right="113"/>
              <w:jc w:val="both"/>
              <w:rPr>
                <w:sz w:val="20"/>
              </w:rPr>
            </w:pPr>
            <w:r>
              <w:rPr>
                <w:w w:val="99"/>
                <w:sz w:val="20"/>
              </w:rPr>
              <w:t>-</w:t>
            </w:r>
          </w:p>
        </w:tc>
        <w:tc>
          <w:tcPr>
            <w:tcW w:w="424" w:type="dxa"/>
          </w:tcPr>
          <w:p w14:paraId="27741BBF"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2C593A5E" w14:textId="77777777" w:rsidR="000533E4" w:rsidRDefault="000533E4" w:rsidP="00CD363C">
            <w:pPr>
              <w:pStyle w:val="TableParagraph"/>
              <w:ind w:left="37" w:right="113"/>
              <w:jc w:val="both"/>
              <w:rPr>
                <w:sz w:val="20"/>
              </w:rPr>
            </w:pPr>
            <w:r>
              <w:rPr>
                <w:sz w:val="20"/>
              </w:rPr>
              <w:t>14.10.</w:t>
            </w:r>
          </w:p>
        </w:tc>
      </w:tr>
    </w:tbl>
    <w:p w14:paraId="66A48EA3" w14:textId="77777777" w:rsidR="000533E4" w:rsidRDefault="000533E4" w:rsidP="00CD363C">
      <w:pPr>
        <w:pStyle w:val="Pamatteksts"/>
        <w:ind w:right="113"/>
        <w:jc w:val="both"/>
        <w:rPr>
          <w:b/>
          <w:sz w:val="24"/>
        </w:rPr>
      </w:pPr>
    </w:p>
    <w:p w14:paraId="5200FF38" w14:textId="77777777" w:rsidR="000533E4" w:rsidRDefault="000533E4" w:rsidP="00CD363C">
      <w:pPr>
        <w:pStyle w:val="Pamatteksts"/>
        <w:ind w:right="113"/>
        <w:jc w:val="both"/>
        <w:rPr>
          <w:b/>
          <w:sz w:val="27"/>
        </w:rPr>
      </w:pPr>
    </w:p>
    <w:p w14:paraId="0B4BF8CA" w14:textId="77777777" w:rsidR="000533E4" w:rsidRDefault="000533E4" w:rsidP="00CD363C">
      <w:pPr>
        <w:tabs>
          <w:tab w:val="left" w:pos="1790"/>
        </w:tabs>
        <w:spacing w:after="0" w:line="240" w:lineRule="auto"/>
        <w:ind w:left="338" w:right="113"/>
        <w:jc w:val="both"/>
        <w:rPr>
          <w:b/>
        </w:rPr>
      </w:pPr>
      <w:r>
        <w:rPr>
          <w:b/>
        </w:rPr>
        <w:t>4-3.V9.DAR</w:t>
      </w:r>
      <w:r>
        <w:rPr>
          <w:b/>
        </w:rPr>
        <w:tab/>
        <w:t>Darījuma izmaksas, kas nav iekļautas procentu likmes noteikšanā, pa finanšu instrumentu</w:t>
      </w:r>
      <w:r>
        <w:rPr>
          <w:b/>
          <w:spacing w:val="-1"/>
        </w:rPr>
        <w:t xml:space="preserve"> </w:t>
      </w:r>
      <w:r>
        <w:rPr>
          <w:b/>
        </w:rPr>
        <w:t>kategorijām</w:t>
      </w:r>
    </w:p>
    <w:p w14:paraId="7C941101" w14:textId="77777777" w:rsidR="000533E4" w:rsidRDefault="000533E4" w:rsidP="00CD363C">
      <w:pPr>
        <w:pStyle w:val="Pamatteksts"/>
        <w:ind w:right="113"/>
        <w:jc w:val="both"/>
        <w:rPr>
          <w:b/>
          <w:sz w:val="16"/>
        </w:rPr>
      </w:pP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224"/>
        <w:gridCol w:w="2281"/>
        <w:gridCol w:w="1986"/>
        <w:gridCol w:w="2128"/>
        <w:gridCol w:w="1885"/>
      </w:tblGrid>
      <w:tr w:rsidR="000533E4" w14:paraId="6698CA61" w14:textId="77777777" w:rsidTr="00FF1C69">
        <w:trPr>
          <w:trHeight w:val="691"/>
        </w:trPr>
        <w:tc>
          <w:tcPr>
            <w:tcW w:w="1224" w:type="dxa"/>
            <w:shd w:val="clear" w:color="auto" w:fill="F1F1F1"/>
          </w:tcPr>
          <w:p w14:paraId="575D5955" w14:textId="77777777" w:rsidR="000533E4" w:rsidRDefault="000533E4" w:rsidP="00CD363C">
            <w:pPr>
              <w:pStyle w:val="TableParagraph"/>
              <w:ind w:right="113"/>
              <w:jc w:val="both"/>
              <w:rPr>
                <w:b/>
                <w:sz w:val="20"/>
              </w:rPr>
            </w:pPr>
          </w:p>
          <w:p w14:paraId="33390964" w14:textId="77777777" w:rsidR="000533E4" w:rsidRDefault="000533E4" w:rsidP="00CD363C">
            <w:pPr>
              <w:pStyle w:val="TableParagraph"/>
              <w:ind w:left="359" w:right="113"/>
              <w:jc w:val="both"/>
              <w:rPr>
                <w:b/>
                <w:sz w:val="20"/>
              </w:rPr>
            </w:pPr>
            <w:r>
              <w:rPr>
                <w:b/>
                <w:sz w:val="20"/>
              </w:rPr>
              <w:t>Kods</w:t>
            </w:r>
          </w:p>
        </w:tc>
        <w:tc>
          <w:tcPr>
            <w:tcW w:w="2281" w:type="dxa"/>
            <w:shd w:val="clear" w:color="auto" w:fill="F1F1F1"/>
          </w:tcPr>
          <w:p w14:paraId="2E2A104E" w14:textId="77777777" w:rsidR="000533E4" w:rsidRDefault="000533E4" w:rsidP="00CD363C">
            <w:pPr>
              <w:pStyle w:val="TableParagraph"/>
              <w:ind w:left="122" w:right="113" w:firstLine="96"/>
              <w:jc w:val="both"/>
              <w:rPr>
                <w:b/>
                <w:sz w:val="20"/>
              </w:rPr>
            </w:pPr>
            <w:r>
              <w:rPr>
                <w:b/>
                <w:sz w:val="20"/>
              </w:rPr>
              <w:t>Finanšu instrumenta kategorijas nosaukums</w:t>
            </w:r>
          </w:p>
        </w:tc>
        <w:tc>
          <w:tcPr>
            <w:tcW w:w="1986" w:type="dxa"/>
            <w:shd w:val="clear" w:color="auto" w:fill="F1F1F1"/>
          </w:tcPr>
          <w:p w14:paraId="1EC0450C" w14:textId="77777777" w:rsidR="000533E4" w:rsidRDefault="000533E4" w:rsidP="00CD363C">
            <w:pPr>
              <w:pStyle w:val="TableParagraph"/>
              <w:ind w:right="113"/>
              <w:jc w:val="both"/>
              <w:rPr>
                <w:b/>
                <w:sz w:val="20"/>
              </w:rPr>
            </w:pPr>
          </w:p>
          <w:p w14:paraId="5125A67D" w14:textId="77777777" w:rsidR="000533E4" w:rsidRDefault="000533E4" w:rsidP="00CD363C">
            <w:pPr>
              <w:pStyle w:val="TableParagraph"/>
              <w:ind w:left="227" w:right="113"/>
              <w:jc w:val="both"/>
              <w:rPr>
                <w:b/>
                <w:sz w:val="20"/>
              </w:rPr>
            </w:pPr>
            <w:r>
              <w:rPr>
                <w:b/>
                <w:sz w:val="20"/>
              </w:rPr>
              <w:t>Pārskata periodā</w:t>
            </w:r>
          </w:p>
        </w:tc>
        <w:tc>
          <w:tcPr>
            <w:tcW w:w="2128" w:type="dxa"/>
            <w:shd w:val="clear" w:color="auto" w:fill="F1F1F1"/>
          </w:tcPr>
          <w:p w14:paraId="2C70EE0A" w14:textId="77777777" w:rsidR="000533E4" w:rsidRDefault="000533E4" w:rsidP="00CD363C">
            <w:pPr>
              <w:pStyle w:val="TableParagraph"/>
              <w:ind w:left="704" w:right="113" w:hanging="552"/>
              <w:jc w:val="both"/>
              <w:rPr>
                <w:b/>
                <w:sz w:val="20"/>
              </w:rPr>
            </w:pPr>
            <w:r>
              <w:rPr>
                <w:b/>
                <w:sz w:val="20"/>
              </w:rPr>
              <w:t>Iepriekšējā pārskata periodā</w:t>
            </w:r>
          </w:p>
        </w:tc>
        <w:tc>
          <w:tcPr>
            <w:tcW w:w="1885" w:type="dxa"/>
            <w:shd w:val="clear" w:color="auto" w:fill="F1F1F1"/>
          </w:tcPr>
          <w:p w14:paraId="0368CD4E" w14:textId="77777777" w:rsidR="000533E4" w:rsidRDefault="000533E4" w:rsidP="00CD363C">
            <w:pPr>
              <w:pStyle w:val="TableParagraph"/>
              <w:ind w:left="362" w:right="113" w:firstLine="45"/>
              <w:jc w:val="both"/>
              <w:rPr>
                <w:b/>
                <w:sz w:val="20"/>
              </w:rPr>
            </w:pPr>
            <w:r>
              <w:rPr>
                <w:b/>
                <w:sz w:val="20"/>
              </w:rPr>
              <w:t>Atsauces uz attiecīgajiem piemēriem</w:t>
            </w:r>
          </w:p>
        </w:tc>
      </w:tr>
      <w:tr w:rsidR="000533E4" w14:paraId="1648F291" w14:textId="77777777" w:rsidTr="00FF1C69">
        <w:trPr>
          <w:trHeight w:val="273"/>
        </w:trPr>
        <w:tc>
          <w:tcPr>
            <w:tcW w:w="1224" w:type="dxa"/>
            <w:shd w:val="clear" w:color="auto" w:fill="F1F1F1"/>
          </w:tcPr>
          <w:p w14:paraId="0E98C90D" w14:textId="77777777" w:rsidR="000533E4" w:rsidRDefault="000533E4" w:rsidP="00CD363C">
            <w:pPr>
              <w:pStyle w:val="TableParagraph"/>
              <w:ind w:right="113"/>
              <w:jc w:val="both"/>
              <w:rPr>
                <w:b/>
                <w:sz w:val="20"/>
              </w:rPr>
            </w:pPr>
            <w:r>
              <w:rPr>
                <w:b/>
                <w:w w:val="99"/>
                <w:sz w:val="20"/>
              </w:rPr>
              <w:t>A</w:t>
            </w:r>
          </w:p>
        </w:tc>
        <w:tc>
          <w:tcPr>
            <w:tcW w:w="2281" w:type="dxa"/>
            <w:shd w:val="clear" w:color="auto" w:fill="F1F1F1"/>
          </w:tcPr>
          <w:p w14:paraId="1665BB16" w14:textId="77777777" w:rsidR="000533E4" w:rsidRDefault="000533E4" w:rsidP="00CD363C">
            <w:pPr>
              <w:pStyle w:val="TableParagraph"/>
              <w:ind w:right="113"/>
              <w:jc w:val="both"/>
              <w:rPr>
                <w:b/>
                <w:sz w:val="20"/>
              </w:rPr>
            </w:pPr>
            <w:r>
              <w:rPr>
                <w:b/>
                <w:w w:val="99"/>
                <w:sz w:val="20"/>
              </w:rPr>
              <w:t>B</w:t>
            </w:r>
          </w:p>
        </w:tc>
        <w:tc>
          <w:tcPr>
            <w:tcW w:w="1986" w:type="dxa"/>
            <w:shd w:val="clear" w:color="auto" w:fill="F1F1F1"/>
          </w:tcPr>
          <w:p w14:paraId="57C6F9C8" w14:textId="77777777" w:rsidR="000533E4" w:rsidRDefault="000533E4" w:rsidP="00CD363C">
            <w:pPr>
              <w:pStyle w:val="TableParagraph"/>
              <w:ind w:right="113"/>
              <w:jc w:val="both"/>
              <w:rPr>
                <w:b/>
                <w:sz w:val="20"/>
              </w:rPr>
            </w:pPr>
            <w:r>
              <w:rPr>
                <w:b/>
                <w:w w:val="99"/>
                <w:sz w:val="20"/>
              </w:rPr>
              <w:t>1</w:t>
            </w:r>
          </w:p>
        </w:tc>
        <w:tc>
          <w:tcPr>
            <w:tcW w:w="2128" w:type="dxa"/>
            <w:shd w:val="clear" w:color="auto" w:fill="F1F1F1"/>
          </w:tcPr>
          <w:p w14:paraId="07694FBE" w14:textId="77777777" w:rsidR="000533E4" w:rsidRDefault="000533E4" w:rsidP="00CD363C">
            <w:pPr>
              <w:pStyle w:val="TableParagraph"/>
              <w:ind w:right="113"/>
              <w:jc w:val="both"/>
              <w:rPr>
                <w:b/>
                <w:sz w:val="20"/>
              </w:rPr>
            </w:pPr>
            <w:r>
              <w:rPr>
                <w:b/>
                <w:w w:val="99"/>
                <w:sz w:val="20"/>
              </w:rPr>
              <w:t>2</w:t>
            </w:r>
          </w:p>
        </w:tc>
        <w:tc>
          <w:tcPr>
            <w:tcW w:w="1885" w:type="dxa"/>
            <w:shd w:val="clear" w:color="auto" w:fill="F1F1F1"/>
          </w:tcPr>
          <w:p w14:paraId="6E24D695" w14:textId="77777777" w:rsidR="000533E4" w:rsidRDefault="000533E4" w:rsidP="00CD363C">
            <w:pPr>
              <w:pStyle w:val="TableParagraph"/>
              <w:ind w:right="113"/>
              <w:jc w:val="both"/>
              <w:rPr>
                <w:b/>
                <w:sz w:val="20"/>
              </w:rPr>
            </w:pPr>
            <w:r>
              <w:rPr>
                <w:b/>
                <w:w w:val="99"/>
                <w:sz w:val="20"/>
              </w:rPr>
              <w:t>3</w:t>
            </w:r>
          </w:p>
        </w:tc>
      </w:tr>
      <w:tr w:rsidR="000533E4" w14:paraId="56552DB9" w14:textId="77777777" w:rsidTr="00FF1C69">
        <w:trPr>
          <w:trHeight w:val="230"/>
        </w:trPr>
        <w:tc>
          <w:tcPr>
            <w:tcW w:w="1224" w:type="dxa"/>
          </w:tcPr>
          <w:p w14:paraId="078E4F77" w14:textId="77777777" w:rsidR="000533E4" w:rsidRDefault="000533E4" w:rsidP="00CD363C">
            <w:pPr>
              <w:pStyle w:val="TableParagraph"/>
              <w:ind w:right="113"/>
              <w:jc w:val="both"/>
              <w:rPr>
                <w:sz w:val="16"/>
              </w:rPr>
            </w:pPr>
          </w:p>
        </w:tc>
        <w:tc>
          <w:tcPr>
            <w:tcW w:w="2281" w:type="dxa"/>
          </w:tcPr>
          <w:p w14:paraId="798B30D7" w14:textId="77777777" w:rsidR="000533E4" w:rsidRDefault="000533E4" w:rsidP="00CD363C">
            <w:pPr>
              <w:pStyle w:val="TableParagraph"/>
              <w:ind w:left="105" w:right="113"/>
              <w:jc w:val="both"/>
              <w:rPr>
                <w:sz w:val="20"/>
              </w:rPr>
            </w:pPr>
            <w:r>
              <w:rPr>
                <w:sz w:val="20"/>
              </w:rPr>
              <w:t>Kopā</w:t>
            </w:r>
          </w:p>
        </w:tc>
        <w:tc>
          <w:tcPr>
            <w:tcW w:w="1986" w:type="dxa"/>
          </w:tcPr>
          <w:p w14:paraId="6BDD932D" w14:textId="77777777" w:rsidR="000533E4" w:rsidRDefault="000533E4" w:rsidP="00CD363C">
            <w:pPr>
              <w:pStyle w:val="TableParagraph"/>
              <w:ind w:right="113"/>
              <w:jc w:val="both"/>
              <w:rPr>
                <w:sz w:val="20"/>
              </w:rPr>
            </w:pPr>
            <w:r>
              <w:rPr>
                <w:sz w:val="20"/>
              </w:rPr>
              <w:t>5 000</w:t>
            </w:r>
          </w:p>
        </w:tc>
        <w:tc>
          <w:tcPr>
            <w:tcW w:w="2128" w:type="dxa"/>
          </w:tcPr>
          <w:p w14:paraId="2E6414EB" w14:textId="77777777" w:rsidR="000533E4" w:rsidRDefault="000533E4" w:rsidP="00CD363C">
            <w:pPr>
              <w:pStyle w:val="TableParagraph"/>
              <w:ind w:right="113"/>
              <w:jc w:val="both"/>
              <w:rPr>
                <w:sz w:val="20"/>
              </w:rPr>
            </w:pPr>
            <w:r>
              <w:rPr>
                <w:w w:val="99"/>
                <w:sz w:val="20"/>
              </w:rPr>
              <w:t>-</w:t>
            </w:r>
          </w:p>
        </w:tc>
        <w:tc>
          <w:tcPr>
            <w:tcW w:w="1885" w:type="dxa"/>
            <w:shd w:val="clear" w:color="auto" w:fill="EBF3F9"/>
          </w:tcPr>
          <w:p w14:paraId="508340AE" w14:textId="77777777" w:rsidR="000533E4" w:rsidRDefault="000533E4" w:rsidP="00CD363C">
            <w:pPr>
              <w:pStyle w:val="TableParagraph"/>
              <w:ind w:left="692" w:right="113"/>
              <w:jc w:val="both"/>
              <w:rPr>
                <w:sz w:val="20"/>
              </w:rPr>
            </w:pPr>
            <w:r>
              <w:rPr>
                <w:sz w:val="20"/>
              </w:rPr>
              <w:t>14.4.</w:t>
            </w:r>
          </w:p>
        </w:tc>
      </w:tr>
      <w:tr w:rsidR="000533E4" w14:paraId="74D245E1" w14:textId="77777777" w:rsidTr="00FF1C69">
        <w:trPr>
          <w:trHeight w:val="918"/>
        </w:trPr>
        <w:tc>
          <w:tcPr>
            <w:tcW w:w="1224" w:type="dxa"/>
          </w:tcPr>
          <w:p w14:paraId="1CC7FC3C" w14:textId="77777777" w:rsidR="000533E4" w:rsidRDefault="000533E4" w:rsidP="00CD363C">
            <w:pPr>
              <w:pStyle w:val="TableParagraph"/>
              <w:ind w:right="113"/>
              <w:jc w:val="both"/>
              <w:rPr>
                <w:b/>
                <w:sz w:val="29"/>
              </w:rPr>
            </w:pPr>
          </w:p>
          <w:p w14:paraId="3F243E19" w14:textId="77777777" w:rsidR="000533E4" w:rsidRDefault="000533E4" w:rsidP="00CD363C">
            <w:pPr>
              <w:pStyle w:val="TableParagraph"/>
              <w:ind w:left="107" w:right="113"/>
              <w:jc w:val="both"/>
              <w:rPr>
                <w:sz w:val="20"/>
              </w:rPr>
            </w:pPr>
            <w:r>
              <w:rPr>
                <w:sz w:val="20"/>
              </w:rPr>
              <w:t>FS</w:t>
            </w:r>
          </w:p>
        </w:tc>
        <w:tc>
          <w:tcPr>
            <w:tcW w:w="2281" w:type="dxa"/>
          </w:tcPr>
          <w:p w14:paraId="6C6F16AD" w14:textId="77777777" w:rsidR="000533E4" w:rsidRDefault="000533E4" w:rsidP="00CD363C">
            <w:pPr>
              <w:pStyle w:val="TableParagraph"/>
              <w:ind w:left="105" w:right="113"/>
              <w:jc w:val="both"/>
              <w:rPr>
                <w:sz w:val="20"/>
              </w:rPr>
            </w:pPr>
            <w:r>
              <w:rPr>
                <w:sz w:val="20"/>
              </w:rPr>
              <w:t>Finanšu saistības, kas novērtētas amortizētajā vērtībā, un citas finanšu</w:t>
            </w:r>
          </w:p>
          <w:p w14:paraId="7CC5E3A1" w14:textId="77777777" w:rsidR="000533E4" w:rsidRDefault="000533E4" w:rsidP="00CD363C">
            <w:pPr>
              <w:pStyle w:val="TableParagraph"/>
              <w:ind w:left="105" w:right="113"/>
              <w:jc w:val="both"/>
              <w:rPr>
                <w:sz w:val="20"/>
              </w:rPr>
            </w:pPr>
            <w:r>
              <w:rPr>
                <w:sz w:val="20"/>
              </w:rPr>
              <w:t>saistības</w:t>
            </w:r>
          </w:p>
        </w:tc>
        <w:tc>
          <w:tcPr>
            <w:tcW w:w="1986" w:type="dxa"/>
          </w:tcPr>
          <w:p w14:paraId="4EBA9032" w14:textId="77777777" w:rsidR="000533E4" w:rsidRDefault="000533E4" w:rsidP="00CD363C">
            <w:pPr>
              <w:pStyle w:val="TableParagraph"/>
              <w:ind w:right="113"/>
              <w:jc w:val="both"/>
              <w:rPr>
                <w:b/>
                <w:sz w:val="29"/>
              </w:rPr>
            </w:pPr>
          </w:p>
          <w:p w14:paraId="663ABFFA" w14:textId="77777777" w:rsidR="000533E4" w:rsidRDefault="000533E4" w:rsidP="00CD363C">
            <w:pPr>
              <w:pStyle w:val="TableParagraph"/>
              <w:ind w:right="113"/>
              <w:jc w:val="both"/>
              <w:rPr>
                <w:sz w:val="20"/>
              </w:rPr>
            </w:pPr>
            <w:r>
              <w:rPr>
                <w:sz w:val="20"/>
              </w:rPr>
              <w:t>5 000</w:t>
            </w:r>
          </w:p>
        </w:tc>
        <w:tc>
          <w:tcPr>
            <w:tcW w:w="2128" w:type="dxa"/>
          </w:tcPr>
          <w:p w14:paraId="76E3D6A6" w14:textId="77777777" w:rsidR="000533E4" w:rsidRDefault="000533E4" w:rsidP="00CD363C">
            <w:pPr>
              <w:pStyle w:val="TableParagraph"/>
              <w:ind w:right="113"/>
              <w:jc w:val="both"/>
              <w:rPr>
                <w:b/>
                <w:sz w:val="29"/>
              </w:rPr>
            </w:pPr>
          </w:p>
          <w:p w14:paraId="1DAE8FAC" w14:textId="77777777" w:rsidR="000533E4" w:rsidRDefault="000533E4" w:rsidP="00CD363C">
            <w:pPr>
              <w:pStyle w:val="TableParagraph"/>
              <w:ind w:right="113"/>
              <w:jc w:val="both"/>
              <w:rPr>
                <w:sz w:val="20"/>
              </w:rPr>
            </w:pPr>
            <w:r>
              <w:rPr>
                <w:w w:val="99"/>
                <w:sz w:val="20"/>
              </w:rPr>
              <w:t>-</w:t>
            </w:r>
          </w:p>
        </w:tc>
        <w:tc>
          <w:tcPr>
            <w:tcW w:w="1885" w:type="dxa"/>
            <w:shd w:val="clear" w:color="auto" w:fill="EBF3F9"/>
          </w:tcPr>
          <w:p w14:paraId="4CCA8C94" w14:textId="77777777" w:rsidR="000533E4" w:rsidRDefault="000533E4" w:rsidP="00CD363C">
            <w:pPr>
              <w:pStyle w:val="TableParagraph"/>
              <w:ind w:right="113"/>
              <w:jc w:val="both"/>
              <w:rPr>
                <w:b/>
                <w:sz w:val="29"/>
              </w:rPr>
            </w:pPr>
          </w:p>
          <w:p w14:paraId="117FF477" w14:textId="77777777" w:rsidR="000533E4" w:rsidRDefault="000533E4" w:rsidP="00CD363C">
            <w:pPr>
              <w:pStyle w:val="TableParagraph"/>
              <w:ind w:left="689" w:right="113"/>
              <w:jc w:val="both"/>
              <w:rPr>
                <w:sz w:val="20"/>
              </w:rPr>
            </w:pPr>
            <w:r>
              <w:rPr>
                <w:sz w:val="20"/>
              </w:rPr>
              <w:t>14.4</w:t>
            </w:r>
          </w:p>
        </w:tc>
      </w:tr>
    </w:tbl>
    <w:p w14:paraId="41CFC1F9" w14:textId="77777777" w:rsidR="006162DC" w:rsidRPr="00AB7B8E" w:rsidRDefault="006162DC" w:rsidP="00CD363C">
      <w:pPr>
        <w:spacing w:after="0" w:line="240" w:lineRule="auto"/>
        <w:ind w:right="113"/>
        <w:jc w:val="both"/>
        <w:rPr>
          <w:rFonts w:ascii="Times New Roman" w:hAnsi="Times New Roman" w:cs="Times New Roman"/>
          <w:sz w:val="24"/>
          <w:szCs w:val="24"/>
        </w:rPr>
      </w:pPr>
    </w:p>
    <w:p w14:paraId="5A514366" w14:textId="77777777" w:rsidR="006162DC" w:rsidRPr="00422C48" w:rsidRDefault="00422C48" w:rsidP="00CD363C">
      <w:pPr>
        <w:pStyle w:val="Sarakstarindkopa"/>
        <w:numPr>
          <w:ilvl w:val="0"/>
          <w:numId w:val="60"/>
        </w:numPr>
        <w:spacing w:after="0" w:line="240" w:lineRule="auto"/>
        <w:ind w:right="113"/>
        <w:rPr>
          <w:rFonts w:ascii="Times New Roman" w:hAnsi="Times New Roman" w:cs="Times New Roman"/>
          <w:b/>
          <w:bCs/>
          <w:sz w:val="24"/>
          <w:szCs w:val="24"/>
        </w:rPr>
      </w:pPr>
      <w:r w:rsidRPr="00422C48">
        <w:rPr>
          <w:rFonts w:ascii="Times New Roman" w:hAnsi="Times New Roman" w:cs="Times New Roman"/>
          <w:b/>
          <w:bCs/>
          <w:sz w:val="24"/>
          <w:szCs w:val="24"/>
        </w:rPr>
        <w:t>Ieņēmumi no darījumiem bez atlīdzības</w:t>
      </w:r>
    </w:p>
    <w:p w14:paraId="7A938701" w14:textId="77777777" w:rsidR="006162DC" w:rsidRPr="00422C48" w:rsidRDefault="00422C48" w:rsidP="00CD363C">
      <w:pPr>
        <w:spacing w:after="0" w:line="240" w:lineRule="auto"/>
        <w:ind w:right="113"/>
        <w:jc w:val="both"/>
        <w:rPr>
          <w:rFonts w:ascii="Times New Roman" w:hAnsi="Times New Roman" w:cs="Times New Roman"/>
          <w:b/>
          <w:bCs/>
          <w:sz w:val="24"/>
          <w:szCs w:val="24"/>
        </w:rPr>
      </w:pPr>
      <w:r w:rsidRPr="00422C48">
        <w:rPr>
          <w:rFonts w:ascii="Times New Roman" w:hAnsi="Times New Roman" w:cs="Times New Roman"/>
          <w:b/>
          <w:bCs/>
          <w:sz w:val="24"/>
          <w:szCs w:val="24"/>
        </w:rPr>
        <w:t>22.1. Darījumi bez atlīdzības</w:t>
      </w:r>
    </w:p>
    <w:p w14:paraId="08AF213C" w14:textId="77777777" w:rsidR="00C6183A" w:rsidRPr="006D5D54" w:rsidRDefault="00C6183A"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886.  Darījumi bez atlīdzības – saimnieciskie darījumi, kuru ietvaros viena puse saņem aktīvu vai dzēš saistības, pretī nedodot (nesaņemot) atlīdzību vai dodot (saņemot) atlīdzību, kuras patiesā vērtība neatbilst saņemtā aktīva vai pakalpojuma vai dzēsto saistību patiesajai vērtībai ( piemēram: nodokļi, transferti u.c.)</w:t>
      </w:r>
    </w:p>
    <w:p w14:paraId="419AB59E" w14:textId="77777777" w:rsidR="00422C48" w:rsidRPr="006D5D54" w:rsidRDefault="00FF1C69"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w:t>
      </w:r>
      <w:r w:rsidR="00C6183A" w:rsidRPr="006D5D54">
        <w:rPr>
          <w:rFonts w:ascii="Times New Roman" w:hAnsi="Times New Roman" w:cs="Times New Roman"/>
          <w:sz w:val="24"/>
          <w:szCs w:val="24"/>
        </w:rPr>
        <w:t>7</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Budžeta iestāde veic izvērtējumu, lai noteiktu, vai darījums uzskatāms par darījumu ar atlīdzību vai darījumu</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4"/>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vai</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15"/>
          <w:sz w:val="24"/>
          <w:szCs w:val="24"/>
        </w:rPr>
        <w:t xml:space="preserve"> </w:t>
      </w:r>
      <w:r w:rsidR="00422C48" w:rsidRPr="006D5D54">
        <w:rPr>
          <w:rFonts w:ascii="Times New Roman" w:hAnsi="Times New Roman" w:cs="Times New Roman"/>
          <w:sz w:val="24"/>
          <w:szCs w:val="24"/>
        </w:rPr>
        <w:t>jāizdala</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darījumā</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kāda</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no</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minētajām</w:t>
      </w:r>
      <w:r w:rsidR="00422C48" w:rsidRPr="006D5D54">
        <w:rPr>
          <w:rFonts w:ascii="Times New Roman" w:hAnsi="Times New Roman" w:cs="Times New Roman"/>
          <w:spacing w:val="-16"/>
          <w:sz w:val="24"/>
          <w:szCs w:val="24"/>
        </w:rPr>
        <w:t xml:space="preserve"> </w:t>
      </w:r>
      <w:r w:rsidR="00422C48" w:rsidRPr="006D5D54">
        <w:rPr>
          <w:rFonts w:ascii="Times New Roman" w:hAnsi="Times New Roman" w:cs="Times New Roman"/>
          <w:sz w:val="24"/>
          <w:szCs w:val="24"/>
        </w:rPr>
        <w:t>daļām</w:t>
      </w:r>
      <w:r w:rsidR="00422C48" w:rsidRPr="006D5D54">
        <w:rPr>
          <w:rFonts w:ascii="Times New Roman" w:hAnsi="Times New Roman" w:cs="Times New Roman"/>
          <w:spacing w:val="-15"/>
          <w:sz w:val="24"/>
          <w:szCs w:val="24"/>
        </w:rPr>
        <w:t xml:space="preserve"> </w:t>
      </w:r>
      <w:r w:rsidR="00422C48" w:rsidRPr="006D5D54">
        <w:rPr>
          <w:rFonts w:ascii="Times New Roman" w:hAnsi="Times New Roman" w:cs="Times New Roman"/>
          <w:sz w:val="24"/>
          <w:szCs w:val="24"/>
        </w:rPr>
        <w:t>(komponentēm).</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Darījumi, kuru ietvaros budžeta iestāde saņem saimnieciskos labumus bez atlīdzības vai maksa ir tikai simboliska,</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nepārprotami</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ir</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darījumi</w:t>
      </w:r>
      <w:r w:rsidR="00422C48" w:rsidRPr="006D5D54">
        <w:rPr>
          <w:rFonts w:ascii="Times New Roman" w:hAnsi="Times New Roman" w:cs="Times New Roman"/>
          <w:spacing w:val="-6"/>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un</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šo</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darījumu</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rezultātā</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gūto</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ieņēmumu</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uzskaites principi ir noteikti šajā Rokasgrāmatas sadaļā. Piemēram, nodokļu maksātāji maksā nodokļu tiesību aktos</w:t>
      </w:r>
      <w:r w:rsidR="00422C48" w:rsidRPr="006D5D54">
        <w:rPr>
          <w:rFonts w:ascii="Times New Roman" w:hAnsi="Times New Roman" w:cs="Times New Roman"/>
          <w:spacing w:val="19"/>
          <w:sz w:val="24"/>
          <w:szCs w:val="24"/>
        </w:rPr>
        <w:t xml:space="preserve"> </w:t>
      </w:r>
      <w:r w:rsidR="00422C48" w:rsidRPr="006D5D54">
        <w:rPr>
          <w:rFonts w:ascii="Times New Roman" w:hAnsi="Times New Roman" w:cs="Times New Roman"/>
          <w:sz w:val="24"/>
          <w:szCs w:val="24"/>
        </w:rPr>
        <w:t>noteiktos</w:t>
      </w:r>
      <w:r w:rsidR="00422C48" w:rsidRPr="006D5D54">
        <w:rPr>
          <w:rFonts w:ascii="Times New Roman" w:hAnsi="Times New Roman" w:cs="Times New Roman"/>
          <w:spacing w:val="17"/>
          <w:sz w:val="24"/>
          <w:szCs w:val="24"/>
        </w:rPr>
        <w:t xml:space="preserve"> </w:t>
      </w:r>
      <w:r w:rsidR="00422C48" w:rsidRPr="006D5D54">
        <w:rPr>
          <w:rFonts w:ascii="Times New Roman" w:hAnsi="Times New Roman" w:cs="Times New Roman"/>
          <w:sz w:val="24"/>
          <w:szCs w:val="24"/>
        </w:rPr>
        <w:t>nodokļus.</w:t>
      </w:r>
      <w:r w:rsidR="00422C48" w:rsidRPr="006D5D54">
        <w:rPr>
          <w:rFonts w:ascii="Times New Roman" w:hAnsi="Times New Roman" w:cs="Times New Roman"/>
          <w:spacing w:val="16"/>
          <w:sz w:val="24"/>
          <w:szCs w:val="24"/>
        </w:rPr>
        <w:t xml:space="preserve"> </w:t>
      </w:r>
      <w:r w:rsidR="00422C48" w:rsidRPr="006D5D54">
        <w:rPr>
          <w:rFonts w:ascii="Times New Roman" w:hAnsi="Times New Roman" w:cs="Times New Roman"/>
          <w:sz w:val="24"/>
          <w:szCs w:val="24"/>
        </w:rPr>
        <w:t>Lai</w:t>
      </w:r>
      <w:r w:rsidR="00422C48" w:rsidRPr="006D5D54">
        <w:rPr>
          <w:rFonts w:ascii="Times New Roman" w:hAnsi="Times New Roman" w:cs="Times New Roman"/>
          <w:spacing w:val="18"/>
          <w:sz w:val="24"/>
          <w:szCs w:val="24"/>
        </w:rPr>
        <w:t xml:space="preserve"> </w:t>
      </w:r>
      <w:r w:rsidR="00422C48" w:rsidRPr="006D5D54">
        <w:rPr>
          <w:rFonts w:ascii="Times New Roman" w:hAnsi="Times New Roman" w:cs="Times New Roman"/>
          <w:sz w:val="24"/>
          <w:szCs w:val="24"/>
        </w:rPr>
        <w:t>gan</w:t>
      </w:r>
      <w:r w:rsidR="00422C48" w:rsidRPr="006D5D54">
        <w:rPr>
          <w:rFonts w:ascii="Times New Roman" w:hAnsi="Times New Roman" w:cs="Times New Roman"/>
          <w:spacing w:val="19"/>
          <w:sz w:val="24"/>
          <w:szCs w:val="24"/>
        </w:rPr>
        <w:t xml:space="preserve"> </w:t>
      </w:r>
      <w:r w:rsidR="00422C48" w:rsidRPr="006D5D54">
        <w:rPr>
          <w:rFonts w:ascii="Times New Roman" w:hAnsi="Times New Roman" w:cs="Times New Roman"/>
          <w:sz w:val="24"/>
          <w:szCs w:val="24"/>
        </w:rPr>
        <w:t>vispārējā</w:t>
      </w:r>
      <w:r w:rsidR="00422C48" w:rsidRPr="006D5D54">
        <w:rPr>
          <w:rFonts w:ascii="Times New Roman" w:hAnsi="Times New Roman" w:cs="Times New Roman"/>
          <w:spacing w:val="17"/>
          <w:sz w:val="24"/>
          <w:szCs w:val="24"/>
        </w:rPr>
        <w:t xml:space="preserve"> </w:t>
      </w:r>
      <w:r w:rsidR="00422C48" w:rsidRPr="006D5D54">
        <w:rPr>
          <w:rFonts w:ascii="Times New Roman" w:hAnsi="Times New Roman" w:cs="Times New Roman"/>
          <w:sz w:val="24"/>
          <w:szCs w:val="24"/>
        </w:rPr>
        <w:t>valdība</w:t>
      </w:r>
      <w:r w:rsidR="00422C48" w:rsidRPr="006D5D54">
        <w:rPr>
          <w:rFonts w:ascii="Times New Roman" w:hAnsi="Times New Roman" w:cs="Times New Roman"/>
          <w:spacing w:val="19"/>
          <w:sz w:val="24"/>
          <w:szCs w:val="24"/>
        </w:rPr>
        <w:t xml:space="preserve"> </w:t>
      </w:r>
      <w:r w:rsidR="00422C48" w:rsidRPr="006D5D54">
        <w:rPr>
          <w:rFonts w:ascii="Times New Roman" w:hAnsi="Times New Roman" w:cs="Times New Roman"/>
          <w:sz w:val="24"/>
          <w:szCs w:val="24"/>
        </w:rPr>
        <w:t>nodrošina</w:t>
      </w:r>
      <w:r w:rsidR="00422C48" w:rsidRPr="006D5D54">
        <w:rPr>
          <w:rFonts w:ascii="Times New Roman" w:hAnsi="Times New Roman" w:cs="Times New Roman"/>
          <w:spacing w:val="17"/>
          <w:sz w:val="24"/>
          <w:szCs w:val="24"/>
        </w:rPr>
        <w:t xml:space="preserve"> </w:t>
      </w:r>
      <w:r w:rsidR="00422C48" w:rsidRPr="006D5D54">
        <w:rPr>
          <w:rFonts w:ascii="Times New Roman" w:hAnsi="Times New Roman" w:cs="Times New Roman"/>
          <w:sz w:val="24"/>
          <w:szCs w:val="24"/>
        </w:rPr>
        <w:t>nodokļu</w:t>
      </w:r>
      <w:r w:rsidR="00422C48" w:rsidRPr="006D5D54">
        <w:rPr>
          <w:rFonts w:ascii="Times New Roman" w:hAnsi="Times New Roman" w:cs="Times New Roman"/>
          <w:spacing w:val="18"/>
          <w:sz w:val="24"/>
          <w:szCs w:val="24"/>
        </w:rPr>
        <w:t xml:space="preserve"> </w:t>
      </w:r>
      <w:r w:rsidR="00422C48" w:rsidRPr="006D5D54">
        <w:rPr>
          <w:rFonts w:ascii="Times New Roman" w:hAnsi="Times New Roman" w:cs="Times New Roman"/>
          <w:sz w:val="24"/>
          <w:szCs w:val="24"/>
        </w:rPr>
        <w:t>maksātājiem</w:t>
      </w:r>
      <w:r w:rsidR="00422C48" w:rsidRPr="006D5D54">
        <w:rPr>
          <w:rFonts w:ascii="Times New Roman" w:hAnsi="Times New Roman" w:cs="Times New Roman"/>
          <w:spacing w:val="16"/>
          <w:sz w:val="24"/>
          <w:szCs w:val="24"/>
        </w:rPr>
        <w:t xml:space="preserve"> </w:t>
      </w:r>
      <w:r w:rsidR="00422C48" w:rsidRPr="006D5D54">
        <w:rPr>
          <w:rFonts w:ascii="Times New Roman" w:hAnsi="Times New Roman" w:cs="Times New Roman"/>
          <w:sz w:val="24"/>
          <w:szCs w:val="24"/>
        </w:rPr>
        <w:t>dažādus</w:t>
      </w:r>
      <w:r w:rsidRPr="006D5D54">
        <w:rPr>
          <w:rFonts w:ascii="Times New Roman" w:hAnsi="Times New Roman" w:cs="Times New Roman"/>
          <w:sz w:val="24"/>
          <w:szCs w:val="24"/>
        </w:rPr>
        <w:t xml:space="preserve"> s</w:t>
      </w:r>
      <w:r w:rsidR="00422C48" w:rsidRPr="006D5D54">
        <w:rPr>
          <w:rFonts w:ascii="Times New Roman" w:hAnsi="Times New Roman" w:cs="Times New Roman"/>
          <w:sz w:val="24"/>
          <w:szCs w:val="24"/>
        </w:rPr>
        <w:t>abiedriskos pakalpojumus, šie pakalpojumi nav uzskatāmi par atlīdzību, kas tiek sniegta par samaksātajiem nodokļiem.</w:t>
      </w:r>
    </w:p>
    <w:p w14:paraId="6736386D" w14:textId="77777777" w:rsidR="00422C48" w:rsidRPr="006D5D54" w:rsidRDefault="00FF1C69"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w:t>
      </w:r>
      <w:r w:rsidR="00C6183A" w:rsidRPr="006D5D54">
        <w:rPr>
          <w:rFonts w:ascii="Times New Roman" w:hAnsi="Times New Roman" w:cs="Times New Roman"/>
          <w:sz w:val="24"/>
          <w:szCs w:val="24"/>
        </w:rPr>
        <w:t>8</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 xml:space="preserve">Darījumi, kuru ietvaros notiek apmaiņa ar aptuveni līdzīgām vērtībām, uzskatāmi par darījumiem ar atlīdzību un ieņēmumu uzskaiti veic atbilstoši </w:t>
      </w:r>
      <w:r w:rsidR="00727368" w:rsidRPr="006D5D54">
        <w:rPr>
          <w:rFonts w:ascii="Times New Roman" w:hAnsi="Times New Roman" w:cs="Times New Roman"/>
          <w:sz w:val="24"/>
          <w:szCs w:val="24"/>
        </w:rPr>
        <w:t>Grāmatvedības uzskaites kārtības</w:t>
      </w:r>
      <w:r w:rsidR="00422C48" w:rsidRPr="006D5D54">
        <w:rPr>
          <w:rFonts w:ascii="Times New Roman" w:hAnsi="Times New Roman" w:cs="Times New Roman"/>
          <w:sz w:val="24"/>
          <w:szCs w:val="24"/>
        </w:rPr>
        <w:t xml:space="preserve"> sadaļā</w:t>
      </w:r>
      <w:r w:rsidR="00422C48" w:rsidRPr="006D5D54">
        <w:rPr>
          <w:rFonts w:ascii="Times New Roman" w:hAnsi="Times New Roman" w:cs="Times New Roman"/>
          <w:color w:val="0462C1"/>
          <w:sz w:val="24"/>
          <w:szCs w:val="24"/>
        </w:rPr>
        <w:t xml:space="preserve"> </w:t>
      </w:r>
      <w:r w:rsidR="00422C48" w:rsidRPr="006D5D54">
        <w:rPr>
          <w:rFonts w:ascii="Times New Roman" w:hAnsi="Times New Roman" w:cs="Times New Roman"/>
          <w:color w:val="0462C1"/>
          <w:sz w:val="24"/>
          <w:szCs w:val="24"/>
          <w:u w:val="single" w:color="0462C1"/>
        </w:rPr>
        <w:t>“</w:t>
      </w:r>
      <w:hyperlink w:anchor="_bookmark408" w:history="1">
        <w:r w:rsidR="00422C48" w:rsidRPr="006D5D54">
          <w:rPr>
            <w:rFonts w:ascii="Times New Roman" w:hAnsi="Times New Roman" w:cs="Times New Roman"/>
            <w:color w:val="0462C1"/>
            <w:sz w:val="24"/>
            <w:szCs w:val="24"/>
            <w:u w:val="single" w:color="0462C1"/>
          </w:rPr>
          <w:t>Ieņēmumu no darījumiem ar</w:t>
        </w:r>
      </w:hyperlink>
      <w:hyperlink w:anchor="_bookmark408" w:history="1">
        <w:r w:rsidR="00422C48" w:rsidRPr="006D5D54">
          <w:rPr>
            <w:rFonts w:ascii="Times New Roman" w:hAnsi="Times New Roman" w:cs="Times New Roman"/>
            <w:color w:val="0462C1"/>
            <w:sz w:val="24"/>
            <w:szCs w:val="24"/>
            <w:u w:val="single" w:color="0462C1"/>
          </w:rPr>
          <w:t xml:space="preserve"> atlīdzību uzskaite</w:t>
        </w:r>
      </w:hyperlink>
      <w:r w:rsidR="00422C48" w:rsidRPr="006D5D54">
        <w:rPr>
          <w:rFonts w:ascii="Times New Roman" w:hAnsi="Times New Roman" w:cs="Times New Roman"/>
          <w:color w:val="0462C1"/>
          <w:sz w:val="24"/>
          <w:szCs w:val="24"/>
          <w:u w:val="single" w:color="0462C1"/>
        </w:rPr>
        <w:t>”</w:t>
      </w:r>
      <w:r w:rsidR="00422C48" w:rsidRPr="006D5D54">
        <w:rPr>
          <w:rFonts w:ascii="Times New Roman" w:hAnsi="Times New Roman" w:cs="Times New Roman"/>
          <w:color w:val="0462C1"/>
          <w:spacing w:val="-3"/>
          <w:sz w:val="24"/>
          <w:szCs w:val="24"/>
        </w:rPr>
        <w:t xml:space="preserve"> </w:t>
      </w:r>
      <w:r w:rsidR="00422C48" w:rsidRPr="006D5D54">
        <w:rPr>
          <w:rFonts w:ascii="Times New Roman" w:hAnsi="Times New Roman" w:cs="Times New Roman"/>
          <w:sz w:val="24"/>
          <w:szCs w:val="24"/>
        </w:rPr>
        <w:t>noteiktajam.</w:t>
      </w:r>
    </w:p>
    <w:p w14:paraId="261F991F" w14:textId="77777777" w:rsidR="00422C48" w:rsidRPr="006D5D54" w:rsidRDefault="00727368"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w:t>
      </w:r>
      <w:r w:rsidR="00C6183A" w:rsidRPr="006D5D54">
        <w:rPr>
          <w:rFonts w:ascii="Times New Roman" w:hAnsi="Times New Roman" w:cs="Times New Roman"/>
          <w:sz w:val="24"/>
          <w:szCs w:val="24"/>
        </w:rPr>
        <w:t>9</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Darījumos</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5"/>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kuru</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ietvaros</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budžeta</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iestāde</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var</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sniegt</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zināmu</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atlīdzību</w:t>
      </w:r>
      <w:r w:rsidR="00422C48" w:rsidRPr="006D5D54">
        <w:rPr>
          <w:rFonts w:ascii="Times New Roman" w:hAnsi="Times New Roman" w:cs="Times New Roman"/>
          <w:spacing w:val="-6"/>
          <w:sz w:val="24"/>
          <w:szCs w:val="24"/>
        </w:rPr>
        <w:t xml:space="preserve"> </w:t>
      </w:r>
      <w:r w:rsidR="00422C48" w:rsidRPr="006D5D54">
        <w:rPr>
          <w:rFonts w:ascii="Times New Roman" w:hAnsi="Times New Roman" w:cs="Times New Roman"/>
          <w:sz w:val="24"/>
          <w:szCs w:val="24"/>
        </w:rPr>
        <w:t>tieši</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apmaiņā</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pret saņemtajiem resursiem, taču šāda atlīdzība neatbilst saņemto resursu patiesajai vērtībai, budžeta iestāde nosaka, vai darījums nav uzskatāms par atlīdzības darījuma un darījuma bez atlīdzības kombināciju,</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kur</w:t>
      </w:r>
      <w:r w:rsidR="00422C48" w:rsidRPr="006D5D54">
        <w:rPr>
          <w:rFonts w:ascii="Times New Roman" w:hAnsi="Times New Roman" w:cs="Times New Roman"/>
          <w:spacing w:val="-6"/>
          <w:sz w:val="24"/>
          <w:szCs w:val="24"/>
        </w:rPr>
        <w:t xml:space="preserve"> </w:t>
      </w:r>
      <w:r w:rsidR="00422C48" w:rsidRPr="006D5D54">
        <w:rPr>
          <w:rFonts w:ascii="Times New Roman" w:hAnsi="Times New Roman" w:cs="Times New Roman"/>
          <w:sz w:val="24"/>
          <w:szCs w:val="24"/>
        </w:rPr>
        <w:t>katra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darījuma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daļa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atzīstama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atsevišķi.</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Piemēram,</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budžeta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iestāde</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saņem</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6</w:t>
      </w:r>
      <w:r w:rsidR="00422C48" w:rsidRPr="006D5D54">
        <w:rPr>
          <w:rFonts w:ascii="Times New Roman" w:hAnsi="Times New Roman" w:cs="Times New Roman"/>
          <w:spacing w:val="-5"/>
          <w:sz w:val="24"/>
          <w:szCs w:val="24"/>
        </w:rPr>
        <w:t xml:space="preserve"> </w:t>
      </w:r>
      <w:r w:rsidR="00422C48" w:rsidRPr="006D5D54">
        <w:rPr>
          <w:rFonts w:ascii="Times New Roman" w:hAnsi="Times New Roman" w:cs="Times New Roman"/>
          <w:sz w:val="24"/>
          <w:szCs w:val="24"/>
        </w:rPr>
        <w:t>miljonu EUR finansējumu no daudzpusējas attīstības aģentūras. Saskaņā ar līgumu budžeta iestādei 10 gadu laikā jāatmaksā 5 miljoni EUR no saņemtā finansējuma, piemērojot 5% likmi, lai gan tirgus likme līdzīgiem aizdevumiem ir 11%. Budžeta iestāde faktiski ir saņēmusi 1 miljonu EUR lielu finanšu palīdzību (saņemtie 6 miljoni EUR mīnus atmaksājamie 5 miljoni EUR) un noslēgusi izdevīgu aizdevuma līgumu par 5 miljoniem EUR, kuram piemērotā procentu likme ir par 6 procentpunktiem mazāka nekā līdzīga aizdevuma procentu tirgus likme. Saņemtā finanšu palīdzība 1 miljona EUR apmērā,</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kā</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procentu</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maksājumi,</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kas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saskaņā</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līguma</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nosacījumiem</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aprēķināti</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neatbilstoši</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tirgus likmei, attiecināmi uz darījumu bez atlīdzības. Saskaņā ar līgumu piešķirtais aizdevums un līguma laikā aprēķinātie procenti attiecināmi uz darījumiem ar</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atlīdzību.</w:t>
      </w:r>
    </w:p>
    <w:p w14:paraId="254206D7" w14:textId="77777777" w:rsidR="00422C48" w:rsidRPr="006D5D54" w:rsidRDefault="00727368"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w:t>
      </w:r>
      <w:r w:rsidR="00C6183A" w:rsidRPr="006D5D54">
        <w:rPr>
          <w:rFonts w:ascii="Times New Roman" w:hAnsi="Times New Roman" w:cs="Times New Roman"/>
          <w:sz w:val="24"/>
          <w:szCs w:val="24"/>
        </w:rPr>
        <w:t>90</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Gadījumos, kad pastāv grūtības noteikt, pie kāda darījuma veida pieder attiecīgais darījums, tā veidu (darījums ar atlīdzību vai darījums bez atlīdzības) nosaka, izvērtējot darījuma ekonomisko būtību. Piemēram, preču pārdošanu parasti klasificē kā darījumu ar atlīdzību. Tomēr, ja darījums tiek veikts par</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subsidētu</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cenu,</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proti,</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par</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cenu,</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kas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neatbilst</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pārdoto</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preču</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patiesajai</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vērtībai,</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šāds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darījums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atbilst darījuma</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definīcijai.</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Gadījumā,</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ja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darījuma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atlīdzību</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un</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darījuma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daļas nav iespējams nodalīt, darījums uzskatāms par darījumu bez atlīdzības. Budžeta iestādes dažādu iemeslu</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dēļ</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var</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saņemt</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tirdzniecības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atlaides</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un</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apjoma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atlaides,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kā</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tām</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var</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tikt</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piedāvāti</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aktīvi par cenām, kas ir zemākas par tirgū noteiktajām. Šādi cenu samazinājumi ne vienmēr nozīmē, ka tas ir darījums bez</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atlīdzības.</w:t>
      </w:r>
    </w:p>
    <w:p w14:paraId="710D3201" w14:textId="77777777" w:rsidR="00422C48" w:rsidRPr="006D5D54" w:rsidRDefault="00422C48" w:rsidP="00CD363C">
      <w:pPr>
        <w:pStyle w:val="Pamatteksts"/>
        <w:ind w:right="113"/>
        <w:jc w:val="both"/>
        <w:rPr>
          <w:sz w:val="24"/>
          <w:szCs w:val="24"/>
        </w:rPr>
      </w:pPr>
    </w:p>
    <w:p w14:paraId="224450A5" w14:textId="77777777" w:rsidR="00A51762" w:rsidRPr="006D5D54" w:rsidRDefault="00A51762" w:rsidP="00CD363C">
      <w:pPr>
        <w:spacing w:after="0" w:line="240" w:lineRule="auto"/>
        <w:ind w:right="113"/>
        <w:jc w:val="both"/>
        <w:rPr>
          <w:rFonts w:ascii="Times New Roman" w:hAnsi="Times New Roman" w:cs="Times New Roman"/>
          <w:sz w:val="24"/>
          <w:szCs w:val="24"/>
        </w:rPr>
      </w:pPr>
      <w:bookmarkStart w:id="82" w:name="7._Aktīvu_atzīšana"/>
      <w:bookmarkStart w:id="83" w:name="_bookmark381"/>
      <w:bookmarkEnd w:id="82"/>
      <w:bookmarkEnd w:id="83"/>
      <w:r w:rsidRPr="006D5D54">
        <w:rPr>
          <w:rFonts w:ascii="Times New Roman" w:hAnsi="Times New Roman" w:cs="Times New Roman"/>
          <w:sz w:val="24"/>
          <w:szCs w:val="24"/>
        </w:rPr>
        <w:t>891. Ieņēmumi darījumos bez atlīdzības :</w:t>
      </w:r>
    </w:p>
    <w:p w14:paraId="31D67C38" w14:textId="77777777" w:rsidR="00A51762" w:rsidRPr="006D5D54" w:rsidRDefault="00A51762" w:rsidP="00CD363C">
      <w:pPr>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 xml:space="preserve">   891.1. Nodokļi un nodevas</w:t>
      </w:r>
    </w:p>
    <w:p w14:paraId="0C68459E" w14:textId="77777777" w:rsidR="00A51762" w:rsidRPr="006D5D54" w:rsidRDefault="00A51762" w:rsidP="00CD363C">
      <w:pPr>
        <w:spacing w:after="0" w:line="240" w:lineRule="auto"/>
        <w:ind w:right="113"/>
        <w:jc w:val="both"/>
        <w:rPr>
          <w:rFonts w:ascii="Times New Roman" w:hAnsi="Times New Roman" w:cs="Times New Roman"/>
          <w:color w:val="FF0000"/>
          <w:sz w:val="24"/>
          <w:szCs w:val="24"/>
        </w:rPr>
      </w:pPr>
      <w:r w:rsidRPr="006D5D54">
        <w:rPr>
          <w:rFonts w:ascii="Times New Roman" w:hAnsi="Times New Roman" w:cs="Times New Roman"/>
          <w:sz w:val="24"/>
          <w:szCs w:val="24"/>
        </w:rPr>
        <w:t xml:space="preserve">   891.2. Pārvedumi ( dotācijas, aktīvu saņemšana vispārējās valdības struktūru ietvaros, transferti, ziedojumi un dāvinājumi, ārvalstu finanšu palīdzība, naudas sodi  u.c. pārvedumi).</w:t>
      </w:r>
    </w:p>
    <w:p w14:paraId="174366A3" w14:textId="77777777" w:rsidR="006162DC" w:rsidRPr="006D5D54" w:rsidRDefault="002B6804"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22.2. Nodokļi un nodevas</w:t>
      </w:r>
    </w:p>
    <w:p w14:paraId="0FC54373"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892. Nodokļi ir galvenais ieņēmumu avots valstij un pašvaldībām. Nodokļi ir saimnieciskie labumi, kas ietver saņemtos vai saņemamos maksājumus saskaņā ar spēkā esošajiem tiesību aktiem, lai nodrošinātu ieņēmumus valstij un</w:t>
      </w:r>
      <w:r w:rsidRPr="006D5D54">
        <w:rPr>
          <w:rFonts w:ascii="Times New Roman" w:hAnsi="Times New Roman" w:cs="Times New Roman"/>
          <w:spacing w:val="-6"/>
          <w:sz w:val="24"/>
          <w:szCs w:val="24"/>
        </w:rPr>
        <w:t xml:space="preserve"> </w:t>
      </w:r>
      <w:r w:rsidRPr="006D5D54">
        <w:rPr>
          <w:rFonts w:ascii="Times New Roman" w:hAnsi="Times New Roman" w:cs="Times New Roman"/>
          <w:sz w:val="24"/>
          <w:szCs w:val="24"/>
        </w:rPr>
        <w:t>pašvaldībām.</w:t>
      </w:r>
    </w:p>
    <w:p w14:paraId="1DB94A27"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893.    Nodokļi atbilst darījuma bez atlīdzības definīcijai, jo nodokļu maksātājs ieskaita līdzekļus vispārējās valdības budžetā, tieši nesaņemot par to pretī aptuveni tādu pašu vērtību. Lai gan nodokļu maksātājs var gūt labumu no dažādām valsts sociālās politikas programmām, šie labumi netiek sniegti apmaiņā tieši kā atlīdzība par nodokļu</w:t>
      </w:r>
      <w:r w:rsidRPr="006D5D54">
        <w:rPr>
          <w:rFonts w:ascii="Times New Roman" w:hAnsi="Times New Roman" w:cs="Times New Roman"/>
          <w:spacing w:val="-2"/>
          <w:sz w:val="24"/>
          <w:szCs w:val="24"/>
        </w:rPr>
        <w:t xml:space="preserve"> </w:t>
      </w:r>
      <w:r w:rsidRPr="006D5D54">
        <w:rPr>
          <w:rFonts w:ascii="Times New Roman" w:hAnsi="Times New Roman" w:cs="Times New Roman"/>
          <w:sz w:val="24"/>
          <w:szCs w:val="24"/>
        </w:rPr>
        <w:t>samaksu.</w:t>
      </w:r>
    </w:p>
    <w:p w14:paraId="685E768F"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894.    Valsts un pašvaldību nodevu maksājumi ir uzskatāmi par darījumu bez atlīdzības, tomēr valsts un pašvaldību</w:t>
      </w:r>
      <w:r w:rsidRPr="006D5D54">
        <w:rPr>
          <w:rFonts w:ascii="Times New Roman" w:hAnsi="Times New Roman" w:cs="Times New Roman"/>
          <w:spacing w:val="-15"/>
          <w:sz w:val="24"/>
          <w:szCs w:val="24"/>
        </w:rPr>
        <w:t xml:space="preserve"> </w:t>
      </w:r>
      <w:r w:rsidRPr="006D5D54">
        <w:rPr>
          <w:rFonts w:ascii="Times New Roman" w:hAnsi="Times New Roman" w:cs="Times New Roman"/>
          <w:sz w:val="24"/>
          <w:szCs w:val="24"/>
        </w:rPr>
        <w:t>nodevas</w:t>
      </w:r>
      <w:r w:rsidRPr="006D5D54">
        <w:rPr>
          <w:rFonts w:ascii="Times New Roman" w:hAnsi="Times New Roman" w:cs="Times New Roman"/>
          <w:spacing w:val="-13"/>
          <w:sz w:val="24"/>
          <w:szCs w:val="24"/>
        </w:rPr>
        <w:t xml:space="preserve"> </w:t>
      </w:r>
      <w:r w:rsidRPr="006D5D54">
        <w:rPr>
          <w:rFonts w:ascii="Times New Roman" w:hAnsi="Times New Roman" w:cs="Times New Roman"/>
          <w:sz w:val="24"/>
          <w:szCs w:val="24"/>
        </w:rPr>
        <w:t>nav</w:t>
      </w:r>
      <w:r w:rsidRPr="006D5D54">
        <w:rPr>
          <w:rFonts w:ascii="Times New Roman" w:hAnsi="Times New Roman" w:cs="Times New Roman"/>
          <w:spacing w:val="-14"/>
          <w:sz w:val="24"/>
          <w:szCs w:val="24"/>
        </w:rPr>
        <w:t xml:space="preserve"> </w:t>
      </w:r>
      <w:r w:rsidRPr="006D5D54">
        <w:rPr>
          <w:rFonts w:ascii="Times New Roman" w:hAnsi="Times New Roman" w:cs="Times New Roman"/>
          <w:sz w:val="24"/>
          <w:szCs w:val="24"/>
        </w:rPr>
        <w:t>definējamas</w:t>
      </w:r>
      <w:r w:rsidRPr="006D5D54">
        <w:rPr>
          <w:rFonts w:ascii="Times New Roman" w:hAnsi="Times New Roman" w:cs="Times New Roman"/>
          <w:spacing w:val="-12"/>
          <w:sz w:val="24"/>
          <w:szCs w:val="24"/>
        </w:rPr>
        <w:t xml:space="preserve"> </w:t>
      </w:r>
      <w:r w:rsidRPr="006D5D54">
        <w:rPr>
          <w:rFonts w:ascii="Times New Roman" w:hAnsi="Times New Roman" w:cs="Times New Roman"/>
          <w:sz w:val="24"/>
          <w:szCs w:val="24"/>
        </w:rPr>
        <w:t>kā</w:t>
      </w:r>
      <w:r w:rsidRPr="006D5D54">
        <w:rPr>
          <w:rFonts w:ascii="Times New Roman" w:hAnsi="Times New Roman" w:cs="Times New Roman"/>
          <w:spacing w:val="-11"/>
          <w:sz w:val="24"/>
          <w:szCs w:val="24"/>
        </w:rPr>
        <w:t xml:space="preserve"> </w:t>
      </w:r>
      <w:r w:rsidRPr="006D5D54">
        <w:rPr>
          <w:rFonts w:ascii="Times New Roman" w:hAnsi="Times New Roman" w:cs="Times New Roman"/>
          <w:sz w:val="24"/>
          <w:szCs w:val="24"/>
        </w:rPr>
        <w:t>nodokļi,</w:t>
      </w:r>
      <w:r w:rsidRPr="006D5D54">
        <w:rPr>
          <w:rFonts w:ascii="Times New Roman" w:hAnsi="Times New Roman" w:cs="Times New Roman"/>
          <w:spacing w:val="-13"/>
          <w:sz w:val="24"/>
          <w:szCs w:val="24"/>
        </w:rPr>
        <w:t xml:space="preserve"> </w:t>
      </w:r>
      <w:r w:rsidRPr="006D5D54">
        <w:rPr>
          <w:rFonts w:ascii="Times New Roman" w:hAnsi="Times New Roman" w:cs="Times New Roman"/>
          <w:sz w:val="24"/>
          <w:szCs w:val="24"/>
        </w:rPr>
        <w:t>un</w:t>
      </w:r>
      <w:r w:rsidRPr="006D5D54">
        <w:rPr>
          <w:rFonts w:ascii="Times New Roman" w:hAnsi="Times New Roman" w:cs="Times New Roman"/>
          <w:spacing w:val="-14"/>
          <w:sz w:val="24"/>
          <w:szCs w:val="24"/>
        </w:rPr>
        <w:t xml:space="preserve"> </w:t>
      </w:r>
      <w:r w:rsidRPr="006D5D54">
        <w:rPr>
          <w:rFonts w:ascii="Times New Roman" w:hAnsi="Times New Roman" w:cs="Times New Roman"/>
          <w:sz w:val="24"/>
          <w:szCs w:val="24"/>
        </w:rPr>
        <w:t>to</w:t>
      </w:r>
      <w:r w:rsidRPr="006D5D54">
        <w:rPr>
          <w:rFonts w:ascii="Times New Roman" w:hAnsi="Times New Roman" w:cs="Times New Roman"/>
          <w:spacing w:val="-14"/>
          <w:sz w:val="24"/>
          <w:szCs w:val="24"/>
        </w:rPr>
        <w:t xml:space="preserve"> </w:t>
      </w:r>
      <w:r w:rsidRPr="006D5D54">
        <w:rPr>
          <w:rFonts w:ascii="Times New Roman" w:hAnsi="Times New Roman" w:cs="Times New Roman"/>
          <w:sz w:val="24"/>
          <w:szCs w:val="24"/>
        </w:rPr>
        <w:t>uzskaite</w:t>
      </w:r>
      <w:r w:rsidRPr="006D5D54">
        <w:rPr>
          <w:rFonts w:ascii="Times New Roman" w:hAnsi="Times New Roman" w:cs="Times New Roman"/>
          <w:spacing w:val="-12"/>
          <w:sz w:val="24"/>
          <w:szCs w:val="24"/>
        </w:rPr>
        <w:t xml:space="preserve"> </w:t>
      </w:r>
      <w:r w:rsidRPr="006D5D54">
        <w:rPr>
          <w:rFonts w:ascii="Times New Roman" w:hAnsi="Times New Roman" w:cs="Times New Roman"/>
          <w:sz w:val="24"/>
          <w:szCs w:val="24"/>
        </w:rPr>
        <w:t>ir</w:t>
      </w:r>
      <w:r w:rsidRPr="006D5D54">
        <w:rPr>
          <w:rFonts w:ascii="Times New Roman" w:hAnsi="Times New Roman" w:cs="Times New Roman"/>
          <w:spacing w:val="-11"/>
          <w:sz w:val="24"/>
          <w:szCs w:val="24"/>
        </w:rPr>
        <w:t xml:space="preserve"> </w:t>
      </w:r>
      <w:r w:rsidRPr="006D5D54">
        <w:rPr>
          <w:rFonts w:ascii="Times New Roman" w:hAnsi="Times New Roman" w:cs="Times New Roman"/>
          <w:sz w:val="24"/>
          <w:szCs w:val="24"/>
        </w:rPr>
        <w:t>aprakstīta atsevišķi nodaļā</w:t>
      </w:r>
      <w:r w:rsidRPr="006D5D54">
        <w:rPr>
          <w:rFonts w:ascii="Times New Roman" w:hAnsi="Times New Roman" w:cs="Times New Roman"/>
          <w:color w:val="0462C1"/>
          <w:sz w:val="24"/>
          <w:szCs w:val="24"/>
        </w:rPr>
        <w:t xml:space="preserve"> </w:t>
      </w:r>
      <w:r w:rsidRPr="006D5D54">
        <w:rPr>
          <w:rFonts w:ascii="Times New Roman" w:hAnsi="Times New Roman" w:cs="Times New Roman"/>
          <w:color w:val="0462C1"/>
          <w:sz w:val="24"/>
          <w:szCs w:val="24"/>
          <w:u w:val="single" w:color="0462C1"/>
        </w:rPr>
        <w:t>“</w:t>
      </w:r>
      <w:hyperlink w:anchor="_bookmark388" w:history="1">
        <w:r w:rsidRPr="006D5D54">
          <w:rPr>
            <w:rFonts w:ascii="Times New Roman" w:hAnsi="Times New Roman" w:cs="Times New Roman"/>
            <w:color w:val="0462C1"/>
            <w:sz w:val="24"/>
            <w:szCs w:val="24"/>
            <w:u w:val="single" w:color="0462C1"/>
          </w:rPr>
          <w:t>Nodevu</w:t>
        </w:r>
        <w:r w:rsidRPr="006D5D54">
          <w:rPr>
            <w:rFonts w:ascii="Times New Roman" w:hAnsi="Times New Roman" w:cs="Times New Roman"/>
            <w:color w:val="0462C1"/>
            <w:spacing w:val="2"/>
            <w:sz w:val="24"/>
            <w:szCs w:val="24"/>
            <w:u w:val="single" w:color="0462C1"/>
          </w:rPr>
          <w:t xml:space="preserve"> </w:t>
        </w:r>
        <w:r w:rsidRPr="006D5D54">
          <w:rPr>
            <w:rFonts w:ascii="Times New Roman" w:hAnsi="Times New Roman" w:cs="Times New Roman"/>
            <w:color w:val="0462C1"/>
            <w:sz w:val="24"/>
            <w:szCs w:val="24"/>
            <w:u w:val="single" w:color="0462C1"/>
          </w:rPr>
          <w:t>uzskaite</w:t>
        </w:r>
      </w:hyperlink>
      <w:r w:rsidRPr="006D5D54">
        <w:rPr>
          <w:rFonts w:ascii="Times New Roman" w:hAnsi="Times New Roman" w:cs="Times New Roman"/>
          <w:color w:val="0462C1"/>
          <w:sz w:val="24"/>
          <w:szCs w:val="24"/>
          <w:u w:val="single" w:color="0462C1"/>
        </w:rPr>
        <w:t>”</w:t>
      </w:r>
      <w:r w:rsidRPr="006D5D54">
        <w:rPr>
          <w:rFonts w:ascii="Times New Roman" w:hAnsi="Times New Roman" w:cs="Times New Roman"/>
          <w:sz w:val="24"/>
          <w:szCs w:val="24"/>
        </w:rPr>
        <w:t>.</w:t>
      </w:r>
    </w:p>
    <w:p w14:paraId="0AF7353A"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895.    Nodokļi neietver sodus, t.sk. naudas sodus, kas tiek piemēroti par tiesību aktu pārkāpumiem. Soda naudu vai cita veida sodu, kas aprēķināts par nodokļu likumu nosacījumu neievērošanu, uzskaites prasības ir noteiktas grāmatvedības uzskaites kārtības nodaļā</w:t>
      </w:r>
      <w:r w:rsidRPr="006D5D54">
        <w:rPr>
          <w:rFonts w:ascii="Times New Roman" w:hAnsi="Times New Roman" w:cs="Times New Roman"/>
          <w:color w:val="0462C1"/>
          <w:sz w:val="24"/>
          <w:szCs w:val="24"/>
        </w:rPr>
        <w:t xml:space="preserve"> </w:t>
      </w:r>
      <w:r w:rsidRPr="006D5D54">
        <w:rPr>
          <w:rFonts w:ascii="Times New Roman" w:hAnsi="Times New Roman" w:cs="Times New Roman"/>
          <w:color w:val="0462C1"/>
          <w:sz w:val="24"/>
          <w:szCs w:val="24"/>
          <w:u w:val="single" w:color="0462C1"/>
        </w:rPr>
        <w:t>“</w:t>
      </w:r>
      <w:hyperlink w:anchor="_bookmark390" w:history="1">
        <w:r w:rsidRPr="006D5D54">
          <w:rPr>
            <w:rFonts w:ascii="Times New Roman" w:hAnsi="Times New Roman" w:cs="Times New Roman"/>
            <w:color w:val="0462C1"/>
            <w:sz w:val="24"/>
            <w:szCs w:val="24"/>
            <w:u w:val="single" w:color="0462C1"/>
          </w:rPr>
          <w:t>Pārvedumi</w:t>
        </w:r>
      </w:hyperlink>
      <w:r w:rsidRPr="006D5D54">
        <w:rPr>
          <w:rFonts w:ascii="Times New Roman" w:hAnsi="Times New Roman" w:cs="Times New Roman"/>
          <w:color w:val="0462C1"/>
          <w:sz w:val="24"/>
          <w:szCs w:val="24"/>
          <w:u w:val="single" w:color="0462C1"/>
        </w:rPr>
        <w:t>”</w:t>
      </w:r>
      <w:r w:rsidRPr="006D5D54">
        <w:rPr>
          <w:rFonts w:ascii="Times New Roman" w:hAnsi="Times New Roman" w:cs="Times New Roman"/>
          <w:color w:val="0462C1"/>
          <w:sz w:val="24"/>
          <w:szCs w:val="24"/>
        </w:rPr>
        <w:t xml:space="preserve"> </w:t>
      </w:r>
      <w:r w:rsidRPr="006D5D54">
        <w:rPr>
          <w:rFonts w:ascii="Times New Roman" w:hAnsi="Times New Roman" w:cs="Times New Roman"/>
          <w:sz w:val="24"/>
          <w:szCs w:val="24"/>
        </w:rPr>
        <w:t>apakšnodaļā</w:t>
      </w:r>
      <w:r w:rsidRPr="006D5D54">
        <w:rPr>
          <w:rFonts w:ascii="Times New Roman" w:hAnsi="Times New Roman" w:cs="Times New Roman"/>
          <w:color w:val="0462C1"/>
          <w:spacing w:val="-2"/>
          <w:sz w:val="24"/>
          <w:szCs w:val="24"/>
        </w:rPr>
        <w:t xml:space="preserve"> </w:t>
      </w:r>
      <w:r w:rsidRPr="006D5D54">
        <w:rPr>
          <w:rFonts w:ascii="Times New Roman" w:hAnsi="Times New Roman" w:cs="Times New Roman"/>
          <w:color w:val="0462C1"/>
          <w:sz w:val="24"/>
          <w:szCs w:val="24"/>
          <w:u w:val="single" w:color="0462C1"/>
        </w:rPr>
        <w:t>”</w:t>
      </w:r>
      <w:hyperlink w:anchor="_bookmark399" w:history="1">
        <w:r w:rsidRPr="006D5D54">
          <w:rPr>
            <w:rFonts w:ascii="Times New Roman" w:hAnsi="Times New Roman" w:cs="Times New Roman"/>
            <w:color w:val="0462C1"/>
            <w:sz w:val="24"/>
            <w:szCs w:val="24"/>
            <w:u w:val="single" w:color="0462C1"/>
          </w:rPr>
          <w:t>Sodi</w:t>
        </w:r>
      </w:hyperlink>
      <w:r w:rsidRPr="006D5D54">
        <w:rPr>
          <w:rFonts w:ascii="Times New Roman" w:hAnsi="Times New Roman" w:cs="Times New Roman"/>
          <w:color w:val="0462C1"/>
          <w:sz w:val="24"/>
          <w:szCs w:val="24"/>
          <w:u w:val="single" w:color="0462C1"/>
        </w:rPr>
        <w:t>”</w:t>
      </w:r>
      <w:r w:rsidRPr="006D5D54">
        <w:rPr>
          <w:rFonts w:ascii="Times New Roman" w:hAnsi="Times New Roman" w:cs="Times New Roman"/>
          <w:sz w:val="24"/>
          <w:szCs w:val="24"/>
        </w:rPr>
        <w:t>.</w:t>
      </w:r>
    </w:p>
    <w:p w14:paraId="48C1AD6A" w14:textId="77777777" w:rsidR="002B6804" w:rsidRPr="006D5D54" w:rsidRDefault="002B6804" w:rsidP="00CD363C">
      <w:pPr>
        <w:pStyle w:val="Pamatteksts"/>
        <w:ind w:right="113"/>
        <w:jc w:val="both"/>
        <w:rPr>
          <w:b/>
          <w:bCs/>
          <w:i/>
          <w:iCs/>
          <w:color w:val="2F5496" w:themeColor="accent1" w:themeShade="BF"/>
          <w:sz w:val="24"/>
          <w:szCs w:val="24"/>
        </w:rPr>
      </w:pPr>
    </w:p>
    <w:p w14:paraId="49268FF4" w14:textId="77777777" w:rsidR="002B6804" w:rsidRPr="006D5D54" w:rsidRDefault="002B6804" w:rsidP="00CD363C">
      <w:pPr>
        <w:pStyle w:val="Pamatteksts"/>
        <w:ind w:right="113"/>
        <w:jc w:val="both"/>
        <w:rPr>
          <w:b/>
          <w:bCs/>
          <w:i/>
          <w:iCs/>
          <w:color w:val="2F5496" w:themeColor="accent1" w:themeShade="BF"/>
          <w:sz w:val="24"/>
          <w:szCs w:val="24"/>
        </w:rPr>
      </w:pPr>
      <w:r w:rsidRPr="006D5D54">
        <w:rPr>
          <w:b/>
          <w:bCs/>
          <w:i/>
          <w:iCs/>
          <w:color w:val="2F5496" w:themeColor="accent1" w:themeShade="BF"/>
          <w:sz w:val="24"/>
          <w:szCs w:val="24"/>
        </w:rPr>
        <w:t>Nodokļu uzskaites pamatprincipi</w:t>
      </w:r>
    </w:p>
    <w:p w14:paraId="676D5250" w14:textId="77777777" w:rsidR="002B6804" w:rsidRPr="006D5D54" w:rsidRDefault="00350467" w:rsidP="00CD363C">
      <w:pPr>
        <w:pStyle w:val="Virsraksts6"/>
        <w:tabs>
          <w:tab w:val="left" w:pos="1017"/>
          <w:tab w:val="left" w:pos="1018"/>
        </w:tabs>
        <w:ind w:left="0" w:right="113"/>
        <w:jc w:val="both"/>
        <w:rPr>
          <w:sz w:val="24"/>
          <w:szCs w:val="24"/>
        </w:rPr>
      </w:pPr>
      <w:r>
        <w:rPr>
          <w:sz w:val="24"/>
          <w:szCs w:val="24"/>
        </w:rPr>
        <w:t>22.2.1.</w:t>
      </w:r>
      <w:r w:rsidR="002B6804" w:rsidRPr="006D5D54">
        <w:rPr>
          <w:sz w:val="24"/>
          <w:szCs w:val="24"/>
        </w:rPr>
        <w:t>Vispārīgās</w:t>
      </w:r>
      <w:r w:rsidR="002B6804" w:rsidRPr="006D5D54">
        <w:rPr>
          <w:spacing w:val="-1"/>
          <w:sz w:val="24"/>
          <w:szCs w:val="24"/>
        </w:rPr>
        <w:t xml:space="preserve"> </w:t>
      </w:r>
      <w:r w:rsidR="002B6804" w:rsidRPr="006D5D54">
        <w:rPr>
          <w:sz w:val="24"/>
          <w:szCs w:val="24"/>
        </w:rPr>
        <w:t>prasības</w:t>
      </w:r>
    </w:p>
    <w:p w14:paraId="67FBBC9F" w14:textId="77777777" w:rsidR="002B6804" w:rsidRPr="006D5D54" w:rsidRDefault="00743394" w:rsidP="00CD363C">
      <w:pPr>
        <w:pStyle w:val="Pamatteksts"/>
        <w:ind w:right="113"/>
        <w:jc w:val="both"/>
        <w:rPr>
          <w:sz w:val="24"/>
          <w:szCs w:val="24"/>
        </w:rPr>
      </w:pPr>
      <w:r w:rsidRPr="006D5D54">
        <w:rPr>
          <w:sz w:val="24"/>
          <w:szCs w:val="24"/>
        </w:rPr>
        <w:t xml:space="preserve">896.   </w:t>
      </w:r>
      <w:r w:rsidR="002B6804" w:rsidRPr="006D5D54">
        <w:rPr>
          <w:sz w:val="24"/>
          <w:szCs w:val="24"/>
        </w:rPr>
        <w:t>Nodokļu tiesību akti nosaka:</w:t>
      </w:r>
    </w:p>
    <w:p w14:paraId="3F801FBD" w14:textId="77777777" w:rsidR="002B6804" w:rsidRPr="006D5D54" w:rsidRDefault="002B6804" w:rsidP="00CD363C">
      <w:pPr>
        <w:pStyle w:val="Sarakstarindkopa"/>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tiesības iekasēt</w:t>
      </w:r>
      <w:r w:rsidRPr="006D5D54">
        <w:rPr>
          <w:rFonts w:ascii="Times New Roman" w:hAnsi="Times New Roman" w:cs="Times New Roman"/>
          <w:spacing w:val="-2"/>
          <w:sz w:val="24"/>
          <w:szCs w:val="24"/>
        </w:rPr>
        <w:t xml:space="preserve"> </w:t>
      </w:r>
      <w:r w:rsidRPr="006D5D54">
        <w:rPr>
          <w:rFonts w:ascii="Times New Roman" w:hAnsi="Times New Roman" w:cs="Times New Roman"/>
          <w:sz w:val="24"/>
          <w:szCs w:val="24"/>
        </w:rPr>
        <w:t>nodokļus;</w:t>
      </w:r>
    </w:p>
    <w:p w14:paraId="314E78CB" w14:textId="77777777" w:rsidR="002B6804" w:rsidRPr="006D5D54" w:rsidRDefault="002B6804" w:rsidP="00CD363C">
      <w:pPr>
        <w:pStyle w:val="Sarakstarindkopa"/>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nodokļu bāzi;</w:t>
      </w:r>
    </w:p>
    <w:p w14:paraId="2A7CC323" w14:textId="77777777" w:rsidR="002B6804" w:rsidRPr="006D5D54" w:rsidRDefault="002B6804" w:rsidP="00CD363C">
      <w:pPr>
        <w:pStyle w:val="Sarakstarindkopa"/>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nodokļu administrēšanas</w:t>
      </w:r>
      <w:r w:rsidRPr="006D5D54">
        <w:rPr>
          <w:rFonts w:ascii="Times New Roman" w:hAnsi="Times New Roman" w:cs="Times New Roman"/>
          <w:spacing w:val="-1"/>
          <w:sz w:val="24"/>
          <w:szCs w:val="24"/>
        </w:rPr>
        <w:t xml:space="preserve"> </w:t>
      </w:r>
      <w:r w:rsidRPr="006D5D54">
        <w:rPr>
          <w:rFonts w:ascii="Times New Roman" w:hAnsi="Times New Roman" w:cs="Times New Roman"/>
          <w:sz w:val="24"/>
          <w:szCs w:val="24"/>
        </w:rPr>
        <w:t>kārtību;</w:t>
      </w:r>
    </w:p>
    <w:p w14:paraId="0F56E2D2" w14:textId="77777777" w:rsidR="002B6804" w:rsidRPr="006D5D54" w:rsidRDefault="002B6804" w:rsidP="00CD363C">
      <w:pPr>
        <w:pStyle w:val="Sarakstarindkopa"/>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nodokļu maksātāju</w:t>
      </w:r>
      <w:r w:rsidRPr="006D5D54">
        <w:rPr>
          <w:rFonts w:ascii="Times New Roman" w:hAnsi="Times New Roman" w:cs="Times New Roman"/>
          <w:spacing w:val="-1"/>
          <w:sz w:val="24"/>
          <w:szCs w:val="24"/>
        </w:rPr>
        <w:t xml:space="preserve"> </w:t>
      </w:r>
      <w:r w:rsidRPr="006D5D54">
        <w:rPr>
          <w:rFonts w:ascii="Times New Roman" w:hAnsi="Times New Roman" w:cs="Times New Roman"/>
          <w:sz w:val="24"/>
          <w:szCs w:val="24"/>
        </w:rPr>
        <w:t>pienākumus:</w:t>
      </w:r>
    </w:p>
    <w:p w14:paraId="1348423F" w14:textId="77777777" w:rsidR="002B6804" w:rsidRPr="006D5D54" w:rsidRDefault="002B6804" w:rsidP="00CD363C">
      <w:pPr>
        <w:pStyle w:val="Sarakstarindkopa"/>
        <w:widowControl w:val="0"/>
        <w:numPr>
          <w:ilvl w:val="3"/>
          <w:numId w:val="62"/>
        </w:numPr>
        <w:tabs>
          <w:tab w:val="left" w:pos="1853"/>
          <w:tab w:val="left" w:pos="1854"/>
        </w:tabs>
        <w:autoSpaceDE w:val="0"/>
        <w:autoSpaceDN w:val="0"/>
        <w:spacing w:after="0" w:line="240" w:lineRule="auto"/>
        <w:ind w:right="113"/>
        <w:contextualSpacing w:val="0"/>
        <w:jc w:val="both"/>
        <w:rPr>
          <w:rFonts w:ascii="Times New Roman" w:hAnsi="Times New Roman" w:cs="Times New Roman"/>
          <w:sz w:val="24"/>
          <w:szCs w:val="24"/>
        </w:rPr>
      </w:pPr>
      <w:r w:rsidRPr="006D5D54">
        <w:rPr>
          <w:rFonts w:ascii="Times New Roman" w:hAnsi="Times New Roman" w:cs="Times New Roman"/>
          <w:sz w:val="24"/>
          <w:szCs w:val="24"/>
        </w:rPr>
        <w:t>regulāri iesniegt noteiktu nodokļu deklarācijas budžeta iestādēm, kas administrē attiecīgo nodokli;</w:t>
      </w:r>
    </w:p>
    <w:p w14:paraId="562227F4" w14:textId="77777777" w:rsidR="002B6804" w:rsidRPr="006D5D54" w:rsidRDefault="002B6804" w:rsidP="00CD363C">
      <w:pPr>
        <w:pStyle w:val="Sarakstarindkopa"/>
        <w:widowControl w:val="0"/>
        <w:numPr>
          <w:ilvl w:val="3"/>
          <w:numId w:val="62"/>
        </w:numPr>
        <w:tabs>
          <w:tab w:val="left" w:pos="1853"/>
          <w:tab w:val="left" w:pos="1854"/>
        </w:tabs>
        <w:autoSpaceDE w:val="0"/>
        <w:autoSpaceDN w:val="0"/>
        <w:spacing w:after="0" w:line="240" w:lineRule="auto"/>
        <w:ind w:right="113"/>
        <w:contextualSpacing w:val="0"/>
        <w:jc w:val="both"/>
        <w:rPr>
          <w:rFonts w:ascii="Times New Roman" w:hAnsi="Times New Roman" w:cs="Times New Roman"/>
          <w:sz w:val="24"/>
          <w:szCs w:val="24"/>
        </w:rPr>
      </w:pPr>
      <w:r w:rsidRPr="006D5D54">
        <w:rPr>
          <w:rFonts w:ascii="Times New Roman" w:hAnsi="Times New Roman" w:cs="Times New Roman"/>
          <w:sz w:val="24"/>
          <w:szCs w:val="24"/>
        </w:rPr>
        <w:t>sniegt informāciju un pierādījumus par apliekamo notikumu, lai aprēķinātu maksājamā nodokļu</w:t>
      </w:r>
      <w:r w:rsidRPr="006D5D54">
        <w:rPr>
          <w:rFonts w:ascii="Times New Roman" w:hAnsi="Times New Roman" w:cs="Times New Roman"/>
          <w:spacing w:val="-1"/>
          <w:sz w:val="24"/>
          <w:szCs w:val="24"/>
        </w:rPr>
        <w:t xml:space="preserve"> </w:t>
      </w:r>
      <w:r w:rsidRPr="006D5D54">
        <w:rPr>
          <w:rFonts w:ascii="Times New Roman" w:hAnsi="Times New Roman" w:cs="Times New Roman"/>
          <w:sz w:val="24"/>
          <w:szCs w:val="24"/>
        </w:rPr>
        <w:t>summu.</w:t>
      </w:r>
    </w:p>
    <w:p w14:paraId="776396E6" w14:textId="77777777" w:rsidR="002B6804" w:rsidRPr="006D5D54" w:rsidRDefault="00743394" w:rsidP="00CD363C">
      <w:pPr>
        <w:pStyle w:val="Pamatteksts"/>
        <w:ind w:right="113"/>
        <w:jc w:val="both"/>
        <w:rPr>
          <w:sz w:val="24"/>
          <w:szCs w:val="24"/>
        </w:rPr>
      </w:pPr>
      <w:r w:rsidRPr="006D5D54">
        <w:rPr>
          <w:sz w:val="24"/>
          <w:szCs w:val="24"/>
        </w:rPr>
        <w:t xml:space="preserve">897.    </w:t>
      </w:r>
      <w:r w:rsidR="002B6804" w:rsidRPr="006D5D54">
        <w:rPr>
          <w:sz w:val="24"/>
          <w:szCs w:val="24"/>
        </w:rPr>
        <w:t>Nodokļu maksājumu saņemšanas kārtība ir dažāda, taču parasti šāda kārtība izstrādāta tā, lai nodrošinātu, ka valsts saņem regulārus maksājumus, neuzsākot tiesvedību.</w:t>
      </w:r>
    </w:p>
    <w:p w14:paraId="42A0FEE6" w14:textId="77777777" w:rsidR="002B6804" w:rsidRPr="006D5D54" w:rsidRDefault="00743394" w:rsidP="00CD363C">
      <w:pPr>
        <w:pStyle w:val="Pamatteksts"/>
        <w:ind w:right="113"/>
        <w:jc w:val="both"/>
        <w:rPr>
          <w:sz w:val="24"/>
          <w:szCs w:val="24"/>
        </w:rPr>
      </w:pPr>
      <w:r w:rsidRPr="006D5D54">
        <w:rPr>
          <w:noProof/>
          <w:sz w:val="24"/>
          <w:szCs w:val="24"/>
        </w:rPr>
        <w:t xml:space="preserve">898.    </w:t>
      </w:r>
      <w:r w:rsidR="002B6804" w:rsidRPr="006D5D54">
        <w:rPr>
          <w:sz w:val="24"/>
          <w:szCs w:val="24"/>
        </w:rPr>
        <w:t>Nodokļu tiesību akti tiek stingri uzraudzīti un par to neievērošanu tiesību subjektiem tiek noteiktas sankcijas.</w:t>
      </w:r>
    </w:p>
    <w:p w14:paraId="355F9572" w14:textId="77777777" w:rsidR="002B6804" w:rsidRPr="006D5D54" w:rsidRDefault="002B6804" w:rsidP="00CD363C">
      <w:pPr>
        <w:spacing w:after="0" w:line="240" w:lineRule="auto"/>
        <w:ind w:right="113"/>
        <w:jc w:val="both"/>
        <w:rPr>
          <w:rFonts w:ascii="Times New Roman" w:hAnsi="Times New Roman" w:cs="Times New Roman"/>
          <w:sz w:val="24"/>
          <w:szCs w:val="24"/>
        </w:rPr>
        <w:sectPr w:rsidR="002B6804" w:rsidRPr="006D5D54" w:rsidSect="0028541C">
          <w:footerReference w:type="default" r:id="rId79"/>
          <w:pgSz w:w="11910" w:h="16840"/>
          <w:pgMar w:top="1080" w:right="853" w:bottom="1160" w:left="1080" w:header="0" w:footer="976" w:gutter="0"/>
          <w:pgNumType w:start="414"/>
          <w:cols w:space="720"/>
        </w:sectPr>
      </w:pPr>
    </w:p>
    <w:p w14:paraId="2EF512BA" w14:textId="77777777" w:rsidR="002B6804" w:rsidRPr="006D5D54" w:rsidRDefault="00BC36BD" w:rsidP="00CD363C">
      <w:pPr>
        <w:pStyle w:val="Pamatteksts"/>
        <w:ind w:right="113"/>
        <w:jc w:val="both"/>
        <w:rPr>
          <w:sz w:val="24"/>
          <w:szCs w:val="24"/>
        </w:rPr>
      </w:pPr>
      <w:r w:rsidRPr="006D5D54">
        <w:rPr>
          <w:noProof/>
          <w:sz w:val="24"/>
          <w:szCs w:val="24"/>
        </w:rPr>
        <w:t xml:space="preserve">898.    </w:t>
      </w:r>
      <w:r w:rsidR="002B6804" w:rsidRPr="006D5D54">
        <w:rPr>
          <w:sz w:val="24"/>
          <w:szCs w:val="24"/>
        </w:rPr>
        <w:t>Nodokļu ieņēmumus uzrāda tikai tās budžeta iestādes pārskatā, kas uzskaita nodokli, un neviena cita budžeta iestāde. Piemēram, ja vispārējā valdība uzskaita nodokli, ko iekasē tās nodokļu administrācija, aktīvus un ieņēmumus atzīst vispārējās valdības, nevis nodokļu administrācijas (saimnieciskās darbības) uzskaitē. Turklāt, ja vispārējā valdība uzskaita iedzīvotāju ienākuma nodokli,</w:t>
      </w:r>
      <w:r w:rsidR="002B6804" w:rsidRPr="006D5D54">
        <w:rPr>
          <w:spacing w:val="-12"/>
          <w:sz w:val="24"/>
          <w:szCs w:val="24"/>
        </w:rPr>
        <w:t xml:space="preserve"> </w:t>
      </w:r>
      <w:r w:rsidR="002B6804" w:rsidRPr="006D5D54">
        <w:rPr>
          <w:sz w:val="24"/>
          <w:szCs w:val="24"/>
        </w:rPr>
        <w:t>no</w:t>
      </w:r>
      <w:r w:rsidR="002B6804" w:rsidRPr="006D5D54">
        <w:rPr>
          <w:spacing w:val="-12"/>
          <w:sz w:val="24"/>
          <w:szCs w:val="24"/>
        </w:rPr>
        <w:t xml:space="preserve"> </w:t>
      </w:r>
      <w:r w:rsidR="002B6804" w:rsidRPr="006D5D54">
        <w:rPr>
          <w:sz w:val="24"/>
          <w:szCs w:val="24"/>
        </w:rPr>
        <w:t>kura</w:t>
      </w:r>
      <w:r w:rsidR="002B6804" w:rsidRPr="006D5D54">
        <w:rPr>
          <w:spacing w:val="-11"/>
          <w:sz w:val="24"/>
          <w:szCs w:val="24"/>
        </w:rPr>
        <w:t xml:space="preserve"> </w:t>
      </w:r>
      <w:r w:rsidR="002B6804" w:rsidRPr="006D5D54">
        <w:rPr>
          <w:sz w:val="24"/>
          <w:szCs w:val="24"/>
        </w:rPr>
        <w:t>gūtos</w:t>
      </w:r>
      <w:r w:rsidR="002B6804" w:rsidRPr="006D5D54">
        <w:rPr>
          <w:spacing w:val="-13"/>
          <w:sz w:val="24"/>
          <w:szCs w:val="24"/>
        </w:rPr>
        <w:t xml:space="preserve"> </w:t>
      </w:r>
      <w:r w:rsidR="002B6804" w:rsidRPr="006D5D54">
        <w:rPr>
          <w:sz w:val="24"/>
          <w:szCs w:val="24"/>
        </w:rPr>
        <w:t>ieņēmumus,</w:t>
      </w:r>
      <w:r w:rsidR="002B6804" w:rsidRPr="006D5D54">
        <w:rPr>
          <w:spacing w:val="-11"/>
          <w:sz w:val="24"/>
          <w:szCs w:val="24"/>
        </w:rPr>
        <w:t xml:space="preserve"> </w:t>
      </w:r>
      <w:r w:rsidR="002B6804" w:rsidRPr="006D5D54">
        <w:rPr>
          <w:sz w:val="24"/>
          <w:szCs w:val="24"/>
        </w:rPr>
        <w:t>pamatojoties</w:t>
      </w:r>
      <w:r w:rsidR="002B6804" w:rsidRPr="006D5D54">
        <w:rPr>
          <w:spacing w:val="-11"/>
          <w:sz w:val="24"/>
          <w:szCs w:val="24"/>
        </w:rPr>
        <w:t xml:space="preserve"> </w:t>
      </w:r>
      <w:r w:rsidR="002B6804" w:rsidRPr="006D5D54">
        <w:rPr>
          <w:sz w:val="24"/>
          <w:szCs w:val="24"/>
        </w:rPr>
        <w:t>uz</w:t>
      </w:r>
      <w:r w:rsidR="002B6804" w:rsidRPr="006D5D54">
        <w:rPr>
          <w:spacing w:val="-13"/>
          <w:sz w:val="24"/>
          <w:szCs w:val="24"/>
        </w:rPr>
        <w:t xml:space="preserve"> </w:t>
      </w:r>
      <w:r w:rsidR="002B6804" w:rsidRPr="006D5D54">
        <w:rPr>
          <w:sz w:val="24"/>
          <w:szCs w:val="24"/>
        </w:rPr>
        <w:t>pārdales</w:t>
      </w:r>
      <w:r w:rsidR="002B6804" w:rsidRPr="006D5D54">
        <w:rPr>
          <w:spacing w:val="-11"/>
          <w:sz w:val="24"/>
          <w:szCs w:val="24"/>
        </w:rPr>
        <w:t xml:space="preserve"> </w:t>
      </w:r>
      <w:r w:rsidR="002B6804" w:rsidRPr="006D5D54">
        <w:rPr>
          <w:sz w:val="24"/>
          <w:szCs w:val="24"/>
        </w:rPr>
        <w:t>principu,</w:t>
      </w:r>
      <w:r w:rsidR="002B6804" w:rsidRPr="006D5D54">
        <w:rPr>
          <w:spacing w:val="-14"/>
          <w:sz w:val="24"/>
          <w:szCs w:val="24"/>
        </w:rPr>
        <w:t xml:space="preserve"> </w:t>
      </w:r>
      <w:r w:rsidR="002B6804" w:rsidRPr="006D5D54">
        <w:rPr>
          <w:sz w:val="24"/>
          <w:szCs w:val="24"/>
        </w:rPr>
        <w:t>tā</w:t>
      </w:r>
      <w:r w:rsidR="002B6804" w:rsidRPr="006D5D54">
        <w:rPr>
          <w:spacing w:val="-11"/>
          <w:sz w:val="24"/>
          <w:szCs w:val="24"/>
        </w:rPr>
        <w:t xml:space="preserve"> </w:t>
      </w:r>
      <w:r w:rsidR="002B6804" w:rsidRPr="006D5D54">
        <w:rPr>
          <w:sz w:val="24"/>
          <w:szCs w:val="24"/>
        </w:rPr>
        <w:t>pilnīgi</w:t>
      </w:r>
      <w:r w:rsidR="002B6804" w:rsidRPr="006D5D54">
        <w:rPr>
          <w:spacing w:val="-10"/>
          <w:sz w:val="24"/>
          <w:szCs w:val="24"/>
        </w:rPr>
        <w:t xml:space="preserve"> </w:t>
      </w:r>
      <w:r w:rsidR="002B6804" w:rsidRPr="006D5D54">
        <w:rPr>
          <w:sz w:val="24"/>
          <w:szCs w:val="24"/>
        </w:rPr>
        <w:t>vai</w:t>
      </w:r>
      <w:r w:rsidR="002B6804" w:rsidRPr="006D5D54">
        <w:rPr>
          <w:spacing w:val="-11"/>
          <w:sz w:val="24"/>
          <w:szCs w:val="24"/>
        </w:rPr>
        <w:t xml:space="preserve"> </w:t>
      </w:r>
      <w:r w:rsidR="002B6804" w:rsidRPr="006D5D54">
        <w:rPr>
          <w:sz w:val="24"/>
          <w:szCs w:val="24"/>
        </w:rPr>
        <w:t>daļēji</w:t>
      </w:r>
      <w:r w:rsidR="002B6804" w:rsidRPr="006D5D54">
        <w:rPr>
          <w:spacing w:val="-11"/>
          <w:sz w:val="24"/>
          <w:szCs w:val="24"/>
        </w:rPr>
        <w:t xml:space="preserve"> </w:t>
      </w:r>
      <w:r w:rsidR="002B6804" w:rsidRPr="006D5D54">
        <w:rPr>
          <w:sz w:val="24"/>
          <w:szCs w:val="24"/>
        </w:rPr>
        <w:t>pārskaita pašvaldībām,</w:t>
      </w:r>
      <w:r w:rsidR="002B6804" w:rsidRPr="006D5D54">
        <w:rPr>
          <w:spacing w:val="-7"/>
          <w:sz w:val="24"/>
          <w:szCs w:val="24"/>
        </w:rPr>
        <w:t xml:space="preserve"> </w:t>
      </w:r>
      <w:r w:rsidR="002B6804" w:rsidRPr="006D5D54">
        <w:rPr>
          <w:sz w:val="24"/>
          <w:szCs w:val="24"/>
        </w:rPr>
        <w:t>vispārējā</w:t>
      </w:r>
      <w:r w:rsidR="002B6804" w:rsidRPr="006D5D54">
        <w:rPr>
          <w:spacing w:val="-5"/>
          <w:sz w:val="24"/>
          <w:szCs w:val="24"/>
        </w:rPr>
        <w:t xml:space="preserve"> </w:t>
      </w:r>
      <w:r w:rsidR="002B6804" w:rsidRPr="006D5D54">
        <w:rPr>
          <w:sz w:val="24"/>
          <w:szCs w:val="24"/>
        </w:rPr>
        <w:t>valdība</w:t>
      </w:r>
      <w:r w:rsidR="002B6804" w:rsidRPr="006D5D54">
        <w:rPr>
          <w:spacing w:val="-5"/>
          <w:sz w:val="24"/>
          <w:szCs w:val="24"/>
        </w:rPr>
        <w:t xml:space="preserve"> </w:t>
      </w:r>
      <w:r w:rsidR="002B6804" w:rsidRPr="006D5D54">
        <w:rPr>
          <w:sz w:val="24"/>
          <w:szCs w:val="24"/>
        </w:rPr>
        <w:t>atzīst</w:t>
      </w:r>
      <w:r w:rsidR="002B6804" w:rsidRPr="006D5D54">
        <w:rPr>
          <w:spacing w:val="-6"/>
          <w:sz w:val="24"/>
          <w:szCs w:val="24"/>
        </w:rPr>
        <w:t xml:space="preserve"> </w:t>
      </w:r>
      <w:r w:rsidR="002B6804" w:rsidRPr="006D5D54">
        <w:rPr>
          <w:sz w:val="24"/>
          <w:szCs w:val="24"/>
        </w:rPr>
        <w:t>aktīvus</w:t>
      </w:r>
      <w:r w:rsidR="002B6804" w:rsidRPr="006D5D54">
        <w:rPr>
          <w:spacing w:val="-5"/>
          <w:sz w:val="24"/>
          <w:szCs w:val="24"/>
        </w:rPr>
        <w:t xml:space="preserve"> </w:t>
      </w:r>
      <w:r w:rsidR="002B6804" w:rsidRPr="006D5D54">
        <w:rPr>
          <w:sz w:val="24"/>
          <w:szCs w:val="24"/>
        </w:rPr>
        <w:t>un</w:t>
      </w:r>
      <w:r w:rsidR="002B6804" w:rsidRPr="006D5D54">
        <w:rPr>
          <w:spacing w:val="-6"/>
          <w:sz w:val="24"/>
          <w:szCs w:val="24"/>
        </w:rPr>
        <w:t xml:space="preserve"> </w:t>
      </w:r>
      <w:r w:rsidR="002B6804" w:rsidRPr="006D5D54">
        <w:rPr>
          <w:sz w:val="24"/>
          <w:szCs w:val="24"/>
        </w:rPr>
        <w:t>ieņēmumus</w:t>
      </w:r>
      <w:r w:rsidR="002B6804" w:rsidRPr="006D5D54">
        <w:rPr>
          <w:spacing w:val="-5"/>
          <w:sz w:val="24"/>
          <w:szCs w:val="24"/>
        </w:rPr>
        <w:t xml:space="preserve"> </w:t>
      </w:r>
      <w:r w:rsidR="002B6804" w:rsidRPr="006D5D54">
        <w:rPr>
          <w:sz w:val="24"/>
          <w:szCs w:val="24"/>
        </w:rPr>
        <w:t>atbilstoši</w:t>
      </w:r>
      <w:r w:rsidR="002B6804" w:rsidRPr="006D5D54">
        <w:rPr>
          <w:spacing w:val="-5"/>
          <w:sz w:val="24"/>
          <w:szCs w:val="24"/>
        </w:rPr>
        <w:t xml:space="preserve"> </w:t>
      </w:r>
      <w:r w:rsidR="002B6804" w:rsidRPr="006D5D54">
        <w:rPr>
          <w:sz w:val="24"/>
          <w:szCs w:val="24"/>
        </w:rPr>
        <w:t>aprēķinātajam</w:t>
      </w:r>
      <w:r w:rsidR="002B6804" w:rsidRPr="006D5D54">
        <w:rPr>
          <w:spacing w:val="-9"/>
          <w:sz w:val="24"/>
          <w:szCs w:val="24"/>
        </w:rPr>
        <w:t xml:space="preserve"> </w:t>
      </w:r>
      <w:r w:rsidR="002B6804" w:rsidRPr="006D5D54">
        <w:rPr>
          <w:sz w:val="24"/>
          <w:szCs w:val="24"/>
        </w:rPr>
        <w:t>nodoklim,</w:t>
      </w:r>
      <w:r w:rsidR="002B6804" w:rsidRPr="006D5D54">
        <w:rPr>
          <w:spacing w:val="-3"/>
          <w:sz w:val="24"/>
          <w:szCs w:val="24"/>
        </w:rPr>
        <w:t xml:space="preserve"> </w:t>
      </w:r>
      <w:r w:rsidR="002B6804" w:rsidRPr="006D5D54">
        <w:rPr>
          <w:sz w:val="24"/>
          <w:szCs w:val="24"/>
        </w:rPr>
        <w:t>kā arī aktīvu un ieņēmumu samazinājumu atbilstoši pašvaldībām pārskaitīto valsts budžeta līdzekļu summai. Pašvaldības atzīst aktīvus un ieņēmumus atbilstoši pārveduma</w:t>
      </w:r>
      <w:r w:rsidR="002B6804" w:rsidRPr="006D5D54">
        <w:rPr>
          <w:spacing w:val="-8"/>
          <w:sz w:val="24"/>
          <w:szCs w:val="24"/>
        </w:rPr>
        <w:t xml:space="preserve"> </w:t>
      </w:r>
      <w:r w:rsidR="002B6804" w:rsidRPr="006D5D54">
        <w:rPr>
          <w:sz w:val="24"/>
          <w:szCs w:val="24"/>
        </w:rPr>
        <w:t>summai.</w:t>
      </w:r>
    </w:p>
    <w:p w14:paraId="0ADC3B05" w14:textId="77777777" w:rsidR="00BC36BD" w:rsidRPr="006D5D54" w:rsidRDefault="00BC36BD" w:rsidP="00CD363C">
      <w:pPr>
        <w:pStyle w:val="Pamatteksts"/>
        <w:ind w:right="113"/>
        <w:jc w:val="both"/>
        <w:rPr>
          <w:sz w:val="24"/>
          <w:szCs w:val="24"/>
        </w:rPr>
      </w:pPr>
      <w:r w:rsidRPr="006D5D54">
        <w:rPr>
          <w:noProof/>
          <w:sz w:val="24"/>
          <w:szCs w:val="24"/>
        </w:rPr>
        <w:t xml:space="preserve">899.   </w:t>
      </w:r>
      <w:r w:rsidR="002B6804" w:rsidRPr="006D5D54">
        <w:rPr>
          <w:sz w:val="24"/>
          <w:szCs w:val="24"/>
        </w:rPr>
        <w:t>Gadījumos,</w:t>
      </w:r>
      <w:r w:rsidR="002B6804" w:rsidRPr="006D5D54">
        <w:rPr>
          <w:spacing w:val="-9"/>
          <w:sz w:val="24"/>
          <w:szCs w:val="24"/>
        </w:rPr>
        <w:t xml:space="preserve"> </w:t>
      </w:r>
      <w:r w:rsidR="002B6804" w:rsidRPr="006D5D54">
        <w:rPr>
          <w:sz w:val="24"/>
          <w:szCs w:val="24"/>
        </w:rPr>
        <w:t>ja</w:t>
      </w:r>
      <w:r w:rsidR="002B6804" w:rsidRPr="006D5D54">
        <w:rPr>
          <w:spacing w:val="-8"/>
          <w:sz w:val="24"/>
          <w:szCs w:val="24"/>
        </w:rPr>
        <w:t xml:space="preserve"> </w:t>
      </w:r>
      <w:r w:rsidR="002B6804" w:rsidRPr="006D5D54">
        <w:rPr>
          <w:sz w:val="24"/>
          <w:szCs w:val="24"/>
        </w:rPr>
        <w:t>kāda</w:t>
      </w:r>
      <w:r w:rsidR="002B6804" w:rsidRPr="006D5D54">
        <w:rPr>
          <w:spacing w:val="-7"/>
          <w:sz w:val="24"/>
          <w:szCs w:val="24"/>
        </w:rPr>
        <w:t xml:space="preserve"> </w:t>
      </w:r>
      <w:r w:rsidR="002B6804" w:rsidRPr="006D5D54">
        <w:rPr>
          <w:sz w:val="24"/>
          <w:szCs w:val="24"/>
        </w:rPr>
        <w:t>budžeta</w:t>
      </w:r>
      <w:r w:rsidR="002B6804" w:rsidRPr="006D5D54">
        <w:rPr>
          <w:spacing w:val="-8"/>
          <w:sz w:val="24"/>
          <w:szCs w:val="24"/>
        </w:rPr>
        <w:t xml:space="preserve"> </w:t>
      </w:r>
      <w:r w:rsidR="002B6804" w:rsidRPr="006D5D54">
        <w:rPr>
          <w:sz w:val="24"/>
          <w:szCs w:val="24"/>
        </w:rPr>
        <w:t>iestāde</w:t>
      </w:r>
      <w:r w:rsidR="002B6804" w:rsidRPr="006D5D54">
        <w:rPr>
          <w:spacing w:val="-9"/>
          <w:sz w:val="24"/>
          <w:szCs w:val="24"/>
        </w:rPr>
        <w:t xml:space="preserve"> </w:t>
      </w:r>
      <w:r w:rsidR="002B6804" w:rsidRPr="006D5D54">
        <w:rPr>
          <w:sz w:val="24"/>
          <w:szCs w:val="24"/>
        </w:rPr>
        <w:t>iekasē</w:t>
      </w:r>
      <w:r w:rsidR="002B6804" w:rsidRPr="006D5D54">
        <w:rPr>
          <w:spacing w:val="-8"/>
          <w:sz w:val="24"/>
          <w:szCs w:val="24"/>
        </w:rPr>
        <w:t xml:space="preserve"> </w:t>
      </w:r>
      <w:r w:rsidR="002B6804" w:rsidRPr="006D5D54">
        <w:rPr>
          <w:sz w:val="24"/>
          <w:szCs w:val="24"/>
        </w:rPr>
        <w:t>nodokļus</w:t>
      </w:r>
      <w:r w:rsidR="002B6804" w:rsidRPr="006D5D54">
        <w:rPr>
          <w:spacing w:val="-6"/>
          <w:sz w:val="24"/>
          <w:szCs w:val="24"/>
        </w:rPr>
        <w:t xml:space="preserve"> </w:t>
      </w:r>
      <w:r w:rsidR="002B6804" w:rsidRPr="006D5D54">
        <w:rPr>
          <w:sz w:val="24"/>
          <w:szCs w:val="24"/>
        </w:rPr>
        <w:t>vairāku</w:t>
      </w:r>
      <w:r w:rsidR="002B6804" w:rsidRPr="006D5D54">
        <w:rPr>
          <w:spacing w:val="-7"/>
          <w:sz w:val="24"/>
          <w:szCs w:val="24"/>
        </w:rPr>
        <w:t xml:space="preserve"> </w:t>
      </w:r>
      <w:r w:rsidR="002B6804" w:rsidRPr="006D5D54">
        <w:rPr>
          <w:sz w:val="24"/>
          <w:szCs w:val="24"/>
        </w:rPr>
        <w:t>citu</w:t>
      </w:r>
      <w:r w:rsidR="002B6804" w:rsidRPr="006D5D54">
        <w:rPr>
          <w:spacing w:val="-10"/>
          <w:sz w:val="24"/>
          <w:szCs w:val="24"/>
        </w:rPr>
        <w:t xml:space="preserve"> </w:t>
      </w:r>
      <w:r w:rsidR="002B6804" w:rsidRPr="006D5D54">
        <w:rPr>
          <w:sz w:val="24"/>
          <w:szCs w:val="24"/>
        </w:rPr>
        <w:t>budžeta</w:t>
      </w:r>
      <w:r w:rsidR="002B6804" w:rsidRPr="006D5D54">
        <w:rPr>
          <w:spacing w:val="-8"/>
          <w:sz w:val="24"/>
          <w:szCs w:val="24"/>
        </w:rPr>
        <w:t xml:space="preserve"> </w:t>
      </w:r>
      <w:r w:rsidR="002B6804" w:rsidRPr="006D5D54">
        <w:rPr>
          <w:sz w:val="24"/>
          <w:szCs w:val="24"/>
        </w:rPr>
        <w:t>iestāžu</w:t>
      </w:r>
      <w:r w:rsidR="002B6804" w:rsidRPr="006D5D54">
        <w:rPr>
          <w:spacing w:val="-7"/>
          <w:sz w:val="24"/>
          <w:szCs w:val="24"/>
        </w:rPr>
        <w:t xml:space="preserve"> </w:t>
      </w:r>
      <w:r w:rsidR="002B6804" w:rsidRPr="006D5D54">
        <w:rPr>
          <w:sz w:val="24"/>
          <w:szCs w:val="24"/>
        </w:rPr>
        <w:t>vārdā,</w:t>
      </w:r>
      <w:r w:rsidR="002B6804" w:rsidRPr="006D5D54">
        <w:rPr>
          <w:spacing w:val="-9"/>
          <w:sz w:val="24"/>
          <w:szCs w:val="24"/>
        </w:rPr>
        <w:t xml:space="preserve"> </w:t>
      </w:r>
      <w:r w:rsidR="002B6804" w:rsidRPr="006D5D54">
        <w:rPr>
          <w:sz w:val="24"/>
          <w:szCs w:val="24"/>
        </w:rPr>
        <w:t>tā</w:t>
      </w:r>
      <w:r w:rsidR="002B6804" w:rsidRPr="006D5D54">
        <w:rPr>
          <w:spacing w:val="-8"/>
          <w:sz w:val="24"/>
          <w:szCs w:val="24"/>
        </w:rPr>
        <w:t xml:space="preserve"> </w:t>
      </w:r>
      <w:r w:rsidR="002B6804" w:rsidRPr="006D5D54">
        <w:rPr>
          <w:sz w:val="24"/>
          <w:szCs w:val="24"/>
        </w:rPr>
        <w:t>darbojas kā</w:t>
      </w:r>
      <w:r w:rsidR="002B6804" w:rsidRPr="006D5D54">
        <w:rPr>
          <w:spacing w:val="-10"/>
          <w:sz w:val="24"/>
          <w:szCs w:val="24"/>
        </w:rPr>
        <w:t xml:space="preserve"> </w:t>
      </w:r>
      <w:r w:rsidR="002B6804" w:rsidRPr="006D5D54">
        <w:rPr>
          <w:sz w:val="24"/>
          <w:szCs w:val="24"/>
        </w:rPr>
        <w:t>visu</w:t>
      </w:r>
      <w:r w:rsidR="002B6804" w:rsidRPr="006D5D54">
        <w:rPr>
          <w:spacing w:val="-12"/>
          <w:sz w:val="24"/>
          <w:szCs w:val="24"/>
        </w:rPr>
        <w:t xml:space="preserve"> </w:t>
      </w:r>
      <w:r w:rsidR="002B6804" w:rsidRPr="006D5D54">
        <w:rPr>
          <w:sz w:val="24"/>
          <w:szCs w:val="24"/>
        </w:rPr>
        <w:t>šo</w:t>
      </w:r>
      <w:r w:rsidR="002B6804" w:rsidRPr="006D5D54">
        <w:rPr>
          <w:spacing w:val="-11"/>
          <w:sz w:val="24"/>
          <w:szCs w:val="24"/>
        </w:rPr>
        <w:t xml:space="preserve"> </w:t>
      </w:r>
      <w:r w:rsidR="002B6804" w:rsidRPr="006D5D54">
        <w:rPr>
          <w:sz w:val="24"/>
          <w:szCs w:val="24"/>
        </w:rPr>
        <w:t>pārējo</w:t>
      </w:r>
      <w:r w:rsidR="002B6804" w:rsidRPr="006D5D54">
        <w:rPr>
          <w:spacing w:val="-13"/>
          <w:sz w:val="24"/>
          <w:szCs w:val="24"/>
        </w:rPr>
        <w:t xml:space="preserve"> </w:t>
      </w:r>
      <w:r w:rsidR="002B6804" w:rsidRPr="006D5D54">
        <w:rPr>
          <w:sz w:val="24"/>
          <w:szCs w:val="24"/>
        </w:rPr>
        <w:t>budžeta</w:t>
      </w:r>
      <w:r w:rsidR="002B6804" w:rsidRPr="006D5D54">
        <w:rPr>
          <w:spacing w:val="-12"/>
          <w:sz w:val="24"/>
          <w:szCs w:val="24"/>
        </w:rPr>
        <w:t xml:space="preserve"> </w:t>
      </w:r>
      <w:r w:rsidR="002B6804" w:rsidRPr="006D5D54">
        <w:rPr>
          <w:sz w:val="24"/>
          <w:szCs w:val="24"/>
        </w:rPr>
        <w:t>iestāžu</w:t>
      </w:r>
      <w:r w:rsidR="002B6804" w:rsidRPr="006D5D54">
        <w:rPr>
          <w:spacing w:val="-12"/>
          <w:sz w:val="24"/>
          <w:szCs w:val="24"/>
        </w:rPr>
        <w:t xml:space="preserve"> </w:t>
      </w:r>
      <w:r w:rsidR="002B6804" w:rsidRPr="006D5D54">
        <w:rPr>
          <w:sz w:val="24"/>
          <w:szCs w:val="24"/>
        </w:rPr>
        <w:t>pārstāvis.</w:t>
      </w:r>
      <w:r w:rsidR="002B6804" w:rsidRPr="006D5D54">
        <w:rPr>
          <w:spacing w:val="-12"/>
          <w:sz w:val="24"/>
          <w:szCs w:val="24"/>
        </w:rPr>
        <w:t xml:space="preserve"> </w:t>
      </w:r>
      <w:r w:rsidR="002B6804" w:rsidRPr="006D5D54">
        <w:rPr>
          <w:sz w:val="24"/>
          <w:szCs w:val="24"/>
        </w:rPr>
        <w:t>Piemēram,</w:t>
      </w:r>
      <w:r w:rsidR="002B6804" w:rsidRPr="006D5D54">
        <w:rPr>
          <w:spacing w:val="-12"/>
          <w:sz w:val="24"/>
          <w:szCs w:val="24"/>
        </w:rPr>
        <w:t xml:space="preserve"> </w:t>
      </w:r>
      <w:r w:rsidR="002B6804" w:rsidRPr="006D5D54">
        <w:rPr>
          <w:sz w:val="24"/>
          <w:szCs w:val="24"/>
        </w:rPr>
        <w:t>ja</w:t>
      </w:r>
      <w:r w:rsidR="002B6804" w:rsidRPr="006D5D54">
        <w:rPr>
          <w:spacing w:val="-12"/>
          <w:sz w:val="24"/>
          <w:szCs w:val="24"/>
        </w:rPr>
        <w:t xml:space="preserve"> </w:t>
      </w:r>
      <w:r w:rsidR="002B6804" w:rsidRPr="006D5D54">
        <w:rPr>
          <w:sz w:val="24"/>
          <w:szCs w:val="24"/>
        </w:rPr>
        <w:t>nodokļus</w:t>
      </w:r>
      <w:r w:rsidR="002B6804" w:rsidRPr="006D5D54">
        <w:rPr>
          <w:spacing w:val="-12"/>
          <w:sz w:val="24"/>
          <w:szCs w:val="24"/>
        </w:rPr>
        <w:t xml:space="preserve"> </w:t>
      </w:r>
      <w:r w:rsidR="002B6804" w:rsidRPr="006D5D54">
        <w:rPr>
          <w:sz w:val="24"/>
          <w:szCs w:val="24"/>
        </w:rPr>
        <w:t>administrējošā</w:t>
      </w:r>
      <w:r w:rsidR="002B6804" w:rsidRPr="006D5D54">
        <w:rPr>
          <w:spacing w:val="-11"/>
          <w:sz w:val="24"/>
          <w:szCs w:val="24"/>
        </w:rPr>
        <w:t xml:space="preserve"> </w:t>
      </w:r>
      <w:r w:rsidR="002B6804" w:rsidRPr="006D5D54">
        <w:rPr>
          <w:sz w:val="24"/>
          <w:szCs w:val="24"/>
        </w:rPr>
        <w:t>institūcija</w:t>
      </w:r>
      <w:r w:rsidR="002B6804" w:rsidRPr="006D5D54">
        <w:rPr>
          <w:spacing w:val="-12"/>
          <w:sz w:val="24"/>
          <w:szCs w:val="24"/>
        </w:rPr>
        <w:t xml:space="preserve"> </w:t>
      </w:r>
      <w:r w:rsidR="002B6804" w:rsidRPr="006D5D54">
        <w:rPr>
          <w:sz w:val="24"/>
          <w:szCs w:val="24"/>
        </w:rPr>
        <w:t>iekasē nodokli</w:t>
      </w:r>
      <w:r w:rsidR="002B6804" w:rsidRPr="006D5D54">
        <w:rPr>
          <w:spacing w:val="-11"/>
          <w:sz w:val="24"/>
          <w:szCs w:val="24"/>
        </w:rPr>
        <w:t xml:space="preserve"> </w:t>
      </w:r>
      <w:r w:rsidR="002B6804" w:rsidRPr="006D5D54">
        <w:rPr>
          <w:sz w:val="24"/>
          <w:szCs w:val="24"/>
        </w:rPr>
        <w:t>vispārējās</w:t>
      </w:r>
      <w:r w:rsidR="002B6804" w:rsidRPr="006D5D54">
        <w:rPr>
          <w:spacing w:val="-11"/>
          <w:sz w:val="24"/>
          <w:szCs w:val="24"/>
        </w:rPr>
        <w:t xml:space="preserve"> </w:t>
      </w:r>
      <w:r w:rsidR="002B6804" w:rsidRPr="006D5D54">
        <w:rPr>
          <w:sz w:val="24"/>
          <w:szCs w:val="24"/>
        </w:rPr>
        <w:t>valdības</w:t>
      </w:r>
      <w:r w:rsidR="002B6804" w:rsidRPr="006D5D54">
        <w:rPr>
          <w:spacing w:val="-14"/>
          <w:sz w:val="24"/>
          <w:szCs w:val="24"/>
        </w:rPr>
        <w:t xml:space="preserve"> </w:t>
      </w:r>
      <w:r w:rsidR="002B6804" w:rsidRPr="006D5D54">
        <w:rPr>
          <w:sz w:val="24"/>
          <w:szCs w:val="24"/>
        </w:rPr>
        <w:t>vārdā,</w:t>
      </w:r>
      <w:r w:rsidR="002B6804" w:rsidRPr="006D5D54">
        <w:rPr>
          <w:spacing w:val="-11"/>
          <w:sz w:val="24"/>
          <w:szCs w:val="24"/>
        </w:rPr>
        <w:t xml:space="preserve"> </w:t>
      </w:r>
      <w:r w:rsidR="002B6804" w:rsidRPr="006D5D54">
        <w:rPr>
          <w:sz w:val="24"/>
          <w:szCs w:val="24"/>
        </w:rPr>
        <w:t>tā</w:t>
      </w:r>
      <w:r w:rsidR="002B6804" w:rsidRPr="006D5D54">
        <w:rPr>
          <w:spacing w:val="-11"/>
          <w:sz w:val="24"/>
          <w:szCs w:val="24"/>
        </w:rPr>
        <w:t xml:space="preserve"> </w:t>
      </w:r>
      <w:r w:rsidR="002B6804" w:rsidRPr="006D5D54">
        <w:rPr>
          <w:sz w:val="24"/>
          <w:szCs w:val="24"/>
        </w:rPr>
        <w:t>neatzīst</w:t>
      </w:r>
      <w:r w:rsidR="002B6804" w:rsidRPr="006D5D54">
        <w:rPr>
          <w:spacing w:val="-11"/>
          <w:sz w:val="24"/>
          <w:szCs w:val="24"/>
        </w:rPr>
        <w:t xml:space="preserve"> </w:t>
      </w:r>
      <w:r w:rsidR="002B6804" w:rsidRPr="006D5D54">
        <w:rPr>
          <w:sz w:val="24"/>
          <w:szCs w:val="24"/>
        </w:rPr>
        <w:t>nekādus</w:t>
      </w:r>
      <w:r w:rsidR="002B6804" w:rsidRPr="006D5D54">
        <w:rPr>
          <w:spacing w:val="-11"/>
          <w:sz w:val="24"/>
          <w:szCs w:val="24"/>
        </w:rPr>
        <w:t xml:space="preserve"> </w:t>
      </w:r>
      <w:r w:rsidR="002B6804" w:rsidRPr="006D5D54">
        <w:rPr>
          <w:sz w:val="24"/>
          <w:szCs w:val="24"/>
        </w:rPr>
        <w:t>ieņēmumus</w:t>
      </w:r>
      <w:r w:rsidR="002B6804" w:rsidRPr="006D5D54">
        <w:rPr>
          <w:spacing w:val="-10"/>
          <w:sz w:val="24"/>
          <w:szCs w:val="24"/>
        </w:rPr>
        <w:t xml:space="preserve"> </w:t>
      </w:r>
      <w:r w:rsidR="002B6804" w:rsidRPr="006D5D54">
        <w:rPr>
          <w:sz w:val="24"/>
          <w:szCs w:val="24"/>
        </w:rPr>
        <w:t>saistībā</w:t>
      </w:r>
      <w:r w:rsidR="002B6804" w:rsidRPr="006D5D54">
        <w:rPr>
          <w:spacing w:val="-12"/>
          <w:sz w:val="24"/>
          <w:szCs w:val="24"/>
        </w:rPr>
        <w:t xml:space="preserve"> </w:t>
      </w:r>
      <w:r w:rsidR="002B6804" w:rsidRPr="006D5D54">
        <w:rPr>
          <w:sz w:val="24"/>
          <w:szCs w:val="24"/>
        </w:rPr>
        <w:t>ar</w:t>
      </w:r>
      <w:r w:rsidR="002B6804" w:rsidRPr="006D5D54">
        <w:rPr>
          <w:spacing w:val="-11"/>
          <w:sz w:val="24"/>
          <w:szCs w:val="24"/>
        </w:rPr>
        <w:t xml:space="preserve"> </w:t>
      </w:r>
      <w:r w:rsidR="002B6804" w:rsidRPr="006D5D54">
        <w:rPr>
          <w:sz w:val="24"/>
          <w:szCs w:val="24"/>
        </w:rPr>
        <w:t>iekasētiem</w:t>
      </w:r>
      <w:r w:rsidR="002B6804" w:rsidRPr="006D5D54">
        <w:rPr>
          <w:spacing w:val="-14"/>
          <w:sz w:val="24"/>
          <w:szCs w:val="24"/>
        </w:rPr>
        <w:t xml:space="preserve"> </w:t>
      </w:r>
      <w:r w:rsidR="002B6804" w:rsidRPr="006D5D54">
        <w:rPr>
          <w:sz w:val="24"/>
          <w:szCs w:val="24"/>
        </w:rPr>
        <w:t>nodokļiem savā grāmatvedības uzskaitē un neuzrāda saimnieciskās darbības pārskatā. Ieņēmumus no iekasētiem nodokļiem atzīst vispārējās valdības institūcija, kurai deleģētas tiesības vispārējās valdības vārdā atzīt ieņēmumus no iekasētajiem</w:t>
      </w:r>
      <w:r w:rsidR="002B6804" w:rsidRPr="006D5D54">
        <w:rPr>
          <w:spacing w:val="-9"/>
          <w:sz w:val="24"/>
          <w:szCs w:val="24"/>
        </w:rPr>
        <w:t xml:space="preserve"> </w:t>
      </w:r>
      <w:r w:rsidR="002B6804" w:rsidRPr="006D5D54">
        <w:rPr>
          <w:sz w:val="24"/>
          <w:szCs w:val="24"/>
        </w:rPr>
        <w:t>nodokļiem.</w:t>
      </w:r>
    </w:p>
    <w:p w14:paraId="3DD0F34D" w14:textId="77777777" w:rsidR="002B6804" w:rsidRPr="006D5D54" w:rsidRDefault="00BC36BD" w:rsidP="00CD363C">
      <w:pPr>
        <w:pStyle w:val="Pamatteksts"/>
        <w:ind w:right="113"/>
        <w:jc w:val="both"/>
        <w:rPr>
          <w:sz w:val="24"/>
          <w:szCs w:val="24"/>
        </w:rPr>
      </w:pPr>
      <w:r w:rsidRPr="006D5D54">
        <w:rPr>
          <w:sz w:val="24"/>
          <w:szCs w:val="24"/>
        </w:rPr>
        <w:t xml:space="preserve">900.   </w:t>
      </w:r>
      <w:r w:rsidR="002B6804" w:rsidRPr="006D5D54">
        <w:rPr>
          <w:sz w:val="24"/>
          <w:szCs w:val="24"/>
        </w:rPr>
        <w:t>Budžeta iestādes, kuras iekasē nodokļus vispārējās valdības vārdā, veic nodokļu ieņēmumu uzskaiti atsevišķi no sava saimnieciskās darbības uzskaites un sagatavo atsevišķus finanšu pārskatus nodokļu uzskaitei.</w:t>
      </w:r>
    </w:p>
    <w:p w14:paraId="1412AB90" w14:textId="77777777" w:rsidR="00BC36BD" w:rsidRPr="006D5D54" w:rsidRDefault="00350467" w:rsidP="00CD363C">
      <w:pPr>
        <w:pStyle w:val="Virsraksts6"/>
        <w:tabs>
          <w:tab w:val="left" w:pos="1017"/>
          <w:tab w:val="left" w:pos="1018"/>
        </w:tabs>
        <w:ind w:left="0" w:right="113"/>
        <w:jc w:val="both"/>
        <w:rPr>
          <w:sz w:val="24"/>
          <w:szCs w:val="24"/>
        </w:rPr>
      </w:pPr>
      <w:r>
        <w:rPr>
          <w:sz w:val="24"/>
          <w:szCs w:val="24"/>
        </w:rPr>
        <w:t xml:space="preserve">22.2.2. </w:t>
      </w:r>
      <w:r w:rsidR="00BC36BD" w:rsidRPr="006D5D54">
        <w:rPr>
          <w:sz w:val="24"/>
          <w:szCs w:val="24"/>
        </w:rPr>
        <w:t>Ieņēmumu no nodokļiem novērtēšana un</w:t>
      </w:r>
      <w:r w:rsidR="00BC36BD" w:rsidRPr="006D5D54">
        <w:rPr>
          <w:spacing w:val="-7"/>
          <w:sz w:val="24"/>
          <w:szCs w:val="24"/>
        </w:rPr>
        <w:t xml:space="preserve"> </w:t>
      </w:r>
      <w:r w:rsidR="00BC36BD" w:rsidRPr="006D5D54">
        <w:rPr>
          <w:sz w:val="24"/>
          <w:szCs w:val="24"/>
        </w:rPr>
        <w:t>atzīšana</w:t>
      </w:r>
    </w:p>
    <w:p w14:paraId="2B4C7DF1" w14:textId="77777777" w:rsidR="00BC36BD" w:rsidRPr="006D5D54" w:rsidRDefault="00BC36BD" w:rsidP="00CD363C">
      <w:pPr>
        <w:pStyle w:val="Pamatteksts"/>
        <w:ind w:right="113"/>
        <w:jc w:val="both"/>
        <w:rPr>
          <w:sz w:val="24"/>
          <w:szCs w:val="24"/>
        </w:rPr>
      </w:pPr>
      <w:r w:rsidRPr="006D5D54">
        <w:rPr>
          <w:noProof/>
          <w:sz w:val="24"/>
          <w:szCs w:val="24"/>
        </w:rPr>
        <w:t xml:space="preserve">901.  </w:t>
      </w:r>
      <w:r w:rsidRPr="006D5D54">
        <w:rPr>
          <w:sz w:val="24"/>
          <w:szCs w:val="24"/>
        </w:rPr>
        <w:t>Budžeta iestāde atzīst aktīvus saistībā ar nodokļiem, ja ir iestājies apliekamais notikums un ir izpildīti aktīvu atzīšanas kritēriji.  Grāmato</w:t>
      </w:r>
      <w:r w:rsidR="00BA1E61" w:rsidRPr="006D5D54">
        <w:rPr>
          <w:sz w:val="24"/>
          <w:szCs w:val="24"/>
        </w:rPr>
        <w:t>jums</w:t>
      </w:r>
      <w:r w:rsidRPr="006D5D54">
        <w:rPr>
          <w:sz w:val="24"/>
          <w:szCs w:val="24"/>
        </w:rPr>
        <w:t>:</w:t>
      </w:r>
    </w:p>
    <w:p w14:paraId="30885D18" w14:textId="77777777" w:rsidR="00BC36BD" w:rsidRPr="006D5D54" w:rsidRDefault="00BC36BD" w:rsidP="00CD363C">
      <w:pPr>
        <w:pStyle w:val="Pamatteksts"/>
        <w:ind w:right="113"/>
        <w:jc w:val="both"/>
        <w:rPr>
          <w:b/>
          <w:bCs/>
          <w:sz w:val="24"/>
          <w:szCs w:val="24"/>
        </w:rPr>
      </w:pPr>
      <w:r w:rsidRPr="006D5D54">
        <w:rPr>
          <w:sz w:val="24"/>
          <w:szCs w:val="24"/>
        </w:rPr>
        <w:t xml:space="preserve">    </w:t>
      </w:r>
      <w:r w:rsidRPr="006D5D54">
        <w:rPr>
          <w:b/>
          <w:bCs/>
          <w:sz w:val="24"/>
          <w:szCs w:val="24"/>
        </w:rPr>
        <w:t xml:space="preserve">D    2340   </w:t>
      </w:r>
      <w:bookmarkStart w:id="84" w:name="_Hlk13654174"/>
      <w:r w:rsidRPr="006D5D54">
        <w:rPr>
          <w:b/>
          <w:bCs/>
          <w:sz w:val="24"/>
          <w:szCs w:val="24"/>
        </w:rPr>
        <w:t xml:space="preserve">Prasības par nodokļiem </w:t>
      </w:r>
      <w:r w:rsidR="00BA1E61" w:rsidRPr="006D5D54">
        <w:rPr>
          <w:b/>
          <w:bCs/>
          <w:sz w:val="24"/>
          <w:szCs w:val="24"/>
        </w:rPr>
        <w:t>,</w:t>
      </w:r>
      <w:r w:rsidRPr="006D5D54">
        <w:rPr>
          <w:b/>
          <w:bCs/>
          <w:sz w:val="24"/>
          <w:szCs w:val="24"/>
        </w:rPr>
        <w:t xml:space="preserve"> nodevām</w:t>
      </w:r>
      <w:r w:rsidR="00BA1E61" w:rsidRPr="006D5D54">
        <w:rPr>
          <w:b/>
          <w:bCs/>
          <w:sz w:val="24"/>
          <w:szCs w:val="24"/>
        </w:rPr>
        <w:t xml:space="preserve"> un citiem maksājumiem budžetā </w:t>
      </w:r>
      <w:bookmarkEnd w:id="84"/>
      <w:r w:rsidR="00BA1E61" w:rsidRPr="006D5D54">
        <w:rPr>
          <w:b/>
          <w:bCs/>
          <w:sz w:val="24"/>
          <w:szCs w:val="24"/>
        </w:rPr>
        <w:t>,vai</w:t>
      </w:r>
    </w:p>
    <w:p w14:paraId="7A6833B0" w14:textId="77777777" w:rsidR="00BA1E61" w:rsidRPr="006D5D54" w:rsidRDefault="00BA1E61" w:rsidP="00CD363C">
      <w:pPr>
        <w:pStyle w:val="Pamatteksts"/>
        <w:ind w:right="113"/>
        <w:jc w:val="both"/>
        <w:rPr>
          <w:b/>
          <w:bCs/>
          <w:sz w:val="24"/>
          <w:szCs w:val="24"/>
        </w:rPr>
      </w:pPr>
      <w:r w:rsidRPr="006D5D54">
        <w:rPr>
          <w:b/>
          <w:bCs/>
          <w:sz w:val="24"/>
          <w:szCs w:val="24"/>
        </w:rPr>
        <w:t xml:space="preserve">    D    2368   Uzkrātie ieņēmumi par nodokļiem, nodevām un citiem maksājumiem budžetā</w:t>
      </w:r>
    </w:p>
    <w:p w14:paraId="0A93DC34" w14:textId="77777777" w:rsidR="00BA1E61" w:rsidRPr="006D5D54" w:rsidRDefault="00BA1E61"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K    6000   Pamatdarbības ieņēmumi</w:t>
      </w:r>
    </w:p>
    <w:p w14:paraId="657374B4" w14:textId="77777777" w:rsidR="00BA1E61" w:rsidRPr="006D5D54" w:rsidRDefault="00BA1E61"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sz w:val="24"/>
          <w:szCs w:val="24"/>
        </w:rPr>
        <w:t>902</w:t>
      </w:r>
      <w:r w:rsidRPr="006D5D54">
        <w:rPr>
          <w:rFonts w:ascii="Times New Roman" w:hAnsi="Times New Roman" w:cs="Times New Roman"/>
          <w:b/>
          <w:bCs/>
          <w:sz w:val="24"/>
          <w:szCs w:val="24"/>
        </w:rPr>
        <w:t xml:space="preserve">.    </w:t>
      </w:r>
      <w:r w:rsidRPr="006D5D54">
        <w:rPr>
          <w:rFonts w:ascii="Times New Roman" w:hAnsi="Times New Roman" w:cs="Times New Roman"/>
          <w:sz w:val="24"/>
          <w:szCs w:val="24"/>
        </w:rPr>
        <w:t>No nodokļiem izrietošie aktīvi jānovērtē to patiesajā vērtībā iegūšanas brīdī. Grāmatvedības uzskaites principos šo aktīvu vērtības aprēķināšanai jāņem vērā gan varbūtība, ka no nodokļiem izrietošie nodokļu ieņēmumi tiks saņemti, gan izrietošo aktīvu patiesā vērtība.</w:t>
      </w:r>
    </w:p>
    <w:p w14:paraId="195117FA" w14:textId="77777777" w:rsidR="00BA1E61" w:rsidRPr="006D5D54" w:rsidRDefault="00BA1E61" w:rsidP="00CD363C">
      <w:pPr>
        <w:pStyle w:val="Pamatteksts"/>
        <w:ind w:right="113"/>
        <w:jc w:val="both"/>
        <w:rPr>
          <w:sz w:val="24"/>
          <w:szCs w:val="24"/>
        </w:rPr>
      </w:pPr>
      <w:r w:rsidRPr="006D5D54">
        <w:rPr>
          <w:noProof/>
          <w:sz w:val="24"/>
          <w:szCs w:val="24"/>
        </w:rPr>
        <w:t xml:space="preserve">903.  </w:t>
      </w:r>
      <w:r w:rsidRPr="006D5D54">
        <w:rPr>
          <w:sz w:val="24"/>
          <w:szCs w:val="24"/>
        </w:rPr>
        <w:t xml:space="preserve">Nodokļu maksājumus, kas saņemti pirms apliekamā notikuma iestāšanās, atzīst par aktīvu un saistībām (saņemtie avansi), jo vēl nav iestājies notikums, kas rada budžeta iestādes tiesības uz nodokļiem, un nav izpildīti nodokļu ieņēmumu atzīšanas kritēriji, neraugoties uz to, ka budžeta iestāde jau ir saņēmusi attiecīgos resursus. Saņemtie avansi nodokļu gadījumā būtiski neatšķiras no citiem avansa maksājumiem, līdz ar to saistības uzskaita līdz brīdim, kad iestājas apliekamais notikums. Iestājoties apliekamajam notikumam, dzēš saistības un </w:t>
      </w:r>
      <w:r w:rsidR="00BD79BB" w:rsidRPr="006D5D54">
        <w:rPr>
          <w:sz w:val="24"/>
          <w:szCs w:val="24"/>
        </w:rPr>
        <w:t>samazina prasības</w:t>
      </w:r>
      <w:r w:rsidRPr="006D5D54">
        <w:rPr>
          <w:sz w:val="24"/>
          <w:szCs w:val="24"/>
        </w:rPr>
        <w:t>.  Grāmatojums:</w:t>
      </w:r>
    </w:p>
    <w:p w14:paraId="57118B97" w14:textId="77777777" w:rsidR="00BD79BB" w:rsidRPr="006D5D54" w:rsidRDefault="00BA1E61"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sz w:val="24"/>
          <w:szCs w:val="24"/>
        </w:rPr>
        <w:t xml:space="preserve">    </w:t>
      </w:r>
      <w:r w:rsidRPr="006D5D54">
        <w:rPr>
          <w:rFonts w:ascii="Times New Roman" w:hAnsi="Times New Roman" w:cs="Times New Roman"/>
          <w:b/>
          <w:bCs/>
          <w:sz w:val="24"/>
          <w:szCs w:val="24"/>
        </w:rPr>
        <w:t>D</w:t>
      </w:r>
      <w:r w:rsidR="00BD79BB" w:rsidRPr="006D5D54">
        <w:rPr>
          <w:rFonts w:ascii="Times New Roman" w:hAnsi="Times New Roman" w:cs="Times New Roman"/>
          <w:b/>
          <w:bCs/>
          <w:sz w:val="24"/>
          <w:szCs w:val="24"/>
        </w:rPr>
        <w:t xml:space="preserve">    2600   Naudas līdzekļi</w:t>
      </w:r>
    </w:p>
    <w:p w14:paraId="5724FB6B" w14:textId="77777777" w:rsidR="006162DC" w:rsidRPr="006D5D54" w:rsidRDefault="00BD79BB"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K    5900   Nākamo periodu ieņēmumi un saņemtie avansi</w:t>
      </w:r>
    </w:p>
    <w:p w14:paraId="40CE105D" w14:textId="77777777" w:rsidR="00BD79BB" w:rsidRPr="006D5D54" w:rsidRDefault="00BD79BB"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D    5900   Nākamo periodu ieņēmumi un saņemtie avansi</w:t>
      </w:r>
    </w:p>
    <w:p w14:paraId="3C56871E" w14:textId="77777777" w:rsidR="006162DC" w:rsidRPr="006D5D54" w:rsidRDefault="00BD79BB"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K   2340   Prasības par nodokļiem , nodevām</w:t>
      </w:r>
      <w:r w:rsidR="006D5D54" w:rsidRPr="006D5D54">
        <w:rPr>
          <w:rFonts w:ascii="Times New Roman" w:hAnsi="Times New Roman" w:cs="Times New Roman"/>
          <w:b/>
          <w:bCs/>
          <w:sz w:val="24"/>
          <w:szCs w:val="24"/>
        </w:rPr>
        <w:t xml:space="preserve"> un citiem maksājumiem budžetā</w:t>
      </w:r>
      <w:r w:rsidRPr="006D5D54">
        <w:rPr>
          <w:rFonts w:ascii="Times New Roman" w:hAnsi="Times New Roman" w:cs="Times New Roman"/>
          <w:b/>
          <w:bCs/>
          <w:sz w:val="24"/>
          <w:szCs w:val="24"/>
        </w:rPr>
        <w:t xml:space="preserve"> </w:t>
      </w:r>
    </w:p>
    <w:p w14:paraId="5E8A60BD" w14:textId="77777777" w:rsidR="006D5D54" w:rsidRPr="006D5D54" w:rsidRDefault="006D5D54" w:rsidP="00CD363C">
      <w:pPr>
        <w:pStyle w:val="Pamatteksts"/>
        <w:ind w:right="113"/>
        <w:jc w:val="both"/>
        <w:rPr>
          <w:sz w:val="24"/>
          <w:szCs w:val="24"/>
        </w:rPr>
      </w:pPr>
      <w:r w:rsidRPr="006D5D54">
        <w:rPr>
          <w:noProof/>
          <w:sz w:val="24"/>
          <w:szCs w:val="24"/>
        </w:rPr>
        <w:t xml:space="preserve">904.   </w:t>
      </w:r>
      <w:r w:rsidRPr="006D5D54">
        <w:rPr>
          <w:sz w:val="24"/>
          <w:szCs w:val="24"/>
        </w:rPr>
        <w:t>Pārmaksātās nodokļu summas pirms to pārcelšanas uz nākamo taksācijas periodu budžeta iestāde var</w:t>
      </w:r>
      <w:r w:rsidRPr="006D5D54">
        <w:rPr>
          <w:spacing w:val="-9"/>
          <w:sz w:val="24"/>
          <w:szCs w:val="24"/>
        </w:rPr>
        <w:t xml:space="preserve"> </w:t>
      </w:r>
      <w:r w:rsidRPr="006D5D54">
        <w:rPr>
          <w:sz w:val="24"/>
          <w:szCs w:val="24"/>
        </w:rPr>
        <w:t>novirzīt</w:t>
      </w:r>
      <w:r w:rsidRPr="006D5D54">
        <w:rPr>
          <w:spacing w:val="-9"/>
          <w:sz w:val="24"/>
          <w:szCs w:val="24"/>
        </w:rPr>
        <w:t xml:space="preserve"> </w:t>
      </w:r>
      <w:r w:rsidRPr="006D5D54">
        <w:rPr>
          <w:sz w:val="24"/>
          <w:szCs w:val="24"/>
        </w:rPr>
        <w:t>nokavēto</w:t>
      </w:r>
      <w:r w:rsidRPr="006D5D54">
        <w:rPr>
          <w:spacing w:val="-10"/>
          <w:sz w:val="24"/>
          <w:szCs w:val="24"/>
        </w:rPr>
        <w:t xml:space="preserve"> </w:t>
      </w:r>
      <w:r w:rsidRPr="006D5D54">
        <w:rPr>
          <w:sz w:val="24"/>
          <w:szCs w:val="24"/>
        </w:rPr>
        <w:t>vai</w:t>
      </w:r>
      <w:r w:rsidRPr="006D5D54">
        <w:rPr>
          <w:spacing w:val="-8"/>
          <w:sz w:val="24"/>
          <w:szCs w:val="24"/>
        </w:rPr>
        <w:t xml:space="preserve"> </w:t>
      </w:r>
      <w:r w:rsidRPr="006D5D54">
        <w:rPr>
          <w:sz w:val="24"/>
          <w:szCs w:val="24"/>
        </w:rPr>
        <w:t>kārtējo</w:t>
      </w:r>
      <w:r w:rsidRPr="006D5D54">
        <w:rPr>
          <w:spacing w:val="-10"/>
          <w:sz w:val="24"/>
          <w:szCs w:val="24"/>
        </w:rPr>
        <w:t xml:space="preserve"> </w:t>
      </w:r>
      <w:r w:rsidRPr="006D5D54">
        <w:rPr>
          <w:sz w:val="24"/>
          <w:szCs w:val="24"/>
        </w:rPr>
        <w:t>citu</w:t>
      </w:r>
      <w:r w:rsidRPr="006D5D54">
        <w:rPr>
          <w:spacing w:val="-10"/>
          <w:sz w:val="24"/>
          <w:szCs w:val="24"/>
        </w:rPr>
        <w:t xml:space="preserve"> </w:t>
      </w:r>
      <w:r w:rsidRPr="006D5D54">
        <w:rPr>
          <w:sz w:val="24"/>
          <w:szCs w:val="24"/>
        </w:rPr>
        <w:t>nodokļu,</w:t>
      </w:r>
      <w:r w:rsidRPr="006D5D54">
        <w:rPr>
          <w:spacing w:val="-10"/>
          <w:sz w:val="24"/>
          <w:szCs w:val="24"/>
        </w:rPr>
        <w:t xml:space="preserve"> </w:t>
      </w:r>
      <w:r w:rsidRPr="006D5D54">
        <w:rPr>
          <w:sz w:val="24"/>
          <w:szCs w:val="24"/>
        </w:rPr>
        <w:t>nodevu</w:t>
      </w:r>
      <w:r w:rsidRPr="006D5D54">
        <w:rPr>
          <w:spacing w:val="-10"/>
          <w:sz w:val="24"/>
          <w:szCs w:val="24"/>
        </w:rPr>
        <w:t xml:space="preserve"> </w:t>
      </w:r>
      <w:r w:rsidRPr="006D5D54">
        <w:rPr>
          <w:sz w:val="24"/>
          <w:szCs w:val="24"/>
        </w:rPr>
        <w:t>vai</w:t>
      </w:r>
      <w:r w:rsidRPr="006D5D54">
        <w:rPr>
          <w:spacing w:val="-8"/>
          <w:sz w:val="24"/>
          <w:szCs w:val="24"/>
        </w:rPr>
        <w:t xml:space="preserve"> </w:t>
      </w:r>
      <w:r w:rsidRPr="006D5D54">
        <w:rPr>
          <w:sz w:val="24"/>
          <w:szCs w:val="24"/>
        </w:rPr>
        <w:t>citu</w:t>
      </w:r>
      <w:r w:rsidRPr="006D5D54">
        <w:rPr>
          <w:spacing w:val="-10"/>
          <w:sz w:val="24"/>
          <w:szCs w:val="24"/>
        </w:rPr>
        <w:t xml:space="preserve"> </w:t>
      </w:r>
      <w:r w:rsidRPr="006D5D54">
        <w:rPr>
          <w:sz w:val="24"/>
          <w:szCs w:val="24"/>
        </w:rPr>
        <w:t>pašvaldības</w:t>
      </w:r>
      <w:r w:rsidRPr="006D5D54">
        <w:rPr>
          <w:spacing w:val="-9"/>
          <w:sz w:val="24"/>
          <w:szCs w:val="24"/>
        </w:rPr>
        <w:t xml:space="preserve"> </w:t>
      </w:r>
      <w:r w:rsidRPr="006D5D54">
        <w:rPr>
          <w:sz w:val="24"/>
          <w:szCs w:val="24"/>
        </w:rPr>
        <w:t>noteikto</w:t>
      </w:r>
      <w:r w:rsidRPr="006D5D54">
        <w:rPr>
          <w:spacing w:val="-10"/>
          <w:sz w:val="24"/>
          <w:szCs w:val="24"/>
        </w:rPr>
        <w:t xml:space="preserve"> </w:t>
      </w:r>
      <w:r w:rsidRPr="006D5D54">
        <w:rPr>
          <w:sz w:val="24"/>
          <w:szCs w:val="24"/>
        </w:rPr>
        <w:t>maksājumu</w:t>
      </w:r>
      <w:r w:rsidRPr="006D5D54">
        <w:rPr>
          <w:spacing w:val="-11"/>
          <w:sz w:val="24"/>
          <w:szCs w:val="24"/>
        </w:rPr>
        <w:t xml:space="preserve"> </w:t>
      </w:r>
      <w:r w:rsidRPr="006D5D54">
        <w:rPr>
          <w:sz w:val="24"/>
          <w:szCs w:val="24"/>
        </w:rPr>
        <w:t>segšanai</w:t>
      </w:r>
    </w:p>
    <w:p w14:paraId="7DAE2080" w14:textId="77777777" w:rsidR="006D5D54" w:rsidRPr="006D5D54" w:rsidRDefault="006D5D54" w:rsidP="00CD363C">
      <w:pPr>
        <w:spacing w:after="0" w:line="240" w:lineRule="auto"/>
        <w:ind w:right="113"/>
        <w:jc w:val="both"/>
        <w:rPr>
          <w:rFonts w:ascii="Times New Roman" w:hAnsi="Times New Roman" w:cs="Times New Roman"/>
          <w:sz w:val="24"/>
          <w:szCs w:val="24"/>
        </w:rPr>
        <w:sectPr w:rsidR="006D5D54" w:rsidRPr="006D5D54">
          <w:pgSz w:w="11910" w:h="16840"/>
          <w:pgMar w:top="760" w:right="500" w:bottom="1160" w:left="1080" w:header="0" w:footer="976" w:gutter="0"/>
          <w:cols w:space="720"/>
        </w:sectPr>
      </w:pPr>
    </w:p>
    <w:p w14:paraId="1C21D9A5" w14:textId="77777777" w:rsidR="006162DC" w:rsidRPr="002545CE" w:rsidRDefault="006D5D54" w:rsidP="00CD363C">
      <w:pPr>
        <w:spacing w:after="0" w:line="240" w:lineRule="auto"/>
        <w:ind w:right="113"/>
        <w:jc w:val="both"/>
        <w:rPr>
          <w:rFonts w:ascii="Times New Roman" w:hAnsi="Times New Roman" w:cs="Times New Roman"/>
          <w:color w:val="FF0000"/>
          <w:sz w:val="24"/>
          <w:szCs w:val="24"/>
        </w:rPr>
      </w:pPr>
      <w:r w:rsidRPr="002545CE">
        <w:rPr>
          <w:rFonts w:ascii="Times New Roman" w:hAnsi="Times New Roman" w:cs="Times New Roman"/>
          <w:sz w:val="24"/>
          <w:szCs w:val="24"/>
        </w:rPr>
        <w:t>atbilstoši spēkā esošajām tiesību normām. Budžeta iestāde atzīst saistību samazinājumu par pārmaksāto nodokli un attiecīgi samazina prasības par citu nodokli, veicot šādu grāmatojumu:</w:t>
      </w:r>
    </w:p>
    <w:p w14:paraId="59A74E41" w14:textId="77777777" w:rsidR="006162DC" w:rsidRPr="002545CE" w:rsidRDefault="006D5D5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5900   Nākamo periodu ieņēmumi un saņemtie avansi</w:t>
      </w:r>
    </w:p>
    <w:p w14:paraId="0272001D" w14:textId="77777777" w:rsidR="006D5D54" w:rsidRPr="002545CE" w:rsidRDefault="006D5D5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2340   </w:t>
      </w:r>
      <w:bookmarkStart w:id="85" w:name="_Hlk13655175"/>
      <w:r w:rsidRPr="002545CE">
        <w:rPr>
          <w:rFonts w:ascii="Times New Roman" w:hAnsi="Times New Roman" w:cs="Times New Roman"/>
          <w:b/>
          <w:bCs/>
          <w:sz w:val="24"/>
          <w:szCs w:val="24"/>
        </w:rPr>
        <w:t>Prasības par nodokļiem , nodevām un citiem maksājumiem budžetā</w:t>
      </w:r>
      <w:bookmarkEnd w:id="85"/>
    </w:p>
    <w:p w14:paraId="6A7B0C9C" w14:textId="77777777" w:rsidR="00F82F4D" w:rsidRPr="002545CE" w:rsidRDefault="00350467" w:rsidP="00CD363C">
      <w:pPr>
        <w:widowControl w:val="0"/>
        <w:tabs>
          <w:tab w:val="left" w:pos="1017"/>
          <w:tab w:val="left" w:pos="1018"/>
        </w:tabs>
        <w:autoSpaceDE w:val="0"/>
        <w:autoSpaceDN w:val="0"/>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22.2.3. </w:t>
      </w:r>
      <w:r w:rsidR="00F82F4D" w:rsidRPr="002545CE">
        <w:rPr>
          <w:rFonts w:ascii="Times New Roman" w:hAnsi="Times New Roman" w:cs="Times New Roman"/>
          <w:b/>
          <w:bCs/>
          <w:sz w:val="24"/>
          <w:szCs w:val="24"/>
        </w:rPr>
        <w:t>Nodokļu atlaides, pārrēķini un</w:t>
      </w:r>
      <w:r w:rsidR="00F82F4D" w:rsidRPr="002545CE">
        <w:rPr>
          <w:rFonts w:ascii="Times New Roman" w:hAnsi="Times New Roman" w:cs="Times New Roman"/>
          <w:b/>
          <w:bCs/>
          <w:spacing w:val="-6"/>
          <w:sz w:val="24"/>
          <w:szCs w:val="24"/>
        </w:rPr>
        <w:t xml:space="preserve"> </w:t>
      </w:r>
      <w:r w:rsidR="00F82F4D" w:rsidRPr="002545CE">
        <w:rPr>
          <w:rFonts w:ascii="Times New Roman" w:hAnsi="Times New Roman" w:cs="Times New Roman"/>
          <w:b/>
          <w:bCs/>
          <w:sz w:val="24"/>
          <w:szCs w:val="24"/>
        </w:rPr>
        <w:t>korekcijas</w:t>
      </w:r>
    </w:p>
    <w:p w14:paraId="0D9F9FBC" w14:textId="77777777" w:rsidR="00F82F4D" w:rsidRPr="002545CE" w:rsidRDefault="00F82F4D" w:rsidP="00CD363C">
      <w:pPr>
        <w:pStyle w:val="Pamatteksts"/>
        <w:ind w:right="113"/>
        <w:jc w:val="both"/>
        <w:rPr>
          <w:sz w:val="24"/>
          <w:szCs w:val="24"/>
        </w:rPr>
      </w:pPr>
      <w:r w:rsidRPr="002545CE">
        <w:rPr>
          <w:noProof/>
          <w:sz w:val="24"/>
          <w:szCs w:val="24"/>
        </w:rPr>
        <w:t xml:space="preserve">905.   </w:t>
      </w:r>
      <w:r w:rsidRPr="002545CE">
        <w:rPr>
          <w:sz w:val="24"/>
          <w:szCs w:val="24"/>
        </w:rPr>
        <w:t>Nodokļu</w:t>
      </w:r>
      <w:r w:rsidRPr="002545CE">
        <w:rPr>
          <w:spacing w:val="-15"/>
          <w:sz w:val="24"/>
          <w:szCs w:val="24"/>
        </w:rPr>
        <w:t xml:space="preserve"> </w:t>
      </w:r>
      <w:r w:rsidRPr="002545CE">
        <w:rPr>
          <w:sz w:val="24"/>
          <w:szCs w:val="24"/>
        </w:rPr>
        <w:t>ieņēmumu</w:t>
      </w:r>
      <w:r w:rsidRPr="002545CE">
        <w:rPr>
          <w:spacing w:val="-15"/>
          <w:sz w:val="24"/>
          <w:szCs w:val="24"/>
        </w:rPr>
        <w:t xml:space="preserve"> </w:t>
      </w:r>
      <w:r w:rsidRPr="002545CE">
        <w:rPr>
          <w:sz w:val="24"/>
          <w:szCs w:val="24"/>
        </w:rPr>
        <w:t>korekcijas</w:t>
      </w:r>
      <w:r w:rsidRPr="002545CE">
        <w:rPr>
          <w:spacing w:val="-17"/>
          <w:sz w:val="24"/>
          <w:szCs w:val="24"/>
        </w:rPr>
        <w:t xml:space="preserve"> </w:t>
      </w:r>
      <w:r w:rsidRPr="002545CE">
        <w:rPr>
          <w:sz w:val="24"/>
          <w:szCs w:val="24"/>
        </w:rPr>
        <w:t>par</w:t>
      </w:r>
      <w:r w:rsidRPr="002545CE">
        <w:rPr>
          <w:spacing w:val="-17"/>
          <w:sz w:val="24"/>
          <w:szCs w:val="24"/>
        </w:rPr>
        <w:t xml:space="preserve"> </w:t>
      </w:r>
      <w:r w:rsidRPr="002545CE">
        <w:rPr>
          <w:sz w:val="24"/>
          <w:szCs w:val="24"/>
        </w:rPr>
        <w:t>iepriekšējiem</w:t>
      </w:r>
      <w:r w:rsidRPr="002545CE">
        <w:rPr>
          <w:spacing w:val="-18"/>
          <w:sz w:val="24"/>
          <w:szCs w:val="24"/>
        </w:rPr>
        <w:t xml:space="preserve"> </w:t>
      </w:r>
      <w:r w:rsidRPr="002545CE">
        <w:rPr>
          <w:sz w:val="24"/>
          <w:szCs w:val="24"/>
        </w:rPr>
        <w:t>periodiem,</w:t>
      </w:r>
      <w:r w:rsidRPr="002545CE">
        <w:rPr>
          <w:spacing w:val="-14"/>
          <w:sz w:val="24"/>
          <w:szCs w:val="24"/>
        </w:rPr>
        <w:t xml:space="preserve"> </w:t>
      </w:r>
      <w:r w:rsidRPr="002545CE">
        <w:rPr>
          <w:sz w:val="24"/>
          <w:szCs w:val="24"/>
        </w:rPr>
        <w:t>kas</w:t>
      </w:r>
      <w:r w:rsidRPr="002545CE">
        <w:rPr>
          <w:spacing w:val="-15"/>
          <w:sz w:val="24"/>
          <w:szCs w:val="24"/>
        </w:rPr>
        <w:t xml:space="preserve"> </w:t>
      </w:r>
      <w:r w:rsidRPr="002545CE">
        <w:rPr>
          <w:sz w:val="24"/>
          <w:szCs w:val="24"/>
        </w:rPr>
        <w:t>veiktas</w:t>
      </w:r>
      <w:r w:rsidRPr="002545CE">
        <w:rPr>
          <w:spacing w:val="-17"/>
          <w:sz w:val="24"/>
          <w:szCs w:val="24"/>
        </w:rPr>
        <w:t xml:space="preserve"> </w:t>
      </w:r>
      <w:r w:rsidRPr="002545CE">
        <w:rPr>
          <w:sz w:val="24"/>
          <w:szCs w:val="24"/>
        </w:rPr>
        <w:t>jaunu</w:t>
      </w:r>
      <w:r w:rsidRPr="002545CE">
        <w:rPr>
          <w:spacing w:val="-15"/>
          <w:sz w:val="24"/>
          <w:szCs w:val="24"/>
        </w:rPr>
        <w:t xml:space="preserve"> </w:t>
      </w:r>
      <w:r w:rsidRPr="002545CE">
        <w:rPr>
          <w:sz w:val="24"/>
          <w:szCs w:val="24"/>
        </w:rPr>
        <w:t>apstākļu</w:t>
      </w:r>
      <w:r w:rsidRPr="002545CE">
        <w:rPr>
          <w:spacing w:val="-15"/>
          <w:sz w:val="24"/>
          <w:szCs w:val="24"/>
        </w:rPr>
        <w:t xml:space="preserve"> </w:t>
      </w:r>
      <w:r w:rsidRPr="002545CE">
        <w:rPr>
          <w:sz w:val="24"/>
          <w:szCs w:val="24"/>
        </w:rPr>
        <w:t>vai</w:t>
      </w:r>
      <w:r w:rsidRPr="002545CE">
        <w:rPr>
          <w:spacing w:val="-14"/>
          <w:sz w:val="24"/>
          <w:szCs w:val="24"/>
        </w:rPr>
        <w:t xml:space="preserve"> </w:t>
      </w:r>
      <w:r w:rsidRPr="002545CE">
        <w:rPr>
          <w:sz w:val="24"/>
          <w:szCs w:val="24"/>
        </w:rPr>
        <w:t xml:space="preserve">apstākļu maiņas rezultātā, tai skaitā par iepriekšējiem periodiem nodokļu maksātāju sagatavoto nodokļu deklarāciju un nodokļu atskaišu korekcijas, uzskata par grāmatvedības aplēses maiņu. Attiecīgās korekcijas uzskaita saskaņā ar spēkā esošajiem normatīvajiem aktiem par grāmatvedības uzskaiti un Grāmatvedības uzskaites kārtību </w:t>
      </w:r>
      <w:r w:rsidR="00E12769" w:rsidRPr="002545CE">
        <w:rPr>
          <w:sz w:val="24"/>
          <w:szCs w:val="24"/>
        </w:rPr>
        <w:t>sadaļā</w:t>
      </w:r>
      <w:r w:rsidRPr="002545CE">
        <w:rPr>
          <w:color w:val="0462C1"/>
          <w:sz w:val="24"/>
          <w:szCs w:val="24"/>
          <w:u w:val="single" w:color="0462C1"/>
        </w:rPr>
        <w:t>“</w:t>
      </w:r>
      <w:hyperlink w:anchor="_bookmark458" w:history="1">
        <w:r w:rsidRPr="002545CE">
          <w:rPr>
            <w:color w:val="0462C1"/>
            <w:sz w:val="24"/>
            <w:szCs w:val="24"/>
            <w:u w:val="single" w:color="0462C1"/>
          </w:rPr>
          <w:t>Izmaiņas grāmatvedības uzskaites kārtībā, aplēšu maiņa un kļūdu labošana</w:t>
        </w:r>
      </w:hyperlink>
      <w:r w:rsidRPr="002545CE">
        <w:rPr>
          <w:color w:val="0462C1"/>
          <w:sz w:val="24"/>
          <w:szCs w:val="24"/>
          <w:u w:val="single" w:color="0462C1"/>
        </w:rPr>
        <w:t>”</w:t>
      </w:r>
      <w:r w:rsidRPr="002545CE">
        <w:rPr>
          <w:sz w:val="24"/>
          <w:szCs w:val="24"/>
        </w:rPr>
        <w:t>. Starpību starp no jauna aprēķināto nodokļu ieņēmumu un/vai prasību summu un pirms korekciju veikšanas aprēķināto summu atzīst perspektīvi, tas ir, periodā, kad aplēsēs ir veiktas</w:t>
      </w:r>
      <w:r w:rsidRPr="002545CE">
        <w:rPr>
          <w:spacing w:val="-23"/>
          <w:sz w:val="24"/>
          <w:szCs w:val="24"/>
        </w:rPr>
        <w:t xml:space="preserve"> </w:t>
      </w:r>
      <w:r w:rsidRPr="002545CE">
        <w:rPr>
          <w:sz w:val="24"/>
          <w:szCs w:val="24"/>
        </w:rPr>
        <w:t>izmaiņas.</w:t>
      </w:r>
    </w:p>
    <w:p w14:paraId="3FBF985C" w14:textId="77777777" w:rsidR="00F82F4D" w:rsidRPr="002545CE" w:rsidRDefault="00F82F4D" w:rsidP="00CD363C">
      <w:pPr>
        <w:pStyle w:val="Pamatteksts"/>
        <w:ind w:right="113"/>
        <w:jc w:val="both"/>
        <w:rPr>
          <w:sz w:val="24"/>
          <w:szCs w:val="24"/>
        </w:rPr>
      </w:pPr>
      <w:r w:rsidRPr="002545CE">
        <w:rPr>
          <w:noProof/>
          <w:sz w:val="24"/>
          <w:szCs w:val="24"/>
        </w:rPr>
        <w:t xml:space="preserve">906.  </w:t>
      </w:r>
      <w:r w:rsidRPr="002545CE">
        <w:rPr>
          <w:sz w:val="24"/>
          <w:szCs w:val="24"/>
        </w:rPr>
        <w:t>Nodokļu korekciju summas atzīst, pamatojoties uz lēmumiem, ko saskaņā ar spēkā esošiem normatīviem aktiem ir izdevusi nodokļu administrācija, vai uz cita normatīvos aktos noteiktā attaisnojuma dokumenta pamata, dienā, kad stājas spēkā iepriekšminētais dokuments vai tajā noteiktās normas.</w:t>
      </w:r>
    </w:p>
    <w:p w14:paraId="3444C994" w14:textId="77777777" w:rsidR="00F82F4D" w:rsidRPr="002545CE" w:rsidRDefault="00F82F4D" w:rsidP="00CD363C">
      <w:pPr>
        <w:pStyle w:val="Pamatteksts"/>
        <w:ind w:right="113"/>
        <w:jc w:val="both"/>
        <w:rPr>
          <w:sz w:val="24"/>
          <w:szCs w:val="24"/>
        </w:rPr>
      </w:pPr>
      <w:r w:rsidRPr="002545CE">
        <w:rPr>
          <w:noProof/>
          <w:sz w:val="24"/>
          <w:szCs w:val="24"/>
        </w:rPr>
        <w:t xml:space="preserve">907.   </w:t>
      </w:r>
      <w:r w:rsidRPr="002545CE">
        <w:rPr>
          <w:sz w:val="24"/>
          <w:szCs w:val="24"/>
        </w:rPr>
        <w:t>Ja nodokļu maksātājs pārsūdz budžeta iestādes lēmumu par nodokļa piemērošanu, tad attiecīgos nodokļu ieņēmumus atzīst dienā, kad to gūšana ir ticama, kā arī jānovērtē ir nodokļa apmērs,</w:t>
      </w:r>
      <w:r w:rsidRPr="002545CE">
        <w:rPr>
          <w:spacing w:val="-37"/>
          <w:sz w:val="24"/>
          <w:szCs w:val="24"/>
        </w:rPr>
        <w:t xml:space="preserve"> </w:t>
      </w:r>
      <w:r w:rsidRPr="002545CE">
        <w:rPr>
          <w:sz w:val="24"/>
          <w:szCs w:val="24"/>
        </w:rPr>
        <w:t>kuru ir ticami gūt. Savukārt, ja tiek pārsūdzēts lēmums, kura rezultātā būtu jāsamazina aprēķinātais nodoklis, tad tiek samazināti nodokļu ieņēmumi lēmuma pieņemšanas</w:t>
      </w:r>
      <w:r w:rsidRPr="002545CE">
        <w:rPr>
          <w:spacing w:val="-11"/>
          <w:sz w:val="24"/>
          <w:szCs w:val="24"/>
        </w:rPr>
        <w:t xml:space="preserve"> </w:t>
      </w:r>
      <w:r w:rsidRPr="002545CE">
        <w:rPr>
          <w:sz w:val="24"/>
          <w:szCs w:val="24"/>
        </w:rPr>
        <w:t>dienā.</w:t>
      </w:r>
    </w:p>
    <w:p w14:paraId="4DF60988" w14:textId="77777777" w:rsidR="00F82F4D" w:rsidRPr="002545CE" w:rsidRDefault="00E12769" w:rsidP="00CD363C">
      <w:pPr>
        <w:pStyle w:val="Pamatteksts"/>
        <w:ind w:right="113"/>
        <w:jc w:val="both"/>
        <w:rPr>
          <w:sz w:val="24"/>
          <w:szCs w:val="24"/>
        </w:rPr>
      </w:pPr>
      <w:r w:rsidRPr="002545CE">
        <w:rPr>
          <w:noProof/>
          <w:sz w:val="24"/>
          <w:szCs w:val="24"/>
        </w:rPr>
        <w:t xml:space="preserve">908.  </w:t>
      </w:r>
      <w:r w:rsidR="00F82F4D" w:rsidRPr="002545CE">
        <w:rPr>
          <w:sz w:val="24"/>
          <w:szCs w:val="24"/>
        </w:rPr>
        <w:t>Nodokļu atlaides, kas nav iekļautas nodokļu likmē, atskaita no tā pārskata perioda nodokļu ieņēmumiem, uz kuru tie attiecas, ar nosacījumu, ka tās ir iespējams ticami aplēst pirms finanšu pārskatu sagatavošanas datuma. Ja šādus nodokļu atvieglojumus pirms finanšu pārskatu sagatavošanas datuma nav iespējams ticami noteikt, tie jāatskaita no tā agrākā perioda nodokļu ieņēmumiem, kurā iespējams noteikt ticamas aplēses.</w:t>
      </w:r>
    </w:p>
    <w:p w14:paraId="72D88D48" w14:textId="77777777" w:rsidR="00F82F4D" w:rsidRPr="002545CE" w:rsidRDefault="00E12769" w:rsidP="00CD363C">
      <w:pPr>
        <w:pStyle w:val="Pamatteksts"/>
        <w:ind w:right="113"/>
        <w:jc w:val="both"/>
        <w:rPr>
          <w:sz w:val="24"/>
          <w:szCs w:val="24"/>
        </w:rPr>
      </w:pPr>
      <w:r w:rsidRPr="002545CE">
        <w:rPr>
          <w:noProof/>
          <w:sz w:val="24"/>
          <w:szCs w:val="24"/>
        </w:rPr>
        <w:t xml:space="preserve">909.    </w:t>
      </w:r>
      <w:r w:rsidR="00F82F4D" w:rsidRPr="002545CE">
        <w:rPr>
          <w:sz w:val="24"/>
          <w:szCs w:val="24"/>
        </w:rPr>
        <w:t>Ja nodokļu maksātājam pārskata periodā saskaņā ar tiesību aktos noteikto ir tiesības uz attiecīgām nodokļa atlaidēm, atbrīvojumiem vai atvieglojumiem, budžeta iestāde veic piešķirto atlaižu, atbrīvojumu vai atvieglojumu aprēķinu un tās uzskaita, veicot šādu grāmatojumu.</w:t>
      </w:r>
    </w:p>
    <w:p w14:paraId="78B0EC0D" w14:textId="77777777" w:rsidR="006162DC" w:rsidRPr="002545CE" w:rsidRDefault="00E12769"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6000   Pamatdarbības ieņēmumi</w:t>
      </w:r>
    </w:p>
    <w:p w14:paraId="365CBA51" w14:textId="77777777" w:rsidR="00E12769" w:rsidRPr="002545CE" w:rsidRDefault="00E12769" w:rsidP="00CD363C">
      <w:pPr>
        <w:spacing w:after="0" w:line="240" w:lineRule="auto"/>
        <w:ind w:right="113"/>
        <w:jc w:val="both"/>
        <w:rPr>
          <w:rFonts w:ascii="Times New Roman" w:hAnsi="Times New Roman" w:cs="Times New Roman"/>
          <w:color w:val="FF0000"/>
          <w:sz w:val="24"/>
          <w:szCs w:val="24"/>
        </w:rPr>
      </w:pPr>
      <w:r w:rsidRPr="002545CE">
        <w:rPr>
          <w:rFonts w:ascii="Times New Roman" w:hAnsi="Times New Roman" w:cs="Times New Roman"/>
          <w:b/>
          <w:bCs/>
          <w:sz w:val="24"/>
          <w:szCs w:val="24"/>
        </w:rPr>
        <w:t xml:space="preserve">    K    2340   Prasības par nodokļiem , nodevām un citiem maksājumiem budžetā</w:t>
      </w:r>
    </w:p>
    <w:p w14:paraId="1E647830" w14:textId="77777777" w:rsidR="00E12769" w:rsidRPr="002545CE" w:rsidRDefault="00350467" w:rsidP="00CD363C">
      <w:pPr>
        <w:pStyle w:val="Virsraksts6"/>
        <w:tabs>
          <w:tab w:val="left" w:pos="1017"/>
          <w:tab w:val="left" w:pos="1018"/>
        </w:tabs>
        <w:ind w:left="0" w:right="113"/>
        <w:jc w:val="both"/>
        <w:rPr>
          <w:sz w:val="24"/>
          <w:szCs w:val="24"/>
        </w:rPr>
      </w:pPr>
      <w:r w:rsidRPr="002545CE">
        <w:rPr>
          <w:sz w:val="24"/>
          <w:szCs w:val="24"/>
        </w:rPr>
        <w:t xml:space="preserve">22.2.4.  </w:t>
      </w:r>
      <w:r w:rsidR="00E12769" w:rsidRPr="002545CE">
        <w:rPr>
          <w:sz w:val="24"/>
          <w:szCs w:val="24"/>
        </w:rPr>
        <w:t>Pārskata perioda slēguma grāmatojumi, vērtības samazinājums prasībām par nodokļiem, nodevām un citiem maksājumiem</w:t>
      </w:r>
      <w:r w:rsidR="00E12769" w:rsidRPr="002545CE">
        <w:rPr>
          <w:spacing w:val="-4"/>
          <w:sz w:val="24"/>
          <w:szCs w:val="24"/>
        </w:rPr>
        <w:t xml:space="preserve"> </w:t>
      </w:r>
      <w:r w:rsidR="00E12769" w:rsidRPr="002545CE">
        <w:rPr>
          <w:sz w:val="24"/>
          <w:szCs w:val="24"/>
        </w:rPr>
        <w:t>budžetos</w:t>
      </w:r>
    </w:p>
    <w:p w14:paraId="0F639D36" w14:textId="77777777" w:rsidR="00E12769" w:rsidRPr="002545CE" w:rsidRDefault="00E12769" w:rsidP="00CD363C">
      <w:pPr>
        <w:pStyle w:val="Pamatteksts"/>
        <w:ind w:right="113"/>
        <w:jc w:val="both"/>
        <w:rPr>
          <w:sz w:val="24"/>
          <w:szCs w:val="24"/>
        </w:rPr>
      </w:pPr>
      <w:r w:rsidRPr="002545CE">
        <w:rPr>
          <w:noProof/>
          <w:sz w:val="24"/>
          <w:szCs w:val="24"/>
        </w:rPr>
        <w:t xml:space="preserve">910.   </w:t>
      </w:r>
      <w:r w:rsidRPr="002545CE">
        <w:rPr>
          <w:sz w:val="24"/>
          <w:szCs w:val="24"/>
        </w:rPr>
        <w:t>Pārskata perioda beigās budžeta iestāde izvērtē attiecīgos bilances posteņus un veic nodokļu saistību un prasību pārklasifikāciju, uzrādot attiecīgi nodokļu saistību un prasību īstermiņa un ilgtermiņa</w:t>
      </w:r>
      <w:r w:rsidRPr="002545CE">
        <w:rPr>
          <w:spacing w:val="-5"/>
          <w:sz w:val="24"/>
          <w:szCs w:val="24"/>
        </w:rPr>
        <w:t xml:space="preserve"> </w:t>
      </w:r>
      <w:r w:rsidRPr="002545CE">
        <w:rPr>
          <w:sz w:val="24"/>
          <w:szCs w:val="24"/>
        </w:rPr>
        <w:t>daļas</w:t>
      </w:r>
      <w:r w:rsidRPr="002545CE">
        <w:rPr>
          <w:spacing w:val="-6"/>
          <w:sz w:val="24"/>
          <w:szCs w:val="24"/>
        </w:rPr>
        <w:t xml:space="preserve"> .</w:t>
      </w:r>
    </w:p>
    <w:p w14:paraId="7B92D6F0" w14:textId="77777777" w:rsidR="00E12769" w:rsidRPr="002545CE" w:rsidRDefault="00236CC0" w:rsidP="00CD363C">
      <w:pPr>
        <w:pStyle w:val="Pamatteksts"/>
        <w:ind w:right="113"/>
        <w:jc w:val="both"/>
        <w:rPr>
          <w:sz w:val="24"/>
          <w:szCs w:val="24"/>
        </w:rPr>
      </w:pPr>
      <w:r w:rsidRPr="002545CE">
        <w:rPr>
          <w:noProof/>
          <w:sz w:val="24"/>
          <w:szCs w:val="24"/>
        </w:rPr>
        <w:t xml:space="preserve">911.    </w:t>
      </w:r>
      <w:r w:rsidR="00E12769" w:rsidRPr="002545CE">
        <w:rPr>
          <w:sz w:val="24"/>
          <w:szCs w:val="24"/>
        </w:rPr>
        <w:t>Vienlaikus</w:t>
      </w:r>
      <w:r w:rsidR="00E12769" w:rsidRPr="002545CE">
        <w:rPr>
          <w:spacing w:val="-10"/>
          <w:sz w:val="24"/>
          <w:szCs w:val="24"/>
        </w:rPr>
        <w:t xml:space="preserve"> </w:t>
      </w:r>
      <w:r w:rsidR="00E12769" w:rsidRPr="002545CE">
        <w:rPr>
          <w:sz w:val="24"/>
          <w:szCs w:val="24"/>
        </w:rPr>
        <w:t>pārskata</w:t>
      </w:r>
      <w:r w:rsidR="00E12769" w:rsidRPr="002545CE">
        <w:rPr>
          <w:spacing w:val="-10"/>
          <w:sz w:val="24"/>
          <w:szCs w:val="24"/>
        </w:rPr>
        <w:t xml:space="preserve"> </w:t>
      </w:r>
      <w:r w:rsidR="00E12769" w:rsidRPr="002545CE">
        <w:rPr>
          <w:sz w:val="24"/>
          <w:szCs w:val="24"/>
        </w:rPr>
        <w:t>perioda</w:t>
      </w:r>
      <w:r w:rsidR="00E12769" w:rsidRPr="002545CE">
        <w:rPr>
          <w:spacing w:val="-13"/>
          <w:sz w:val="24"/>
          <w:szCs w:val="24"/>
        </w:rPr>
        <w:t xml:space="preserve"> </w:t>
      </w:r>
      <w:r w:rsidR="00E12769" w:rsidRPr="002545CE">
        <w:rPr>
          <w:sz w:val="24"/>
          <w:szCs w:val="24"/>
        </w:rPr>
        <w:t>beigās</w:t>
      </w:r>
      <w:r w:rsidR="00E12769" w:rsidRPr="002545CE">
        <w:rPr>
          <w:spacing w:val="-12"/>
          <w:sz w:val="24"/>
          <w:szCs w:val="24"/>
        </w:rPr>
        <w:t xml:space="preserve"> </w:t>
      </w:r>
      <w:r w:rsidR="00E12769" w:rsidRPr="002545CE">
        <w:rPr>
          <w:sz w:val="24"/>
          <w:szCs w:val="24"/>
        </w:rPr>
        <w:t>budžeta</w:t>
      </w:r>
      <w:r w:rsidR="00E12769" w:rsidRPr="002545CE">
        <w:rPr>
          <w:spacing w:val="-10"/>
          <w:sz w:val="24"/>
          <w:szCs w:val="24"/>
        </w:rPr>
        <w:t xml:space="preserve"> </w:t>
      </w:r>
      <w:r w:rsidR="00E12769" w:rsidRPr="002545CE">
        <w:rPr>
          <w:sz w:val="24"/>
          <w:szCs w:val="24"/>
        </w:rPr>
        <w:t>iestāde</w:t>
      </w:r>
      <w:r w:rsidR="00E12769" w:rsidRPr="002545CE">
        <w:rPr>
          <w:spacing w:val="-12"/>
          <w:sz w:val="24"/>
          <w:szCs w:val="24"/>
        </w:rPr>
        <w:t xml:space="preserve"> </w:t>
      </w:r>
      <w:r w:rsidR="00E12769" w:rsidRPr="002545CE">
        <w:rPr>
          <w:sz w:val="24"/>
          <w:szCs w:val="24"/>
        </w:rPr>
        <w:t>izvērtē</w:t>
      </w:r>
      <w:r w:rsidR="00E12769" w:rsidRPr="002545CE">
        <w:rPr>
          <w:spacing w:val="-13"/>
          <w:sz w:val="24"/>
          <w:szCs w:val="24"/>
        </w:rPr>
        <w:t xml:space="preserve"> </w:t>
      </w:r>
      <w:r w:rsidR="00E12769" w:rsidRPr="002545CE">
        <w:rPr>
          <w:sz w:val="24"/>
          <w:szCs w:val="24"/>
        </w:rPr>
        <w:t>atzītās</w:t>
      </w:r>
      <w:r w:rsidR="00E12769" w:rsidRPr="002545CE">
        <w:rPr>
          <w:spacing w:val="-10"/>
          <w:sz w:val="24"/>
          <w:szCs w:val="24"/>
        </w:rPr>
        <w:t xml:space="preserve"> </w:t>
      </w:r>
      <w:r w:rsidR="00E12769" w:rsidRPr="002545CE">
        <w:rPr>
          <w:sz w:val="24"/>
          <w:szCs w:val="24"/>
        </w:rPr>
        <w:t>prasības</w:t>
      </w:r>
      <w:r w:rsidR="00E12769" w:rsidRPr="002545CE">
        <w:rPr>
          <w:spacing w:val="-10"/>
          <w:sz w:val="24"/>
          <w:szCs w:val="24"/>
        </w:rPr>
        <w:t xml:space="preserve"> </w:t>
      </w:r>
      <w:r w:rsidR="00E12769" w:rsidRPr="002545CE">
        <w:rPr>
          <w:sz w:val="24"/>
          <w:szCs w:val="24"/>
        </w:rPr>
        <w:t>par</w:t>
      </w:r>
      <w:r w:rsidR="00E12769" w:rsidRPr="002545CE">
        <w:rPr>
          <w:spacing w:val="-10"/>
          <w:sz w:val="24"/>
          <w:szCs w:val="24"/>
        </w:rPr>
        <w:t xml:space="preserve"> </w:t>
      </w:r>
      <w:r w:rsidR="00E12769" w:rsidRPr="002545CE">
        <w:rPr>
          <w:sz w:val="24"/>
          <w:szCs w:val="24"/>
        </w:rPr>
        <w:t>nodokļiem,</w:t>
      </w:r>
      <w:r w:rsidR="00E12769" w:rsidRPr="002545CE">
        <w:rPr>
          <w:spacing w:val="-10"/>
          <w:sz w:val="24"/>
          <w:szCs w:val="24"/>
        </w:rPr>
        <w:t xml:space="preserve"> </w:t>
      </w:r>
      <w:r w:rsidR="00E12769" w:rsidRPr="002545CE">
        <w:rPr>
          <w:sz w:val="24"/>
          <w:szCs w:val="24"/>
        </w:rPr>
        <w:t>nosakot, vai pastāv objektīvi pierādījumi nodokļa prasību saņemšanai. Tām prasībām, kuras klasificētas kā apšaubāmas,</w:t>
      </w:r>
      <w:r w:rsidR="00E12769" w:rsidRPr="002545CE">
        <w:rPr>
          <w:spacing w:val="-7"/>
          <w:sz w:val="24"/>
          <w:szCs w:val="24"/>
        </w:rPr>
        <w:t xml:space="preserve"> </w:t>
      </w:r>
      <w:r w:rsidR="00E12769" w:rsidRPr="002545CE">
        <w:rPr>
          <w:sz w:val="24"/>
          <w:szCs w:val="24"/>
        </w:rPr>
        <w:t>budžeta</w:t>
      </w:r>
      <w:r w:rsidR="00E12769" w:rsidRPr="002545CE">
        <w:rPr>
          <w:spacing w:val="-7"/>
          <w:sz w:val="24"/>
          <w:szCs w:val="24"/>
        </w:rPr>
        <w:t xml:space="preserve"> </w:t>
      </w:r>
      <w:r w:rsidR="00E12769" w:rsidRPr="002545CE">
        <w:rPr>
          <w:sz w:val="24"/>
          <w:szCs w:val="24"/>
        </w:rPr>
        <w:t>iestāde</w:t>
      </w:r>
      <w:r w:rsidR="00E12769" w:rsidRPr="002545CE">
        <w:rPr>
          <w:spacing w:val="-7"/>
          <w:sz w:val="24"/>
          <w:szCs w:val="24"/>
        </w:rPr>
        <w:t xml:space="preserve"> </w:t>
      </w:r>
      <w:r w:rsidR="00E12769" w:rsidRPr="002545CE">
        <w:rPr>
          <w:sz w:val="24"/>
          <w:szCs w:val="24"/>
        </w:rPr>
        <w:t>veido</w:t>
      </w:r>
      <w:r w:rsidR="00E12769" w:rsidRPr="002545CE">
        <w:rPr>
          <w:spacing w:val="-7"/>
          <w:sz w:val="24"/>
          <w:szCs w:val="24"/>
        </w:rPr>
        <w:t xml:space="preserve"> </w:t>
      </w:r>
      <w:r w:rsidR="00E12769" w:rsidRPr="002545CE">
        <w:rPr>
          <w:sz w:val="24"/>
          <w:szCs w:val="24"/>
        </w:rPr>
        <w:t>vērtības</w:t>
      </w:r>
      <w:r w:rsidR="00E12769" w:rsidRPr="002545CE">
        <w:rPr>
          <w:spacing w:val="-6"/>
          <w:sz w:val="24"/>
          <w:szCs w:val="24"/>
        </w:rPr>
        <w:t xml:space="preserve"> </w:t>
      </w:r>
      <w:r w:rsidR="00E12769" w:rsidRPr="002545CE">
        <w:rPr>
          <w:sz w:val="24"/>
          <w:szCs w:val="24"/>
        </w:rPr>
        <w:t>samazinājumu</w:t>
      </w:r>
      <w:r w:rsidR="00E12769" w:rsidRPr="002545CE">
        <w:rPr>
          <w:spacing w:val="-7"/>
          <w:sz w:val="24"/>
          <w:szCs w:val="24"/>
        </w:rPr>
        <w:t xml:space="preserve"> </w:t>
      </w:r>
      <w:r w:rsidR="00E12769" w:rsidRPr="002545CE">
        <w:rPr>
          <w:sz w:val="24"/>
          <w:szCs w:val="24"/>
        </w:rPr>
        <w:t>prasībām</w:t>
      </w:r>
      <w:r w:rsidR="00E12769" w:rsidRPr="002545CE">
        <w:rPr>
          <w:spacing w:val="-10"/>
          <w:sz w:val="24"/>
          <w:szCs w:val="24"/>
        </w:rPr>
        <w:t xml:space="preserve"> </w:t>
      </w:r>
      <w:r w:rsidR="00E12769" w:rsidRPr="002545CE">
        <w:rPr>
          <w:sz w:val="24"/>
          <w:szCs w:val="24"/>
        </w:rPr>
        <w:t>apšaubāmās</w:t>
      </w:r>
      <w:r w:rsidR="00E12769" w:rsidRPr="002545CE">
        <w:rPr>
          <w:spacing w:val="-6"/>
          <w:sz w:val="24"/>
          <w:szCs w:val="24"/>
        </w:rPr>
        <w:t xml:space="preserve"> </w:t>
      </w:r>
      <w:r w:rsidR="00E12769" w:rsidRPr="002545CE">
        <w:rPr>
          <w:sz w:val="24"/>
          <w:szCs w:val="24"/>
        </w:rPr>
        <w:t>summas</w:t>
      </w:r>
      <w:r w:rsidR="00E12769" w:rsidRPr="002545CE">
        <w:rPr>
          <w:spacing w:val="-6"/>
          <w:sz w:val="24"/>
          <w:szCs w:val="24"/>
        </w:rPr>
        <w:t xml:space="preserve"> </w:t>
      </w:r>
      <w:r w:rsidR="00E12769" w:rsidRPr="002545CE">
        <w:rPr>
          <w:sz w:val="24"/>
          <w:szCs w:val="24"/>
        </w:rPr>
        <w:t xml:space="preserve">apmērā, ņemot vērā </w:t>
      </w:r>
      <w:r w:rsidRPr="002545CE">
        <w:rPr>
          <w:sz w:val="24"/>
          <w:szCs w:val="24"/>
        </w:rPr>
        <w:t>Grāmatvedības uzskaites kārtības</w:t>
      </w:r>
      <w:r w:rsidR="00E12769" w:rsidRPr="002545CE">
        <w:rPr>
          <w:sz w:val="24"/>
          <w:szCs w:val="24"/>
        </w:rPr>
        <w:t xml:space="preserve"> sadaļā </w:t>
      </w:r>
      <w:r w:rsidR="00E12769" w:rsidRPr="002545CE">
        <w:rPr>
          <w:color w:val="0462C1"/>
          <w:sz w:val="24"/>
          <w:szCs w:val="24"/>
          <w:u w:val="single" w:color="0462C1"/>
        </w:rPr>
        <w:t>“</w:t>
      </w:r>
      <w:hyperlink w:anchor="_bookmark179" w:history="1">
        <w:r w:rsidR="00E12769" w:rsidRPr="002545CE">
          <w:rPr>
            <w:color w:val="0462C1"/>
            <w:sz w:val="24"/>
            <w:szCs w:val="24"/>
            <w:u w:val="single" w:color="0462C1"/>
          </w:rPr>
          <w:t>Prasību uzskaite, tai skaitā, nākamo periodu izdevumu un</w:t>
        </w:r>
      </w:hyperlink>
      <w:r w:rsidR="00E12769">
        <w:rPr>
          <w:color w:val="0462C1"/>
        </w:rPr>
        <w:t xml:space="preserve"> </w:t>
      </w:r>
      <w:hyperlink w:anchor="_bookmark179" w:history="1">
        <w:r w:rsidR="00E12769" w:rsidRPr="002545CE">
          <w:rPr>
            <w:color w:val="0462C1"/>
            <w:sz w:val="24"/>
            <w:szCs w:val="24"/>
            <w:u w:val="single" w:color="0462C1"/>
          </w:rPr>
          <w:t>avansu uzskaite</w:t>
        </w:r>
      </w:hyperlink>
      <w:r w:rsidR="00E12769" w:rsidRPr="002545CE">
        <w:rPr>
          <w:color w:val="0462C1"/>
          <w:sz w:val="24"/>
          <w:szCs w:val="24"/>
          <w:u w:val="single" w:color="0462C1"/>
        </w:rPr>
        <w:t>”</w:t>
      </w:r>
      <w:r w:rsidR="00E12769" w:rsidRPr="002545CE">
        <w:rPr>
          <w:color w:val="0462C1"/>
          <w:sz w:val="24"/>
          <w:szCs w:val="24"/>
        </w:rPr>
        <w:t xml:space="preserve"> </w:t>
      </w:r>
      <w:r w:rsidR="00E12769" w:rsidRPr="002545CE">
        <w:rPr>
          <w:sz w:val="24"/>
          <w:szCs w:val="24"/>
        </w:rPr>
        <w:t>aprakstītos prasību uzskaites</w:t>
      </w:r>
      <w:r w:rsidR="00E12769" w:rsidRPr="002545CE">
        <w:rPr>
          <w:spacing w:val="-3"/>
          <w:sz w:val="24"/>
          <w:szCs w:val="24"/>
        </w:rPr>
        <w:t xml:space="preserve"> </w:t>
      </w:r>
      <w:r w:rsidR="00E12769" w:rsidRPr="002545CE">
        <w:rPr>
          <w:sz w:val="24"/>
          <w:szCs w:val="24"/>
        </w:rPr>
        <w:t>pamatprincipus.</w:t>
      </w:r>
    </w:p>
    <w:p w14:paraId="4B4CA97A" w14:textId="77777777" w:rsidR="00E12769" w:rsidRPr="002545CE" w:rsidRDefault="00236CC0" w:rsidP="00CD363C">
      <w:pPr>
        <w:pStyle w:val="Pamatteksts"/>
        <w:ind w:right="113"/>
        <w:jc w:val="both"/>
        <w:rPr>
          <w:sz w:val="24"/>
          <w:szCs w:val="24"/>
        </w:rPr>
      </w:pPr>
      <w:r w:rsidRPr="002545CE">
        <w:rPr>
          <w:noProof/>
          <w:sz w:val="24"/>
          <w:szCs w:val="24"/>
        </w:rPr>
        <w:t xml:space="preserve">912.    </w:t>
      </w:r>
      <w:r w:rsidR="00E12769" w:rsidRPr="002545CE">
        <w:rPr>
          <w:sz w:val="24"/>
          <w:szCs w:val="24"/>
        </w:rPr>
        <w:t>Nodokļu prasībām izveidoto vērtības samazinājumu iekļauj pārskata perioda pārējos izdevumos. Izdevumus vērtības samazinājumam novērtē apšaubāmās nodokļa summas apmērā vai procentos no kopējās nodokļu parāda vērtības.</w:t>
      </w:r>
    </w:p>
    <w:p w14:paraId="570E8390" w14:textId="77777777" w:rsidR="00145DDA" w:rsidRPr="002545CE" w:rsidRDefault="00145DDA" w:rsidP="00CD363C">
      <w:pPr>
        <w:spacing w:after="0" w:line="240" w:lineRule="auto"/>
        <w:ind w:left="338" w:right="113"/>
        <w:jc w:val="both"/>
        <w:rPr>
          <w:i/>
          <w:sz w:val="24"/>
          <w:szCs w:val="24"/>
        </w:rPr>
      </w:pPr>
      <w:r w:rsidRPr="002545CE">
        <w:rPr>
          <w:i/>
          <w:sz w:val="24"/>
          <w:szCs w:val="24"/>
        </w:rPr>
        <w:t>Grāmatojums – izdevumu veidošana nedrošām nodokļu prasībām</w:t>
      </w:r>
    </w:p>
    <w:p w14:paraId="62DA07C6" w14:textId="77777777" w:rsidR="00145DDA" w:rsidRPr="002545CE" w:rsidRDefault="00145DDA"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8657   Izdevumi no vērtības samazinājuma prasībām par nodokļiem , nodevām </w:t>
      </w:r>
    </w:p>
    <w:p w14:paraId="61691650" w14:textId="77777777" w:rsidR="006162DC" w:rsidRPr="002545CE" w:rsidRDefault="00145DDA"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2348   Vērtības samazinājums prasībām par nodokļie un nodevām </w:t>
      </w:r>
    </w:p>
    <w:p w14:paraId="1789DDAC" w14:textId="77777777" w:rsidR="00145DDA" w:rsidRPr="002545CE" w:rsidRDefault="00145DDA" w:rsidP="00CD363C">
      <w:pPr>
        <w:pStyle w:val="Pamatteksts"/>
        <w:ind w:right="113"/>
        <w:jc w:val="both"/>
        <w:rPr>
          <w:sz w:val="24"/>
          <w:szCs w:val="24"/>
        </w:rPr>
      </w:pPr>
      <w:r w:rsidRPr="002545CE">
        <w:rPr>
          <w:noProof/>
          <w:sz w:val="24"/>
          <w:szCs w:val="24"/>
        </w:rPr>
        <w:t xml:space="preserve">913.    </w:t>
      </w:r>
      <w:r w:rsidRPr="002545CE">
        <w:rPr>
          <w:sz w:val="24"/>
          <w:szCs w:val="24"/>
        </w:rPr>
        <w:t>Nodokļu prasības bilancē uzrāda neto vērtībā, kas aprēķināta, no uzskaites vērtības atskaitot vērtības samazinājumu.</w:t>
      </w:r>
    </w:p>
    <w:p w14:paraId="1F09C476" w14:textId="77777777" w:rsidR="00145DDA" w:rsidRPr="002545CE" w:rsidRDefault="00350467" w:rsidP="00CD363C">
      <w:pPr>
        <w:widowControl w:val="0"/>
        <w:tabs>
          <w:tab w:val="left" w:pos="1017"/>
          <w:tab w:val="left" w:pos="1018"/>
        </w:tabs>
        <w:autoSpaceDE w:val="0"/>
        <w:autoSpaceDN w:val="0"/>
        <w:spacing w:after="0" w:line="240" w:lineRule="auto"/>
        <w:ind w:right="113"/>
        <w:jc w:val="both"/>
        <w:rPr>
          <w:rFonts w:ascii="Times New Roman" w:hAnsi="Times New Roman" w:cs="Times New Roman"/>
          <w:b/>
          <w:bCs/>
          <w:sz w:val="24"/>
          <w:szCs w:val="24"/>
        </w:rPr>
      </w:pPr>
      <w:bookmarkStart w:id="86" w:name="_bookmark385"/>
      <w:bookmarkEnd w:id="86"/>
      <w:r w:rsidRPr="002545CE">
        <w:rPr>
          <w:rFonts w:ascii="Times New Roman" w:hAnsi="Times New Roman" w:cs="Times New Roman"/>
          <w:b/>
          <w:bCs/>
          <w:sz w:val="24"/>
          <w:szCs w:val="24"/>
        </w:rPr>
        <w:t xml:space="preserve">22.2.5. </w:t>
      </w:r>
      <w:r w:rsidR="00145DDA" w:rsidRPr="002545CE">
        <w:rPr>
          <w:rFonts w:ascii="Times New Roman" w:hAnsi="Times New Roman" w:cs="Times New Roman"/>
          <w:b/>
          <w:bCs/>
          <w:sz w:val="24"/>
          <w:szCs w:val="24"/>
        </w:rPr>
        <w:t>Nokavējuma naudu un soda naudu</w:t>
      </w:r>
      <w:r w:rsidR="00145DDA" w:rsidRPr="002545CE">
        <w:rPr>
          <w:rFonts w:ascii="Times New Roman" w:hAnsi="Times New Roman" w:cs="Times New Roman"/>
          <w:b/>
          <w:bCs/>
          <w:spacing w:val="-3"/>
          <w:sz w:val="24"/>
          <w:szCs w:val="24"/>
        </w:rPr>
        <w:t xml:space="preserve"> </w:t>
      </w:r>
      <w:r w:rsidR="00145DDA" w:rsidRPr="002545CE">
        <w:rPr>
          <w:rFonts w:ascii="Times New Roman" w:hAnsi="Times New Roman" w:cs="Times New Roman"/>
          <w:b/>
          <w:bCs/>
          <w:sz w:val="24"/>
          <w:szCs w:val="24"/>
        </w:rPr>
        <w:t>uzskaite</w:t>
      </w:r>
    </w:p>
    <w:p w14:paraId="54C2A674" w14:textId="77777777" w:rsidR="00145DDA" w:rsidRPr="002545CE" w:rsidRDefault="00145DDA" w:rsidP="00CD363C">
      <w:pPr>
        <w:pStyle w:val="Pamatteksts"/>
        <w:ind w:right="113"/>
        <w:jc w:val="both"/>
        <w:rPr>
          <w:sz w:val="24"/>
          <w:szCs w:val="24"/>
        </w:rPr>
      </w:pPr>
      <w:r w:rsidRPr="002545CE">
        <w:rPr>
          <w:noProof/>
          <w:sz w:val="24"/>
          <w:szCs w:val="24"/>
        </w:rPr>
        <w:t xml:space="preserve">914.   </w:t>
      </w:r>
      <w:r w:rsidRPr="002545CE">
        <w:rPr>
          <w:sz w:val="24"/>
          <w:szCs w:val="24"/>
        </w:rPr>
        <w:t>Nokavējuma naudas un soda naudas par tiesību aktu pārkāpumiem attiecībā uz nodokļiem ir definējamas kā sodi un ir uzskatāmas par pārvedumiem.</w:t>
      </w:r>
    </w:p>
    <w:p w14:paraId="4A7883D6" w14:textId="77777777" w:rsidR="00145DDA" w:rsidRPr="002545CE" w:rsidRDefault="00145DDA" w:rsidP="00CD363C">
      <w:pPr>
        <w:pStyle w:val="Pamatteksts"/>
        <w:ind w:right="113"/>
        <w:jc w:val="both"/>
        <w:rPr>
          <w:sz w:val="24"/>
          <w:szCs w:val="24"/>
        </w:rPr>
      </w:pPr>
      <w:r w:rsidRPr="002545CE">
        <w:rPr>
          <w:noProof/>
          <w:sz w:val="24"/>
          <w:szCs w:val="24"/>
        </w:rPr>
        <w:t xml:space="preserve">915.    </w:t>
      </w:r>
      <w:r w:rsidRPr="002545CE">
        <w:rPr>
          <w:sz w:val="24"/>
          <w:szCs w:val="24"/>
        </w:rPr>
        <w:t>Soda</w:t>
      </w:r>
      <w:r w:rsidRPr="002545CE">
        <w:rPr>
          <w:spacing w:val="-7"/>
          <w:sz w:val="24"/>
          <w:szCs w:val="24"/>
        </w:rPr>
        <w:t xml:space="preserve"> </w:t>
      </w:r>
      <w:r w:rsidRPr="002545CE">
        <w:rPr>
          <w:sz w:val="24"/>
          <w:szCs w:val="24"/>
        </w:rPr>
        <w:t>naudas</w:t>
      </w:r>
      <w:r w:rsidRPr="002545CE">
        <w:rPr>
          <w:spacing w:val="-7"/>
          <w:sz w:val="24"/>
          <w:szCs w:val="24"/>
        </w:rPr>
        <w:t xml:space="preserve"> </w:t>
      </w:r>
      <w:r w:rsidRPr="002545CE">
        <w:rPr>
          <w:sz w:val="24"/>
          <w:szCs w:val="24"/>
        </w:rPr>
        <w:t>uzskaite</w:t>
      </w:r>
      <w:r w:rsidRPr="002545CE">
        <w:rPr>
          <w:spacing w:val="-8"/>
          <w:sz w:val="24"/>
          <w:szCs w:val="24"/>
        </w:rPr>
        <w:t xml:space="preserve"> </w:t>
      </w:r>
      <w:r w:rsidRPr="002545CE">
        <w:rPr>
          <w:sz w:val="24"/>
          <w:szCs w:val="24"/>
        </w:rPr>
        <w:t>veicama</w:t>
      </w:r>
      <w:r w:rsidRPr="002545CE">
        <w:rPr>
          <w:spacing w:val="-6"/>
          <w:sz w:val="24"/>
          <w:szCs w:val="24"/>
        </w:rPr>
        <w:t xml:space="preserve"> </w:t>
      </w:r>
      <w:r w:rsidRPr="002545CE">
        <w:rPr>
          <w:sz w:val="24"/>
          <w:szCs w:val="24"/>
        </w:rPr>
        <w:t>atbilstoši</w:t>
      </w:r>
      <w:r w:rsidRPr="002545CE">
        <w:rPr>
          <w:spacing w:val="-7"/>
          <w:sz w:val="24"/>
          <w:szCs w:val="24"/>
        </w:rPr>
        <w:t xml:space="preserve"> </w:t>
      </w:r>
      <w:r w:rsidRPr="002545CE">
        <w:rPr>
          <w:sz w:val="24"/>
          <w:szCs w:val="24"/>
        </w:rPr>
        <w:t>Grāmatvedības uzskaites kārtības</w:t>
      </w:r>
      <w:r w:rsidRPr="002545CE">
        <w:rPr>
          <w:spacing w:val="-5"/>
          <w:sz w:val="24"/>
          <w:szCs w:val="24"/>
        </w:rPr>
        <w:t xml:space="preserve"> </w:t>
      </w:r>
      <w:r w:rsidRPr="002545CE">
        <w:rPr>
          <w:sz w:val="24"/>
          <w:szCs w:val="24"/>
        </w:rPr>
        <w:t>nodaļas</w:t>
      </w:r>
      <w:r w:rsidRPr="002545CE">
        <w:rPr>
          <w:spacing w:val="-2"/>
          <w:sz w:val="24"/>
          <w:szCs w:val="24"/>
        </w:rPr>
        <w:t xml:space="preserve"> </w:t>
      </w:r>
      <w:r w:rsidRPr="002545CE">
        <w:rPr>
          <w:color w:val="0462C1"/>
          <w:sz w:val="24"/>
          <w:szCs w:val="24"/>
          <w:u w:val="single" w:color="0462C1"/>
        </w:rPr>
        <w:t>“</w:t>
      </w:r>
      <w:hyperlink w:anchor="_bookmark390" w:history="1">
        <w:r w:rsidRPr="002545CE">
          <w:rPr>
            <w:color w:val="0462C1"/>
            <w:sz w:val="24"/>
            <w:szCs w:val="24"/>
            <w:u w:val="single" w:color="0462C1"/>
          </w:rPr>
          <w:t>Pārvedumi</w:t>
        </w:r>
      </w:hyperlink>
      <w:r w:rsidRPr="002545CE">
        <w:rPr>
          <w:color w:val="0462C1"/>
          <w:sz w:val="24"/>
          <w:szCs w:val="24"/>
          <w:u w:val="single" w:color="0462C1"/>
        </w:rPr>
        <w:t>”</w:t>
      </w:r>
      <w:r w:rsidRPr="002545CE">
        <w:rPr>
          <w:color w:val="0462C1"/>
          <w:spacing w:val="-5"/>
          <w:sz w:val="24"/>
          <w:szCs w:val="24"/>
        </w:rPr>
        <w:t xml:space="preserve"> </w:t>
      </w:r>
      <w:r w:rsidRPr="002545CE">
        <w:rPr>
          <w:sz w:val="24"/>
          <w:szCs w:val="24"/>
        </w:rPr>
        <w:t>apakšnodaļā</w:t>
      </w:r>
      <w:r w:rsidRPr="002545CE">
        <w:rPr>
          <w:spacing w:val="-7"/>
          <w:sz w:val="24"/>
          <w:szCs w:val="24"/>
        </w:rPr>
        <w:t xml:space="preserve"> </w:t>
      </w:r>
      <w:r w:rsidRPr="002545CE">
        <w:rPr>
          <w:color w:val="0462C1"/>
          <w:sz w:val="24"/>
          <w:szCs w:val="24"/>
          <w:u w:val="single" w:color="0462C1"/>
        </w:rPr>
        <w:t>“</w:t>
      </w:r>
      <w:hyperlink w:anchor="_bookmark399" w:history="1">
        <w:r w:rsidRPr="002545CE">
          <w:rPr>
            <w:color w:val="0462C1"/>
            <w:sz w:val="24"/>
            <w:szCs w:val="24"/>
            <w:u w:val="single" w:color="0462C1"/>
          </w:rPr>
          <w:t>Sodi</w:t>
        </w:r>
      </w:hyperlink>
      <w:r w:rsidRPr="002545CE">
        <w:rPr>
          <w:color w:val="0462C1"/>
          <w:sz w:val="24"/>
          <w:szCs w:val="24"/>
          <w:u w:val="single" w:color="0462C1"/>
        </w:rPr>
        <w:t>”</w:t>
      </w:r>
      <w:r w:rsidRPr="002545CE">
        <w:rPr>
          <w:color w:val="0462C1"/>
          <w:sz w:val="24"/>
          <w:szCs w:val="24"/>
        </w:rPr>
        <w:t xml:space="preserve"> </w:t>
      </w:r>
      <w:r w:rsidRPr="002545CE">
        <w:rPr>
          <w:sz w:val="24"/>
          <w:szCs w:val="24"/>
        </w:rPr>
        <w:t>noteiktajiem</w:t>
      </w:r>
      <w:r w:rsidRPr="002545CE">
        <w:rPr>
          <w:spacing w:val="-5"/>
          <w:sz w:val="24"/>
          <w:szCs w:val="24"/>
        </w:rPr>
        <w:t xml:space="preserve"> </w:t>
      </w:r>
      <w:r w:rsidRPr="002545CE">
        <w:rPr>
          <w:sz w:val="24"/>
          <w:szCs w:val="24"/>
        </w:rPr>
        <w:t>principiem.</w:t>
      </w:r>
    </w:p>
    <w:p w14:paraId="0C667E77" w14:textId="77777777" w:rsidR="00FC0E27" w:rsidRPr="002545CE" w:rsidRDefault="00FC0E27" w:rsidP="00CD363C">
      <w:pPr>
        <w:pStyle w:val="Pamatteksts"/>
        <w:ind w:right="113"/>
        <w:jc w:val="both"/>
        <w:rPr>
          <w:sz w:val="24"/>
          <w:szCs w:val="24"/>
        </w:rPr>
      </w:pPr>
      <w:r w:rsidRPr="002545CE">
        <w:rPr>
          <w:noProof/>
          <w:sz w:val="24"/>
          <w:szCs w:val="24"/>
        </w:rPr>
        <w:t xml:space="preserve">916.    </w:t>
      </w:r>
      <w:r w:rsidRPr="002545CE">
        <w:rPr>
          <w:sz w:val="24"/>
          <w:szCs w:val="24"/>
        </w:rPr>
        <w:t>Ja nokavējuma naudas saņemšana nav atzīstama par droši ticamu, nokavējuma naudu uzskaita zembilancē no dienas, kad rodas likumīgas tiesības iekasēt attiecīgo nokavējuma naudu. Dienā, kad nokavējuma naudas maksājumu ieskaita budžeta iestādes norēķinu kontā, to uzskaita kā pamatdarbības ieņēmumus. Grāmato:</w:t>
      </w:r>
    </w:p>
    <w:p w14:paraId="530E46EA" w14:textId="77777777" w:rsidR="00FC0E27" w:rsidRPr="002545CE" w:rsidRDefault="00FC0E27" w:rsidP="00CD363C">
      <w:pPr>
        <w:pStyle w:val="Pamatteksts"/>
        <w:ind w:right="113"/>
        <w:jc w:val="both"/>
        <w:rPr>
          <w:b/>
          <w:bCs/>
          <w:sz w:val="24"/>
          <w:szCs w:val="24"/>
        </w:rPr>
      </w:pPr>
      <w:r w:rsidRPr="002545CE">
        <w:rPr>
          <w:sz w:val="24"/>
          <w:szCs w:val="24"/>
        </w:rPr>
        <w:t xml:space="preserve">    </w:t>
      </w:r>
      <w:r w:rsidRPr="002545CE">
        <w:rPr>
          <w:b/>
          <w:bCs/>
          <w:sz w:val="24"/>
          <w:szCs w:val="24"/>
        </w:rPr>
        <w:t>D    2600   Naudas līdzekļi</w:t>
      </w:r>
    </w:p>
    <w:p w14:paraId="65C354E0" w14:textId="77777777" w:rsidR="00FC0E27" w:rsidRPr="002545CE" w:rsidRDefault="00FC0E27" w:rsidP="00CD363C">
      <w:pPr>
        <w:pStyle w:val="Pamatteksts"/>
        <w:ind w:right="113"/>
        <w:jc w:val="both"/>
        <w:rPr>
          <w:b/>
          <w:bCs/>
          <w:sz w:val="24"/>
          <w:szCs w:val="24"/>
        </w:rPr>
      </w:pPr>
      <w:r w:rsidRPr="002545CE">
        <w:rPr>
          <w:b/>
          <w:bCs/>
          <w:sz w:val="24"/>
          <w:szCs w:val="24"/>
        </w:rPr>
        <w:t xml:space="preserve">    K    6000   Pamatdarbības ieņēmumi</w:t>
      </w:r>
    </w:p>
    <w:p w14:paraId="119BF55C" w14:textId="77777777" w:rsidR="00FC0E27" w:rsidRPr="00350467" w:rsidRDefault="00350467" w:rsidP="00CD363C">
      <w:pPr>
        <w:pStyle w:val="Pamatteksts"/>
        <w:ind w:right="113"/>
        <w:jc w:val="both"/>
        <w:rPr>
          <w:b/>
          <w:bCs/>
          <w:i/>
          <w:iCs/>
          <w:color w:val="2F5496" w:themeColor="accent1" w:themeShade="BF"/>
          <w:sz w:val="24"/>
          <w:szCs w:val="24"/>
        </w:rPr>
      </w:pPr>
      <w:r w:rsidRPr="00350467">
        <w:rPr>
          <w:b/>
          <w:bCs/>
          <w:i/>
          <w:iCs/>
          <w:color w:val="2F5496" w:themeColor="accent1" w:themeShade="BF"/>
          <w:sz w:val="24"/>
          <w:szCs w:val="24"/>
        </w:rPr>
        <w:t>Nodevu uzskaite</w:t>
      </w:r>
    </w:p>
    <w:p w14:paraId="2720980D" w14:textId="77777777" w:rsidR="006162DC" w:rsidRPr="00145DDA" w:rsidRDefault="00350467" w:rsidP="00CD363C">
      <w:pPr>
        <w:spacing w:after="0" w:line="240" w:lineRule="auto"/>
        <w:ind w:right="113"/>
        <w:jc w:val="both"/>
        <w:rPr>
          <w:rFonts w:ascii="Times New Roman" w:hAnsi="Times New Roman" w:cs="Times New Roman"/>
          <w:b/>
          <w:bCs/>
          <w:sz w:val="24"/>
          <w:szCs w:val="24"/>
        </w:rPr>
      </w:pPr>
      <w:r>
        <w:rPr>
          <w:rFonts w:ascii="Times New Roman" w:hAnsi="Times New Roman" w:cs="Times New Roman"/>
          <w:b/>
          <w:bCs/>
          <w:sz w:val="24"/>
          <w:szCs w:val="24"/>
        </w:rPr>
        <w:t>22.2.6.Nodevu grāmatvedības uzskaites principi</w:t>
      </w:r>
    </w:p>
    <w:p w14:paraId="2875E518" w14:textId="77777777" w:rsidR="00350467" w:rsidRPr="002545CE" w:rsidRDefault="00350467" w:rsidP="00CD363C">
      <w:pPr>
        <w:pStyle w:val="Pamatteksts"/>
        <w:ind w:right="113"/>
        <w:jc w:val="both"/>
        <w:rPr>
          <w:sz w:val="24"/>
          <w:szCs w:val="24"/>
        </w:rPr>
      </w:pPr>
      <w:r w:rsidRPr="002545CE">
        <w:rPr>
          <w:noProof/>
          <w:sz w:val="24"/>
          <w:szCs w:val="24"/>
        </w:rPr>
        <w:t xml:space="preserve">917.   </w:t>
      </w:r>
      <w:r w:rsidRPr="002545CE">
        <w:rPr>
          <w:sz w:val="24"/>
          <w:szCs w:val="24"/>
        </w:rPr>
        <w:t>Budžeta iestāde atzīst ieņēmumus no nodevām pārskata perioda laikā atbilstoši saņemtajiem nodevu maksājumiem.</w:t>
      </w:r>
    </w:p>
    <w:p w14:paraId="4DE2904D" w14:textId="77777777" w:rsidR="00350467" w:rsidRPr="002545CE" w:rsidRDefault="00350467" w:rsidP="00CD363C">
      <w:pPr>
        <w:pStyle w:val="Pamatteksts"/>
        <w:ind w:right="113"/>
        <w:jc w:val="both"/>
        <w:rPr>
          <w:sz w:val="24"/>
          <w:szCs w:val="24"/>
        </w:rPr>
      </w:pPr>
      <w:r w:rsidRPr="002545CE">
        <w:rPr>
          <w:noProof/>
          <w:sz w:val="24"/>
          <w:szCs w:val="24"/>
        </w:rPr>
        <w:t xml:space="preserve">918.  </w:t>
      </w:r>
      <w:r w:rsidRPr="002545CE">
        <w:rPr>
          <w:sz w:val="24"/>
          <w:szCs w:val="24"/>
        </w:rPr>
        <w:t xml:space="preserve">Ja normatīvajos aktos noteikta nokavējuma vai soda naudu piemērošana attiecībā uz nodevu maksājumiem, tad to uzskaiti veic atbilstoši Pārvedumu uzskaites principiem (detalizēti Grāmatvedības uzskaites kārtības nodaļas </w:t>
      </w:r>
      <w:r w:rsidRPr="002545CE">
        <w:rPr>
          <w:color w:val="0462C1"/>
          <w:sz w:val="24"/>
          <w:szCs w:val="24"/>
          <w:u w:val="single" w:color="0462C1"/>
        </w:rPr>
        <w:t>“</w:t>
      </w:r>
      <w:hyperlink w:anchor="_bookmark390" w:history="1">
        <w:r w:rsidRPr="002545CE">
          <w:rPr>
            <w:color w:val="0462C1"/>
            <w:sz w:val="24"/>
            <w:szCs w:val="24"/>
            <w:u w:val="single" w:color="0462C1"/>
          </w:rPr>
          <w:t>Pārvedumi</w:t>
        </w:r>
      </w:hyperlink>
      <w:r w:rsidRPr="002545CE">
        <w:rPr>
          <w:color w:val="0462C1"/>
          <w:sz w:val="24"/>
          <w:szCs w:val="24"/>
          <w:u w:val="single" w:color="0462C1"/>
        </w:rPr>
        <w:t>”</w:t>
      </w:r>
      <w:r w:rsidRPr="002545CE">
        <w:rPr>
          <w:color w:val="0462C1"/>
          <w:sz w:val="24"/>
          <w:szCs w:val="24"/>
        </w:rPr>
        <w:t xml:space="preserve"> </w:t>
      </w:r>
      <w:r w:rsidRPr="002545CE">
        <w:rPr>
          <w:sz w:val="24"/>
          <w:szCs w:val="24"/>
        </w:rPr>
        <w:t xml:space="preserve">apakšnodaļā </w:t>
      </w:r>
      <w:r w:rsidRPr="002545CE">
        <w:rPr>
          <w:color w:val="0462C1"/>
          <w:sz w:val="24"/>
          <w:szCs w:val="24"/>
          <w:u w:val="single" w:color="0462C1"/>
        </w:rPr>
        <w:t>“</w:t>
      </w:r>
      <w:hyperlink w:anchor="_bookmark399" w:history="1">
        <w:r w:rsidRPr="002545CE">
          <w:rPr>
            <w:color w:val="0462C1"/>
            <w:sz w:val="24"/>
            <w:szCs w:val="24"/>
            <w:u w:val="single" w:color="0462C1"/>
          </w:rPr>
          <w:t>Sodi</w:t>
        </w:r>
      </w:hyperlink>
      <w:r w:rsidRPr="002545CE">
        <w:rPr>
          <w:color w:val="0462C1"/>
          <w:sz w:val="24"/>
          <w:szCs w:val="24"/>
          <w:u w:val="single" w:color="0462C1"/>
        </w:rPr>
        <w:t>”</w:t>
      </w:r>
      <w:r w:rsidRPr="002545CE">
        <w:rPr>
          <w:sz w:val="24"/>
          <w:szCs w:val="24"/>
        </w:rPr>
        <w:t>).</w:t>
      </w:r>
    </w:p>
    <w:p w14:paraId="07C6B7DD" w14:textId="77777777" w:rsidR="006162DC" w:rsidRPr="002545CE" w:rsidRDefault="00350467" w:rsidP="00CD363C">
      <w:pPr>
        <w:spacing w:after="0" w:line="240" w:lineRule="auto"/>
        <w:ind w:right="113"/>
        <w:jc w:val="both"/>
        <w:rPr>
          <w:rFonts w:ascii="Times New Roman" w:hAnsi="Times New Roman" w:cs="Times New Roman"/>
          <w:b/>
          <w:bCs/>
          <w:sz w:val="24"/>
          <w:szCs w:val="24"/>
        </w:rPr>
      </w:pPr>
      <w:r w:rsidRPr="002545CE">
        <w:rPr>
          <w:sz w:val="24"/>
          <w:szCs w:val="24"/>
        </w:rPr>
        <w:t xml:space="preserve"> 919.   Pašvaldības nodrošina pārskatu sagatavošanu un sniegšanu normatīvos aktos par pārskatiem noteiktā kārtībā</w:t>
      </w:r>
      <w:r w:rsidR="004D5E34" w:rsidRPr="002545CE">
        <w:rPr>
          <w:sz w:val="24"/>
          <w:szCs w:val="24"/>
        </w:rPr>
        <w:t>.</w:t>
      </w:r>
    </w:p>
    <w:p w14:paraId="6D883D40" w14:textId="77777777" w:rsidR="006162DC" w:rsidRPr="002545CE" w:rsidRDefault="004D5E34" w:rsidP="00CD363C">
      <w:pPr>
        <w:spacing w:after="0" w:line="240" w:lineRule="auto"/>
        <w:ind w:right="113"/>
        <w:jc w:val="both"/>
        <w:rPr>
          <w:rFonts w:ascii="Times New Roman" w:hAnsi="Times New Roman" w:cs="Times New Roman"/>
          <w:b/>
          <w:bCs/>
          <w:i/>
          <w:iCs/>
          <w:sz w:val="24"/>
          <w:szCs w:val="24"/>
        </w:rPr>
      </w:pPr>
      <w:r w:rsidRPr="002545CE">
        <w:rPr>
          <w:rFonts w:ascii="Times New Roman" w:hAnsi="Times New Roman" w:cs="Times New Roman"/>
          <w:b/>
          <w:bCs/>
          <w:i/>
          <w:iCs/>
          <w:sz w:val="24"/>
          <w:szCs w:val="24"/>
        </w:rPr>
        <w:t>Grāmatojumi:</w:t>
      </w:r>
    </w:p>
    <w:p w14:paraId="1EA2A149" w14:textId="77777777" w:rsidR="006162DC" w:rsidRPr="002545CE" w:rsidRDefault="004D5E34" w:rsidP="00CD363C">
      <w:pPr>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919.    Budžeta iestāde attiecīgās nodevas maksājuma saņemšanas dienā atzīst naudas līdzekļu un ieņēmumu palielinājumu, veicot šādu grāmatojumu;</w:t>
      </w:r>
    </w:p>
    <w:p w14:paraId="601229AF" w14:textId="77777777" w:rsidR="004D5E34"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sz w:val="24"/>
          <w:szCs w:val="24"/>
        </w:rPr>
        <w:t xml:space="preserve">    </w:t>
      </w:r>
      <w:r w:rsidRPr="002545CE">
        <w:rPr>
          <w:rFonts w:ascii="Times New Roman" w:hAnsi="Times New Roman" w:cs="Times New Roman"/>
          <w:b/>
          <w:bCs/>
          <w:sz w:val="24"/>
          <w:szCs w:val="24"/>
        </w:rPr>
        <w:t>D    2600   Naudas līdzekļi</w:t>
      </w:r>
    </w:p>
    <w:p w14:paraId="33D6194F" w14:textId="77777777" w:rsidR="004D5E34" w:rsidRPr="002545CE" w:rsidRDefault="004D5E34" w:rsidP="00CD363C">
      <w:pPr>
        <w:spacing w:after="0" w:line="240" w:lineRule="auto"/>
        <w:ind w:right="113"/>
        <w:jc w:val="both"/>
        <w:rPr>
          <w:rFonts w:ascii="Times New Roman" w:hAnsi="Times New Roman" w:cs="Times New Roman"/>
          <w:b/>
          <w:bCs/>
          <w:color w:val="FF0000"/>
          <w:sz w:val="24"/>
          <w:szCs w:val="24"/>
        </w:rPr>
      </w:pPr>
      <w:r w:rsidRPr="002545CE">
        <w:rPr>
          <w:rFonts w:ascii="Times New Roman" w:hAnsi="Times New Roman" w:cs="Times New Roman"/>
          <w:b/>
          <w:bCs/>
          <w:sz w:val="24"/>
          <w:szCs w:val="24"/>
        </w:rPr>
        <w:t xml:space="preserve">    K    6000   Pamatdarbības ieņēmumi</w:t>
      </w:r>
    </w:p>
    <w:p w14:paraId="3795B368" w14:textId="77777777" w:rsidR="004D5E34" w:rsidRPr="002545CE" w:rsidRDefault="004D5E34" w:rsidP="00CD363C">
      <w:pPr>
        <w:pStyle w:val="Pamatteksts"/>
        <w:ind w:right="113"/>
        <w:jc w:val="both"/>
        <w:rPr>
          <w:sz w:val="24"/>
          <w:szCs w:val="24"/>
        </w:rPr>
      </w:pPr>
      <w:r w:rsidRPr="002545CE">
        <w:rPr>
          <w:noProof/>
          <w:sz w:val="24"/>
          <w:szCs w:val="24"/>
        </w:rPr>
        <w:t xml:space="preserve">920.  </w:t>
      </w:r>
      <w:r w:rsidRPr="002545CE">
        <w:rPr>
          <w:sz w:val="24"/>
          <w:szCs w:val="24"/>
        </w:rPr>
        <w:t>Ja budžeta iestāde konstatē nodevas pārmaksu, tā atzīst saistību palielinājumu un ieņēmumu samazinājumu, veicot šādu grāmatojumu:</w:t>
      </w:r>
    </w:p>
    <w:p w14:paraId="0510701B" w14:textId="77777777" w:rsidR="006162DC" w:rsidRPr="002545CE" w:rsidRDefault="006162DC" w:rsidP="00CD363C">
      <w:pPr>
        <w:spacing w:after="0" w:line="240" w:lineRule="auto"/>
        <w:ind w:right="113"/>
        <w:jc w:val="both"/>
        <w:rPr>
          <w:rFonts w:ascii="Times New Roman" w:hAnsi="Times New Roman" w:cs="Times New Roman"/>
          <w:color w:val="FF0000"/>
          <w:sz w:val="24"/>
          <w:szCs w:val="24"/>
        </w:rPr>
      </w:pPr>
    </w:p>
    <w:p w14:paraId="62A96EAF" w14:textId="77777777" w:rsidR="006162DC"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color w:val="FF0000"/>
          <w:sz w:val="24"/>
          <w:szCs w:val="24"/>
        </w:rPr>
        <w:t xml:space="preserve">   </w:t>
      </w:r>
      <w:r w:rsidRPr="002545CE">
        <w:rPr>
          <w:rFonts w:ascii="Times New Roman" w:hAnsi="Times New Roman" w:cs="Times New Roman"/>
          <w:b/>
          <w:bCs/>
          <w:sz w:val="24"/>
          <w:szCs w:val="24"/>
        </w:rPr>
        <w:t xml:space="preserve"> D    6000   Pamatdarbības ieņēmumi</w:t>
      </w:r>
    </w:p>
    <w:p w14:paraId="1908163B" w14:textId="77777777" w:rsidR="004D5E34"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5739   Pārējās saistības par nodokļiem un nodevām</w:t>
      </w:r>
    </w:p>
    <w:p w14:paraId="66498310" w14:textId="77777777" w:rsidR="004D5E34" w:rsidRPr="002545CE" w:rsidRDefault="004D5E34" w:rsidP="00CD363C">
      <w:pPr>
        <w:pStyle w:val="Pamatteksts"/>
        <w:ind w:right="113"/>
        <w:jc w:val="both"/>
        <w:rPr>
          <w:sz w:val="24"/>
          <w:szCs w:val="24"/>
        </w:rPr>
      </w:pPr>
      <w:r w:rsidRPr="002545CE">
        <w:rPr>
          <w:noProof/>
          <w:sz w:val="24"/>
          <w:szCs w:val="24"/>
        </w:rPr>
        <w:t xml:space="preserve">921.  </w:t>
      </w:r>
      <w:r w:rsidRPr="002545CE">
        <w:rPr>
          <w:sz w:val="24"/>
          <w:szCs w:val="24"/>
        </w:rPr>
        <w:t>Veicot attiecīgo nodevas pārmaksas atmaksu, budžeta iestāde atzīst naudas līdzekļu un saistību samazinājumu attiecīgās pārmaksas apmērā, veicot šādu grāmatojumu:</w:t>
      </w:r>
    </w:p>
    <w:p w14:paraId="2D35EE68" w14:textId="77777777" w:rsidR="006162DC"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5739   Pārējās saistības par nodokļiem un nodevām</w:t>
      </w:r>
    </w:p>
    <w:p w14:paraId="0907CD59" w14:textId="77777777" w:rsidR="006162DC"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2600   Naudas līdzekļi</w:t>
      </w:r>
    </w:p>
    <w:p w14:paraId="0B5D8057" w14:textId="77777777" w:rsidR="006162DC" w:rsidRPr="002545CE" w:rsidRDefault="00B51E7D"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22.3. Pārvedumi</w:t>
      </w:r>
    </w:p>
    <w:p w14:paraId="1D113524" w14:textId="77777777" w:rsidR="00312C26" w:rsidRPr="002545CE" w:rsidRDefault="00312C26"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922.   Grāmatvedības uzskaites kārtība nosaka budžeta iestāžu ieņēmumu uzskaiti darījumos bez atlīdzības, kas ir definēti kā pārvedumi saskaņā ar Ministru kabineta</w:t>
      </w:r>
      <w:r w:rsidRPr="002545CE">
        <w:rPr>
          <w:rFonts w:ascii="Times New Roman" w:hAnsi="Times New Roman" w:cs="Times New Roman"/>
          <w:spacing w:val="-4"/>
          <w:sz w:val="24"/>
          <w:szCs w:val="24"/>
        </w:rPr>
        <w:t xml:space="preserve"> </w:t>
      </w:r>
      <w:r w:rsidRPr="002545CE">
        <w:rPr>
          <w:rFonts w:ascii="Times New Roman" w:hAnsi="Times New Roman" w:cs="Times New Roman"/>
          <w:sz w:val="24"/>
          <w:szCs w:val="24"/>
        </w:rPr>
        <w:t>noteikumiem.</w:t>
      </w:r>
    </w:p>
    <w:p w14:paraId="38306E03" w14:textId="77777777" w:rsidR="00312C26" w:rsidRPr="002545CE" w:rsidRDefault="00312C26"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923.   Pārvedumi</w:t>
      </w:r>
      <w:r w:rsidRPr="002545CE">
        <w:rPr>
          <w:rFonts w:ascii="Times New Roman" w:hAnsi="Times New Roman" w:cs="Times New Roman"/>
          <w:spacing w:val="-12"/>
          <w:sz w:val="24"/>
          <w:szCs w:val="24"/>
        </w:rPr>
        <w:t xml:space="preserve"> </w:t>
      </w:r>
      <w:r w:rsidRPr="002545CE">
        <w:rPr>
          <w:rFonts w:ascii="Times New Roman" w:hAnsi="Times New Roman" w:cs="Times New Roman"/>
          <w:sz w:val="24"/>
          <w:szCs w:val="24"/>
        </w:rPr>
        <w:t>atbilst</w:t>
      </w:r>
      <w:r w:rsidRPr="002545CE">
        <w:rPr>
          <w:rFonts w:ascii="Times New Roman" w:hAnsi="Times New Roman" w:cs="Times New Roman"/>
          <w:spacing w:val="-12"/>
          <w:sz w:val="24"/>
          <w:szCs w:val="24"/>
        </w:rPr>
        <w:t xml:space="preserve"> </w:t>
      </w:r>
      <w:r w:rsidRPr="002545CE">
        <w:rPr>
          <w:rFonts w:ascii="Times New Roman" w:hAnsi="Times New Roman" w:cs="Times New Roman"/>
          <w:sz w:val="24"/>
          <w:szCs w:val="24"/>
        </w:rPr>
        <w:t>darījumu</w:t>
      </w:r>
      <w:r w:rsidRPr="002545CE">
        <w:rPr>
          <w:rFonts w:ascii="Times New Roman" w:hAnsi="Times New Roman" w:cs="Times New Roman"/>
          <w:spacing w:val="-13"/>
          <w:sz w:val="24"/>
          <w:szCs w:val="24"/>
        </w:rPr>
        <w:t xml:space="preserve"> </w:t>
      </w:r>
      <w:r w:rsidRPr="002545CE">
        <w:rPr>
          <w:rFonts w:ascii="Times New Roman" w:hAnsi="Times New Roman" w:cs="Times New Roman"/>
          <w:sz w:val="24"/>
          <w:szCs w:val="24"/>
        </w:rPr>
        <w:t>bez</w:t>
      </w:r>
      <w:r w:rsidRPr="002545CE">
        <w:rPr>
          <w:rFonts w:ascii="Times New Roman" w:hAnsi="Times New Roman" w:cs="Times New Roman"/>
          <w:spacing w:val="-14"/>
          <w:sz w:val="24"/>
          <w:szCs w:val="24"/>
        </w:rPr>
        <w:t xml:space="preserve"> </w:t>
      </w:r>
      <w:r w:rsidRPr="002545CE">
        <w:rPr>
          <w:rFonts w:ascii="Times New Roman" w:hAnsi="Times New Roman" w:cs="Times New Roman"/>
          <w:sz w:val="24"/>
          <w:szCs w:val="24"/>
        </w:rPr>
        <w:t>atlīdzības</w:t>
      </w:r>
      <w:r w:rsidRPr="002545CE">
        <w:rPr>
          <w:rFonts w:ascii="Times New Roman" w:hAnsi="Times New Roman" w:cs="Times New Roman"/>
          <w:spacing w:val="-13"/>
          <w:sz w:val="24"/>
          <w:szCs w:val="24"/>
        </w:rPr>
        <w:t xml:space="preserve"> </w:t>
      </w:r>
      <w:r w:rsidRPr="002545CE">
        <w:rPr>
          <w:rFonts w:ascii="Times New Roman" w:hAnsi="Times New Roman" w:cs="Times New Roman"/>
          <w:sz w:val="24"/>
          <w:szCs w:val="24"/>
        </w:rPr>
        <w:t>definīcijai,</w:t>
      </w:r>
      <w:r w:rsidRPr="002545CE">
        <w:rPr>
          <w:rFonts w:ascii="Times New Roman" w:hAnsi="Times New Roman" w:cs="Times New Roman"/>
          <w:spacing w:val="-17"/>
          <w:sz w:val="24"/>
          <w:szCs w:val="24"/>
        </w:rPr>
        <w:t xml:space="preserve"> </w:t>
      </w:r>
      <w:r w:rsidRPr="002545CE">
        <w:rPr>
          <w:rFonts w:ascii="Times New Roman" w:hAnsi="Times New Roman" w:cs="Times New Roman"/>
          <w:sz w:val="24"/>
          <w:szCs w:val="24"/>
        </w:rPr>
        <w:t>jo</w:t>
      </w:r>
      <w:r w:rsidRPr="002545CE">
        <w:rPr>
          <w:rFonts w:ascii="Times New Roman" w:hAnsi="Times New Roman" w:cs="Times New Roman"/>
          <w:spacing w:val="-17"/>
          <w:sz w:val="24"/>
          <w:szCs w:val="24"/>
        </w:rPr>
        <w:t xml:space="preserve"> </w:t>
      </w:r>
      <w:r w:rsidRPr="002545CE">
        <w:rPr>
          <w:rFonts w:ascii="Times New Roman" w:hAnsi="Times New Roman" w:cs="Times New Roman"/>
          <w:sz w:val="24"/>
          <w:szCs w:val="24"/>
        </w:rPr>
        <w:t>saņēmējs</w:t>
      </w:r>
      <w:r w:rsidRPr="002545CE">
        <w:rPr>
          <w:rFonts w:ascii="Times New Roman" w:hAnsi="Times New Roman" w:cs="Times New Roman"/>
          <w:spacing w:val="-15"/>
          <w:sz w:val="24"/>
          <w:szCs w:val="24"/>
        </w:rPr>
        <w:t xml:space="preserve"> </w:t>
      </w:r>
      <w:r w:rsidRPr="002545CE">
        <w:rPr>
          <w:rFonts w:ascii="Times New Roman" w:hAnsi="Times New Roman" w:cs="Times New Roman"/>
          <w:sz w:val="24"/>
          <w:szCs w:val="24"/>
        </w:rPr>
        <w:t>apmaiņā</w:t>
      </w:r>
      <w:r w:rsidRPr="002545CE">
        <w:rPr>
          <w:rFonts w:ascii="Times New Roman" w:hAnsi="Times New Roman" w:cs="Times New Roman"/>
          <w:spacing w:val="-14"/>
          <w:sz w:val="24"/>
          <w:szCs w:val="24"/>
        </w:rPr>
        <w:t xml:space="preserve"> </w:t>
      </w:r>
      <w:r w:rsidRPr="002545CE">
        <w:rPr>
          <w:rFonts w:ascii="Times New Roman" w:hAnsi="Times New Roman" w:cs="Times New Roman"/>
          <w:sz w:val="24"/>
          <w:szCs w:val="24"/>
        </w:rPr>
        <w:t>pret</w:t>
      </w:r>
      <w:r w:rsidRPr="002545CE">
        <w:rPr>
          <w:rFonts w:ascii="Times New Roman" w:hAnsi="Times New Roman" w:cs="Times New Roman"/>
          <w:spacing w:val="-13"/>
          <w:sz w:val="24"/>
          <w:szCs w:val="24"/>
        </w:rPr>
        <w:t xml:space="preserve"> </w:t>
      </w:r>
      <w:r w:rsidRPr="002545CE">
        <w:rPr>
          <w:rFonts w:ascii="Times New Roman" w:hAnsi="Times New Roman" w:cs="Times New Roman"/>
          <w:sz w:val="24"/>
          <w:szCs w:val="24"/>
        </w:rPr>
        <w:t>saņemtajiem</w:t>
      </w:r>
      <w:r w:rsidRPr="002545CE">
        <w:rPr>
          <w:rFonts w:ascii="Times New Roman" w:hAnsi="Times New Roman" w:cs="Times New Roman"/>
          <w:spacing w:val="-16"/>
          <w:sz w:val="24"/>
          <w:szCs w:val="24"/>
        </w:rPr>
        <w:t xml:space="preserve"> </w:t>
      </w:r>
      <w:r w:rsidRPr="002545CE">
        <w:rPr>
          <w:rFonts w:ascii="Times New Roman" w:hAnsi="Times New Roman" w:cs="Times New Roman"/>
          <w:sz w:val="24"/>
          <w:szCs w:val="24"/>
        </w:rPr>
        <w:t>resursiem nesniedz pārveduma veicējam to vērtībai atbilstošu atlīdzību. Ja tiesību aktā noteikts, ka saņēmējam apmaiņā pret saņemtajiem resursiem jāsniedz to vērtībai atbilstoša atlīdzība, darījums nav uzskatāms par pārvedumu, bet gan par atlīdzības</w:t>
      </w:r>
      <w:r w:rsidRPr="002545CE">
        <w:rPr>
          <w:rFonts w:ascii="Times New Roman" w:hAnsi="Times New Roman" w:cs="Times New Roman"/>
          <w:spacing w:val="-1"/>
          <w:sz w:val="24"/>
          <w:szCs w:val="24"/>
        </w:rPr>
        <w:t xml:space="preserve"> </w:t>
      </w:r>
      <w:r w:rsidRPr="002545CE">
        <w:rPr>
          <w:rFonts w:ascii="Times New Roman" w:hAnsi="Times New Roman" w:cs="Times New Roman"/>
          <w:sz w:val="24"/>
          <w:szCs w:val="24"/>
        </w:rPr>
        <w:t>darījumu.</w:t>
      </w:r>
    </w:p>
    <w:p w14:paraId="34F92AF4" w14:textId="77777777" w:rsidR="00312C26" w:rsidRPr="002545CE" w:rsidRDefault="00312C26"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924. Saskaņā ar MK noteikumiem par grāmatvedību</w:t>
      </w:r>
      <w:r w:rsidR="00A17540" w:rsidRPr="002545CE">
        <w:rPr>
          <w:rFonts w:ascii="Times New Roman" w:hAnsi="Times New Roman" w:cs="Times New Roman"/>
          <w:sz w:val="24"/>
          <w:szCs w:val="24"/>
        </w:rPr>
        <w:t>,</w:t>
      </w:r>
      <w:r w:rsidRPr="002545CE">
        <w:rPr>
          <w:rFonts w:ascii="Times New Roman" w:hAnsi="Times New Roman" w:cs="Times New Roman"/>
          <w:sz w:val="24"/>
          <w:szCs w:val="24"/>
        </w:rPr>
        <w:t xml:space="preserve"> pārvedumi ietver dotācijas no vispārējiem ieņēmumiem, transfertus, ārvalstu finanšu palīdzību, aizņēmumus uz atvieglotiem nosacījumiem, parādu dzēšanu, sodus, mantojumus, dāvinājumus un ziedojumus, kā arī preces un pakalpojumus natūrā.</w:t>
      </w:r>
    </w:p>
    <w:p w14:paraId="55F19F84" w14:textId="77777777" w:rsidR="00312C26" w:rsidRPr="002545CE" w:rsidRDefault="00A17540"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925.  </w:t>
      </w:r>
      <w:r w:rsidR="00312C26" w:rsidRPr="002545CE">
        <w:rPr>
          <w:rFonts w:ascii="Times New Roman" w:hAnsi="Times New Roman" w:cs="Times New Roman"/>
          <w:sz w:val="24"/>
          <w:szCs w:val="24"/>
        </w:rPr>
        <w:t>Visiem pārvedumu veidiem raksturīga vienota pazīme – ar pārvedumu starpniecību resursi no personas (pārveduma veicējs) tiek nodoti budžeta iestādei (pārveduma saņēmējs) bez līdzvērtīgas vērtības nodrošināšanas starp saņemto un nodoto resursu, un tie nav</w:t>
      </w:r>
      <w:r w:rsidR="00312C26" w:rsidRPr="002545CE">
        <w:rPr>
          <w:rFonts w:ascii="Times New Roman" w:hAnsi="Times New Roman" w:cs="Times New Roman"/>
          <w:spacing w:val="-12"/>
          <w:sz w:val="24"/>
          <w:szCs w:val="24"/>
        </w:rPr>
        <w:t xml:space="preserve"> </w:t>
      </w:r>
      <w:r w:rsidR="00312C26" w:rsidRPr="002545CE">
        <w:rPr>
          <w:rFonts w:ascii="Times New Roman" w:hAnsi="Times New Roman" w:cs="Times New Roman"/>
          <w:sz w:val="24"/>
          <w:szCs w:val="24"/>
        </w:rPr>
        <w:t>nodokļi.</w:t>
      </w:r>
    </w:p>
    <w:p w14:paraId="318172BB" w14:textId="77777777" w:rsidR="00312C26" w:rsidRPr="002545CE" w:rsidRDefault="00A17540"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926. </w:t>
      </w:r>
      <w:r w:rsidR="00312C26" w:rsidRPr="002545CE">
        <w:rPr>
          <w:rFonts w:ascii="Times New Roman" w:hAnsi="Times New Roman" w:cs="Times New Roman"/>
          <w:sz w:val="24"/>
          <w:szCs w:val="24"/>
        </w:rPr>
        <w:t>Natūrā saņemtos pakalpojumus neatzīst par aktīviem. Detalizēti par natūrā saņemtajiem pakalpojumiem aprakstīts apakšnodaļā</w:t>
      </w:r>
      <w:r w:rsidR="00312C26" w:rsidRPr="002545CE">
        <w:rPr>
          <w:rFonts w:ascii="Times New Roman" w:hAnsi="Times New Roman" w:cs="Times New Roman"/>
          <w:color w:val="0462C1"/>
          <w:sz w:val="24"/>
          <w:szCs w:val="24"/>
        </w:rPr>
        <w:t xml:space="preserve"> </w:t>
      </w:r>
      <w:r w:rsidR="00312C26" w:rsidRPr="002545CE">
        <w:rPr>
          <w:rFonts w:ascii="Times New Roman" w:hAnsi="Times New Roman" w:cs="Times New Roman"/>
          <w:color w:val="0462C1"/>
          <w:sz w:val="24"/>
          <w:szCs w:val="24"/>
          <w:u w:val="single" w:color="0462C1"/>
        </w:rPr>
        <w:t>“</w:t>
      </w:r>
      <w:hyperlink w:anchor="_bookmark401" w:history="1">
        <w:r w:rsidR="00312C26" w:rsidRPr="002545CE">
          <w:rPr>
            <w:rFonts w:ascii="Times New Roman" w:hAnsi="Times New Roman" w:cs="Times New Roman"/>
            <w:color w:val="0462C1"/>
            <w:sz w:val="24"/>
            <w:szCs w:val="24"/>
            <w:u w:val="single" w:color="0462C1"/>
          </w:rPr>
          <w:t>Citi</w:t>
        </w:r>
        <w:r w:rsidR="00312C26" w:rsidRPr="002545CE">
          <w:rPr>
            <w:rFonts w:ascii="Times New Roman" w:hAnsi="Times New Roman" w:cs="Times New Roman"/>
            <w:color w:val="0462C1"/>
            <w:spacing w:val="-7"/>
            <w:sz w:val="24"/>
            <w:szCs w:val="24"/>
            <w:u w:val="single" w:color="0462C1"/>
          </w:rPr>
          <w:t xml:space="preserve"> </w:t>
        </w:r>
        <w:r w:rsidR="00312C26" w:rsidRPr="002545CE">
          <w:rPr>
            <w:rFonts w:ascii="Times New Roman" w:hAnsi="Times New Roman" w:cs="Times New Roman"/>
            <w:color w:val="0462C1"/>
            <w:sz w:val="24"/>
            <w:szCs w:val="24"/>
            <w:u w:val="single" w:color="0462C1"/>
          </w:rPr>
          <w:t>pārvedumi</w:t>
        </w:r>
      </w:hyperlink>
      <w:r w:rsidR="00312C26" w:rsidRPr="002545CE">
        <w:rPr>
          <w:rFonts w:ascii="Times New Roman" w:hAnsi="Times New Roman" w:cs="Times New Roman"/>
          <w:color w:val="0462C1"/>
          <w:sz w:val="24"/>
          <w:szCs w:val="24"/>
          <w:u w:val="single" w:color="0462C1"/>
        </w:rPr>
        <w:t>”</w:t>
      </w:r>
      <w:r w:rsidR="00312C26" w:rsidRPr="002545CE">
        <w:rPr>
          <w:rFonts w:ascii="Times New Roman" w:hAnsi="Times New Roman" w:cs="Times New Roman"/>
          <w:sz w:val="24"/>
          <w:szCs w:val="24"/>
        </w:rPr>
        <w:t>.</w:t>
      </w:r>
    </w:p>
    <w:p w14:paraId="4E1B395D" w14:textId="77777777" w:rsidR="00312C26" w:rsidRPr="002545CE" w:rsidRDefault="00A17540"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927.    </w:t>
      </w:r>
      <w:r w:rsidR="00312C26" w:rsidRPr="002545CE">
        <w:rPr>
          <w:rFonts w:ascii="Times New Roman" w:hAnsi="Times New Roman" w:cs="Times New Roman"/>
          <w:sz w:val="24"/>
          <w:szCs w:val="24"/>
        </w:rPr>
        <w:t>Budžeta iestāde – pārveduma saņēmējs – iegūst kontroli pār resursiem, ja resursi ir nodoti budžeta iestādei</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vai</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ja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budžeta</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iestādei</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ir</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izpildāma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prasība</w:t>
      </w:r>
      <w:r w:rsidR="00312C26" w:rsidRPr="002545CE">
        <w:rPr>
          <w:rFonts w:ascii="Times New Roman" w:hAnsi="Times New Roman" w:cs="Times New Roman"/>
          <w:spacing w:val="-3"/>
          <w:sz w:val="24"/>
          <w:szCs w:val="24"/>
        </w:rPr>
        <w:t xml:space="preserve"> </w:t>
      </w:r>
      <w:r w:rsidR="00312C26" w:rsidRPr="002545CE">
        <w:rPr>
          <w:rFonts w:ascii="Times New Roman" w:hAnsi="Times New Roman" w:cs="Times New Roman"/>
          <w:sz w:val="24"/>
          <w:szCs w:val="24"/>
        </w:rPr>
        <w:t>pret</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pārveduma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veicēju.</w:t>
      </w:r>
      <w:r w:rsidR="00312C26" w:rsidRPr="002545CE">
        <w:rPr>
          <w:rFonts w:ascii="Times New Roman" w:hAnsi="Times New Roman" w:cs="Times New Roman"/>
          <w:spacing w:val="-5"/>
          <w:sz w:val="24"/>
          <w:szCs w:val="24"/>
        </w:rPr>
        <w:t xml:space="preserve"> </w:t>
      </w:r>
      <w:r w:rsidR="00312C26" w:rsidRPr="002545CE">
        <w:rPr>
          <w:rFonts w:ascii="Times New Roman" w:hAnsi="Times New Roman" w:cs="Times New Roman"/>
          <w:sz w:val="24"/>
          <w:szCs w:val="24"/>
        </w:rPr>
        <w:t>Pārveduma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saņēmējam</w:t>
      </w:r>
      <w:r w:rsidR="00312C26" w:rsidRPr="002545CE">
        <w:rPr>
          <w:rFonts w:ascii="Times New Roman" w:hAnsi="Times New Roman" w:cs="Times New Roman"/>
          <w:spacing w:val="-7"/>
          <w:sz w:val="24"/>
          <w:szCs w:val="24"/>
        </w:rPr>
        <w:t xml:space="preserve"> </w:t>
      </w:r>
      <w:r w:rsidR="00312C26" w:rsidRPr="002545CE">
        <w:rPr>
          <w:rFonts w:ascii="Times New Roman" w:hAnsi="Times New Roman" w:cs="Times New Roman"/>
          <w:sz w:val="24"/>
          <w:szCs w:val="24"/>
        </w:rPr>
        <w:t>ir jāizvērtē,</w:t>
      </w:r>
      <w:r w:rsidR="00312C26" w:rsidRPr="002545CE">
        <w:rPr>
          <w:rFonts w:ascii="Times New Roman" w:hAnsi="Times New Roman" w:cs="Times New Roman"/>
          <w:spacing w:val="-13"/>
          <w:sz w:val="24"/>
          <w:szCs w:val="24"/>
        </w:rPr>
        <w:t xml:space="preserve"> </w:t>
      </w:r>
      <w:r w:rsidR="00312C26" w:rsidRPr="002545CE">
        <w:rPr>
          <w:rFonts w:ascii="Times New Roman" w:hAnsi="Times New Roman" w:cs="Times New Roman"/>
          <w:sz w:val="24"/>
          <w:szCs w:val="24"/>
        </w:rPr>
        <w:t>vai</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tiesību</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akti</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par</w:t>
      </w:r>
      <w:r w:rsidR="00312C26" w:rsidRPr="002545CE">
        <w:rPr>
          <w:rFonts w:ascii="Times New Roman" w:hAnsi="Times New Roman" w:cs="Times New Roman"/>
          <w:spacing w:val="-13"/>
          <w:sz w:val="24"/>
          <w:szCs w:val="24"/>
        </w:rPr>
        <w:t xml:space="preserve"> </w:t>
      </w:r>
      <w:r w:rsidR="00312C26" w:rsidRPr="002545CE">
        <w:rPr>
          <w:rFonts w:ascii="Times New Roman" w:hAnsi="Times New Roman" w:cs="Times New Roman"/>
          <w:sz w:val="24"/>
          <w:szCs w:val="24"/>
        </w:rPr>
        <w:t>resursu</w:t>
      </w:r>
      <w:r w:rsidR="00312C26" w:rsidRPr="002545CE">
        <w:rPr>
          <w:rFonts w:ascii="Times New Roman" w:hAnsi="Times New Roman" w:cs="Times New Roman"/>
          <w:spacing w:val="-12"/>
          <w:sz w:val="24"/>
          <w:szCs w:val="24"/>
        </w:rPr>
        <w:t xml:space="preserve"> </w:t>
      </w:r>
      <w:r w:rsidR="00312C26" w:rsidRPr="002545CE">
        <w:rPr>
          <w:rFonts w:ascii="Times New Roman" w:hAnsi="Times New Roman" w:cs="Times New Roman"/>
          <w:sz w:val="24"/>
          <w:szCs w:val="24"/>
        </w:rPr>
        <w:t>nodošanu</w:t>
      </w:r>
      <w:r w:rsidR="00312C26" w:rsidRPr="002545CE">
        <w:rPr>
          <w:rFonts w:ascii="Times New Roman" w:hAnsi="Times New Roman" w:cs="Times New Roman"/>
          <w:spacing w:val="-12"/>
          <w:sz w:val="24"/>
          <w:szCs w:val="24"/>
        </w:rPr>
        <w:t xml:space="preserve"> </w:t>
      </w:r>
      <w:r w:rsidR="00312C26" w:rsidRPr="002545CE">
        <w:rPr>
          <w:rFonts w:ascii="Times New Roman" w:hAnsi="Times New Roman" w:cs="Times New Roman"/>
          <w:sz w:val="24"/>
          <w:szCs w:val="24"/>
        </w:rPr>
        <w:t>var</w:t>
      </w:r>
      <w:r w:rsidR="00312C26" w:rsidRPr="002545CE">
        <w:rPr>
          <w:rFonts w:ascii="Times New Roman" w:hAnsi="Times New Roman" w:cs="Times New Roman"/>
          <w:spacing w:val="-13"/>
          <w:sz w:val="24"/>
          <w:szCs w:val="24"/>
        </w:rPr>
        <w:t xml:space="preserve"> </w:t>
      </w:r>
      <w:r w:rsidR="00312C26" w:rsidRPr="002545CE">
        <w:rPr>
          <w:rFonts w:ascii="Times New Roman" w:hAnsi="Times New Roman" w:cs="Times New Roman"/>
          <w:sz w:val="24"/>
          <w:szCs w:val="24"/>
        </w:rPr>
        <w:t>kļūt</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visām</w:t>
      </w:r>
      <w:r w:rsidR="00312C26" w:rsidRPr="002545CE">
        <w:rPr>
          <w:rFonts w:ascii="Times New Roman" w:hAnsi="Times New Roman" w:cs="Times New Roman"/>
          <w:spacing w:val="-16"/>
          <w:sz w:val="24"/>
          <w:szCs w:val="24"/>
        </w:rPr>
        <w:t xml:space="preserve"> </w:t>
      </w:r>
      <w:r w:rsidR="00312C26" w:rsidRPr="002545CE">
        <w:rPr>
          <w:rFonts w:ascii="Times New Roman" w:hAnsi="Times New Roman" w:cs="Times New Roman"/>
          <w:sz w:val="24"/>
          <w:szCs w:val="24"/>
        </w:rPr>
        <w:t>iesaistītajām</w:t>
      </w:r>
      <w:r w:rsidR="00312C26" w:rsidRPr="002545CE">
        <w:rPr>
          <w:rFonts w:ascii="Times New Roman" w:hAnsi="Times New Roman" w:cs="Times New Roman"/>
          <w:spacing w:val="-16"/>
          <w:sz w:val="24"/>
          <w:szCs w:val="24"/>
        </w:rPr>
        <w:t xml:space="preserve"> </w:t>
      </w:r>
      <w:r w:rsidR="00312C26" w:rsidRPr="002545CE">
        <w:rPr>
          <w:rFonts w:ascii="Times New Roman" w:hAnsi="Times New Roman" w:cs="Times New Roman"/>
          <w:sz w:val="24"/>
          <w:szCs w:val="24"/>
        </w:rPr>
        <w:t>personām</w:t>
      </w:r>
      <w:r w:rsidR="00312C26" w:rsidRPr="002545CE">
        <w:rPr>
          <w:rFonts w:ascii="Times New Roman" w:hAnsi="Times New Roman" w:cs="Times New Roman"/>
          <w:spacing w:val="-16"/>
          <w:sz w:val="24"/>
          <w:szCs w:val="24"/>
        </w:rPr>
        <w:t xml:space="preserve"> </w:t>
      </w:r>
      <w:r w:rsidR="00312C26" w:rsidRPr="002545CE">
        <w:rPr>
          <w:rFonts w:ascii="Times New Roman" w:hAnsi="Times New Roman" w:cs="Times New Roman"/>
          <w:sz w:val="24"/>
          <w:szCs w:val="24"/>
        </w:rPr>
        <w:t>saistoši</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vēl</w:t>
      </w:r>
      <w:r w:rsidR="00312C26" w:rsidRPr="002545CE">
        <w:rPr>
          <w:rFonts w:ascii="Times New Roman" w:hAnsi="Times New Roman" w:cs="Times New Roman"/>
          <w:spacing w:val="-11"/>
          <w:sz w:val="24"/>
          <w:szCs w:val="24"/>
        </w:rPr>
        <w:t xml:space="preserve"> </w:t>
      </w:r>
      <w:r w:rsidR="00312C26" w:rsidRPr="002545CE">
        <w:rPr>
          <w:rFonts w:ascii="Times New Roman" w:hAnsi="Times New Roman" w:cs="Times New Roman"/>
          <w:sz w:val="24"/>
          <w:szCs w:val="24"/>
        </w:rPr>
        <w:t>pirms resursu</w:t>
      </w:r>
      <w:r w:rsidR="00312C26" w:rsidRPr="002545CE">
        <w:rPr>
          <w:rFonts w:ascii="Times New Roman" w:hAnsi="Times New Roman" w:cs="Times New Roman"/>
          <w:spacing w:val="-1"/>
          <w:sz w:val="24"/>
          <w:szCs w:val="24"/>
        </w:rPr>
        <w:t xml:space="preserve"> </w:t>
      </w:r>
      <w:r w:rsidR="00312C26" w:rsidRPr="002545CE">
        <w:rPr>
          <w:rFonts w:ascii="Times New Roman" w:hAnsi="Times New Roman" w:cs="Times New Roman"/>
          <w:sz w:val="24"/>
          <w:szCs w:val="24"/>
        </w:rPr>
        <w:t>nodošanas.</w:t>
      </w:r>
    </w:p>
    <w:p w14:paraId="05747EEE" w14:textId="77777777" w:rsidR="00312C26" w:rsidRPr="002545CE" w:rsidRDefault="00A17540" w:rsidP="00CD363C">
      <w:pPr>
        <w:widowControl w:val="0"/>
        <w:tabs>
          <w:tab w:val="left" w:pos="897"/>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928.    </w:t>
      </w:r>
      <w:r w:rsidR="00312C26" w:rsidRPr="002545CE">
        <w:rPr>
          <w:rFonts w:ascii="Times New Roman" w:hAnsi="Times New Roman" w:cs="Times New Roman"/>
          <w:sz w:val="24"/>
          <w:szCs w:val="24"/>
        </w:rPr>
        <w:t>2. tabulā uzrādīti pārvedumu</w:t>
      </w:r>
      <w:r w:rsidR="00312C26" w:rsidRPr="002545CE">
        <w:rPr>
          <w:rFonts w:ascii="Times New Roman" w:hAnsi="Times New Roman" w:cs="Times New Roman"/>
          <w:spacing w:val="-5"/>
          <w:sz w:val="24"/>
          <w:szCs w:val="24"/>
        </w:rPr>
        <w:t xml:space="preserve"> </w:t>
      </w:r>
      <w:r w:rsidR="00312C26" w:rsidRPr="002545CE">
        <w:rPr>
          <w:rFonts w:ascii="Times New Roman" w:hAnsi="Times New Roman" w:cs="Times New Roman"/>
          <w:sz w:val="24"/>
          <w:szCs w:val="24"/>
        </w:rPr>
        <w:t>veidi.</w:t>
      </w:r>
    </w:p>
    <w:p w14:paraId="61361147" w14:textId="77777777" w:rsidR="002545CE" w:rsidRPr="002545CE" w:rsidRDefault="002545CE" w:rsidP="00CD363C">
      <w:pPr>
        <w:widowControl w:val="0"/>
        <w:tabs>
          <w:tab w:val="left" w:pos="4610"/>
        </w:tabs>
        <w:autoSpaceDE w:val="0"/>
        <w:autoSpaceDN w:val="0"/>
        <w:spacing w:after="0" w:line="240" w:lineRule="auto"/>
        <w:ind w:left="4394" w:right="113"/>
        <w:jc w:val="both"/>
        <w:rPr>
          <w:i/>
          <w:sz w:val="18"/>
        </w:rPr>
      </w:pPr>
      <w:r>
        <w:rPr>
          <w:i/>
          <w:sz w:val="20"/>
        </w:rPr>
        <w:t>2.</w:t>
      </w:r>
      <w:r w:rsidRPr="002545CE">
        <w:rPr>
          <w:i/>
          <w:sz w:val="20"/>
        </w:rPr>
        <w:t>tabula. Pārvedumu veidi Latvijas publiskā sektora</w:t>
      </w:r>
      <w:r w:rsidRPr="002545CE">
        <w:rPr>
          <w:i/>
          <w:spacing w:val="-12"/>
          <w:sz w:val="20"/>
        </w:rPr>
        <w:t xml:space="preserve"> </w:t>
      </w:r>
      <w:r w:rsidRPr="002545CE">
        <w:rPr>
          <w:i/>
          <w:sz w:val="20"/>
        </w:rPr>
        <w:t>grāmatvedībā</w:t>
      </w:r>
    </w:p>
    <w:p w14:paraId="7241C00F" w14:textId="77777777" w:rsidR="002545CE" w:rsidRDefault="002545CE" w:rsidP="00CD363C">
      <w:pPr>
        <w:pStyle w:val="Pamatteksts"/>
        <w:ind w:right="113"/>
        <w:jc w:val="both"/>
        <w:rPr>
          <w:i/>
          <w:sz w:val="20"/>
        </w:rPr>
      </w:pPr>
    </w:p>
    <w:tbl>
      <w:tblPr>
        <w:tblW w:w="9608" w:type="dxa"/>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02"/>
        <w:gridCol w:w="5558"/>
        <w:gridCol w:w="2948"/>
      </w:tblGrid>
      <w:tr w:rsidR="002545CE" w14:paraId="1088667E" w14:textId="77777777" w:rsidTr="002545CE">
        <w:trPr>
          <w:trHeight w:val="460"/>
        </w:trPr>
        <w:tc>
          <w:tcPr>
            <w:tcW w:w="1102" w:type="dxa"/>
            <w:shd w:val="clear" w:color="auto" w:fill="F1F1F1"/>
          </w:tcPr>
          <w:p w14:paraId="5F71F589" w14:textId="77777777" w:rsidR="002545CE" w:rsidRDefault="002545CE" w:rsidP="00CD363C">
            <w:pPr>
              <w:pStyle w:val="TableParagraph"/>
              <w:ind w:left="218" w:right="113"/>
              <w:jc w:val="both"/>
              <w:rPr>
                <w:b/>
                <w:sz w:val="20"/>
              </w:rPr>
            </w:pPr>
            <w:r>
              <w:rPr>
                <w:b/>
                <w:sz w:val="20"/>
              </w:rPr>
              <w:t>Nr.p.k.</w:t>
            </w:r>
          </w:p>
        </w:tc>
        <w:tc>
          <w:tcPr>
            <w:tcW w:w="5558" w:type="dxa"/>
            <w:shd w:val="clear" w:color="auto" w:fill="F1F1F1"/>
          </w:tcPr>
          <w:p w14:paraId="31E56CCD" w14:textId="77777777" w:rsidR="002545CE" w:rsidRDefault="002545CE" w:rsidP="00CD363C">
            <w:pPr>
              <w:pStyle w:val="TableParagraph"/>
              <w:ind w:left="1988" w:right="113"/>
              <w:jc w:val="both"/>
              <w:rPr>
                <w:b/>
                <w:sz w:val="20"/>
              </w:rPr>
            </w:pPr>
            <w:r>
              <w:rPr>
                <w:b/>
                <w:sz w:val="20"/>
              </w:rPr>
              <w:t>Pārvedumu veids</w:t>
            </w:r>
          </w:p>
        </w:tc>
        <w:tc>
          <w:tcPr>
            <w:tcW w:w="2948" w:type="dxa"/>
            <w:shd w:val="clear" w:color="auto" w:fill="F1F1F1"/>
          </w:tcPr>
          <w:p w14:paraId="498BBAC1" w14:textId="77777777" w:rsidR="002545CE" w:rsidRDefault="002545CE" w:rsidP="00CD363C">
            <w:pPr>
              <w:pStyle w:val="TableParagraph"/>
              <w:ind w:left="634" w:right="113" w:hanging="480"/>
              <w:jc w:val="both"/>
              <w:rPr>
                <w:sz w:val="13"/>
              </w:rPr>
            </w:pPr>
            <w:r>
              <w:rPr>
                <w:b/>
                <w:sz w:val="20"/>
              </w:rPr>
              <w:t>Atbilstošie budžeta ieņēmumu klasifikācijas kodi</w:t>
            </w:r>
            <w:r>
              <w:rPr>
                <w:position w:val="7"/>
                <w:sz w:val="13"/>
              </w:rPr>
              <w:t>7</w:t>
            </w:r>
          </w:p>
        </w:tc>
      </w:tr>
      <w:tr w:rsidR="002545CE" w14:paraId="596A7EA2" w14:textId="77777777" w:rsidTr="002545CE">
        <w:trPr>
          <w:trHeight w:val="229"/>
        </w:trPr>
        <w:tc>
          <w:tcPr>
            <w:tcW w:w="1102" w:type="dxa"/>
            <w:vMerge w:val="restart"/>
          </w:tcPr>
          <w:p w14:paraId="5BD0A439" w14:textId="77777777" w:rsidR="002545CE" w:rsidRDefault="002545CE" w:rsidP="00CD363C">
            <w:pPr>
              <w:pStyle w:val="TableParagraph"/>
              <w:ind w:left="107" w:right="113"/>
              <w:jc w:val="both"/>
              <w:rPr>
                <w:sz w:val="20"/>
              </w:rPr>
            </w:pPr>
            <w:r>
              <w:rPr>
                <w:sz w:val="20"/>
              </w:rPr>
              <w:t>1.</w:t>
            </w:r>
          </w:p>
        </w:tc>
        <w:tc>
          <w:tcPr>
            <w:tcW w:w="5558" w:type="dxa"/>
          </w:tcPr>
          <w:p w14:paraId="6E38FE3D" w14:textId="77777777" w:rsidR="002545CE" w:rsidRDefault="002545CE" w:rsidP="00CD363C">
            <w:pPr>
              <w:pStyle w:val="TableParagraph"/>
              <w:ind w:left="107" w:right="113"/>
              <w:jc w:val="both"/>
              <w:rPr>
                <w:sz w:val="20"/>
              </w:rPr>
            </w:pPr>
            <w:r>
              <w:rPr>
                <w:sz w:val="20"/>
              </w:rPr>
              <w:t>Dotācijas no vispārējiem ieņēmumiem:</w:t>
            </w:r>
          </w:p>
        </w:tc>
        <w:tc>
          <w:tcPr>
            <w:tcW w:w="2948" w:type="dxa"/>
          </w:tcPr>
          <w:p w14:paraId="1B7E5AB4" w14:textId="77777777" w:rsidR="002545CE" w:rsidRDefault="002545CE" w:rsidP="00CD363C">
            <w:pPr>
              <w:pStyle w:val="TableParagraph"/>
              <w:ind w:left="106" w:right="113"/>
              <w:jc w:val="both"/>
              <w:rPr>
                <w:sz w:val="20"/>
              </w:rPr>
            </w:pPr>
            <w:r>
              <w:rPr>
                <w:sz w:val="20"/>
              </w:rPr>
              <w:t>21.7.0.0.</w:t>
            </w:r>
          </w:p>
        </w:tc>
      </w:tr>
      <w:tr w:rsidR="002545CE" w14:paraId="04C3A0DD" w14:textId="77777777" w:rsidTr="002545CE">
        <w:trPr>
          <w:trHeight w:val="460"/>
        </w:trPr>
        <w:tc>
          <w:tcPr>
            <w:tcW w:w="1102" w:type="dxa"/>
            <w:vMerge/>
            <w:tcBorders>
              <w:top w:val="nil"/>
            </w:tcBorders>
          </w:tcPr>
          <w:p w14:paraId="6589057C" w14:textId="77777777" w:rsidR="002545CE" w:rsidRDefault="002545CE" w:rsidP="00CD363C">
            <w:pPr>
              <w:spacing w:after="0" w:line="240" w:lineRule="auto"/>
              <w:ind w:right="113"/>
              <w:jc w:val="both"/>
              <w:rPr>
                <w:sz w:val="2"/>
                <w:szCs w:val="2"/>
              </w:rPr>
            </w:pPr>
          </w:p>
        </w:tc>
        <w:tc>
          <w:tcPr>
            <w:tcW w:w="5558" w:type="dxa"/>
          </w:tcPr>
          <w:p w14:paraId="54A450D2" w14:textId="77777777" w:rsidR="002545CE" w:rsidRDefault="002545CE" w:rsidP="00CD363C">
            <w:pPr>
              <w:pStyle w:val="TableParagraph"/>
              <w:ind w:left="316" w:right="113"/>
              <w:jc w:val="both"/>
              <w:rPr>
                <w:sz w:val="20"/>
              </w:rPr>
            </w:pPr>
            <w:r>
              <w:rPr>
                <w:sz w:val="20"/>
              </w:rPr>
              <w:t>vispārējā kārtībā sadalāmā dotācija no vispārējiem</w:t>
            </w:r>
          </w:p>
          <w:p w14:paraId="3EBD5BE9" w14:textId="77777777" w:rsidR="002545CE" w:rsidRDefault="002545CE" w:rsidP="00CD363C">
            <w:pPr>
              <w:pStyle w:val="TableParagraph"/>
              <w:ind w:left="316" w:right="113"/>
              <w:jc w:val="both"/>
              <w:rPr>
                <w:sz w:val="20"/>
              </w:rPr>
            </w:pPr>
            <w:r>
              <w:rPr>
                <w:sz w:val="20"/>
              </w:rPr>
              <w:t>ieņēmumiem</w:t>
            </w:r>
          </w:p>
        </w:tc>
        <w:tc>
          <w:tcPr>
            <w:tcW w:w="2948" w:type="dxa"/>
          </w:tcPr>
          <w:p w14:paraId="017BC866" w14:textId="77777777" w:rsidR="002545CE" w:rsidRDefault="002545CE" w:rsidP="00CD363C">
            <w:pPr>
              <w:pStyle w:val="TableParagraph"/>
              <w:ind w:left="106" w:right="113"/>
              <w:jc w:val="both"/>
              <w:rPr>
                <w:sz w:val="20"/>
              </w:rPr>
            </w:pPr>
            <w:r>
              <w:rPr>
                <w:sz w:val="20"/>
              </w:rPr>
              <w:t>21.7.1.0.</w:t>
            </w:r>
          </w:p>
        </w:tc>
      </w:tr>
      <w:tr w:rsidR="002545CE" w14:paraId="68AFABB2" w14:textId="77777777" w:rsidTr="002545CE">
        <w:trPr>
          <w:trHeight w:val="460"/>
        </w:trPr>
        <w:tc>
          <w:tcPr>
            <w:tcW w:w="1102" w:type="dxa"/>
            <w:vMerge/>
            <w:tcBorders>
              <w:top w:val="nil"/>
            </w:tcBorders>
          </w:tcPr>
          <w:p w14:paraId="5FFEED6A" w14:textId="77777777" w:rsidR="002545CE" w:rsidRDefault="002545CE" w:rsidP="00CD363C">
            <w:pPr>
              <w:spacing w:after="0" w:line="240" w:lineRule="auto"/>
              <w:ind w:right="113"/>
              <w:jc w:val="both"/>
              <w:rPr>
                <w:sz w:val="2"/>
                <w:szCs w:val="2"/>
              </w:rPr>
            </w:pPr>
          </w:p>
        </w:tc>
        <w:tc>
          <w:tcPr>
            <w:tcW w:w="5558" w:type="dxa"/>
          </w:tcPr>
          <w:p w14:paraId="51E6EA82" w14:textId="77777777" w:rsidR="002545CE" w:rsidRDefault="002545CE" w:rsidP="00CD363C">
            <w:pPr>
              <w:pStyle w:val="TableParagraph"/>
              <w:ind w:left="316" w:right="113"/>
              <w:jc w:val="both"/>
              <w:rPr>
                <w:sz w:val="20"/>
              </w:rPr>
            </w:pPr>
            <w:r>
              <w:rPr>
                <w:sz w:val="20"/>
              </w:rPr>
              <w:t>dotācija no vispārējiem ieņēmumiem atmaksām valsts</w:t>
            </w:r>
          </w:p>
          <w:p w14:paraId="22BF6681" w14:textId="77777777" w:rsidR="002545CE" w:rsidRDefault="002545CE" w:rsidP="00CD363C">
            <w:pPr>
              <w:pStyle w:val="TableParagraph"/>
              <w:ind w:left="316" w:right="113"/>
              <w:jc w:val="both"/>
              <w:rPr>
                <w:sz w:val="20"/>
              </w:rPr>
            </w:pPr>
            <w:r>
              <w:rPr>
                <w:sz w:val="20"/>
              </w:rPr>
              <w:t>pamatbudžetā</w:t>
            </w:r>
          </w:p>
        </w:tc>
        <w:tc>
          <w:tcPr>
            <w:tcW w:w="2948" w:type="dxa"/>
          </w:tcPr>
          <w:p w14:paraId="23CC1E35" w14:textId="77777777" w:rsidR="002545CE" w:rsidRDefault="002545CE" w:rsidP="00CD363C">
            <w:pPr>
              <w:pStyle w:val="TableParagraph"/>
              <w:ind w:left="106" w:right="113"/>
              <w:jc w:val="both"/>
              <w:rPr>
                <w:sz w:val="20"/>
              </w:rPr>
            </w:pPr>
            <w:r>
              <w:rPr>
                <w:sz w:val="20"/>
              </w:rPr>
              <w:t>21.7.2.0.</w:t>
            </w:r>
          </w:p>
        </w:tc>
      </w:tr>
      <w:tr w:rsidR="002545CE" w14:paraId="679DB6F5" w14:textId="77777777" w:rsidTr="002545CE">
        <w:trPr>
          <w:trHeight w:val="688"/>
        </w:trPr>
        <w:tc>
          <w:tcPr>
            <w:tcW w:w="1102" w:type="dxa"/>
            <w:vMerge w:val="restart"/>
          </w:tcPr>
          <w:p w14:paraId="365AC0B4" w14:textId="77777777" w:rsidR="002545CE" w:rsidRDefault="002545CE" w:rsidP="00CD363C">
            <w:pPr>
              <w:pStyle w:val="TableParagraph"/>
              <w:ind w:left="107" w:right="113"/>
              <w:jc w:val="both"/>
              <w:rPr>
                <w:sz w:val="20"/>
              </w:rPr>
            </w:pPr>
            <w:r>
              <w:rPr>
                <w:sz w:val="20"/>
              </w:rPr>
              <w:t>2.</w:t>
            </w:r>
          </w:p>
        </w:tc>
        <w:tc>
          <w:tcPr>
            <w:tcW w:w="5558" w:type="dxa"/>
          </w:tcPr>
          <w:p w14:paraId="529F8897" w14:textId="77777777" w:rsidR="002545CE" w:rsidRDefault="002545CE" w:rsidP="00CD363C">
            <w:pPr>
              <w:pStyle w:val="TableParagraph"/>
              <w:ind w:left="107" w:right="113"/>
              <w:jc w:val="both"/>
              <w:rPr>
                <w:sz w:val="20"/>
              </w:rPr>
            </w:pPr>
            <w:r>
              <w:rPr>
                <w:sz w:val="20"/>
              </w:rPr>
              <w:t>Transferti, tai skaitā:</w:t>
            </w:r>
          </w:p>
        </w:tc>
        <w:tc>
          <w:tcPr>
            <w:tcW w:w="2948" w:type="dxa"/>
          </w:tcPr>
          <w:p w14:paraId="4D47E278" w14:textId="77777777" w:rsidR="002545CE" w:rsidRDefault="002545CE" w:rsidP="00CD363C">
            <w:pPr>
              <w:pStyle w:val="TableParagraph"/>
              <w:ind w:left="106" w:right="113"/>
              <w:jc w:val="both"/>
              <w:rPr>
                <w:sz w:val="20"/>
              </w:rPr>
            </w:pPr>
            <w:r>
              <w:rPr>
                <w:sz w:val="20"/>
              </w:rPr>
              <w:t>atbilstoši transferta veidam</w:t>
            </w:r>
          </w:p>
          <w:p w14:paraId="59C7F8B9" w14:textId="77777777" w:rsidR="002545CE" w:rsidRDefault="002545CE" w:rsidP="00CD363C">
            <w:pPr>
              <w:pStyle w:val="TableParagraph"/>
              <w:ind w:left="106" w:right="113"/>
              <w:jc w:val="both"/>
              <w:rPr>
                <w:sz w:val="20"/>
              </w:rPr>
            </w:pPr>
            <w:r>
              <w:rPr>
                <w:sz w:val="20"/>
              </w:rPr>
              <w:t>saskaņā ar normatīvā akta prasībām</w:t>
            </w:r>
          </w:p>
        </w:tc>
      </w:tr>
      <w:tr w:rsidR="002545CE" w14:paraId="599E8D1C" w14:textId="77777777" w:rsidTr="002545CE">
        <w:trPr>
          <w:trHeight w:val="460"/>
        </w:trPr>
        <w:tc>
          <w:tcPr>
            <w:tcW w:w="1102" w:type="dxa"/>
            <w:vMerge/>
            <w:tcBorders>
              <w:top w:val="nil"/>
            </w:tcBorders>
          </w:tcPr>
          <w:p w14:paraId="2880C878" w14:textId="77777777" w:rsidR="002545CE" w:rsidRDefault="002545CE" w:rsidP="00CD363C">
            <w:pPr>
              <w:spacing w:after="0" w:line="240" w:lineRule="auto"/>
              <w:ind w:right="113"/>
              <w:jc w:val="both"/>
              <w:rPr>
                <w:sz w:val="2"/>
                <w:szCs w:val="2"/>
              </w:rPr>
            </w:pPr>
          </w:p>
        </w:tc>
        <w:tc>
          <w:tcPr>
            <w:tcW w:w="5558" w:type="dxa"/>
          </w:tcPr>
          <w:p w14:paraId="6F9779E9" w14:textId="77777777" w:rsidR="002545CE" w:rsidRDefault="002545CE" w:rsidP="00CD363C">
            <w:pPr>
              <w:pStyle w:val="TableParagraph"/>
              <w:ind w:left="316" w:right="113"/>
              <w:jc w:val="both"/>
              <w:rPr>
                <w:sz w:val="20"/>
              </w:rPr>
            </w:pPr>
            <w:r>
              <w:rPr>
                <w:sz w:val="20"/>
              </w:rPr>
              <w:t>no valsts budžeta daļēji finansēto atvasināto publisko personu</w:t>
            </w:r>
          </w:p>
          <w:p w14:paraId="212CC314" w14:textId="77777777" w:rsidR="002545CE" w:rsidRDefault="002545CE" w:rsidP="00CD363C">
            <w:pPr>
              <w:pStyle w:val="TableParagraph"/>
              <w:ind w:left="316" w:right="113"/>
              <w:jc w:val="both"/>
              <w:rPr>
                <w:sz w:val="20"/>
              </w:rPr>
            </w:pPr>
            <w:r>
              <w:rPr>
                <w:sz w:val="20"/>
              </w:rPr>
              <w:t>un budžeta nefinansēto iestāžu transferti</w:t>
            </w:r>
          </w:p>
        </w:tc>
        <w:tc>
          <w:tcPr>
            <w:tcW w:w="2948" w:type="dxa"/>
          </w:tcPr>
          <w:p w14:paraId="4D448B3D" w14:textId="77777777" w:rsidR="002545CE" w:rsidRDefault="002545CE" w:rsidP="00CD363C">
            <w:pPr>
              <w:pStyle w:val="TableParagraph"/>
              <w:ind w:left="106" w:right="113"/>
              <w:jc w:val="both"/>
              <w:rPr>
                <w:sz w:val="20"/>
              </w:rPr>
            </w:pPr>
            <w:r>
              <w:rPr>
                <w:sz w:val="20"/>
              </w:rPr>
              <w:t>17.0.0.0.</w:t>
            </w:r>
          </w:p>
        </w:tc>
      </w:tr>
      <w:tr w:rsidR="002545CE" w14:paraId="40183C08" w14:textId="77777777" w:rsidTr="002545CE">
        <w:trPr>
          <w:trHeight w:val="230"/>
        </w:trPr>
        <w:tc>
          <w:tcPr>
            <w:tcW w:w="1102" w:type="dxa"/>
            <w:vMerge/>
            <w:tcBorders>
              <w:top w:val="nil"/>
            </w:tcBorders>
          </w:tcPr>
          <w:p w14:paraId="32983EDE" w14:textId="77777777" w:rsidR="002545CE" w:rsidRDefault="002545CE" w:rsidP="00CD363C">
            <w:pPr>
              <w:spacing w:after="0" w:line="240" w:lineRule="auto"/>
              <w:ind w:right="113"/>
              <w:jc w:val="both"/>
              <w:rPr>
                <w:sz w:val="2"/>
                <w:szCs w:val="2"/>
              </w:rPr>
            </w:pPr>
          </w:p>
        </w:tc>
        <w:tc>
          <w:tcPr>
            <w:tcW w:w="5558" w:type="dxa"/>
          </w:tcPr>
          <w:p w14:paraId="15B0A05F" w14:textId="77777777" w:rsidR="002545CE" w:rsidRDefault="002545CE" w:rsidP="00CD363C">
            <w:pPr>
              <w:pStyle w:val="TableParagraph"/>
              <w:ind w:left="316" w:right="113"/>
              <w:jc w:val="both"/>
              <w:rPr>
                <w:sz w:val="20"/>
              </w:rPr>
            </w:pPr>
            <w:r>
              <w:rPr>
                <w:sz w:val="20"/>
              </w:rPr>
              <w:t>valsts budžeta transferti</w:t>
            </w:r>
          </w:p>
        </w:tc>
        <w:tc>
          <w:tcPr>
            <w:tcW w:w="2948" w:type="dxa"/>
          </w:tcPr>
          <w:p w14:paraId="34050832" w14:textId="77777777" w:rsidR="002545CE" w:rsidRDefault="002545CE" w:rsidP="00CD363C">
            <w:pPr>
              <w:pStyle w:val="TableParagraph"/>
              <w:ind w:left="106" w:right="113"/>
              <w:jc w:val="both"/>
              <w:rPr>
                <w:sz w:val="20"/>
              </w:rPr>
            </w:pPr>
            <w:r>
              <w:rPr>
                <w:sz w:val="20"/>
              </w:rPr>
              <w:t>18.0.0.0.</w:t>
            </w:r>
          </w:p>
        </w:tc>
      </w:tr>
      <w:tr w:rsidR="002545CE" w14:paraId="6F345FF5" w14:textId="77777777" w:rsidTr="002545CE">
        <w:trPr>
          <w:trHeight w:val="230"/>
        </w:trPr>
        <w:tc>
          <w:tcPr>
            <w:tcW w:w="1102" w:type="dxa"/>
            <w:vMerge/>
            <w:tcBorders>
              <w:top w:val="nil"/>
            </w:tcBorders>
          </w:tcPr>
          <w:p w14:paraId="7CC3DEE3" w14:textId="77777777" w:rsidR="002545CE" w:rsidRDefault="002545CE" w:rsidP="00CD363C">
            <w:pPr>
              <w:spacing w:after="0" w:line="240" w:lineRule="auto"/>
              <w:ind w:right="113"/>
              <w:jc w:val="both"/>
              <w:rPr>
                <w:sz w:val="2"/>
                <w:szCs w:val="2"/>
              </w:rPr>
            </w:pPr>
          </w:p>
        </w:tc>
        <w:tc>
          <w:tcPr>
            <w:tcW w:w="5558" w:type="dxa"/>
          </w:tcPr>
          <w:p w14:paraId="014A9E75" w14:textId="77777777" w:rsidR="002545CE" w:rsidRDefault="002545CE" w:rsidP="00CD363C">
            <w:pPr>
              <w:pStyle w:val="TableParagraph"/>
              <w:ind w:left="316" w:right="113"/>
              <w:jc w:val="both"/>
              <w:rPr>
                <w:sz w:val="20"/>
              </w:rPr>
            </w:pPr>
            <w:r>
              <w:rPr>
                <w:sz w:val="20"/>
              </w:rPr>
              <w:t>pašvaldību budžeta transferti</w:t>
            </w:r>
          </w:p>
        </w:tc>
        <w:tc>
          <w:tcPr>
            <w:tcW w:w="2948" w:type="dxa"/>
          </w:tcPr>
          <w:p w14:paraId="26ADA8E0" w14:textId="77777777" w:rsidR="002545CE" w:rsidRDefault="002545CE" w:rsidP="00CD363C">
            <w:pPr>
              <w:pStyle w:val="TableParagraph"/>
              <w:ind w:left="106" w:right="113"/>
              <w:jc w:val="both"/>
              <w:rPr>
                <w:sz w:val="20"/>
              </w:rPr>
            </w:pPr>
            <w:r>
              <w:rPr>
                <w:sz w:val="20"/>
              </w:rPr>
              <w:t>19.0.0.0.</w:t>
            </w:r>
          </w:p>
        </w:tc>
      </w:tr>
      <w:tr w:rsidR="002545CE" w14:paraId="388F721D" w14:textId="77777777" w:rsidTr="002545CE">
        <w:trPr>
          <w:trHeight w:val="690"/>
        </w:trPr>
        <w:tc>
          <w:tcPr>
            <w:tcW w:w="1102" w:type="dxa"/>
          </w:tcPr>
          <w:p w14:paraId="47522364" w14:textId="77777777" w:rsidR="002545CE" w:rsidRDefault="002545CE" w:rsidP="00CD363C">
            <w:pPr>
              <w:pStyle w:val="TableParagraph"/>
              <w:ind w:left="107" w:right="113"/>
              <w:jc w:val="both"/>
              <w:rPr>
                <w:sz w:val="20"/>
              </w:rPr>
            </w:pPr>
            <w:r>
              <w:rPr>
                <w:sz w:val="20"/>
              </w:rPr>
              <w:t>3.</w:t>
            </w:r>
          </w:p>
        </w:tc>
        <w:tc>
          <w:tcPr>
            <w:tcW w:w="5558" w:type="dxa"/>
          </w:tcPr>
          <w:p w14:paraId="35248C6B" w14:textId="77777777" w:rsidR="002545CE" w:rsidRDefault="002545CE" w:rsidP="00CD363C">
            <w:pPr>
              <w:pStyle w:val="TableParagraph"/>
              <w:ind w:left="107" w:right="113"/>
              <w:jc w:val="both"/>
              <w:rPr>
                <w:sz w:val="20"/>
              </w:rPr>
            </w:pPr>
            <w:r>
              <w:rPr>
                <w:sz w:val="20"/>
              </w:rPr>
              <w:t>Ārvalstu finanšu palīdzība Eiropas Savienības politiku</w:t>
            </w:r>
          </w:p>
          <w:p w14:paraId="562BBD96" w14:textId="77777777" w:rsidR="002545CE" w:rsidRDefault="002545CE" w:rsidP="00CD363C">
            <w:pPr>
              <w:pStyle w:val="TableParagraph"/>
              <w:ind w:left="107" w:right="113"/>
              <w:jc w:val="both"/>
              <w:rPr>
                <w:sz w:val="20"/>
              </w:rPr>
            </w:pPr>
            <w:r>
              <w:rPr>
                <w:sz w:val="20"/>
              </w:rPr>
              <w:t>instrumentiem un pārējā ārvalstu finanšu palīdzība (sertifikācijas iestādes līmenī)</w:t>
            </w:r>
          </w:p>
        </w:tc>
        <w:tc>
          <w:tcPr>
            <w:tcW w:w="2948" w:type="dxa"/>
          </w:tcPr>
          <w:p w14:paraId="6714FFBA" w14:textId="77777777" w:rsidR="002545CE" w:rsidRDefault="002545CE" w:rsidP="00CD363C">
            <w:pPr>
              <w:pStyle w:val="TableParagraph"/>
              <w:ind w:right="113"/>
              <w:jc w:val="both"/>
              <w:rPr>
                <w:i/>
                <w:sz w:val="19"/>
              </w:rPr>
            </w:pPr>
          </w:p>
          <w:p w14:paraId="2BA3736A" w14:textId="77777777" w:rsidR="002545CE" w:rsidRDefault="002545CE" w:rsidP="00CD363C">
            <w:pPr>
              <w:pStyle w:val="TableParagraph"/>
              <w:ind w:left="106" w:right="113"/>
              <w:jc w:val="both"/>
              <w:rPr>
                <w:sz w:val="20"/>
              </w:rPr>
            </w:pPr>
            <w:r>
              <w:rPr>
                <w:sz w:val="20"/>
              </w:rPr>
              <w:t>20.0.0.0.</w:t>
            </w:r>
          </w:p>
        </w:tc>
      </w:tr>
      <w:tr w:rsidR="002545CE" w14:paraId="609237CF" w14:textId="77777777" w:rsidTr="002545CE">
        <w:trPr>
          <w:trHeight w:val="460"/>
        </w:trPr>
        <w:tc>
          <w:tcPr>
            <w:tcW w:w="1102" w:type="dxa"/>
          </w:tcPr>
          <w:p w14:paraId="72199CBF" w14:textId="77777777" w:rsidR="002545CE" w:rsidRDefault="002545CE" w:rsidP="00CD363C">
            <w:pPr>
              <w:pStyle w:val="TableParagraph"/>
              <w:ind w:left="107" w:right="113"/>
              <w:jc w:val="both"/>
              <w:rPr>
                <w:sz w:val="20"/>
              </w:rPr>
            </w:pPr>
            <w:r>
              <w:rPr>
                <w:sz w:val="20"/>
              </w:rPr>
              <w:t>4.</w:t>
            </w:r>
          </w:p>
        </w:tc>
        <w:tc>
          <w:tcPr>
            <w:tcW w:w="5558" w:type="dxa"/>
          </w:tcPr>
          <w:p w14:paraId="5B9F3FE6" w14:textId="77777777" w:rsidR="002545CE" w:rsidRDefault="002545CE" w:rsidP="00CD363C">
            <w:pPr>
              <w:pStyle w:val="TableParagraph"/>
              <w:ind w:left="107" w:right="113"/>
              <w:jc w:val="both"/>
              <w:rPr>
                <w:sz w:val="20"/>
              </w:rPr>
            </w:pPr>
            <w:r>
              <w:rPr>
                <w:sz w:val="20"/>
              </w:rPr>
              <w:t>Ārvalstu finanšu palīdzība</w:t>
            </w:r>
          </w:p>
          <w:p w14:paraId="076345C8" w14:textId="77777777" w:rsidR="002545CE" w:rsidRDefault="002545CE" w:rsidP="00CD363C">
            <w:pPr>
              <w:pStyle w:val="TableParagraph"/>
              <w:ind w:left="107" w:right="113"/>
              <w:jc w:val="both"/>
              <w:rPr>
                <w:sz w:val="20"/>
              </w:rPr>
            </w:pPr>
            <w:r>
              <w:rPr>
                <w:sz w:val="20"/>
              </w:rPr>
              <w:t>(darījumu partneris – nerezidents)</w:t>
            </w:r>
          </w:p>
        </w:tc>
        <w:tc>
          <w:tcPr>
            <w:tcW w:w="2948" w:type="dxa"/>
          </w:tcPr>
          <w:p w14:paraId="0678BA5D" w14:textId="77777777" w:rsidR="002545CE" w:rsidRDefault="002545CE" w:rsidP="00CD363C">
            <w:pPr>
              <w:pStyle w:val="TableParagraph"/>
              <w:ind w:left="106" w:right="113"/>
              <w:jc w:val="both"/>
              <w:rPr>
                <w:sz w:val="20"/>
              </w:rPr>
            </w:pPr>
            <w:r>
              <w:rPr>
                <w:sz w:val="20"/>
              </w:rPr>
              <w:t>21.1.0.0.</w:t>
            </w:r>
          </w:p>
        </w:tc>
      </w:tr>
      <w:tr w:rsidR="002545CE" w14:paraId="3E5C59F1" w14:textId="77777777" w:rsidTr="002545CE">
        <w:trPr>
          <w:trHeight w:val="230"/>
        </w:trPr>
        <w:tc>
          <w:tcPr>
            <w:tcW w:w="1102" w:type="dxa"/>
            <w:vMerge w:val="restart"/>
          </w:tcPr>
          <w:p w14:paraId="6473D89D" w14:textId="77777777" w:rsidR="002545CE" w:rsidRDefault="002545CE" w:rsidP="00CD363C">
            <w:pPr>
              <w:pStyle w:val="TableParagraph"/>
              <w:ind w:left="107" w:right="113"/>
              <w:jc w:val="both"/>
              <w:rPr>
                <w:sz w:val="20"/>
              </w:rPr>
            </w:pPr>
            <w:r>
              <w:rPr>
                <w:sz w:val="20"/>
              </w:rPr>
              <w:t>5.</w:t>
            </w:r>
          </w:p>
        </w:tc>
        <w:tc>
          <w:tcPr>
            <w:tcW w:w="5558" w:type="dxa"/>
          </w:tcPr>
          <w:p w14:paraId="4B49E5C3" w14:textId="77777777" w:rsidR="002545CE" w:rsidRDefault="002545CE" w:rsidP="00CD363C">
            <w:pPr>
              <w:pStyle w:val="TableParagraph"/>
              <w:ind w:left="107" w:right="113"/>
              <w:jc w:val="both"/>
              <w:rPr>
                <w:sz w:val="20"/>
              </w:rPr>
            </w:pPr>
            <w:r>
              <w:rPr>
                <w:sz w:val="20"/>
              </w:rPr>
              <w:t>Sodi, tai skaitā:</w:t>
            </w:r>
          </w:p>
        </w:tc>
        <w:tc>
          <w:tcPr>
            <w:tcW w:w="2948" w:type="dxa"/>
          </w:tcPr>
          <w:p w14:paraId="6D0044CD" w14:textId="77777777" w:rsidR="002545CE" w:rsidRDefault="002545CE" w:rsidP="00CD363C">
            <w:pPr>
              <w:pStyle w:val="TableParagraph"/>
              <w:ind w:right="113"/>
              <w:jc w:val="both"/>
              <w:rPr>
                <w:sz w:val="16"/>
              </w:rPr>
            </w:pPr>
          </w:p>
        </w:tc>
      </w:tr>
      <w:tr w:rsidR="002545CE" w14:paraId="16151DED" w14:textId="77777777" w:rsidTr="002545CE">
        <w:trPr>
          <w:trHeight w:val="918"/>
        </w:trPr>
        <w:tc>
          <w:tcPr>
            <w:tcW w:w="1102" w:type="dxa"/>
            <w:vMerge/>
            <w:tcBorders>
              <w:top w:val="nil"/>
            </w:tcBorders>
          </w:tcPr>
          <w:p w14:paraId="77F35AEC" w14:textId="77777777" w:rsidR="002545CE" w:rsidRDefault="002545CE" w:rsidP="00CD363C">
            <w:pPr>
              <w:spacing w:after="0" w:line="240" w:lineRule="auto"/>
              <w:ind w:right="113"/>
              <w:jc w:val="both"/>
              <w:rPr>
                <w:sz w:val="2"/>
                <w:szCs w:val="2"/>
              </w:rPr>
            </w:pPr>
          </w:p>
        </w:tc>
        <w:tc>
          <w:tcPr>
            <w:tcW w:w="5558" w:type="dxa"/>
          </w:tcPr>
          <w:p w14:paraId="4DF410E9" w14:textId="77777777" w:rsidR="002545CE" w:rsidRDefault="002545CE" w:rsidP="00CD363C">
            <w:pPr>
              <w:pStyle w:val="TableParagraph"/>
              <w:ind w:left="107" w:right="113"/>
              <w:jc w:val="both"/>
              <w:rPr>
                <w:sz w:val="20"/>
              </w:rPr>
            </w:pPr>
            <w:r>
              <w:rPr>
                <w:sz w:val="20"/>
              </w:rPr>
              <w:t xml:space="preserve">naudas sodi - ko uzliek saskaņā ar Latvijas Administratīvo pārkāpumu kodeksu, </w:t>
            </w:r>
            <w:hyperlink r:id="rId80">
              <w:r>
                <w:rPr>
                  <w:sz w:val="20"/>
                </w:rPr>
                <w:t>Administratīvā procesa likumu,</w:t>
              </w:r>
            </w:hyperlink>
            <w:r>
              <w:rPr>
                <w:sz w:val="20"/>
              </w:rPr>
              <w:t xml:space="preserve"> speciālajiem nozares likumiem un pašvaldību saistošajiem</w:t>
            </w:r>
          </w:p>
          <w:p w14:paraId="27399A2E" w14:textId="77777777" w:rsidR="002545CE" w:rsidRDefault="002545CE" w:rsidP="00CD363C">
            <w:pPr>
              <w:pStyle w:val="TableParagraph"/>
              <w:ind w:left="107" w:right="113"/>
              <w:jc w:val="both"/>
              <w:rPr>
                <w:sz w:val="20"/>
              </w:rPr>
            </w:pPr>
            <w:r>
              <w:rPr>
                <w:sz w:val="20"/>
              </w:rPr>
              <w:t>noteikumiem:</w:t>
            </w:r>
          </w:p>
        </w:tc>
        <w:tc>
          <w:tcPr>
            <w:tcW w:w="2948" w:type="dxa"/>
          </w:tcPr>
          <w:p w14:paraId="67DCA0E3" w14:textId="77777777" w:rsidR="002545CE" w:rsidRDefault="002545CE" w:rsidP="00CD363C">
            <w:pPr>
              <w:pStyle w:val="TableParagraph"/>
              <w:ind w:left="106" w:right="113"/>
              <w:jc w:val="both"/>
              <w:rPr>
                <w:sz w:val="20"/>
              </w:rPr>
            </w:pPr>
            <w:r>
              <w:rPr>
                <w:sz w:val="20"/>
              </w:rPr>
              <w:t>atbilstoši konkrētā naudas soda veidam saskaņā ar normatīvā akta prasībām</w:t>
            </w:r>
          </w:p>
        </w:tc>
      </w:tr>
      <w:tr w:rsidR="002545CE" w14:paraId="47AC5418" w14:textId="77777777" w:rsidTr="002545CE">
        <w:trPr>
          <w:trHeight w:val="230"/>
        </w:trPr>
        <w:tc>
          <w:tcPr>
            <w:tcW w:w="1102" w:type="dxa"/>
            <w:vMerge/>
            <w:tcBorders>
              <w:top w:val="nil"/>
            </w:tcBorders>
          </w:tcPr>
          <w:p w14:paraId="4329D16F" w14:textId="77777777" w:rsidR="002545CE" w:rsidRDefault="002545CE" w:rsidP="00CD363C">
            <w:pPr>
              <w:spacing w:after="0" w:line="240" w:lineRule="auto"/>
              <w:ind w:right="113"/>
              <w:jc w:val="both"/>
              <w:rPr>
                <w:sz w:val="2"/>
                <w:szCs w:val="2"/>
              </w:rPr>
            </w:pPr>
          </w:p>
        </w:tc>
        <w:tc>
          <w:tcPr>
            <w:tcW w:w="5558" w:type="dxa"/>
          </w:tcPr>
          <w:p w14:paraId="36545BFA" w14:textId="77777777" w:rsidR="002545CE" w:rsidRDefault="002545CE" w:rsidP="00CD363C">
            <w:pPr>
              <w:pStyle w:val="TableParagraph"/>
              <w:ind w:left="316" w:right="113"/>
              <w:jc w:val="both"/>
              <w:rPr>
                <w:sz w:val="20"/>
              </w:rPr>
            </w:pPr>
            <w:r>
              <w:rPr>
                <w:sz w:val="20"/>
              </w:rPr>
              <w:t>naudas sodi, ko uzliek tiesībsargājošās un aizsardzības iestādes</w:t>
            </w:r>
          </w:p>
        </w:tc>
        <w:tc>
          <w:tcPr>
            <w:tcW w:w="2948" w:type="dxa"/>
          </w:tcPr>
          <w:p w14:paraId="5D5958B1" w14:textId="77777777" w:rsidR="002545CE" w:rsidRDefault="002545CE" w:rsidP="00CD363C">
            <w:pPr>
              <w:pStyle w:val="TableParagraph"/>
              <w:ind w:left="106" w:right="113"/>
              <w:jc w:val="both"/>
              <w:rPr>
                <w:sz w:val="20"/>
              </w:rPr>
            </w:pPr>
            <w:r>
              <w:rPr>
                <w:sz w:val="20"/>
              </w:rPr>
              <w:t>10.1.1.0.</w:t>
            </w:r>
          </w:p>
        </w:tc>
      </w:tr>
      <w:tr w:rsidR="002545CE" w14:paraId="0C11522B" w14:textId="77777777" w:rsidTr="002545CE">
        <w:trPr>
          <w:trHeight w:val="230"/>
        </w:trPr>
        <w:tc>
          <w:tcPr>
            <w:tcW w:w="1102" w:type="dxa"/>
            <w:vMerge/>
            <w:tcBorders>
              <w:top w:val="nil"/>
            </w:tcBorders>
          </w:tcPr>
          <w:p w14:paraId="3922F5BC" w14:textId="77777777" w:rsidR="002545CE" w:rsidRDefault="002545CE" w:rsidP="00CD363C">
            <w:pPr>
              <w:spacing w:after="0" w:line="240" w:lineRule="auto"/>
              <w:ind w:right="113"/>
              <w:jc w:val="both"/>
              <w:rPr>
                <w:sz w:val="2"/>
                <w:szCs w:val="2"/>
              </w:rPr>
            </w:pPr>
          </w:p>
        </w:tc>
        <w:tc>
          <w:tcPr>
            <w:tcW w:w="5558" w:type="dxa"/>
          </w:tcPr>
          <w:p w14:paraId="0D39FF0C" w14:textId="77777777" w:rsidR="002545CE" w:rsidRDefault="002545CE" w:rsidP="00CD363C">
            <w:pPr>
              <w:pStyle w:val="TableParagraph"/>
              <w:ind w:left="316" w:right="113"/>
              <w:jc w:val="both"/>
              <w:rPr>
                <w:sz w:val="20"/>
              </w:rPr>
            </w:pPr>
            <w:r>
              <w:rPr>
                <w:sz w:val="20"/>
              </w:rPr>
              <w:t>naudas sodi, ko uzliek Valsts ieņēmumu dienests</w:t>
            </w:r>
          </w:p>
        </w:tc>
        <w:tc>
          <w:tcPr>
            <w:tcW w:w="2948" w:type="dxa"/>
          </w:tcPr>
          <w:p w14:paraId="04FA295C" w14:textId="77777777" w:rsidR="002545CE" w:rsidRDefault="002545CE" w:rsidP="00CD363C">
            <w:pPr>
              <w:pStyle w:val="TableParagraph"/>
              <w:ind w:left="106" w:right="113"/>
              <w:jc w:val="both"/>
              <w:rPr>
                <w:sz w:val="20"/>
              </w:rPr>
            </w:pPr>
            <w:r>
              <w:rPr>
                <w:sz w:val="20"/>
              </w:rPr>
              <w:t>10.1.2.0.</w:t>
            </w:r>
          </w:p>
        </w:tc>
      </w:tr>
      <w:tr w:rsidR="002545CE" w14:paraId="48B819FB" w14:textId="77777777" w:rsidTr="002545CE">
        <w:trPr>
          <w:trHeight w:val="230"/>
        </w:trPr>
        <w:tc>
          <w:tcPr>
            <w:tcW w:w="1102" w:type="dxa"/>
            <w:vMerge/>
            <w:tcBorders>
              <w:top w:val="nil"/>
            </w:tcBorders>
          </w:tcPr>
          <w:p w14:paraId="0F89E163" w14:textId="77777777" w:rsidR="002545CE" w:rsidRDefault="002545CE" w:rsidP="00CD363C">
            <w:pPr>
              <w:spacing w:after="0" w:line="240" w:lineRule="auto"/>
              <w:ind w:right="113"/>
              <w:jc w:val="both"/>
              <w:rPr>
                <w:sz w:val="2"/>
                <w:szCs w:val="2"/>
              </w:rPr>
            </w:pPr>
          </w:p>
        </w:tc>
        <w:tc>
          <w:tcPr>
            <w:tcW w:w="5558" w:type="dxa"/>
          </w:tcPr>
          <w:p w14:paraId="37985B6C" w14:textId="77777777" w:rsidR="002545CE" w:rsidRDefault="002545CE" w:rsidP="00CD363C">
            <w:pPr>
              <w:pStyle w:val="TableParagraph"/>
              <w:ind w:left="316" w:right="113"/>
              <w:jc w:val="both"/>
              <w:rPr>
                <w:sz w:val="20"/>
              </w:rPr>
            </w:pPr>
            <w:r>
              <w:rPr>
                <w:sz w:val="20"/>
              </w:rPr>
              <w:t>naudas sodi par kaitējumu videi</w:t>
            </w:r>
          </w:p>
        </w:tc>
        <w:tc>
          <w:tcPr>
            <w:tcW w:w="2948" w:type="dxa"/>
          </w:tcPr>
          <w:p w14:paraId="6AF80A82" w14:textId="77777777" w:rsidR="002545CE" w:rsidRDefault="002545CE" w:rsidP="00CD363C">
            <w:pPr>
              <w:pStyle w:val="TableParagraph"/>
              <w:ind w:left="106" w:right="113"/>
              <w:jc w:val="both"/>
              <w:rPr>
                <w:sz w:val="20"/>
              </w:rPr>
            </w:pPr>
            <w:r>
              <w:rPr>
                <w:sz w:val="20"/>
              </w:rPr>
              <w:t>10.1.3.0.</w:t>
            </w:r>
          </w:p>
        </w:tc>
      </w:tr>
      <w:tr w:rsidR="002545CE" w14:paraId="19A134BC" w14:textId="77777777" w:rsidTr="002545CE">
        <w:trPr>
          <w:trHeight w:val="230"/>
        </w:trPr>
        <w:tc>
          <w:tcPr>
            <w:tcW w:w="1102" w:type="dxa"/>
            <w:vMerge/>
            <w:tcBorders>
              <w:top w:val="nil"/>
            </w:tcBorders>
          </w:tcPr>
          <w:p w14:paraId="59C99CA8" w14:textId="77777777" w:rsidR="002545CE" w:rsidRDefault="002545CE" w:rsidP="00CD363C">
            <w:pPr>
              <w:spacing w:after="0" w:line="240" w:lineRule="auto"/>
              <w:ind w:right="113"/>
              <w:jc w:val="both"/>
              <w:rPr>
                <w:sz w:val="2"/>
                <w:szCs w:val="2"/>
              </w:rPr>
            </w:pPr>
          </w:p>
        </w:tc>
        <w:tc>
          <w:tcPr>
            <w:tcW w:w="5558" w:type="dxa"/>
          </w:tcPr>
          <w:p w14:paraId="268BB725" w14:textId="77777777" w:rsidR="002545CE" w:rsidRDefault="002545CE" w:rsidP="00CD363C">
            <w:pPr>
              <w:pStyle w:val="TableParagraph"/>
              <w:ind w:left="316" w:right="113"/>
              <w:jc w:val="both"/>
              <w:rPr>
                <w:sz w:val="20"/>
              </w:rPr>
            </w:pPr>
            <w:r>
              <w:rPr>
                <w:sz w:val="20"/>
              </w:rPr>
              <w:t>naudas sodi, ko uzliek pašvaldības</w:t>
            </w:r>
          </w:p>
        </w:tc>
        <w:tc>
          <w:tcPr>
            <w:tcW w:w="2948" w:type="dxa"/>
          </w:tcPr>
          <w:p w14:paraId="58FDBF50" w14:textId="77777777" w:rsidR="002545CE" w:rsidRDefault="002545CE" w:rsidP="00CD363C">
            <w:pPr>
              <w:pStyle w:val="TableParagraph"/>
              <w:ind w:left="106" w:right="113"/>
              <w:jc w:val="both"/>
              <w:rPr>
                <w:sz w:val="20"/>
              </w:rPr>
            </w:pPr>
            <w:r>
              <w:rPr>
                <w:sz w:val="20"/>
              </w:rPr>
              <w:t>10.1.4.0.</w:t>
            </w:r>
          </w:p>
        </w:tc>
      </w:tr>
      <w:tr w:rsidR="002545CE" w14:paraId="7A4678E6" w14:textId="77777777" w:rsidTr="002545CE">
        <w:trPr>
          <w:trHeight w:val="230"/>
        </w:trPr>
        <w:tc>
          <w:tcPr>
            <w:tcW w:w="1102" w:type="dxa"/>
            <w:vMerge/>
            <w:tcBorders>
              <w:top w:val="nil"/>
            </w:tcBorders>
          </w:tcPr>
          <w:p w14:paraId="5870CD83" w14:textId="77777777" w:rsidR="002545CE" w:rsidRDefault="002545CE" w:rsidP="00CD363C">
            <w:pPr>
              <w:spacing w:after="0" w:line="240" w:lineRule="auto"/>
              <w:ind w:right="113"/>
              <w:jc w:val="both"/>
              <w:rPr>
                <w:sz w:val="2"/>
                <w:szCs w:val="2"/>
              </w:rPr>
            </w:pPr>
          </w:p>
        </w:tc>
        <w:tc>
          <w:tcPr>
            <w:tcW w:w="5558" w:type="dxa"/>
          </w:tcPr>
          <w:p w14:paraId="7A8903C9" w14:textId="77777777" w:rsidR="002545CE" w:rsidRDefault="002545CE" w:rsidP="00CD363C">
            <w:pPr>
              <w:pStyle w:val="TableParagraph"/>
              <w:ind w:left="316" w:right="113"/>
              <w:jc w:val="both"/>
              <w:rPr>
                <w:sz w:val="20"/>
              </w:rPr>
            </w:pPr>
            <w:r>
              <w:rPr>
                <w:sz w:val="20"/>
              </w:rPr>
              <w:t>naudas sodi, ko uzliek par pārkāpumiem ceļu satiksmē</w:t>
            </w:r>
          </w:p>
        </w:tc>
        <w:tc>
          <w:tcPr>
            <w:tcW w:w="2948" w:type="dxa"/>
          </w:tcPr>
          <w:p w14:paraId="7563371E" w14:textId="77777777" w:rsidR="002545CE" w:rsidRDefault="002545CE" w:rsidP="00CD363C">
            <w:pPr>
              <w:pStyle w:val="TableParagraph"/>
              <w:ind w:left="106" w:right="113"/>
              <w:jc w:val="both"/>
              <w:rPr>
                <w:sz w:val="20"/>
              </w:rPr>
            </w:pPr>
            <w:r>
              <w:rPr>
                <w:sz w:val="20"/>
              </w:rPr>
              <w:t>10.1.5.0.</w:t>
            </w:r>
          </w:p>
        </w:tc>
      </w:tr>
      <w:tr w:rsidR="002545CE" w14:paraId="16C697FD" w14:textId="77777777" w:rsidTr="002545CE">
        <w:trPr>
          <w:trHeight w:val="230"/>
        </w:trPr>
        <w:tc>
          <w:tcPr>
            <w:tcW w:w="1102" w:type="dxa"/>
            <w:vMerge/>
            <w:tcBorders>
              <w:top w:val="nil"/>
            </w:tcBorders>
          </w:tcPr>
          <w:p w14:paraId="7C990B42" w14:textId="77777777" w:rsidR="002545CE" w:rsidRDefault="002545CE" w:rsidP="00CD363C">
            <w:pPr>
              <w:spacing w:after="0" w:line="240" w:lineRule="auto"/>
              <w:ind w:right="113"/>
              <w:jc w:val="both"/>
              <w:rPr>
                <w:sz w:val="2"/>
                <w:szCs w:val="2"/>
              </w:rPr>
            </w:pPr>
          </w:p>
        </w:tc>
        <w:tc>
          <w:tcPr>
            <w:tcW w:w="5558" w:type="dxa"/>
          </w:tcPr>
          <w:p w14:paraId="1651DEFC" w14:textId="77777777" w:rsidR="002545CE" w:rsidRDefault="002545CE" w:rsidP="00CD363C">
            <w:pPr>
              <w:pStyle w:val="TableParagraph"/>
              <w:ind w:left="316" w:right="113"/>
              <w:jc w:val="both"/>
              <w:rPr>
                <w:sz w:val="20"/>
              </w:rPr>
            </w:pPr>
            <w:r>
              <w:rPr>
                <w:sz w:val="20"/>
              </w:rPr>
              <w:t>pārējie naudas sodi</w:t>
            </w:r>
          </w:p>
        </w:tc>
        <w:tc>
          <w:tcPr>
            <w:tcW w:w="2948" w:type="dxa"/>
          </w:tcPr>
          <w:p w14:paraId="5DE434B3" w14:textId="77777777" w:rsidR="002545CE" w:rsidRDefault="002545CE" w:rsidP="00CD363C">
            <w:pPr>
              <w:pStyle w:val="TableParagraph"/>
              <w:ind w:left="106" w:right="113"/>
              <w:jc w:val="both"/>
              <w:rPr>
                <w:sz w:val="20"/>
              </w:rPr>
            </w:pPr>
            <w:r>
              <w:rPr>
                <w:sz w:val="20"/>
              </w:rPr>
              <w:t>10.1.9.0.</w:t>
            </w:r>
          </w:p>
        </w:tc>
      </w:tr>
      <w:tr w:rsidR="002545CE" w14:paraId="7869EEC9" w14:textId="77777777" w:rsidTr="002545CE">
        <w:trPr>
          <w:trHeight w:val="460"/>
        </w:trPr>
        <w:tc>
          <w:tcPr>
            <w:tcW w:w="1102" w:type="dxa"/>
            <w:vMerge/>
            <w:tcBorders>
              <w:top w:val="nil"/>
            </w:tcBorders>
          </w:tcPr>
          <w:p w14:paraId="5BC17A08" w14:textId="77777777" w:rsidR="002545CE" w:rsidRDefault="002545CE" w:rsidP="00CD363C">
            <w:pPr>
              <w:spacing w:after="0" w:line="240" w:lineRule="auto"/>
              <w:ind w:right="113"/>
              <w:jc w:val="both"/>
              <w:rPr>
                <w:sz w:val="2"/>
                <w:szCs w:val="2"/>
              </w:rPr>
            </w:pPr>
          </w:p>
        </w:tc>
        <w:tc>
          <w:tcPr>
            <w:tcW w:w="5558" w:type="dxa"/>
          </w:tcPr>
          <w:p w14:paraId="28737CCB" w14:textId="77777777" w:rsidR="002545CE" w:rsidRDefault="002545CE" w:rsidP="00CD363C">
            <w:pPr>
              <w:pStyle w:val="TableParagraph"/>
              <w:ind w:left="316" w:right="113"/>
              <w:jc w:val="both"/>
              <w:rPr>
                <w:sz w:val="20"/>
              </w:rPr>
            </w:pPr>
            <w:r>
              <w:rPr>
                <w:sz w:val="20"/>
              </w:rPr>
              <w:t>naudas sodi par valsts budžeta līdzfinansējuma</w:t>
            </w:r>
          </w:p>
          <w:p w14:paraId="71874332" w14:textId="77777777" w:rsidR="002545CE" w:rsidRDefault="002545CE" w:rsidP="00CD363C">
            <w:pPr>
              <w:pStyle w:val="TableParagraph"/>
              <w:ind w:left="316" w:right="113"/>
              <w:jc w:val="both"/>
              <w:rPr>
                <w:sz w:val="20"/>
              </w:rPr>
            </w:pPr>
            <w:r>
              <w:rPr>
                <w:sz w:val="20"/>
              </w:rPr>
              <w:t>neattaisnotajiem izdevumiem</w:t>
            </w:r>
          </w:p>
        </w:tc>
        <w:tc>
          <w:tcPr>
            <w:tcW w:w="2948" w:type="dxa"/>
          </w:tcPr>
          <w:p w14:paraId="6D29D1FE" w14:textId="77777777" w:rsidR="002545CE" w:rsidRDefault="002545CE" w:rsidP="00CD363C">
            <w:pPr>
              <w:pStyle w:val="TableParagraph"/>
              <w:ind w:left="106" w:right="113"/>
              <w:jc w:val="both"/>
              <w:rPr>
                <w:sz w:val="20"/>
              </w:rPr>
            </w:pPr>
            <w:r>
              <w:rPr>
                <w:sz w:val="20"/>
              </w:rPr>
              <w:t>10.5.0.0.</w:t>
            </w:r>
          </w:p>
        </w:tc>
      </w:tr>
      <w:tr w:rsidR="002545CE" w14:paraId="0C2F24DD" w14:textId="77777777" w:rsidTr="002545CE">
        <w:trPr>
          <w:trHeight w:val="460"/>
        </w:trPr>
        <w:tc>
          <w:tcPr>
            <w:tcW w:w="1102" w:type="dxa"/>
            <w:vMerge/>
            <w:tcBorders>
              <w:top w:val="nil"/>
            </w:tcBorders>
          </w:tcPr>
          <w:p w14:paraId="12FA9C6B" w14:textId="77777777" w:rsidR="002545CE" w:rsidRDefault="002545CE" w:rsidP="00CD363C">
            <w:pPr>
              <w:spacing w:after="0" w:line="240" w:lineRule="auto"/>
              <w:ind w:right="113"/>
              <w:jc w:val="both"/>
              <w:rPr>
                <w:sz w:val="2"/>
                <w:szCs w:val="2"/>
              </w:rPr>
            </w:pPr>
          </w:p>
        </w:tc>
        <w:tc>
          <w:tcPr>
            <w:tcW w:w="5558" w:type="dxa"/>
          </w:tcPr>
          <w:p w14:paraId="334F710A" w14:textId="77777777" w:rsidR="002545CE" w:rsidRDefault="002545CE" w:rsidP="00CD363C">
            <w:pPr>
              <w:pStyle w:val="TableParagraph"/>
              <w:ind w:left="316" w:right="113"/>
              <w:jc w:val="both"/>
              <w:rPr>
                <w:sz w:val="20"/>
              </w:rPr>
            </w:pPr>
            <w:r>
              <w:rPr>
                <w:sz w:val="20"/>
              </w:rPr>
              <w:t>naudas sodi par Eiropas Savienības līdzfinansējuma</w:t>
            </w:r>
          </w:p>
          <w:p w14:paraId="09B06101" w14:textId="77777777" w:rsidR="002545CE" w:rsidRDefault="002545CE" w:rsidP="00CD363C">
            <w:pPr>
              <w:pStyle w:val="TableParagraph"/>
              <w:ind w:left="316" w:right="113"/>
              <w:jc w:val="both"/>
              <w:rPr>
                <w:sz w:val="20"/>
              </w:rPr>
            </w:pPr>
            <w:r>
              <w:rPr>
                <w:sz w:val="20"/>
              </w:rPr>
              <w:t xml:space="preserve">neattaisnotajiem </w:t>
            </w:r>
            <w:r>
              <w:rPr>
                <w:color w:val="414142"/>
                <w:sz w:val="20"/>
              </w:rPr>
              <w:t>i</w:t>
            </w:r>
            <w:r>
              <w:rPr>
                <w:sz w:val="20"/>
              </w:rPr>
              <w:t>zdevumiem</w:t>
            </w:r>
          </w:p>
        </w:tc>
        <w:tc>
          <w:tcPr>
            <w:tcW w:w="2948" w:type="dxa"/>
          </w:tcPr>
          <w:p w14:paraId="4E862B12" w14:textId="77777777" w:rsidR="002545CE" w:rsidRDefault="002545CE" w:rsidP="00CD363C">
            <w:pPr>
              <w:pStyle w:val="TableParagraph"/>
              <w:ind w:left="106" w:right="113"/>
              <w:jc w:val="both"/>
              <w:rPr>
                <w:sz w:val="20"/>
              </w:rPr>
            </w:pPr>
            <w:r>
              <w:rPr>
                <w:sz w:val="20"/>
              </w:rPr>
              <w:t>10.6.0.0.</w:t>
            </w:r>
          </w:p>
        </w:tc>
      </w:tr>
      <w:tr w:rsidR="002545CE" w14:paraId="01418ECB" w14:textId="77777777" w:rsidTr="002545CE">
        <w:trPr>
          <w:trHeight w:val="230"/>
        </w:trPr>
        <w:tc>
          <w:tcPr>
            <w:tcW w:w="1102" w:type="dxa"/>
            <w:vMerge/>
            <w:tcBorders>
              <w:top w:val="nil"/>
            </w:tcBorders>
          </w:tcPr>
          <w:p w14:paraId="07A5E52A" w14:textId="77777777" w:rsidR="002545CE" w:rsidRDefault="002545CE" w:rsidP="00CD363C">
            <w:pPr>
              <w:spacing w:after="0" w:line="240" w:lineRule="auto"/>
              <w:ind w:right="113"/>
              <w:jc w:val="both"/>
              <w:rPr>
                <w:sz w:val="2"/>
                <w:szCs w:val="2"/>
              </w:rPr>
            </w:pPr>
          </w:p>
        </w:tc>
        <w:tc>
          <w:tcPr>
            <w:tcW w:w="5558" w:type="dxa"/>
          </w:tcPr>
          <w:p w14:paraId="02553C8D" w14:textId="77777777" w:rsidR="002545CE" w:rsidRDefault="002545CE" w:rsidP="00CD363C">
            <w:pPr>
              <w:pStyle w:val="TableParagraph"/>
              <w:ind w:left="316" w:right="113"/>
              <w:jc w:val="both"/>
              <w:rPr>
                <w:sz w:val="20"/>
              </w:rPr>
            </w:pPr>
            <w:r>
              <w:rPr>
                <w:sz w:val="20"/>
              </w:rPr>
              <w:t>soda naudas par Dabas resursu nodokļa likuma pārkāpumiem</w:t>
            </w:r>
          </w:p>
        </w:tc>
        <w:tc>
          <w:tcPr>
            <w:tcW w:w="2948" w:type="dxa"/>
          </w:tcPr>
          <w:p w14:paraId="1B009ADB" w14:textId="77777777" w:rsidR="002545CE" w:rsidRDefault="002545CE" w:rsidP="00CD363C">
            <w:pPr>
              <w:pStyle w:val="TableParagraph"/>
              <w:ind w:left="106" w:right="113"/>
              <w:jc w:val="both"/>
              <w:rPr>
                <w:sz w:val="20"/>
              </w:rPr>
            </w:pPr>
            <w:r>
              <w:rPr>
                <w:sz w:val="20"/>
              </w:rPr>
              <w:t>5.5.3.8.</w:t>
            </w:r>
          </w:p>
        </w:tc>
      </w:tr>
      <w:tr w:rsidR="002545CE" w14:paraId="4D182D3B" w14:textId="77777777" w:rsidTr="002545CE">
        <w:trPr>
          <w:trHeight w:val="688"/>
        </w:trPr>
        <w:tc>
          <w:tcPr>
            <w:tcW w:w="1102" w:type="dxa"/>
            <w:vMerge/>
            <w:tcBorders>
              <w:top w:val="nil"/>
            </w:tcBorders>
          </w:tcPr>
          <w:p w14:paraId="4B0FB3F3" w14:textId="77777777" w:rsidR="002545CE" w:rsidRDefault="002545CE" w:rsidP="00CD363C">
            <w:pPr>
              <w:spacing w:after="0" w:line="240" w:lineRule="auto"/>
              <w:ind w:right="113"/>
              <w:jc w:val="both"/>
              <w:rPr>
                <w:sz w:val="2"/>
                <w:szCs w:val="2"/>
              </w:rPr>
            </w:pPr>
          </w:p>
        </w:tc>
        <w:tc>
          <w:tcPr>
            <w:tcW w:w="5558" w:type="dxa"/>
          </w:tcPr>
          <w:p w14:paraId="34773F94" w14:textId="77777777" w:rsidR="002545CE" w:rsidRDefault="002545CE" w:rsidP="00CD363C">
            <w:pPr>
              <w:pStyle w:val="TableParagraph"/>
              <w:ind w:left="107" w:right="113"/>
              <w:jc w:val="both"/>
              <w:rPr>
                <w:sz w:val="20"/>
              </w:rPr>
            </w:pPr>
            <w:r>
              <w:rPr>
                <w:sz w:val="20"/>
              </w:rPr>
              <w:t>nodokļu iekasēšanas rezultātā piemērotie sodi:</w:t>
            </w:r>
          </w:p>
        </w:tc>
        <w:tc>
          <w:tcPr>
            <w:tcW w:w="2948" w:type="dxa"/>
          </w:tcPr>
          <w:p w14:paraId="5DCEEEF3" w14:textId="77777777" w:rsidR="002545CE" w:rsidRDefault="002545CE" w:rsidP="00CD363C">
            <w:pPr>
              <w:pStyle w:val="TableParagraph"/>
              <w:ind w:left="106" w:right="113"/>
              <w:jc w:val="both"/>
              <w:rPr>
                <w:sz w:val="20"/>
              </w:rPr>
            </w:pPr>
            <w:r>
              <w:rPr>
                <w:sz w:val="20"/>
              </w:rPr>
              <w:t>klasifikācija atbilstoši attiecīgā darījuma veidam saskaņā ar</w:t>
            </w:r>
          </w:p>
          <w:p w14:paraId="66B1C67A" w14:textId="77777777" w:rsidR="002545CE" w:rsidRDefault="002545CE" w:rsidP="00CD363C">
            <w:pPr>
              <w:pStyle w:val="TableParagraph"/>
              <w:ind w:left="106" w:right="113"/>
              <w:jc w:val="both"/>
              <w:rPr>
                <w:sz w:val="20"/>
              </w:rPr>
            </w:pPr>
            <w:r>
              <w:rPr>
                <w:sz w:val="20"/>
              </w:rPr>
              <w:t>normatīvā akta prasībām</w:t>
            </w:r>
          </w:p>
        </w:tc>
      </w:tr>
      <w:tr w:rsidR="002545CE" w14:paraId="085C6EAA" w14:textId="77777777" w:rsidTr="002545CE">
        <w:trPr>
          <w:trHeight w:val="460"/>
        </w:trPr>
        <w:tc>
          <w:tcPr>
            <w:tcW w:w="1102" w:type="dxa"/>
          </w:tcPr>
          <w:p w14:paraId="338C1464" w14:textId="77777777" w:rsidR="002545CE" w:rsidRDefault="002545CE" w:rsidP="00CD363C">
            <w:pPr>
              <w:pStyle w:val="TableParagraph"/>
              <w:ind w:right="113"/>
              <w:jc w:val="both"/>
              <w:rPr>
                <w:sz w:val="20"/>
              </w:rPr>
            </w:pPr>
          </w:p>
        </w:tc>
        <w:tc>
          <w:tcPr>
            <w:tcW w:w="5558" w:type="dxa"/>
          </w:tcPr>
          <w:p w14:paraId="1FF6FFA5" w14:textId="77777777" w:rsidR="002545CE" w:rsidRDefault="002545CE" w:rsidP="00CD363C">
            <w:pPr>
              <w:pStyle w:val="TableParagraph"/>
              <w:ind w:left="316" w:right="113"/>
              <w:jc w:val="both"/>
              <w:rPr>
                <w:sz w:val="20"/>
              </w:rPr>
            </w:pPr>
            <w:r>
              <w:rPr>
                <w:sz w:val="20"/>
              </w:rPr>
              <w:t>soda nauda vai nokavējuma nauda par termiņā nesamaksāto</w:t>
            </w:r>
          </w:p>
          <w:p w14:paraId="61BA2313" w14:textId="77777777" w:rsidR="002545CE" w:rsidRDefault="002545CE" w:rsidP="00CD363C">
            <w:pPr>
              <w:pStyle w:val="TableParagraph"/>
              <w:ind w:left="316" w:right="113"/>
              <w:jc w:val="both"/>
              <w:rPr>
                <w:sz w:val="20"/>
              </w:rPr>
            </w:pPr>
            <w:r>
              <w:rPr>
                <w:sz w:val="20"/>
              </w:rPr>
              <w:t>nekustamā īpašuma nodokli</w:t>
            </w:r>
          </w:p>
        </w:tc>
        <w:tc>
          <w:tcPr>
            <w:tcW w:w="2948" w:type="dxa"/>
          </w:tcPr>
          <w:p w14:paraId="3CE06A57" w14:textId="77777777" w:rsidR="002545CE" w:rsidRDefault="002545CE" w:rsidP="00CD363C">
            <w:pPr>
              <w:pStyle w:val="TableParagraph"/>
              <w:ind w:left="106" w:right="113"/>
              <w:jc w:val="both"/>
              <w:rPr>
                <w:sz w:val="20"/>
              </w:rPr>
            </w:pPr>
            <w:r>
              <w:rPr>
                <w:sz w:val="20"/>
              </w:rPr>
              <w:t>4.1.0.0.</w:t>
            </w:r>
          </w:p>
        </w:tc>
      </w:tr>
      <w:tr w:rsidR="002545CE" w14:paraId="41EA5BAC" w14:textId="77777777" w:rsidTr="002545CE">
        <w:trPr>
          <w:trHeight w:val="1151"/>
        </w:trPr>
        <w:tc>
          <w:tcPr>
            <w:tcW w:w="1102" w:type="dxa"/>
          </w:tcPr>
          <w:p w14:paraId="5D0E282D" w14:textId="77777777" w:rsidR="002545CE" w:rsidRDefault="002545CE" w:rsidP="00CD363C">
            <w:pPr>
              <w:pStyle w:val="TableParagraph"/>
              <w:ind w:right="113"/>
              <w:jc w:val="both"/>
              <w:rPr>
                <w:sz w:val="20"/>
              </w:rPr>
            </w:pPr>
          </w:p>
        </w:tc>
        <w:tc>
          <w:tcPr>
            <w:tcW w:w="5558" w:type="dxa"/>
          </w:tcPr>
          <w:p w14:paraId="03283DF0" w14:textId="77777777" w:rsidR="002545CE" w:rsidRDefault="002545CE" w:rsidP="00CD363C">
            <w:pPr>
              <w:pStyle w:val="TableParagraph"/>
              <w:ind w:left="316" w:right="113"/>
              <w:jc w:val="both"/>
              <w:rPr>
                <w:sz w:val="20"/>
              </w:rPr>
            </w:pPr>
            <w:r>
              <w:rPr>
                <w:sz w:val="20"/>
              </w:rPr>
              <w:t>soda sankcijas par vispārējiem nodokļu maksāšanas pārkāpumiem - ieņēmumi, kas iemaksāti valsts budžetā no Valsts ieņēmumu dienesta uzliktajām soda sankcijām un</w:t>
            </w:r>
          </w:p>
          <w:p w14:paraId="39DCCFC5" w14:textId="77777777" w:rsidR="002545CE" w:rsidRDefault="002545CE" w:rsidP="00CD363C">
            <w:pPr>
              <w:pStyle w:val="TableParagraph"/>
              <w:ind w:left="316" w:right="113"/>
              <w:jc w:val="both"/>
              <w:rPr>
                <w:sz w:val="20"/>
              </w:rPr>
            </w:pPr>
            <w:r>
              <w:rPr>
                <w:sz w:val="20"/>
              </w:rPr>
              <w:t>pašvaldību budžetos par pašvaldību administrētajiem nodokļiem</w:t>
            </w:r>
          </w:p>
        </w:tc>
        <w:tc>
          <w:tcPr>
            <w:tcW w:w="2948" w:type="dxa"/>
          </w:tcPr>
          <w:p w14:paraId="671B7928" w14:textId="77777777" w:rsidR="002545CE" w:rsidRDefault="002545CE" w:rsidP="00CD363C">
            <w:pPr>
              <w:pStyle w:val="TableParagraph"/>
              <w:ind w:right="113"/>
              <w:jc w:val="both"/>
            </w:pPr>
          </w:p>
          <w:p w14:paraId="2403D40A" w14:textId="77777777" w:rsidR="002545CE" w:rsidRDefault="002545CE" w:rsidP="00CD363C">
            <w:pPr>
              <w:pStyle w:val="TableParagraph"/>
              <w:ind w:left="106" w:right="113"/>
              <w:jc w:val="both"/>
              <w:rPr>
                <w:sz w:val="20"/>
              </w:rPr>
            </w:pPr>
            <w:r>
              <w:rPr>
                <w:sz w:val="20"/>
              </w:rPr>
              <w:t>10.3.0.0.</w:t>
            </w:r>
          </w:p>
        </w:tc>
      </w:tr>
      <w:tr w:rsidR="002545CE" w14:paraId="60D21CA0" w14:textId="77777777" w:rsidTr="002545CE">
        <w:trPr>
          <w:trHeight w:val="230"/>
        </w:trPr>
        <w:tc>
          <w:tcPr>
            <w:tcW w:w="1102" w:type="dxa"/>
          </w:tcPr>
          <w:p w14:paraId="56CBBFBB" w14:textId="77777777" w:rsidR="002545CE" w:rsidRDefault="002545CE" w:rsidP="00CD363C">
            <w:pPr>
              <w:pStyle w:val="TableParagraph"/>
              <w:ind w:left="107" w:right="113"/>
              <w:jc w:val="both"/>
              <w:rPr>
                <w:sz w:val="20"/>
              </w:rPr>
            </w:pPr>
            <w:r>
              <w:rPr>
                <w:sz w:val="20"/>
              </w:rPr>
              <w:t>6.</w:t>
            </w:r>
          </w:p>
        </w:tc>
        <w:tc>
          <w:tcPr>
            <w:tcW w:w="5558" w:type="dxa"/>
          </w:tcPr>
          <w:p w14:paraId="61875880" w14:textId="77777777" w:rsidR="002545CE" w:rsidRDefault="002545CE" w:rsidP="00CD363C">
            <w:pPr>
              <w:pStyle w:val="TableParagraph"/>
              <w:ind w:left="107" w:right="113"/>
              <w:jc w:val="both"/>
              <w:rPr>
                <w:sz w:val="20"/>
              </w:rPr>
            </w:pPr>
            <w:r>
              <w:rPr>
                <w:sz w:val="20"/>
              </w:rPr>
              <w:t>Dāvinājumi un ziedojumi, tai skaitā:</w:t>
            </w:r>
          </w:p>
        </w:tc>
        <w:tc>
          <w:tcPr>
            <w:tcW w:w="2948" w:type="dxa"/>
          </w:tcPr>
          <w:p w14:paraId="205B1219" w14:textId="77777777" w:rsidR="002545CE" w:rsidRDefault="002545CE" w:rsidP="00CD363C">
            <w:pPr>
              <w:pStyle w:val="TableParagraph"/>
              <w:ind w:left="106" w:right="113"/>
              <w:jc w:val="both"/>
              <w:rPr>
                <w:sz w:val="20"/>
              </w:rPr>
            </w:pPr>
            <w:r>
              <w:rPr>
                <w:sz w:val="20"/>
              </w:rPr>
              <w:t>23.0.0.0.</w:t>
            </w:r>
          </w:p>
        </w:tc>
      </w:tr>
      <w:tr w:rsidR="002545CE" w14:paraId="7EABFA51" w14:textId="77777777" w:rsidTr="002545CE">
        <w:trPr>
          <w:trHeight w:val="227"/>
        </w:trPr>
        <w:tc>
          <w:tcPr>
            <w:tcW w:w="1102" w:type="dxa"/>
          </w:tcPr>
          <w:p w14:paraId="77A11444" w14:textId="77777777" w:rsidR="002545CE" w:rsidRDefault="002545CE" w:rsidP="00CD363C">
            <w:pPr>
              <w:pStyle w:val="TableParagraph"/>
              <w:ind w:right="113"/>
              <w:jc w:val="both"/>
              <w:rPr>
                <w:sz w:val="16"/>
              </w:rPr>
            </w:pPr>
          </w:p>
        </w:tc>
        <w:tc>
          <w:tcPr>
            <w:tcW w:w="5558" w:type="dxa"/>
          </w:tcPr>
          <w:p w14:paraId="7993755A" w14:textId="77777777" w:rsidR="002545CE" w:rsidRDefault="002545CE" w:rsidP="00CD363C">
            <w:pPr>
              <w:pStyle w:val="TableParagraph"/>
              <w:ind w:left="316" w:right="113"/>
              <w:jc w:val="both"/>
              <w:rPr>
                <w:sz w:val="20"/>
              </w:rPr>
            </w:pPr>
            <w:r>
              <w:rPr>
                <w:sz w:val="20"/>
              </w:rPr>
              <w:t>saņemtie dāvinājumi un ziedojumi no juridiskām personām</w:t>
            </w:r>
          </w:p>
        </w:tc>
        <w:tc>
          <w:tcPr>
            <w:tcW w:w="2948" w:type="dxa"/>
          </w:tcPr>
          <w:p w14:paraId="2909F941" w14:textId="77777777" w:rsidR="002545CE" w:rsidRDefault="002545CE" w:rsidP="00CD363C">
            <w:pPr>
              <w:pStyle w:val="TableParagraph"/>
              <w:ind w:left="106" w:right="113"/>
              <w:jc w:val="both"/>
              <w:rPr>
                <w:sz w:val="20"/>
              </w:rPr>
            </w:pPr>
            <w:r>
              <w:rPr>
                <w:sz w:val="20"/>
              </w:rPr>
              <w:t>23.4.0.0.</w:t>
            </w:r>
          </w:p>
        </w:tc>
      </w:tr>
      <w:tr w:rsidR="002545CE" w14:paraId="28418E1B" w14:textId="77777777" w:rsidTr="002545CE">
        <w:trPr>
          <w:trHeight w:val="230"/>
        </w:trPr>
        <w:tc>
          <w:tcPr>
            <w:tcW w:w="1102" w:type="dxa"/>
          </w:tcPr>
          <w:p w14:paraId="26AEEF1C" w14:textId="77777777" w:rsidR="002545CE" w:rsidRDefault="002545CE" w:rsidP="00CD363C">
            <w:pPr>
              <w:pStyle w:val="TableParagraph"/>
              <w:ind w:right="113"/>
              <w:jc w:val="both"/>
              <w:rPr>
                <w:sz w:val="16"/>
              </w:rPr>
            </w:pPr>
          </w:p>
        </w:tc>
        <w:tc>
          <w:tcPr>
            <w:tcW w:w="5558" w:type="dxa"/>
          </w:tcPr>
          <w:p w14:paraId="2017DE6A" w14:textId="77777777" w:rsidR="002545CE" w:rsidRDefault="002545CE" w:rsidP="00CD363C">
            <w:pPr>
              <w:pStyle w:val="TableParagraph"/>
              <w:ind w:left="316" w:right="113"/>
              <w:jc w:val="both"/>
              <w:rPr>
                <w:sz w:val="20"/>
              </w:rPr>
            </w:pPr>
            <w:r>
              <w:rPr>
                <w:sz w:val="20"/>
              </w:rPr>
              <w:t>saņemtie dāvinājumi un ziedojumi no fiziskām personām</w:t>
            </w:r>
          </w:p>
        </w:tc>
        <w:tc>
          <w:tcPr>
            <w:tcW w:w="2948" w:type="dxa"/>
          </w:tcPr>
          <w:p w14:paraId="4EBC48CC" w14:textId="77777777" w:rsidR="002545CE" w:rsidRDefault="002545CE" w:rsidP="00CD363C">
            <w:pPr>
              <w:pStyle w:val="TableParagraph"/>
              <w:ind w:left="106" w:right="113"/>
              <w:jc w:val="both"/>
              <w:rPr>
                <w:sz w:val="20"/>
              </w:rPr>
            </w:pPr>
            <w:r>
              <w:rPr>
                <w:sz w:val="20"/>
              </w:rPr>
              <w:t>23.5.0.0.</w:t>
            </w:r>
          </w:p>
        </w:tc>
      </w:tr>
      <w:tr w:rsidR="002545CE" w14:paraId="6C006828" w14:textId="77777777" w:rsidTr="002545CE">
        <w:trPr>
          <w:trHeight w:val="460"/>
        </w:trPr>
        <w:tc>
          <w:tcPr>
            <w:tcW w:w="1102" w:type="dxa"/>
          </w:tcPr>
          <w:p w14:paraId="75F56D09" w14:textId="77777777" w:rsidR="002545CE" w:rsidRDefault="002545CE" w:rsidP="00CD363C">
            <w:pPr>
              <w:pStyle w:val="TableParagraph"/>
              <w:ind w:left="107" w:right="113"/>
              <w:jc w:val="both"/>
              <w:rPr>
                <w:sz w:val="20"/>
              </w:rPr>
            </w:pPr>
            <w:r>
              <w:rPr>
                <w:sz w:val="20"/>
              </w:rPr>
              <w:t>7.</w:t>
            </w:r>
          </w:p>
        </w:tc>
        <w:tc>
          <w:tcPr>
            <w:tcW w:w="5558" w:type="dxa"/>
          </w:tcPr>
          <w:p w14:paraId="6364DA31" w14:textId="77777777" w:rsidR="002545CE" w:rsidRDefault="002545CE" w:rsidP="00CD363C">
            <w:pPr>
              <w:pStyle w:val="TableParagraph"/>
              <w:ind w:left="107" w:right="113"/>
              <w:jc w:val="both"/>
              <w:rPr>
                <w:sz w:val="20"/>
              </w:rPr>
            </w:pPr>
            <w:r>
              <w:rPr>
                <w:sz w:val="20"/>
              </w:rPr>
              <w:t>Bezatlīdzības ceļā saņemtie ilgtermiņa ieguldījumi un krājumi no</w:t>
            </w:r>
          </w:p>
          <w:p w14:paraId="2F13879B" w14:textId="77777777" w:rsidR="002545CE" w:rsidRDefault="002545CE" w:rsidP="00CD363C">
            <w:pPr>
              <w:pStyle w:val="TableParagraph"/>
              <w:ind w:left="107" w:right="113"/>
              <w:jc w:val="both"/>
              <w:rPr>
                <w:sz w:val="20"/>
              </w:rPr>
            </w:pPr>
            <w:r>
              <w:rPr>
                <w:sz w:val="20"/>
              </w:rPr>
              <w:t>citas budžeta iestādes</w:t>
            </w:r>
          </w:p>
        </w:tc>
        <w:tc>
          <w:tcPr>
            <w:tcW w:w="2948" w:type="dxa"/>
          </w:tcPr>
          <w:p w14:paraId="1B461E2D" w14:textId="77777777" w:rsidR="002545CE" w:rsidRDefault="002545CE" w:rsidP="00CD363C">
            <w:pPr>
              <w:pStyle w:val="TableParagraph"/>
              <w:ind w:left="106" w:right="113"/>
              <w:jc w:val="both"/>
              <w:rPr>
                <w:sz w:val="20"/>
              </w:rPr>
            </w:pPr>
            <w:r>
              <w:rPr>
                <w:sz w:val="20"/>
              </w:rPr>
              <w:t>17.0.0.0., 18.0.0.0., 19.0.0.0.</w:t>
            </w:r>
          </w:p>
        </w:tc>
      </w:tr>
      <w:tr w:rsidR="002545CE" w14:paraId="40C94D8D" w14:textId="77777777" w:rsidTr="002545CE">
        <w:trPr>
          <w:trHeight w:val="230"/>
        </w:trPr>
        <w:tc>
          <w:tcPr>
            <w:tcW w:w="1102" w:type="dxa"/>
          </w:tcPr>
          <w:p w14:paraId="66A8AF21" w14:textId="77777777" w:rsidR="002545CE" w:rsidRDefault="002545CE" w:rsidP="00CD363C">
            <w:pPr>
              <w:pStyle w:val="TableParagraph"/>
              <w:ind w:left="107" w:right="113"/>
              <w:jc w:val="both"/>
              <w:rPr>
                <w:sz w:val="20"/>
              </w:rPr>
            </w:pPr>
            <w:r>
              <w:rPr>
                <w:sz w:val="20"/>
              </w:rPr>
              <w:t>8.</w:t>
            </w:r>
          </w:p>
        </w:tc>
        <w:tc>
          <w:tcPr>
            <w:tcW w:w="5558" w:type="dxa"/>
          </w:tcPr>
          <w:p w14:paraId="705374B4" w14:textId="77777777" w:rsidR="002545CE" w:rsidRDefault="002545CE" w:rsidP="00CD363C">
            <w:pPr>
              <w:pStyle w:val="TableParagraph"/>
              <w:ind w:left="107" w:right="113"/>
              <w:jc w:val="both"/>
              <w:rPr>
                <w:sz w:val="20"/>
              </w:rPr>
            </w:pPr>
            <w:r>
              <w:rPr>
                <w:sz w:val="20"/>
              </w:rPr>
              <w:t>Aizņēmumi uz atvieglotiem nosacījumiem</w:t>
            </w:r>
          </w:p>
        </w:tc>
        <w:tc>
          <w:tcPr>
            <w:tcW w:w="2948" w:type="dxa"/>
          </w:tcPr>
          <w:p w14:paraId="4CB116ED" w14:textId="77777777" w:rsidR="002545CE" w:rsidRDefault="002545CE" w:rsidP="00CD363C">
            <w:pPr>
              <w:pStyle w:val="TableParagraph"/>
              <w:ind w:right="113"/>
              <w:jc w:val="both"/>
              <w:rPr>
                <w:sz w:val="16"/>
              </w:rPr>
            </w:pPr>
          </w:p>
        </w:tc>
      </w:tr>
      <w:tr w:rsidR="002545CE" w14:paraId="061466CB" w14:textId="77777777" w:rsidTr="002545CE">
        <w:trPr>
          <w:trHeight w:val="230"/>
        </w:trPr>
        <w:tc>
          <w:tcPr>
            <w:tcW w:w="1102" w:type="dxa"/>
            <w:vMerge w:val="restart"/>
          </w:tcPr>
          <w:p w14:paraId="05B0F0B2" w14:textId="77777777" w:rsidR="002545CE" w:rsidRDefault="002545CE" w:rsidP="00CD363C">
            <w:pPr>
              <w:pStyle w:val="TableParagraph"/>
              <w:ind w:left="107" w:right="113"/>
              <w:jc w:val="both"/>
              <w:rPr>
                <w:sz w:val="20"/>
              </w:rPr>
            </w:pPr>
            <w:r>
              <w:rPr>
                <w:sz w:val="20"/>
              </w:rPr>
              <w:t>9.</w:t>
            </w:r>
          </w:p>
        </w:tc>
        <w:tc>
          <w:tcPr>
            <w:tcW w:w="5558" w:type="dxa"/>
          </w:tcPr>
          <w:p w14:paraId="700E814D" w14:textId="77777777" w:rsidR="002545CE" w:rsidRDefault="002545CE" w:rsidP="00CD363C">
            <w:pPr>
              <w:pStyle w:val="TableParagraph"/>
              <w:ind w:left="107" w:right="113"/>
              <w:jc w:val="both"/>
              <w:rPr>
                <w:sz w:val="20"/>
              </w:rPr>
            </w:pPr>
            <w:r>
              <w:rPr>
                <w:sz w:val="20"/>
              </w:rPr>
              <w:t>Citi pārvedumu veidi, piemēram:</w:t>
            </w:r>
          </w:p>
        </w:tc>
        <w:tc>
          <w:tcPr>
            <w:tcW w:w="2948" w:type="dxa"/>
          </w:tcPr>
          <w:p w14:paraId="7783605A" w14:textId="77777777" w:rsidR="002545CE" w:rsidRDefault="002545CE" w:rsidP="00CD363C">
            <w:pPr>
              <w:pStyle w:val="TableParagraph"/>
              <w:ind w:right="113"/>
              <w:jc w:val="both"/>
              <w:rPr>
                <w:sz w:val="16"/>
              </w:rPr>
            </w:pPr>
          </w:p>
        </w:tc>
      </w:tr>
      <w:tr w:rsidR="002545CE" w14:paraId="56500D61" w14:textId="77777777" w:rsidTr="002545CE">
        <w:trPr>
          <w:trHeight w:val="230"/>
        </w:trPr>
        <w:tc>
          <w:tcPr>
            <w:tcW w:w="1102" w:type="dxa"/>
            <w:vMerge/>
            <w:tcBorders>
              <w:top w:val="nil"/>
            </w:tcBorders>
          </w:tcPr>
          <w:p w14:paraId="57B8243B" w14:textId="77777777" w:rsidR="002545CE" w:rsidRDefault="002545CE" w:rsidP="00CD363C">
            <w:pPr>
              <w:spacing w:after="0" w:line="240" w:lineRule="auto"/>
              <w:ind w:right="113"/>
              <w:jc w:val="both"/>
              <w:rPr>
                <w:sz w:val="2"/>
                <w:szCs w:val="2"/>
              </w:rPr>
            </w:pPr>
          </w:p>
        </w:tc>
        <w:tc>
          <w:tcPr>
            <w:tcW w:w="5558" w:type="dxa"/>
          </w:tcPr>
          <w:p w14:paraId="4E52C4E6" w14:textId="77777777" w:rsidR="002545CE" w:rsidRDefault="002545CE" w:rsidP="00CD363C">
            <w:pPr>
              <w:pStyle w:val="TableParagraph"/>
              <w:ind w:left="316" w:right="113"/>
              <w:jc w:val="both"/>
              <w:rPr>
                <w:sz w:val="20"/>
              </w:rPr>
            </w:pPr>
            <w:r>
              <w:rPr>
                <w:sz w:val="20"/>
              </w:rPr>
              <w:t>Mantojumi</w:t>
            </w:r>
          </w:p>
        </w:tc>
        <w:tc>
          <w:tcPr>
            <w:tcW w:w="2948" w:type="dxa"/>
          </w:tcPr>
          <w:p w14:paraId="585880BF" w14:textId="77777777" w:rsidR="002545CE" w:rsidRDefault="002545CE" w:rsidP="00CD363C">
            <w:pPr>
              <w:pStyle w:val="TableParagraph"/>
              <w:ind w:left="106" w:right="113"/>
              <w:jc w:val="both"/>
              <w:rPr>
                <w:sz w:val="20"/>
              </w:rPr>
            </w:pPr>
            <w:r>
              <w:rPr>
                <w:sz w:val="20"/>
              </w:rPr>
              <w:t>23.4.0.0., 23.5.0.0.</w:t>
            </w:r>
          </w:p>
        </w:tc>
      </w:tr>
      <w:tr w:rsidR="002545CE" w14:paraId="334C9589" w14:textId="77777777" w:rsidTr="002545CE">
        <w:trPr>
          <w:trHeight w:val="460"/>
        </w:trPr>
        <w:tc>
          <w:tcPr>
            <w:tcW w:w="1102" w:type="dxa"/>
            <w:vMerge/>
            <w:tcBorders>
              <w:top w:val="nil"/>
            </w:tcBorders>
          </w:tcPr>
          <w:p w14:paraId="581E34F4" w14:textId="77777777" w:rsidR="002545CE" w:rsidRDefault="002545CE" w:rsidP="00CD363C">
            <w:pPr>
              <w:spacing w:after="0" w:line="240" w:lineRule="auto"/>
              <w:ind w:right="113"/>
              <w:jc w:val="both"/>
              <w:rPr>
                <w:sz w:val="2"/>
                <w:szCs w:val="2"/>
              </w:rPr>
            </w:pPr>
          </w:p>
        </w:tc>
        <w:tc>
          <w:tcPr>
            <w:tcW w:w="5558" w:type="dxa"/>
          </w:tcPr>
          <w:p w14:paraId="19E25201" w14:textId="77777777" w:rsidR="002545CE" w:rsidRDefault="002545CE" w:rsidP="00CD363C">
            <w:pPr>
              <w:pStyle w:val="TableParagraph"/>
              <w:ind w:left="316" w:right="113"/>
              <w:jc w:val="both"/>
              <w:rPr>
                <w:sz w:val="20"/>
              </w:rPr>
            </w:pPr>
            <w:r>
              <w:rPr>
                <w:sz w:val="20"/>
              </w:rPr>
              <w:t>parādu dzēšana un citi</w:t>
            </w:r>
          </w:p>
        </w:tc>
        <w:tc>
          <w:tcPr>
            <w:tcW w:w="2948" w:type="dxa"/>
          </w:tcPr>
          <w:p w14:paraId="1A70B048" w14:textId="77777777" w:rsidR="002545CE" w:rsidRDefault="002545CE" w:rsidP="00CD363C">
            <w:pPr>
              <w:pStyle w:val="TableParagraph"/>
              <w:ind w:left="106" w:right="113"/>
              <w:jc w:val="both"/>
              <w:rPr>
                <w:sz w:val="20"/>
              </w:rPr>
            </w:pPr>
            <w:r>
              <w:rPr>
                <w:sz w:val="20"/>
              </w:rPr>
              <w:t>8.9.1.0. un citi atbilstoši</w:t>
            </w:r>
          </w:p>
          <w:p w14:paraId="70276B4E" w14:textId="77777777" w:rsidR="002545CE" w:rsidRDefault="002545CE" w:rsidP="00CD363C">
            <w:pPr>
              <w:pStyle w:val="TableParagraph"/>
              <w:ind w:left="106" w:right="113"/>
              <w:jc w:val="both"/>
              <w:rPr>
                <w:sz w:val="20"/>
              </w:rPr>
            </w:pPr>
            <w:r>
              <w:rPr>
                <w:sz w:val="20"/>
              </w:rPr>
              <w:t>ekonomiskai būtībai</w:t>
            </w:r>
          </w:p>
        </w:tc>
      </w:tr>
    </w:tbl>
    <w:p w14:paraId="1C116889" w14:textId="77777777" w:rsidR="00312C26" w:rsidRDefault="00312C26" w:rsidP="00CD363C">
      <w:pPr>
        <w:widowControl w:val="0"/>
        <w:tabs>
          <w:tab w:val="left" w:pos="898"/>
        </w:tabs>
        <w:autoSpaceDE w:val="0"/>
        <w:autoSpaceDN w:val="0"/>
        <w:spacing w:after="0" w:line="240" w:lineRule="auto"/>
        <w:ind w:right="113"/>
        <w:jc w:val="both"/>
      </w:pPr>
    </w:p>
    <w:p w14:paraId="62E41959" w14:textId="77777777" w:rsidR="000152EE" w:rsidRDefault="000152EE" w:rsidP="00CD363C">
      <w:pPr>
        <w:spacing w:after="0" w:line="240" w:lineRule="auto"/>
        <w:ind w:right="113"/>
        <w:jc w:val="both"/>
        <w:rPr>
          <w:rFonts w:ascii="Times New Roman" w:hAnsi="Times New Roman" w:cs="Times New Roman"/>
          <w:b/>
          <w:bCs/>
          <w:sz w:val="24"/>
          <w:szCs w:val="24"/>
        </w:rPr>
      </w:pPr>
    </w:p>
    <w:p w14:paraId="63AD5368" w14:textId="77777777" w:rsidR="000152EE" w:rsidRDefault="000152EE" w:rsidP="00CD363C">
      <w:pPr>
        <w:spacing w:after="0" w:line="240" w:lineRule="auto"/>
        <w:ind w:right="113"/>
        <w:jc w:val="both"/>
        <w:rPr>
          <w:rFonts w:ascii="Times New Roman" w:hAnsi="Times New Roman" w:cs="Times New Roman"/>
          <w:b/>
          <w:bCs/>
          <w:sz w:val="24"/>
          <w:szCs w:val="24"/>
        </w:rPr>
      </w:pPr>
    </w:p>
    <w:p w14:paraId="0B65A216" w14:textId="77777777" w:rsidR="006162DC" w:rsidRPr="00EA1BFB" w:rsidRDefault="00EA1BFB" w:rsidP="00CD363C">
      <w:pPr>
        <w:spacing w:after="0" w:line="240" w:lineRule="auto"/>
        <w:ind w:right="113"/>
        <w:jc w:val="both"/>
        <w:rPr>
          <w:rFonts w:ascii="Times New Roman" w:hAnsi="Times New Roman" w:cs="Times New Roman"/>
          <w:b/>
          <w:bCs/>
          <w:sz w:val="24"/>
          <w:szCs w:val="24"/>
        </w:rPr>
      </w:pPr>
      <w:r w:rsidRPr="00EA1BFB">
        <w:rPr>
          <w:rFonts w:ascii="Times New Roman" w:hAnsi="Times New Roman" w:cs="Times New Roman"/>
          <w:b/>
          <w:bCs/>
          <w:sz w:val="24"/>
          <w:szCs w:val="24"/>
        </w:rPr>
        <w:t>22.</w:t>
      </w:r>
      <w:r w:rsidR="00EC535C">
        <w:rPr>
          <w:rFonts w:ascii="Times New Roman" w:hAnsi="Times New Roman" w:cs="Times New Roman"/>
          <w:b/>
          <w:bCs/>
          <w:sz w:val="24"/>
          <w:szCs w:val="24"/>
        </w:rPr>
        <w:t>3.1.</w:t>
      </w:r>
      <w:r w:rsidRPr="00EA1BFB">
        <w:rPr>
          <w:rFonts w:ascii="Times New Roman" w:hAnsi="Times New Roman" w:cs="Times New Roman"/>
          <w:b/>
          <w:bCs/>
          <w:sz w:val="24"/>
          <w:szCs w:val="24"/>
        </w:rPr>
        <w:t xml:space="preserve"> Pārvedumu uzskaites pamatprincipi</w:t>
      </w:r>
    </w:p>
    <w:p w14:paraId="5507EFA5" w14:textId="77777777" w:rsidR="00EA1BFB" w:rsidRPr="00D33421" w:rsidRDefault="00EA1BFB" w:rsidP="00CD363C">
      <w:pPr>
        <w:pStyle w:val="Pamatteksts"/>
        <w:ind w:right="113"/>
        <w:jc w:val="both"/>
        <w:rPr>
          <w:sz w:val="24"/>
          <w:szCs w:val="24"/>
        </w:rPr>
      </w:pPr>
      <w:r w:rsidRPr="00D33421">
        <w:rPr>
          <w:noProof/>
          <w:sz w:val="24"/>
          <w:szCs w:val="24"/>
        </w:rPr>
        <w:t xml:space="preserve">929.  </w:t>
      </w:r>
      <w:r w:rsidRPr="00D33421">
        <w:rPr>
          <w:sz w:val="24"/>
          <w:szCs w:val="24"/>
        </w:rPr>
        <w:t>Ieņēmumus no saņemtajiem pārvedumiem uzskaita pēc uzkrāšanas principa, kas nosaka, ka ieņēmumus atzīst periodā, kad tie radušies, neatkarīgi no naudas saņemšanas.</w:t>
      </w:r>
    </w:p>
    <w:p w14:paraId="2C817BFD" w14:textId="77777777" w:rsidR="00EA1BFB" w:rsidRPr="00D33421" w:rsidRDefault="00EA1BFB" w:rsidP="00CD363C">
      <w:pPr>
        <w:pStyle w:val="Pamatteksts"/>
        <w:ind w:right="113"/>
        <w:jc w:val="both"/>
        <w:rPr>
          <w:noProof/>
          <w:sz w:val="24"/>
          <w:szCs w:val="24"/>
        </w:rPr>
      </w:pPr>
    </w:p>
    <w:p w14:paraId="7E7E53BA" w14:textId="77777777" w:rsidR="00EA1BFB" w:rsidRDefault="00EA1BFB" w:rsidP="00CD363C">
      <w:pPr>
        <w:pStyle w:val="Pamatteksts"/>
        <w:ind w:right="113"/>
        <w:jc w:val="both"/>
        <w:rPr>
          <w:noProof/>
        </w:rPr>
      </w:pPr>
    </w:p>
    <w:p w14:paraId="4F5EF6F6" w14:textId="77777777" w:rsidR="00EA1BFB" w:rsidRDefault="00EA1BFB" w:rsidP="00CD363C">
      <w:pPr>
        <w:pStyle w:val="Pamatteksts"/>
        <w:ind w:right="113"/>
        <w:jc w:val="both"/>
        <w:rPr>
          <w:noProof/>
        </w:rPr>
      </w:pPr>
      <w:r>
        <w:rPr>
          <w:noProof/>
        </w:rPr>
        <w:t>______________________________________________________________________________________</w:t>
      </w:r>
    </w:p>
    <w:p w14:paraId="093526E5" w14:textId="77777777" w:rsidR="00EA1BFB" w:rsidRDefault="00EA1BFB" w:rsidP="00CD363C">
      <w:pPr>
        <w:spacing w:after="0" w:line="240" w:lineRule="auto"/>
        <w:ind w:left="218" w:right="113"/>
        <w:jc w:val="both"/>
        <w:rPr>
          <w:sz w:val="20"/>
        </w:rPr>
      </w:pPr>
      <w:r>
        <w:rPr>
          <w:rFonts w:ascii="Arial" w:hAnsi="Arial"/>
          <w:position w:val="7"/>
          <w:sz w:val="13"/>
        </w:rPr>
        <w:t xml:space="preserve">7 </w:t>
      </w:r>
      <w:r>
        <w:rPr>
          <w:sz w:val="20"/>
        </w:rPr>
        <w:t>Ministru kabineta 27.12.2005. noteikumi Nr.1032 “Noteikumi par budžeta ieņēmumu klasifikāciju”</w:t>
      </w:r>
    </w:p>
    <w:p w14:paraId="5721C567" w14:textId="77777777" w:rsidR="00EA1BFB" w:rsidRDefault="00EA1BFB" w:rsidP="00CD363C">
      <w:pPr>
        <w:pStyle w:val="Pamatteksts"/>
        <w:ind w:right="113"/>
        <w:jc w:val="both"/>
        <w:rPr>
          <w:noProof/>
        </w:rPr>
      </w:pPr>
    </w:p>
    <w:p w14:paraId="459EF2AF" w14:textId="77777777" w:rsidR="00EA1BFB" w:rsidRPr="00D33421" w:rsidRDefault="00EA1BFB" w:rsidP="00CD363C">
      <w:pPr>
        <w:pStyle w:val="Pamatteksts"/>
        <w:ind w:right="113"/>
        <w:jc w:val="both"/>
        <w:rPr>
          <w:sz w:val="24"/>
          <w:szCs w:val="24"/>
        </w:rPr>
      </w:pPr>
      <w:r>
        <w:rPr>
          <w:noProof/>
        </w:rPr>
        <w:t xml:space="preserve"> </w:t>
      </w:r>
      <w:r w:rsidRPr="00D33421">
        <w:rPr>
          <w:noProof/>
          <w:sz w:val="24"/>
          <w:szCs w:val="24"/>
        </w:rPr>
        <w:t xml:space="preserve">930.  </w:t>
      </w:r>
      <w:r w:rsidRPr="00D33421">
        <w:rPr>
          <w:sz w:val="24"/>
          <w:szCs w:val="24"/>
        </w:rPr>
        <w:t xml:space="preserve">Aktīvus un ieņēmumus, kas atzīti pārveduma rezultātā, novērtē atzīto aktīvu patiesajā vērtībā atzīšanas datumā (izņemot bez atlīdzības saņemtos ilgtermiņa ieguldījumus un krājumus no citas budžeta iestādes, detalizēti skatīt apakšnodaļā </w:t>
      </w:r>
      <w:r w:rsidRPr="00D33421">
        <w:rPr>
          <w:color w:val="0462C1"/>
          <w:sz w:val="24"/>
          <w:szCs w:val="24"/>
          <w:u w:val="single" w:color="0462C1"/>
        </w:rPr>
        <w:t>“</w:t>
      </w:r>
      <w:hyperlink w:anchor="_bookmark395" w:history="1">
        <w:r w:rsidRPr="00D33421">
          <w:rPr>
            <w:color w:val="0462C1"/>
            <w:sz w:val="24"/>
            <w:szCs w:val="24"/>
            <w:u w:val="single" w:color="0462C1"/>
          </w:rPr>
          <w:t>Aktīvu saņemšana vispārējās valdības sektora</w:t>
        </w:r>
      </w:hyperlink>
      <w:r w:rsidRPr="00D33421">
        <w:rPr>
          <w:color w:val="0462C1"/>
          <w:sz w:val="24"/>
          <w:szCs w:val="24"/>
        </w:rPr>
        <w:t xml:space="preserve"> </w:t>
      </w:r>
      <w:hyperlink w:anchor="_bookmark395" w:history="1">
        <w:r w:rsidRPr="00D33421">
          <w:rPr>
            <w:color w:val="0462C1"/>
            <w:sz w:val="24"/>
            <w:szCs w:val="24"/>
            <w:u w:val="single" w:color="0462C1"/>
          </w:rPr>
          <w:t>struktūru ietvaros</w:t>
        </w:r>
      </w:hyperlink>
      <w:r w:rsidRPr="00D33421">
        <w:rPr>
          <w:color w:val="0462C1"/>
          <w:sz w:val="24"/>
          <w:szCs w:val="24"/>
          <w:u w:val="single" w:color="0462C1"/>
        </w:rPr>
        <w:t>”</w:t>
      </w:r>
      <w:r w:rsidRPr="00D33421">
        <w:rPr>
          <w:sz w:val="24"/>
          <w:szCs w:val="24"/>
        </w:rPr>
        <w:t>). Finanšu aktīvus novērtē to nominālajā vērtībā, ja vien naudas vērtībai laikā nav</w:t>
      </w:r>
      <w:r w:rsidRPr="00D33421">
        <w:rPr>
          <w:spacing w:val="-10"/>
          <w:sz w:val="24"/>
          <w:szCs w:val="24"/>
        </w:rPr>
        <w:t xml:space="preserve"> </w:t>
      </w:r>
      <w:r w:rsidRPr="00D33421">
        <w:rPr>
          <w:sz w:val="24"/>
          <w:szCs w:val="24"/>
        </w:rPr>
        <w:t>būtiskas</w:t>
      </w:r>
      <w:r w:rsidRPr="00D33421">
        <w:rPr>
          <w:spacing w:val="-9"/>
          <w:sz w:val="24"/>
          <w:szCs w:val="24"/>
        </w:rPr>
        <w:t xml:space="preserve"> </w:t>
      </w:r>
      <w:r w:rsidRPr="00D33421">
        <w:rPr>
          <w:sz w:val="24"/>
          <w:szCs w:val="24"/>
        </w:rPr>
        <w:t>ietekmes;</w:t>
      </w:r>
      <w:r w:rsidRPr="00D33421">
        <w:rPr>
          <w:spacing w:val="-7"/>
          <w:sz w:val="24"/>
          <w:szCs w:val="24"/>
        </w:rPr>
        <w:t xml:space="preserve"> </w:t>
      </w:r>
      <w:r w:rsidRPr="00D33421">
        <w:rPr>
          <w:sz w:val="24"/>
          <w:szCs w:val="24"/>
        </w:rPr>
        <w:t>tādā</w:t>
      </w:r>
      <w:r w:rsidRPr="00D33421">
        <w:rPr>
          <w:spacing w:val="-9"/>
          <w:sz w:val="24"/>
          <w:szCs w:val="24"/>
        </w:rPr>
        <w:t xml:space="preserve"> </w:t>
      </w:r>
      <w:r w:rsidRPr="00D33421">
        <w:rPr>
          <w:sz w:val="24"/>
          <w:szCs w:val="24"/>
        </w:rPr>
        <w:t>gadījumā</w:t>
      </w:r>
      <w:r w:rsidRPr="00D33421">
        <w:rPr>
          <w:spacing w:val="-8"/>
          <w:sz w:val="24"/>
          <w:szCs w:val="24"/>
        </w:rPr>
        <w:t xml:space="preserve"> </w:t>
      </w:r>
      <w:r w:rsidRPr="00D33421">
        <w:rPr>
          <w:sz w:val="24"/>
          <w:szCs w:val="24"/>
        </w:rPr>
        <w:t>izmanto</w:t>
      </w:r>
      <w:r w:rsidRPr="00D33421">
        <w:rPr>
          <w:spacing w:val="-8"/>
          <w:sz w:val="24"/>
          <w:szCs w:val="24"/>
        </w:rPr>
        <w:t xml:space="preserve"> </w:t>
      </w:r>
      <w:r w:rsidRPr="00D33421">
        <w:rPr>
          <w:sz w:val="24"/>
          <w:szCs w:val="24"/>
        </w:rPr>
        <w:t>pašreizējo</w:t>
      </w:r>
      <w:r w:rsidRPr="00D33421">
        <w:rPr>
          <w:spacing w:val="-7"/>
          <w:sz w:val="24"/>
          <w:szCs w:val="24"/>
        </w:rPr>
        <w:t xml:space="preserve"> </w:t>
      </w:r>
      <w:r w:rsidRPr="00D33421">
        <w:rPr>
          <w:sz w:val="24"/>
          <w:szCs w:val="24"/>
        </w:rPr>
        <w:t>vērtību,</w:t>
      </w:r>
      <w:r w:rsidRPr="00D33421">
        <w:rPr>
          <w:spacing w:val="-11"/>
          <w:sz w:val="24"/>
          <w:szCs w:val="24"/>
        </w:rPr>
        <w:t xml:space="preserve"> </w:t>
      </w:r>
      <w:r w:rsidRPr="00D33421">
        <w:rPr>
          <w:sz w:val="24"/>
          <w:szCs w:val="24"/>
        </w:rPr>
        <w:t>ko</w:t>
      </w:r>
      <w:r w:rsidRPr="00D33421">
        <w:rPr>
          <w:spacing w:val="-7"/>
          <w:sz w:val="24"/>
          <w:szCs w:val="24"/>
        </w:rPr>
        <w:t xml:space="preserve"> </w:t>
      </w:r>
      <w:r w:rsidRPr="00D33421">
        <w:rPr>
          <w:sz w:val="24"/>
          <w:szCs w:val="24"/>
        </w:rPr>
        <w:t>aprēķina,</w:t>
      </w:r>
      <w:r w:rsidRPr="00D33421">
        <w:rPr>
          <w:spacing w:val="-10"/>
          <w:sz w:val="24"/>
          <w:szCs w:val="24"/>
        </w:rPr>
        <w:t xml:space="preserve"> </w:t>
      </w:r>
      <w:r w:rsidRPr="00D33421">
        <w:rPr>
          <w:sz w:val="24"/>
          <w:szCs w:val="24"/>
        </w:rPr>
        <w:t>piemērojot</w:t>
      </w:r>
      <w:r w:rsidRPr="00D33421">
        <w:rPr>
          <w:spacing w:val="-9"/>
          <w:sz w:val="24"/>
          <w:szCs w:val="24"/>
        </w:rPr>
        <w:t xml:space="preserve"> </w:t>
      </w:r>
      <w:r w:rsidRPr="00D33421">
        <w:rPr>
          <w:sz w:val="24"/>
          <w:szCs w:val="24"/>
        </w:rPr>
        <w:t>diskonta likmi, kas uzrāda ar attiecīgā aktīva turēšanu saistīto risku. Nefinanšu aktīvus novērtē to patiesajā vērtībā, ko nosaka, pamatojoties uz novērojamiem tirgus datiem, licencēta vērtētāja veiktu neatkarīgu vērtējumu vai saskaņā ar komisijas vai atbildīgā speciālista vērtējumu. Prasības atzīst, kad pastāv saistošs pārveduma tiesību akts, bet nauda vai kādi citi aktīvi vēl nav</w:t>
      </w:r>
      <w:r w:rsidRPr="00D33421">
        <w:rPr>
          <w:spacing w:val="-15"/>
          <w:sz w:val="24"/>
          <w:szCs w:val="24"/>
        </w:rPr>
        <w:t xml:space="preserve"> </w:t>
      </w:r>
      <w:r w:rsidRPr="00D33421">
        <w:rPr>
          <w:sz w:val="24"/>
          <w:szCs w:val="24"/>
        </w:rPr>
        <w:t>saņemti.</w:t>
      </w:r>
    </w:p>
    <w:p w14:paraId="7DD0FD7C" w14:textId="77777777" w:rsidR="00EA1BFB" w:rsidRPr="00D33421" w:rsidRDefault="00EA1BFB" w:rsidP="00CD363C">
      <w:pPr>
        <w:pStyle w:val="Pamatteksts"/>
        <w:ind w:right="113"/>
        <w:jc w:val="both"/>
        <w:rPr>
          <w:sz w:val="24"/>
          <w:szCs w:val="24"/>
        </w:rPr>
      </w:pPr>
      <w:r w:rsidRPr="00D33421">
        <w:rPr>
          <w:noProof/>
          <w:sz w:val="24"/>
          <w:szCs w:val="24"/>
        </w:rPr>
        <w:t xml:space="preserve">931.   </w:t>
      </w:r>
      <w:r w:rsidRPr="00D33421">
        <w:rPr>
          <w:sz w:val="24"/>
          <w:szCs w:val="24"/>
        </w:rPr>
        <w:t>Ieņēmumu</w:t>
      </w:r>
      <w:r w:rsidRPr="00D33421">
        <w:rPr>
          <w:spacing w:val="-11"/>
          <w:sz w:val="24"/>
          <w:szCs w:val="24"/>
        </w:rPr>
        <w:t xml:space="preserve"> </w:t>
      </w:r>
      <w:r w:rsidRPr="00D33421">
        <w:rPr>
          <w:sz w:val="24"/>
          <w:szCs w:val="24"/>
        </w:rPr>
        <w:t>klasifikāciju</w:t>
      </w:r>
      <w:r w:rsidRPr="00D33421">
        <w:rPr>
          <w:spacing w:val="-12"/>
          <w:sz w:val="24"/>
          <w:szCs w:val="24"/>
        </w:rPr>
        <w:t xml:space="preserve"> </w:t>
      </w:r>
      <w:r w:rsidRPr="00D33421">
        <w:rPr>
          <w:sz w:val="24"/>
          <w:szCs w:val="24"/>
        </w:rPr>
        <w:t>pēc</w:t>
      </w:r>
      <w:r w:rsidRPr="00D33421">
        <w:rPr>
          <w:spacing w:val="-11"/>
          <w:sz w:val="24"/>
          <w:szCs w:val="24"/>
        </w:rPr>
        <w:t xml:space="preserve"> </w:t>
      </w:r>
      <w:r w:rsidRPr="00D33421">
        <w:rPr>
          <w:sz w:val="24"/>
          <w:szCs w:val="24"/>
        </w:rPr>
        <w:t>to</w:t>
      </w:r>
      <w:r w:rsidRPr="00D33421">
        <w:rPr>
          <w:spacing w:val="-13"/>
          <w:sz w:val="24"/>
          <w:szCs w:val="24"/>
        </w:rPr>
        <w:t xml:space="preserve"> </w:t>
      </w:r>
      <w:r w:rsidRPr="00D33421">
        <w:rPr>
          <w:sz w:val="24"/>
          <w:szCs w:val="24"/>
        </w:rPr>
        <w:t>ekonomiskās</w:t>
      </w:r>
      <w:r w:rsidRPr="00D33421">
        <w:rPr>
          <w:spacing w:val="-9"/>
          <w:sz w:val="24"/>
          <w:szCs w:val="24"/>
        </w:rPr>
        <w:t xml:space="preserve"> </w:t>
      </w:r>
      <w:r w:rsidRPr="00D33421">
        <w:rPr>
          <w:sz w:val="24"/>
          <w:szCs w:val="24"/>
        </w:rPr>
        <w:t>būtības</w:t>
      </w:r>
      <w:r w:rsidRPr="00D33421">
        <w:rPr>
          <w:spacing w:val="-11"/>
          <w:sz w:val="24"/>
          <w:szCs w:val="24"/>
        </w:rPr>
        <w:t xml:space="preserve"> </w:t>
      </w:r>
      <w:r w:rsidRPr="00D33421">
        <w:rPr>
          <w:sz w:val="24"/>
          <w:szCs w:val="24"/>
        </w:rPr>
        <w:t>un</w:t>
      </w:r>
      <w:r w:rsidRPr="00D33421">
        <w:rPr>
          <w:spacing w:val="-14"/>
          <w:sz w:val="24"/>
          <w:szCs w:val="24"/>
        </w:rPr>
        <w:t xml:space="preserve"> </w:t>
      </w:r>
      <w:r w:rsidRPr="00D33421">
        <w:rPr>
          <w:sz w:val="24"/>
          <w:szCs w:val="24"/>
        </w:rPr>
        <w:t>institucionālā</w:t>
      </w:r>
      <w:r w:rsidRPr="00D33421">
        <w:rPr>
          <w:spacing w:val="-13"/>
          <w:sz w:val="24"/>
          <w:szCs w:val="24"/>
        </w:rPr>
        <w:t xml:space="preserve"> </w:t>
      </w:r>
      <w:r w:rsidRPr="00D33421">
        <w:rPr>
          <w:sz w:val="24"/>
          <w:szCs w:val="24"/>
        </w:rPr>
        <w:t>sektora</w:t>
      </w:r>
      <w:r w:rsidRPr="00D33421">
        <w:rPr>
          <w:spacing w:val="-9"/>
          <w:sz w:val="24"/>
          <w:szCs w:val="24"/>
        </w:rPr>
        <w:t xml:space="preserve"> </w:t>
      </w:r>
      <w:r w:rsidRPr="00D33421">
        <w:rPr>
          <w:sz w:val="24"/>
          <w:szCs w:val="24"/>
        </w:rPr>
        <w:t>veic</w:t>
      </w:r>
      <w:r w:rsidRPr="00D33421">
        <w:rPr>
          <w:spacing w:val="-9"/>
          <w:sz w:val="24"/>
          <w:szCs w:val="24"/>
        </w:rPr>
        <w:t xml:space="preserve"> </w:t>
      </w:r>
      <w:r w:rsidRPr="00D33421">
        <w:rPr>
          <w:sz w:val="24"/>
          <w:szCs w:val="24"/>
        </w:rPr>
        <w:t>saskaņā</w:t>
      </w:r>
      <w:r w:rsidRPr="00D33421">
        <w:rPr>
          <w:spacing w:val="-10"/>
          <w:sz w:val="24"/>
          <w:szCs w:val="24"/>
        </w:rPr>
        <w:t xml:space="preserve"> </w:t>
      </w:r>
      <w:r w:rsidRPr="00D33421">
        <w:rPr>
          <w:sz w:val="24"/>
          <w:szCs w:val="24"/>
        </w:rPr>
        <w:t>ar</w:t>
      </w:r>
      <w:r w:rsidRPr="00D33421">
        <w:rPr>
          <w:spacing w:val="-11"/>
          <w:sz w:val="24"/>
          <w:szCs w:val="24"/>
        </w:rPr>
        <w:t xml:space="preserve"> </w:t>
      </w:r>
      <w:r w:rsidRPr="00D33421">
        <w:rPr>
          <w:sz w:val="24"/>
          <w:szCs w:val="24"/>
        </w:rPr>
        <w:t>spēkā esošiem normatīvajiem</w:t>
      </w:r>
      <w:r w:rsidRPr="00D33421">
        <w:rPr>
          <w:spacing w:val="-9"/>
          <w:sz w:val="24"/>
          <w:szCs w:val="24"/>
        </w:rPr>
        <w:t xml:space="preserve"> </w:t>
      </w:r>
      <w:r w:rsidRPr="00D33421">
        <w:rPr>
          <w:sz w:val="24"/>
          <w:szCs w:val="24"/>
        </w:rPr>
        <w:t>aktiem.</w:t>
      </w:r>
    </w:p>
    <w:p w14:paraId="55997D0D" w14:textId="77777777" w:rsidR="00EA1BFB" w:rsidRPr="00D33421" w:rsidRDefault="004E6865" w:rsidP="00CD363C">
      <w:pPr>
        <w:pStyle w:val="Pamatteksts"/>
        <w:ind w:right="113"/>
        <w:jc w:val="both"/>
        <w:rPr>
          <w:sz w:val="24"/>
          <w:szCs w:val="24"/>
        </w:rPr>
      </w:pPr>
      <w:r w:rsidRPr="00D33421">
        <w:rPr>
          <w:noProof/>
          <w:sz w:val="24"/>
          <w:szCs w:val="24"/>
        </w:rPr>
        <w:t xml:space="preserve">932.    </w:t>
      </w:r>
      <w:r w:rsidR="00EA1BFB" w:rsidRPr="00D33421">
        <w:rPr>
          <w:sz w:val="24"/>
          <w:szCs w:val="24"/>
        </w:rPr>
        <w:t>MK</w:t>
      </w:r>
      <w:r w:rsidR="00EA1BFB" w:rsidRPr="00D33421">
        <w:rPr>
          <w:spacing w:val="-15"/>
          <w:sz w:val="24"/>
          <w:szCs w:val="24"/>
        </w:rPr>
        <w:t xml:space="preserve"> </w:t>
      </w:r>
      <w:r w:rsidR="00EA1BFB" w:rsidRPr="00D33421">
        <w:rPr>
          <w:sz w:val="24"/>
          <w:szCs w:val="24"/>
        </w:rPr>
        <w:t>noteikumi</w:t>
      </w:r>
      <w:r w:rsidR="00EA1BFB" w:rsidRPr="00D33421">
        <w:rPr>
          <w:spacing w:val="-13"/>
          <w:sz w:val="24"/>
          <w:szCs w:val="24"/>
        </w:rPr>
        <w:t xml:space="preserve"> </w:t>
      </w:r>
      <w:r w:rsidR="00EA1BFB" w:rsidRPr="00D33421">
        <w:rPr>
          <w:sz w:val="24"/>
          <w:szCs w:val="24"/>
        </w:rPr>
        <w:t>par</w:t>
      </w:r>
      <w:r w:rsidR="00EA1BFB" w:rsidRPr="00D33421">
        <w:rPr>
          <w:spacing w:val="-12"/>
          <w:sz w:val="24"/>
          <w:szCs w:val="24"/>
        </w:rPr>
        <w:t xml:space="preserve"> </w:t>
      </w:r>
      <w:r w:rsidR="00EA1BFB" w:rsidRPr="00D33421">
        <w:rPr>
          <w:sz w:val="24"/>
          <w:szCs w:val="24"/>
        </w:rPr>
        <w:t>grāmatvedību</w:t>
      </w:r>
      <w:r w:rsidR="00EA1BFB" w:rsidRPr="00D33421">
        <w:rPr>
          <w:spacing w:val="-17"/>
          <w:sz w:val="24"/>
          <w:szCs w:val="24"/>
        </w:rPr>
        <w:t xml:space="preserve"> </w:t>
      </w:r>
      <w:r w:rsidR="00EA1BFB" w:rsidRPr="00D33421">
        <w:rPr>
          <w:sz w:val="24"/>
          <w:szCs w:val="24"/>
        </w:rPr>
        <w:t>un</w:t>
      </w:r>
      <w:r w:rsidR="00EA1BFB" w:rsidRPr="00D33421">
        <w:rPr>
          <w:spacing w:val="-16"/>
          <w:sz w:val="24"/>
          <w:szCs w:val="24"/>
        </w:rPr>
        <w:t xml:space="preserve"> </w:t>
      </w:r>
      <w:r w:rsidR="00EA1BFB" w:rsidRPr="00D33421">
        <w:rPr>
          <w:sz w:val="24"/>
          <w:szCs w:val="24"/>
        </w:rPr>
        <w:t>rokasgrāmatas</w:t>
      </w:r>
      <w:r w:rsidR="00EA1BFB" w:rsidRPr="00D33421">
        <w:rPr>
          <w:spacing w:val="-16"/>
          <w:sz w:val="24"/>
          <w:szCs w:val="24"/>
        </w:rPr>
        <w:t xml:space="preserve"> </w:t>
      </w:r>
      <w:r w:rsidR="00EA1BFB" w:rsidRPr="00D33421">
        <w:rPr>
          <w:sz w:val="24"/>
          <w:szCs w:val="24"/>
        </w:rPr>
        <w:t>sadaļa</w:t>
      </w:r>
      <w:r w:rsidR="00EA1BFB" w:rsidRPr="00D33421">
        <w:rPr>
          <w:spacing w:val="-13"/>
          <w:sz w:val="24"/>
          <w:szCs w:val="24"/>
        </w:rPr>
        <w:t xml:space="preserve"> </w:t>
      </w:r>
      <w:r w:rsidR="00EA1BFB" w:rsidRPr="00D33421">
        <w:rPr>
          <w:color w:val="0462C1"/>
          <w:sz w:val="24"/>
          <w:szCs w:val="24"/>
          <w:u w:val="single" w:color="0462C1"/>
        </w:rPr>
        <w:t>“</w:t>
      </w:r>
      <w:hyperlink w:anchor="_bookmark374" w:history="1">
        <w:r w:rsidR="00EA1BFB" w:rsidRPr="00D33421">
          <w:rPr>
            <w:color w:val="0462C1"/>
            <w:sz w:val="24"/>
            <w:szCs w:val="24"/>
            <w:u w:val="single" w:color="0462C1"/>
          </w:rPr>
          <w:t>Ieņēmumi</w:t>
        </w:r>
        <w:r w:rsidR="00EA1BFB" w:rsidRPr="00D33421">
          <w:rPr>
            <w:color w:val="0462C1"/>
            <w:spacing w:val="-13"/>
            <w:sz w:val="24"/>
            <w:szCs w:val="24"/>
            <w:u w:val="single" w:color="0462C1"/>
          </w:rPr>
          <w:t xml:space="preserve"> </w:t>
        </w:r>
        <w:r w:rsidR="00EA1BFB" w:rsidRPr="00D33421">
          <w:rPr>
            <w:color w:val="0462C1"/>
            <w:sz w:val="24"/>
            <w:szCs w:val="24"/>
            <w:u w:val="single" w:color="0462C1"/>
          </w:rPr>
          <w:t>no</w:t>
        </w:r>
        <w:r w:rsidR="00EA1BFB" w:rsidRPr="00D33421">
          <w:rPr>
            <w:color w:val="0462C1"/>
            <w:spacing w:val="-14"/>
            <w:sz w:val="24"/>
            <w:szCs w:val="24"/>
            <w:u w:val="single" w:color="0462C1"/>
          </w:rPr>
          <w:t xml:space="preserve"> </w:t>
        </w:r>
        <w:r w:rsidR="00EA1BFB" w:rsidRPr="00D33421">
          <w:rPr>
            <w:color w:val="0462C1"/>
            <w:sz w:val="24"/>
            <w:szCs w:val="24"/>
            <w:u w:val="single" w:color="0462C1"/>
          </w:rPr>
          <w:t>darījumiem</w:t>
        </w:r>
        <w:r w:rsidR="00EA1BFB" w:rsidRPr="00D33421">
          <w:rPr>
            <w:color w:val="0462C1"/>
            <w:spacing w:val="-17"/>
            <w:sz w:val="24"/>
            <w:szCs w:val="24"/>
            <w:u w:val="single" w:color="0462C1"/>
          </w:rPr>
          <w:t xml:space="preserve"> </w:t>
        </w:r>
        <w:r w:rsidR="00EA1BFB" w:rsidRPr="00D33421">
          <w:rPr>
            <w:color w:val="0462C1"/>
            <w:sz w:val="24"/>
            <w:szCs w:val="24"/>
            <w:u w:val="single" w:color="0462C1"/>
          </w:rPr>
          <w:t>bez</w:t>
        </w:r>
        <w:r w:rsidR="00EA1BFB" w:rsidRPr="00D33421">
          <w:rPr>
            <w:color w:val="0462C1"/>
            <w:spacing w:val="-16"/>
            <w:sz w:val="24"/>
            <w:szCs w:val="24"/>
            <w:u w:val="single" w:color="0462C1"/>
          </w:rPr>
          <w:t xml:space="preserve"> </w:t>
        </w:r>
        <w:r w:rsidR="00EA1BFB" w:rsidRPr="00D33421">
          <w:rPr>
            <w:color w:val="0462C1"/>
            <w:sz w:val="24"/>
            <w:szCs w:val="24"/>
            <w:u w:val="single" w:color="0462C1"/>
          </w:rPr>
          <w:t>atlīdzības</w:t>
        </w:r>
      </w:hyperlink>
      <w:r w:rsidR="00EA1BFB" w:rsidRPr="00D33421">
        <w:rPr>
          <w:color w:val="0462C1"/>
          <w:sz w:val="24"/>
          <w:szCs w:val="24"/>
        </w:rPr>
        <w:t xml:space="preserve"> </w:t>
      </w:r>
      <w:hyperlink w:anchor="_bookmark374" w:history="1">
        <w:r w:rsidR="00EA1BFB" w:rsidRPr="00D33421">
          <w:rPr>
            <w:color w:val="0462C1"/>
            <w:sz w:val="24"/>
            <w:szCs w:val="24"/>
            <w:u w:val="single" w:color="0462C1"/>
          </w:rPr>
          <w:t>(nodokļi un pārvedumi)</w:t>
        </w:r>
      </w:hyperlink>
      <w:r w:rsidR="00EA1BFB" w:rsidRPr="00D33421">
        <w:rPr>
          <w:color w:val="0462C1"/>
          <w:sz w:val="24"/>
          <w:szCs w:val="24"/>
          <w:u w:val="single" w:color="0462C1"/>
        </w:rPr>
        <w:t>”</w:t>
      </w:r>
      <w:r w:rsidR="00EA1BFB" w:rsidRPr="00D33421">
        <w:rPr>
          <w:color w:val="0462C1"/>
          <w:sz w:val="24"/>
          <w:szCs w:val="24"/>
        </w:rPr>
        <w:t xml:space="preserve"> </w:t>
      </w:r>
      <w:r w:rsidR="00EA1BFB" w:rsidRPr="00D33421">
        <w:rPr>
          <w:sz w:val="24"/>
          <w:szCs w:val="24"/>
        </w:rPr>
        <w:t>nosaka, ka budžeta iestādei jāatzīst aktīvs saistībā ar resursu saņemšanu no darījumiem bez atlīdzības (izņemot pakalpojumus natūrā),</w:t>
      </w:r>
      <w:r w:rsidR="00EA1BFB" w:rsidRPr="00D33421">
        <w:rPr>
          <w:spacing w:val="-11"/>
          <w:sz w:val="24"/>
          <w:szCs w:val="24"/>
        </w:rPr>
        <w:t xml:space="preserve"> </w:t>
      </w:r>
      <w:r w:rsidR="00EA1BFB" w:rsidRPr="00D33421">
        <w:rPr>
          <w:sz w:val="24"/>
          <w:szCs w:val="24"/>
        </w:rPr>
        <w:t>ja:</w:t>
      </w:r>
    </w:p>
    <w:p w14:paraId="7C5F3110" w14:textId="77777777" w:rsidR="00EA1BFB" w:rsidRPr="00D33421" w:rsidRDefault="00EA1BFB"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budžeta iestāde ieguvusi kontroli pār šiem resursiem pagātnes notikuma rezultātā un prognozē, ka šie resursi nodrošinās tai nākotnes saimnieciskos</w:t>
      </w:r>
      <w:r w:rsidRPr="00D33421">
        <w:rPr>
          <w:rFonts w:ascii="Times New Roman" w:hAnsi="Times New Roman" w:cs="Times New Roman"/>
          <w:spacing w:val="-11"/>
          <w:sz w:val="24"/>
          <w:szCs w:val="24"/>
        </w:rPr>
        <w:t xml:space="preserve"> </w:t>
      </w:r>
      <w:r w:rsidRPr="00D33421">
        <w:rPr>
          <w:rFonts w:ascii="Times New Roman" w:hAnsi="Times New Roman" w:cs="Times New Roman"/>
          <w:sz w:val="24"/>
          <w:szCs w:val="24"/>
        </w:rPr>
        <w:t>labumus;</w:t>
      </w:r>
    </w:p>
    <w:p w14:paraId="6AEA2EBE" w14:textId="77777777" w:rsidR="00EA1BFB" w:rsidRPr="00D33421" w:rsidRDefault="00EA1BFB"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pastāv liela varbūtība, ka notiks resursu saņemšana, un ir ticami novērtējama aktīva patiesā vērtība.</w:t>
      </w:r>
    </w:p>
    <w:p w14:paraId="351019A6" w14:textId="77777777" w:rsidR="00EA1BFB" w:rsidRPr="00D33421" w:rsidRDefault="004E6865" w:rsidP="00CD363C">
      <w:pPr>
        <w:pStyle w:val="Pamatteksts"/>
        <w:ind w:right="113"/>
        <w:jc w:val="both"/>
        <w:rPr>
          <w:sz w:val="24"/>
          <w:szCs w:val="24"/>
        </w:rPr>
      </w:pPr>
      <w:r w:rsidRPr="00D33421">
        <w:rPr>
          <w:noProof/>
          <w:sz w:val="24"/>
          <w:szCs w:val="24"/>
        </w:rPr>
        <w:t xml:space="preserve">933.   </w:t>
      </w:r>
      <w:r w:rsidR="00EA1BFB" w:rsidRPr="00D33421">
        <w:rPr>
          <w:sz w:val="24"/>
          <w:szCs w:val="24"/>
        </w:rPr>
        <w:t>Budžeta</w:t>
      </w:r>
      <w:r w:rsidR="00EA1BFB" w:rsidRPr="00D33421">
        <w:rPr>
          <w:spacing w:val="-6"/>
          <w:sz w:val="24"/>
          <w:szCs w:val="24"/>
        </w:rPr>
        <w:t xml:space="preserve"> </w:t>
      </w:r>
      <w:r w:rsidR="00EA1BFB" w:rsidRPr="00D33421">
        <w:rPr>
          <w:sz w:val="24"/>
          <w:szCs w:val="24"/>
        </w:rPr>
        <w:t>iestāde</w:t>
      </w:r>
      <w:r w:rsidR="00EA1BFB" w:rsidRPr="00D33421">
        <w:rPr>
          <w:spacing w:val="-7"/>
          <w:sz w:val="24"/>
          <w:szCs w:val="24"/>
        </w:rPr>
        <w:t xml:space="preserve"> </w:t>
      </w:r>
      <w:r w:rsidR="00EA1BFB" w:rsidRPr="00D33421">
        <w:rPr>
          <w:sz w:val="24"/>
          <w:szCs w:val="24"/>
        </w:rPr>
        <w:t>novērtē</w:t>
      </w:r>
      <w:r w:rsidR="00EA1BFB" w:rsidRPr="00D33421">
        <w:rPr>
          <w:spacing w:val="-7"/>
          <w:sz w:val="24"/>
          <w:szCs w:val="24"/>
        </w:rPr>
        <w:t xml:space="preserve"> </w:t>
      </w:r>
      <w:r w:rsidR="00EA1BFB" w:rsidRPr="00D33421">
        <w:rPr>
          <w:sz w:val="24"/>
          <w:szCs w:val="24"/>
        </w:rPr>
        <w:t>resursu</w:t>
      </w:r>
      <w:r w:rsidR="00EA1BFB" w:rsidRPr="00D33421">
        <w:rPr>
          <w:spacing w:val="-6"/>
          <w:sz w:val="24"/>
          <w:szCs w:val="24"/>
        </w:rPr>
        <w:t xml:space="preserve"> </w:t>
      </w:r>
      <w:r w:rsidR="00EA1BFB" w:rsidRPr="00D33421">
        <w:rPr>
          <w:sz w:val="24"/>
          <w:szCs w:val="24"/>
        </w:rPr>
        <w:t>saņemšanas</w:t>
      </w:r>
      <w:r w:rsidR="00EA1BFB" w:rsidRPr="00D33421">
        <w:rPr>
          <w:spacing w:val="-6"/>
          <w:sz w:val="24"/>
          <w:szCs w:val="24"/>
        </w:rPr>
        <w:t xml:space="preserve"> </w:t>
      </w:r>
      <w:r w:rsidR="00EA1BFB" w:rsidRPr="00D33421">
        <w:rPr>
          <w:sz w:val="24"/>
          <w:szCs w:val="24"/>
        </w:rPr>
        <w:t>ticamību</w:t>
      </w:r>
      <w:r w:rsidR="00EA1BFB" w:rsidRPr="00D33421">
        <w:rPr>
          <w:spacing w:val="-6"/>
          <w:sz w:val="24"/>
          <w:szCs w:val="24"/>
        </w:rPr>
        <w:t xml:space="preserve"> </w:t>
      </w:r>
      <w:r w:rsidR="00EA1BFB" w:rsidRPr="00D33421">
        <w:rPr>
          <w:sz w:val="24"/>
          <w:szCs w:val="24"/>
        </w:rPr>
        <w:t>saskaņā</w:t>
      </w:r>
      <w:r w:rsidR="00EA1BFB" w:rsidRPr="00D33421">
        <w:rPr>
          <w:spacing w:val="-6"/>
          <w:sz w:val="24"/>
          <w:szCs w:val="24"/>
        </w:rPr>
        <w:t xml:space="preserve"> </w:t>
      </w:r>
      <w:r w:rsidR="00EA1BFB" w:rsidRPr="00D33421">
        <w:rPr>
          <w:sz w:val="24"/>
          <w:szCs w:val="24"/>
        </w:rPr>
        <w:t>ar</w:t>
      </w:r>
      <w:r w:rsidR="00EA1BFB" w:rsidRPr="00D33421">
        <w:rPr>
          <w:spacing w:val="-5"/>
          <w:sz w:val="24"/>
          <w:szCs w:val="24"/>
        </w:rPr>
        <w:t xml:space="preserve"> </w:t>
      </w:r>
      <w:r w:rsidR="00EA1BFB" w:rsidRPr="00D33421">
        <w:rPr>
          <w:sz w:val="24"/>
          <w:szCs w:val="24"/>
        </w:rPr>
        <w:t>kopējiem</w:t>
      </w:r>
      <w:r w:rsidR="00EA1BFB" w:rsidRPr="00D33421">
        <w:rPr>
          <w:spacing w:val="-8"/>
          <w:sz w:val="24"/>
          <w:szCs w:val="24"/>
        </w:rPr>
        <w:t xml:space="preserve"> </w:t>
      </w:r>
      <w:r w:rsidR="00EA1BFB" w:rsidRPr="00D33421">
        <w:rPr>
          <w:sz w:val="24"/>
          <w:szCs w:val="24"/>
        </w:rPr>
        <w:t>darījumu</w:t>
      </w:r>
      <w:r w:rsidR="00EA1BFB" w:rsidRPr="00D33421">
        <w:rPr>
          <w:spacing w:val="-7"/>
          <w:sz w:val="24"/>
          <w:szCs w:val="24"/>
        </w:rPr>
        <w:t xml:space="preserve"> </w:t>
      </w:r>
      <w:r w:rsidR="00EA1BFB" w:rsidRPr="00D33421">
        <w:rPr>
          <w:sz w:val="24"/>
          <w:szCs w:val="24"/>
        </w:rPr>
        <w:t>bez</w:t>
      </w:r>
      <w:r w:rsidR="00EA1BFB" w:rsidRPr="00D33421">
        <w:rPr>
          <w:spacing w:val="-7"/>
          <w:sz w:val="24"/>
          <w:szCs w:val="24"/>
        </w:rPr>
        <w:t xml:space="preserve"> </w:t>
      </w:r>
      <w:r w:rsidR="00EA1BFB" w:rsidRPr="00D33421">
        <w:rPr>
          <w:sz w:val="24"/>
          <w:szCs w:val="24"/>
        </w:rPr>
        <w:t>atlīdzības uzskaites</w:t>
      </w:r>
      <w:r w:rsidR="00EA1BFB" w:rsidRPr="00D33421">
        <w:rPr>
          <w:spacing w:val="-1"/>
          <w:sz w:val="24"/>
          <w:szCs w:val="24"/>
        </w:rPr>
        <w:t xml:space="preserve"> </w:t>
      </w:r>
      <w:r w:rsidR="00EA1BFB" w:rsidRPr="00D33421">
        <w:rPr>
          <w:sz w:val="24"/>
          <w:szCs w:val="24"/>
        </w:rPr>
        <w:t>pamatprincipiem.</w:t>
      </w:r>
    </w:p>
    <w:p w14:paraId="45B4BB10" w14:textId="77777777" w:rsidR="00EA1BFB" w:rsidRPr="00D33421" w:rsidRDefault="004E6865" w:rsidP="00CD363C">
      <w:pPr>
        <w:pStyle w:val="Pamatteksts"/>
        <w:ind w:right="113"/>
        <w:jc w:val="both"/>
        <w:rPr>
          <w:sz w:val="24"/>
          <w:szCs w:val="24"/>
        </w:rPr>
      </w:pPr>
      <w:r w:rsidRPr="00D33421">
        <w:rPr>
          <w:noProof/>
          <w:sz w:val="24"/>
          <w:szCs w:val="24"/>
        </w:rPr>
        <w:t xml:space="preserve">934.   </w:t>
      </w:r>
      <w:r w:rsidR="00EA1BFB" w:rsidRPr="00D33421">
        <w:rPr>
          <w:sz w:val="24"/>
          <w:szCs w:val="24"/>
        </w:rPr>
        <w:t>Saņemot pārvedumu, budžeta iestāde izanalizē visus pārvedumu tiesību aktos ietvertos noteikumus, lai noteiktu, vai, saņemot nodotos resursus, tai rodas saistības vai nē.</w:t>
      </w:r>
    </w:p>
    <w:p w14:paraId="417932C6" w14:textId="77777777" w:rsidR="00EA1BFB" w:rsidRPr="00D33421" w:rsidRDefault="004E6865" w:rsidP="00CD363C">
      <w:pPr>
        <w:pStyle w:val="Pamatteksts"/>
        <w:ind w:right="113"/>
        <w:jc w:val="both"/>
        <w:rPr>
          <w:sz w:val="24"/>
          <w:szCs w:val="24"/>
        </w:rPr>
      </w:pPr>
      <w:r w:rsidRPr="00D33421">
        <w:rPr>
          <w:noProof/>
          <w:sz w:val="24"/>
          <w:szCs w:val="24"/>
        </w:rPr>
        <w:t xml:space="preserve">935.    </w:t>
      </w:r>
      <w:r w:rsidR="00EA1BFB" w:rsidRPr="00D33421">
        <w:rPr>
          <w:sz w:val="24"/>
          <w:szCs w:val="24"/>
        </w:rPr>
        <w:t xml:space="preserve">Budžeta iestāde, sākotnēji uzskaitot pārvedumu, identificē, vai pastāv jebkādi noteikumi, saskaņā ar kuriem pārvedumi tiek veikti. Pārvedumu uzskaiti nosaka, vai pārvedums ir piešķirts </w:t>
      </w:r>
      <w:r w:rsidR="00EA1BFB" w:rsidRPr="00D33421">
        <w:rPr>
          <w:b/>
          <w:sz w:val="24"/>
          <w:szCs w:val="24"/>
        </w:rPr>
        <w:t xml:space="preserve">ar noteikumu </w:t>
      </w:r>
      <w:r w:rsidR="00EA1BFB" w:rsidRPr="00D33421">
        <w:rPr>
          <w:sz w:val="24"/>
          <w:szCs w:val="24"/>
        </w:rPr>
        <w:t xml:space="preserve">vai tas ir </w:t>
      </w:r>
      <w:r w:rsidR="00EA1BFB" w:rsidRPr="00D33421">
        <w:rPr>
          <w:b/>
          <w:sz w:val="24"/>
          <w:szCs w:val="24"/>
        </w:rPr>
        <w:t xml:space="preserve">bez noteikuma </w:t>
      </w:r>
      <w:r w:rsidR="00EA1BFB" w:rsidRPr="00D33421">
        <w:rPr>
          <w:sz w:val="24"/>
          <w:szCs w:val="24"/>
        </w:rPr>
        <w:t>pārvedums.</w:t>
      </w:r>
    </w:p>
    <w:p w14:paraId="619DA73A" w14:textId="77777777" w:rsidR="00EA1BFB" w:rsidRPr="00D33421" w:rsidRDefault="004E6865" w:rsidP="00CD363C">
      <w:pPr>
        <w:pStyle w:val="Pamatteksts"/>
        <w:ind w:right="113"/>
        <w:jc w:val="both"/>
        <w:rPr>
          <w:sz w:val="24"/>
          <w:szCs w:val="24"/>
        </w:rPr>
      </w:pPr>
      <w:r w:rsidRPr="00D33421">
        <w:rPr>
          <w:noProof/>
          <w:sz w:val="24"/>
          <w:szCs w:val="24"/>
        </w:rPr>
        <w:t xml:space="preserve">936.    </w:t>
      </w:r>
      <w:r w:rsidR="00EA1BFB" w:rsidRPr="00D33421">
        <w:rPr>
          <w:sz w:val="24"/>
          <w:szCs w:val="24"/>
        </w:rPr>
        <w:t>Būtiskākās noteikuma pazīmes:</w:t>
      </w:r>
    </w:p>
    <w:p w14:paraId="782538FA" w14:textId="77777777" w:rsidR="004E6865" w:rsidRPr="00D33421" w:rsidRDefault="004E6865"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noteikums lietot vai patērēt pārveduma nākotnes saimnieciskos labumus noteiktā veidā, tas ir, paredzētas izpildes</w:t>
      </w:r>
      <w:r w:rsidRPr="00D33421">
        <w:rPr>
          <w:rFonts w:ascii="Times New Roman" w:hAnsi="Times New Roman" w:cs="Times New Roman"/>
          <w:spacing w:val="-5"/>
          <w:sz w:val="24"/>
          <w:szCs w:val="24"/>
        </w:rPr>
        <w:t xml:space="preserve"> </w:t>
      </w:r>
      <w:r w:rsidRPr="00D33421">
        <w:rPr>
          <w:rFonts w:ascii="Times New Roman" w:hAnsi="Times New Roman" w:cs="Times New Roman"/>
          <w:sz w:val="24"/>
          <w:szCs w:val="24"/>
        </w:rPr>
        <w:t>saistības;</w:t>
      </w:r>
    </w:p>
    <w:p w14:paraId="4707D804" w14:textId="77777777" w:rsidR="004E6865" w:rsidRPr="00D33421" w:rsidRDefault="004E6865"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noteikums</w:t>
      </w:r>
      <w:r w:rsidRPr="00D33421">
        <w:rPr>
          <w:rFonts w:ascii="Times New Roman" w:hAnsi="Times New Roman" w:cs="Times New Roman"/>
          <w:spacing w:val="-15"/>
          <w:sz w:val="24"/>
          <w:szCs w:val="24"/>
        </w:rPr>
        <w:t xml:space="preserve"> </w:t>
      </w:r>
      <w:r w:rsidRPr="00D33421">
        <w:rPr>
          <w:rFonts w:ascii="Times New Roman" w:hAnsi="Times New Roman" w:cs="Times New Roman"/>
          <w:sz w:val="24"/>
          <w:szCs w:val="24"/>
        </w:rPr>
        <w:t>pamatots</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tikai</w:t>
      </w:r>
      <w:r w:rsidRPr="00D33421">
        <w:rPr>
          <w:rFonts w:ascii="Times New Roman" w:hAnsi="Times New Roman" w:cs="Times New Roman"/>
          <w:spacing w:val="-13"/>
          <w:sz w:val="24"/>
          <w:szCs w:val="24"/>
        </w:rPr>
        <w:t xml:space="preserve"> </w:t>
      </w:r>
      <w:r w:rsidRPr="00D33421">
        <w:rPr>
          <w:rFonts w:ascii="Times New Roman" w:hAnsi="Times New Roman" w:cs="Times New Roman"/>
          <w:sz w:val="24"/>
          <w:szCs w:val="24"/>
        </w:rPr>
        <w:t>ar</w:t>
      </w:r>
      <w:r w:rsidRPr="00D33421">
        <w:rPr>
          <w:rFonts w:ascii="Times New Roman" w:hAnsi="Times New Roman" w:cs="Times New Roman"/>
          <w:spacing w:val="-16"/>
          <w:sz w:val="24"/>
          <w:szCs w:val="24"/>
        </w:rPr>
        <w:t xml:space="preserve"> </w:t>
      </w:r>
      <w:r w:rsidRPr="00D33421">
        <w:rPr>
          <w:rFonts w:ascii="Times New Roman" w:hAnsi="Times New Roman" w:cs="Times New Roman"/>
          <w:sz w:val="24"/>
          <w:szCs w:val="24"/>
        </w:rPr>
        <w:t>ārēju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tiesību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aktu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vai</w:t>
      </w:r>
      <w:r w:rsidRPr="00D33421">
        <w:rPr>
          <w:rFonts w:ascii="Times New Roman" w:hAnsi="Times New Roman" w:cs="Times New Roman"/>
          <w:spacing w:val="-16"/>
          <w:sz w:val="24"/>
          <w:szCs w:val="24"/>
        </w:rPr>
        <w:t xml:space="preserve"> </w:t>
      </w:r>
      <w:r w:rsidRPr="00D33421">
        <w:rPr>
          <w:rFonts w:ascii="Times New Roman" w:hAnsi="Times New Roman" w:cs="Times New Roman"/>
          <w:sz w:val="24"/>
          <w:szCs w:val="24"/>
        </w:rPr>
        <w:t>līgumisku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saistību</w:t>
      </w:r>
      <w:r w:rsidRPr="00D33421">
        <w:rPr>
          <w:rFonts w:ascii="Times New Roman" w:hAnsi="Times New Roman" w:cs="Times New Roman"/>
          <w:spacing w:val="-10"/>
          <w:sz w:val="24"/>
          <w:szCs w:val="24"/>
        </w:rPr>
        <w:t xml:space="preserve"> </w:t>
      </w:r>
      <w:r w:rsidRPr="00D33421">
        <w:rPr>
          <w:rFonts w:ascii="Times New Roman" w:hAnsi="Times New Roman" w:cs="Times New Roman"/>
          <w:sz w:val="24"/>
          <w:szCs w:val="24"/>
        </w:rPr>
        <w:t>–</w:t>
      </w:r>
      <w:r w:rsidRPr="00D33421">
        <w:rPr>
          <w:rFonts w:ascii="Times New Roman" w:hAnsi="Times New Roman" w:cs="Times New Roman"/>
          <w:spacing w:val="-17"/>
          <w:sz w:val="24"/>
          <w:szCs w:val="24"/>
        </w:rPr>
        <w:t xml:space="preserve"> </w:t>
      </w:r>
      <w:r w:rsidRPr="00D33421">
        <w:rPr>
          <w:rFonts w:ascii="Times New Roman" w:hAnsi="Times New Roman" w:cs="Times New Roman"/>
          <w:sz w:val="24"/>
          <w:szCs w:val="24"/>
        </w:rPr>
        <w:t>pārveduma</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saņēmējs</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nevar noteikt pārveduma noteikumu sev ne tiešā veidā, ne ar to kontrolējošu iestāžu</w:t>
      </w:r>
      <w:r w:rsidRPr="00D33421">
        <w:rPr>
          <w:rFonts w:ascii="Times New Roman" w:hAnsi="Times New Roman" w:cs="Times New Roman"/>
          <w:spacing w:val="-17"/>
          <w:sz w:val="24"/>
          <w:szCs w:val="24"/>
        </w:rPr>
        <w:t xml:space="preserve"> </w:t>
      </w:r>
      <w:r w:rsidRPr="00D33421">
        <w:rPr>
          <w:rFonts w:ascii="Times New Roman" w:hAnsi="Times New Roman" w:cs="Times New Roman"/>
          <w:sz w:val="24"/>
          <w:szCs w:val="24"/>
        </w:rPr>
        <w:t>starpniecību;</w:t>
      </w:r>
    </w:p>
    <w:p w14:paraId="12F6DB69" w14:textId="77777777" w:rsidR="004E6865" w:rsidRPr="00D33421" w:rsidRDefault="004E6865"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noteikums var būt īstenojams juridiskā vai administratīvā</w:t>
      </w:r>
      <w:r w:rsidRPr="00D33421">
        <w:rPr>
          <w:rFonts w:ascii="Times New Roman" w:hAnsi="Times New Roman" w:cs="Times New Roman"/>
          <w:spacing w:val="-1"/>
          <w:sz w:val="24"/>
          <w:szCs w:val="24"/>
        </w:rPr>
        <w:t xml:space="preserve"> </w:t>
      </w:r>
      <w:r w:rsidRPr="00D33421">
        <w:rPr>
          <w:rFonts w:ascii="Times New Roman" w:hAnsi="Times New Roman" w:cs="Times New Roman"/>
          <w:sz w:val="24"/>
          <w:szCs w:val="24"/>
        </w:rPr>
        <w:t>procesā.</w:t>
      </w:r>
    </w:p>
    <w:p w14:paraId="234C0956" w14:textId="77777777" w:rsidR="006162DC" w:rsidRPr="00D33421" w:rsidRDefault="004E6865" w:rsidP="00CD363C">
      <w:pPr>
        <w:spacing w:after="0" w:line="240" w:lineRule="auto"/>
        <w:ind w:right="113"/>
        <w:jc w:val="both"/>
        <w:rPr>
          <w:rFonts w:ascii="Times New Roman" w:hAnsi="Times New Roman" w:cs="Times New Roman"/>
          <w:color w:val="FF0000"/>
          <w:sz w:val="24"/>
          <w:szCs w:val="24"/>
        </w:rPr>
      </w:pPr>
      <w:r w:rsidRPr="00D33421">
        <w:rPr>
          <w:rFonts w:ascii="Times New Roman" w:hAnsi="Times New Roman" w:cs="Times New Roman"/>
          <w:sz w:val="24"/>
          <w:szCs w:val="24"/>
        </w:rPr>
        <w:t xml:space="preserve">937.    Normatīvajos aktos definēti </w:t>
      </w:r>
      <w:r w:rsidRPr="00D33421">
        <w:rPr>
          <w:rFonts w:ascii="Times New Roman" w:hAnsi="Times New Roman" w:cs="Times New Roman"/>
          <w:b/>
          <w:sz w:val="24"/>
          <w:szCs w:val="24"/>
        </w:rPr>
        <w:t xml:space="preserve">divi noteikumu </w:t>
      </w:r>
      <w:r w:rsidRPr="00D33421">
        <w:rPr>
          <w:rFonts w:ascii="Times New Roman" w:hAnsi="Times New Roman" w:cs="Times New Roman"/>
          <w:sz w:val="24"/>
          <w:szCs w:val="24"/>
        </w:rPr>
        <w:t>veidi, kas attiecināmi uz pārvedumiem:</w:t>
      </w:r>
    </w:p>
    <w:p w14:paraId="370EF8F1" w14:textId="77777777" w:rsidR="004E6865" w:rsidRPr="00D33421" w:rsidRDefault="004E6865"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nosacījumi un</w:t>
      </w:r>
    </w:p>
    <w:p w14:paraId="54710114" w14:textId="77777777" w:rsidR="00CF366A" w:rsidRPr="00D33421" w:rsidRDefault="004E6865"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ierobežojumi.</w:t>
      </w:r>
    </w:p>
    <w:p w14:paraId="0E4339B4" w14:textId="77777777" w:rsidR="00CF366A" w:rsidRPr="00D33421" w:rsidRDefault="00CF366A" w:rsidP="00CD363C">
      <w:pPr>
        <w:widowControl w:val="0"/>
        <w:tabs>
          <w:tab w:val="left" w:pos="1352"/>
        </w:tabs>
        <w:autoSpaceDE w:val="0"/>
        <w:autoSpaceDN w:val="0"/>
        <w:spacing w:after="0" w:line="240" w:lineRule="auto"/>
        <w:ind w:right="113"/>
        <w:jc w:val="both"/>
        <w:rPr>
          <w:rFonts w:ascii="Times New Roman" w:hAnsi="Times New Roman" w:cs="Times New Roman"/>
          <w:sz w:val="24"/>
          <w:szCs w:val="24"/>
        </w:rPr>
      </w:pPr>
      <w:r w:rsidRPr="00D33421">
        <w:rPr>
          <w:rFonts w:ascii="Times New Roman" w:hAnsi="Times New Roman" w:cs="Times New Roman"/>
          <w:sz w:val="24"/>
          <w:szCs w:val="24"/>
        </w:rPr>
        <w:t>938.    Pārveduma aktīvu un ieņēmumus uzskaita, ņemot vērā, vai un kādi noteikumi ir attiecināmi uz konkrēto pārvedumu. Būtiskā atšķirība šajā gadījumā ir “atmaksas nosacījums” – vai pārveduma sniedzējam pastāv tiesības pieprasīt atmaksu vai pārveduma atdošanu gadījumos, kad tas nav izmantots atbilstoši noteikumiem (skat. 3. tabula).</w:t>
      </w:r>
    </w:p>
    <w:p w14:paraId="44097546" w14:textId="77777777" w:rsidR="006162DC" w:rsidRPr="00D33421" w:rsidRDefault="006162DC" w:rsidP="00CD363C">
      <w:pPr>
        <w:spacing w:after="0" w:line="240" w:lineRule="auto"/>
        <w:ind w:right="113"/>
        <w:jc w:val="both"/>
        <w:rPr>
          <w:rFonts w:ascii="Times New Roman" w:hAnsi="Times New Roman" w:cs="Times New Roman"/>
          <w:color w:val="FF0000"/>
          <w:sz w:val="24"/>
          <w:szCs w:val="24"/>
        </w:rPr>
      </w:pPr>
    </w:p>
    <w:p w14:paraId="39E4D1D3" w14:textId="77777777" w:rsidR="006162DC" w:rsidRPr="00D33421" w:rsidRDefault="006162DC" w:rsidP="00CD363C">
      <w:pPr>
        <w:spacing w:after="0" w:line="240" w:lineRule="auto"/>
        <w:ind w:right="113"/>
        <w:jc w:val="both"/>
        <w:rPr>
          <w:rFonts w:ascii="Times New Roman" w:hAnsi="Times New Roman" w:cs="Times New Roman"/>
          <w:color w:val="FF0000"/>
          <w:sz w:val="24"/>
          <w:szCs w:val="24"/>
        </w:rPr>
      </w:pPr>
    </w:p>
    <w:p w14:paraId="1A526BDD"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6700B973" w14:textId="77777777" w:rsidR="00D33421" w:rsidRPr="00D33421" w:rsidRDefault="00D33421" w:rsidP="00CD363C">
      <w:pPr>
        <w:widowControl w:val="0"/>
        <w:tabs>
          <w:tab w:val="left" w:pos="6537"/>
        </w:tabs>
        <w:autoSpaceDE w:val="0"/>
        <w:autoSpaceDN w:val="0"/>
        <w:spacing w:after="0" w:line="240" w:lineRule="auto"/>
        <w:ind w:left="4394" w:right="113"/>
        <w:jc w:val="both"/>
        <w:rPr>
          <w:i/>
          <w:sz w:val="18"/>
        </w:rPr>
      </w:pPr>
      <w:r>
        <w:rPr>
          <w:i/>
          <w:sz w:val="20"/>
        </w:rPr>
        <w:t>3.</w:t>
      </w:r>
      <w:r w:rsidRPr="00D33421">
        <w:rPr>
          <w:i/>
          <w:sz w:val="20"/>
        </w:rPr>
        <w:t>tabula. Būtiskākās pārvedumu</w:t>
      </w:r>
      <w:r w:rsidRPr="00D33421">
        <w:rPr>
          <w:i/>
          <w:spacing w:val="-14"/>
          <w:sz w:val="20"/>
        </w:rPr>
        <w:t xml:space="preserve"> </w:t>
      </w:r>
      <w:r w:rsidRPr="00D33421">
        <w:rPr>
          <w:i/>
          <w:sz w:val="20"/>
        </w:rPr>
        <w:t>atšķirības</w:t>
      </w:r>
    </w:p>
    <w:p w14:paraId="21D76B83" w14:textId="77777777" w:rsidR="00D33421" w:rsidRDefault="00D33421" w:rsidP="00CD363C">
      <w:pPr>
        <w:pStyle w:val="Pamatteksts"/>
        <w:ind w:right="113"/>
        <w:jc w:val="both"/>
        <w:rPr>
          <w:i/>
          <w:sz w:val="17"/>
        </w:rPr>
      </w:pPr>
    </w:p>
    <w:tbl>
      <w:tblPr>
        <w:tblW w:w="0" w:type="auto"/>
        <w:tblInd w:w="33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583"/>
        <w:gridCol w:w="3685"/>
        <w:gridCol w:w="3260"/>
      </w:tblGrid>
      <w:tr w:rsidR="00D33421" w14:paraId="36965EEE" w14:textId="77777777" w:rsidTr="000152EE">
        <w:trPr>
          <w:trHeight w:val="398"/>
        </w:trPr>
        <w:tc>
          <w:tcPr>
            <w:tcW w:w="9528" w:type="dxa"/>
            <w:gridSpan w:val="3"/>
          </w:tcPr>
          <w:p w14:paraId="6044484B" w14:textId="77777777" w:rsidR="00D33421" w:rsidRDefault="00D33421" w:rsidP="00CD363C">
            <w:pPr>
              <w:pStyle w:val="TableParagraph"/>
              <w:ind w:left="107" w:right="113"/>
              <w:jc w:val="both"/>
              <w:rPr>
                <w:sz w:val="20"/>
              </w:rPr>
            </w:pPr>
            <w:r>
              <w:rPr>
                <w:b/>
                <w:sz w:val="20"/>
              </w:rPr>
              <w:t xml:space="preserve">Pārvedumi </w:t>
            </w:r>
            <w:r>
              <w:rPr>
                <w:sz w:val="20"/>
              </w:rPr>
              <w:t>– nākotnes saimniecisko labumu ieplūšana no darījumiem bez atlīdzības, izņemot nodokļus.</w:t>
            </w:r>
          </w:p>
        </w:tc>
      </w:tr>
      <w:tr w:rsidR="00D33421" w14:paraId="2325357C" w14:textId="77777777" w:rsidTr="000152EE">
        <w:trPr>
          <w:trHeight w:val="230"/>
        </w:trPr>
        <w:tc>
          <w:tcPr>
            <w:tcW w:w="2583" w:type="dxa"/>
            <w:vMerge w:val="restart"/>
            <w:shd w:val="clear" w:color="auto" w:fill="F1F1F1"/>
          </w:tcPr>
          <w:p w14:paraId="41C4A9B3" w14:textId="77777777" w:rsidR="00D33421" w:rsidRDefault="00D33421" w:rsidP="00CD363C">
            <w:pPr>
              <w:pStyle w:val="TableParagraph"/>
              <w:ind w:right="113"/>
              <w:jc w:val="both"/>
              <w:rPr>
                <w:i/>
                <w:sz w:val="20"/>
              </w:rPr>
            </w:pPr>
          </w:p>
          <w:p w14:paraId="30AF1EAE" w14:textId="77777777" w:rsidR="00D33421" w:rsidRDefault="00D33421" w:rsidP="00CD363C">
            <w:pPr>
              <w:pStyle w:val="TableParagraph"/>
              <w:ind w:left="139" w:right="113"/>
              <w:jc w:val="both"/>
              <w:rPr>
                <w:b/>
                <w:sz w:val="20"/>
              </w:rPr>
            </w:pPr>
            <w:r>
              <w:rPr>
                <w:b/>
                <w:sz w:val="20"/>
              </w:rPr>
              <w:t>Pārvedumi bez noteikuma</w:t>
            </w:r>
          </w:p>
        </w:tc>
        <w:tc>
          <w:tcPr>
            <w:tcW w:w="6945" w:type="dxa"/>
            <w:gridSpan w:val="2"/>
            <w:shd w:val="clear" w:color="auto" w:fill="F1F1F1"/>
          </w:tcPr>
          <w:p w14:paraId="4938CD35" w14:textId="77777777" w:rsidR="00D33421" w:rsidRDefault="00D33421" w:rsidP="00CD363C">
            <w:pPr>
              <w:pStyle w:val="TableParagraph"/>
              <w:ind w:left="2343" w:right="113"/>
              <w:jc w:val="both"/>
              <w:rPr>
                <w:b/>
                <w:sz w:val="20"/>
              </w:rPr>
            </w:pPr>
            <w:r>
              <w:rPr>
                <w:b/>
                <w:sz w:val="20"/>
              </w:rPr>
              <w:t>Pārvedumi ar noteikumu</w:t>
            </w:r>
          </w:p>
        </w:tc>
      </w:tr>
      <w:tr w:rsidR="00D33421" w14:paraId="12A28157" w14:textId="77777777" w:rsidTr="000152EE">
        <w:trPr>
          <w:trHeight w:val="230"/>
        </w:trPr>
        <w:tc>
          <w:tcPr>
            <w:tcW w:w="2583" w:type="dxa"/>
            <w:vMerge/>
            <w:tcBorders>
              <w:top w:val="nil"/>
            </w:tcBorders>
            <w:shd w:val="clear" w:color="auto" w:fill="F1F1F1"/>
          </w:tcPr>
          <w:p w14:paraId="6581979B" w14:textId="77777777" w:rsidR="00D33421" w:rsidRDefault="00D33421" w:rsidP="00CD363C">
            <w:pPr>
              <w:spacing w:after="0" w:line="240" w:lineRule="auto"/>
              <w:ind w:right="113"/>
              <w:jc w:val="both"/>
              <w:rPr>
                <w:sz w:val="2"/>
                <w:szCs w:val="2"/>
              </w:rPr>
            </w:pPr>
          </w:p>
        </w:tc>
        <w:tc>
          <w:tcPr>
            <w:tcW w:w="3685" w:type="dxa"/>
          </w:tcPr>
          <w:p w14:paraId="37A2130A" w14:textId="77777777" w:rsidR="00D33421" w:rsidRDefault="00D33421" w:rsidP="00CD363C">
            <w:pPr>
              <w:pStyle w:val="TableParagraph"/>
              <w:ind w:left="700" w:right="113"/>
              <w:jc w:val="both"/>
              <w:rPr>
                <w:b/>
                <w:sz w:val="20"/>
              </w:rPr>
            </w:pPr>
            <w:r>
              <w:rPr>
                <w:b/>
                <w:sz w:val="20"/>
              </w:rPr>
              <w:t>Pārvedumi ar nosacījumu</w:t>
            </w:r>
          </w:p>
        </w:tc>
        <w:tc>
          <w:tcPr>
            <w:tcW w:w="3260" w:type="dxa"/>
          </w:tcPr>
          <w:p w14:paraId="5FC13887" w14:textId="77777777" w:rsidR="00D33421" w:rsidRDefault="00D33421" w:rsidP="00CD363C">
            <w:pPr>
              <w:pStyle w:val="TableParagraph"/>
              <w:ind w:left="395" w:right="113"/>
              <w:jc w:val="both"/>
              <w:rPr>
                <w:b/>
                <w:sz w:val="20"/>
              </w:rPr>
            </w:pPr>
            <w:r>
              <w:rPr>
                <w:b/>
                <w:sz w:val="20"/>
              </w:rPr>
              <w:t>Pārvedumi ar ierobežojumu</w:t>
            </w:r>
          </w:p>
        </w:tc>
      </w:tr>
      <w:tr w:rsidR="00D33421" w14:paraId="6A751809" w14:textId="77777777" w:rsidTr="000152EE">
        <w:trPr>
          <w:trHeight w:val="4677"/>
        </w:trPr>
        <w:tc>
          <w:tcPr>
            <w:tcW w:w="2583" w:type="dxa"/>
          </w:tcPr>
          <w:p w14:paraId="7F48A877" w14:textId="77777777" w:rsidR="00D33421" w:rsidRDefault="00D33421" w:rsidP="00CD363C">
            <w:pPr>
              <w:pStyle w:val="TableParagraph"/>
              <w:numPr>
                <w:ilvl w:val="0"/>
                <w:numId w:val="68"/>
              </w:numPr>
              <w:tabs>
                <w:tab w:val="left" w:pos="391"/>
                <w:tab w:val="left" w:pos="1535"/>
              </w:tabs>
              <w:ind w:right="113" w:hanging="283"/>
              <w:jc w:val="both"/>
            </w:pPr>
            <w:r>
              <w:t>nav</w:t>
            </w:r>
            <w:r>
              <w:tab/>
            </w:r>
            <w:r>
              <w:rPr>
                <w:spacing w:val="-1"/>
              </w:rPr>
              <w:t xml:space="preserve">specifiska </w:t>
            </w:r>
            <w:r>
              <w:t>regulējuma attiecībā uz aktīva</w:t>
            </w:r>
            <w:r>
              <w:rPr>
                <w:spacing w:val="-25"/>
              </w:rPr>
              <w:t xml:space="preserve"> </w:t>
            </w:r>
            <w:r>
              <w:t>(pārveduma) izmantošanas</w:t>
            </w:r>
            <w:r>
              <w:rPr>
                <w:spacing w:val="-1"/>
              </w:rPr>
              <w:t xml:space="preserve"> </w:t>
            </w:r>
            <w:r>
              <w:t>veidu;</w:t>
            </w:r>
          </w:p>
          <w:p w14:paraId="2173D079" w14:textId="77777777" w:rsidR="00D33421" w:rsidRDefault="00D33421" w:rsidP="00CD363C">
            <w:pPr>
              <w:pStyle w:val="TableParagraph"/>
              <w:numPr>
                <w:ilvl w:val="0"/>
                <w:numId w:val="68"/>
              </w:numPr>
              <w:tabs>
                <w:tab w:val="left" w:pos="391"/>
                <w:tab w:val="left" w:pos="1864"/>
              </w:tabs>
              <w:ind w:right="113" w:hanging="283"/>
              <w:jc w:val="both"/>
            </w:pPr>
            <w:r>
              <w:t>nav specifisku prasību, ka</w:t>
            </w:r>
            <w:r>
              <w:tab/>
            </w:r>
            <w:r>
              <w:rPr>
                <w:spacing w:val="-1"/>
              </w:rPr>
              <w:t>aktīvu</w:t>
            </w:r>
          </w:p>
          <w:p w14:paraId="73117384" w14:textId="77777777" w:rsidR="00D33421" w:rsidRDefault="00D33421" w:rsidP="00CD363C">
            <w:pPr>
              <w:pStyle w:val="TableParagraph"/>
              <w:tabs>
                <w:tab w:val="left" w:pos="1731"/>
                <w:tab w:val="left" w:pos="2002"/>
              </w:tabs>
              <w:ind w:left="455" w:right="113"/>
              <w:jc w:val="both"/>
            </w:pPr>
            <w:r>
              <w:t>(pārvedumu) saņemošā</w:t>
            </w:r>
            <w:r>
              <w:tab/>
              <w:t>budžeta iestāde rīkosies vai darbosies</w:t>
            </w:r>
            <w:r>
              <w:tab/>
            </w:r>
            <w:r>
              <w:tab/>
            </w:r>
            <w:r>
              <w:rPr>
                <w:spacing w:val="-1"/>
              </w:rPr>
              <w:t xml:space="preserve">kādā </w:t>
            </w:r>
            <w:r>
              <w:t>noteiktā</w:t>
            </w:r>
            <w:r>
              <w:rPr>
                <w:spacing w:val="-1"/>
              </w:rPr>
              <w:t xml:space="preserve"> </w:t>
            </w:r>
            <w:r>
              <w:t>veidā.</w:t>
            </w:r>
          </w:p>
        </w:tc>
        <w:tc>
          <w:tcPr>
            <w:tcW w:w="3685" w:type="dxa"/>
          </w:tcPr>
          <w:p w14:paraId="7F898CAE" w14:textId="77777777" w:rsidR="00D33421" w:rsidRDefault="00D33421" w:rsidP="00CD363C">
            <w:pPr>
              <w:pStyle w:val="TableParagraph"/>
              <w:numPr>
                <w:ilvl w:val="0"/>
                <w:numId w:val="67"/>
              </w:numPr>
              <w:tabs>
                <w:tab w:val="left" w:pos="389"/>
              </w:tabs>
              <w:ind w:right="113" w:hanging="283"/>
              <w:jc w:val="both"/>
            </w:pPr>
            <w:r>
              <w:t>Noteiktas prasības/regulējums attiecībā uz konkrētā pārveduma izlietojuma veidu,</w:t>
            </w:r>
            <w:r>
              <w:rPr>
                <w:spacing w:val="-2"/>
              </w:rPr>
              <w:t xml:space="preserve"> </w:t>
            </w:r>
            <w:r>
              <w:t>mērķiem;</w:t>
            </w:r>
          </w:p>
          <w:p w14:paraId="5AE6E79F" w14:textId="77777777" w:rsidR="00D33421" w:rsidRDefault="00D33421" w:rsidP="00CD363C">
            <w:pPr>
              <w:pStyle w:val="TableParagraph"/>
              <w:numPr>
                <w:ilvl w:val="0"/>
                <w:numId w:val="67"/>
              </w:numPr>
              <w:tabs>
                <w:tab w:val="left" w:pos="389"/>
              </w:tabs>
              <w:ind w:right="113" w:hanging="283"/>
              <w:jc w:val="both"/>
            </w:pPr>
            <w:r>
              <w:t>paredzēts ārējos tiesību aktos, ko nav izdevusi budžeta iestāde</w:t>
            </w:r>
            <w:r>
              <w:rPr>
                <w:spacing w:val="46"/>
              </w:rPr>
              <w:t xml:space="preserve"> </w:t>
            </w:r>
            <w:r>
              <w:t>vai tās kontrolēta budžeta</w:t>
            </w:r>
            <w:r>
              <w:rPr>
                <w:spacing w:val="-3"/>
              </w:rPr>
              <w:t xml:space="preserve"> </w:t>
            </w:r>
            <w:r>
              <w:t>iestāde;</w:t>
            </w:r>
          </w:p>
          <w:p w14:paraId="675094B4" w14:textId="77777777" w:rsidR="00D33421" w:rsidRDefault="00D33421" w:rsidP="00CD363C">
            <w:pPr>
              <w:pStyle w:val="TableParagraph"/>
              <w:numPr>
                <w:ilvl w:val="0"/>
                <w:numId w:val="67"/>
              </w:numPr>
              <w:tabs>
                <w:tab w:val="left" w:pos="389"/>
              </w:tabs>
              <w:ind w:right="113" w:hanging="283"/>
              <w:jc w:val="both"/>
            </w:pPr>
            <w:r>
              <w:t>īstenojams juridiskā vai administratīvā</w:t>
            </w:r>
            <w:r>
              <w:rPr>
                <w:spacing w:val="-1"/>
              </w:rPr>
              <w:t xml:space="preserve"> </w:t>
            </w:r>
            <w:r>
              <w:t>procesā;</w:t>
            </w:r>
          </w:p>
          <w:p w14:paraId="1965A458" w14:textId="77777777" w:rsidR="00D33421" w:rsidRDefault="00D33421" w:rsidP="00CD363C">
            <w:pPr>
              <w:pStyle w:val="TableParagraph"/>
              <w:numPr>
                <w:ilvl w:val="0"/>
                <w:numId w:val="67"/>
              </w:numPr>
              <w:tabs>
                <w:tab w:val="left" w:pos="389"/>
              </w:tabs>
              <w:ind w:right="113" w:hanging="283"/>
              <w:jc w:val="both"/>
            </w:pPr>
            <w:r>
              <w:t xml:space="preserve">nosaka </w:t>
            </w:r>
            <w:r>
              <w:rPr>
                <w:b/>
              </w:rPr>
              <w:t xml:space="preserve">prasību atmaksāt vai atdot </w:t>
            </w:r>
            <w:r>
              <w:t>piešķirto pārvedumu gadījumos, kad tas nav izmantots saskaņā ar</w:t>
            </w:r>
            <w:r>
              <w:rPr>
                <w:spacing w:val="-2"/>
              </w:rPr>
              <w:t xml:space="preserve"> </w:t>
            </w:r>
            <w:r>
              <w:t>noteikumiem</w:t>
            </w:r>
          </w:p>
        </w:tc>
        <w:tc>
          <w:tcPr>
            <w:tcW w:w="3260" w:type="dxa"/>
          </w:tcPr>
          <w:p w14:paraId="6B5E8D79" w14:textId="77777777" w:rsidR="00D33421" w:rsidRDefault="00D33421" w:rsidP="00CD363C">
            <w:pPr>
              <w:pStyle w:val="TableParagraph"/>
              <w:numPr>
                <w:ilvl w:val="0"/>
                <w:numId w:val="66"/>
              </w:numPr>
              <w:tabs>
                <w:tab w:val="left" w:pos="391"/>
              </w:tabs>
              <w:ind w:right="113" w:hanging="284"/>
              <w:jc w:val="both"/>
            </w:pPr>
            <w:r>
              <w:t>Noteikti</w:t>
            </w:r>
          </w:p>
          <w:p w14:paraId="25663C11" w14:textId="77777777" w:rsidR="00D33421" w:rsidRDefault="00D33421" w:rsidP="00CD363C">
            <w:pPr>
              <w:pStyle w:val="TableParagraph"/>
              <w:tabs>
                <w:tab w:val="left" w:pos="1587"/>
                <w:tab w:val="left" w:pos="2117"/>
              </w:tabs>
              <w:ind w:left="518" w:right="113"/>
              <w:jc w:val="both"/>
            </w:pPr>
            <w:r>
              <w:t>ierobežojumi/prasības attiecībā</w:t>
            </w:r>
            <w:r>
              <w:tab/>
              <w:t>uz</w:t>
            </w:r>
            <w:r>
              <w:tab/>
            </w:r>
            <w:r>
              <w:rPr>
                <w:spacing w:val="-1"/>
              </w:rPr>
              <w:t xml:space="preserve">pārveduma </w:t>
            </w:r>
            <w:r>
              <w:t>izlietojuma veidu,</w:t>
            </w:r>
            <w:r>
              <w:rPr>
                <w:spacing w:val="-5"/>
              </w:rPr>
              <w:t xml:space="preserve"> </w:t>
            </w:r>
            <w:r>
              <w:t>mērķiem;</w:t>
            </w:r>
          </w:p>
          <w:p w14:paraId="5E1B1B3C" w14:textId="77777777" w:rsidR="00D33421" w:rsidRDefault="00D33421" w:rsidP="00CD363C">
            <w:pPr>
              <w:pStyle w:val="TableParagraph"/>
              <w:numPr>
                <w:ilvl w:val="0"/>
                <w:numId w:val="66"/>
              </w:numPr>
              <w:tabs>
                <w:tab w:val="left" w:pos="391"/>
              </w:tabs>
              <w:ind w:right="113" w:hanging="284"/>
              <w:jc w:val="both"/>
            </w:pPr>
            <w:r>
              <w:t>paredzēts ārējos tiesību aktos, ko nav izdevusi budžeta iestāde vai tās kontrolēta budžeta</w:t>
            </w:r>
            <w:r>
              <w:rPr>
                <w:spacing w:val="-2"/>
              </w:rPr>
              <w:t xml:space="preserve"> </w:t>
            </w:r>
            <w:r>
              <w:t>iestāde;</w:t>
            </w:r>
          </w:p>
          <w:p w14:paraId="50F0BC70" w14:textId="77777777" w:rsidR="00D33421" w:rsidRDefault="00D33421" w:rsidP="00CD363C">
            <w:pPr>
              <w:pStyle w:val="TableParagraph"/>
              <w:numPr>
                <w:ilvl w:val="0"/>
                <w:numId w:val="66"/>
              </w:numPr>
              <w:tabs>
                <w:tab w:val="left" w:pos="391"/>
              </w:tabs>
              <w:ind w:right="113" w:hanging="284"/>
              <w:jc w:val="both"/>
            </w:pPr>
            <w:r>
              <w:t>īstenojams juridiskā vai administratīvā</w:t>
            </w:r>
            <w:r>
              <w:rPr>
                <w:spacing w:val="-1"/>
              </w:rPr>
              <w:t xml:space="preserve"> </w:t>
            </w:r>
            <w:r>
              <w:t>procesā;</w:t>
            </w:r>
          </w:p>
          <w:p w14:paraId="3E7A0741" w14:textId="77777777" w:rsidR="00D33421" w:rsidRDefault="00D33421" w:rsidP="00CD363C">
            <w:pPr>
              <w:pStyle w:val="TableParagraph"/>
              <w:numPr>
                <w:ilvl w:val="0"/>
                <w:numId w:val="66"/>
              </w:numPr>
              <w:tabs>
                <w:tab w:val="left" w:pos="391"/>
              </w:tabs>
              <w:ind w:right="113" w:hanging="284"/>
              <w:jc w:val="both"/>
            </w:pPr>
            <w:r>
              <w:rPr>
                <w:b/>
              </w:rPr>
              <w:t xml:space="preserve">neparedz prasību atmaksāt vai atdot </w:t>
            </w:r>
            <w:r>
              <w:t>pārvedumu tā sniedzējam gadījumos, kad tas nav izmantots atbilstoši noteikumiem.</w:t>
            </w:r>
          </w:p>
        </w:tc>
      </w:tr>
      <w:tr w:rsidR="00D33421" w14:paraId="7ADE2671" w14:textId="77777777" w:rsidTr="000152EE">
        <w:trPr>
          <w:trHeight w:val="3036"/>
        </w:trPr>
        <w:tc>
          <w:tcPr>
            <w:tcW w:w="2583" w:type="dxa"/>
          </w:tcPr>
          <w:p w14:paraId="2927FFCA" w14:textId="77777777" w:rsidR="00D33421" w:rsidRDefault="00D33421" w:rsidP="00CD363C">
            <w:pPr>
              <w:pStyle w:val="TableParagraph"/>
              <w:tabs>
                <w:tab w:val="left" w:pos="455"/>
                <w:tab w:val="left" w:pos="1282"/>
                <w:tab w:val="left" w:pos="2194"/>
              </w:tabs>
              <w:ind w:left="455" w:right="113" w:hanging="358"/>
              <w:jc w:val="both"/>
            </w:pPr>
            <w:r>
              <w:t>-</w:t>
            </w:r>
            <w:r>
              <w:tab/>
              <w:t>atzīst</w:t>
            </w:r>
            <w:r>
              <w:tab/>
              <w:t>aktīvu</w:t>
            </w:r>
            <w:r>
              <w:tab/>
              <w:t>un ieņēmumus pārveduma saņemšanas</w:t>
            </w:r>
            <w:r>
              <w:rPr>
                <w:spacing w:val="-1"/>
              </w:rPr>
              <w:t xml:space="preserve"> </w:t>
            </w:r>
            <w:r>
              <w:t>dienā</w:t>
            </w:r>
          </w:p>
        </w:tc>
        <w:tc>
          <w:tcPr>
            <w:tcW w:w="3685" w:type="dxa"/>
          </w:tcPr>
          <w:p w14:paraId="7E8CBF25" w14:textId="77777777" w:rsidR="00D33421" w:rsidRDefault="00D33421" w:rsidP="00CD363C">
            <w:pPr>
              <w:pStyle w:val="TableParagraph"/>
              <w:numPr>
                <w:ilvl w:val="0"/>
                <w:numId w:val="65"/>
              </w:numPr>
              <w:tabs>
                <w:tab w:val="left" w:pos="389"/>
              </w:tabs>
              <w:ind w:right="113" w:hanging="358"/>
              <w:jc w:val="both"/>
            </w:pPr>
            <w:r>
              <w:t>atzīst aktīvu un saistības attiecībā uz pārveduma nosacījumu pārveduma saņemšanas</w:t>
            </w:r>
            <w:r>
              <w:rPr>
                <w:spacing w:val="-2"/>
              </w:rPr>
              <w:t xml:space="preserve"> </w:t>
            </w:r>
            <w:r>
              <w:t>dienā;</w:t>
            </w:r>
          </w:p>
          <w:p w14:paraId="788DFBAE" w14:textId="77777777" w:rsidR="00D33421" w:rsidRDefault="00D33421" w:rsidP="00CD363C">
            <w:pPr>
              <w:pStyle w:val="TableParagraph"/>
              <w:numPr>
                <w:ilvl w:val="0"/>
                <w:numId w:val="65"/>
              </w:numPr>
              <w:tabs>
                <w:tab w:val="left" w:pos="389"/>
              </w:tabs>
              <w:ind w:right="113" w:hanging="358"/>
              <w:jc w:val="both"/>
            </w:pPr>
            <w:r>
              <w:t>nodrošina saistību uzskaiti līdz mērķa</w:t>
            </w:r>
            <w:r>
              <w:rPr>
                <w:spacing w:val="-1"/>
              </w:rPr>
              <w:t xml:space="preserve"> </w:t>
            </w:r>
            <w:r>
              <w:t>sasniegšanai;</w:t>
            </w:r>
          </w:p>
          <w:p w14:paraId="79FD2B2F" w14:textId="77777777" w:rsidR="00D33421" w:rsidRDefault="00D33421" w:rsidP="00CD363C">
            <w:pPr>
              <w:pStyle w:val="TableParagraph"/>
              <w:numPr>
                <w:ilvl w:val="0"/>
                <w:numId w:val="65"/>
              </w:numPr>
              <w:tabs>
                <w:tab w:val="left" w:pos="389"/>
              </w:tabs>
              <w:ind w:right="113" w:hanging="358"/>
              <w:jc w:val="both"/>
            </w:pPr>
            <w:r>
              <w:t>ieņēmumus no pārveduma atzīst dienā, kad nosacījumi izpildīti - samazinot saistības un atzīstot ieņēmumus pārskata periodā,</w:t>
            </w:r>
            <w:r>
              <w:rPr>
                <w:spacing w:val="9"/>
              </w:rPr>
              <w:t xml:space="preserve"> </w:t>
            </w:r>
            <w:r>
              <w:t>kurā</w:t>
            </w:r>
          </w:p>
          <w:p w14:paraId="006E965A" w14:textId="77777777" w:rsidR="00D33421" w:rsidRDefault="00D33421" w:rsidP="00CD363C">
            <w:pPr>
              <w:pStyle w:val="TableParagraph"/>
              <w:ind w:left="424" w:right="113"/>
              <w:jc w:val="both"/>
            </w:pPr>
            <w:r>
              <w:t>saistības dzēstas.</w:t>
            </w:r>
          </w:p>
        </w:tc>
        <w:tc>
          <w:tcPr>
            <w:tcW w:w="3260" w:type="dxa"/>
          </w:tcPr>
          <w:p w14:paraId="2D8A99F1" w14:textId="77777777" w:rsidR="00D33421" w:rsidRDefault="00D33421" w:rsidP="00CD363C">
            <w:pPr>
              <w:pStyle w:val="TableParagraph"/>
              <w:numPr>
                <w:ilvl w:val="0"/>
                <w:numId w:val="64"/>
              </w:numPr>
              <w:tabs>
                <w:tab w:val="left" w:pos="391"/>
              </w:tabs>
              <w:ind w:right="113" w:hanging="358"/>
              <w:jc w:val="both"/>
            </w:pPr>
            <w:r>
              <w:t>atzīst aktīvu un ieņēmumus pārveduma saņemšanas dienā;</w:t>
            </w:r>
          </w:p>
          <w:p w14:paraId="39408293" w14:textId="77777777" w:rsidR="00D33421" w:rsidRDefault="00D33421" w:rsidP="00CD363C">
            <w:pPr>
              <w:pStyle w:val="TableParagraph"/>
              <w:numPr>
                <w:ilvl w:val="0"/>
                <w:numId w:val="64"/>
              </w:numPr>
              <w:tabs>
                <w:tab w:val="left" w:pos="391"/>
              </w:tabs>
              <w:ind w:right="113" w:hanging="358"/>
              <w:jc w:val="both"/>
            </w:pPr>
            <w:r>
              <w:t>atklāj finanšu pārskatā informāciju par būtiskiem ierobežojumiem</w:t>
            </w:r>
          </w:p>
        </w:tc>
      </w:tr>
    </w:tbl>
    <w:p w14:paraId="3775A7E6"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7B6FD4B" w14:textId="77777777" w:rsidR="00D33421" w:rsidRPr="00D33421" w:rsidRDefault="00D33421" w:rsidP="00CD363C">
      <w:pPr>
        <w:pStyle w:val="Pamatteksts"/>
        <w:ind w:right="113"/>
        <w:jc w:val="both"/>
        <w:rPr>
          <w:sz w:val="24"/>
          <w:szCs w:val="24"/>
        </w:rPr>
      </w:pPr>
      <w:r w:rsidRPr="00D33421">
        <w:rPr>
          <w:noProof/>
          <w:sz w:val="24"/>
          <w:szCs w:val="24"/>
        </w:rPr>
        <w:t xml:space="preserve">939.    </w:t>
      </w:r>
      <w:r w:rsidRPr="00D33421">
        <w:rPr>
          <w:sz w:val="24"/>
          <w:szCs w:val="24"/>
        </w:rPr>
        <w:t>Nosakot, vai noteikums ir nosacījums vai ierobežojums, budžeta iestāde izvērtē, vai prasība atdot aktīvu vai ar to saistītos nākotnes saimnieciskos labumus ir izpildāma un vai privātpersona vai budžeta iestāde, kas nodevusi attiecīgo aktīvu, pieprasīs minētās prasības</w:t>
      </w:r>
      <w:r w:rsidRPr="00D33421">
        <w:rPr>
          <w:spacing w:val="-9"/>
          <w:sz w:val="24"/>
          <w:szCs w:val="24"/>
        </w:rPr>
        <w:t xml:space="preserve"> </w:t>
      </w:r>
      <w:r w:rsidRPr="00D33421">
        <w:rPr>
          <w:sz w:val="24"/>
          <w:szCs w:val="24"/>
        </w:rPr>
        <w:t>izpildi.</w:t>
      </w:r>
    </w:p>
    <w:p w14:paraId="021FFED1" w14:textId="77777777" w:rsidR="00D33421" w:rsidRPr="00D33421" w:rsidRDefault="00D33421" w:rsidP="00CD363C">
      <w:pPr>
        <w:pStyle w:val="Pamatteksts"/>
        <w:ind w:right="113"/>
        <w:jc w:val="both"/>
        <w:rPr>
          <w:sz w:val="24"/>
          <w:szCs w:val="24"/>
        </w:rPr>
      </w:pPr>
      <w:r w:rsidRPr="00D33421">
        <w:rPr>
          <w:noProof/>
          <w:sz w:val="24"/>
          <w:szCs w:val="24"/>
        </w:rPr>
        <w:t xml:space="preserve">940.    </w:t>
      </w:r>
      <w:r w:rsidRPr="00D33421">
        <w:rPr>
          <w:sz w:val="24"/>
          <w:szCs w:val="24"/>
        </w:rPr>
        <w:t>Gadījumā, ja privātpersona vai budžeta iestāde, kas nodevusi aktīvu, nepiemēro prasību atdot aktīvu vai ar to saistītos nākotnes saimnieciskos labumus, noteikums neatbilst nosacījuma definīcijai un uzskatāms par ierobežojumu.</w:t>
      </w:r>
    </w:p>
    <w:p w14:paraId="207F3FDD" w14:textId="77777777" w:rsidR="00D33421" w:rsidRPr="00D33421" w:rsidRDefault="00D33421" w:rsidP="00CD363C">
      <w:pPr>
        <w:pStyle w:val="Pamatteksts"/>
        <w:ind w:right="113"/>
        <w:jc w:val="both"/>
        <w:rPr>
          <w:sz w:val="24"/>
          <w:szCs w:val="24"/>
        </w:rPr>
      </w:pPr>
      <w:r w:rsidRPr="00D33421">
        <w:rPr>
          <w:noProof/>
          <w:sz w:val="24"/>
          <w:szCs w:val="24"/>
        </w:rPr>
        <w:t xml:space="preserve">941.    </w:t>
      </w:r>
      <w:r w:rsidRPr="00D33421">
        <w:rPr>
          <w:sz w:val="24"/>
          <w:szCs w:val="24"/>
        </w:rPr>
        <w:t>Gadījumos, ja līdzšinējā sadarbības pieredze ar privātpersonu vai budžeta iestādi, kas nodevusi aktīvu,</w:t>
      </w:r>
      <w:r w:rsidRPr="00D33421">
        <w:rPr>
          <w:spacing w:val="-8"/>
          <w:sz w:val="24"/>
          <w:szCs w:val="24"/>
        </w:rPr>
        <w:t xml:space="preserve"> </w:t>
      </w:r>
      <w:r w:rsidRPr="00D33421">
        <w:rPr>
          <w:sz w:val="24"/>
          <w:szCs w:val="24"/>
        </w:rPr>
        <w:t>liecina,</w:t>
      </w:r>
      <w:r w:rsidRPr="00D33421">
        <w:rPr>
          <w:spacing w:val="-9"/>
          <w:sz w:val="24"/>
          <w:szCs w:val="24"/>
        </w:rPr>
        <w:t xml:space="preserve"> </w:t>
      </w:r>
      <w:r w:rsidRPr="00D33421">
        <w:rPr>
          <w:sz w:val="24"/>
          <w:szCs w:val="24"/>
        </w:rPr>
        <w:t>ka</w:t>
      </w:r>
      <w:r w:rsidRPr="00D33421">
        <w:rPr>
          <w:spacing w:val="-8"/>
          <w:sz w:val="24"/>
          <w:szCs w:val="24"/>
        </w:rPr>
        <w:t xml:space="preserve"> </w:t>
      </w:r>
      <w:r w:rsidRPr="00D33421">
        <w:rPr>
          <w:sz w:val="24"/>
          <w:szCs w:val="24"/>
        </w:rPr>
        <w:t>tā</w:t>
      </w:r>
      <w:r w:rsidRPr="00D33421">
        <w:rPr>
          <w:spacing w:val="-7"/>
          <w:sz w:val="24"/>
          <w:szCs w:val="24"/>
        </w:rPr>
        <w:t xml:space="preserve"> </w:t>
      </w:r>
      <w:r w:rsidRPr="00D33421">
        <w:rPr>
          <w:sz w:val="24"/>
          <w:szCs w:val="24"/>
        </w:rPr>
        <w:t>pārkāpumu</w:t>
      </w:r>
      <w:r w:rsidRPr="00D33421">
        <w:rPr>
          <w:spacing w:val="-8"/>
          <w:sz w:val="24"/>
          <w:szCs w:val="24"/>
        </w:rPr>
        <w:t xml:space="preserve"> </w:t>
      </w:r>
      <w:r w:rsidRPr="00D33421">
        <w:rPr>
          <w:sz w:val="24"/>
          <w:szCs w:val="24"/>
        </w:rPr>
        <w:t>gadījumos</w:t>
      </w:r>
      <w:r w:rsidRPr="00D33421">
        <w:rPr>
          <w:spacing w:val="-6"/>
          <w:sz w:val="24"/>
          <w:szCs w:val="24"/>
        </w:rPr>
        <w:t xml:space="preserve"> </w:t>
      </w:r>
      <w:r w:rsidRPr="00D33421">
        <w:rPr>
          <w:sz w:val="24"/>
          <w:szCs w:val="24"/>
        </w:rPr>
        <w:t>nekad</w:t>
      </w:r>
      <w:r w:rsidRPr="00D33421">
        <w:rPr>
          <w:spacing w:val="-8"/>
          <w:sz w:val="24"/>
          <w:szCs w:val="24"/>
        </w:rPr>
        <w:t xml:space="preserve"> </w:t>
      </w:r>
      <w:r w:rsidRPr="00D33421">
        <w:rPr>
          <w:sz w:val="24"/>
          <w:szCs w:val="24"/>
        </w:rPr>
        <w:t>nepiemēro</w:t>
      </w:r>
      <w:r w:rsidRPr="00D33421">
        <w:rPr>
          <w:spacing w:val="-7"/>
          <w:sz w:val="24"/>
          <w:szCs w:val="24"/>
        </w:rPr>
        <w:t xml:space="preserve"> </w:t>
      </w:r>
      <w:r w:rsidRPr="00D33421">
        <w:rPr>
          <w:sz w:val="24"/>
          <w:szCs w:val="24"/>
        </w:rPr>
        <w:t>prasību</w:t>
      </w:r>
      <w:r w:rsidRPr="00D33421">
        <w:rPr>
          <w:spacing w:val="-11"/>
          <w:sz w:val="24"/>
          <w:szCs w:val="24"/>
        </w:rPr>
        <w:t xml:space="preserve"> </w:t>
      </w:r>
      <w:r w:rsidRPr="00D33421">
        <w:rPr>
          <w:sz w:val="24"/>
          <w:szCs w:val="24"/>
        </w:rPr>
        <w:t>atdot</w:t>
      </w:r>
      <w:r w:rsidRPr="00D33421">
        <w:rPr>
          <w:spacing w:val="-8"/>
          <w:sz w:val="24"/>
          <w:szCs w:val="24"/>
        </w:rPr>
        <w:t xml:space="preserve"> </w:t>
      </w:r>
      <w:r w:rsidRPr="00D33421">
        <w:rPr>
          <w:sz w:val="24"/>
          <w:szCs w:val="24"/>
        </w:rPr>
        <w:t>aktīvu</w:t>
      </w:r>
      <w:r w:rsidRPr="00D33421">
        <w:rPr>
          <w:spacing w:val="-10"/>
          <w:sz w:val="24"/>
          <w:szCs w:val="24"/>
        </w:rPr>
        <w:t xml:space="preserve"> </w:t>
      </w:r>
      <w:r w:rsidRPr="00D33421">
        <w:rPr>
          <w:sz w:val="24"/>
          <w:szCs w:val="24"/>
        </w:rPr>
        <w:t>vai</w:t>
      </w:r>
      <w:r w:rsidRPr="00D33421">
        <w:rPr>
          <w:spacing w:val="-7"/>
          <w:sz w:val="24"/>
          <w:szCs w:val="24"/>
        </w:rPr>
        <w:t xml:space="preserve"> </w:t>
      </w:r>
      <w:r w:rsidRPr="00D33421">
        <w:rPr>
          <w:sz w:val="24"/>
          <w:szCs w:val="24"/>
        </w:rPr>
        <w:t>ar</w:t>
      </w:r>
      <w:r w:rsidRPr="00D33421">
        <w:rPr>
          <w:spacing w:val="-8"/>
          <w:sz w:val="24"/>
          <w:szCs w:val="24"/>
        </w:rPr>
        <w:t xml:space="preserve"> </w:t>
      </w:r>
      <w:r w:rsidRPr="00D33421">
        <w:rPr>
          <w:sz w:val="24"/>
          <w:szCs w:val="24"/>
        </w:rPr>
        <w:t>to</w:t>
      </w:r>
      <w:r w:rsidRPr="00D33421">
        <w:rPr>
          <w:spacing w:val="-11"/>
          <w:sz w:val="24"/>
          <w:szCs w:val="24"/>
        </w:rPr>
        <w:t xml:space="preserve"> </w:t>
      </w:r>
      <w:r w:rsidRPr="00D33421">
        <w:rPr>
          <w:sz w:val="24"/>
          <w:szCs w:val="24"/>
        </w:rPr>
        <w:t>saistītos nākotnes saimnieciskos labumus, budžeta iestāde var secināt, ka noteikums ir uzskatāms par nosacījumu tikai pēc formas, nevis būtības, un ka līdz ar to tas ir</w:t>
      </w:r>
      <w:r w:rsidRPr="00D33421">
        <w:rPr>
          <w:spacing w:val="-13"/>
          <w:sz w:val="24"/>
          <w:szCs w:val="24"/>
        </w:rPr>
        <w:t xml:space="preserve"> </w:t>
      </w:r>
      <w:r w:rsidRPr="00D33421">
        <w:rPr>
          <w:sz w:val="24"/>
          <w:szCs w:val="24"/>
        </w:rPr>
        <w:t>ierobežojums.</w:t>
      </w:r>
    </w:p>
    <w:p w14:paraId="4CC1D402" w14:textId="77777777" w:rsidR="00D33421" w:rsidRPr="00EC535C" w:rsidRDefault="00D33421" w:rsidP="00CD363C">
      <w:pPr>
        <w:pStyle w:val="Pamatteksts"/>
        <w:ind w:right="113"/>
        <w:jc w:val="both"/>
        <w:rPr>
          <w:sz w:val="24"/>
          <w:szCs w:val="24"/>
        </w:rPr>
      </w:pPr>
      <w:r w:rsidRPr="00D33421">
        <w:rPr>
          <w:noProof/>
          <w:sz w:val="24"/>
          <w:szCs w:val="24"/>
        </w:rPr>
        <w:t xml:space="preserve">942.    </w:t>
      </w:r>
      <w:r w:rsidRPr="00D33421">
        <w:rPr>
          <w:sz w:val="24"/>
          <w:szCs w:val="24"/>
        </w:rPr>
        <w:t xml:space="preserve">Gadījumos, ja budžeta iestādei nav līdzšinējas sadarbības pieredzes ar privātpersonu vai budžeta iestādi, kas nodevusi aktīvu, vai tā nekad agrāk nav pārkāpusi noteikumus, kā dēļ tā varētu </w:t>
      </w:r>
      <w:r w:rsidRPr="00EC535C">
        <w:rPr>
          <w:sz w:val="24"/>
          <w:szCs w:val="24"/>
        </w:rPr>
        <w:t>izlemt pieprasīt aktīva vai citu ar to saistīto nākotnes saimniecisko labumu nodošanu, un ja budžeta iestādei nav nekādu pierādījumu par pretējo, tā varētu pieņemt, ka privātpersona vai budžeta iestāde, kas nodevusi aktīvu, varētu pieprasīt noteikuma izpildi, un līdz ar to noteikums atbilst nosacījuma definīcijai.</w:t>
      </w:r>
    </w:p>
    <w:p w14:paraId="42EF2F96" w14:textId="77777777" w:rsidR="00D33421" w:rsidRPr="00EC535C" w:rsidRDefault="00EC535C" w:rsidP="00CD363C">
      <w:pPr>
        <w:pStyle w:val="Pamatteksts"/>
        <w:ind w:right="113"/>
        <w:jc w:val="both"/>
        <w:rPr>
          <w:sz w:val="24"/>
          <w:szCs w:val="24"/>
        </w:rPr>
      </w:pPr>
      <w:r w:rsidRPr="00EC535C">
        <w:rPr>
          <w:noProof/>
          <w:sz w:val="24"/>
          <w:szCs w:val="24"/>
        </w:rPr>
        <w:t xml:space="preserve">943.    </w:t>
      </w:r>
      <w:r w:rsidR="00D33421" w:rsidRPr="00EC535C">
        <w:rPr>
          <w:sz w:val="24"/>
          <w:szCs w:val="24"/>
        </w:rPr>
        <w:t>Saskaņā ar nosacījuma definīciju budžeta iestādei ir izpildes pienākums, proti, saņēmējam jāizmanto no nodotā aktīva izrietošie nākotnes saimnieciskie labumi, kā paredzēts, vai jāatdod aktīvs vai ar to saistītie nākotnes saimnieciskie labumi privātpersonai vai budžeta iestādei, kas attiecīgo aktīvu nodevusi. Lai nodrošinātu atbilstību nosacījuma definīcijai, izpildes pienākumam jābūt pēc būtības, ne tikai pēc formas, un tas izriet no paša nosacījuma. Ja līgumā par aktīva nodošanu iekļauta prasība, lai budžeta iestāde veiktu kādu darbību, no kuras veikšanas tā nekādi nevar izvairīties, budžeta iestāde var secināt, ka attiecīgā prasība pēc būtības nav ne nosacījums, ne ierobežojums. Tas ir tāpēc, ka šādos gadījumos, aktīva nodošana pati par sevi neuzliek saņēmējam nekādu izpildes pienākumu.</w:t>
      </w:r>
    </w:p>
    <w:p w14:paraId="6D0165AE" w14:textId="77777777" w:rsidR="00D33421" w:rsidRPr="00EC535C" w:rsidRDefault="00EC535C" w:rsidP="00CD363C">
      <w:pPr>
        <w:pStyle w:val="Pamatteksts"/>
        <w:ind w:right="113"/>
        <w:jc w:val="both"/>
        <w:rPr>
          <w:sz w:val="24"/>
          <w:szCs w:val="24"/>
        </w:rPr>
      </w:pPr>
      <w:r w:rsidRPr="00EC535C">
        <w:rPr>
          <w:noProof/>
          <w:sz w:val="24"/>
          <w:szCs w:val="24"/>
        </w:rPr>
        <w:t xml:space="preserve">944.   </w:t>
      </w:r>
      <w:r w:rsidR="00D33421" w:rsidRPr="00EC535C">
        <w:rPr>
          <w:sz w:val="24"/>
          <w:szCs w:val="24"/>
        </w:rPr>
        <w:t>Lai nodrošinātu atbilstību saistību atzīšanas kritērijiem, resursu izlietojumam jābūt ticamam un saskaņā ar attiecīgo nosacījumu jāveic darbība, kuru iespējams novērtēt. Tādējādi nosacījumam atkarībā no apstākļiem jāietver tādi aspekti kā piegādājamo preču vai sniedzamo pakalpojumu raksturs vai daudzums vai iegādājamo aktīvu raksturs un, ja nepieciešams, termiņi attiecīgās darbības veikšanai. Turklāt darbību pastāvīgi uzraudzīs privātpersona vai budžeta iestāde, kas aktīvu nodevusi, vai kāda cita persona tās uzdevumā. Tas īpaši attiecas uz gadījumiem, kad noteikums paredz proporcionālu aktīva vērtības atdošanu, ja budžeta iestāde daļēji izpilda nosacījuma prasības un tiek piemērota atdošanas pienākuma izpildes prasība, ja nopietni pārkāpumi pieļauti arī iepriekš.</w:t>
      </w:r>
    </w:p>
    <w:p w14:paraId="69A6BC65" w14:textId="77777777" w:rsidR="00D33421" w:rsidRPr="00EC535C" w:rsidRDefault="00EC535C" w:rsidP="00CD363C">
      <w:pPr>
        <w:pStyle w:val="Pamatteksts"/>
        <w:ind w:right="113"/>
        <w:jc w:val="both"/>
        <w:rPr>
          <w:sz w:val="24"/>
          <w:szCs w:val="24"/>
        </w:rPr>
      </w:pPr>
      <w:r w:rsidRPr="00EC535C">
        <w:rPr>
          <w:noProof/>
          <w:sz w:val="24"/>
          <w:szCs w:val="24"/>
        </w:rPr>
        <w:t xml:space="preserve">945.   </w:t>
      </w:r>
      <w:r w:rsidR="00D33421" w:rsidRPr="00EC535C">
        <w:rPr>
          <w:sz w:val="24"/>
          <w:szCs w:val="24"/>
        </w:rPr>
        <w:t>Dažos gadījumos aktīvu var saņemt ar noteikumu, ka tas tiks atdots privātpersonai vai budžeta iestādei, kas šo aktīvu nodevusi, ja nenotiek kāds noteikts nākotnes notikums. Tas var notikt, piemēram, ja valdība piešķir finansējumu kādai pašvaldībai ar nosacījumu, ka tā spēs piesaistīt tikpat lielu līdzfinansējumu. Šādos gadījumos atdošanas pienākums nerodas tikmēr, kamēr kļūst paredzams, ka noteikums tiks pārkāpts, un saistības netiek atzītas līdz brīdim, kamēr nav izpildīti atzīšanas kritēriji.</w:t>
      </w:r>
    </w:p>
    <w:p w14:paraId="3C965605" w14:textId="77777777" w:rsidR="00D33421" w:rsidRPr="00EC535C" w:rsidRDefault="00EC535C" w:rsidP="00CD363C">
      <w:pPr>
        <w:pStyle w:val="Pamatteksts"/>
        <w:ind w:right="113"/>
        <w:jc w:val="both"/>
        <w:rPr>
          <w:sz w:val="24"/>
          <w:szCs w:val="24"/>
        </w:rPr>
      </w:pPr>
      <w:r w:rsidRPr="00EC535C">
        <w:rPr>
          <w:noProof/>
          <w:sz w:val="24"/>
          <w:szCs w:val="24"/>
        </w:rPr>
        <w:t xml:space="preserve">946.    </w:t>
      </w:r>
      <w:r w:rsidR="00D33421" w:rsidRPr="00EC535C">
        <w:rPr>
          <w:sz w:val="24"/>
          <w:szCs w:val="24"/>
        </w:rPr>
        <w:t>Tomēr</w:t>
      </w:r>
      <w:r w:rsidR="00D33421" w:rsidRPr="00EC535C">
        <w:rPr>
          <w:spacing w:val="-12"/>
          <w:sz w:val="24"/>
          <w:szCs w:val="24"/>
        </w:rPr>
        <w:t xml:space="preserve"> </w:t>
      </w:r>
      <w:r w:rsidR="00D33421" w:rsidRPr="00EC535C">
        <w:rPr>
          <w:sz w:val="24"/>
          <w:szCs w:val="24"/>
        </w:rPr>
        <w:t>saņēmējiem</w:t>
      </w:r>
      <w:r w:rsidR="00D33421" w:rsidRPr="00EC535C">
        <w:rPr>
          <w:spacing w:val="-17"/>
          <w:sz w:val="24"/>
          <w:szCs w:val="24"/>
        </w:rPr>
        <w:t xml:space="preserve"> </w:t>
      </w:r>
      <w:r w:rsidR="00D33421" w:rsidRPr="00EC535C">
        <w:rPr>
          <w:sz w:val="24"/>
          <w:szCs w:val="24"/>
        </w:rPr>
        <w:t>jāizvērtē,</w:t>
      </w:r>
      <w:r w:rsidR="00D33421" w:rsidRPr="00EC535C">
        <w:rPr>
          <w:spacing w:val="-11"/>
          <w:sz w:val="24"/>
          <w:szCs w:val="24"/>
        </w:rPr>
        <w:t xml:space="preserve"> </w:t>
      </w:r>
      <w:r w:rsidR="00D33421" w:rsidRPr="00EC535C">
        <w:rPr>
          <w:sz w:val="24"/>
          <w:szCs w:val="24"/>
        </w:rPr>
        <w:t>vai</w:t>
      </w:r>
      <w:r w:rsidR="00D33421" w:rsidRPr="00EC535C">
        <w:rPr>
          <w:spacing w:val="-11"/>
          <w:sz w:val="24"/>
          <w:szCs w:val="24"/>
        </w:rPr>
        <w:t xml:space="preserve"> </w:t>
      </w:r>
      <w:r w:rsidR="00D33421" w:rsidRPr="00EC535C">
        <w:rPr>
          <w:sz w:val="24"/>
          <w:szCs w:val="24"/>
        </w:rPr>
        <w:t>šie</w:t>
      </w:r>
      <w:r w:rsidR="00D33421" w:rsidRPr="00EC535C">
        <w:rPr>
          <w:spacing w:val="-11"/>
          <w:sz w:val="24"/>
          <w:szCs w:val="24"/>
        </w:rPr>
        <w:t xml:space="preserve"> </w:t>
      </w:r>
      <w:r w:rsidR="00D33421" w:rsidRPr="00EC535C">
        <w:rPr>
          <w:sz w:val="24"/>
          <w:szCs w:val="24"/>
        </w:rPr>
        <w:t>pārvedumi</w:t>
      </w:r>
      <w:r w:rsidR="00D33421" w:rsidRPr="00EC535C">
        <w:rPr>
          <w:spacing w:val="-12"/>
          <w:sz w:val="24"/>
          <w:szCs w:val="24"/>
        </w:rPr>
        <w:t xml:space="preserve"> </w:t>
      </w:r>
      <w:r w:rsidR="00D33421" w:rsidRPr="00EC535C">
        <w:rPr>
          <w:sz w:val="24"/>
          <w:szCs w:val="24"/>
        </w:rPr>
        <w:t>pēc</w:t>
      </w:r>
      <w:r w:rsidR="00D33421" w:rsidRPr="00EC535C">
        <w:rPr>
          <w:spacing w:val="-11"/>
          <w:sz w:val="24"/>
          <w:szCs w:val="24"/>
        </w:rPr>
        <w:t xml:space="preserve"> </w:t>
      </w:r>
      <w:r w:rsidR="00D33421" w:rsidRPr="00EC535C">
        <w:rPr>
          <w:sz w:val="24"/>
          <w:szCs w:val="24"/>
        </w:rPr>
        <w:t>savas</w:t>
      </w:r>
      <w:r w:rsidR="00D33421" w:rsidRPr="00EC535C">
        <w:rPr>
          <w:spacing w:val="-11"/>
          <w:sz w:val="24"/>
          <w:szCs w:val="24"/>
        </w:rPr>
        <w:t xml:space="preserve"> </w:t>
      </w:r>
      <w:r w:rsidR="00D33421" w:rsidRPr="00EC535C">
        <w:rPr>
          <w:sz w:val="24"/>
          <w:szCs w:val="24"/>
        </w:rPr>
        <w:t>būtības</w:t>
      </w:r>
      <w:r w:rsidR="00D33421" w:rsidRPr="00EC535C">
        <w:rPr>
          <w:spacing w:val="-11"/>
          <w:sz w:val="24"/>
          <w:szCs w:val="24"/>
        </w:rPr>
        <w:t xml:space="preserve"> </w:t>
      </w:r>
      <w:r w:rsidR="00D33421" w:rsidRPr="00EC535C">
        <w:rPr>
          <w:sz w:val="24"/>
          <w:szCs w:val="24"/>
        </w:rPr>
        <w:t>nav</w:t>
      </w:r>
      <w:r w:rsidR="00D33421" w:rsidRPr="00EC535C">
        <w:rPr>
          <w:spacing w:val="-15"/>
          <w:sz w:val="24"/>
          <w:szCs w:val="24"/>
        </w:rPr>
        <w:t xml:space="preserve"> </w:t>
      </w:r>
      <w:r w:rsidR="00D33421" w:rsidRPr="00EC535C">
        <w:rPr>
          <w:sz w:val="24"/>
          <w:szCs w:val="24"/>
        </w:rPr>
        <w:t>avansā</w:t>
      </w:r>
      <w:r w:rsidR="00D33421" w:rsidRPr="00EC535C">
        <w:rPr>
          <w:spacing w:val="-11"/>
          <w:sz w:val="24"/>
          <w:szCs w:val="24"/>
        </w:rPr>
        <w:t xml:space="preserve"> </w:t>
      </w:r>
      <w:r w:rsidR="00D33421" w:rsidRPr="00EC535C">
        <w:rPr>
          <w:sz w:val="24"/>
          <w:szCs w:val="24"/>
        </w:rPr>
        <w:t>saņemti</w:t>
      </w:r>
      <w:r w:rsidR="00D33421" w:rsidRPr="00EC535C">
        <w:rPr>
          <w:spacing w:val="-11"/>
          <w:sz w:val="24"/>
          <w:szCs w:val="24"/>
        </w:rPr>
        <w:t xml:space="preserve"> </w:t>
      </w:r>
      <w:r w:rsidR="00D33421" w:rsidRPr="00EC535C">
        <w:rPr>
          <w:sz w:val="24"/>
          <w:szCs w:val="24"/>
        </w:rPr>
        <w:t>resursi.</w:t>
      </w:r>
      <w:r w:rsidR="00D33421" w:rsidRPr="00EC535C">
        <w:rPr>
          <w:spacing w:val="-12"/>
          <w:sz w:val="24"/>
          <w:szCs w:val="24"/>
        </w:rPr>
        <w:t xml:space="preserve"> </w:t>
      </w:r>
      <w:r w:rsidR="00D33421" w:rsidRPr="00EC535C">
        <w:rPr>
          <w:sz w:val="24"/>
          <w:szCs w:val="24"/>
        </w:rPr>
        <w:t>Šaj</w:t>
      </w:r>
      <w:r w:rsidRPr="00EC535C">
        <w:rPr>
          <w:sz w:val="24"/>
          <w:szCs w:val="24"/>
        </w:rPr>
        <w:t>ā</w:t>
      </w:r>
      <w:r w:rsidR="00D33421" w:rsidRPr="00EC535C">
        <w:rPr>
          <w:sz w:val="24"/>
          <w:szCs w:val="24"/>
        </w:rPr>
        <w:t xml:space="preserve"> </w:t>
      </w:r>
      <w:r w:rsidRPr="00EC535C">
        <w:rPr>
          <w:sz w:val="24"/>
          <w:szCs w:val="24"/>
        </w:rPr>
        <w:t>uzskaites kārtībā</w:t>
      </w:r>
      <w:r w:rsidR="00D33421" w:rsidRPr="00EC535C">
        <w:rPr>
          <w:sz w:val="24"/>
          <w:szCs w:val="24"/>
        </w:rPr>
        <w:t xml:space="preserve"> par avansā saņemtiem resursiem tiek saukti resursi, kas saņemti pirms apliekamā notikuma vai pirms vienošanās par pārvedumu ir kļuvusi saistoša. Avansā saņemtie resursi rada aktīvu un pašreizēju pienākumu, jo vienošanās par pārvedumu vēl nav kļuvusi saistoša. Ja šādi pārvedumi</w:t>
      </w:r>
      <w:r w:rsidR="00D33421" w:rsidRPr="00EC535C">
        <w:rPr>
          <w:spacing w:val="-10"/>
          <w:sz w:val="24"/>
          <w:szCs w:val="24"/>
        </w:rPr>
        <w:t xml:space="preserve"> </w:t>
      </w:r>
      <w:r w:rsidR="00D33421" w:rsidRPr="00EC535C">
        <w:rPr>
          <w:sz w:val="24"/>
          <w:szCs w:val="24"/>
        </w:rPr>
        <w:t>pēc</w:t>
      </w:r>
      <w:r w:rsidR="00D33421" w:rsidRPr="00EC535C">
        <w:rPr>
          <w:spacing w:val="-11"/>
          <w:sz w:val="24"/>
          <w:szCs w:val="24"/>
        </w:rPr>
        <w:t xml:space="preserve"> </w:t>
      </w:r>
      <w:r w:rsidR="00D33421" w:rsidRPr="00EC535C">
        <w:rPr>
          <w:sz w:val="24"/>
          <w:szCs w:val="24"/>
        </w:rPr>
        <w:t>savas</w:t>
      </w:r>
      <w:r w:rsidR="00D33421" w:rsidRPr="00EC535C">
        <w:rPr>
          <w:spacing w:val="-12"/>
          <w:sz w:val="24"/>
          <w:szCs w:val="24"/>
        </w:rPr>
        <w:t xml:space="preserve"> </w:t>
      </w:r>
      <w:r w:rsidR="00D33421" w:rsidRPr="00EC535C">
        <w:rPr>
          <w:sz w:val="24"/>
          <w:szCs w:val="24"/>
        </w:rPr>
        <w:t>būtības</w:t>
      </w:r>
      <w:r w:rsidR="00D33421" w:rsidRPr="00EC535C">
        <w:rPr>
          <w:spacing w:val="-9"/>
          <w:sz w:val="24"/>
          <w:szCs w:val="24"/>
        </w:rPr>
        <w:t xml:space="preserve"> </w:t>
      </w:r>
      <w:r w:rsidR="00D33421" w:rsidRPr="00EC535C">
        <w:rPr>
          <w:sz w:val="24"/>
          <w:szCs w:val="24"/>
        </w:rPr>
        <w:t>ir</w:t>
      </w:r>
      <w:r w:rsidR="00D33421" w:rsidRPr="00EC535C">
        <w:rPr>
          <w:spacing w:val="-10"/>
          <w:sz w:val="24"/>
          <w:szCs w:val="24"/>
        </w:rPr>
        <w:t xml:space="preserve"> </w:t>
      </w:r>
      <w:r w:rsidR="00D33421" w:rsidRPr="00EC535C">
        <w:rPr>
          <w:sz w:val="24"/>
          <w:szCs w:val="24"/>
        </w:rPr>
        <w:t>darījumi</w:t>
      </w:r>
      <w:r w:rsidR="00D33421" w:rsidRPr="00EC535C">
        <w:rPr>
          <w:spacing w:val="-10"/>
          <w:sz w:val="24"/>
          <w:szCs w:val="24"/>
        </w:rPr>
        <w:t xml:space="preserve"> </w:t>
      </w:r>
      <w:r w:rsidR="00D33421" w:rsidRPr="00EC535C">
        <w:rPr>
          <w:sz w:val="24"/>
          <w:szCs w:val="24"/>
        </w:rPr>
        <w:t>ar</w:t>
      </w:r>
      <w:r w:rsidR="00D33421" w:rsidRPr="00EC535C">
        <w:rPr>
          <w:spacing w:val="-11"/>
          <w:sz w:val="24"/>
          <w:szCs w:val="24"/>
        </w:rPr>
        <w:t xml:space="preserve"> </w:t>
      </w:r>
      <w:r w:rsidR="00D33421" w:rsidRPr="00EC535C">
        <w:rPr>
          <w:sz w:val="24"/>
          <w:szCs w:val="24"/>
        </w:rPr>
        <w:t>atlīdzību,</w:t>
      </w:r>
      <w:r w:rsidR="00D33421" w:rsidRPr="00EC535C">
        <w:rPr>
          <w:spacing w:val="-12"/>
          <w:sz w:val="24"/>
          <w:szCs w:val="24"/>
        </w:rPr>
        <w:t xml:space="preserve"> </w:t>
      </w:r>
      <w:r w:rsidR="00D33421" w:rsidRPr="00EC535C">
        <w:rPr>
          <w:sz w:val="24"/>
          <w:szCs w:val="24"/>
        </w:rPr>
        <w:t>tie</w:t>
      </w:r>
      <w:r w:rsidR="00D33421" w:rsidRPr="00EC535C">
        <w:rPr>
          <w:spacing w:val="-13"/>
          <w:sz w:val="24"/>
          <w:szCs w:val="24"/>
        </w:rPr>
        <w:t xml:space="preserve"> </w:t>
      </w:r>
      <w:r w:rsidR="00D33421" w:rsidRPr="00EC535C">
        <w:rPr>
          <w:sz w:val="24"/>
          <w:szCs w:val="24"/>
        </w:rPr>
        <w:t>tiek</w:t>
      </w:r>
      <w:r w:rsidR="00D33421" w:rsidRPr="00EC535C">
        <w:rPr>
          <w:spacing w:val="-12"/>
          <w:sz w:val="24"/>
          <w:szCs w:val="24"/>
        </w:rPr>
        <w:t xml:space="preserve"> </w:t>
      </w:r>
      <w:r w:rsidR="00D33421" w:rsidRPr="00EC535C">
        <w:rPr>
          <w:sz w:val="24"/>
          <w:szCs w:val="24"/>
        </w:rPr>
        <w:t>uzskaitīti</w:t>
      </w:r>
      <w:r w:rsidR="00D33421" w:rsidRPr="00EC535C">
        <w:rPr>
          <w:spacing w:val="-11"/>
          <w:sz w:val="24"/>
          <w:szCs w:val="24"/>
        </w:rPr>
        <w:t xml:space="preserve"> </w:t>
      </w:r>
      <w:r w:rsidR="00D33421" w:rsidRPr="00EC535C">
        <w:rPr>
          <w:sz w:val="24"/>
          <w:szCs w:val="24"/>
        </w:rPr>
        <w:t>saskaņā</w:t>
      </w:r>
      <w:r w:rsidR="00D33421" w:rsidRPr="00EC535C">
        <w:rPr>
          <w:spacing w:val="-12"/>
          <w:sz w:val="24"/>
          <w:szCs w:val="24"/>
        </w:rPr>
        <w:t xml:space="preserve"> </w:t>
      </w:r>
      <w:r w:rsidR="00D33421" w:rsidRPr="00EC535C">
        <w:rPr>
          <w:sz w:val="24"/>
          <w:szCs w:val="24"/>
        </w:rPr>
        <w:t>ar</w:t>
      </w:r>
      <w:r w:rsidR="00D33421" w:rsidRPr="00EC535C">
        <w:rPr>
          <w:spacing w:val="-7"/>
          <w:sz w:val="24"/>
          <w:szCs w:val="24"/>
        </w:rPr>
        <w:t xml:space="preserve"> </w:t>
      </w:r>
      <w:r w:rsidR="00D33421" w:rsidRPr="00EC535C">
        <w:rPr>
          <w:sz w:val="24"/>
          <w:szCs w:val="24"/>
        </w:rPr>
        <w:t>MK</w:t>
      </w:r>
      <w:r w:rsidR="00D33421" w:rsidRPr="00EC535C">
        <w:rPr>
          <w:spacing w:val="-8"/>
          <w:sz w:val="24"/>
          <w:szCs w:val="24"/>
        </w:rPr>
        <w:t xml:space="preserve"> </w:t>
      </w:r>
      <w:r w:rsidR="00D33421" w:rsidRPr="00EC535C">
        <w:rPr>
          <w:sz w:val="24"/>
          <w:szCs w:val="24"/>
        </w:rPr>
        <w:t xml:space="preserve">noteikumiem par grāmatvedību un </w:t>
      </w:r>
      <w:r w:rsidRPr="00EC535C">
        <w:rPr>
          <w:sz w:val="24"/>
          <w:szCs w:val="24"/>
        </w:rPr>
        <w:t>grāmatvedības uzskaites kārtības</w:t>
      </w:r>
      <w:r w:rsidR="00D33421" w:rsidRPr="00EC535C">
        <w:rPr>
          <w:sz w:val="24"/>
          <w:szCs w:val="24"/>
        </w:rPr>
        <w:t xml:space="preserve"> sadaļu </w:t>
      </w:r>
      <w:r w:rsidR="00D33421" w:rsidRPr="00EC535C">
        <w:rPr>
          <w:color w:val="0462C1"/>
          <w:sz w:val="24"/>
          <w:szCs w:val="24"/>
          <w:u w:val="single" w:color="0462C1"/>
        </w:rPr>
        <w:t>“</w:t>
      </w:r>
      <w:hyperlink w:anchor="_bookmark408" w:history="1">
        <w:r w:rsidR="00D33421" w:rsidRPr="00EC535C">
          <w:rPr>
            <w:color w:val="0462C1"/>
            <w:sz w:val="24"/>
            <w:szCs w:val="24"/>
            <w:u w:val="single" w:color="0462C1"/>
          </w:rPr>
          <w:t>Ieņēmumu no darījumiem ar atlīdzību</w:t>
        </w:r>
        <w:r w:rsidR="00D33421" w:rsidRPr="00EC535C">
          <w:rPr>
            <w:color w:val="0462C1"/>
            <w:spacing w:val="-10"/>
            <w:sz w:val="24"/>
            <w:szCs w:val="24"/>
            <w:u w:val="single" w:color="0462C1"/>
          </w:rPr>
          <w:t xml:space="preserve"> </w:t>
        </w:r>
        <w:r w:rsidR="00D33421" w:rsidRPr="00EC535C">
          <w:rPr>
            <w:color w:val="0462C1"/>
            <w:sz w:val="24"/>
            <w:szCs w:val="24"/>
            <w:u w:val="single" w:color="0462C1"/>
          </w:rPr>
          <w:t>uzskaite</w:t>
        </w:r>
      </w:hyperlink>
      <w:r w:rsidR="00D33421" w:rsidRPr="00EC535C">
        <w:rPr>
          <w:color w:val="0462C1"/>
          <w:sz w:val="24"/>
          <w:szCs w:val="24"/>
          <w:u w:val="single" w:color="0462C1"/>
        </w:rPr>
        <w:t>”</w:t>
      </w:r>
      <w:r w:rsidR="00D33421" w:rsidRPr="00EC535C">
        <w:rPr>
          <w:sz w:val="24"/>
          <w:szCs w:val="24"/>
        </w:rPr>
        <w:t>.</w:t>
      </w:r>
    </w:p>
    <w:p w14:paraId="6E6EC3CC" w14:textId="77777777" w:rsidR="00EC535C" w:rsidRDefault="004A085E" w:rsidP="00CD363C">
      <w:pPr>
        <w:pStyle w:val="Virsraksts4"/>
        <w:spacing w:before="0"/>
        <w:ind w:left="218" w:right="113"/>
        <w:jc w:val="both"/>
      </w:pPr>
      <w:r>
        <w:rPr>
          <w:color w:val="002069"/>
        </w:rPr>
        <w:t>22.3.1.1.</w:t>
      </w:r>
      <w:r w:rsidR="00EC535C">
        <w:rPr>
          <w:color w:val="002069"/>
        </w:rPr>
        <w:t>Dotācijas no vispārējiem ieņēmumiem</w:t>
      </w:r>
    </w:p>
    <w:p w14:paraId="2A5A5BFA" w14:textId="77777777" w:rsidR="00EC535C" w:rsidRDefault="00EC535C" w:rsidP="00CD363C">
      <w:pPr>
        <w:pStyle w:val="Virsraksts6"/>
        <w:tabs>
          <w:tab w:val="left" w:pos="897"/>
          <w:tab w:val="left" w:pos="898"/>
        </w:tabs>
        <w:ind w:left="568" w:right="113"/>
        <w:jc w:val="both"/>
      </w:pPr>
      <w:r>
        <w:t>Grāmatvedības uzskaites</w:t>
      </w:r>
      <w:r>
        <w:rPr>
          <w:spacing w:val="-3"/>
        </w:rPr>
        <w:t xml:space="preserve"> </w:t>
      </w:r>
      <w:r>
        <w:t>principi</w:t>
      </w:r>
    </w:p>
    <w:p w14:paraId="67874AD4" w14:textId="77777777" w:rsidR="00EC535C" w:rsidRPr="00EC535C" w:rsidRDefault="00EC535C" w:rsidP="00CD363C">
      <w:pPr>
        <w:pStyle w:val="Pamatteksts"/>
        <w:ind w:right="113"/>
        <w:jc w:val="both"/>
        <w:rPr>
          <w:sz w:val="24"/>
          <w:szCs w:val="24"/>
        </w:rPr>
      </w:pPr>
      <w:r>
        <w:rPr>
          <w:noProof/>
        </w:rPr>
        <w:t>947</w:t>
      </w:r>
      <w:r w:rsidRPr="00EC535C">
        <w:rPr>
          <w:noProof/>
          <w:sz w:val="24"/>
          <w:szCs w:val="24"/>
        </w:rPr>
        <w:t xml:space="preserve">.    </w:t>
      </w:r>
      <w:r w:rsidRPr="00EC535C">
        <w:rPr>
          <w:sz w:val="24"/>
          <w:szCs w:val="24"/>
        </w:rPr>
        <w:t>Dotācijas no vispārējiem ieņēmumiem saņēmēji ir:</w:t>
      </w:r>
    </w:p>
    <w:p w14:paraId="4C4E8C05" w14:textId="77777777" w:rsidR="00EC535C" w:rsidRPr="00EC535C" w:rsidRDefault="00EC535C"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EC535C">
        <w:rPr>
          <w:rFonts w:ascii="Times New Roman" w:hAnsi="Times New Roman" w:cs="Times New Roman"/>
          <w:sz w:val="24"/>
          <w:szCs w:val="24"/>
        </w:rPr>
        <w:t>valsts</w:t>
      </w:r>
      <w:r w:rsidRPr="00EC535C">
        <w:rPr>
          <w:rFonts w:ascii="Times New Roman" w:hAnsi="Times New Roman" w:cs="Times New Roman"/>
          <w:spacing w:val="-4"/>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institūcijas</w:t>
      </w:r>
      <w:r w:rsidRPr="00EC535C">
        <w:rPr>
          <w:rFonts w:ascii="Times New Roman" w:hAnsi="Times New Roman" w:cs="Times New Roman"/>
          <w:spacing w:val="-2"/>
          <w:sz w:val="24"/>
          <w:szCs w:val="24"/>
        </w:rPr>
        <w:t xml:space="preserve"> </w:t>
      </w:r>
      <w:r w:rsidRPr="00EC535C">
        <w:rPr>
          <w:rFonts w:ascii="Times New Roman" w:hAnsi="Times New Roman" w:cs="Times New Roman"/>
          <w:sz w:val="24"/>
          <w:szCs w:val="24"/>
        </w:rPr>
        <w:t>–</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finansētas</w:t>
      </w:r>
      <w:r w:rsidRPr="00EC535C">
        <w:rPr>
          <w:rFonts w:ascii="Times New Roman" w:hAnsi="Times New Roman" w:cs="Times New Roman"/>
          <w:spacing w:val="-3"/>
          <w:sz w:val="24"/>
          <w:szCs w:val="24"/>
        </w:rPr>
        <w:t xml:space="preserve"> </w:t>
      </w:r>
      <w:r w:rsidRPr="00EC535C">
        <w:rPr>
          <w:rFonts w:ascii="Times New Roman" w:hAnsi="Times New Roman" w:cs="Times New Roman"/>
          <w:sz w:val="24"/>
          <w:szCs w:val="24"/>
        </w:rPr>
        <w:t>institūcijas</w:t>
      </w:r>
      <w:r w:rsidRPr="00EC535C">
        <w:rPr>
          <w:rFonts w:ascii="Times New Roman" w:hAnsi="Times New Roman" w:cs="Times New Roman"/>
          <w:spacing w:val="-4"/>
          <w:sz w:val="24"/>
          <w:szCs w:val="24"/>
        </w:rPr>
        <w:t xml:space="preserve"> </w:t>
      </w:r>
      <w:r w:rsidRPr="00EC535C">
        <w:rPr>
          <w:rFonts w:ascii="Times New Roman" w:hAnsi="Times New Roman" w:cs="Times New Roman"/>
          <w:sz w:val="24"/>
          <w:szCs w:val="24"/>
        </w:rPr>
        <w:t>vai</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nefinansētas</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institūcijas</w:t>
      </w:r>
      <w:r w:rsidRPr="00EC535C">
        <w:rPr>
          <w:rFonts w:ascii="Times New Roman" w:hAnsi="Times New Roman" w:cs="Times New Roman"/>
          <w:spacing w:val="-2"/>
          <w:sz w:val="24"/>
          <w:szCs w:val="24"/>
        </w:rPr>
        <w:t xml:space="preserve"> </w:t>
      </w:r>
      <w:r w:rsidRPr="00EC535C">
        <w:rPr>
          <w:rFonts w:ascii="Times New Roman" w:hAnsi="Times New Roman" w:cs="Times New Roman"/>
          <w:sz w:val="24"/>
          <w:szCs w:val="24"/>
        </w:rPr>
        <w:t>– gadījumos,</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ja</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nefinansētai</w:t>
      </w:r>
      <w:r w:rsidRPr="00EC535C">
        <w:rPr>
          <w:rFonts w:ascii="Times New Roman" w:hAnsi="Times New Roman" w:cs="Times New Roman"/>
          <w:spacing w:val="-11"/>
          <w:sz w:val="24"/>
          <w:szCs w:val="24"/>
        </w:rPr>
        <w:t xml:space="preserve"> </w:t>
      </w:r>
      <w:r w:rsidRPr="00EC535C">
        <w:rPr>
          <w:rFonts w:ascii="Times New Roman" w:hAnsi="Times New Roman" w:cs="Times New Roman"/>
          <w:sz w:val="24"/>
          <w:szCs w:val="24"/>
        </w:rPr>
        <w:t>institūcijai</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tiek</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noteikts</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pārvaldes</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uzdevums,</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pamatojoties</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uz likumu vai Ministru kabineta</w:t>
      </w:r>
      <w:r w:rsidRPr="00EC535C">
        <w:rPr>
          <w:rFonts w:ascii="Times New Roman" w:hAnsi="Times New Roman" w:cs="Times New Roman"/>
          <w:spacing w:val="2"/>
          <w:sz w:val="24"/>
          <w:szCs w:val="24"/>
        </w:rPr>
        <w:t xml:space="preserve"> </w:t>
      </w:r>
      <w:r w:rsidRPr="00EC535C">
        <w:rPr>
          <w:rFonts w:ascii="Times New Roman" w:hAnsi="Times New Roman" w:cs="Times New Roman"/>
          <w:sz w:val="24"/>
          <w:szCs w:val="24"/>
        </w:rPr>
        <w:t>lēmumu;</w:t>
      </w:r>
    </w:p>
    <w:p w14:paraId="7C5E6FF5" w14:textId="77777777" w:rsidR="00EC535C" w:rsidRPr="00EC535C" w:rsidRDefault="00EC535C" w:rsidP="00CD363C">
      <w:pPr>
        <w:pStyle w:val="Sarakstarindkopa"/>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rPr>
      </w:pPr>
      <w:r w:rsidRPr="00EC535C">
        <w:rPr>
          <w:rFonts w:ascii="Times New Roman" w:hAnsi="Times New Roman" w:cs="Times New Roman"/>
        </w:rPr>
        <w:t>pašvaldības un pašvaldību budžeta</w:t>
      </w:r>
      <w:r w:rsidRPr="00EC535C">
        <w:rPr>
          <w:rFonts w:ascii="Times New Roman" w:hAnsi="Times New Roman" w:cs="Times New Roman"/>
          <w:spacing w:val="-8"/>
        </w:rPr>
        <w:t xml:space="preserve"> </w:t>
      </w:r>
      <w:r w:rsidRPr="00EC535C">
        <w:rPr>
          <w:rFonts w:ascii="Times New Roman" w:hAnsi="Times New Roman" w:cs="Times New Roman"/>
        </w:rPr>
        <w:t>iestādes.</w:t>
      </w:r>
    </w:p>
    <w:p w14:paraId="4DFA0988" w14:textId="77777777" w:rsidR="00EC535C" w:rsidRDefault="00EC535C" w:rsidP="00CD363C">
      <w:pPr>
        <w:pStyle w:val="Pamatteksts"/>
        <w:ind w:right="113"/>
        <w:jc w:val="both"/>
      </w:pPr>
      <w:r>
        <w:rPr>
          <w:noProof/>
        </w:rPr>
        <w:t xml:space="preserve">948.   </w:t>
      </w:r>
      <w:r>
        <w:t>Dotācijas</w:t>
      </w:r>
      <w:r>
        <w:rPr>
          <w:spacing w:val="-9"/>
        </w:rPr>
        <w:t xml:space="preserve"> </w:t>
      </w:r>
      <w:r>
        <w:t>no</w:t>
      </w:r>
      <w:r>
        <w:rPr>
          <w:spacing w:val="-8"/>
        </w:rPr>
        <w:t xml:space="preserve"> </w:t>
      </w:r>
      <w:r>
        <w:t>vispārējiem</w:t>
      </w:r>
      <w:r>
        <w:rPr>
          <w:spacing w:val="-12"/>
        </w:rPr>
        <w:t xml:space="preserve"> </w:t>
      </w:r>
      <w:r>
        <w:t>ieņēmumiem</w:t>
      </w:r>
      <w:r>
        <w:rPr>
          <w:spacing w:val="-9"/>
        </w:rPr>
        <w:t xml:space="preserve"> </w:t>
      </w:r>
      <w:r>
        <w:t>valsts</w:t>
      </w:r>
      <w:r>
        <w:rPr>
          <w:spacing w:val="-8"/>
        </w:rPr>
        <w:t xml:space="preserve"> </w:t>
      </w:r>
      <w:r>
        <w:t>budžeta</w:t>
      </w:r>
      <w:r>
        <w:rPr>
          <w:spacing w:val="-8"/>
        </w:rPr>
        <w:t xml:space="preserve"> </w:t>
      </w:r>
      <w:r>
        <w:t>institūcijām</w:t>
      </w:r>
      <w:r>
        <w:rPr>
          <w:spacing w:val="-12"/>
        </w:rPr>
        <w:t xml:space="preserve"> </w:t>
      </w:r>
      <w:r>
        <w:t>un</w:t>
      </w:r>
      <w:r>
        <w:rPr>
          <w:spacing w:val="-9"/>
        </w:rPr>
        <w:t xml:space="preserve"> </w:t>
      </w:r>
      <w:r>
        <w:t>pašvaldībām</w:t>
      </w:r>
      <w:r>
        <w:rPr>
          <w:spacing w:val="-12"/>
        </w:rPr>
        <w:t xml:space="preserve"> </w:t>
      </w:r>
      <w:r>
        <w:t>plāno</w:t>
      </w:r>
      <w:r>
        <w:rPr>
          <w:spacing w:val="-10"/>
        </w:rPr>
        <w:t xml:space="preserve"> </w:t>
      </w:r>
      <w:r>
        <w:t>un</w:t>
      </w:r>
      <w:r>
        <w:rPr>
          <w:spacing w:val="-9"/>
        </w:rPr>
        <w:t xml:space="preserve"> </w:t>
      </w:r>
      <w:r>
        <w:t>piešķir centralizētā</w:t>
      </w:r>
      <w:r>
        <w:rPr>
          <w:spacing w:val="-1"/>
        </w:rPr>
        <w:t xml:space="preserve"> </w:t>
      </w:r>
      <w:r>
        <w:t>kārtībā.</w:t>
      </w:r>
    </w:p>
    <w:p w14:paraId="0C4C863E" w14:textId="77777777" w:rsidR="00EC535C" w:rsidRDefault="00C71736" w:rsidP="00CD363C">
      <w:pPr>
        <w:pStyle w:val="Pamatteksts"/>
        <w:ind w:right="113"/>
        <w:jc w:val="both"/>
      </w:pPr>
      <w:r>
        <w:rPr>
          <w:noProof/>
        </w:rPr>
        <w:t xml:space="preserve">949.  </w:t>
      </w:r>
      <w:r w:rsidR="00EC535C">
        <w:t>Valsts budžetā plānoto dotāciju no vispārējiem ieņēmumiem piešķir budžeta izpildītājiem pamatojoties uz Valsts kasē reģistrētajiem finansēšanas plāniem saskaņā ar likumu par valsts budžetu kārtējam gadam. Valsts kase pārbauda attiecīgās ministrijas iesniegto budžeta izpildītāju finansēšanas plānu projektu atbilstību valsts budžeta likumam un triju darbdienu laikā tos reģistrē Vienotajā valsts budžeta plānošanas un izpildes informācijas sistēmā. Valsts budžeta dotāciju no vispārējiem ieņēmumiem piešķiršanu nodrošina Valsts kase – katra mēneša pirmajā darbdienā, pamatojoties uz reģistrētajiem finansēšanas plāniem. Budžeta izpildītāji izstrādā grozījumus finansēšanas plānos normatīvajos aktos paredzētajos gadījumos.</w:t>
      </w:r>
    </w:p>
    <w:p w14:paraId="6EC6B836" w14:textId="77777777" w:rsidR="00EC535C" w:rsidRDefault="00C71736" w:rsidP="00CD363C">
      <w:pPr>
        <w:pStyle w:val="Pamatteksts"/>
        <w:ind w:right="113"/>
        <w:jc w:val="both"/>
      </w:pPr>
      <w:r>
        <w:rPr>
          <w:noProof/>
        </w:rPr>
        <w:t xml:space="preserve">950.   </w:t>
      </w:r>
      <w:r w:rsidR="00EC535C">
        <w:t>Ieņēmumus no dotācijas no vispārējiem ieņēmumiem atzīst dienā, kad atbilstošais piešķīrums tiek saņemts budžeta iestādes, kas izpilda valsts budžetu, kontā Valsts kasē. Atbildīgais grāmatvedis saskaņā ar Valsts kases konta izrakstu grāmatvedības programmā iegrāmato saņemto dotāciju no vispārējiem ieņēmumiem, sadalot to atbilstoši budžeta ieņēmumu klasifikācijas kodiem, attiecīgi palielinot naudas līdzekļus un ieņēmumus.</w:t>
      </w:r>
    </w:p>
    <w:p w14:paraId="5895D897" w14:textId="77777777" w:rsidR="00EC535C" w:rsidRDefault="00C71736" w:rsidP="00CD363C">
      <w:pPr>
        <w:pStyle w:val="Pamatteksts"/>
        <w:ind w:right="113"/>
        <w:jc w:val="both"/>
      </w:pPr>
      <w:r>
        <w:t xml:space="preserve">951. </w:t>
      </w:r>
      <w:r w:rsidR="00EC535C">
        <w:t>Gadījumā, ja tiek veiktas izmaiņas finansēšanas plānā un mainās piešķirtā dotācija no vispārējiem ieņēmumiem,</w:t>
      </w:r>
      <w:r w:rsidR="00EC535C">
        <w:rPr>
          <w:spacing w:val="-13"/>
        </w:rPr>
        <w:t xml:space="preserve"> </w:t>
      </w:r>
      <w:r w:rsidR="00EC535C">
        <w:t>tad</w:t>
      </w:r>
      <w:r w:rsidR="00EC535C">
        <w:rPr>
          <w:spacing w:val="-12"/>
        </w:rPr>
        <w:t xml:space="preserve"> </w:t>
      </w:r>
      <w:r w:rsidR="00EC535C">
        <w:t>Valsts</w:t>
      </w:r>
      <w:r w:rsidR="00EC535C">
        <w:rPr>
          <w:spacing w:val="-12"/>
        </w:rPr>
        <w:t xml:space="preserve"> </w:t>
      </w:r>
      <w:r w:rsidR="00EC535C">
        <w:t>kase</w:t>
      </w:r>
      <w:r w:rsidR="00EC535C">
        <w:rPr>
          <w:spacing w:val="-12"/>
        </w:rPr>
        <w:t xml:space="preserve"> </w:t>
      </w:r>
      <w:r w:rsidR="00EC535C">
        <w:t>pamatojoties</w:t>
      </w:r>
      <w:r w:rsidR="00EC535C">
        <w:rPr>
          <w:spacing w:val="-11"/>
        </w:rPr>
        <w:t xml:space="preserve"> </w:t>
      </w:r>
      <w:r w:rsidR="00EC535C">
        <w:t>uz</w:t>
      </w:r>
      <w:r w:rsidR="00EC535C">
        <w:rPr>
          <w:spacing w:val="-15"/>
        </w:rPr>
        <w:t xml:space="preserve"> </w:t>
      </w:r>
      <w:r w:rsidR="00EC535C">
        <w:t>ministrijas</w:t>
      </w:r>
      <w:r w:rsidR="00EC535C">
        <w:rPr>
          <w:spacing w:val="-12"/>
        </w:rPr>
        <w:t xml:space="preserve"> </w:t>
      </w:r>
      <w:r w:rsidR="00EC535C">
        <w:t>iesniegto</w:t>
      </w:r>
      <w:r w:rsidR="00EC535C">
        <w:rPr>
          <w:spacing w:val="-12"/>
        </w:rPr>
        <w:t xml:space="preserve"> </w:t>
      </w:r>
      <w:r w:rsidR="00EC535C">
        <w:t>budžeta</w:t>
      </w:r>
      <w:r w:rsidR="00EC535C">
        <w:rPr>
          <w:spacing w:val="-12"/>
        </w:rPr>
        <w:t xml:space="preserve"> </w:t>
      </w:r>
      <w:r w:rsidR="00EC535C">
        <w:t>izpildītāju</w:t>
      </w:r>
      <w:r w:rsidR="00EC535C">
        <w:rPr>
          <w:spacing w:val="-13"/>
        </w:rPr>
        <w:t xml:space="preserve"> </w:t>
      </w:r>
      <w:r w:rsidR="00EC535C">
        <w:t>finansēšanas plānu projektu palielina vai samazina atbilstošo piešķīrumu budžeta iestādes, kas izpilda valsts budžetu, kontā Valsts kasē. Atbildīgais grāmatvedis saskaņā ar Valsts kases konta izrakstu veic atbilstošo</w:t>
      </w:r>
      <w:r w:rsidR="00EC535C">
        <w:rPr>
          <w:spacing w:val="-14"/>
        </w:rPr>
        <w:t xml:space="preserve"> </w:t>
      </w:r>
      <w:r w:rsidR="00EC535C">
        <w:t>ierakstu</w:t>
      </w:r>
      <w:r w:rsidR="00EC535C">
        <w:rPr>
          <w:spacing w:val="-15"/>
        </w:rPr>
        <w:t xml:space="preserve"> </w:t>
      </w:r>
      <w:r w:rsidR="00EC535C">
        <w:t>grāmatvedības</w:t>
      </w:r>
      <w:r w:rsidR="00EC535C">
        <w:rPr>
          <w:spacing w:val="-14"/>
        </w:rPr>
        <w:t xml:space="preserve"> </w:t>
      </w:r>
      <w:r w:rsidR="00EC535C">
        <w:t>programmā</w:t>
      </w:r>
      <w:r w:rsidR="00EC535C">
        <w:rPr>
          <w:spacing w:val="-12"/>
        </w:rPr>
        <w:t xml:space="preserve"> </w:t>
      </w:r>
      <w:r w:rsidR="00EC535C">
        <w:t>attiecīgi</w:t>
      </w:r>
      <w:r w:rsidR="00EC535C">
        <w:rPr>
          <w:spacing w:val="-12"/>
        </w:rPr>
        <w:t xml:space="preserve"> </w:t>
      </w:r>
      <w:r w:rsidR="00EC535C">
        <w:t>palielinot</w:t>
      </w:r>
      <w:r w:rsidR="00EC535C">
        <w:rPr>
          <w:spacing w:val="-12"/>
        </w:rPr>
        <w:t xml:space="preserve"> </w:t>
      </w:r>
      <w:r w:rsidR="00EC535C">
        <w:t>vai</w:t>
      </w:r>
      <w:r w:rsidR="00EC535C">
        <w:rPr>
          <w:spacing w:val="-13"/>
        </w:rPr>
        <w:t xml:space="preserve"> </w:t>
      </w:r>
      <w:r w:rsidR="00EC535C">
        <w:t>samazinot</w:t>
      </w:r>
      <w:r w:rsidR="00EC535C">
        <w:rPr>
          <w:spacing w:val="-12"/>
        </w:rPr>
        <w:t xml:space="preserve"> </w:t>
      </w:r>
      <w:r w:rsidR="00EC535C">
        <w:t>naudas</w:t>
      </w:r>
      <w:r w:rsidR="00EC535C">
        <w:rPr>
          <w:spacing w:val="-12"/>
        </w:rPr>
        <w:t xml:space="preserve"> </w:t>
      </w:r>
      <w:r w:rsidR="00EC535C">
        <w:t>līdzekļus</w:t>
      </w:r>
      <w:r w:rsidR="00EC535C">
        <w:rPr>
          <w:spacing w:val="-12"/>
        </w:rPr>
        <w:t xml:space="preserve"> </w:t>
      </w:r>
      <w:r w:rsidR="00EC535C">
        <w:t>un ieņēmumus.</w:t>
      </w:r>
    </w:p>
    <w:p w14:paraId="07A30521" w14:textId="77777777" w:rsidR="00EC535C" w:rsidRDefault="00C71736" w:rsidP="00CD363C">
      <w:pPr>
        <w:pStyle w:val="Pamatteksts"/>
        <w:ind w:right="113"/>
        <w:jc w:val="both"/>
      </w:pPr>
      <w:r>
        <w:rPr>
          <w:noProof/>
        </w:rPr>
        <w:t xml:space="preserve">952.  </w:t>
      </w:r>
      <w:r w:rsidR="00EC535C">
        <w:t>Gada beigās budžeta iestāde, kas izpilda valsts budžetu, valsts budžeta dotācijas no vispārējiem ieņēmumiem</w:t>
      </w:r>
      <w:r w:rsidR="00EC535C">
        <w:rPr>
          <w:spacing w:val="-12"/>
        </w:rPr>
        <w:t xml:space="preserve"> </w:t>
      </w:r>
      <w:r w:rsidR="00EC535C">
        <w:t>atlikumus</w:t>
      </w:r>
      <w:r w:rsidR="00EC535C">
        <w:rPr>
          <w:spacing w:val="-7"/>
        </w:rPr>
        <w:t xml:space="preserve"> </w:t>
      </w:r>
      <w:r w:rsidR="00EC535C">
        <w:t>salīdzina</w:t>
      </w:r>
      <w:r w:rsidR="00EC535C">
        <w:rPr>
          <w:spacing w:val="-8"/>
        </w:rPr>
        <w:t xml:space="preserve"> </w:t>
      </w:r>
      <w:r w:rsidR="00EC535C">
        <w:t>ar</w:t>
      </w:r>
      <w:r w:rsidR="00EC535C">
        <w:rPr>
          <w:spacing w:val="-10"/>
        </w:rPr>
        <w:t xml:space="preserve"> </w:t>
      </w:r>
      <w:r w:rsidR="00EC535C">
        <w:t>Valsts</w:t>
      </w:r>
      <w:r w:rsidR="00EC535C">
        <w:rPr>
          <w:spacing w:val="-8"/>
        </w:rPr>
        <w:t xml:space="preserve"> </w:t>
      </w:r>
      <w:r w:rsidR="00EC535C">
        <w:t>kases</w:t>
      </w:r>
      <w:r w:rsidR="00EC535C">
        <w:rPr>
          <w:spacing w:val="-8"/>
        </w:rPr>
        <w:t xml:space="preserve"> </w:t>
      </w:r>
      <w:r w:rsidR="00EC535C">
        <w:t>apstiprināto</w:t>
      </w:r>
      <w:r w:rsidR="00EC535C">
        <w:rPr>
          <w:spacing w:val="-11"/>
        </w:rPr>
        <w:t xml:space="preserve"> </w:t>
      </w:r>
      <w:r w:rsidR="00EC535C">
        <w:t>kontu</w:t>
      </w:r>
      <w:r w:rsidR="00EC535C">
        <w:rPr>
          <w:spacing w:val="-8"/>
        </w:rPr>
        <w:t xml:space="preserve"> </w:t>
      </w:r>
      <w:r w:rsidR="00EC535C">
        <w:t>kopsavilkuma</w:t>
      </w:r>
      <w:r w:rsidR="00EC535C">
        <w:rPr>
          <w:spacing w:val="-8"/>
        </w:rPr>
        <w:t xml:space="preserve"> </w:t>
      </w:r>
      <w:r w:rsidR="00EC535C">
        <w:t>pārskatu.</w:t>
      </w:r>
      <w:r w:rsidR="00EC535C">
        <w:rPr>
          <w:spacing w:val="-11"/>
        </w:rPr>
        <w:t xml:space="preserve"> </w:t>
      </w:r>
      <w:r w:rsidR="00EC535C">
        <w:t>Valsts kase normatīvajos aktos noteiktajos termiņos slēdz iepriekšējā saimnieciskajā gadā neizmantotos valsts</w:t>
      </w:r>
      <w:r w:rsidR="00EC535C">
        <w:rPr>
          <w:spacing w:val="-8"/>
        </w:rPr>
        <w:t xml:space="preserve"> </w:t>
      </w:r>
      <w:r w:rsidR="00EC535C">
        <w:t>budžeta</w:t>
      </w:r>
      <w:r w:rsidR="00EC535C">
        <w:rPr>
          <w:spacing w:val="-7"/>
        </w:rPr>
        <w:t xml:space="preserve"> </w:t>
      </w:r>
      <w:r w:rsidR="00EC535C">
        <w:t>asignējumus,</w:t>
      </w:r>
      <w:r w:rsidR="00EC535C">
        <w:rPr>
          <w:spacing w:val="-5"/>
        </w:rPr>
        <w:t xml:space="preserve"> </w:t>
      </w:r>
      <w:r w:rsidR="00EC535C">
        <w:t>attiecīgi</w:t>
      </w:r>
      <w:r w:rsidR="00EC535C">
        <w:rPr>
          <w:spacing w:val="-6"/>
        </w:rPr>
        <w:t xml:space="preserve"> </w:t>
      </w:r>
      <w:r w:rsidR="00EC535C">
        <w:t>samazinot</w:t>
      </w:r>
      <w:r w:rsidR="00EC535C">
        <w:rPr>
          <w:spacing w:val="-5"/>
        </w:rPr>
        <w:t xml:space="preserve"> </w:t>
      </w:r>
      <w:r w:rsidR="00EC535C">
        <w:t>piešķirto</w:t>
      </w:r>
      <w:r w:rsidR="00EC535C">
        <w:rPr>
          <w:spacing w:val="-5"/>
        </w:rPr>
        <w:t xml:space="preserve"> </w:t>
      </w:r>
      <w:r w:rsidR="00EC535C">
        <w:t>dotāciju</w:t>
      </w:r>
      <w:r w:rsidR="00EC535C">
        <w:rPr>
          <w:spacing w:val="-3"/>
        </w:rPr>
        <w:t xml:space="preserve"> </w:t>
      </w:r>
      <w:r w:rsidR="00EC535C">
        <w:t>no</w:t>
      </w:r>
      <w:r w:rsidR="00EC535C">
        <w:rPr>
          <w:spacing w:val="-5"/>
        </w:rPr>
        <w:t xml:space="preserve"> </w:t>
      </w:r>
      <w:r w:rsidR="00EC535C">
        <w:t>vispārējiem</w:t>
      </w:r>
      <w:r w:rsidR="00EC535C">
        <w:rPr>
          <w:spacing w:val="-9"/>
        </w:rPr>
        <w:t xml:space="preserve"> </w:t>
      </w:r>
      <w:r w:rsidR="00EC535C">
        <w:t>ieņēmumiem</w:t>
      </w:r>
      <w:r w:rsidR="00EC535C">
        <w:rPr>
          <w:spacing w:val="-8"/>
        </w:rPr>
        <w:t xml:space="preserve"> </w:t>
      </w:r>
      <w:r w:rsidR="00EC535C">
        <w:t>par slēdzamo asignējumu</w:t>
      </w:r>
      <w:r w:rsidR="00EC535C">
        <w:rPr>
          <w:spacing w:val="-1"/>
        </w:rPr>
        <w:t xml:space="preserve"> </w:t>
      </w:r>
      <w:r w:rsidR="00EC535C">
        <w:t>apjomu.</w:t>
      </w:r>
    </w:p>
    <w:p w14:paraId="14088886" w14:textId="77777777" w:rsidR="00EC535C" w:rsidRDefault="00C71736" w:rsidP="00CD363C">
      <w:pPr>
        <w:pStyle w:val="Pamatteksts"/>
        <w:ind w:right="113"/>
        <w:jc w:val="both"/>
      </w:pPr>
      <w:r>
        <w:rPr>
          <w:noProof/>
        </w:rPr>
        <w:t xml:space="preserve">953.    </w:t>
      </w:r>
      <w:r w:rsidR="00EC535C">
        <w:t>Pašvaldības dotāciju no vispārējiem ieņēmumiem piešķir atbilstoši pašvaldības iekšējos normatīvajos aktos noteiktajai kārtībai.</w:t>
      </w:r>
    </w:p>
    <w:p w14:paraId="266A45BD" w14:textId="77777777" w:rsidR="00EC535C" w:rsidRDefault="00C71736" w:rsidP="00CD363C">
      <w:pPr>
        <w:pStyle w:val="Pamatteksts"/>
        <w:ind w:right="113"/>
        <w:jc w:val="both"/>
      </w:pPr>
      <w:r>
        <w:rPr>
          <w:noProof/>
        </w:rPr>
        <w:t xml:space="preserve">954.    </w:t>
      </w:r>
      <w:r w:rsidR="00EC535C">
        <w:t>Valsts budžeta piešķirtās dotāciju no vispārējiem ieņēmumiem uzskaites procesa shēma attēlota</w:t>
      </w:r>
    </w:p>
    <w:p w14:paraId="56021AF5" w14:textId="77777777" w:rsidR="00EC535C" w:rsidRDefault="00C71736" w:rsidP="00CD363C">
      <w:pPr>
        <w:pStyle w:val="Sarakstarindkopa"/>
        <w:widowControl w:val="0"/>
        <w:tabs>
          <w:tab w:val="left" w:pos="1405"/>
        </w:tabs>
        <w:autoSpaceDE w:val="0"/>
        <w:autoSpaceDN w:val="0"/>
        <w:spacing w:after="0" w:line="240" w:lineRule="auto"/>
        <w:ind w:left="338" w:right="113"/>
        <w:jc w:val="both"/>
      </w:pPr>
      <w:r>
        <w:t>4.</w:t>
      </w:r>
      <w:r w:rsidR="00EC535C">
        <w:t>attēlā.</w:t>
      </w:r>
    </w:p>
    <w:p w14:paraId="29D104CB" w14:textId="77777777" w:rsidR="00EC535C" w:rsidRDefault="00EC535C" w:rsidP="00CD363C">
      <w:pPr>
        <w:pStyle w:val="Pamatteksts"/>
        <w:ind w:right="113"/>
        <w:jc w:val="both"/>
      </w:pPr>
    </w:p>
    <w:p w14:paraId="52B1A6C7"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045801A1"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F432F17"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0F7268A4"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325028B"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2DDF535B"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6B8DA11F"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36B2503"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077BC95"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7C8A6775"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eastAsia="lv"/>
        </w:rPr>
      </w:pPr>
    </w:p>
    <w:p w14:paraId="64AFF0B5"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val="lv" w:eastAsia="lv"/>
        </w:rPr>
      </w:pPr>
    </w:p>
    <w:p w14:paraId="4CB23DAC"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val="lv" w:eastAsia="lv"/>
        </w:rPr>
      </w:pPr>
    </w:p>
    <w:p w14:paraId="6CF4DB3B"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val="lv" w:eastAsia="lv"/>
        </w:rPr>
      </w:pPr>
    </w:p>
    <w:p w14:paraId="088B47EB" w14:textId="77777777" w:rsidR="006162DC" w:rsidRDefault="00973C47" w:rsidP="00CD363C">
      <w:pPr>
        <w:spacing w:after="0" w:line="240" w:lineRule="auto"/>
        <w:ind w:right="-142"/>
        <w:jc w:val="both"/>
        <w:rPr>
          <w:rFonts w:ascii="Times New Roman" w:hAnsi="Times New Roman" w:cs="Times New Roman"/>
          <w:color w:val="FF0000"/>
          <w:sz w:val="24"/>
          <w:szCs w:val="24"/>
        </w:rPr>
      </w:pPr>
      <w:r w:rsidRPr="00973C47">
        <w:rPr>
          <w:noProof/>
        </w:rPr>
        <w:drawing>
          <wp:inline distT="0" distB="0" distL="0" distR="0" wp14:anchorId="5CF6FB48" wp14:editId="0A12E595">
            <wp:extent cx="7619648" cy="554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37936" cy="5556855"/>
                    </a:xfrm>
                    <a:prstGeom prst="rect">
                      <a:avLst/>
                    </a:prstGeom>
                    <a:noFill/>
                    <a:ln>
                      <a:noFill/>
                    </a:ln>
                  </pic:spPr>
                </pic:pic>
              </a:graphicData>
            </a:graphic>
          </wp:inline>
        </w:drawing>
      </w:r>
    </w:p>
    <w:p w14:paraId="6252C1FC" w14:textId="77777777" w:rsidR="00241517" w:rsidRPr="00241517" w:rsidRDefault="00241517" w:rsidP="00CD363C">
      <w:pPr>
        <w:pStyle w:val="Sarakstarindkopa"/>
        <w:widowControl w:val="0"/>
        <w:numPr>
          <w:ilvl w:val="0"/>
          <w:numId w:val="69"/>
        </w:numPr>
        <w:tabs>
          <w:tab w:val="left" w:pos="5645"/>
        </w:tabs>
        <w:autoSpaceDE w:val="0"/>
        <w:autoSpaceDN w:val="0"/>
        <w:spacing w:after="0" w:line="240" w:lineRule="auto"/>
        <w:ind w:right="-142" w:hanging="151"/>
        <w:contextualSpacing w:val="0"/>
        <w:jc w:val="both"/>
        <w:rPr>
          <w:i/>
          <w:iCs/>
          <w:sz w:val="18"/>
        </w:rPr>
      </w:pPr>
      <w:r w:rsidRPr="00241517">
        <w:rPr>
          <w:rFonts w:ascii="Times New Roman" w:hAnsi="Times New Roman" w:cs="Times New Roman"/>
          <w:i/>
          <w:iCs/>
          <w:sz w:val="24"/>
          <w:szCs w:val="24"/>
        </w:rPr>
        <w:t xml:space="preserve">.attēls  </w:t>
      </w:r>
      <w:r w:rsidRPr="00241517">
        <w:rPr>
          <w:i/>
          <w:iCs/>
          <w:sz w:val="20"/>
        </w:rPr>
        <w:t>Valsts budžeta dotācija no vispārējiem ieņēmumiem</w:t>
      </w:r>
    </w:p>
    <w:p w14:paraId="1BE8C28E" w14:textId="77777777" w:rsidR="00241517" w:rsidRPr="00241517" w:rsidRDefault="00241517" w:rsidP="00CD363C">
      <w:pPr>
        <w:pStyle w:val="Pamatteksts"/>
        <w:ind w:right="-142"/>
        <w:jc w:val="both"/>
        <w:rPr>
          <w:i/>
          <w:iCs/>
          <w:sz w:val="20"/>
        </w:rPr>
      </w:pPr>
    </w:p>
    <w:p w14:paraId="4B7C8B8A" w14:textId="77777777" w:rsidR="00241517" w:rsidRPr="00241517" w:rsidRDefault="00241517" w:rsidP="00CD363C">
      <w:pPr>
        <w:pStyle w:val="Pamatteksts"/>
        <w:ind w:right="-142"/>
        <w:jc w:val="both"/>
        <w:rPr>
          <w:i/>
          <w:iCs/>
          <w:sz w:val="20"/>
        </w:rPr>
      </w:pPr>
    </w:p>
    <w:p w14:paraId="040211B1" w14:textId="77777777" w:rsidR="006162DC" w:rsidRPr="004A085E" w:rsidRDefault="00241517" w:rsidP="00CD363C">
      <w:pPr>
        <w:spacing w:after="0" w:line="240" w:lineRule="auto"/>
        <w:ind w:left="568" w:right="-142"/>
        <w:jc w:val="both"/>
        <w:rPr>
          <w:rFonts w:ascii="Times New Roman" w:hAnsi="Times New Roman" w:cs="Times New Roman"/>
          <w:b/>
          <w:bCs/>
          <w:sz w:val="24"/>
          <w:szCs w:val="24"/>
        </w:rPr>
      </w:pPr>
      <w:r w:rsidRPr="004A085E">
        <w:rPr>
          <w:rFonts w:ascii="Times New Roman" w:hAnsi="Times New Roman" w:cs="Times New Roman"/>
          <w:b/>
          <w:bCs/>
          <w:sz w:val="24"/>
          <w:szCs w:val="24"/>
        </w:rPr>
        <w:t>Grāmatojumi</w:t>
      </w:r>
    </w:p>
    <w:p w14:paraId="5E6D5DA2" w14:textId="77777777" w:rsidR="006162DC" w:rsidRPr="00241517" w:rsidRDefault="00241517" w:rsidP="00CD363C">
      <w:pPr>
        <w:spacing w:after="0" w:line="240" w:lineRule="auto"/>
        <w:ind w:right="-142"/>
        <w:jc w:val="both"/>
        <w:rPr>
          <w:rFonts w:ascii="Times New Roman" w:hAnsi="Times New Roman" w:cs="Times New Roman"/>
          <w:sz w:val="24"/>
          <w:szCs w:val="24"/>
        </w:rPr>
      </w:pPr>
      <w:r w:rsidRPr="00241517">
        <w:rPr>
          <w:rFonts w:ascii="Times New Roman" w:hAnsi="Times New Roman" w:cs="Times New Roman"/>
          <w:sz w:val="24"/>
          <w:szCs w:val="24"/>
        </w:rPr>
        <w:t>955.   Ieņēmumus no dotācijas no vispārējiem ieņēmumiem uzskaita dienā, kad naudas līdzekļi saņemti budžeta iestādes kontā Valsts kasē vai saņemti pašvaldības kontā kredītiestādē. Dotācijas no vispārējiem ieņēmumiem saņemšanas dienā, pamatojoties uz Valsts kases vai kredītiestādes konta izrakstu, veic šādu grāmatojumu:</w:t>
      </w:r>
    </w:p>
    <w:p w14:paraId="24AE01BF" w14:textId="77777777" w:rsidR="006162DC" w:rsidRPr="00241517" w:rsidRDefault="00241517" w:rsidP="00CD363C">
      <w:pPr>
        <w:spacing w:after="0" w:line="240" w:lineRule="auto"/>
        <w:ind w:right="-142"/>
        <w:jc w:val="both"/>
        <w:rPr>
          <w:rFonts w:ascii="Times New Roman" w:hAnsi="Times New Roman" w:cs="Times New Roman"/>
          <w:b/>
          <w:bCs/>
          <w:sz w:val="24"/>
          <w:szCs w:val="24"/>
        </w:rPr>
      </w:pPr>
      <w:r w:rsidRPr="00241517">
        <w:rPr>
          <w:rFonts w:ascii="Times New Roman" w:hAnsi="Times New Roman" w:cs="Times New Roman"/>
          <w:b/>
          <w:bCs/>
          <w:sz w:val="24"/>
          <w:szCs w:val="24"/>
        </w:rPr>
        <w:t xml:space="preserve">    D    2620   Naudas konti Valsts kasē vai kredītiestādēs</w:t>
      </w:r>
    </w:p>
    <w:p w14:paraId="4285B376" w14:textId="77777777" w:rsidR="006162DC" w:rsidRPr="00241517" w:rsidRDefault="00241517" w:rsidP="00CD363C">
      <w:pPr>
        <w:spacing w:after="0" w:line="240" w:lineRule="auto"/>
        <w:ind w:right="-142"/>
        <w:jc w:val="both"/>
        <w:rPr>
          <w:rFonts w:ascii="Times New Roman" w:hAnsi="Times New Roman" w:cs="Times New Roman"/>
          <w:b/>
          <w:bCs/>
          <w:sz w:val="24"/>
          <w:szCs w:val="24"/>
        </w:rPr>
      </w:pPr>
      <w:r w:rsidRPr="00241517">
        <w:rPr>
          <w:rFonts w:ascii="Times New Roman" w:hAnsi="Times New Roman" w:cs="Times New Roman"/>
          <w:b/>
          <w:bCs/>
          <w:sz w:val="24"/>
          <w:szCs w:val="24"/>
        </w:rPr>
        <w:t xml:space="preserve">    K    6000   </w:t>
      </w:r>
      <w:r>
        <w:rPr>
          <w:rFonts w:ascii="Times New Roman" w:hAnsi="Times New Roman" w:cs="Times New Roman"/>
          <w:b/>
          <w:bCs/>
          <w:sz w:val="24"/>
          <w:szCs w:val="24"/>
        </w:rPr>
        <w:t>P</w:t>
      </w:r>
      <w:r w:rsidRPr="00241517">
        <w:rPr>
          <w:rFonts w:ascii="Times New Roman" w:hAnsi="Times New Roman" w:cs="Times New Roman"/>
          <w:b/>
          <w:bCs/>
          <w:sz w:val="24"/>
          <w:szCs w:val="24"/>
        </w:rPr>
        <w:t>amatdarbības ieņēmumi</w:t>
      </w:r>
    </w:p>
    <w:p w14:paraId="1E427CC0" w14:textId="77777777" w:rsidR="00241517" w:rsidRPr="0001718B" w:rsidRDefault="00241517" w:rsidP="00CD363C">
      <w:pPr>
        <w:pStyle w:val="Pamatteksts"/>
        <w:ind w:right="-142"/>
        <w:jc w:val="both"/>
        <w:rPr>
          <w:sz w:val="24"/>
          <w:szCs w:val="24"/>
        </w:rPr>
      </w:pPr>
      <w:r w:rsidRPr="00241517">
        <w:rPr>
          <w:noProof/>
          <w:sz w:val="24"/>
          <w:szCs w:val="24"/>
        </w:rPr>
        <w:t xml:space="preserve">956.    </w:t>
      </w:r>
      <w:r w:rsidRPr="00241517">
        <w:rPr>
          <w:sz w:val="24"/>
          <w:szCs w:val="24"/>
        </w:rPr>
        <w:t xml:space="preserve">Ieņēmumu samazinājumu, tai skaitā piešķirtās dotācijas no vispārējiem ieņēmumiem samazinājumu par slēdzamo asignējumu apjomu, uzskaita dienā, kad naudas līdzekļi samazināti attiecīgajā budžeta iestādes kontā Valsts kasē vai pārskaitīti no pašvaldības konta kredītiestādē. </w:t>
      </w:r>
      <w:r w:rsidRPr="0001718B">
        <w:rPr>
          <w:sz w:val="24"/>
          <w:szCs w:val="24"/>
        </w:rPr>
        <w:t>Dotācijas no vispārējiem ieņēmumiem samazināšanas dienā, pamatojoties uz Valsts kases vai kredītiestādes konta izrakstu, veic šādu grāmatojumu:</w:t>
      </w:r>
    </w:p>
    <w:p w14:paraId="77B8A524" w14:textId="77777777" w:rsidR="006162DC" w:rsidRPr="0001718B" w:rsidRDefault="00241517" w:rsidP="00CD363C">
      <w:pPr>
        <w:spacing w:after="0" w:line="240" w:lineRule="auto"/>
        <w:ind w:right="-142"/>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D    6000   Pamatdarbības ieņēmumi   </w:t>
      </w:r>
    </w:p>
    <w:p w14:paraId="01A45CA7" w14:textId="77777777" w:rsidR="006162DC" w:rsidRPr="0001718B" w:rsidRDefault="00241517"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2620   Naudas konti Valsts kasē vai kredītiestādēs</w:t>
      </w:r>
    </w:p>
    <w:p w14:paraId="19832ED7" w14:textId="77777777" w:rsidR="006162DC" w:rsidRPr="0001718B" w:rsidRDefault="004A085E" w:rsidP="00CD363C">
      <w:pPr>
        <w:spacing w:after="0" w:line="240" w:lineRule="auto"/>
        <w:ind w:right="113"/>
        <w:jc w:val="both"/>
        <w:rPr>
          <w:rFonts w:ascii="Times New Roman" w:hAnsi="Times New Roman" w:cs="Times New Roman"/>
          <w:b/>
          <w:bCs/>
          <w:i/>
          <w:iCs/>
          <w:color w:val="2F5496" w:themeColor="accent1" w:themeShade="BF"/>
          <w:sz w:val="24"/>
          <w:szCs w:val="24"/>
        </w:rPr>
      </w:pPr>
      <w:r>
        <w:rPr>
          <w:rFonts w:ascii="Times New Roman" w:hAnsi="Times New Roman" w:cs="Times New Roman"/>
          <w:b/>
          <w:bCs/>
          <w:i/>
          <w:iCs/>
          <w:color w:val="2F5496" w:themeColor="accent1" w:themeShade="BF"/>
          <w:sz w:val="24"/>
          <w:szCs w:val="24"/>
        </w:rPr>
        <w:t>2.2.3.1.2.</w:t>
      </w:r>
      <w:r w:rsidR="00241517" w:rsidRPr="0001718B">
        <w:rPr>
          <w:rFonts w:ascii="Times New Roman" w:hAnsi="Times New Roman" w:cs="Times New Roman"/>
          <w:b/>
          <w:bCs/>
          <w:i/>
          <w:iCs/>
          <w:color w:val="2F5496" w:themeColor="accent1" w:themeShade="BF"/>
          <w:sz w:val="24"/>
          <w:szCs w:val="24"/>
        </w:rPr>
        <w:t>Transferti</w:t>
      </w:r>
    </w:p>
    <w:p w14:paraId="58A89C1D" w14:textId="77777777" w:rsidR="006162DC" w:rsidRPr="004A085E" w:rsidRDefault="00241517" w:rsidP="00CD363C">
      <w:pPr>
        <w:spacing w:after="0" w:line="240" w:lineRule="auto"/>
        <w:ind w:left="568" w:right="113"/>
        <w:jc w:val="both"/>
        <w:rPr>
          <w:rFonts w:ascii="Times New Roman" w:hAnsi="Times New Roman" w:cs="Times New Roman"/>
          <w:b/>
          <w:bCs/>
          <w:sz w:val="24"/>
          <w:szCs w:val="24"/>
        </w:rPr>
      </w:pPr>
      <w:r w:rsidRPr="004A085E">
        <w:rPr>
          <w:rFonts w:ascii="Times New Roman" w:hAnsi="Times New Roman" w:cs="Times New Roman"/>
          <w:b/>
          <w:bCs/>
          <w:sz w:val="24"/>
          <w:szCs w:val="24"/>
        </w:rPr>
        <w:t>Grāmatvedības uzskaites principi</w:t>
      </w:r>
    </w:p>
    <w:p w14:paraId="5779D7BE" w14:textId="77777777" w:rsidR="00465395"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957.    Budžeta iestāde atzīst aktīvus un ieņēmumus no transfertiem, ja tie atbilst aktīva un ieņēmumu atzīšanas kritērijiem.</w:t>
      </w:r>
    </w:p>
    <w:p w14:paraId="78567607" w14:textId="77777777" w:rsidR="00465395"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958.   Transferta saņēmējs var būt valsts budžeta iestāde, pašvaldība un pašvaldības budžeta iestāde, no valsts/pašvaldības budžeta pilnīgi vai daļēji finansēta atvasināta publiska persona un budžeta nefinansētas iestādes. Transferta saņēmējs saņemto budžeta līdzekļu pārskaitījumu var izmantot gan izdevumu segšanai, gan pārskaitīšanai tālāk citam transferta saņēmējam.</w:t>
      </w:r>
    </w:p>
    <w:p w14:paraId="27FADADD" w14:textId="77777777" w:rsidR="00465395"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959.  Transfertu pārskaitījumus starp budžeta veidiem veic atbilstoši spēkā esošo normatīvo aktu prasībām.</w:t>
      </w:r>
    </w:p>
    <w:p w14:paraId="5DAB0E8D" w14:textId="77777777" w:rsidR="006162DC"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 xml:space="preserve">960. Transfertu uzskaiti nodrošina atbilstoši budžetu ieņēmumu klasifikācijā noteiktajām kategorijām. </w:t>
      </w:r>
    </w:p>
    <w:p w14:paraId="065A0EE5" w14:textId="77777777" w:rsidR="002C583D" w:rsidRPr="0001718B" w:rsidRDefault="002C583D" w:rsidP="00CD363C">
      <w:pPr>
        <w:spacing w:after="0" w:line="240" w:lineRule="auto"/>
        <w:ind w:right="113"/>
        <w:jc w:val="both"/>
        <w:rPr>
          <w:rFonts w:ascii="Times New Roman" w:hAnsi="Times New Roman" w:cs="Times New Roman"/>
          <w:b/>
          <w:bCs/>
          <w:color w:val="FF0000"/>
          <w:sz w:val="24"/>
          <w:szCs w:val="24"/>
        </w:rPr>
      </w:pPr>
      <w:r w:rsidRPr="0001718B">
        <w:rPr>
          <w:rFonts w:ascii="Times New Roman" w:hAnsi="Times New Roman" w:cs="Times New Roman"/>
          <w:b/>
          <w:bCs/>
          <w:sz w:val="24"/>
          <w:szCs w:val="24"/>
        </w:rPr>
        <w:t xml:space="preserve">   Grāmatojumi</w:t>
      </w:r>
    </w:p>
    <w:p w14:paraId="47FA083C" w14:textId="77777777" w:rsidR="002C583D" w:rsidRPr="0001718B" w:rsidRDefault="002C583D" w:rsidP="00CD363C">
      <w:pPr>
        <w:pStyle w:val="Pamatteksts"/>
        <w:ind w:right="113"/>
        <w:jc w:val="both"/>
        <w:rPr>
          <w:sz w:val="24"/>
          <w:szCs w:val="24"/>
        </w:rPr>
      </w:pPr>
      <w:r w:rsidRPr="0001718B">
        <w:rPr>
          <w:noProof/>
          <w:sz w:val="24"/>
          <w:szCs w:val="24"/>
        </w:rPr>
        <w:t xml:space="preserve">960.   </w:t>
      </w:r>
      <w:r w:rsidRPr="0001718B">
        <w:rPr>
          <w:b/>
          <w:sz w:val="24"/>
          <w:szCs w:val="24"/>
        </w:rPr>
        <w:t xml:space="preserve">Avansā saņemtie transferti – </w:t>
      </w:r>
      <w:r w:rsidRPr="0001718B">
        <w:rPr>
          <w:sz w:val="24"/>
          <w:szCs w:val="24"/>
        </w:rPr>
        <w:t>gadījumos, kad budžeta iestāde (transferta pārskaitītājs) saskaņā ar normatīvajiem aktiem budžeta un finanšu jomā vai attaisnojuma dokumentu par avansa pieprasījumu veic citai budžeta iestādei (transferta saņēmējs) transferta pārskaitījumu avansā, transferta saņēmēja budžeta iestāde atzīst avansā saņemtos transfertus.</w:t>
      </w:r>
    </w:p>
    <w:p w14:paraId="5E1AC39B" w14:textId="77777777" w:rsidR="002C583D" w:rsidRPr="0001718B" w:rsidRDefault="002C583D" w:rsidP="00CD363C">
      <w:pPr>
        <w:pStyle w:val="Pamatteksts"/>
        <w:ind w:right="113"/>
        <w:jc w:val="both"/>
        <w:rPr>
          <w:sz w:val="24"/>
          <w:szCs w:val="24"/>
        </w:rPr>
      </w:pPr>
      <w:r w:rsidRPr="0001718B">
        <w:rPr>
          <w:sz w:val="24"/>
          <w:szCs w:val="24"/>
        </w:rPr>
        <w:t>961.    Transferta saņēmējs pārveduma saņemšanas dienā palielina naudas līdzekļus norēķinu kontā un atzīst saistības par avansā saņemto transfertu, veicot šādu grāmatojumu:</w:t>
      </w:r>
    </w:p>
    <w:p w14:paraId="43CEFB08" w14:textId="77777777" w:rsidR="006162DC" w:rsidRPr="0001718B" w:rsidRDefault="002C583D"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color w:val="FF0000"/>
          <w:sz w:val="24"/>
          <w:szCs w:val="24"/>
        </w:rPr>
        <w:t xml:space="preserve">    </w:t>
      </w:r>
      <w:r w:rsidRPr="0001718B">
        <w:rPr>
          <w:rFonts w:ascii="Times New Roman" w:hAnsi="Times New Roman" w:cs="Times New Roman"/>
          <w:b/>
          <w:bCs/>
          <w:sz w:val="24"/>
          <w:szCs w:val="24"/>
        </w:rPr>
        <w:t xml:space="preserve">D    2620   </w:t>
      </w:r>
      <w:r w:rsidR="001D30C9" w:rsidRPr="0001718B">
        <w:rPr>
          <w:rFonts w:ascii="Times New Roman" w:hAnsi="Times New Roman" w:cs="Times New Roman"/>
          <w:b/>
          <w:bCs/>
          <w:sz w:val="24"/>
          <w:szCs w:val="24"/>
        </w:rPr>
        <w:t>Naudas konti Valsts kasē vai kredītiestādēs</w:t>
      </w:r>
    </w:p>
    <w:p w14:paraId="7681470E" w14:textId="77777777" w:rsidR="001D30C9"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5930   Avansā saņemtie transferti</w:t>
      </w:r>
    </w:p>
    <w:p w14:paraId="588FEC87" w14:textId="77777777" w:rsidR="006162DC"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sz w:val="24"/>
          <w:szCs w:val="24"/>
        </w:rPr>
        <w:t>962.  Pārskata perioda laikā atbilstoši saņemtajiem attaisnojuma dokumentiem par attaisnotajiem (atzītajiem)</w:t>
      </w:r>
      <w:r w:rsidRPr="0001718B">
        <w:rPr>
          <w:rFonts w:ascii="Times New Roman" w:hAnsi="Times New Roman" w:cs="Times New Roman"/>
          <w:spacing w:val="-5"/>
          <w:sz w:val="24"/>
          <w:szCs w:val="24"/>
        </w:rPr>
        <w:t xml:space="preserve"> </w:t>
      </w:r>
      <w:r w:rsidRPr="0001718B">
        <w:rPr>
          <w:rFonts w:ascii="Times New Roman" w:hAnsi="Times New Roman" w:cs="Times New Roman"/>
          <w:sz w:val="24"/>
          <w:szCs w:val="24"/>
        </w:rPr>
        <w:t>izdevumiem,</w:t>
      </w:r>
      <w:r w:rsidRPr="0001718B">
        <w:rPr>
          <w:rFonts w:ascii="Times New Roman" w:hAnsi="Times New Roman" w:cs="Times New Roman"/>
          <w:spacing w:val="-2"/>
          <w:sz w:val="24"/>
          <w:szCs w:val="24"/>
        </w:rPr>
        <w:t xml:space="preserve"> </w:t>
      </w:r>
      <w:r w:rsidRPr="0001718B">
        <w:rPr>
          <w:rFonts w:ascii="Times New Roman" w:hAnsi="Times New Roman" w:cs="Times New Roman"/>
          <w:sz w:val="24"/>
          <w:szCs w:val="24"/>
        </w:rPr>
        <w:t>kā</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arī</w:t>
      </w:r>
      <w:r w:rsidRPr="0001718B">
        <w:rPr>
          <w:rFonts w:ascii="Times New Roman" w:hAnsi="Times New Roman" w:cs="Times New Roman"/>
          <w:spacing w:val="-6"/>
          <w:sz w:val="24"/>
          <w:szCs w:val="24"/>
        </w:rPr>
        <w:t xml:space="preserve"> </w:t>
      </w:r>
      <w:r w:rsidRPr="0001718B">
        <w:rPr>
          <w:rFonts w:ascii="Times New Roman" w:hAnsi="Times New Roman" w:cs="Times New Roman"/>
          <w:sz w:val="24"/>
          <w:szCs w:val="24"/>
        </w:rPr>
        <w:t>ja</w:t>
      </w:r>
      <w:r w:rsidRPr="0001718B">
        <w:rPr>
          <w:rFonts w:ascii="Times New Roman" w:hAnsi="Times New Roman" w:cs="Times New Roman"/>
          <w:spacing w:val="-5"/>
          <w:sz w:val="24"/>
          <w:szCs w:val="24"/>
        </w:rPr>
        <w:t xml:space="preserve"> </w:t>
      </w:r>
      <w:r w:rsidRPr="0001718B">
        <w:rPr>
          <w:rFonts w:ascii="Times New Roman" w:hAnsi="Times New Roman" w:cs="Times New Roman"/>
          <w:sz w:val="24"/>
          <w:szCs w:val="24"/>
        </w:rPr>
        <w:t>apstiprinājums</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saņemts</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līdz</w:t>
      </w:r>
      <w:r w:rsidRPr="0001718B">
        <w:rPr>
          <w:rFonts w:ascii="Times New Roman" w:hAnsi="Times New Roman" w:cs="Times New Roman"/>
          <w:spacing w:val="-7"/>
          <w:sz w:val="24"/>
          <w:szCs w:val="24"/>
        </w:rPr>
        <w:t xml:space="preserve"> </w:t>
      </w:r>
      <w:r w:rsidRPr="0001718B">
        <w:rPr>
          <w:rFonts w:ascii="Times New Roman" w:hAnsi="Times New Roman" w:cs="Times New Roman"/>
          <w:sz w:val="24"/>
          <w:szCs w:val="24"/>
        </w:rPr>
        <w:t>nākamā</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pārskata</w:t>
      </w:r>
      <w:r w:rsidRPr="0001718B">
        <w:rPr>
          <w:rFonts w:ascii="Times New Roman" w:hAnsi="Times New Roman" w:cs="Times New Roman"/>
          <w:spacing w:val="-5"/>
          <w:sz w:val="24"/>
          <w:szCs w:val="24"/>
        </w:rPr>
        <w:t xml:space="preserve"> </w:t>
      </w:r>
      <w:r w:rsidRPr="0001718B">
        <w:rPr>
          <w:rFonts w:ascii="Times New Roman" w:hAnsi="Times New Roman" w:cs="Times New Roman"/>
          <w:sz w:val="24"/>
          <w:szCs w:val="24"/>
        </w:rPr>
        <w:t>gada</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31.janvārim, samazina avansā atzīto transfertu un atzīst pārskata perioda ieņēmumus, veicot šādu grāmatojumu :</w:t>
      </w:r>
    </w:p>
    <w:p w14:paraId="2471EE68" w14:textId="77777777" w:rsidR="006162DC"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color w:val="FF0000"/>
          <w:sz w:val="24"/>
          <w:szCs w:val="24"/>
        </w:rPr>
        <w:t xml:space="preserve">    </w:t>
      </w:r>
      <w:r w:rsidRPr="0001718B">
        <w:rPr>
          <w:rFonts w:ascii="Times New Roman" w:hAnsi="Times New Roman" w:cs="Times New Roman"/>
          <w:b/>
          <w:bCs/>
          <w:sz w:val="24"/>
          <w:szCs w:val="24"/>
        </w:rPr>
        <w:t>D    5930   Avansā saņemtie transferti</w:t>
      </w:r>
    </w:p>
    <w:p w14:paraId="41D3CCD2" w14:textId="77777777" w:rsidR="001D30C9"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6000   Pamatdarbības ieņēmumi</w:t>
      </w:r>
    </w:p>
    <w:p w14:paraId="7565613D" w14:textId="77777777" w:rsidR="006162DC" w:rsidRPr="0001718B" w:rsidRDefault="00FD1FD3" w:rsidP="00CD363C">
      <w:pPr>
        <w:spacing w:after="0" w:line="240" w:lineRule="auto"/>
        <w:ind w:right="113"/>
        <w:jc w:val="both"/>
        <w:rPr>
          <w:rFonts w:ascii="Times New Roman" w:hAnsi="Times New Roman" w:cs="Times New Roman"/>
          <w:color w:val="FF0000"/>
          <w:sz w:val="24"/>
          <w:szCs w:val="24"/>
        </w:rPr>
      </w:pPr>
      <w:r w:rsidRPr="0001718B">
        <w:rPr>
          <w:rFonts w:ascii="Times New Roman" w:hAnsi="Times New Roman" w:cs="Times New Roman"/>
          <w:color w:val="FF0000"/>
          <w:sz w:val="24"/>
          <w:szCs w:val="24"/>
        </w:rPr>
        <w:t xml:space="preserve"> Rēzeknes novada pašvaldības iestādes  līdz nākamā pārskata gada 25. janvārim iesniedz Rēzeknes novada domei, kā transferta pārskaitītājam atskaiti, par</w:t>
      </w:r>
      <w:r w:rsidR="00B25A78" w:rsidRPr="0001718B">
        <w:rPr>
          <w:rFonts w:ascii="Times New Roman" w:hAnsi="Times New Roman" w:cs="Times New Roman"/>
          <w:color w:val="FF0000"/>
          <w:sz w:val="24"/>
          <w:szCs w:val="24"/>
        </w:rPr>
        <w:t xml:space="preserve"> saņemtā</w:t>
      </w:r>
      <w:r w:rsidRPr="0001718B">
        <w:rPr>
          <w:rFonts w:ascii="Times New Roman" w:hAnsi="Times New Roman" w:cs="Times New Roman"/>
          <w:color w:val="FF0000"/>
          <w:sz w:val="24"/>
          <w:szCs w:val="24"/>
        </w:rPr>
        <w:t xml:space="preserve"> transferta izlietojumu, kurā </w:t>
      </w:r>
      <w:r w:rsidR="00E514F2" w:rsidRPr="0001718B">
        <w:rPr>
          <w:rFonts w:ascii="Times New Roman" w:hAnsi="Times New Roman" w:cs="Times New Roman"/>
          <w:color w:val="FF0000"/>
          <w:sz w:val="24"/>
          <w:szCs w:val="24"/>
        </w:rPr>
        <w:t xml:space="preserve">uzrāda </w:t>
      </w:r>
      <w:r w:rsidR="00B25A78" w:rsidRPr="0001718B">
        <w:rPr>
          <w:rFonts w:ascii="Times New Roman" w:hAnsi="Times New Roman" w:cs="Times New Roman"/>
          <w:color w:val="FF0000"/>
          <w:sz w:val="24"/>
          <w:szCs w:val="24"/>
        </w:rPr>
        <w:t>saņemtos ieņēmumus  no savas p</w:t>
      </w:r>
      <w:r w:rsidR="00E514F2" w:rsidRPr="0001718B">
        <w:rPr>
          <w:rFonts w:ascii="Times New Roman" w:hAnsi="Times New Roman" w:cs="Times New Roman"/>
          <w:color w:val="FF0000"/>
          <w:sz w:val="24"/>
          <w:szCs w:val="24"/>
        </w:rPr>
        <w:t xml:space="preserve">ašvaldības transfertiem </w:t>
      </w:r>
      <w:r w:rsidR="00B25A78" w:rsidRPr="0001718B">
        <w:rPr>
          <w:rFonts w:ascii="Times New Roman" w:hAnsi="Times New Roman" w:cs="Times New Roman"/>
          <w:color w:val="FF0000"/>
          <w:sz w:val="24"/>
          <w:szCs w:val="24"/>
        </w:rPr>
        <w:t>, pa budžeta veidiem, kā arī izdevumus, pa izdevumu ekonomiskās klasifikācijas kodiem</w:t>
      </w:r>
      <w:r w:rsidR="000B3AA1" w:rsidRPr="0001718B">
        <w:rPr>
          <w:rFonts w:ascii="Times New Roman" w:hAnsi="Times New Roman" w:cs="Times New Roman"/>
          <w:color w:val="FF0000"/>
          <w:sz w:val="24"/>
          <w:szCs w:val="24"/>
        </w:rPr>
        <w:t>, pa budžeta veidiem</w:t>
      </w:r>
      <w:r w:rsidR="00B25A78" w:rsidRPr="0001718B">
        <w:rPr>
          <w:rFonts w:ascii="Times New Roman" w:hAnsi="Times New Roman" w:cs="Times New Roman"/>
          <w:color w:val="FF0000"/>
          <w:sz w:val="24"/>
          <w:szCs w:val="24"/>
        </w:rPr>
        <w:t xml:space="preserve"> ņemot vērā mēneša pārskatus par budžeta izpildi un atskaitot no kopējiem izdevumiem tādus izdevumus, kuri veikti no cita veida </w:t>
      </w:r>
      <w:r w:rsidR="000B3AA1" w:rsidRPr="0001718B">
        <w:rPr>
          <w:rFonts w:ascii="Times New Roman" w:hAnsi="Times New Roman" w:cs="Times New Roman"/>
          <w:color w:val="FF0000"/>
          <w:sz w:val="24"/>
          <w:szCs w:val="24"/>
        </w:rPr>
        <w:t>gūtajiem ieņēmumiem  ( piem. maksas pakalpojumiem, nenodokļu ieņēmumiem u.t.t.).</w:t>
      </w:r>
    </w:p>
    <w:p w14:paraId="4D504FE7" w14:textId="77777777" w:rsidR="006162DC" w:rsidRPr="0001718B" w:rsidRDefault="000B3AA1" w:rsidP="00CD363C">
      <w:pPr>
        <w:spacing w:after="0" w:line="240" w:lineRule="auto"/>
        <w:ind w:right="113"/>
        <w:jc w:val="both"/>
        <w:rPr>
          <w:rFonts w:ascii="Times New Roman" w:hAnsi="Times New Roman" w:cs="Times New Roman"/>
          <w:color w:val="FF0000"/>
          <w:sz w:val="24"/>
          <w:szCs w:val="24"/>
        </w:rPr>
      </w:pPr>
      <w:r w:rsidRPr="0001718B">
        <w:rPr>
          <w:rFonts w:ascii="Times New Roman" w:hAnsi="Times New Roman" w:cs="Times New Roman"/>
          <w:color w:val="FF0000"/>
          <w:sz w:val="24"/>
          <w:szCs w:val="24"/>
        </w:rPr>
        <w:t>Rēzeknes novada dome  , pēc saņemtajām atskaitēm par transferta izlietojumu, atzīst izdevumus un informē pašvaldības iestādes , lai atzītu ieņēmumus.</w:t>
      </w:r>
    </w:p>
    <w:p w14:paraId="1D163CBE" w14:textId="77777777" w:rsidR="006527D2" w:rsidRPr="0001718B" w:rsidRDefault="006527D2" w:rsidP="00CD363C">
      <w:pPr>
        <w:pStyle w:val="Pamatteksts"/>
        <w:ind w:right="113"/>
        <w:jc w:val="both"/>
        <w:rPr>
          <w:sz w:val="24"/>
          <w:szCs w:val="24"/>
        </w:rPr>
      </w:pPr>
      <w:r w:rsidRPr="0001718B">
        <w:rPr>
          <w:noProof/>
          <w:sz w:val="24"/>
          <w:szCs w:val="24"/>
        </w:rPr>
        <w:t xml:space="preserve">963.  </w:t>
      </w:r>
      <w:r w:rsidRPr="0001718B">
        <w:rPr>
          <w:sz w:val="24"/>
          <w:szCs w:val="24"/>
        </w:rPr>
        <w:t>Ja transferta izlietojumu apstiprina pēc nākamā pārskata gada 31.janvāra, budžeta iestāde atzīst transferta ieņēmumus kā pārējos iepriekšējo gadu ieņēmumus tajā pārskata gadā,</w:t>
      </w:r>
      <w:r w:rsidRPr="0001718B">
        <w:rPr>
          <w:spacing w:val="-41"/>
          <w:sz w:val="24"/>
          <w:szCs w:val="24"/>
        </w:rPr>
        <w:t xml:space="preserve"> </w:t>
      </w:r>
      <w:r w:rsidRPr="0001718B">
        <w:rPr>
          <w:sz w:val="24"/>
          <w:szCs w:val="24"/>
        </w:rPr>
        <w:t>kurā apstiprināts transferta</w:t>
      </w:r>
      <w:r w:rsidRPr="0001718B">
        <w:rPr>
          <w:spacing w:val="-3"/>
          <w:sz w:val="24"/>
          <w:szCs w:val="24"/>
        </w:rPr>
        <w:t xml:space="preserve"> </w:t>
      </w:r>
      <w:r w:rsidRPr="0001718B">
        <w:rPr>
          <w:sz w:val="24"/>
          <w:szCs w:val="24"/>
        </w:rPr>
        <w:t>izlietojums, veic šādu grāmatojumu:</w:t>
      </w:r>
    </w:p>
    <w:p w14:paraId="7925071B" w14:textId="77777777" w:rsidR="006527D2"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D    5930   Avansā saņemtie transferti</w:t>
      </w:r>
    </w:p>
    <w:p w14:paraId="1C8E9EF5" w14:textId="77777777" w:rsidR="006527D2"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8753   Transferta ieņēmumi , kas attiecas uz iepriekšējiem pārskata gadiem</w:t>
      </w:r>
    </w:p>
    <w:p w14:paraId="2674D221" w14:textId="77777777" w:rsidR="006527D2" w:rsidRPr="0001718B" w:rsidRDefault="006527D2" w:rsidP="00CD363C">
      <w:pPr>
        <w:pStyle w:val="Pamatteksts"/>
        <w:ind w:right="113"/>
        <w:jc w:val="both"/>
        <w:rPr>
          <w:sz w:val="24"/>
          <w:szCs w:val="24"/>
        </w:rPr>
      </w:pPr>
      <w:r w:rsidRPr="0001718B">
        <w:rPr>
          <w:noProof/>
          <w:sz w:val="24"/>
          <w:szCs w:val="24"/>
        </w:rPr>
        <w:t xml:space="preserve">964.   </w:t>
      </w:r>
      <w:r w:rsidRPr="0001718B">
        <w:rPr>
          <w:sz w:val="24"/>
          <w:szCs w:val="24"/>
        </w:rPr>
        <w:t>Ja budžeta iestāde, kura veikusi transferta pārskatījumu, pieprasa atmaksāt avansā saņemto transfertu, transferta saņēmējs atmaksas veikšanas dienā samazina avansā atzīto transfertu un naudas līdzekļus norēķinu kontā, veicot šādu grāmatojumu:</w:t>
      </w:r>
    </w:p>
    <w:p w14:paraId="6AAE0D82" w14:textId="77777777" w:rsidR="006162DC"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D    5930   Avansā saņemtie transferti</w:t>
      </w:r>
    </w:p>
    <w:p w14:paraId="3249260B" w14:textId="77777777" w:rsidR="006527D2"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2620   Naudas konti Valsts kasē vai kredītiestādēs</w:t>
      </w:r>
    </w:p>
    <w:p w14:paraId="3B454A77" w14:textId="77777777" w:rsidR="006527D2" w:rsidRPr="0001718B" w:rsidRDefault="006527D2" w:rsidP="00CD363C">
      <w:pPr>
        <w:pStyle w:val="Pamatteksts"/>
        <w:ind w:right="113"/>
        <w:jc w:val="both"/>
        <w:rPr>
          <w:sz w:val="24"/>
          <w:szCs w:val="24"/>
        </w:rPr>
      </w:pPr>
      <w:r w:rsidRPr="0001718B">
        <w:rPr>
          <w:noProof/>
          <w:sz w:val="24"/>
          <w:szCs w:val="24"/>
        </w:rPr>
        <w:t xml:space="preserve">965.  </w:t>
      </w:r>
      <w:r w:rsidRPr="0001718B">
        <w:rPr>
          <w:b/>
          <w:sz w:val="24"/>
          <w:szCs w:val="24"/>
        </w:rPr>
        <w:t xml:space="preserve">Transferti pēc izmaksu apstiprināšanas – </w:t>
      </w:r>
      <w:r w:rsidRPr="0001718B">
        <w:rPr>
          <w:sz w:val="24"/>
          <w:szCs w:val="24"/>
        </w:rPr>
        <w:t>gadījumos, kad budžeta iestāde (transferta saņēmējs) saskaņā</w:t>
      </w:r>
      <w:r w:rsidRPr="0001718B">
        <w:rPr>
          <w:spacing w:val="-13"/>
          <w:sz w:val="24"/>
          <w:szCs w:val="24"/>
        </w:rPr>
        <w:t xml:space="preserve"> </w:t>
      </w:r>
      <w:r w:rsidRPr="0001718B">
        <w:rPr>
          <w:sz w:val="24"/>
          <w:szCs w:val="24"/>
        </w:rPr>
        <w:t>ar</w:t>
      </w:r>
      <w:r w:rsidRPr="0001718B">
        <w:rPr>
          <w:spacing w:val="-12"/>
          <w:sz w:val="24"/>
          <w:szCs w:val="24"/>
        </w:rPr>
        <w:t xml:space="preserve"> </w:t>
      </w:r>
      <w:r w:rsidRPr="0001718B">
        <w:rPr>
          <w:sz w:val="24"/>
          <w:szCs w:val="24"/>
        </w:rPr>
        <w:t>normatīvajiem</w:t>
      </w:r>
      <w:r w:rsidRPr="0001718B">
        <w:rPr>
          <w:spacing w:val="-16"/>
          <w:sz w:val="24"/>
          <w:szCs w:val="24"/>
        </w:rPr>
        <w:t xml:space="preserve"> </w:t>
      </w:r>
      <w:r w:rsidRPr="0001718B">
        <w:rPr>
          <w:sz w:val="24"/>
          <w:szCs w:val="24"/>
        </w:rPr>
        <w:t>aktiem</w:t>
      </w:r>
      <w:r w:rsidRPr="0001718B">
        <w:rPr>
          <w:spacing w:val="-16"/>
          <w:sz w:val="24"/>
          <w:szCs w:val="24"/>
        </w:rPr>
        <w:t xml:space="preserve"> </w:t>
      </w:r>
      <w:r w:rsidRPr="0001718B">
        <w:rPr>
          <w:sz w:val="24"/>
          <w:szCs w:val="24"/>
        </w:rPr>
        <w:t>budžeta</w:t>
      </w:r>
      <w:r w:rsidRPr="0001718B">
        <w:rPr>
          <w:spacing w:val="-13"/>
          <w:sz w:val="24"/>
          <w:szCs w:val="24"/>
        </w:rPr>
        <w:t xml:space="preserve"> </w:t>
      </w:r>
      <w:r w:rsidRPr="0001718B">
        <w:rPr>
          <w:sz w:val="24"/>
          <w:szCs w:val="24"/>
        </w:rPr>
        <w:t>un</w:t>
      </w:r>
      <w:r w:rsidRPr="0001718B">
        <w:rPr>
          <w:spacing w:val="-13"/>
          <w:sz w:val="24"/>
          <w:szCs w:val="24"/>
        </w:rPr>
        <w:t xml:space="preserve"> </w:t>
      </w:r>
      <w:r w:rsidRPr="0001718B">
        <w:rPr>
          <w:sz w:val="24"/>
          <w:szCs w:val="24"/>
        </w:rPr>
        <w:t>finanšu</w:t>
      </w:r>
      <w:r w:rsidRPr="0001718B">
        <w:rPr>
          <w:spacing w:val="-16"/>
          <w:sz w:val="24"/>
          <w:szCs w:val="24"/>
        </w:rPr>
        <w:t xml:space="preserve"> </w:t>
      </w:r>
      <w:r w:rsidRPr="0001718B">
        <w:rPr>
          <w:sz w:val="24"/>
          <w:szCs w:val="24"/>
        </w:rPr>
        <w:t>jomā</w:t>
      </w:r>
      <w:r w:rsidRPr="0001718B">
        <w:rPr>
          <w:spacing w:val="-9"/>
          <w:sz w:val="24"/>
          <w:szCs w:val="24"/>
        </w:rPr>
        <w:t xml:space="preserve"> </w:t>
      </w:r>
      <w:r w:rsidRPr="0001718B">
        <w:rPr>
          <w:sz w:val="24"/>
          <w:szCs w:val="24"/>
        </w:rPr>
        <w:t>iesniedz</w:t>
      </w:r>
      <w:r w:rsidRPr="0001718B">
        <w:rPr>
          <w:spacing w:val="-15"/>
          <w:sz w:val="24"/>
          <w:szCs w:val="24"/>
        </w:rPr>
        <w:t xml:space="preserve"> </w:t>
      </w:r>
      <w:r w:rsidRPr="0001718B">
        <w:rPr>
          <w:sz w:val="24"/>
          <w:szCs w:val="24"/>
        </w:rPr>
        <w:t>citai</w:t>
      </w:r>
      <w:r w:rsidRPr="0001718B">
        <w:rPr>
          <w:spacing w:val="-12"/>
          <w:sz w:val="24"/>
          <w:szCs w:val="24"/>
        </w:rPr>
        <w:t xml:space="preserve"> </w:t>
      </w:r>
      <w:r w:rsidRPr="0001718B">
        <w:rPr>
          <w:sz w:val="24"/>
          <w:szCs w:val="24"/>
        </w:rPr>
        <w:t>budžeta</w:t>
      </w:r>
      <w:r w:rsidRPr="0001718B">
        <w:rPr>
          <w:spacing w:val="-13"/>
          <w:sz w:val="24"/>
          <w:szCs w:val="24"/>
        </w:rPr>
        <w:t xml:space="preserve"> </w:t>
      </w:r>
      <w:r w:rsidRPr="0001718B">
        <w:rPr>
          <w:sz w:val="24"/>
          <w:szCs w:val="24"/>
        </w:rPr>
        <w:t>iestādei</w:t>
      </w:r>
      <w:r w:rsidRPr="0001718B">
        <w:rPr>
          <w:spacing w:val="-12"/>
          <w:sz w:val="24"/>
          <w:szCs w:val="24"/>
        </w:rPr>
        <w:t xml:space="preserve"> </w:t>
      </w:r>
      <w:r w:rsidRPr="0001718B">
        <w:rPr>
          <w:sz w:val="24"/>
          <w:szCs w:val="24"/>
        </w:rPr>
        <w:t>(transferta pārskaitītājs) attaisnojuma dokumentu, kas apliecina izdevumu rašanos, un saņem no tās apstiprinājumu, budžeta iestāde (transferta saņēmējs) atzīst pārskata perioda pamatdarbības ieņēmumus un prasības pret budžeta iestādi (transferta</w:t>
      </w:r>
      <w:r w:rsidRPr="0001718B">
        <w:rPr>
          <w:spacing w:val="-7"/>
          <w:sz w:val="24"/>
          <w:szCs w:val="24"/>
        </w:rPr>
        <w:t xml:space="preserve"> </w:t>
      </w:r>
      <w:r w:rsidRPr="0001718B">
        <w:rPr>
          <w:sz w:val="24"/>
          <w:szCs w:val="24"/>
        </w:rPr>
        <w:t>pārskaitītāju):</w:t>
      </w:r>
    </w:p>
    <w:p w14:paraId="6C46823B" w14:textId="77777777" w:rsidR="006527D2" w:rsidRPr="00906836" w:rsidRDefault="006527D2" w:rsidP="00CD363C">
      <w:pPr>
        <w:pStyle w:val="Pamatteksts"/>
        <w:ind w:right="113"/>
        <w:jc w:val="both"/>
        <w:rPr>
          <w:sz w:val="24"/>
          <w:szCs w:val="24"/>
        </w:rPr>
      </w:pPr>
      <w:r w:rsidRPr="00906836">
        <w:rPr>
          <w:noProof/>
          <w:sz w:val="24"/>
          <w:szCs w:val="24"/>
        </w:rPr>
        <w:t xml:space="preserve">966. </w:t>
      </w:r>
      <w:r w:rsidRPr="00906836">
        <w:rPr>
          <w:sz w:val="24"/>
          <w:szCs w:val="24"/>
        </w:rPr>
        <w:t>Budžeta iestāde apstiprinājuma saņemšanas dienā atzīst ieņēmumus un prasības, veicot šādu grāmatojumu:</w:t>
      </w:r>
    </w:p>
    <w:p w14:paraId="67FF0AD1" w14:textId="77777777" w:rsidR="006527D2" w:rsidRPr="00906836" w:rsidRDefault="006527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w:t>
      </w:r>
      <w:bookmarkStart w:id="87" w:name="_Hlk13751337"/>
      <w:r w:rsidRPr="00906836">
        <w:rPr>
          <w:rFonts w:ascii="Times New Roman" w:hAnsi="Times New Roman" w:cs="Times New Roman"/>
          <w:b/>
          <w:bCs/>
          <w:sz w:val="24"/>
          <w:szCs w:val="24"/>
        </w:rPr>
        <w:t>D   2321  Prasības ārvalstu finanšu palīdzības un ES politiku instrumentu finansētajiem projektiem( pasākumiem)</w:t>
      </w:r>
    </w:p>
    <w:p w14:paraId="3E4ED7A8" w14:textId="77777777" w:rsidR="006162DC" w:rsidRPr="00906836" w:rsidRDefault="006527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2399   </w:t>
      </w:r>
      <w:r w:rsidR="0001718B" w:rsidRPr="00906836">
        <w:rPr>
          <w:rFonts w:ascii="Times New Roman" w:hAnsi="Times New Roman" w:cs="Times New Roman"/>
          <w:b/>
          <w:bCs/>
          <w:sz w:val="24"/>
          <w:szCs w:val="24"/>
        </w:rPr>
        <w:t>Pārējās prasības</w:t>
      </w:r>
    </w:p>
    <w:bookmarkEnd w:id="87"/>
    <w:p w14:paraId="71B418CD" w14:textId="77777777" w:rsidR="0001718B" w:rsidRPr="00906836" w:rsidRDefault="0001718B"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K    6000   Pamatdarbības ieņēmumi</w:t>
      </w:r>
    </w:p>
    <w:p w14:paraId="25286955" w14:textId="77777777" w:rsidR="0001718B" w:rsidRPr="00906836" w:rsidRDefault="0001718B"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sz w:val="24"/>
          <w:szCs w:val="24"/>
        </w:rPr>
        <w:t>967.</w:t>
      </w:r>
      <w:r w:rsidRPr="00906836">
        <w:rPr>
          <w:rFonts w:ascii="Times New Roman" w:hAnsi="Times New Roman" w:cs="Times New Roman"/>
          <w:b/>
          <w:bCs/>
          <w:sz w:val="24"/>
          <w:szCs w:val="24"/>
        </w:rPr>
        <w:t xml:space="preserve">   </w:t>
      </w:r>
      <w:r w:rsidRPr="00906836">
        <w:rPr>
          <w:rFonts w:ascii="Times New Roman" w:hAnsi="Times New Roman" w:cs="Times New Roman"/>
          <w:sz w:val="24"/>
          <w:szCs w:val="24"/>
        </w:rPr>
        <w:t>Budžeta iestāde atzīst pamatdarbības transferta ieņēmumus pārskata gadā, kurā veikts apstiprinātais transferta izlietojums, ja izlietojums apstiprināts pārskata gadā vai līdz nākamā pārskata gada 31.janvārim</w:t>
      </w:r>
      <w:r w:rsidRPr="00906836">
        <w:rPr>
          <w:rFonts w:ascii="Times New Roman" w:hAnsi="Times New Roman" w:cs="Times New Roman"/>
          <w:spacing w:val="-5"/>
          <w:sz w:val="24"/>
          <w:szCs w:val="24"/>
        </w:rPr>
        <w:t xml:space="preserve"> </w:t>
      </w:r>
      <w:r w:rsidRPr="00906836">
        <w:rPr>
          <w:rFonts w:ascii="Times New Roman" w:hAnsi="Times New Roman" w:cs="Times New Roman"/>
          <w:sz w:val="24"/>
          <w:szCs w:val="24"/>
        </w:rPr>
        <w:t>(ieskaitot).</w:t>
      </w:r>
    </w:p>
    <w:p w14:paraId="1A5DBB45" w14:textId="77777777" w:rsidR="0001718B" w:rsidRPr="00906836" w:rsidRDefault="0001718B" w:rsidP="00CD363C">
      <w:pPr>
        <w:pStyle w:val="Pamatteksts"/>
        <w:ind w:right="113"/>
        <w:jc w:val="both"/>
        <w:rPr>
          <w:sz w:val="24"/>
          <w:szCs w:val="24"/>
        </w:rPr>
      </w:pPr>
      <w:r w:rsidRPr="00906836">
        <w:rPr>
          <w:noProof/>
          <w:sz w:val="24"/>
          <w:szCs w:val="24"/>
        </w:rPr>
        <w:t xml:space="preserve">968. </w:t>
      </w:r>
      <w:r w:rsidRPr="00906836">
        <w:rPr>
          <w:sz w:val="24"/>
          <w:szCs w:val="24"/>
        </w:rPr>
        <w:t>Ja</w:t>
      </w:r>
      <w:r w:rsidRPr="00906836">
        <w:rPr>
          <w:spacing w:val="-10"/>
          <w:sz w:val="24"/>
          <w:szCs w:val="24"/>
        </w:rPr>
        <w:t xml:space="preserve"> </w:t>
      </w:r>
      <w:r w:rsidRPr="00906836">
        <w:rPr>
          <w:sz w:val="24"/>
          <w:szCs w:val="24"/>
        </w:rPr>
        <w:t>budžeta</w:t>
      </w:r>
      <w:r w:rsidRPr="00906836">
        <w:rPr>
          <w:spacing w:val="-13"/>
          <w:sz w:val="24"/>
          <w:szCs w:val="24"/>
        </w:rPr>
        <w:t xml:space="preserve"> </w:t>
      </w:r>
      <w:r w:rsidRPr="00906836">
        <w:rPr>
          <w:sz w:val="24"/>
          <w:szCs w:val="24"/>
        </w:rPr>
        <w:t>iestāde</w:t>
      </w:r>
      <w:r w:rsidRPr="00906836">
        <w:rPr>
          <w:spacing w:val="-12"/>
          <w:sz w:val="24"/>
          <w:szCs w:val="24"/>
        </w:rPr>
        <w:t xml:space="preserve"> </w:t>
      </w:r>
      <w:r w:rsidRPr="00906836">
        <w:rPr>
          <w:sz w:val="24"/>
          <w:szCs w:val="24"/>
        </w:rPr>
        <w:t>saņems</w:t>
      </w:r>
      <w:r w:rsidRPr="00906836">
        <w:rPr>
          <w:spacing w:val="-10"/>
          <w:sz w:val="24"/>
          <w:szCs w:val="24"/>
        </w:rPr>
        <w:t xml:space="preserve"> </w:t>
      </w:r>
      <w:r w:rsidRPr="00906836">
        <w:rPr>
          <w:sz w:val="24"/>
          <w:szCs w:val="24"/>
        </w:rPr>
        <w:t>transfertu</w:t>
      </w:r>
      <w:r w:rsidRPr="00906836">
        <w:rPr>
          <w:spacing w:val="-11"/>
          <w:sz w:val="24"/>
          <w:szCs w:val="24"/>
        </w:rPr>
        <w:t xml:space="preserve"> </w:t>
      </w:r>
      <w:r w:rsidRPr="00906836">
        <w:rPr>
          <w:sz w:val="24"/>
          <w:szCs w:val="24"/>
        </w:rPr>
        <w:t>pēc</w:t>
      </w:r>
      <w:r w:rsidRPr="00906836">
        <w:rPr>
          <w:spacing w:val="-12"/>
          <w:sz w:val="24"/>
          <w:szCs w:val="24"/>
        </w:rPr>
        <w:t xml:space="preserve"> </w:t>
      </w:r>
      <w:r w:rsidRPr="00906836">
        <w:rPr>
          <w:sz w:val="24"/>
          <w:szCs w:val="24"/>
        </w:rPr>
        <w:t>izmaksu</w:t>
      </w:r>
      <w:r w:rsidRPr="00906836">
        <w:rPr>
          <w:spacing w:val="-10"/>
          <w:sz w:val="24"/>
          <w:szCs w:val="24"/>
        </w:rPr>
        <w:t xml:space="preserve"> </w:t>
      </w:r>
      <w:r w:rsidRPr="00906836">
        <w:rPr>
          <w:sz w:val="24"/>
          <w:szCs w:val="24"/>
        </w:rPr>
        <w:t>veikšanas</w:t>
      </w:r>
      <w:r w:rsidRPr="00906836">
        <w:rPr>
          <w:spacing w:val="-12"/>
          <w:sz w:val="24"/>
          <w:szCs w:val="24"/>
        </w:rPr>
        <w:t xml:space="preserve"> </w:t>
      </w:r>
      <w:r w:rsidRPr="00906836">
        <w:rPr>
          <w:sz w:val="24"/>
          <w:szCs w:val="24"/>
        </w:rPr>
        <w:t>(pēcapmaksa)</w:t>
      </w:r>
      <w:r w:rsidRPr="00906836">
        <w:rPr>
          <w:spacing w:val="-10"/>
          <w:sz w:val="24"/>
          <w:szCs w:val="24"/>
        </w:rPr>
        <w:t xml:space="preserve"> </w:t>
      </w:r>
      <w:r w:rsidRPr="00906836">
        <w:rPr>
          <w:sz w:val="24"/>
          <w:szCs w:val="24"/>
        </w:rPr>
        <w:t>un</w:t>
      </w:r>
      <w:r w:rsidRPr="00906836">
        <w:rPr>
          <w:spacing w:val="-13"/>
          <w:sz w:val="24"/>
          <w:szCs w:val="24"/>
        </w:rPr>
        <w:t xml:space="preserve"> </w:t>
      </w:r>
      <w:r w:rsidRPr="00906836">
        <w:rPr>
          <w:sz w:val="24"/>
          <w:szCs w:val="24"/>
        </w:rPr>
        <w:t>attiecīgos</w:t>
      </w:r>
      <w:r w:rsidRPr="00906836">
        <w:rPr>
          <w:spacing w:val="-9"/>
          <w:sz w:val="24"/>
          <w:szCs w:val="24"/>
        </w:rPr>
        <w:t xml:space="preserve"> </w:t>
      </w:r>
      <w:r w:rsidRPr="00906836">
        <w:rPr>
          <w:sz w:val="24"/>
          <w:szCs w:val="24"/>
        </w:rPr>
        <w:t>izdevumus apstiprina</w:t>
      </w:r>
      <w:r w:rsidRPr="00906836">
        <w:rPr>
          <w:spacing w:val="-10"/>
          <w:sz w:val="24"/>
          <w:szCs w:val="24"/>
        </w:rPr>
        <w:t xml:space="preserve"> </w:t>
      </w:r>
      <w:r w:rsidRPr="00906836">
        <w:rPr>
          <w:sz w:val="24"/>
          <w:szCs w:val="24"/>
        </w:rPr>
        <w:t>nākamajā</w:t>
      </w:r>
      <w:r w:rsidRPr="00906836">
        <w:rPr>
          <w:spacing w:val="-8"/>
          <w:sz w:val="24"/>
          <w:szCs w:val="24"/>
        </w:rPr>
        <w:t xml:space="preserve"> </w:t>
      </w:r>
      <w:r w:rsidRPr="00906836">
        <w:rPr>
          <w:sz w:val="24"/>
          <w:szCs w:val="24"/>
        </w:rPr>
        <w:t>pārskata</w:t>
      </w:r>
      <w:r w:rsidRPr="00906836">
        <w:rPr>
          <w:spacing w:val="-7"/>
          <w:sz w:val="24"/>
          <w:szCs w:val="24"/>
        </w:rPr>
        <w:t xml:space="preserve"> </w:t>
      </w:r>
      <w:r w:rsidRPr="00906836">
        <w:rPr>
          <w:sz w:val="24"/>
          <w:szCs w:val="24"/>
        </w:rPr>
        <w:t>gadā</w:t>
      </w:r>
      <w:r w:rsidRPr="00906836">
        <w:rPr>
          <w:spacing w:val="-8"/>
          <w:sz w:val="24"/>
          <w:szCs w:val="24"/>
        </w:rPr>
        <w:t xml:space="preserve"> </w:t>
      </w:r>
      <w:r w:rsidRPr="00906836">
        <w:rPr>
          <w:sz w:val="24"/>
          <w:szCs w:val="24"/>
        </w:rPr>
        <w:t>līdz</w:t>
      </w:r>
      <w:r w:rsidRPr="00906836">
        <w:rPr>
          <w:spacing w:val="-9"/>
          <w:sz w:val="24"/>
          <w:szCs w:val="24"/>
        </w:rPr>
        <w:t xml:space="preserve"> </w:t>
      </w:r>
      <w:r w:rsidRPr="00906836">
        <w:rPr>
          <w:sz w:val="24"/>
          <w:szCs w:val="24"/>
        </w:rPr>
        <w:t>31.janvārim</w:t>
      </w:r>
      <w:r w:rsidRPr="00906836">
        <w:rPr>
          <w:spacing w:val="-12"/>
          <w:sz w:val="24"/>
          <w:szCs w:val="24"/>
        </w:rPr>
        <w:t xml:space="preserve"> </w:t>
      </w:r>
      <w:r w:rsidRPr="00906836">
        <w:rPr>
          <w:sz w:val="24"/>
          <w:szCs w:val="24"/>
        </w:rPr>
        <w:t>(ieskaitot),</w:t>
      </w:r>
      <w:r w:rsidRPr="00906836">
        <w:rPr>
          <w:spacing w:val="-7"/>
          <w:sz w:val="24"/>
          <w:szCs w:val="24"/>
        </w:rPr>
        <w:t xml:space="preserve"> </w:t>
      </w:r>
      <w:r w:rsidRPr="00906836">
        <w:rPr>
          <w:sz w:val="24"/>
          <w:szCs w:val="24"/>
        </w:rPr>
        <w:t>piemēram,</w:t>
      </w:r>
      <w:r w:rsidRPr="00906836">
        <w:rPr>
          <w:spacing w:val="-8"/>
          <w:sz w:val="24"/>
          <w:szCs w:val="24"/>
        </w:rPr>
        <w:t xml:space="preserve"> </w:t>
      </w:r>
      <w:r w:rsidRPr="00906836">
        <w:rPr>
          <w:sz w:val="24"/>
          <w:szCs w:val="24"/>
        </w:rPr>
        <w:t>25.janvārī,</w:t>
      </w:r>
      <w:r w:rsidRPr="00906836">
        <w:rPr>
          <w:spacing w:val="-10"/>
          <w:sz w:val="24"/>
          <w:szCs w:val="24"/>
        </w:rPr>
        <w:t xml:space="preserve"> </w:t>
      </w:r>
      <w:r w:rsidRPr="00906836">
        <w:rPr>
          <w:sz w:val="24"/>
          <w:szCs w:val="24"/>
        </w:rPr>
        <w:t>un</w:t>
      </w:r>
      <w:r w:rsidRPr="00906836">
        <w:rPr>
          <w:spacing w:val="-8"/>
          <w:sz w:val="24"/>
          <w:szCs w:val="24"/>
        </w:rPr>
        <w:t xml:space="preserve"> </w:t>
      </w:r>
      <w:r w:rsidRPr="00906836">
        <w:rPr>
          <w:sz w:val="24"/>
          <w:szCs w:val="24"/>
        </w:rPr>
        <w:t>transferta pārskaitījums pārskata gadā nav saņemts, budžeta iestāde pārskata gada beigās atzīst uzkrātos ieņēmumus un transferta</w:t>
      </w:r>
      <w:r w:rsidRPr="00906836">
        <w:rPr>
          <w:spacing w:val="-1"/>
          <w:sz w:val="24"/>
          <w:szCs w:val="24"/>
        </w:rPr>
        <w:t xml:space="preserve"> </w:t>
      </w:r>
      <w:r w:rsidRPr="00906836">
        <w:rPr>
          <w:sz w:val="24"/>
          <w:szCs w:val="24"/>
        </w:rPr>
        <w:t>ieņēmumus, grāmato:</w:t>
      </w:r>
    </w:p>
    <w:p w14:paraId="18E6144B" w14:textId="77777777" w:rsidR="0001718B" w:rsidRPr="00906836" w:rsidRDefault="0001718B" w:rsidP="00CD363C">
      <w:pPr>
        <w:pStyle w:val="Pamatteksts"/>
        <w:ind w:right="113"/>
        <w:jc w:val="both"/>
        <w:rPr>
          <w:b/>
          <w:bCs/>
          <w:sz w:val="24"/>
          <w:szCs w:val="24"/>
        </w:rPr>
      </w:pPr>
      <w:r w:rsidRPr="00906836">
        <w:rPr>
          <w:sz w:val="24"/>
          <w:szCs w:val="24"/>
        </w:rPr>
        <w:t xml:space="preserve">    </w:t>
      </w:r>
      <w:r w:rsidRPr="00906836">
        <w:rPr>
          <w:b/>
          <w:bCs/>
          <w:sz w:val="24"/>
          <w:szCs w:val="24"/>
        </w:rPr>
        <w:t>D    2360   Uzkrātie ieņēmumi</w:t>
      </w:r>
    </w:p>
    <w:p w14:paraId="4DA54D00" w14:textId="77777777" w:rsidR="0001718B" w:rsidRPr="00906836" w:rsidRDefault="0001718B" w:rsidP="00CD363C">
      <w:pPr>
        <w:pStyle w:val="Pamatteksts"/>
        <w:ind w:right="113"/>
        <w:jc w:val="both"/>
        <w:rPr>
          <w:b/>
          <w:bCs/>
          <w:sz w:val="24"/>
          <w:szCs w:val="24"/>
        </w:rPr>
      </w:pPr>
      <w:r w:rsidRPr="00906836">
        <w:rPr>
          <w:b/>
          <w:bCs/>
          <w:sz w:val="24"/>
          <w:szCs w:val="24"/>
        </w:rPr>
        <w:t xml:space="preserve">    K    6000   Pamatdarbības ieņēmumi</w:t>
      </w:r>
    </w:p>
    <w:p w14:paraId="5987C4FA" w14:textId="77777777" w:rsidR="0001718B" w:rsidRPr="00906836" w:rsidRDefault="0001718B" w:rsidP="00CD363C">
      <w:pPr>
        <w:pStyle w:val="Pamatteksts"/>
        <w:ind w:right="113"/>
        <w:jc w:val="both"/>
        <w:rPr>
          <w:sz w:val="24"/>
          <w:szCs w:val="24"/>
        </w:rPr>
      </w:pPr>
      <w:r w:rsidRPr="00906836">
        <w:rPr>
          <w:noProof/>
          <w:sz w:val="24"/>
          <w:szCs w:val="24"/>
        </w:rPr>
        <w:t xml:space="preserve">969.   </w:t>
      </w:r>
      <w:r w:rsidRPr="00906836">
        <w:rPr>
          <w:sz w:val="24"/>
          <w:szCs w:val="24"/>
        </w:rPr>
        <w:t>Transferta apstiprinājuma dienā budžeta iestāde samazina iepriekš atzītos uzkrātos ieņēmumus un atzīst prasības, grāmato :</w:t>
      </w:r>
    </w:p>
    <w:p w14:paraId="489C8BB4" w14:textId="77777777" w:rsidR="0001718B" w:rsidRPr="00906836" w:rsidRDefault="0001718B" w:rsidP="00CD363C">
      <w:pPr>
        <w:pStyle w:val="Pamatteksts"/>
        <w:ind w:right="113"/>
        <w:jc w:val="both"/>
        <w:rPr>
          <w:b/>
          <w:bCs/>
          <w:sz w:val="24"/>
          <w:szCs w:val="24"/>
        </w:rPr>
      </w:pPr>
      <w:bookmarkStart w:id="88" w:name="_Hlk13751543"/>
      <w:r w:rsidRPr="00906836">
        <w:rPr>
          <w:b/>
          <w:bCs/>
          <w:sz w:val="24"/>
          <w:szCs w:val="24"/>
        </w:rPr>
        <w:t xml:space="preserve">    </w:t>
      </w:r>
      <w:r w:rsidR="00E15DD2" w:rsidRPr="00906836">
        <w:rPr>
          <w:b/>
          <w:bCs/>
          <w:sz w:val="24"/>
          <w:szCs w:val="24"/>
        </w:rPr>
        <w:t xml:space="preserve"> </w:t>
      </w:r>
      <w:r w:rsidRPr="00906836">
        <w:rPr>
          <w:b/>
          <w:bCs/>
          <w:sz w:val="24"/>
          <w:szCs w:val="24"/>
        </w:rPr>
        <w:t>D</w:t>
      </w:r>
      <w:r w:rsidR="00E15DD2" w:rsidRPr="00906836">
        <w:rPr>
          <w:b/>
          <w:bCs/>
          <w:sz w:val="24"/>
          <w:szCs w:val="24"/>
        </w:rPr>
        <w:t xml:space="preserve"> </w:t>
      </w:r>
      <w:r w:rsidRPr="00906836">
        <w:rPr>
          <w:b/>
          <w:bCs/>
          <w:sz w:val="24"/>
          <w:szCs w:val="24"/>
        </w:rPr>
        <w:t xml:space="preserve"> 2321  Prasības ārvalstu finanšu palīdzības un ES politiku instrumentu finansētajiem projektiem( pasākumiem)</w:t>
      </w:r>
    </w:p>
    <w:p w14:paraId="38A84CE9" w14:textId="77777777" w:rsidR="0001718B" w:rsidRPr="00906836" w:rsidRDefault="0001718B" w:rsidP="00CD363C">
      <w:pPr>
        <w:pStyle w:val="Pamatteksts"/>
        <w:ind w:right="113"/>
        <w:jc w:val="both"/>
        <w:rPr>
          <w:b/>
          <w:bCs/>
          <w:sz w:val="24"/>
          <w:szCs w:val="24"/>
        </w:rPr>
      </w:pPr>
      <w:r w:rsidRPr="00906836">
        <w:rPr>
          <w:b/>
          <w:bCs/>
          <w:sz w:val="24"/>
          <w:szCs w:val="24"/>
        </w:rPr>
        <w:t xml:space="preserve">    </w:t>
      </w:r>
      <w:r w:rsidR="00E15DD2" w:rsidRPr="00906836">
        <w:rPr>
          <w:b/>
          <w:bCs/>
          <w:sz w:val="24"/>
          <w:szCs w:val="24"/>
        </w:rPr>
        <w:t xml:space="preserve"> </w:t>
      </w:r>
      <w:r w:rsidRPr="00906836">
        <w:rPr>
          <w:b/>
          <w:bCs/>
          <w:sz w:val="24"/>
          <w:szCs w:val="24"/>
        </w:rPr>
        <w:t xml:space="preserve">D    2399   Pārējās prasības  </w:t>
      </w:r>
    </w:p>
    <w:bookmarkEnd w:id="88"/>
    <w:p w14:paraId="2B9B5C4A" w14:textId="77777777" w:rsidR="006162DC" w:rsidRPr="00906836" w:rsidRDefault="0001718B"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w:t>
      </w:r>
      <w:r w:rsidR="00E15DD2" w:rsidRPr="00906836">
        <w:rPr>
          <w:rFonts w:ascii="Times New Roman" w:hAnsi="Times New Roman" w:cs="Times New Roman"/>
          <w:b/>
          <w:bCs/>
          <w:sz w:val="24"/>
          <w:szCs w:val="24"/>
        </w:rPr>
        <w:t xml:space="preserve"> </w:t>
      </w:r>
      <w:r w:rsidRPr="00906836">
        <w:rPr>
          <w:rFonts w:ascii="Times New Roman" w:hAnsi="Times New Roman" w:cs="Times New Roman"/>
          <w:b/>
          <w:bCs/>
          <w:sz w:val="24"/>
          <w:szCs w:val="24"/>
        </w:rPr>
        <w:t xml:space="preserve">K   2360   </w:t>
      </w:r>
      <w:r w:rsidR="00E15DD2" w:rsidRPr="00906836">
        <w:rPr>
          <w:rFonts w:ascii="Times New Roman" w:hAnsi="Times New Roman" w:cs="Times New Roman"/>
          <w:b/>
          <w:bCs/>
          <w:sz w:val="24"/>
          <w:szCs w:val="24"/>
        </w:rPr>
        <w:t>Uzkrātie ieņēmumi</w:t>
      </w:r>
    </w:p>
    <w:p w14:paraId="02304DF7" w14:textId="77777777" w:rsidR="00E15DD2" w:rsidRPr="00906836" w:rsidRDefault="00E15DD2" w:rsidP="00CD363C">
      <w:pPr>
        <w:pStyle w:val="Pamatteksts"/>
        <w:ind w:right="113"/>
        <w:jc w:val="both"/>
        <w:rPr>
          <w:sz w:val="24"/>
          <w:szCs w:val="24"/>
        </w:rPr>
      </w:pPr>
      <w:r w:rsidRPr="00906836">
        <w:rPr>
          <w:noProof/>
          <w:sz w:val="24"/>
          <w:szCs w:val="24"/>
        </w:rPr>
        <w:t xml:space="preserve">970.    </w:t>
      </w:r>
      <w:r w:rsidRPr="00906836">
        <w:rPr>
          <w:sz w:val="24"/>
          <w:szCs w:val="24"/>
        </w:rPr>
        <w:t>Naudas līdzekļu pārskaitījuma dienā budžeta iestāde attiecīgi samazina atzītās prasības, grāmato:</w:t>
      </w:r>
    </w:p>
    <w:p w14:paraId="122BB05C"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2620   Naudas konti Valsts kasē vai kredītiestādēs</w:t>
      </w:r>
    </w:p>
    <w:p w14:paraId="311972AC"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bookmarkStart w:id="89" w:name="_Hlk13751668"/>
      <w:r w:rsidRPr="00906836">
        <w:rPr>
          <w:rFonts w:ascii="Times New Roman" w:hAnsi="Times New Roman" w:cs="Times New Roman"/>
          <w:b/>
          <w:bCs/>
          <w:sz w:val="24"/>
          <w:szCs w:val="24"/>
        </w:rPr>
        <w:t xml:space="preserve">    D  2321  Prasības ārvalstu finanšu palīdzības un ES politiku instrumentu finansētajiem projektiem( pasākumiem)</w:t>
      </w:r>
    </w:p>
    <w:p w14:paraId="3850F246"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2399   Pārējās prasības  </w:t>
      </w:r>
    </w:p>
    <w:bookmarkEnd w:id="89"/>
    <w:p w14:paraId="146B2D57" w14:textId="77777777" w:rsidR="00E15DD2" w:rsidRPr="00906836" w:rsidRDefault="00E15DD2" w:rsidP="00CD363C">
      <w:pPr>
        <w:pStyle w:val="Pamatteksts"/>
        <w:ind w:right="113"/>
        <w:jc w:val="both"/>
        <w:rPr>
          <w:sz w:val="24"/>
          <w:szCs w:val="24"/>
        </w:rPr>
      </w:pPr>
      <w:r w:rsidRPr="00906836">
        <w:rPr>
          <w:noProof/>
          <w:sz w:val="24"/>
          <w:szCs w:val="24"/>
        </w:rPr>
        <w:t xml:space="preserve">971.  </w:t>
      </w:r>
      <w:r w:rsidRPr="00906836">
        <w:rPr>
          <w:sz w:val="24"/>
          <w:szCs w:val="24"/>
        </w:rPr>
        <w:t>Ja transferta izlietojumu apstiprina pēc nākamā pārskata gada 31.janvāra, budžeta iestāde atzīst transferta</w:t>
      </w:r>
      <w:r w:rsidRPr="00906836">
        <w:rPr>
          <w:spacing w:val="-5"/>
          <w:sz w:val="24"/>
          <w:szCs w:val="24"/>
        </w:rPr>
        <w:t xml:space="preserve"> </w:t>
      </w:r>
      <w:r w:rsidRPr="00906836">
        <w:rPr>
          <w:sz w:val="24"/>
          <w:szCs w:val="24"/>
        </w:rPr>
        <w:t>ieņēmumus</w:t>
      </w:r>
      <w:r w:rsidRPr="00906836">
        <w:rPr>
          <w:spacing w:val="-2"/>
          <w:sz w:val="24"/>
          <w:szCs w:val="24"/>
        </w:rPr>
        <w:t xml:space="preserve"> </w:t>
      </w:r>
      <w:r w:rsidRPr="00906836">
        <w:rPr>
          <w:sz w:val="24"/>
          <w:szCs w:val="24"/>
        </w:rPr>
        <w:t>kā</w:t>
      </w:r>
      <w:r w:rsidRPr="00906836">
        <w:rPr>
          <w:spacing w:val="-3"/>
          <w:sz w:val="24"/>
          <w:szCs w:val="24"/>
        </w:rPr>
        <w:t xml:space="preserve"> </w:t>
      </w:r>
      <w:r w:rsidRPr="00906836">
        <w:rPr>
          <w:sz w:val="24"/>
          <w:szCs w:val="24"/>
        </w:rPr>
        <w:t>pārējos</w:t>
      </w:r>
      <w:r w:rsidRPr="00906836">
        <w:rPr>
          <w:spacing w:val="-4"/>
          <w:sz w:val="24"/>
          <w:szCs w:val="24"/>
        </w:rPr>
        <w:t xml:space="preserve"> </w:t>
      </w:r>
      <w:r w:rsidRPr="00906836">
        <w:rPr>
          <w:sz w:val="24"/>
          <w:szCs w:val="24"/>
        </w:rPr>
        <w:t>iepriekšējo</w:t>
      </w:r>
      <w:r w:rsidRPr="00906836">
        <w:rPr>
          <w:spacing w:val="-5"/>
          <w:sz w:val="24"/>
          <w:szCs w:val="24"/>
        </w:rPr>
        <w:t xml:space="preserve"> </w:t>
      </w:r>
      <w:r w:rsidRPr="00906836">
        <w:rPr>
          <w:sz w:val="24"/>
          <w:szCs w:val="24"/>
        </w:rPr>
        <w:t>gadu</w:t>
      </w:r>
      <w:r w:rsidRPr="00906836">
        <w:rPr>
          <w:spacing w:val="-3"/>
          <w:sz w:val="24"/>
          <w:szCs w:val="24"/>
        </w:rPr>
        <w:t xml:space="preserve"> </w:t>
      </w:r>
      <w:r w:rsidRPr="00906836">
        <w:rPr>
          <w:sz w:val="24"/>
          <w:szCs w:val="24"/>
        </w:rPr>
        <w:t>ieņēmumus</w:t>
      </w:r>
      <w:r w:rsidRPr="00906836">
        <w:rPr>
          <w:spacing w:val="-2"/>
          <w:sz w:val="24"/>
          <w:szCs w:val="24"/>
        </w:rPr>
        <w:t xml:space="preserve"> </w:t>
      </w:r>
      <w:r w:rsidRPr="00906836">
        <w:rPr>
          <w:sz w:val="24"/>
          <w:szCs w:val="24"/>
        </w:rPr>
        <w:t>tajā</w:t>
      </w:r>
      <w:r w:rsidRPr="00906836">
        <w:rPr>
          <w:spacing w:val="-5"/>
          <w:sz w:val="24"/>
          <w:szCs w:val="24"/>
        </w:rPr>
        <w:t xml:space="preserve"> </w:t>
      </w:r>
      <w:r w:rsidRPr="00906836">
        <w:rPr>
          <w:sz w:val="24"/>
          <w:szCs w:val="24"/>
        </w:rPr>
        <w:t>pārskata</w:t>
      </w:r>
      <w:r w:rsidRPr="00906836">
        <w:rPr>
          <w:spacing w:val="-4"/>
          <w:sz w:val="24"/>
          <w:szCs w:val="24"/>
        </w:rPr>
        <w:t xml:space="preserve"> </w:t>
      </w:r>
      <w:r w:rsidRPr="00906836">
        <w:rPr>
          <w:sz w:val="24"/>
          <w:szCs w:val="24"/>
        </w:rPr>
        <w:t>gadā,</w:t>
      </w:r>
      <w:r w:rsidRPr="00906836">
        <w:rPr>
          <w:spacing w:val="-5"/>
          <w:sz w:val="24"/>
          <w:szCs w:val="24"/>
        </w:rPr>
        <w:t xml:space="preserve"> </w:t>
      </w:r>
      <w:r w:rsidRPr="00906836">
        <w:rPr>
          <w:sz w:val="24"/>
          <w:szCs w:val="24"/>
        </w:rPr>
        <w:t>kurā</w:t>
      </w:r>
      <w:r w:rsidRPr="00906836">
        <w:rPr>
          <w:spacing w:val="-3"/>
          <w:sz w:val="24"/>
          <w:szCs w:val="24"/>
        </w:rPr>
        <w:t xml:space="preserve"> </w:t>
      </w:r>
      <w:r w:rsidRPr="00906836">
        <w:rPr>
          <w:sz w:val="24"/>
          <w:szCs w:val="24"/>
        </w:rPr>
        <w:t>apstiprināts transferta</w:t>
      </w:r>
      <w:r w:rsidRPr="00906836">
        <w:rPr>
          <w:spacing w:val="-3"/>
          <w:sz w:val="24"/>
          <w:szCs w:val="24"/>
        </w:rPr>
        <w:t xml:space="preserve"> </w:t>
      </w:r>
      <w:r w:rsidRPr="00906836">
        <w:rPr>
          <w:sz w:val="24"/>
          <w:szCs w:val="24"/>
        </w:rPr>
        <w:t>izlietojums, grāmato:</w:t>
      </w:r>
    </w:p>
    <w:p w14:paraId="6EB72823"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color w:val="FF0000"/>
          <w:sz w:val="24"/>
          <w:szCs w:val="24"/>
        </w:rPr>
        <w:t xml:space="preserve">    </w:t>
      </w:r>
      <w:r w:rsidRPr="00906836">
        <w:rPr>
          <w:rFonts w:ascii="Times New Roman" w:hAnsi="Times New Roman" w:cs="Times New Roman"/>
          <w:b/>
          <w:bCs/>
          <w:sz w:val="24"/>
          <w:szCs w:val="24"/>
        </w:rPr>
        <w:t>D  2321  Prasības ārvalstu finanšu palīdzības un ES politiku instrumentu finansētajiem projektiem( pasākumiem)</w:t>
      </w:r>
    </w:p>
    <w:p w14:paraId="038BB623"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2399   Pārējās prasības  </w:t>
      </w:r>
    </w:p>
    <w:p w14:paraId="21D71417" w14:textId="77777777" w:rsidR="006162DC"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K    8753   Transferta ieņēmumi, kas attiecas uz iepriekšējiem pārskata gadiem</w:t>
      </w:r>
    </w:p>
    <w:p w14:paraId="532A72BF" w14:textId="77777777" w:rsidR="00E15DD2" w:rsidRPr="00906836" w:rsidRDefault="00E15DD2" w:rsidP="00CD363C">
      <w:pPr>
        <w:spacing w:after="0" w:line="240" w:lineRule="auto"/>
        <w:ind w:left="1678" w:right="113"/>
        <w:jc w:val="both"/>
        <w:rPr>
          <w:rFonts w:ascii="Times New Roman" w:hAnsi="Times New Roman" w:cs="Times New Roman"/>
          <w:i/>
          <w:sz w:val="24"/>
          <w:szCs w:val="24"/>
        </w:rPr>
      </w:pPr>
      <w:r w:rsidRPr="00906836">
        <w:rPr>
          <w:rFonts w:ascii="Times New Roman" w:hAnsi="Times New Roman" w:cs="Times New Roman"/>
          <w:i/>
          <w:sz w:val="24"/>
          <w:szCs w:val="24"/>
        </w:rPr>
        <w:t>Piemēram, budžeta iestāde 2019. gada laikā veikusi transferta izdevumus 200 000 EUR apmērā, attiecībā uz kuriem  izlietojums  no  transferta  sniedzēja  puses  apstiprināts 2020. gada 1. februārī. Budžeta iestāde uzrāda informāciju 2019. gada finanšu pārskata zembilancē par transferta ieņēmumiem 200 000,00  EUR  apmērā,  kas  tiks  iekļauti  2020. gada finanšu</w:t>
      </w:r>
      <w:r w:rsidRPr="00906836">
        <w:rPr>
          <w:rFonts w:ascii="Times New Roman" w:hAnsi="Times New Roman" w:cs="Times New Roman"/>
          <w:i/>
          <w:spacing w:val="-4"/>
          <w:sz w:val="24"/>
          <w:szCs w:val="24"/>
        </w:rPr>
        <w:t xml:space="preserve"> </w:t>
      </w:r>
      <w:r w:rsidRPr="00906836">
        <w:rPr>
          <w:rFonts w:ascii="Times New Roman" w:hAnsi="Times New Roman" w:cs="Times New Roman"/>
          <w:i/>
          <w:sz w:val="24"/>
          <w:szCs w:val="24"/>
        </w:rPr>
        <w:t>pārskatā.</w:t>
      </w:r>
    </w:p>
    <w:p w14:paraId="1E80F2AA" w14:textId="77777777" w:rsidR="00E15DD2" w:rsidRPr="00906836" w:rsidRDefault="00E15DD2"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uzskaitot zembilancē iespējamo aktīvu par nākamajā pārskata gadā saņemamo transfertu:</w:t>
      </w:r>
    </w:p>
    <w:p w14:paraId="53EA1F1A" w14:textId="77777777" w:rsidR="00E15DD2" w:rsidRPr="00906836" w:rsidRDefault="00E15DD2" w:rsidP="00CD363C">
      <w:pPr>
        <w:pStyle w:val="Pamatteksts"/>
        <w:ind w:right="113"/>
        <w:jc w:val="both"/>
        <w:rPr>
          <w:b/>
          <w:bCs/>
          <w:iCs/>
          <w:sz w:val="24"/>
          <w:szCs w:val="24"/>
        </w:rPr>
      </w:pPr>
      <w:r w:rsidRPr="00906836">
        <w:rPr>
          <w:i/>
          <w:sz w:val="24"/>
          <w:szCs w:val="24"/>
        </w:rPr>
        <w:t xml:space="preserve">    </w:t>
      </w:r>
      <w:r w:rsidRPr="00906836">
        <w:rPr>
          <w:b/>
          <w:bCs/>
          <w:iCs/>
          <w:sz w:val="24"/>
          <w:szCs w:val="24"/>
        </w:rPr>
        <w:t>D    9190   Citi zembilances aktīvi</w:t>
      </w:r>
    </w:p>
    <w:p w14:paraId="57B7FCE3" w14:textId="77777777" w:rsidR="006162DC"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K    9</w:t>
      </w:r>
      <w:r w:rsidR="00906836" w:rsidRPr="00906836">
        <w:rPr>
          <w:rFonts w:ascii="Times New Roman" w:hAnsi="Times New Roman" w:cs="Times New Roman"/>
          <w:b/>
          <w:bCs/>
          <w:sz w:val="24"/>
          <w:szCs w:val="24"/>
        </w:rPr>
        <w:t>xxx</w:t>
      </w:r>
      <w:r w:rsidRPr="00906836">
        <w:rPr>
          <w:rFonts w:ascii="Times New Roman" w:hAnsi="Times New Roman" w:cs="Times New Roman"/>
          <w:b/>
          <w:bCs/>
          <w:sz w:val="24"/>
          <w:szCs w:val="24"/>
        </w:rPr>
        <w:t xml:space="preserve">   Zembilances tehniskais pretkonts</w:t>
      </w:r>
    </w:p>
    <w:p w14:paraId="486D8581" w14:textId="77777777" w:rsidR="00906836" w:rsidRPr="00906836" w:rsidRDefault="00906836"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Piemēri</w:t>
      </w:r>
    </w:p>
    <w:p w14:paraId="2CA77510" w14:textId="77777777" w:rsidR="00906836" w:rsidRPr="00906836" w:rsidRDefault="00906836" w:rsidP="00CD363C">
      <w:pPr>
        <w:pStyle w:val="Pamatteksts"/>
        <w:ind w:right="113"/>
        <w:jc w:val="both"/>
        <w:rPr>
          <w:sz w:val="24"/>
          <w:szCs w:val="24"/>
        </w:rPr>
      </w:pPr>
      <w:r w:rsidRPr="00906836">
        <w:rPr>
          <w:noProof/>
          <w:sz w:val="24"/>
          <w:szCs w:val="24"/>
        </w:rPr>
        <w:t xml:space="preserve">972.    </w:t>
      </w:r>
      <w:r w:rsidRPr="00906836">
        <w:rPr>
          <w:sz w:val="24"/>
          <w:szCs w:val="24"/>
        </w:rPr>
        <w:t>Valdība piešķir mērķdotāciju (transfertu) pašvaldībai ar mērķi palielināt sociālo mājokļu dzīvojamo fondu par 200 vienībām un izmantot mērķdotāciju citu sociālo mājokļu jautājumu risināšanai. Gadījumā, ja pašvaldība nepilda minētos noteikumus, tai mērķdotācijas ietvaros pārskaitītie</w:t>
      </w:r>
      <w:r w:rsidRPr="00906836">
        <w:rPr>
          <w:spacing w:val="-8"/>
          <w:sz w:val="24"/>
          <w:szCs w:val="24"/>
        </w:rPr>
        <w:t xml:space="preserve"> </w:t>
      </w:r>
      <w:r w:rsidRPr="00906836">
        <w:rPr>
          <w:sz w:val="24"/>
          <w:szCs w:val="24"/>
        </w:rPr>
        <w:t>naudas</w:t>
      </w:r>
      <w:r w:rsidRPr="00906836">
        <w:rPr>
          <w:spacing w:val="-10"/>
          <w:sz w:val="24"/>
          <w:szCs w:val="24"/>
        </w:rPr>
        <w:t xml:space="preserve"> </w:t>
      </w:r>
      <w:r w:rsidRPr="00906836">
        <w:rPr>
          <w:sz w:val="24"/>
          <w:szCs w:val="24"/>
        </w:rPr>
        <w:t>līdzekļi</w:t>
      </w:r>
      <w:r w:rsidRPr="00906836">
        <w:rPr>
          <w:spacing w:val="-10"/>
          <w:sz w:val="24"/>
          <w:szCs w:val="24"/>
        </w:rPr>
        <w:t xml:space="preserve"> </w:t>
      </w:r>
      <w:r w:rsidRPr="00906836">
        <w:rPr>
          <w:sz w:val="24"/>
          <w:szCs w:val="24"/>
        </w:rPr>
        <w:t>jāatmaksā.</w:t>
      </w:r>
      <w:r w:rsidRPr="00906836">
        <w:rPr>
          <w:spacing w:val="-7"/>
          <w:sz w:val="24"/>
          <w:szCs w:val="24"/>
        </w:rPr>
        <w:t xml:space="preserve"> </w:t>
      </w:r>
      <w:r w:rsidRPr="00906836">
        <w:rPr>
          <w:sz w:val="24"/>
          <w:szCs w:val="24"/>
        </w:rPr>
        <w:t>Pašvaldība</w:t>
      </w:r>
      <w:r w:rsidRPr="00906836">
        <w:rPr>
          <w:spacing w:val="-10"/>
          <w:sz w:val="24"/>
          <w:szCs w:val="24"/>
        </w:rPr>
        <w:t xml:space="preserve"> </w:t>
      </w:r>
      <w:r w:rsidRPr="00906836">
        <w:rPr>
          <w:sz w:val="24"/>
          <w:szCs w:val="24"/>
        </w:rPr>
        <w:t>atzīst</w:t>
      </w:r>
      <w:r w:rsidRPr="00906836">
        <w:rPr>
          <w:spacing w:val="-9"/>
          <w:sz w:val="24"/>
          <w:szCs w:val="24"/>
        </w:rPr>
        <w:t xml:space="preserve"> </w:t>
      </w:r>
      <w:r w:rsidRPr="00906836">
        <w:rPr>
          <w:sz w:val="24"/>
          <w:szCs w:val="24"/>
        </w:rPr>
        <w:t>mērķdotāciju</w:t>
      </w:r>
      <w:r w:rsidRPr="00906836">
        <w:rPr>
          <w:spacing w:val="-8"/>
          <w:sz w:val="24"/>
          <w:szCs w:val="24"/>
        </w:rPr>
        <w:t xml:space="preserve"> </w:t>
      </w:r>
      <w:r w:rsidRPr="00906836">
        <w:rPr>
          <w:sz w:val="24"/>
          <w:szCs w:val="24"/>
        </w:rPr>
        <w:t>kā</w:t>
      </w:r>
      <w:r w:rsidRPr="00906836">
        <w:rPr>
          <w:spacing w:val="-8"/>
          <w:sz w:val="24"/>
          <w:szCs w:val="24"/>
        </w:rPr>
        <w:t xml:space="preserve"> </w:t>
      </w:r>
      <w:r w:rsidRPr="00906836">
        <w:rPr>
          <w:sz w:val="24"/>
          <w:szCs w:val="24"/>
        </w:rPr>
        <w:t>aktīvu,</w:t>
      </w:r>
      <w:r w:rsidRPr="00906836">
        <w:rPr>
          <w:spacing w:val="-7"/>
          <w:sz w:val="24"/>
          <w:szCs w:val="24"/>
        </w:rPr>
        <w:t xml:space="preserve"> </w:t>
      </w:r>
      <w:r w:rsidRPr="00906836">
        <w:rPr>
          <w:sz w:val="24"/>
          <w:szCs w:val="24"/>
        </w:rPr>
        <w:t>vienlaikus</w:t>
      </w:r>
      <w:r w:rsidRPr="00906836">
        <w:rPr>
          <w:spacing w:val="-7"/>
          <w:sz w:val="24"/>
          <w:szCs w:val="24"/>
        </w:rPr>
        <w:t xml:space="preserve"> </w:t>
      </w:r>
      <w:r w:rsidRPr="00906836">
        <w:rPr>
          <w:sz w:val="24"/>
          <w:szCs w:val="24"/>
        </w:rPr>
        <w:t>atzīstot ieņēmumus tās saņemšanas dienā. Tā kā mērķdotācijas noteikumi ir definēti pārāk vispārīgi, tie neietver sevī izpildes pienākumu un neatbilst pārveduma nosacījuma definīcijai. Izpildes pienākumam jābūt pēc būtības, ne tikai pēc formas, un tam jāizriet no paša nosacījuma. Šajā gadījumā minētais noteikums nav ne nosacījums, ne ierobežojums, un aktīva nodošana pati par sevi neuzliek pārveduma saņēmējam nekādu izpildes pienākumu. Dotajā gadījumā piešķirtajam finansējumam nav attiecināmi nekādi nosacījumi un saņemtā finansējuma uzskaiti veic</w:t>
      </w:r>
      <w:r w:rsidRPr="00906836">
        <w:rPr>
          <w:spacing w:val="-25"/>
          <w:sz w:val="24"/>
          <w:szCs w:val="24"/>
        </w:rPr>
        <w:t xml:space="preserve"> </w:t>
      </w:r>
      <w:r w:rsidRPr="00906836">
        <w:rPr>
          <w:sz w:val="24"/>
          <w:szCs w:val="24"/>
        </w:rPr>
        <w:t>sekojoši:</w:t>
      </w:r>
    </w:p>
    <w:p w14:paraId="2F42C06E" w14:textId="77777777" w:rsidR="00906836" w:rsidRPr="00906836" w:rsidRDefault="00906836" w:rsidP="00CD363C">
      <w:pPr>
        <w:spacing w:after="0" w:line="240" w:lineRule="auto"/>
        <w:ind w:left="83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w:t>
      </w:r>
    </w:p>
    <w:p w14:paraId="2EDCF8BB" w14:textId="77777777" w:rsidR="00906836" w:rsidRPr="00906836" w:rsidRDefault="00906836" w:rsidP="00CD363C">
      <w:pPr>
        <w:pStyle w:val="Pamatteksts"/>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4715"/>
      </w:tblGrid>
      <w:tr w:rsidR="00906836" w:rsidRPr="00906836" w14:paraId="22F50AD7" w14:textId="77777777" w:rsidTr="000152EE">
        <w:trPr>
          <w:trHeight w:val="541"/>
        </w:trPr>
        <w:tc>
          <w:tcPr>
            <w:tcW w:w="581" w:type="dxa"/>
          </w:tcPr>
          <w:p w14:paraId="6E3EDD52"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7CBD8640"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4715" w:type="dxa"/>
          </w:tcPr>
          <w:p w14:paraId="0DD44202"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r w:rsidR="00906836" w:rsidRPr="00906836" w14:paraId="3AFA4338" w14:textId="77777777" w:rsidTr="000152EE">
        <w:trPr>
          <w:trHeight w:val="289"/>
        </w:trPr>
        <w:tc>
          <w:tcPr>
            <w:tcW w:w="581" w:type="dxa"/>
          </w:tcPr>
          <w:p w14:paraId="2DAD91DB"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76C1376D" w14:textId="77777777" w:rsidR="00906836" w:rsidRPr="00906836" w:rsidRDefault="00906836" w:rsidP="00CD363C">
            <w:pPr>
              <w:pStyle w:val="TableParagraph"/>
              <w:ind w:left="204" w:right="113"/>
              <w:jc w:val="both"/>
              <w:rPr>
                <w:i/>
                <w:sz w:val="24"/>
                <w:szCs w:val="24"/>
              </w:rPr>
            </w:pPr>
            <w:r w:rsidRPr="00906836">
              <w:rPr>
                <w:i/>
                <w:sz w:val="24"/>
                <w:szCs w:val="24"/>
              </w:rPr>
              <w:t>6000</w:t>
            </w:r>
          </w:p>
        </w:tc>
        <w:tc>
          <w:tcPr>
            <w:tcW w:w="4715" w:type="dxa"/>
          </w:tcPr>
          <w:p w14:paraId="6D784BA1" w14:textId="77777777" w:rsidR="00906836" w:rsidRPr="00906836" w:rsidRDefault="00906836" w:rsidP="00CD363C">
            <w:pPr>
              <w:pStyle w:val="TableParagraph"/>
              <w:ind w:left="253" w:right="113"/>
              <w:jc w:val="both"/>
              <w:rPr>
                <w:i/>
                <w:sz w:val="24"/>
                <w:szCs w:val="24"/>
              </w:rPr>
            </w:pPr>
            <w:r w:rsidRPr="00906836">
              <w:rPr>
                <w:i/>
                <w:sz w:val="24"/>
                <w:szCs w:val="24"/>
              </w:rPr>
              <w:t>Pamatdarbības ieņēmumi</w:t>
            </w:r>
          </w:p>
        </w:tc>
      </w:tr>
    </w:tbl>
    <w:p w14:paraId="2DF18C31" w14:textId="77777777" w:rsidR="00906836" w:rsidRPr="00906836" w:rsidRDefault="00906836" w:rsidP="00CD363C">
      <w:pPr>
        <w:pStyle w:val="Pamatteksts"/>
        <w:ind w:right="113"/>
        <w:jc w:val="both"/>
        <w:rPr>
          <w:sz w:val="24"/>
          <w:szCs w:val="24"/>
        </w:rPr>
      </w:pPr>
      <w:r w:rsidRPr="00906836">
        <w:rPr>
          <w:noProof/>
          <w:sz w:val="24"/>
          <w:szCs w:val="24"/>
        </w:rPr>
        <w:t xml:space="preserve">973.    </w:t>
      </w:r>
      <w:r w:rsidRPr="00906836">
        <w:rPr>
          <w:sz w:val="24"/>
          <w:szCs w:val="24"/>
        </w:rPr>
        <w:t>Valdība piešķir pašvaldībai mērķdotāciju autoceļu infrastruktūras uzlabošanai. Mērķdotācijai ir definēti īpaši nosacījumi, nosakot tās izlietojumu pilsētas tranzīta ielu uzturēšanai, tā jāizmanto pārskata</w:t>
      </w:r>
      <w:r w:rsidRPr="00906836">
        <w:rPr>
          <w:spacing w:val="-8"/>
          <w:sz w:val="24"/>
          <w:szCs w:val="24"/>
        </w:rPr>
        <w:t xml:space="preserve"> </w:t>
      </w:r>
      <w:r w:rsidRPr="00906836">
        <w:rPr>
          <w:sz w:val="24"/>
          <w:szCs w:val="24"/>
        </w:rPr>
        <w:t>gadā</w:t>
      </w:r>
      <w:r w:rsidRPr="00906836">
        <w:rPr>
          <w:spacing w:val="-8"/>
          <w:sz w:val="24"/>
          <w:szCs w:val="24"/>
        </w:rPr>
        <w:t xml:space="preserve"> </w:t>
      </w:r>
      <w:r w:rsidRPr="00906836">
        <w:rPr>
          <w:sz w:val="24"/>
          <w:szCs w:val="24"/>
        </w:rPr>
        <w:t>un</w:t>
      </w:r>
      <w:r w:rsidRPr="00906836">
        <w:rPr>
          <w:spacing w:val="-8"/>
          <w:sz w:val="24"/>
          <w:szCs w:val="24"/>
        </w:rPr>
        <w:t xml:space="preserve"> </w:t>
      </w:r>
      <w:r w:rsidRPr="00906836">
        <w:rPr>
          <w:sz w:val="24"/>
          <w:szCs w:val="24"/>
        </w:rPr>
        <w:t>nosacījuma</w:t>
      </w:r>
      <w:r w:rsidRPr="00906836">
        <w:rPr>
          <w:spacing w:val="-8"/>
          <w:sz w:val="24"/>
          <w:szCs w:val="24"/>
        </w:rPr>
        <w:t xml:space="preserve"> </w:t>
      </w:r>
      <w:r w:rsidRPr="00906836">
        <w:rPr>
          <w:sz w:val="24"/>
          <w:szCs w:val="24"/>
        </w:rPr>
        <w:t>neizpildes</w:t>
      </w:r>
      <w:r w:rsidRPr="00906836">
        <w:rPr>
          <w:spacing w:val="-7"/>
          <w:sz w:val="24"/>
          <w:szCs w:val="24"/>
        </w:rPr>
        <w:t xml:space="preserve"> </w:t>
      </w:r>
      <w:r w:rsidRPr="00906836">
        <w:rPr>
          <w:sz w:val="24"/>
          <w:szCs w:val="24"/>
        </w:rPr>
        <w:t>gadījumā</w:t>
      </w:r>
      <w:r w:rsidRPr="00906836">
        <w:rPr>
          <w:spacing w:val="-8"/>
          <w:sz w:val="24"/>
          <w:szCs w:val="24"/>
        </w:rPr>
        <w:t xml:space="preserve"> </w:t>
      </w:r>
      <w:r w:rsidRPr="00906836">
        <w:rPr>
          <w:sz w:val="24"/>
          <w:szCs w:val="24"/>
        </w:rPr>
        <w:t>tā</w:t>
      </w:r>
      <w:r w:rsidRPr="00906836">
        <w:rPr>
          <w:spacing w:val="-12"/>
          <w:sz w:val="24"/>
          <w:szCs w:val="24"/>
        </w:rPr>
        <w:t xml:space="preserve"> </w:t>
      </w:r>
      <w:r w:rsidRPr="00906836">
        <w:rPr>
          <w:sz w:val="24"/>
          <w:szCs w:val="24"/>
        </w:rPr>
        <w:t>jāatmaksā</w:t>
      </w:r>
      <w:r w:rsidRPr="00906836">
        <w:rPr>
          <w:spacing w:val="-8"/>
          <w:sz w:val="24"/>
          <w:szCs w:val="24"/>
        </w:rPr>
        <w:t xml:space="preserve"> </w:t>
      </w:r>
      <w:r w:rsidRPr="00906836">
        <w:rPr>
          <w:sz w:val="24"/>
          <w:szCs w:val="24"/>
        </w:rPr>
        <w:t>valsts</w:t>
      </w:r>
      <w:r w:rsidRPr="00906836">
        <w:rPr>
          <w:spacing w:val="-8"/>
          <w:sz w:val="24"/>
          <w:szCs w:val="24"/>
        </w:rPr>
        <w:t xml:space="preserve"> </w:t>
      </w:r>
      <w:r w:rsidRPr="00906836">
        <w:rPr>
          <w:sz w:val="24"/>
          <w:szCs w:val="24"/>
        </w:rPr>
        <w:t>budžetā.</w:t>
      </w:r>
      <w:r w:rsidRPr="00906836">
        <w:rPr>
          <w:spacing w:val="-10"/>
          <w:sz w:val="24"/>
          <w:szCs w:val="24"/>
        </w:rPr>
        <w:t xml:space="preserve"> </w:t>
      </w:r>
      <w:r w:rsidRPr="00906836">
        <w:rPr>
          <w:sz w:val="24"/>
          <w:szCs w:val="24"/>
        </w:rPr>
        <w:t>Pašvaldībai</w:t>
      </w:r>
      <w:r w:rsidRPr="00906836">
        <w:rPr>
          <w:spacing w:val="-7"/>
          <w:sz w:val="24"/>
          <w:szCs w:val="24"/>
        </w:rPr>
        <w:t xml:space="preserve"> </w:t>
      </w:r>
      <w:r w:rsidRPr="00906836">
        <w:rPr>
          <w:sz w:val="24"/>
          <w:szCs w:val="24"/>
        </w:rPr>
        <w:t>noteikts atklāt</w:t>
      </w:r>
      <w:r w:rsidRPr="00906836">
        <w:rPr>
          <w:spacing w:val="9"/>
          <w:sz w:val="24"/>
          <w:szCs w:val="24"/>
        </w:rPr>
        <w:t xml:space="preserve"> </w:t>
      </w:r>
      <w:r w:rsidRPr="00906836">
        <w:rPr>
          <w:sz w:val="24"/>
          <w:szCs w:val="24"/>
        </w:rPr>
        <w:t>informāciju</w:t>
      </w:r>
      <w:r w:rsidRPr="00906836">
        <w:rPr>
          <w:spacing w:val="11"/>
          <w:sz w:val="24"/>
          <w:szCs w:val="24"/>
        </w:rPr>
        <w:t xml:space="preserve"> </w:t>
      </w:r>
      <w:r w:rsidRPr="00906836">
        <w:rPr>
          <w:sz w:val="24"/>
          <w:szCs w:val="24"/>
        </w:rPr>
        <w:t>par</w:t>
      </w:r>
      <w:r w:rsidRPr="00906836">
        <w:rPr>
          <w:spacing w:val="12"/>
          <w:sz w:val="24"/>
          <w:szCs w:val="24"/>
        </w:rPr>
        <w:t xml:space="preserve"> </w:t>
      </w:r>
      <w:r w:rsidRPr="00906836">
        <w:rPr>
          <w:sz w:val="24"/>
          <w:szCs w:val="24"/>
        </w:rPr>
        <w:t>mērķdotācijas</w:t>
      </w:r>
      <w:r w:rsidRPr="00906836">
        <w:rPr>
          <w:spacing w:val="9"/>
          <w:sz w:val="24"/>
          <w:szCs w:val="24"/>
        </w:rPr>
        <w:t xml:space="preserve"> </w:t>
      </w:r>
      <w:r w:rsidRPr="00906836">
        <w:rPr>
          <w:sz w:val="24"/>
          <w:szCs w:val="24"/>
        </w:rPr>
        <w:t>izlietojumu</w:t>
      </w:r>
      <w:r w:rsidRPr="00906836">
        <w:rPr>
          <w:spacing w:val="11"/>
          <w:sz w:val="24"/>
          <w:szCs w:val="24"/>
        </w:rPr>
        <w:t xml:space="preserve"> </w:t>
      </w:r>
      <w:r w:rsidRPr="00906836">
        <w:rPr>
          <w:sz w:val="24"/>
          <w:szCs w:val="24"/>
        </w:rPr>
        <w:t>tās</w:t>
      </w:r>
      <w:r w:rsidRPr="00906836">
        <w:rPr>
          <w:spacing w:val="9"/>
          <w:sz w:val="24"/>
          <w:szCs w:val="24"/>
        </w:rPr>
        <w:t xml:space="preserve"> </w:t>
      </w:r>
      <w:r w:rsidRPr="00906836">
        <w:rPr>
          <w:sz w:val="24"/>
          <w:szCs w:val="24"/>
        </w:rPr>
        <w:t>finanšu</w:t>
      </w:r>
      <w:r w:rsidRPr="00906836">
        <w:rPr>
          <w:spacing w:val="11"/>
          <w:sz w:val="24"/>
          <w:szCs w:val="24"/>
        </w:rPr>
        <w:t xml:space="preserve"> </w:t>
      </w:r>
      <w:r w:rsidRPr="00906836">
        <w:rPr>
          <w:sz w:val="24"/>
          <w:szCs w:val="24"/>
        </w:rPr>
        <w:t>pārskatā.</w:t>
      </w:r>
      <w:r w:rsidRPr="00906836">
        <w:rPr>
          <w:spacing w:val="11"/>
          <w:sz w:val="24"/>
          <w:szCs w:val="24"/>
        </w:rPr>
        <w:t xml:space="preserve"> </w:t>
      </w:r>
      <w:r w:rsidRPr="00906836">
        <w:rPr>
          <w:sz w:val="24"/>
          <w:szCs w:val="24"/>
        </w:rPr>
        <w:t>Ņemot</w:t>
      </w:r>
      <w:r w:rsidRPr="00906836">
        <w:rPr>
          <w:spacing w:val="12"/>
          <w:sz w:val="24"/>
          <w:szCs w:val="24"/>
        </w:rPr>
        <w:t xml:space="preserve"> </w:t>
      </w:r>
      <w:r w:rsidRPr="00906836">
        <w:rPr>
          <w:sz w:val="24"/>
          <w:szCs w:val="24"/>
        </w:rPr>
        <w:t>vērā</w:t>
      </w:r>
      <w:r w:rsidRPr="00906836">
        <w:rPr>
          <w:spacing w:val="10"/>
          <w:sz w:val="24"/>
          <w:szCs w:val="24"/>
        </w:rPr>
        <w:t xml:space="preserve"> </w:t>
      </w:r>
      <w:r w:rsidRPr="00906836">
        <w:rPr>
          <w:sz w:val="24"/>
          <w:szCs w:val="24"/>
        </w:rPr>
        <w:t>mērķdotācijas nosacījumu, mērķdotācijas saņemšanas dienā pašvaldība atzīst naudas līdzekļu palielinājumu un saistības attiecībā uz mērķdotācijas izpildi.</w:t>
      </w:r>
    </w:p>
    <w:p w14:paraId="269C0D44"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 mērķdotācijas saņemšanas dienā pašvaldība atzīst aktīvu un saistības:</w:t>
      </w:r>
    </w:p>
    <w:p w14:paraId="4BB5BEE5" w14:textId="77777777" w:rsidR="00906836" w:rsidRPr="00906836" w:rsidRDefault="00906836" w:rsidP="00CD363C">
      <w:pPr>
        <w:pStyle w:val="Pamatteksts"/>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4715"/>
      </w:tblGrid>
      <w:tr w:rsidR="00906836" w:rsidRPr="00906836" w14:paraId="3551B74D" w14:textId="77777777" w:rsidTr="000152EE">
        <w:trPr>
          <w:trHeight w:val="541"/>
        </w:trPr>
        <w:tc>
          <w:tcPr>
            <w:tcW w:w="581" w:type="dxa"/>
          </w:tcPr>
          <w:p w14:paraId="16694530"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5F900ECA"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4715" w:type="dxa"/>
          </w:tcPr>
          <w:p w14:paraId="349438BF"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r w:rsidR="00906836" w:rsidRPr="00906836" w14:paraId="522B5F60" w14:textId="77777777" w:rsidTr="000152EE">
        <w:trPr>
          <w:trHeight w:val="289"/>
        </w:trPr>
        <w:tc>
          <w:tcPr>
            <w:tcW w:w="581" w:type="dxa"/>
          </w:tcPr>
          <w:p w14:paraId="1AF1DC7E"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4BA4873E" w14:textId="77777777" w:rsidR="00906836" w:rsidRPr="00906836" w:rsidRDefault="00906836" w:rsidP="00CD363C">
            <w:pPr>
              <w:pStyle w:val="TableParagraph"/>
              <w:ind w:left="204" w:right="113"/>
              <w:jc w:val="both"/>
              <w:rPr>
                <w:i/>
                <w:sz w:val="24"/>
                <w:szCs w:val="24"/>
              </w:rPr>
            </w:pPr>
            <w:r w:rsidRPr="00906836">
              <w:rPr>
                <w:i/>
                <w:sz w:val="24"/>
                <w:szCs w:val="24"/>
              </w:rPr>
              <w:t>5930</w:t>
            </w:r>
          </w:p>
        </w:tc>
        <w:tc>
          <w:tcPr>
            <w:tcW w:w="4715" w:type="dxa"/>
          </w:tcPr>
          <w:p w14:paraId="01E53B94" w14:textId="77777777" w:rsidR="00906836" w:rsidRPr="00906836" w:rsidRDefault="00906836" w:rsidP="00CD363C">
            <w:pPr>
              <w:pStyle w:val="TableParagraph"/>
              <w:ind w:left="253" w:right="113"/>
              <w:jc w:val="both"/>
              <w:rPr>
                <w:i/>
                <w:sz w:val="24"/>
                <w:szCs w:val="24"/>
              </w:rPr>
            </w:pPr>
            <w:r w:rsidRPr="00906836">
              <w:rPr>
                <w:i/>
                <w:sz w:val="24"/>
                <w:szCs w:val="24"/>
              </w:rPr>
              <w:t>Avansā saņemtie transferti</w:t>
            </w:r>
          </w:p>
        </w:tc>
      </w:tr>
    </w:tbl>
    <w:p w14:paraId="64F6D212" w14:textId="77777777" w:rsidR="00906836" w:rsidRPr="00906836" w:rsidRDefault="00906836" w:rsidP="00CD363C">
      <w:pPr>
        <w:pStyle w:val="Pamatteksts"/>
        <w:ind w:right="113"/>
        <w:jc w:val="both"/>
        <w:rPr>
          <w:i/>
          <w:sz w:val="24"/>
          <w:szCs w:val="24"/>
        </w:rPr>
      </w:pPr>
    </w:p>
    <w:p w14:paraId="6BE5F878" w14:textId="77777777" w:rsidR="00906836" w:rsidRPr="00906836" w:rsidRDefault="00906836" w:rsidP="00CD363C">
      <w:pPr>
        <w:pStyle w:val="Pamatteksts"/>
        <w:ind w:left="118" w:right="113"/>
        <w:jc w:val="both"/>
        <w:rPr>
          <w:sz w:val="24"/>
          <w:szCs w:val="24"/>
        </w:rPr>
      </w:pPr>
      <w:r w:rsidRPr="00906836">
        <w:rPr>
          <w:sz w:val="24"/>
          <w:szCs w:val="24"/>
        </w:rPr>
        <w:t>Budžeta iestāde (pašvaldība) samazina saistības, kad saņem apstiprinājumu par tiesību aktu ietvaros noteikto nosacījumu izpildi (attaisnoti izdevumi). Ieņēmumi no mērķdotācijas saņemšanas tiek atzīti tajā pārskata periodā, kurā saistības tiek dzēstas.</w:t>
      </w:r>
    </w:p>
    <w:p w14:paraId="7079FE10"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 pēc apstiprinājuma saņemšanas pašvaldība atzīst ieņēmumus un dzēš saistības:</w:t>
      </w:r>
    </w:p>
    <w:p w14:paraId="1314B05D" w14:textId="77777777" w:rsidR="00906836" w:rsidRPr="00906836" w:rsidRDefault="00906836" w:rsidP="00CD363C">
      <w:pPr>
        <w:pStyle w:val="Pamatteksts"/>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2813"/>
      </w:tblGrid>
      <w:tr w:rsidR="00906836" w:rsidRPr="00906836" w14:paraId="6BA775A4" w14:textId="77777777" w:rsidTr="000152EE">
        <w:trPr>
          <w:trHeight w:val="289"/>
        </w:trPr>
        <w:tc>
          <w:tcPr>
            <w:tcW w:w="581" w:type="dxa"/>
          </w:tcPr>
          <w:p w14:paraId="1BBE9FB4"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7B016D8A" w14:textId="77777777" w:rsidR="00906836" w:rsidRPr="00906836" w:rsidRDefault="00906836" w:rsidP="00CD363C">
            <w:pPr>
              <w:pStyle w:val="TableParagraph"/>
              <w:ind w:left="204" w:right="113"/>
              <w:jc w:val="both"/>
              <w:rPr>
                <w:i/>
                <w:sz w:val="24"/>
                <w:szCs w:val="24"/>
              </w:rPr>
            </w:pPr>
            <w:r w:rsidRPr="00906836">
              <w:rPr>
                <w:i/>
                <w:sz w:val="24"/>
                <w:szCs w:val="24"/>
              </w:rPr>
              <w:t>5930</w:t>
            </w:r>
          </w:p>
        </w:tc>
        <w:tc>
          <w:tcPr>
            <w:tcW w:w="2813" w:type="dxa"/>
          </w:tcPr>
          <w:p w14:paraId="00D44D55" w14:textId="77777777" w:rsidR="00906836" w:rsidRPr="00906836" w:rsidRDefault="00906836" w:rsidP="00CD363C">
            <w:pPr>
              <w:pStyle w:val="TableParagraph"/>
              <w:ind w:left="253" w:right="113"/>
              <w:jc w:val="both"/>
              <w:rPr>
                <w:i/>
                <w:sz w:val="24"/>
                <w:szCs w:val="24"/>
              </w:rPr>
            </w:pPr>
            <w:r w:rsidRPr="00906836">
              <w:rPr>
                <w:i/>
                <w:sz w:val="24"/>
                <w:szCs w:val="24"/>
              </w:rPr>
              <w:t>Avansā saņemtie transferti</w:t>
            </w:r>
          </w:p>
        </w:tc>
      </w:tr>
      <w:tr w:rsidR="00906836" w:rsidRPr="00906836" w14:paraId="55AA9AD1" w14:textId="77777777" w:rsidTr="000152EE">
        <w:trPr>
          <w:trHeight w:val="289"/>
        </w:trPr>
        <w:tc>
          <w:tcPr>
            <w:tcW w:w="581" w:type="dxa"/>
          </w:tcPr>
          <w:p w14:paraId="12590486"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7C0F55ED" w14:textId="77777777" w:rsidR="00906836" w:rsidRPr="00906836" w:rsidRDefault="00906836" w:rsidP="00CD363C">
            <w:pPr>
              <w:pStyle w:val="TableParagraph"/>
              <w:ind w:left="204" w:right="113"/>
              <w:jc w:val="both"/>
              <w:rPr>
                <w:i/>
                <w:sz w:val="24"/>
                <w:szCs w:val="24"/>
              </w:rPr>
            </w:pPr>
            <w:r w:rsidRPr="00906836">
              <w:rPr>
                <w:i/>
                <w:sz w:val="24"/>
                <w:szCs w:val="24"/>
              </w:rPr>
              <w:t>6000</w:t>
            </w:r>
          </w:p>
        </w:tc>
        <w:tc>
          <w:tcPr>
            <w:tcW w:w="2813" w:type="dxa"/>
          </w:tcPr>
          <w:p w14:paraId="73606FB6" w14:textId="77777777" w:rsidR="00906836" w:rsidRPr="00906836" w:rsidRDefault="00906836" w:rsidP="00CD363C">
            <w:pPr>
              <w:pStyle w:val="TableParagraph"/>
              <w:ind w:left="253" w:right="113"/>
              <w:jc w:val="both"/>
              <w:rPr>
                <w:i/>
                <w:sz w:val="24"/>
                <w:szCs w:val="24"/>
              </w:rPr>
            </w:pPr>
            <w:r w:rsidRPr="00906836">
              <w:rPr>
                <w:i/>
                <w:sz w:val="24"/>
                <w:szCs w:val="24"/>
              </w:rPr>
              <w:t>Pamatdarbības ieņēmumi</w:t>
            </w:r>
          </w:p>
        </w:tc>
      </w:tr>
    </w:tbl>
    <w:p w14:paraId="0D022DF4" w14:textId="77777777" w:rsidR="00906836" w:rsidRPr="00906836" w:rsidRDefault="00906836" w:rsidP="00CD363C">
      <w:pPr>
        <w:pStyle w:val="Pamatteksts"/>
        <w:ind w:right="113"/>
        <w:jc w:val="both"/>
        <w:rPr>
          <w:sz w:val="24"/>
          <w:szCs w:val="24"/>
        </w:rPr>
      </w:pPr>
      <w:r w:rsidRPr="00906836">
        <w:rPr>
          <w:noProof/>
          <w:sz w:val="24"/>
          <w:szCs w:val="24"/>
        </w:rPr>
        <w:t xml:space="preserve">974.    </w:t>
      </w:r>
      <w:r w:rsidRPr="00906836">
        <w:rPr>
          <w:sz w:val="24"/>
          <w:szCs w:val="24"/>
        </w:rPr>
        <w:t>Lauku</w:t>
      </w:r>
      <w:r w:rsidRPr="00906836">
        <w:rPr>
          <w:spacing w:val="-13"/>
          <w:sz w:val="24"/>
          <w:szCs w:val="24"/>
        </w:rPr>
        <w:t xml:space="preserve"> </w:t>
      </w:r>
      <w:r w:rsidRPr="00906836">
        <w:rPr>
          <w:sz w:val="24"/>
          <w:szCs w:val="24"/>
        </w:rPr>
        <w:t>atbalsta</w:t>
      </w:r>
      <w:r w:rsidRPr="00906836">
        <w:rPr>
          <w:spacing w:val="-12"/>
          <w:sz w:val="24"/>
          <w:szCs w:val="24"/>
        </w:rPr>
        <w:t xml:space="preserve"> </w:t>
      </w:r>
      <w:r w:rsidRPr="00906836">
        <w:rPr>
          <w:sz w:val="24"/>
          <w:szCs w:val="24"/>
        </w:rPr>
        <w:t>dienests</w:t>
      </w:r>
      <w:r w:rsidRPr="00906836">
        <w:rPr>
          <w:spacing w:val="-11"/>
          <w:sz w:val="24"/>
          <w:szCs w:val="24"/>
        </w:rPr>
        <w:t xml:space="preserve"> </w:t>
      </w:r>
      <w:r w:rsidRPr="00906836">
        <w:rPr>
          <w:sz w:val="24"/>
          <w:szCs w:val="24"/>
        </w:rPr>
        <w:t>īsteno</w:t>
      </w:r>
      <w:r w:rsidRPr="00906836">
        <w:rPr>
          <w:spacing w:val="-13"/>
          <w:sz w:val="24"/>
          <w:szCs w:val="24"/>
        </w:rPr>
        <w:t xml:space="preserve"> </w:t>
      </w:r>
      <w:r w:rsidRPr="00906836">
        <w:rPr>
          <w:sz w:val="24"/>
          <w:szCs w:val="24"/>
        </w:rPr>
        <w:t>Eiropas</w:t>
      </w:r>
      <w:r w:rsidRPr="00906836">
        <w:rPr>
          <w:spacing w:val="-11"/>
          <w:sz w:val="24"/>
          <w:szCs w:val="24"/>
        </w:rPr>
        <w:t xml:space="preserve"> </w:t>
      </w:r>
      <w:r w:rsidRPr="00906836">
        <w:rPr>
          <w:sz w:val="24"/>
          <w:szCs w:val="24"/>
        </w:rPr>
        <w:t>Komisijas</w:t>
      </w:r>
      <w:r w:rsidRPr="00906836">
        <w:rPr>
          <w:spacing w:val="-12"/>
          <w:sz w:val="24"/>
          <w:szCs w:val="24"/>
        </w:rPr>
        <w:t xml:space="preserve"> </w:t>
      </w:r>
      <w:r w:rsidRPr="00906836">
        <w:rPr>
          <w:sz w:val="24"/>
          <w:szCs w:val="24"/>
        </w:rPr>
        <w:t>finansēto</w:t>
      </w:r>
      <w:r w:rsidRPr="00906836">
        <w:rPr>
          <w:spacing w:val="-12"/>
          <w:sz w:val="24"/>
          <w:szCs w:val="24"/>
        </w:rPr>
        <w:t xml:space="preserve"> </w:t>
      </w:r>
      <w:r w:rsidRPr="00906836">
        <w:rPr>
          <w:sz w:val="24"/>
          <w:szCs w:val="24"/>
        </w:rPr>
        <w:t>programmu</w:t>
      </w:r>
      <w:r w:rsidRPr="00906836">
        <w:rPr>
          <w:spacing w:val="-8"/>
          <w:sz w:val="24"/>
          <w:szCs w:val="24"/>
        </w:rPr>
        <w:t xml:space="preserve"> </w:t>
      </w:r>
      <w:r w:rsidRPr="00906836">
        <w:rPr>
          <w:b/>
          <w:sz w:val="24"/>
          <w:szCs w:val="24"/>
        </w:rPr>
        <w:t>“Atbalsts</w:t>
      </w:r>
      <w:r w:rsidRPr="00906836">
        <w:rPr>
          <w:b/>
          <w:spacing w:val="-15"/>
          <w:sz w:val="24"/>
          <w:szCs w:val="24"/>
        </w:rPr>
        <w:t xml:space="preserve"> </w:t>
      </w:r>
      <w:r w:rsidRPr="00906836">
        <w:rPr>
          <w:b/>
          <w:sz w:val="24"/>
          <w:szCs w:val="24"/>
        </w:rPr>
        <w:t>piena</w:t>
      </w:r>
      <w:r w:rsidRPr="00906836">
        <w:rPr>
          <w:b/>
          <w:spacing w:val="-12"/>
          <w:sz w:val="24"/>
          <w:szCs w:val="24"/>
        </w:rPr>
        <w:t xml:space="preserve"> </w:t>
      </w:r>
      <w:r w:rsidRPr="00906836">
        <w:rPr>
          <w:b/>
          <w:sz w:val="24"/>
          <w:szCs w:val="24"/>
        </w:rPr>
        <w:t>produktu piegādei</w:t>
      </w:r>
      <w:r w:rsidRPr="00906836">
        <w:rPr>
          <w:b/>
          <w:spacing w:val="-6"/>
          <w:sz w:val="24"/>
          <w:szCs w:val="24"/>
        </w:rPr>
        <w:t xml:space="preserve"> </w:t>
      </w:r>
      <w:r w:rsidRPr="00906836">
        <w:rPr>
          <w:b/>
          <w:sz w:val="24"/>
          <w:szCs w:val="24"/>
        </w:rPr>
        <w:t>izglītojamiem”</w:t>
      </w:r>
      <w:r w:rsidRPr="00906836">
        <w:rPr>
          <w:b/>
          <w:spacing w:val="-5"/>
          <w:sz w:val="24"/>
          <w:szCs w:val="24"/>
        </w:rPr>
        <w:t xml:space="preserve"> </w:t>
      </w:r>
      <w:r w:rsidRPr="00906836">
        <w:rPr>
          <w:sz w:val="24"/>
          <w:szCs w:val="24"/>
        </w:rPr>
        <w:t>jeb</w:t>
      </w:r>
      <w:r w:rsidRPr="00906836">
        <w:rPr>
          <w:spacing w:val="-5"/>
          <w:sz w:val="24"/>
          <w:szCs w:val="24"/>
        </w:rPr>
        <w:t xml:space="preserve"> </w:t>
      </w:r>
      <w:r w:rsidRPr="00906836">
        <w:rPr>
          <w:b/>
          <w:sz w:val="24"/>
          <w:szCs w:val="24"/>
        </w:rPr>
        <w:t>“Skolas</w:t>
      </w:r>
      <w:r w:rsidRPr="00906836">
        <w:rPr>
          <w:b/>
          <w:spacing w:val="-4"/>
          <w:sz w:val="24"/>
          <w:szCs w:val="24"/>
        </w:rPr>
        <w:t xml:space="preserve"> </w:t>
      </w:r>
      <w:r w:rsidRPr="00906836">
        <w:rPr>
          <w:b/>
          <w:sz w:val="24"/>
          <w:szCs w:val="24"/>
        </w:rPr>
        <w:t>piens”,</w:t>
      </w:r>
      <w:r w:rsidRPr="00906836">
        <w:rPr>
          <w:b/>
          <w:spacing w:val="-5"/>
          <w:sz w:val="24"/>
          <w:szCs w:val="24"/>
        </w:rPr>
        <w:t xml:space="preserve"> </w:t>
      </w:r>
      <w:r w:rsidRPr="00906836">
        <w:rPr>
          <w:sz w:val="24"/>
          <w:szCs w:val="24"/>
        </w:rPr>
        <w:t>kas</w:t>
      </w:r>
      <w:r w:rsidRPr="00906836">
        <w:rPr>
          <w:spacing w:val="-6"/>
          <w:sz w:val="24"/>
          <w:szCs w:val="24"/>
        </w:rPr>
        <w:t xml:space="preserve"> </w:t>
      </w:r>
      <w:r w:rsidRPr="00906836">
        <w:rPr>
          <w:sz w:val="24"/>
          <w:szCs w:val="24"/>
        </w:rPr>
        <w:t>ir</w:t>
      </w:r>
      <w:r w:rsidRPr="00906836">
        <w:rPr>
          <w:spacing w:val="-4"/>
          <w:sz w:val="24"/>
          <w:szCs w:val="24"/>
        </w:rPr>
        <w:t xml:space="preserve"> </w:t>
      </w:r>
      <w:r w:rsidRPr="00906836">
        <w:rPr>
          <w:sz w:val="24"/>
          <w:szCs w:val="24"/>
        </w:rPr>
        <w:t>viens</w:t>
      </w:r>
      <w:r w:rsidRPr="00906836">
        <w:rPr>
          <w:spacing w:val="-4"/>
          <w:sz w:val="24"/>
          <w:szCs w:val="24"/>
        </w:rPr>
        <w:t xml:space="preserve"> </w:t>
      </w:r>
      <w:r w:rsidRPr="00906836">
        <w:rPr>
          <w:sz w:val="24"/>
          <w:szCs w:val="24"/>
        </w:rPr>
        <w:t>no</w:t>
      </w:r>
      <w:r w:rsidRPr="00906836">
        <w:rPr>
          <w:spacing w:val="-5"/>
          <w:sz w:val="24"/>
          <w:szCs w:val="24"/>
        </w:rPr>
        <w:t xml:space="preserve"> </w:t>
      </w:r>
      <w:r w:rsidRPr="00906836">
        <w:rPr>
          <w:sz w:val="24"/>
          <w:szCs w:val="24"/>
        </w:rPr>
        <w:t>vienotā</w:t>
      </w:r>
      <w:r w:rsidRPr="00906836">
        <w:rPr>
          <w:spacing w:val="-7"/>
          <w:sz w:val="24"/>
          <w:szCs w:val="24"/>
        </w:rPr>
        <w:t xml:space="preserve"> </w:t>
      </w:r>
      <w:r w:rsidRPr="00906836">
        <w:rPr>
          <w:sz w:val="24"/>
          <w:szCs w:val="24"/>
        </w:rPr>
        <w:t>Tirgus</w:t>
      </w:r>
      <w:r w:rsidRPr="00906836">
        <w:rPr>
          <w:spacing w:val="-4"/>
          <w:sz w:val="24"/>
          <w:szCs w:val="24"/>
        </w:rPr>
        <w:t xml:space="preserve"> </w:t>
      </w:r>
      <w:r w:rsidRPr="00906836">
        <w:rPr>
          <w:sz w:val="24"/>
          <w:szCs w:val="24"/>
        </w:rPr>
        <w:t>kopējās</w:t>
      </w:r>
      <w:r w:rsidRPr="00906836">
        <w:rPr>
          <w:spacing w:val="-4"/>
          <w:sz w:val="24"/>
          <w:szCs w:val="24"/>
        </w:rPr>
        <w:t xml:space="preserve"> </w:t>
      </w:r>
      <w:r w:rsidRPr="00906836">
        <w:rPr>
          <w:sz w:val="24"/>
          <w:szCs w:val="24"/>
        </w:rPr>
        <w:t>organizācijas atbalsta instrumentiem. Programmas pamatmērķi ir saistīti ar veselīga uztura un piena patēriņa veicināšanu starp skolēniem un programmas ietvaros izglītojamiem ir iespēja katru mācību dienu saņemt līdz 250 ml piena vai noteiktu piena produktu par samazinātu cenu, bez tam, programma paredz iespēju dalībvalstij piešķirt papildus finansējumu no valsts budžeta, ļaujot produktu cenu vēl vairāk samazināt vai pat nodrošināt tos bez maksas. Atbalsta piešķiršanu, finansējuma saņemšanu un izlietošanu nosaka attiecīgie, kas paredz prasības tiesību aktos noteiktajiem pretendentiem produktu piegādei izglītojamajiem vispārējās izglītības iestādēs un prasības vispārējās izglītības iestādēm attiecībā uz pārskatu sniegšanu par piegādāto piena produktu izlietojumu. Uz atbalstu var pieteikties produktu ražotāji, tostarp arī to kooperatīvās sabiedrības, kas reģistrējušies Pārtikas un veterinārajā dienestā, kā arī pašvaldības un izglītības iestādes, saimnieciskās</w:t>
      </w:r>
      <w:r w:rsidRPr="00906836">
        <w:rPr>
          <w:spacing w:val="-15"/>
          <w:sz w:val="24"/>
          <w:szCs w:val="24"/>
        </w:rPr>
        <w:t xml:space="preserve"> </w:t>
      </w:r>
      <w:r w:rsidRPr="00906836">
        <w:rPr>
          <w:sz w:val="24"/>
          <w:szCs w:val="24"/>
        </w:rPr>
        <w:t>darbības</w:t>
      </w:r>
      <w:r w:rsidRPr="00906836">
        <w:rPr>
          <w:spacing w:val="-15"/>
          <w:sz w:val="24"/>
          <w:szCs w:val="24"/>
        </w:rPr>
        <w:t xml:space="preserve"> </w:t>
      </w:r>
      <w:r w:rsidRPr="00906836">
        <w:rPr>
          <w:sz w:val="24"/>
          <w:szCs w:val="24"/>
        </w:rPr>
        <w:t>veicēji,</w:t>
      </w:r>
      <w:r w:rsidRPr="00906836">
        <w:rPr>
          <w:spacing w:val="-18"/>
          <w:sz w:val="24"/>
          <w:szCs w:val="24"/>
        </w:rPr>
        <w:t xml:space="preserve"> </w:t>
      </w:r>
      <w:r w:rsidRPr="00906836">
        <w:rPr>
          <w:sz w:val="24"/>
          <w:szCs w:val="24"/>
        </w:rPr>
        <w:t>kas</w:t>
      </w:r>
      <w:r w:rsidRPr="00906836">
        <w:rPr>
          <w:spacing w:val="-15"/>
          <w:sz w:val="24"/>
          <w:szCs w:val="24"/>
        </w:rPr>
        <w:t xml:space="preserve"> </w:t>
      </w:r>
      <w:r w:rsidRPr="00906836">
        <w:rPr>
          <w:sz w:val="24"/>
          <w:szCs w:val="24"/>
        </w:rPr>
        <w:t>nodrošina</w:t>
      </w:r>
      <w:r w:rsidRPr="00906836">
        <w:rPr>
          <w:spacing w:val="-17"/>
          <w:sz w:val="24"/>
          <w:szCs w:val="24"/>
        </w:rPr>
        <w:t xml:space="preserve"> </w:t>
      </w:r>
      <w:r w:rsidRPr="00906836">
        <w:rPr>
          <w:sz w:val="24"/>
          <w:szCs w:val="24"/>
        </w:rPr>
        <w:t>skolas</w:t>
      </w:r>
      <w:r w:rsidRPr="00906836">
        <w:rPr>
          <w:spacing w:val="-15"/>
          <w:sz w:val="24"/>
          <w:szCs w:val="24"/>
        </w:rPr>
        <w:t xml:space="preserve"> </w:t>
      </w:r>
      <w:r w:rsidRPr="00906836">
        <w:rPr>
          <w:sz w:val="24"/>
          <w:szCs w:val="24"/>
        </w:rPr>
        <w:t>ēdināšanu.</w:t>
      </w:r>
      <w:r w:rsidRPr="00906836">
        <w:rPr>
          <w:spacing w:val="-11"/>
          <w:sz w:val="24"/>
          <w:szCs w:val="24"/>
        </w:rPr>
        <w:t xml:space="preserve"> </w:t>
      </w:r>
      <w:r w:rsidRPr="00906836">
        <w:rPr>
          <w:sz w:val="24"/>
          <w:szCs w:val="24"/>
        </w:rPr>
        <w:t>Pēc</w:t>
      </w:r>
      <w:r w:rsidRPr="00906836">
        <w:rPr>
          <w:spacing w:val="-16"/>
          <w:sz w:val="24"/>
          <w:szCs w:val="24"/>
        </w:rPr>
        <w:t xml:space="preserve"> </w:t>
      </w:r>
      <w:r w:rsidRPr="00906836">
        <w:rPr>
          <w:sz w:val="24"/>
          <w:szCs w:val="24"/>
        </w:rPr>
        <w:t>Lauku</w:t>
      </w:r>
      <w:r w:rsidRPr="00906836">
        <w:rPr>
          <w:spacing w:val="-15"/>
          <w:sz w:val="24"/>
          <w:szCs w:val="24"/>
        </w:rPr>
        <w:t xml:space="preserve"> </w:t>
      </w:r>
      <w:r w:rsidRPr="00906836">
        <w:rPr>
          <w:sz w:val="24"/>
          <w:szCs w:val="24"/>
        </w:rPr>
        <w:t>atbalsta</w:t>
      </w:r>
      <w:r w:rsidRPr="00906836">
        <w:rPr>
          <w:spacing w:val="-17"/>
          <w:sz w:val="24"/>
          <w:szCs w:val="24"/>
        </w:rPr>
        <w:t xml:space="preserve"> </w:t>
      </w:r>
      <w:r w:rsidRPr="00906836">
        <w:rPr>
          <w:sz w:val="24"/>
          <w:szCs w:val="24"/>
        </w:rPr>
        <w:t>dienesta</w:t>
      </w:r>
      <w:r w:rsidRPr="00906836">
        <w:rPr>
          <w:spacing w:val="-15"/>
          <w:sz w:val="24"/>
          <w:szCs w:val="24"/>
        </w:rPr>
        <w:t xml:space="preserve"> </w:t>
      </w:r>
      <w:r w:rsidRPr="00906836">
        <w:rPr>
          <w:sz w:val="24"/>
          <w:szCs w:val="24"/>
        </w:rPr>
        <w:t>sniegtā apstiprinājuma saņemšanas par dalību programmā un programmas ietvaros noteiktā atbalsta saņemšanu tiek uzsākta piena produktu piegāžu realizēšana vispārējās izglītības iestādēm. Atbilstoši normatīvajos aktos noteiktajai kārtībai atbalsta pretendenti katru mēnesi sagatavo pārskatus par piena izlietojumu un iesniedz Lauku atbalsta</w:t>
      </w:r>
      <w:r w:rsidRPr="00906836">
        <w:rPr>
          <w:spacing w:val="-7"/>
          <w:sz w:val="24"/>
          <w:szCs w:val="24"/>
        </w:rPr>
        <w:t xml:space="preserve"> </w:t>
      </w:r>
      <w:r w:rsidRPr="00906836">
        <w:rPr>
          <w:sz w:val="24"/>
          <w:szCs w:val="24"/>
        </w:rPr>
        <w:t>dienestam.</w:t>
      </w:r>
    </w:p>
    <w:p w14:paraId="27A99DF1" w14:textId="77777777" w:rsidR="00906836" w:rsidRPr="00906836" w:rsidRDefault="004A085E" w:rsidP="00CD363C">
      <w:pPr>
        <w:spacing w:after="0" w:line="240" w:lineRule="auto"/>
        <w:ind w:left="118" w:right="113"/>
        <w:jc w:val="both"/>
        <w:rPr>
          <w:rFonts w:ascii="Times New Roman" w:hAnsi="Times New Roman" w:cs="Times New Roman"/>
          <w:sz w:val="24"/>
          <w:szCs w:val="24"/>
        </w:rPr>
      </w:pPr>
      <w:r w:rsidRPr="004A085E">
        <w:rPr>
          <w:rFonts w:ascii="Times New Roman" w:hAnsi="Times New Roman" w:cs="Times New Roman"/>
          <w:bCs/>
          <w:sz w:val="24"/>
          <w:szCs w:val="24"/>
        </w:rPr>
        <w:t xml:space="preserve">975. </w:t>
      </w:r>
      <w:r w:rsidR="00906836" w:rsidRPr="004A085E">
        <w:rPr>
          <w:rFonts w:ascii="Times New Roman" w:hAnsi="Times New Roman" w:cs="Times New Roman"/>
          <w:bCs/>
          <w:sz w:val="24"/>
          <w:szCs w:val="24"/>
        </w:rPr>
        <w:t>Grāmatojumi Lauku atbalsta dienesta grāmatvedības uzskaitē</w:t>
      </w:r>
      <w:r w:rsidR="00906836" w:rsidRPr="00906836">
        <w:rPr>
          <w:rFonts w:ascii="Times New Roman" w:hAnsi="Times New Roman" w:cs="Times New Roman"/>
          <w:b/>
          <w:sz w:val="24"/>
          <w:szCs w:val="24"/>
        </w:rPr>
        <w:t xml:space="preserve"> </w:t>
      </w:r>
      <w:r w:rsidR="00906836" w:rsidRPr="00906836">
        <w:rPr>
          <w:rFonts w:ascii="Times New Roman" w:hAnsi="Times New Roman" w:cs="Times New Roman"/>
          <w:sz w:val="24"/>
          <w:szCs w:val="24"/>
        </w:rPr>
        <w:t>(saskaņā ar Lauku atbalsta dienesta grāmatvedības uzskaites kārtībā noteikto):</w:t>
      </w:r>
    </w:p>
    <w:p w14:paraId="311CF826" w14:textId="77777777" w:rsidR="00906836" w:rsidRPr="00906836" w:rsidRDefault="00906836" w:rsidP="00CD363C">
      <w:pPr>
        <w:pStyle w:val="Pamatteksts"/>
        <w:ind w:right="113" w:firstLine="284"/>
        <w:jc w:val="both"/>
        <w:rPr>
          <w:sz w:val="24"/>
          <w:szCs w:val="24"/>
        </w:rPr>
      </w:pPr>
      <w:r w:rsidRPr="00906836">
        <w:rPr>
          <w:noProof/>
          <w:position w:val="-4"/>
          <w:sz w:val="24"/>
          <w:szCs w:val="24"/>
        </w:rPr>
        <w:drawing>
          <wp:inline distT="0" distB="0" distL="0" distR="0" wp14:anchorId="11FE323D" wp14:editId="5FDA0EF9">
            <wp:extent cx="101345" cy="133350"/>
            <wp:effectExtent l="0" t="0" r="0" b="0"/>
            <wp:docPr id="1083"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86.png"/>
                    <pic:cNvPicPr/>
                  </pic:nvPicPr>
                  <pic:blipFill>
                    <a:blip r:embed="rId36" cstate="print"/>
                    <a:stretch>
                      <a:fillRect/>
                    </a:stretch>
                  </pic:blipFill>
                  <pic:spPr>
                    <a:xfrm>
                      <a:off x="0" y="0"/>
                      <a:ext cx="101345" cy="133350"/>
                    </a:xfrm>
                    <a:prstGeom prst="rect">
                      <a:avLst/>
                    </a:prstGeom>
                  </pic:spPr>
                </pic:pic>
              </a:graphicData>
            </a:graphic>
          </wp:inline>
        </w:drawing>
      </w:r>
      <w:r w:rsidRPr="00906836">
        <w:rPr>
          <w:sz w:val="24"/>
          <w:szCs w:val="24"/>
        </w:rPr>
        <w:t xml:space="preserve">   </w:t>
      </w:r>
      <w:r w:rsidRPr="00906836">
        <w:rPr>
          <w:spacing w:val="-19"/>
          <w:sz w:val="24"/>
          <w:szCs w:val="24"/>
        </w:rPr>
        <w:t xml:space="preserve"> </w:t>
      </w:r>
      <w:r w:rsidRPr="00906836">
        <w:rPr>
          <w:sz w:val="24"/>
          <w:szCs w:val="24"/>
        </w:rPr>
        <w:t>Eiropas Komisijas un valsts finansējuma daļa Lauku atbalsta dienestam tiek piešķirta kā dotācijas</w:t>
      </w:r>
      <w:r w:rsidRPr="00906836">
        <w:rPr>
          <w:spacing w:val="-16"/>
          <w:sz w:val="24"/>
          <w:szCs w:val="24"/>
        </w:rPr>
        <w:t xml:space="preserve"> </w:t>
      </w:r>
      <w:r w:rsidRPr="00906836">
        <w:rPr>
          <w:sz w:val="24"/>
          <w:szCs w:val="24"/>
        </w:rPr>
        <w:t>no</w:t>
      </w:r>
      <w:r w:rsidRPr="00906836">
        <w:rPr>
          <w:spacing w:val="-14"/>
          <w:sz w:val="24"/>
          <w:szCs w:val="24"/>
        </w:rPr>
        <w:t xml:space="preserve"> </w:t>
      </w:r>
      <w:r w:rsidRPr="00906836">
        <w:rPr>
          <w:sz w:val="24"/>
          <w:szCs w:val="24"/>
        </w:rPr>
        <w:t>vispārējiem</w:t>
      </w:r>
      <w:r w:rsidRPr="00906836">
        <w:rPr>
          <w:spacing w:val="-16"/>
          <w:sz w:val="24"/>
          <w:szCs w:val="24"/>
        </w:rPr>
        <w:t xml:space="preserve"> </w:t>
      </w:r>
      <w:r w:rsidRPr="00906836">
        <w:rPr>
          <w:sz w:val="24"/>
          <w:szCs w:val="24"/>
        </w:rPr>
        <w:t>ieņēmumiem</w:t>
      </w:r>
      <w:r w:rsidRPr="00906836">
        <w:rPr>
          <w:spacing w:val="-18"/>
          <w:sz w:val="24"/>
          <w:szCs w:val="24"/>
        </w:rPr>
        <w:t xml:space="preserve"> </w:t>
      </w:r>
      <w:r w:rsidRPr="00906836">
        <w:rPr>
          <w:sz w:val="24"/>
          <w:szCs w:val="24"/>
        </w:rPr>
        <w:t>katra</w:t>
      </w:r>
      <w:r w:rsidRPr="00906836">
        <w:rPr>
          <w:spacing w:val="-13"/>
          <w:sz w:val="24"/>
          <w:szCs w:val="24"/>
        </w:rPr>
        <w:t xml:space="preserve"> </w:t>
      </w:r>
      <w:r w:rsidRPr="00906836">
        <w:rPr>
          <w:sz w:val="24"/>
          <w:szCs w:val="24"/>
        </w:rPr>
        <w:t>mēneša</w:t>
      </w:r>
      <w:r w:rsidRPr="00906836">
        <w:rPr>
          <w:spacing w:val="-16"/>
          <w:sz w:val="24"/>
          <w:szCs w:val="24"/>
        </w:rPr>
        <w:t xml:space="preserve"> </w:t>
      </w:r>
      <w:r w:rsidRPr="00906836">
        <w:rPr>
          <w:sz w:val="24"/>
          <w:szCs w:val="24"/>
        </w:rPr>
        <w:t>sākumā,</w:t>
      </w:r>
      <w:r w:rsidRPr="00906836">
        <w:rPr>
          <w:spacing w:val="-13"/>
          <w:sz w:val="24"/>
          <w:szCs w:val="24"/>
        </w:rPr>
        <w:t xml:space="preserve"> </w:t>
      </w:r>
      <w:r w:rsidRPr="00906836">
        <w:rPr>
          <w:sz w:val="24"/>
          <w:szCs w:val="24"/>
        </w:rPr>
        <w:t>pamatojoties</w:t>
      </w:r>
      <w:r w:rsidRPr="00906836">
        <w:rPr>
          <w:spacing w:val="-16"/>
          <w:sz w:val="24"/>
          <w:szCs w:val="24"/>
        </w:rPr>
        <w:t xml:space="preserve"> </w:t>
      </w:r>
      <w:r w:rsidRPr="00906836">
        <w:rPr>
          <w:sz w:val="24"/>
          <w:szCs w:val="24"/>
        </w:rPr>
        <w:t>uz</w:t>
      </w:r>
      <w:r w:rsidRPr="00906836">
        <w:rPr>
          <w:spacing w:val="-16"/>
          <w:sz w:val="24"/>
          <w:szCs w:val="24"/>
        </w:rPr>
        <w:t xml:space="preserve"> </w:t>
      </w:r>
      <w:r w:rsidRPr="00906836">
        <w:rPr>
          <w:sz w:val="24"/>
          <w:szCs w:val="24"/>
        </w:rPr>
        <w:t>budžeta</w:t>
      </w:r>
      <w:r w:rsidRPr="00906836">
        <w:rPr>
          <w:spacing w:val="-15"/>
          <w:sz w:val="24"/>
          <w:szCs w:val="24"/>
        </w:rPr>
        <w:t xml:space="preserve"> </w:t>
      </w:r>
      <w:r w:rsidRPr="00906836">
        <w:rPr>
          <w:sz w:val="24"/>
          <w:szCs w:val="24"/>
        </w:rPr>
        <w:t>iestādes finansēšanas plānā apstiprināto apjomu. Naudas saņemšanas dienā Lauku atbalsta dienests atzīst naudas līdzekļu un dotācijas no vispārējās ieņēmumiem palielinājumu un veic grāmatojumu:</w:t>
      </w:r>
    </w:p>
    <w:p w14:paraId="3F689C3A" w14:textId="77777777" w:rsidR="00906836" w:rsidRPr="00906836" w:rsidRDefault="00906836" w:rsidP="00CD363C">
      <w:pPr>
        <w:pStyle w:val="Pamatteksts"/>
        <w:ind w:right="113"/>
        <w:jc w:val="both"/>
        <w:rPr>
          <w:sz w:val="24"/>
          <w:szCs w:val="24"/>
        </w:rPr>
      </w:pPr>
    </w:p>
    <w:p w14:paraId="2B3E2F6B"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 dotāciju no vispārējiem ieņēmumiem saņemšana</w:t>
      </w: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2721"/>
      </w:tblGrid>
      <w:tr w:rsidR="00906836" w:rsidRPr="00906836" w14:paraId="0902C106" w14:textId="77777777" w:rsidTr="000152EE">
        <w:trPr>
          <w:trHeight w:val="289"/>
        </w:trPr>
        <w:tc>
          <w:tcPr>
            <w:tcW w:w="581" w:type="dxa"/>
          </w:tcPr>
          <w:p w14:paraId="0BADE741"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298D51C0" w14:textId="77777777" w:rsidR="00906836" w:rsidRPr="00906836" w:rsidRDefault="00906836" w:rsidP="00CD363C">
            <w:pPr>
              <w:pStyle w:val="TableParagraph"/>
              <w:ind w:left="204" w:right="113"/>
              <w:jc w:val="both"/>
              <w:rPr>
                <w:i/>
                <w:sz w:val="24"/>
                <w:szCs w:val="24"/>
              </w:rPr>
            </w:pPr>
            <w:r w:rsidRPr="00906836">
              <w:rPr>
                <w:i/>
                <w:sz w:val="24"/>
                <w:szCs w:val="24"/>
              </w:rPr>
              <w:t>2600</w:t>
            </w:r>
          </w:p>
        </w:tc>
        <w:tc>
          <w:tcPr>
            <w:tcW w:w="2721" w:type="dxa"/>
          </w:tcPr>
          <w:p w14:paraId="2D8601E0" w14:textId="77777777" w:rsidR="00906836" w:rsidRPr="00906836" w:rsidRDefault="00906836" w:rsidP="00CD363C">
            <w:pPr>
              <w:pStyle w:val="TableParagraph"/>
              <w:ind w:left="253" w:right="113"/>
              <w:jc w:val="both"/>
              <w:rPr>
                <w:i/>
                <w:sz w:val="24"/>
                <w:szCs w:val="24"/>
              </w:rPr>
            </w:pPr>
            <w:r w:rsidRPr="00906836">
              <w:rPr>
                <w:i/>
                <w:sz w:val="24"/>
                <w:szCs w:val="24"/>
              </w:rPr>
              <w:t>Naudas līdzekļi</w:t>
            </w:r>
          </w:p>
        </w:tc>
      </w:tr>
      <w:tr w:rsidR="00906836" w:rsidRPr="00906836" w14:paraId="6837212D" w14:textId="77777777" w:rsidTr="000152EE">
        <w:trPr>
          <w:trHeight w:val="289"/>
        </w:trPr>
        <w:tc>
          <w:tcPr>
            <w:tcW w:w="581" w:type="dxa"/>
          </w:tcPr>
          <w:p w14:paraId="49B3C411"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1075A58F" w14:textId="77777777" w:rsidR="00906836" w:rsidRPr="00906836" w:rsidRDefault="00906836" w:rsidP="00CD363C">
            <w:pPr>
              <w:pStyle w:val="TableParagraph"/>
              <w:ind w:left="204" w:right="113"/>
              <w:jc w:val="both"/>
              <w:rPr>
                <w:i/>
                <w:sz w:val="24"/>
                <w:szCs w:val="24"/>
              </w:rPr>
            </w:pPr>
            <w:r w:rsidRPr="00906836">
              <w:rPr>
                <w:i/>
                <w:sz w:val="24"/>
                <w:szCs w:val="24"/>
              </w:rPr>
              <w:t>6000</w:t>
            </w:r>
          </w:p>
        </w:tc>
        <w:tc>
          <w:tcPr>
            <w:tcW w:w="2721" w:type="dxa"/>
          </w:tcPr>
          <w:p w14:paraId="0C5D0936" w14:textId="77777777" w:rsidR="00906836" w:rsidRPr="00906836" w:rsidRDefault="00906836" w:rsidP="00CD363C">
            <w:pPr>
              <w:pStyle w:val="TableParagraph"/>
              <w:ind w:left="253" w:right="113"/>
              <w:jc w:val="both"/>
              <w:rPr>
                <w:i/>
                <w:sz w:val="24"/>
                <w:szCs w:val="24"/>
              </w:rPr>
            </w:pPr>
            <w:r w:rsidRPr="00906836">
              <w:rPr>
                <w:i/>
                <w:sz w:val="24"/>
                <w:szCs w:val="24"/>
              </w:rPr>
              <w:t>Pamatdarbības ieņēmumi</w:t>
            </w:r>
          </w:p>
        </w:tc>
      </w:tr>
    </w:tbl>
    <w:p w14:paraId="26009CE8" w14:textId="77777777" w:rsidR="00906836" w:rsidRPr="00906836" w:rsidRDefault="00906836" w:rsidP="00CD363C">
      <w:pPr>
        <w:pStyle w:val="Pamatteksts"/>
        <w:ind w:right="113"/>
        <w:jc w:val="both"/>
        <w:rPr>
          <w:i/>
          <w:sz w:val="24"/>
          <w:szCs w:val="24"/>
        </w:rPr>
      </w:pPr>
    </w:p>
    <w:p w14:paraId="009036CB" w14:textId="77777777" w:rsidR="00906836" w:rsidRPr="00906836" w:rsidRDefault="00735134" w:rsidP="00CD363C">
      <w:pPr>
        <w:pStyle w:val="Pamatteksts"/>
        <w:ind w:right="113" w:firstLine="426"/>
        <w:jc w:val="both"/>
        <w:rPr>
          <w:sz w:val="24"/>
          <w:szCs w:val="24"/>
        </w:rPr>
      </w:pPr>
      <w:r>
        <w:rPr>
          <w:noProof/>
          <w:position w:val="-4"/>
          <w:sz w:val="24"/>
          <w:szCs w:val="24"/>
        </w:rPr>
        <w:t xml:space="preserve">2)   </w:t>
      </w:r>
      <w:r w:rsidR="00906836" w:rsidRPr="00906836">
        <w:rPr>
          <w:sz w:val="24"/>
          <w:szCs w:val="24"/>
        </w:rPr>
        <w:t>Pārskata</w:t>
      </w:r>
      <w:r w:rsidR="00906836" w:rsidRPr="00906836">
        <w:rPr>
          <w:spacing w:val="-9"/>
          <w:sz w:val="24"/>
          <w:szCs w:val="24"/>
        </w:rPr>
        <w:t xml:space="preserve"> </w:t>
      </w:r>
      <w:r w:rsidR="00906836" w:rsidRPr="00906836">
        <w:rPr>
          <w:sz w:val="24"/>
          <w:szCs w:val="24"/>
        </w:rPr>
        <w:t>gada</w:t>
      </w:r>
      <w:r w:rsidR="00906836" w:rsidRPr="00906836">
        <w:rPr>
          <w:spacing w:val="-9"/>
          <w:sz w:val="24"/>
          <w:szCs w:val="24"/>
        </w:rPr>
        <w:t xml:space="preserve"> </w:t>
      </w:r>
      <w:r w:rsidR="00906836" w:rsidRPr="00906836">
        <w:rPr>
          <w:sz w:val="24"/>
          <w:szCs w:val="24"/>
        </w:rPr>
        <w:t>laikā</w:t>
      </w:r>
      <w:r w:rsidR="00906836" w:rsidRPr="00906836">
        <w:rPr>
          <w:spacing w:val="-9"/>
          <w:sz w:val="24"/>
          <w:szCs w:val="24"/>
        </w:rPr>
        <w:t xml:space="preserve"> </w:t>
      </w:r>
      <w:r w:rsidR="00906836" w:rsidRPr="00906836">
        <w:rPr>
          <w:sz w:val="24"/>
          <w:szCs w:val="24"/>
        </w:rPr>
        <w:t>pieņem</w:t>
      </w:r>
      <w:r w:rsidR="00906836" w:rsidRPr="00906836">
        <w:rPr>
          <w:spacing w:val="-12"/>
          <w:sz w:val="24"/>
          <w:szCs w:val="24"/>
        </w:rPr>
        <w:t xml:space="preserve"> </w:t>
      </w:r>
      <w:r w:rsidR="00906836" w:rsidRPr="00906836">
        <w:rPr>
          <w:sz w:val="24"/>
          <w:szCs w:val="24"/>
        </w:rPr>
        <w:t>lēmumus</w:t>
      </w:r>
      <w:r w:rsidR="00906836" w:rsidRPr="00906836">
        <w:rPr>
          <w:spacing w:val="-9"/>
          <w:sz w:val="24"/>
          <w:szCs w:val="24"/>
        </w:rPr>
        <w:t xml:space="preserve"> </w:t>
      </w:r>
      <w:r w:rsidR="00906836" w:rsidRPr="00906836">
        <w:rPr>
          <w:sz w:val="24"/>
          <w:szCs w:val="24"/>
        </w:rPr>
        <w:t>par</w:t>
      </w:r>
      <w:r w:rsidR="00906836" w:rsidRPr="00906836">
        <w:rPr>
          <w:spacing w:val="-6"/>
          <w:sz w:val="24"/>
          <w:szCs w:val="24"/>
        </w:rPr>
        <w:t xml:space="preserve"> </w:t>
      </w:r>
      <w:r w:rsidR="00906836" w:rsidRPr="00906836">
        <w:rPr>
          <w:sz w:val="24"/>
          <w:szCs w:val="24"/>
        </w:rPr>
        <w:t>atbalsta</w:t>
      </w:r>
      <w:r w:rsidR="00906836" w:rsidRPr="00906836">
        <w:rPr>
          <w:spacing w:val="-9"/>
          <w:sz w:val="24"/>
          <w:szCs w:val="24"/>
        </w:rPr>
        <w:t xml:space="preserve"> </w:t>
      </w:r>
      <w:r w:rsidR="00906836" w:rsidRPr="00906836">
        <w:rPr>
          <w:sz w:val="24"/>
          <w:szCs w:val="24"/>
        </w:rPr>
        <w:t>piešķiršanu</w:t>
      </w:r>
      <w:r w:rsidR="00906836" w:rsidRPr="00906836">
        <w:rPr>
          <w:spacing w:val="-10"/>
          <w:sz w:val="24"/>
          <w:szCs w:val="24"/>
        </w:rPr>
        <w:t xml:space="preserve"> </w:t>
      </w:r>
      <w:r w:rsidR="00906836" w:rsidRPr="00906836">
        <w:rPr>
          <w:sz w:val="24"/>
          <w:szCs w:val="24"/>
        </w:rPr>
        <w:t>pretendentiem</w:t>
      </w:r>
      <w:r w:rsidR="00906836" w:rsidRPr="00906836">
        <w:rPr>
          <w:spacing w:val="-12"/>
          <w:sz w:val="24"/>
          <w:szCs w:val="24"/>
        </w:rPr>
        <w:t xml:space="preserve"> </w:t>
      </w:r>
      <w:r w:rsidR="00906836" w:rsidRPr="00906836">
        <w:rPr>
          <w:sz w:val="24"/>
          <w:szCs w:val="24"/>
        </w:rPr>
        <w:t>un,</w:t>
      </w:r>
      <w:r w:rsidR="00906836" w:rsidRPr="00906836">
        <w:rPr>
          <w:spacing w:val="-10"/>
          <w:sz w:val="24"/>
          <w:szCs w:val="24"/>
        </w:rPr>
        <w:t xml:space="preserve"> </w:t>
      </w:r>
      <w:r w:rsidR="00906836" w:rsidRPr="00906836">
        <w:rPr>
          <w:sz w:val="24"/>
          <w:szCs w:val="24"/>
        </w:rPr>
        <w:t>pamatojoties uz izdevumus pamatojošiem atbilstošiem dokumentiem, veic pārskaitījumus ar sekojošiem grāmatojumiem:</w:t>
      </w:r>
    </w:p>
    <w:p w14:paraId="3792BA4D"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transferta pārskaitījumam gadījumos, ja pārskaitījums veicams pašvaldībai vai izglītības iestādei ar juridisku statusu</w:t>
      </w: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1"/>
      </w:tblGrid>
      <w:tr w:rsidR="00906836" w:rsidRPr="00906836" w14:paraId="0A77331E" w14:textId="77777777" w:rsidTr="000152EE">
        <w:trPr>
          <w:trHeight w:val="289"/>
        </w:trPr>
        <w:tc>
          <w:tcPr>
            <w:tcW w:w="581" w:type="dxa"/>
          </w:tcPr>
          <w:p w14:paraId="1301EA6D"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4B8B1D5B" w14:textId="77777777" w:rsidR="00906836" w:rsidRPr="00906836" w:rsidRDefault="00906836" w:rsidP="00CD363C">
            <w:pPr>
              <w:pStyle w:val="TableParagraph"/>
              <w:ind w:left="204" w:right="113"/>
              <w:jc w:val="both"/>
              <w:rPr>
                <w:i/>
                <w:sz w:val="24"/>
                <w:szCs w:val="24"/>
              </w:rPr>
            </w:pPr>
            <w:r w:rsidRPr="00906836">
              <w:rPr>
                <w:i/>
                <w:sz w:val="24"/>
                <w:szCs w:val="24"/>
              </w:rPr>
              <w:t>7000</w:t>
            </w:r>
          </w:p>
        </w:tc>
        <w:tc>
          <w:tcPr>
            <w:tcW w:w="5601" w:type="dxa"/>
          </w:tcPr>
          <w:p w14:paraId="32F20A05" w14:textId="77777777" w:rsidR="00906836" w:rsidRPr="00906836" w:rsidRDefault="00906836" w:rsidP="00CD363C">
            <w:pPr>
              <w:pStyle w:val="TableParagraph"/>
              <w:ind w:left="253" w:right="113"/>
              <w:jc w:val="both"/>
              <w:rPr>
                <w:i/>
                <w:sz w:val="24"/>
                <w:szCs w:val="24"/>
              </w:rPr>
            </w:pPr>
            <w:r w:rsidRPr="00906836">
              <w:rPr>
                <w:i/>
                <w:sz w:val="24"/>
                <w:szCs w:val="24"/>
              </w:rPr>
              <w:t>Pamatdarbības izdevumi</w:t>
            </w:r>
          </w:p>
        </w:tc>
      </w:tr>
      <w:tr w:rsidR="00906836" w:rsidRPr="00906836" w14:paraId="3A0CB2CA" w14:textId="77777777" w:rsidTr="000152EE">
        <w:trPr>
          <w:trHeight w:val="1092"/>
        </w:trPr>
        <w:tc>
          <w:tcPr>
            <w:tcW w:w="581" w:type="dxa"/>
          </w:tcPr>
          <w:p w14:paraId="19F0BC73"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437A443F"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1" w:type="dxa"/>
          </w:tcPr>
          <w:p w14:paraId="4498EEC4"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5966B420" w14:textId="77777777" w:rsidTr="000152EE">
        <w:trPr>
          <w:trHeight w:val="1092"/>
        </w:trPr>
        <w:tc>
          <w:tcPr>
            <w:tcW w:w="581" w:type="dxa"/>
          </w:tcPr>
          <w:p w14:paraId="1433C434"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20FACA0C"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1" w:type="dxa"/>
          </w:tcPr>
          <w:p w14:paraId="5025E8F4"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15AE043D" w14:textId="77777777" w:rsidTr="000152EE">
        <w:trPr>
          <w:trHeight w:val="541"/>
        </w:trPr>
        <w:tc>
          <w:tcPr>
            <w:tcW w:w="581" w:type="dxa"/>
          </w:tcPr>
          <w:p w14:paraId="54192782"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640D980A"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1" w:type="dxa"/>
          </w:tcPr>
          <w:p w14:paraId="788EB476"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4FE544E4" w14:textId="77777777" w:rsidR="00906836" w:rsidRPr="00906836" w:rsidRDefault="00906836" w:rsidP="00CD363C">
      <w:pPr>
        <w:pStyle w:val="Pamatteksts"/>
        <w:ind w:right="113"/>
        <w:jc w:val="both"/>
        <w:rPr>
          <w:i/>
          <w:sz w:val="24"/>
          <w:szCs w:val="24"/>
        </w:rPr>
      </w:pPr>
    </w:p>
    <w:p w14:paraId="2990C987"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subsīdiju/dotāciju pārskaitījumam komersantam</w:t>
      </w:r>
    </w:p>
    <w:p w14:paraId="32900CB2" w14:textId="77777777" w:rsidR="00906836" w:rsidRPr="00906836" w:rsidRDefault="00906836" w:rsidP="00CD363C">
      <w:pPr>
        <w:pStyle w:val="Pamatteksts"/>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0"/>
      </w:tblGrid>
      <w:tr w:rsidR="00906836" w:rsidRPr="00906836" w14:paraId="310F4D43" w14:textId="77777777" w:rsidTr="000152EE">
        <w:trPr>
          <w:trHeight w:val="289"/>
        </w:trPr>
        <w:tc>
          <w:tcPr>
            <w:tcW w:w="581" w:type="dxa"/>
          </w:tcPr>
          <w:p w14:paraId="5B43DB89"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5549EC90" w14:textId="77777777" w:rsidR="00906836" w:rsidRPr="00906836" w:rsidRDefault="00906836" w:rsidP="00CD363C">
            <w:pPr>
              <w:pStyle w:val="TableParagraph"/>
              <w:ind w:left="204" w:right="113"/>
              <w:jc w:val="both"/>
              <w:rPr>
                <w:i/>
                <w:sz w:val="24"/>
                <w:szCs w:val="24"/>
              </w:rPr>
            </w:pPr>
            <w:r w:rsidRPr="00906836">
              <w:rPr>
                <w:i/>
                <w:sz w:val="24"/>
                <w:szCs w:val="24"/>
              </w:rPr>
              <w:t>7000</w:t>
            </w:r>
          </w:p>
        </w:tc>
        <w:tc>
          <w:tcPr>
            <w:tcW w:w="5600" w:type="dxa"/>
          </w:tcPr>
          <w:p w14:paraId="10052955" w14:textId="77777777" w:rsidR="00906836" w:rsidRPr="00906836" w:rsidRDefault="00906836" w:rsidP="00CD363C">
            <w:pPr>
              <w:pStyle w:val="TableParagraph"/>
              <w:ind w:left="253" w:right="113"/>
              <w:jc w:val="both"/>
              <w:rPr>
                <w:i/>
                <w:sz w:val="24"/>
                <w:szCs w:val="24"/>
              </w:rPr>
            </w:pPr>
            <w:r w:rsidRPr="00906836">
              <w:rPr>
                <w:i/>
                <w:sz w:val="24"/>
                <w:szCs w:val="24"/>
              </w:rPr>
              <w:t>Pamatdarbības izdevumi</w:t>
            </w:r>
          </w:p>
        </w:tc>
      </w:tr>
      <w:tr w:rsidR="00906836" w:rsidRPr="00906836" w14:paraId="6E35BF23" w14:textId="77777777" w:rsidTr="000152EE">
        <w:trPr>
          <w:trHeight w:val="1092"/>
        </w:trPr>
        <w:tc>
          <w:tcPr>
            <w:tcW w:w="581" w:type="dxa"/>
          </w:tcPr>
          <w:p w14:paraId="3313E3B3"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1D131422"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0" w:type="dxa"/>
          </w:tcPr>
          <w:p w14:paraId="7FF8287A"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14B90296" w14:textId="77777777" w:rsidTr="000152EE">
        <w:trPr>
          <w:trHeight w:val="1092"/>
        </w:trPr>
        <w:tc>
          <w:tcPr>
            <w:tcW w:w="581" w:type="dxa"/>
          </w:tcPr>
          <w:p w14:paraId="1EF2946F"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5B351D65"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0" w:type="dxa"/>
          </w:tcPr>
          <w:p w14:paraId="1FB598F0"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105E24AF" w14:textId="77777777" w:rsidTr="000152EE">
        <w:trPr>
          <w:trHeight w:val="541"/>
        </w:trPr>
        <w:tc>
          <w:tcPr>
            <w:tcW w:w="581" w:type="dxa"/>
          </w:tcPr>
          <w:p w14:paraId="18A4EE57"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0A583BC7"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0" w:type="dxa"/>
          </w:tcPr>
          <w:p w14:paraId="75F9EF4C"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06B1FA9C" w14:textId="77777777" w:rsidR="00906836" w:rsidRPr="00906836" w:rsidRDefault="00906836" w:rsidP="00CD363C">
      <w:pPr>
        <w:pStyle w:val="Pamatteksts"/>
        <w:ind w:right="113"/>
        <w:jc w:val="both"/>
        <w:rPr>
          <w:sz w:val="24"/>
          <w:szCs w:val="24"/>
        </w:rPr>
      </w:pPr>
      <w:r w:rsidRPr="00906836">
        <w:rPr>
          <w:noProof/>
          <w:position w:val="-4"/>
          <w:sz w:val="24"/>
          <w:szCs w:val="24"/>
        </w:rPr>
        <w:drawing>
          <wp:inline distT="0" distB="0" distL="0" distR="0" wp14:anchorId="4B7D44DE" wp14:editId="1FC7CD65">
            <wp:extent cx="112014" cy="133350"/>
            <wp:effectExtent l="0" t="0" r="0" b="0"/>
            <wp:docPr id="1087"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88.png"/>
                    <pic:cNvPicPr/>
                  </pic:nvPicPr>
                  <pic:blipFill>
                    <a:blip r:embed="rId35" cstate="print"/>
                    <a:stretch>
                      <a:fillRect/>
                    </a:stretch>
                  </pic:blipFill>
                  <pic:spPr>
                    <a:xfrm>
                      <a:off x="0" y="0"/>
                      <a:ext cx="112014" cy="133350"/>
                    </a:xfrm>
                    <a:prstGeom prst="rect">
                      <a:avLst/>
                    </a:prstGeom>
                  </pic:spPr>
                </pic:pic>
              </a:graphicData>
            </a:graphic>
          </wp:inline>
        </w:drawing>
      </w:r>
      <w:r w:rsidRPr="00906836">
        <w:rPr>
          <w:sz w:val="24"/>
          <w:szCs w:val="24"/>
        </w:rPr>
        <w:t xml:space="preserve">   </w:t>
      </w:r>
      <w:r w:rsidRPr="00906836">
        <w:rPr>
          <w:spacing w:val="-19"/>
          <w:sz w:val="24"/>
          <w:szCs w:val="24"/>
        </w:rPr>
        <w:t xml:space="preserve"> </w:t>
      </w:r>
      <w:r w:rsidRPr="00906836">
        <w:rPr>
          <w:sz w:val="24"/>
          <w:szCs w:val="24"/>
        </w:rPr>
        <w:t>Ja atbalsta pretendentam tiek veikts avansa maksājums, veic sekojošus</w:t>
      </w:r>
      <w:r w:rsidRPr="00906836">
        <w:rPr>
          <w:spacing w:val="-15"/>
          <w:sz w:val="24"/>
          <w:szCs w:val="24"/>
        </w:rPr>
        <w:t xml:space="preserve"> </w:t>
      </w:r>
      <w:r w:rsidRPr="00906836">
        <w:rPr>
          <w:sz w:val="24"/>
          <w:szCs w:val="24"/>
        </w:rPr>
        <w:t>grāmatojumus:</w:t>
      </w:r>
    </w:p>
    <w:p w14:paraId="74E7EC83" w14:textId="77777777" w:rsidR="00906836" w:rsidRPr="00906836" w:rsidRDefault="00906836" w:rsidP="00CD363C">
      <w:pPr>
        <w:pStyle w:val="Pamatteksts"/>
        <w:ind w:right="113"/>
        <w:jc w:val="both"/>
        <w:rPr>
          <w:sz w:val="24"/>
          <w:szCs w:val="24"/>
        </w:rPr>
      </w:pPr>
    </w:p>
    <w:p w14:paraId="0069667D"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avansa maksājumam komersantam</w:t>
      </w:r>
    </w:p>
    <w:p w14:paraId="668D777D" w14:textId="77777777" w:rsidR="00906836" w:rsidRPr="00906836" w:rsidRDefault="00906836" w:rsidP="00CD363C">
      <w:pPr>
        <w:pStyle w:val="Pamatteksts"/>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0"/>
      </w:tblGrid>
      <w:tr w:rsidR="00906836" w:rsidRPr="00906836" w14:paraId="74897175" w14:textId="77777777" w:rsidTr="000152EE">
        <w:trPr>
          <w:trHeight w:val="795"/>
        </w:trPr>
        <w:tc>
          <w:tcPr>
            <w:tcW w:w="581" w:type="dxa"/>
          </w:tcPr>
          <w:p w14:paraId="5C2DEB73"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68AE785C" w14:textId="77777777" w:rsidR="00906836" w:rsidRPr="00906836" w:rsidRDefault="00906836" w:rsidP="00CD363C">
            <w:pPr>
              <w:pStyle w:val="TableParagraph"/>
              <w:ind w:left="204" w:right="113"/>
              <w:jc w:val="both"/>
              <w:rPr>
                <w:i/>
                <w:sz w:val="24"/>
                <w:szCs w:val="24"/>
              </w:rPr>
            </w:pPr>
            <w:r w:rsidRPr="00906836">
              <w:rPr>
                <w:i/>
                <w:sz w:val="24"/>
                <w:szCs w:val="24"/>
              </w:rPr>
              <w:t>2419</w:t>
            </w:r>
          </w:p>
        </w:tc>
        <w:tc>
          <w:tcPr>
            <w:tcW w:w="5600" w:type="dxa"/>
          </w:tcPr>
          <w:p w14:paraId="084C5C9C" w14:textId="77777777" w:rsidR="00906836" w:rsidRPr="00906836" w:rsidRDefault="00906836" w:rsidP="00CD363C">
            <w:pPr>
              <w:pStyle w:val="TableParagraph"/>
              <w:ind w:left="253" w:right="113"/>
              <w:jc w:val="both"/>
              <w:rPr>
                <w:i/>
                <w:sz w:val="24"/>
                <w:szCs w:val="24"/>
              </w:rPr>
            </w:pPr>
            <w:r w:rsidRPr="00906836">
              <w:rPr>
                <w:i/>
                <w:sz w:val="24"/>
                <w:szCs w:val="24"/>
              </w:rPr>
              <w:t>Pārējie nākamo periodu izdevumi ārvalstu finanšu palīdzības un Eiropas Savienības politiku instrumentu finansētajiem projektiem un pasākumiem</w:t>
            </w:r>
          </w:p>
        </w:tc>
      </w:tr>
      <w:tr w:rsidR="00906836" w:rsidRPr="00906836" w14:paraId="084D272F" w14:textId="77777777" w:rsidTr="000152EE">
        <w:trPr>
          <w:trHeight w:val="541"/>
        </w:trPr>
        <w:tc>
          <w:tcPr>
            <w:tcW w:w="581" w:type="dxa"/>
          </w:tcPr>
          <w:p w14:paraId="57D29CD3"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45D7264A"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0" w:type="dxa"/>
          </w:tcPr>
          <w:p w14:paraId="69E4C457"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12E4E6EE" w14:textId="77777777" w:rsidR="00906836" w:rsidRPr="00906836" w:rsidRDefault="00906836" w:rsidP="00CD363C">
      <w:pPr>
        <w:pStyle w:val="Pamatteksts"/>
        <w:ind w:right="113"/>
        <w:jc w:val="both"/>
        <w:rPr>
          <w:i/>
          <w:sz w:val="24"/>
          <w:szCs w:val="24"/>
        </w:rPr>
      </w:pPr>
    </w:p>
    <w:p w14:paraId="727BFC6B"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avansa maksājumam (transfertam) pašvaldībām vai izglītības iestādēm</w:t>
      </w:r>
    </w:p>
    <w:p w14:paraId="198F8B69" w14:textId="77777777" w:rsidR="00906836" w:rsidRPr="00906836" w:rsidRDefault="00906836" w:rsidP="00CD363C">
      <w:pPr>
        <w:pStyle w:val="Pamatteksts"/>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3"/>
      </w:tblGrid>
      <w:tr w:rsidR="00906836" w:rsidRPr="00906836" w14:paraId="66F3C216" w14:textId="77777777" w:rsidTr="000152EE">
        <w:trPr>
          <w:trHeight w:val="795"/>
        </w:trPr>
        <w:tc>
          <w:tcPr>
            <w:tcW w:w="581" w:type="dxa"/>
          </w:tcPr>
          <w:p w14:paraId="32E3FC68"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6F5703A3" w14:textId="77777777" w:rsidR="00906836" w:rsidRPr="00906836" w:rsidRDefault="00906836" w:rsidP="00CD363C">
            <w:pPr>
              <w:pStyle w:val="TableParagraph"/>
              <w:ind w:left="204" w:right="113"/>
              <w:jc w:val="both"/>
              <w:rPr>
                <w:i/>
                <w:sz w:val="24"/>
                <w:szCs w:val="24"/>
              </w:rPr>
            </w:pPr>
            <w:r w:rsidRPr="00906836">
              <w:rPr>
                <w:i/>
                <w:sz w:val="24"/>
                <w:szCs w:val="24"/>
              </w:rPr>
              <w:t>2431</w:t>
            </w:r>
          </w:p>
        </w:tc>
        <w:tc>
          <w:tcPr>
            <w:tcW w:w="5603" w:type="dxa"/>
          </w:tcPr>
          <w:p w14:paraId="78336698" w14:textId="77777777" w:rsidR="00906836" w:rsidRPr="00906836" w:rsidRDefault="00906836" w:rsidP="00CD363C">
            <w:pPr>
              <w:pStyle w:val="TableParagraph"/>
              <w:ind w:left="253" w:right="113"/>
              <w:jc w:val="both"/>
              <w:rPr>
                <w:i/>
                <w:sz w:val="24"/>
                <w:szCs w:val="24"/>
              </w:rPr>
            </w:pPr>
            <w:r w:rsidRPr="00906836">
              <w:rPr>
                <w:i/>
                <w:sz w:val="24"/>
                <w:szCs w:val="24"/>
              </w:rPr>
              <w:t>Transferti Eiropas Savienības politiku instrumentu un pārējās ārvalstu finanšu palīdzības finansētajiem projektiem (pasākumiem)</w:t>
            </w:r>
          </w:p>
        </w:tc>
      </w:tr>
      <w:tr w:rsidR="00906836" w:rsidRPr="00906836" w14:paraId="20F742E0" w14:textId="77777777" w:rsidTr="000152EE">
        <w:trPr>
          <w:trHeight w:val="541"/>
        </w:trPr>
        <w:tc>
          <w:tcPr>
            <w:tcW w:w="581" w:type="dxa"/>
          </w:tcPr>
          <w:p w14:paraId="3069C359"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647802C0"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3" w:type="dxa"/>
          </w:tcPr>
          <w:p w14:paraId="6B0E5C49"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48CD43A5" w14:textId="77777777" w:rsidR="00906836" w:rsidRPr="00906836" w:rsidRDefault="00906836" w:rsidP="00CD363C">
      <w:pPr>
        <w:pStyle w:val="Pamatteksts"/>
        <w:ind w:right="113"/>
        <w:jc w:val="both"/>
        <w:rPr>
          <w:i/>
          <w:sz w:val="24"/>
          <w:szCs w:val="24"/>
        </w:rPr>
      </w:pPr>
    </w:p>
    <w:p w14:paraId="05A8FA98" w14:textId="77777777" w:rsidR="00906836" w:rsidRPr="00906836" w:rsidRDefault="00906836" w:rsidP="00CD363C">
      <w:pPr>
        <w:pStyle w:val="Pamatteksts"/>
        <w:ind w:right="113"/>
        <w:jc w:val="both"/>
        <w:rPr>
          <w:i/>
          <w:sz w:val="24"/>
          <w:szCs w:val="24"/>
        </w:rPr>
      </w:pPr>
    </w:p>
    <w:p w14:paraId="3EA2510A" w14:textId="77777777" w:rsidR="000152EE" w:rsidRDefault="000152EE" w:rsidP="00CD363C">
      <w:pPr>
        <w:pStyle w:val="Pamatteksts"/>
        <w:ind w:left="1558" w:right="113" w:hanging="363"/>
        <w:jc w:val="both"/>
        <w:rPr>
          <w:sz w:val="24"/>
          <w:szCs w:val="24"/>
        </w:rPr>
      </w:pPr>
    </w:p>
    <w:p w14:paraId="740BD2D5" w14:textId="77777777" w:rsidR="000152EE" w:rsidRDefault="000152EE" w:rsidP="00CD363C">
      <w:pPr>
        <w:pStyle w:val="Pamatteksts"/>
        <w:ind w:left="1558" w:right="113" w:hanging="363"/>
        <w:jc w:val="both"/>
        <w:rPr>
          <w:sz w:val="24"/>
          <w:szCs w:val="24"/>
        </w:rPr>
      </w:pPr>
    </w:p>
    <w:tbl>
      <w:tblPr>
        <w:tblW w:w="16439" w:type="dxa"/>
        <w:tblInd w:w="-142" w:type="dxa"/>
        <w:tblLayout w:type="fixed"/>
        <w:tblCellMar>
          <w:left w:w="0" w:type="dxa"/>
          <w:right w:w="0" w:type="dxa"/>
        </w:tblCellMar>
        <w:tblLook w:val="01E0" w:firstRow="1" w:lastRow="1" w:firstColumn="1" w:lastColumn="1" w:noHBand="0" w:noVBand="0"/>
      </w:tblPr>
      <w:tblGrid>
        <w:gridCol w:w="260"/>
        <w:gridCol w:w="989"/>
        <w:gridCol w:w="992"/>
        <w:gridCol w:w="5528"/>
        <w:gridCol w:w="2127"/>
        <w:gridCol w:w="27"/>
        <w:gridCol w:w="2268"/>
        <w:gridCol w:w="4248"/>
      </w:tblGrid>
      <w:tr w:rsidR="00906836" w:rsidRPr="00906836" w14:paraId="3A5A6832" w14:textId="77777777" w:rsidTr="00547A28">
        <w:trPr>
          <w:trHeight w:val="795"/>
        </w:trPr>
        <w:tc>
          <w:tcPr>
            <w:tcW w:w="9923" w:type="dxa"/>
            <w:gridSpan w:val="6"/>
          </w:tcPr>
          <w:p w14:paraId="04A42C4B" w14:textId="77777777" w:rsidR="00D73739" w:rsidRPr="006D25F2" w:rsidRDefault="00D73739" w:rsidP="00CD363C">
            <w:pPr>
              <w:spacing w:after="0" w:line="240" w:lineRule="auto"/>
              <w:ind w:right="113"/>
              <w:jc w:val="both"/>
              <w:rPr>
                <w:iCs/>
                <w:sz w:val="24"/>
                <w:szCs w:val="24"/>
              </w:rPr>
            </w:pPr>
            <w:r w:rsidRPr="006D25F2">
              <w:rPr>
                <w:iCs/>
                <w:sz w:val="24"/>
                <w:szCs w:val="24"/>
              </w:rPr>
              <w:t xml:space="preserve">  </w:t>
            </w:r>
            <w:r w:rsidR="00735134" w:rsidRPr="006D25F2">
              <w:rPr>
                <w:rFonts w:ascii="Times New Roman" w:hAnsi="Times New Roman" w:cs="Times New Roman"/>
                <w:iCs/>
                <w:sz w:val="24"/>
                <w:szCs w:val="24"/>
              </w:rPr>
              <w:t>4)</w:t>
            </w:r>
            <w:r w:rsidRPr="006D25F2">
              <w:rPr>
                <w:rFonts w:ascii="Times New Roman" w:hAnsi="Times New Roman" w:cs="Times New Roman"/>
                <w:iCs/>
                <w:sz w:val="24"/>
                <w:szCs w:val="24"/>
              </w:rPr>
              <w:t xml:space="preserve">   Pamatojoties uz saņemtajiem pieteikumiem un izdevumus pamatojošiem dokumentiem, pārskata periodā samazina iepriekš atzītos avansus un atzīst izdevumus, veicot sekojošus grāmatojumus:</w:t>
            </w:r>
          </w:p>
          <w:p w14:paraId="2943F6EA"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D</w:t>
            </w:r>
            <w:r w:rsidR="00D73739" w:rsidRPr="006D25F2">
              <w:rPr>
                <w:iCs/>
                <w:sz w:val="24"/>
                <w:szCs w:val="24"/>
              </w:rPr>
              <w:tab/>
              <w:t>7000</w:t>
            </w:r>
            <w:r w:rsidR="00D73739" w:rsidRPr="006D25F2">
              <w:rPr>
                <w:iCs/>
                <w:sz w:val="24"/>
                <w:szCs w:val="24"/>
              </w:rPr>
              <w:tab/>
              <w:t>Pamatdarbības izdevumi</w:t>
            </w:r>
          </w:p>
          <w:p w14:paraId="2F64354B"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K</w:t>
            </w:r>
            <w:r w:rsidR="00D73739" w:rsidRPr="006D25F2">
              <w:rPr>
                <w:iCs/>
                <w:sz w:val="24"/>
                <w:szCs w:val="24"/>
              </w:rPr>
              <w:tab/>
              <w:t>2419</w:t>
            </w:r>
            <w:r w:rsidR="00D73739" w:rsidRPr="006D25F2">
              <w:rPr>
                <w:iCs/>
                <w:sz w:val="24"/>
                <w:szCs w:val="24"/>
              </w:rPr>
              <w:tab/>
              <w:t>Pārējie nākamo periodu izdevumi ārvalstu finanšu palīdzības un Eiropas Savienības politiku instrumentu</w:t>
            </w:r>
            <w:r w:rsidRPr="006D25F2">
              <w:rPr>
                <w:iCs/>
                <w:sz w:val="24"/>
                <w:szCs w:val="24"/>
              </w:rPr>
              <w:t xml:space="preserve"> </w:t>
            </w:r>
            <w:r w:rsidR="00D73739" w:rsidRPr="006D25F2">
              <w:rPr>
                <w:iCs/>
                <w:sz w:val="24"/>
                <w:szCs w:val="24"/>
              </w:rPr>
              <w:t xml:space="preserve">finansētajiem projektiem un pasākumiem </w:t>
            </w:r>
          </w:p>
          <w:p w14:paraId="325D4042" w14:textId="77777777" w:rsidR="00D73739" w:rsidRPr="006D25F2" w:rsidRDefault="00D73739" w:rsidP="00CD363C">
            <w:pPr>
              <w:spacing w:after="0" w:line="240" w:lineRule="auto"/>
              <w:ind w:right="113"/>
              <w:jc w:val="both"/>
              <w:rPr>
                <w:iCs/>
                <w:sz w:val="24"/>
                <w:szCs w:val="24"/>
              </w:rPr>
            </w:pPr>
            <w:r w:rsidRPr="006D25F2">
              <w:rPr>
                <w:iCs/>
                <w:sz w:val="24"/>
                <w:szCs w:val="24"/>
              </w:rPr>
              <w:t>vai</w:t>
            </w:r>
            <w:r w:rsidRPr="006D25F2">
              <w:rPr>
                <w:iCs/>
                <w:sz w:val="24"/>
                <w:szCs w:val="24"/>
              </w:rPr>
              <w:tab/>
            </w:r>
            <w:r w:rsidR="00735134" w:rsidRPr="006D25F2">
              <w:rPr>
                <w:iCs/>
                <w:sz w:val="24"/>
                <w:szCs w:val="24"/>
              </w:rPr>
              <w:t xml:space="preserve">            K             </w:t>
            </w:r>
            <w:r w:rsidRPr="006D25F2">
              <w:rPr>
                <w:iCs/>
                <w:sz w:val="24"/>
                <w:szCs w:val="24"/>
              </w:rPr>
              <w:t>2430</w:t>
            </w:r>
            <w:r w:rsidRPr="006D25F2">
              <w:rPr>
                <w:iCs/>
                <w:sz w:val="24"/>
                <w:szCs w:val="24"/>
              </w:rPr>
              <w:tab/>
              <w:t>Avansā pārskaitītie transferti</w:t>
            </w:r>
          </w:p>
          <w:p w14:paraId="3E76FECA" w14:textId="77777777" w:rsidR="00D73739" w:rsidRPr="006D25F2" w:rsidRDefault="00D73739" w:rsidP="00CD363C">
            <w:pPr>
              <w:spacing w:after="0" w:line="240" w:lineRule="auto"/>
              <w:ind w:right="113"/>
              <w:jc w:val="both"/>
              <w:rPr>
                <w:iCs/>
                <w:sz w:val="24"/>
                <w:szCs w:val="24"/>
              </w:rPr>
            </w:pPr>
          </w:p>
          <w:p w14:paraId="76196AEA" w14:textId="77777777" w:rsidR="00D73739" w:rsidRPr="006D25F2" w:rsidRDefault="00D73739" w:rsidP="00CD363C">
            <w:pPr>
              <w:spacing w:after="0" w:line="240" w:lineRule="auto"/>
              <w:ind w:right="113"/>
              <w:jc w:val="both"/>
              <w:rPr>
                <w:rFonts w:ascii="Times New Roman" w:hAnsi="Times New Roman" w:cs="Times New Roman"/>
                <w:iCs/>
                <w:sz w:val="24"/>
                <w:szCs w:val="24"/>
              </w:rPr>
            </w:pPr>
            <w:r w:rsidRPr="006D25F2">
              <w:rPr>
                <w:iCs/>
                <w:sz w:val="24"/>
                <w:szCs w:val="24"/>
              </w:rPr>
              <w:t xml:space="preserve">   </w:t>
            </w:r>
            <w:r w:rsidR="00735134" w:rsidRPr="006D25F2">
              <w:rPr>
                <w:rFonts w:ascii="Times New Roman" w:hAnsi="Times New Roman" w:cs="Times New Roman"/>
                <w:iCs/>
                <w:sz w:val="24"/>
                <w:szCs w:val="24"/>
              </w:rPr>
              <w:t>5)</w:t>
            </w:r>
            <w:r w:rsidRPr="006D25F2">
              <w:rPr>
                <w:rFonts w:ascii="Times New Roman" w:hAnsi="Times New Roman" w:cs="Times New Roman"/>
                <w:iCs/>
                <w:sz w:val="24"/>
                <w:szCs w:val="24"/>
              </w:rPr>
              <w:t xml:space="preserve">  Pārskata gada beigās veic salīdzināšanos ar apstiprinātajiem pretendentiem, kas saņēmuši atbalstu pārskata gadā, un gadījumos, ja atbalsta pretendents nav sniedzis izdevumus apliecinošus dokumentus par piešķirtā finansējuma izlietojumu pilnā apmērā un konstatēta pārmaksa pretendentam, atzīst prasības pret pretendentu neizlietotā finansējuma apmērā un veic sekojošus grāmatojumus:</w:t>
            </w:r>
          </w:p>
          <w:p w14:paraId="4827838D" w14:textId="77777777" w:rsidR="00D73739" w:rsidRPr="006D25F2" w:rsidRDefault="00D73739" w:rsidP="00CD363C">
            <w:pPr>
              <w:spacing w:after="0" w:line="240" w:lineRule="auto"/>
              <w:ind w:right="113"/>
              <w:jc w:val="both"/>
              <w:rPr>
                <w:iCs/>
                <w:sz w:val="24"/>
                <w:szCs w:val="24"/>
              </w:rPr>
            </w:pPr>
            <w:r w:rsidRPr="006D25F2">
              <w:rPr>
                <w:iCs/>
                <w:sz w:val="24"/>
                <w:szCs w:val="24"/>
              </w:rPr>
              <w:t>Grāmatojums – atzīst prasības par saimnieciskā gadā izmaksāto un neizmantoto finansējumu</w:t>
            </w:r>
          </w:p>
          <w:p w14:paraId="2EEE8B78"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D</w:t>
            </w:r>
            <w:r w:rsidR="00D73739" w:rsidRPr="006D25F2">
              <w:rPr>
                <w:iCs/>
                <w:sz w:val="24"/>
                <w:szCs w:val="24"/>
              </w:rPr>
              <w:tab/>
              <w:t>2300</w:t>
            </w:r>
            <w:r w:rsidR="00D73739" w:rsidRPr="006D25F2">
              <w:rPr>
                <w:iCs/>
                <w:sz w:val="24"/>
                <w:szCs w:val="24"/>
              </w:rPr>
              <w:tab/>
              <w:t>Īstermiņa prasības</w:t>
            </w:r>
          </w:p>
          <w:p w14:paraId="10694CDE"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K</w:t>
            </w:r>
            <w:r w:rsidR="00D73739" w:rsidRPr="006D25F2">
              <w:rPr>
                <w:iCs/>
                <w:sz w:val="24"/>
                <w:szCs w:val="24"/>
              </w:rPr>
              <w:tab/>
              <w:t>7000</w:t>
            </w:r>
            <w:r w:rsidR="00D73739" w:rsidRPr="006D25F2">
              <w:rPr>
                <w:iCs/>
                <w:sz w:val="24"/>
                <w:szCs w:val="24"/>
              </w:rPr>
              <w:tab/>
              <w:t>Pamatdarbības izdevumi</w:t>
            </w:r>
          </w:p>
          <w:p w14:paraId="32B6A50F" w14:textId="77777777" w:rsidR="00D73739" w:rsidRPr="006D25F2" w:rsidRDefault="00D73739" w:rsidP="00CD363C">
            <w:pPr>
              <w:spacing w:after="0" w:line="240" w:lineRule="auto"/>
              <w:ind w:right="113"/>
              <w:jc w:val="both"/>
              <w:rPr>
                <w:iCs/>
                <w:sz w:val="24"/>
                <w:szCs w:val="24"/>
              </w:rPr>
            </w:pPr>
            <w:r w:rsidRPr="006D25F2">
              <w:rPr>
                <w:iCs/>
                <w:sz w:val="24"/>
                <w:szCs w:val="24"/>
              </w:rPr>
              <w:t>Grāmatojums – atzīst prasības par iepriekšējā saimnieciskā gadā izmaksāto un neizmantoto finansējumu</w:t>
            </w:r>
          </w:p>
          <w:p w14:paraId="23E70412"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D</w:t>
            </w:r>
            <w:r w:rsidR="00D73739" w:rsidRPr="006D25F2">
              <w:rPr>
                <w:iCs/>
                <w:sz w:val="24"/>
                <w:szCs w:val="24"/>
              </w:rPr>
              <w:tab/>
              <w:t>2300</w:t>
            </w:r>
            <w:r w:rsidR="00D73739" w:rsidRPr="006D25F2">
              <w:rPr>
                <w:iCs/>
                <w:sz w:val="24"/>
                <w:szCs w:val="24"/>
              </w:rPr>
              <w:tab/>
              <w:t>Īstermiņa prasības</w:t>
            </w:r>
          </w:p>
          <w:p w14:paraId="7093F549" w14:textId="77777777" w:rsidR="00906836"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K</w:t>
            </w:r>
            <w:r w:rsidR="00D73739" w:rsidRPr="006D25F2">
              <w:rPr>
                <w:iCs/>
                <w:sz w:val="24"/>
                <w:szCs w:val="24"/>
              </w:rPr>
              <w:tab/>
            </w:r>
            <w:r w:rsidRPr="006D25F2">
              <w:rPr>
                <w:iCs/>
                <w:sz w:val="24"/>
                <w:szCs w:val="24"/>
              </w:rPr>
              <w:t xml:space="preserve">            </w:t>
            </w:r>
            <w:r w:rsidR="00D73739" w:rsidRPr="006D25F2">
              <w:rPr>
                <w:iCs/>
                <w:sz w:val="24"/>
                <w:szCs w:val="24"/>
              </w:rPr>
              <w:t>8500</w:t>
            </w:r>
            <w:r w:rsidR="00D73739" w:rsidRPr="006D25F2">
              <w:rPr>
                <w:iCs/>
                <w:sz w:val="24"/>
                <w:szCs w:val="24"/>
              </w:rPr>
              <w:tab/>
              <w:t>Pārējie ieņēmumi</w:t>
            </w:r>
          </w:p>
          <w:p w14:paraId="7735EE0C" w14:textId="77777777" w:rsidR="00735134" w:rsidRPr="006D25F2" w:rsidRDefault="004A085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976. </w:t>
            </w:r>
            <w:r w:rsidR="00735134" w:rsidRPr="006D25F2">
              <w:rPr>
                <w:rFonts w:ascii="Times New Roman" w:hAnsi="Times New Roman" w:cs="Times New Roman"/>
                <w:iCs/>
                <w:sz w:val="24"/>
                <w:szCs w:val="24"/>
              </w:rPr>
              <w:t>Grāmatojumi pašvaldības grāmatvedības uzskaitē:</w:t>
            </w:r>
          </w:p>
          <w:p w14:paraId="6AFA3E5D"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1)  Pretendents, kas ir valsts vai pašvaldības budžeta iestāde, sniedz Lauku atbalsta dienestam piena izlietojumu apliecinošus dokumentus. Saņemot transferta apstiprinājumu, atzīst pārskata perioda ieņēmumus un prasības pret Lauku atbalsta dienestu (transferta pārskaitītāju):</w:t>
            </w:r>
          </w:p>
          <w:p w14:paraId="1D37674E"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Grāmatojums – atzīst ieņēmumus un prasības pēc transferta apstiprinājuma saņemšanas, pamatojoties uz apliecinošiem dokumentiem par attaisnotiem izdevumiem</w:t>
            </w:r>
          </w:p>
          <w:p w14:paraId="7182D601" w14:textId="77777777" w:rsidR="00735134" w:rsidRPr="006D25F2" w:rsidRDefault="00735134" w:rsidP="00CD363C">
            <w:pPr>
              <w:spacing w:after="0" w:line="240" w:lineRule="auto"/>
              <w:ind w:right="113"/>
              <w:jc w:val="both"/>
              <w:rPr>
                <w:rFonts w:ascii="Times New Roman" w:hAnsi="Times New Roman" w:cs="Times New Roman"/>
                <w:iCs/>
                <w:sz w:val="24"/>
                <w:szCs w:val="24"/>
              </w:rPr>
            </w:pPr>
          </w:p>
          <w:p w14:paraId="4358C6D2" w14:textId="77777777" w:rsidR="00735134" w:rsidRPr="006D25F2" w:rsidRDefault="004A085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D</w:t>
            </w:r>
            <w:r w:rsidR="00735134" w:rsidRPr="006D25F2">
              <w:rPr>
                <w:rFonts w:ascii="Times New Roman" w:hAnsi="Times New Roman" w:cs="Times New Roman"/>
                <w:iCs/>
                <w:sz w:val="24"/>
                <w:szCs w:val="24"/>
              </w:rPr>
              <w:tab/>
              <w:t>2321</w:t>
            </w:r>
            <w:r w:rsidR="00735134" w:rsidRPr="006D25F2">
              <w:rPr>
                <w:rFonts w:ascii="Times New Roman" w:hAnsi="Times New Roman" w:cs="Times New Roman"/>
                <w:iCs/>
                <w:sz w:val="24"/>
                <w:szCs w:val="24"/>
              </w:rPr>
              <w:tab/>
              <w:t>Prasības ārvalstu finanšu palīdzības un Eiropas Savienības politiku instrumentu finansētajiem projektiem (pasākumiem)</w:t>
            </w:r>
          </w:p>
          <w:p w14:paraId="3FD033D7" w14:textId="77777777" w:rsidR="00735134" w:rsidRPr="006D25F2" w:rsidRDefault="004A085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K</w:t>
            </w:r>
            <w:r w:rsidR="00735134" w:rsidRPr="006D25F2">
              <w:rPr>
                <w:rFonts w:ascii="Times New Roman" w:hAnsi="Times New Roman" w:cs="Times New Roman"/>
                <w:iCs/>
                <w:sz w:val="24"/>
                <w:szCs w:val="24"/>
              </w:rPr>
              <w:tab/>
            </w: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6000</w:t>
            </w:r>
            <w:r w:rsidR="00735134" w:rsidRPr="006D25F2">
              <w:rPr>
                <w:rFonts w:ascii="Times New Roman" w:hAnsi="Times New Roman" w:cs="Times New Roman"/>
                <w:iCs/>
                <w:sz w:val="24"/>
                <w:szCs w:val="24"/>
              </w:rPr>
              <w:tab/>
              <w:t>Pamatdarbības ieņēmumi</w:t>
            </w:r>
          </w:p>
          <w:p w14:paraId="316198D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4A085E" w:rsidRPr="006D25F2">
              <w:rPr>
                <w:rFonts w:ascii="Times New Roman" w:hAnsi="Times New Roman" w:cs="Times New Roman"/>
                <w:iCs/>
                <w:sz w:val="24"/>
                <w:szCs w:val="24"/>
              </w:rPr>
              <w:t>2)</w:t>
            </w:r>
            <w:r w:rsidRPr="006D25F2">
              <w:rPr>
                <w:rFonts w:ascii="Times New Roman" w:hAnsi="Times New Roman" w:cs="Times New Roman"/>
                <w:iCs/>
                <w:sz w:val="24"/>
                <w:szCs w:val="24"/>
              </w:rPr>
              <w:t xml:space="preserve">   Transferta pārskaitījuma dienā pašvaldība vai izglītības iestāde uzskaita saņemto transferta pārskaitījumu un atzīst naudas līdzekļu palielinājumu un prasību samazinājumu.</w:t>
            </w:r>
          </w:p>
          <w:p w14:paraId="08326DB8"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Grāmatojums – saņem transferta pārskaitījumu</w:t>
            </w:r>
          </w:p>
          <w:p w14:paraId="11A7E2FE" w14:textId="77777777" w:rsidR="00735134" w:rsidRPr="006D25F2" w:rsidRDefault="00735134" w:rsidP="00CD363C">
            <w:pPr>
              <w:spacing w:after="0" w:line="240" w:lineRule="auto"/>
              <w:ind w:right="113"/>
              <w:jc w:val="both"/>
              <w:rPr>
                <w:rFonts w:ascii="Times New Roman" w:hAnsi="Times New Roman" w:cs="Times New Roman"/>
                <w:iCs/>
                <w:sz w:val="24"/>
                <w:szCs w:val="24"/>
              </w:rPr>
            </w:pPr>
          </w:p>
          <w:p w14:paraId="70BBF81F" w14:textId="77777777" w:rsidR="00735134" w:rsidRPr="006D25F2" w:rsidRDefault="00DE599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D</w:t>
            </w:r>
            <w:r w:rsidR="00735134" w:rsidRPr="006D25F2">
              <w:rPr>
                <w:rFonts w:ascii="Times New Roman" w:hAnsi="Times New Roman" w:cs="Times New Roman"/>
                <w:iCs/>
                <w:sz w:val="24"/>
                <w:szCs w:val="24"/>
              </w:rPr>
              <w:tab/>
              <w:t>2600</w:t>
            </w:r>
            <w:r w:rsidR="00735134" w:rsidRPr="006D25F2">
              <w:rPr>
                <w:rFonts w:ascii="Times New Roman" w:hAnsi="Times New Roman" w:cs="Times New Roman"/>
                <w:iCs/>
                <w:sz w:val="24"/>
                <w:szCs w:val="24"/>
              </w:rPr>
              <w:tab/>
              <w:t>Naudas līdzekļi</w:t>
            </w:r>
          </w:p>
          <w:p w14:paraId="762AB2E5" w14:textId="77777777" w:rsidR="00735134" w:rsidRPr="006D25F2" w:rsidRDefault="00DE599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K</w:t>
            </w:r>
            <w:r w:rsidR="00735134" w:rsidRPr="006D25F2">
              <w:rPr>
                <w:rFonts w:ascii="Times New Roman" w:hAnsi="Times New Roman" w:cs="Times New Roman"/>
                <w:iCs/>
                <w:sz w:val="24"/>
                <w:szCs w:val="24"/>
              </w:rPr>
              <w:tab/>
              <w:t>2321</w:t>
            </w:r>
            <w:r w:rsidR="00735134" w:rsidRPr="006D25F2">
              <w:rPr>
                <w:rFonts w:ascii="Times New Roman" w:hAnsi="Times New Roman" w:cs="Times New Roman"/>
                <w:iCs/>
                <w:sz w:val="24"/>
                <w:szCs w:val="24"/>
              </w:rPr>
              <w:tab/>
              <w:t>Prasības ārvalstu finanšu palīdzības un Eiropas</w:t>
            </w:r>
          </w:p>
          <w:p w14:paraId="5F1E0249"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Savienības politiku instrumentu finansētajiem projektiem (pasākumiem)</w:t>
            </w:r>
          </w:p>
          <w:p w14:paraId="1D4A978B" w14:textId="77777777" w:rsidR="00735134" w:rsidRPr="006D25F2" w:rsidRDefault="00DE599E" w:rsidP="00CD363C">
            <w:pPr>
              <w:spacing w:after="0" w:line="240" w:lineRule="auto"/>
              <w:ind w:right="113"/>
              <w:jc w:val="both"/>
              <w:rPr>
                <w:rFonts w:ascii="Times New Roman" w:hAnsi="Times New Roman" w:cs="Times New Roman"/>
                <w:b/>
                <w:bCs/>
                <w:iCs/>
                <w:color w:val="2F5496" w:themeColor="accent1" w:themeShade="BF"/>
                <w:sz w:val="24"/>
                <w:szCs w:val="24"/>
              </w:rPr>
            </w:pPr>
            <w:r w:rsidRPr="006D25F2">
              <w:rPr>
                <w:rFonts w:ascii="Times New Roman" w:hAnsi="Times New Roman" w:cs="Times New Roman"/>
                <w:b/>
                <w:bCs/>
                <w:iCs/>
                <w:color w:val="2F5496" w:themeColor="accent1" w:themeShade="BF"/>
                <w:sz w:val="24"/>
                <w:szCs w:val="24"/>
              </w:rPr>
              <w:t>22.3.1.3.</w:t>
            </w:r>
            <w:r w:rsidR="00735134" w:rsidRPr="006D25F2">
              <w:rPr>
                <w:rFonts w:ascii="Times New Roman" w:hAnsi="Times New Roman" w:cs="Times New Roman"/>
                <w:b/>
                <w:bCs/>
                <w:iCs/>
                <w:color w:val="2F5496" w:themeColor="accent1" w:themeShade="BF"/>
                <w:sz w:val="24"/>
                <w:szCs w:val="24"/>
              </w:rPr>
              <w:t>Aktīvu saņemšana vispārējās valdības sektora struktūru ietvaros</w:t>
            </w:r>
          </w:p>
          <w:p w14:paraId="51A46DFC"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Grāmatvedības uzskaites principi</w:t>
            </w:r>
          </w:p>
          <w:p w14:paraId="2C1C491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97</w:t>
            </w:r>
            <w:r w:rsidR="00DE599E" w:rsidRPr="006D25F2">
              <w:rPr>
                <w:rFonts w:ascii="Times New Roman" w:hAnsi="Times New Roman" w:cs="Times New Roman"/>
                <w:iCs/>
                <w:sz w:val="24"/>
                <w:szCs w:val="24"/>
              </w:rPr>
              <w:t>7</w:t>
            </w:r>
            <w:r w:rsidRPr="006D25F2">
              <w:rPr>
                <w:rFonts w:ascii="Times New Roman" w:hAnsi="Times New Roman" w:cs="Times New Roman"/>
                <w:iCs/>
                <w:sz w:val="24"/>
                <w:szCs w:val="24"/>
              </w:rPr>
              <w:t>.   Budžeta iestāde atzīst aktīvus un ieņēmumus no saņemtiem ilgtermiņa ieguldījumiem un krājumiem bez atlīdzības, ja minētais pārvedums atbilst aktīva atzīšanas kritērijiem.</w:t>
            </w:r>
          </w:p>
          <w:p w14:paraId="542DE54E"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97</w:t>
            </w:r>
            <w:r w:rsidR="00DE599E" w:rsidRPr="006D25F2">
              <w:rPr>
                <w:rFonts w:ascii="Times New Roman" w:hAnsi="Times New Roman" w:cs="Times New Roman"/>
                <w:iCs/>
                <w:sz w:val="24"/>
                <w:szCs w:val="24"/>
              </w:rPr>
              <w:t>8</w:t>
            </w:r>
            <w:r w:rsidRPr="006D25F2">
              <w:rPr>
                <w:rFonts w:ascii="Times New Roman" w:hAnsi="Times New Roman" w:cs="Times New Roman"/>
                <w:iCs/>
                <w:sz w:val="24"/>
                <w:szCs w:val="24"/>
              </w:rPr>
              <w:t>.    Bez atlīdzības saņemto aktīvu sākotnēji atzīst vērtībā, kādā tas uzskaitīts budžeta iestādē, kas šo aktīvu nodeva.</w:t>
            </w:r>
          </w:p>
          <w:p w14:paraId="7FC2C044"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97</w:t>
            </w:r>
            <w:r w:rsidR="00DE599E" w:rsidRPr="006D25F2">
              <w:rPr>
                <w:rFonts w:ascii="Times New Roman" w:hAnsi="Times New Roman" w:cs="Times New Roman"/>
                <w:iCs/>
                <w:sz w:val="24"/>
                <w:szCs w:val="24"/>
              </w:rPr>
              <w:t>9</w:t>
            </w:r>
            <w:r w:rsidRPr="006D25F2">
              <w:rPr>
                <w:rFonts w:ascii="Times New Roman" w:hAnsi="Times New Roman" w:cs="Times New Roman"/>
                <w:iCs/>
                <w:sz w:val="24"/>
                <w:szCs w:val="24"/>
              </w:rPr>
              <w:t>.    Ja budžeta iestāde bez atlīdzības no citas budžeta iestādes saņem ilgtermiņa ieguldījumu, tā:</w:t>
            </w:r>
          </w:p>
          <w:p w14:paraId="6D56F639"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atzīst tā sākotnējo vērtību, nolietojumu (amortizāciju), izņemot vērtība samazinājumu, un ieņēmumus no saņemtām vērtībām bez atlīdzības ilgtermiņa ieguldījuma atlikušajā vērtībā atbilstoši darījuma būtībai;</w:t>
            </w:r>
          </w:p>
          <w:p w14:paraId="3C30DCEC"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atzīst izdevumus no saņemtām vērtībām bez atlīdzības un nākamo periodu ieņēmumus, ja iepriekšējā budžeta iestādē ilgtermiņa ieguldījuma vērtība sākotnēji uzskaitīta nākamo periodu ieņēmumos;</w:t>
            </w:r>
          </w:p>
          <w:p w14:paraId="39981916"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turpina aprēķināt nolietojumu (amortizāciju) ilgtermiņa ieguldījuma atlikušajā lietderīgās lietošanas laikā atbilstoši saņemtai informācijai no iepriekšējās budžeta iestādes par ilgtermiņa ieguldījumu;</w:t>
            </w:r>
          </w:p>
          <w:p w14:paraId="1B07222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ilgtermiņa ieguldījuma vērtības uzskaita tajā uzskaites kategorijā (kontā), kuru norādījusi iepriekšējā budžeta iestāde. Ja nepieciešams, minētās vērtības pārklasificē atbilstoši budžeta iestādes grāmatvedības uzskaites kārtībā noteiktajām prasībām;</w:t>
            </w:r>
          </w:p>
          <w:p w14:paraId="7BB71998"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atzīst izdevumus no saņemtām vērtībām bez atlīdzības un līdzdalības daļu un finanšu instrumentu patiesās vērtības rezerves normatīvajos aktos noteiktajos gadījumos.</w:t>
            </w:r>
          </w:p>
          <w:p w14:paraId="3A5DE916"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w:t>
            </w:r>
            <w:r w:rsidR="00DE599E" w:rsidRPr="006D25F2">
              <w:rPr>
                <w:rFonts w:ascii="Times New Roman" w:hAnsi="Times New Roman" w:cs="Times New Roman"/>
                <w:iCs/>
                <w:sz w:val="24"/>
                <w:szCs w:val="24"/>
              </w:rPr>
              <w:t>80</w:t>
            </w:r>
            <w:r w:rsidRPr="006D25F2">
              <w:rPr>
                <w:rFonts w:ascii="Times New Roman" w:hAnsi="Times New Roman" w:cs="Times New Roman"/>
                <w:iCs/>
                <w:sz w:val="24"/>
                <w:szCs w:val="24"/>
              </w:rPr>
              <w:t>.   Ja budžeta iestāde no citas budžeta iestādes saņem krājumus bez atlīdzības, tā grāmatvedības uzskaitē atzīst:</w:t>
            </w:r>
          </w:p>
          <w:p w14:paraId="3FC3B70D"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krājumu vērtību un ieņēmumus no saņemtām vērtībām bez atlīdzības atbilstoši saņemtai informācijai par krājumiem un darījuma būtībai;</w:t>
            </w:r>
          </w:p>
          <w:p w14:paraId="52524131"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krājumu vērtību un nākamo periodu ieņēmumus, ja iepriekšējā budžeta iestādē krājumu vērtība sākotnēji uzskaitīta nākamo periodu ieņēmumos;</w:t>
            </w:r>
          </w:p>
          <w:p w14:paraId="389BDBFA"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krājumu vērtību tajā uzskaites kategorijā (kontā), kuru norādījusi iepriekšējā budžeta iestāde, izņemot militāro inventāru. Ja nepieciešams, minētās vērtības pārklasificē atbilstoši budžeta iestādes grāmatvedības uzskaites kārtībai. Ja budžeta iestāde saņem bez atlīdzības krājumus, kurus iepriekšējā budžeta iestāde uzskaitījusi kontu grupā 2170 "Speciālais militārais inventārs un speciālā militārā inventāra izveidošana", tā krājumu vērtību atzīst krājumu ekonomiskai būtībai atbilstošā uzskaites kategorijā (kontā).</w:t>
            </w:r>
          </w:p>
          <w:p w14:paraId="4E52E43B" w14:textId="77777777" w:rsidR="00735134" w:rsidRPr="006D25F2" w:rsidRDefault="00DE599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981.</w:t>
            </w:r>
            <w:r w:rsidR="00735134" w:rsidRPr="006D25F2">
              <w:rPr>
                <w:rFonts w:ascii="Times New Roman" w:hAnsi="Times New Roman" w:cs="Times New Roman"/>
                <w:iCs/>
                <w:sz w:val="24"/>
                <w:szCs w:val="24"/>
              </w:rPr>
              <w:t xml:space="preserve">  Budžeta iestāde, kas saņem ilgtermiņa ieguldījumu vispārējās valdības struktūru ietvaros, savā grāmatvedības uzskaitē atzīst saņemtā ilgtermiņa ieguldījuma sākotnējo vērtību, nolietojumu (amortizāciju) un ieņēmumus no saņemtām vērtībām bez atlīdzības ilgtermiņa ieguldījuma atlikušajā vērtībā atbilstoši darījuma būtībai un atbilstoši budžeta iestādei, kas nodevusi ilgtermiņa ieguldījumu, sniegtai informācijai par ilgtermiņa ieguldījuma uzskaiti, grāmato:</w:t>
            </w:r>
          </w:p>
          <w:p w14:paraId="5D0A802D"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iCs/>
                <w:sz w:val="24"/>
                <w:szCs w:val="24"/>
              </w:rPr>
              <w:t xml:space="preserve">   </w:t>
            </w:r>
            <w:r w:rsidRPr="006D25F2">
              <w:rPr>
                <w:rFonts w:ascii="Times New Roman" w:hAnsi="Times New Roman" w:cs="Times New Roman"/>
                <w:b/>
                <w:bCs/>
                <w:iCs/>
                <w:sz w:val="24"/>
                <w:szCs w:val="24"/>
              </w:rPr>
              <w:t>D    1200   Pamatlīdzekļi</w:t>
            </w:r>
          </w:p>
          <w:p w14:paraId="76E428E5"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1290   Pamatlīdzekļu uzkrātais nolietojums vai vērtības samazinājums </w:t>
            </w:r>
          </w:p>
          <w:p w14:paraId="2A01BE45"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8410   Ieņēmumi no saņemtām un nodotām vērtībām bez atlīdzības</w:t>
            </w:r>
          </w:p>
          <w:p w14:paraId="1FED3842"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w:t>
            </w:r>
            <w:r w:rsidR="00DE599E" w:rsidRPr="006D25F2">
              <w:rPr>
                <w:rFonts w:ascii="Times New Roman" w:hAnsi="Times New Roman" w:cs="Times New Roman"/>
                <w:iCs/>
                <w:sz w:val="24"/>
                <w:szCs w:val="24"/>
              </w:rPr>
              <w:t>2</w:t>
            </w:r>
            <w:r w:rsidRPr="006D25F2">
              <w:rPr>
                <w:rFonts w:ascii="Times New Roman" w:hAnsi="Times New Roman" w:cs="Times New Roman"/>
                <w:iCs/>
                <w:sz w:val="24"/>
                <w:szCs w:val="24"/>
              </w:rPr>
              <w:t>.    Ja budžeta iestāde, kas nodevusi ilgtermiņa ieguldījumu, sākotnēji ilgtermiņa ieguldījumu uzskaitījusi nākamo periodu ieņēmumos, budžeta iestāde, kas saņēmusi ilgtermiņa ieguldījumu, atzīst nākamo periodu ieņēmumu palielinājumu un izdevumus no saņemtām vērtībām bez atlīdzības, grāmato:</w:t>
            </w:r>
          </w:p>
          <w:p w14:paraId="6A93F19F"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8420   Izdevumi no saņemtām un nodotām vērtībām bez atlīdzības</w:t>
            </w:r>
          </w:p>
          <w:p w14:paraId="48A96310"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5150   Ilgtermiņa nākamo periodu ieņēmumi un saņemtie avansa maksājumi</w:t>
            </w:r>
          </w:p>
          <w:p w14:paraId="254A31C8"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w:t>
            </w:r>
            <w:r w:rsidR="00DE599E" w:rsidRPr="006D25F2">
              <w:rPr>
                <w:rFonts w:ascii="Times New Roman" w:hAnsi="Times New Roman" w:cs="Times New Roman"/>
                <w:iCs/>
                <w:sz w:val="24"/>
                <w:szCs w:val="24"/>
              </w:rPr>
              <w:t>3</w:t>
            </w:r>
            <w:r w:rsidRPr="006D25F2">
              <w:rPr>
                <w:rFonts w:ascii="Times New Roman" w:hAnsi="Times New Roman" w:cs="Times New Roman"/>
                <w:iCs/>
                <w:sz w:val="24"/>
                <w:szCs w:val="24"/>
              </w:rPr>
              <w:t>.    Budžeta iestāde, kas saņēmumi ilgtermiņa ieguldījumu, nodrošina ilgtermiņa ieguldījuma nolietojuma uzskaiti atlikušajā lietderīgās lietošanas laikā atbilstoši budžeta iestādes, kas nodevusi ilgtermiņa ieguldījumu, sniegtai informācijai.</w:t>
            </w:r>
          </w:p>
          <w:p w14:paraId="2A649EB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w:t>
            </w:r>
            <w:r w:rsidR="00DE599E" w:rsidRPr="006D25F2">
              <w:rPr>
                <w:rFonts w:ascii="Times New Roman" w:hAnsi="Times New Roman" w:cs="Times New Roman"/>
                <w:iCs/>
                <w:sz w:val="24"/>
                <w:szCs w:val="24"/>
              </w:rPr>
              <w:t>4.</w:t>
            </w:r>
            <w:r w:rsidRPr="006D25F2">
              <w:rPr>
                <w:rFonts w:ascii="Times New Roman" w:hAnsi="Times New Roman" w:cs="Times New Roman"/>
                <w:iCs/>
                <w:sz w:val="24"/>
                <w:szCs w:val="24"/>
              </w:rPr>
              <w:t xml:space="preserve">   Ja budžeta iestādē, kas saņem ilgtermiņa ieguldījumu, attiecīgais ilgtermiņa ieguldījums saskaņā ar apstiprināto grāmatvedības uzskaites kārtību ir uzskaitāms citā uzskaites kategorijā, tad, pēc ilgtermiņa ieguldījuma sākotnējās atzīšanas, savā grāmatvedības uzskaitē pārklasificē to atbilstoši budžeta iestādes grāmatvedības uzskaites kārtībā noteiktām prasībām, grāmato:</w:t>
            </w:r>
          </w:p>
          <w:p w14:paraId="712ADE19"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1200   Pamatlīdzekļi(atbilstoši budžeta iestādes, kas aktīvu saņēma, grāmatvedības uzskaites kārtībā noteiktajam)</w:t>
            </w:r>
          </w:p>
          <w:p w14:paraId="149767AF"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1200   Pamatlīdzekļi( (atbilstoši budžeta iestādes, kas aktīvu nodeva, sniegtajai informācijai)   </w:t>
            </w:r>
          </w:p>
          <w:p w14:paraId="0F716F22" w14:textId="77777777" w:rsidR="00735134" w:rsidRPr="006D25F2" w:rsidRDefault="00491DCA"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985.   Saņemot krājumu no citas budžeta iestādes bez atlīdzības, budžeta iestāde, kas saņem krājumus, atzīst aktīvu un ieņēmumu palielinājumu, grāmato:</w:t>
            </w:r>
          </w:p>
          <w:p w14:paraId="0DC11491" w14:textId="77777777" w:rsidR="00491DCA" w:rsidRPr="006D25F2" w:rsidRDefault="00491DCA"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iCs/>
                <w:sz w:val="24"/>
                <w:szCs w:val="24"/>
              </w:rPr>
              <w:t xml:space="preserve">    </w:t>
            </w:r>
            <w:r w:rsidRPr="006D25F2">
              <w:rPr>
                <w:rFonts w:ascii="Times New Roman" w:hAnsi="Times New Roman" w:cs="Times New Roman"/>
                <w:b/>
                <w:bCs/>
                <w:iCs/>
                <w:sz w:val="24"/>
                <w:szCs w:val="24"/>
              </w:rPr>
              <w:t>D    2100   Krājumi</w:t>
            </w:r>
          </w:p>
          <w:p w14:paraId="433EAE68" w14:textId="77777777" w:rsidR="00491DCA" w:rsidRPr="006D25F2" w:rsidRDefault="00491DCA"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8410   Ieņēmumi no saņemtām nodotām vērtībām bez atlīdzības</w:t>
            </w:r>
          </w:p>
          <w:p w14:paraId="56B59A4E" w14:textId="77777777" w:rsidR="00763542" w:rsidRPr="006D25F2" w:rsidRDefault="00763542"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986.    Ja budžeta iestāde, kas nodevusi krājumu, sākotnēji krājumu uzskaitījusi nākamo periodu ieņēmumos, budžeta iestāde, kas saņēmusi krājumus, atzīst nākamo periodu ieņēmumu palielinājumu un izdevumus no saņemtām vērtībām bez atlīdzības (skatīt arī grāmatvedības uzskaites kārtības sadaļu “Krājumu uzskaite”), grāmato:</w:t>
            </w:r>
          </w:p>
          <w:p w14:paraId="0FED89F7" w14:textId="77777777" w:rsidR="00763542" w:rsidRPr="006D25F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8420   Izdevumi no saņemtām un nodotām vērtībām bez atlīdzības</w:t>
            </w:r>
          </w:p>
          <w:p w14:paraId="26D2843A" w14:textId="77777777" w:rsidR="00763542" w:rsidRPr="006D25F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5900   Nākamo periodu ieņēmumi, saņemtie avansi un transferti</w:t>
            </w:r>
          </w:p>
          <w:p w14:paraId="75276116" w14:textId="77777777" w:rsidR="00763542" w:rsidRPr="006D25F2" w:rsidRDefault="006D25F2"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987.    </w:t>
            </w:r>
            <w:r w:rsidR="00763542" w:rsidRPr="006D25F2">
              <w:rPr>
                <w:rFonts w:ascii="Times New Roman" w:hAnsi="Times New Roman" w:cs="Times New Roman"/>
                <w:iCs/>
                <w:sz w:val="24"/>
                <w:szCs w:val="24"/>
              </w:rPr>
              <w:t>Ja budžeta iestādē, kas saņem krājumu, attiecīgais krājums saskaņā ar apstiprināto grāmatvedības uzskaites kārtību ir uzskaitāms citā uzskaites kategorijā (kontā), tad, pēc krājuma sākotnējās atzīšanas, savā grāmatvedības uzskaitē pārklasificē to atbilstoši budžeta iestādes grāmatvedības uzskaites kārtībā noteiktām prasībām. Minētais neattiecas uz saņemtajiem krājumiem bez atlīdzības, kurus iepriekšējā budžeta iestāde uzskaitījusi kontu grupā 2170 "Speciālais militārais inventārs un speciālā militārā inventāra izveidošana". Šajā gadījumā budžeta iestāde krājumu vērtību atzīst krājumu ekonomiskai būtībai atbilstošā uzskaites kategorijā (kontā), grāmato:</w:t>
            </w:r>
          </w:p>
          <w:p w14:paraId="02C475CB" w14:textId="77777777" w:rsidR="00763542" w:rsidRPr="006D25F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iCs/>
                <w:sz w:val="24"/>
                <w:szCs w:val="24"/>
              </w:rPr>
              <w:t xml:space="preserve">    </w:t>
            </w:r>
            <w:r w:rsidRPr="006D25F2">
              <w:rPr>
                <w:rFonts w:ascii="Times New Roman" w:hAnsi="Times New Roman" w:cs="Times New Roman"/>
                <w:b/>
                <w:bCs/>
                <w:iCs/>
                <w:sz w:val="24"/>
                <w:szCs w:val="24"/>
              </w:rPr>
              <w:t>D    2100   Krājumi (atbilstoši budžeta iestādes, kas aktīvu saņēma, grāmatvedības uzskaites kārtībā noteiktajam)</w:t>
            </w:r>
          </w:p>
          <w:p w14:paraId="45E79655" w14:textId="77777777" w:rsidR="0076354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w:t>
            </w:r>
            <w:r w:rsidR="00990660" w:rsidRPr="006D25F2">
              <w:rPr>
                <w:rFonts w:ascii="Times New Roman" w:hAnsi="Times New Roman" w:cs="Times New Roman"/>
                <w:b/>
                <w:bCs/>
                <w:iCs/>
                <w:sz w:val="24"/>
                <w:szCs w:val="24"/>
              </w:rPr>
              <w:t>K    2100   Krājumi (atbilstoši budžeta iestādes, kas aktīvu nodeva, sniegtajai informācijai)</w:t>
            </w:r>
          </w:p>
          <w:p w14:paraId="607F0D73"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Piemērs:</w:t>
            </w:r>
          </w:p>
          <w:p w14:paraId="0533EC11" w14:textId="77777777" w:rsid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988.    </w:t>
            </w:r>
            <w:r w:rsidRPr="006D25F2">
              <w:rPr>
                <w:rFonts w:ascii="Times New Roman" w:hAnsi="Times New Roman" w:cs="Times New Roman"/>
                <w:iCs/>
                <w:sz w:val="24"/>
                <w:szCs w:val="24"/>
              </w:rPr>
              <w:t>Saskaņā ar Ministru kabineta rīkojumu ir pieņemts lēmums ar 2019. gada 1.septembri reorganizēt Izglītības un zinātnes ministrijas padotībā esošo valsts izglītības iestādi – Vecbebru Profesionālo vidusskolu – un nodot to budžeta iestādei – Kokneses novada pašvaldībai. Ministru kabineta rīkojums paredz Izglītības un zinātnes ministrijai nodot bez atlīdzības Kokneses novada pašvaldībai valsts nekustamo īpašumu objektus – zemi un būves. Lai nodrošinātu materiālo vērtību nodošanu un saņemšanu bez atlīdzības, uz rīkojuma pamata izveidota reorganizācijas komisija veic materiālo un finanšu līdzekļu inventarizāciju, nosakot mantas vērtību un saistību apjomu, kā arī nodrošina izglītības iestādes bilancē esošās mantas, saistību, lietvedības un arhīva nodošanu pašvaldībai. Pašvaldība, saņemot pamatlīdzekli (zemi un būves), uzskaita bez atlīdzības saņemto pamatlīdzekli atbilstošajā pamatlīdzekļu kategorijā, kurā norādīti pamatlīdzekļi izglītības iestādes grāmatvedības uzskaitē saskaņā ar pieņemšanas – nodošanas aktu. Pašvaldība atzīst pamatlīdzekļu sākotnējo vērtību, nolietojumu un ieņēmumus no saņemtām vērtībām bez atlīdzības pamatlīdzekļu atlikušajā vērtībā. Pašvaldība turpina aprēķināt būvju nolietojumu atlikušajā lietderīgās lietošanas laikā atbilstoši saņemtai informācijai no izglītības iestādes.</w:t>
            </w:r>
          </w:p>
          <w:p w14:paraId="33F4023F"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6D25F2">
              <w:rPr>
                <w:rFonts w:ascii="Times New Roman" w:hAnsi="Times New Roman" w:cs="Times New Roman"/>
                <w:b/>
                <w:bCs/>
                <w:iCs/>
                <w:sz w:val="24"/>
                <w:szCs w:val="24"/>
              </w:rPr>
              <w:t>D    1212   Nedzīvojamās ēkas</w:t>
            </w:r>
          </w:p>
          <w:p w14:paraId="3306FBF6"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1214    Zeme  zem būvēm</w:t>
            </w:r>
          </w:p>
          <w:p w14:paraId="2DFCD460"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1291   Būvju uzkrātais nolietojums</w:t>
            </w:r>
          </w:p>
          <w:p w14:paraId="576C2FB4" w14:textId="77777777" w:rsid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8410   Ieņēmumi no saņemtām nodotām vērtībām bez atlīdzības</w:t>
            </w:r>
          </w:p>
          <w:p w14:paraId="6C6EFB82" w14:textId="77777777" w:rsidR="006D25F2" w:rsidRDefault="006D25F2" w:rsidP="00CD363C">
            <w:pPr>
              <w:spacing w:after="0" w:line="240" w:lineRule="auto"/>
              <w:ind w:right="113"/>
              <w:jc w:val="both"/>
              <w:rPr>
                <w:rFonts w:ascii="Times New Roman" w:hAnsi="Times New Roman" w:cs="Times New Roman"/>
                <w:b/>
                <w:bCs/>
                <w:i/>
                <w:color w:val="2F5496" w:themeColor="accent1" w:themeShade="BF"/>
                <w:sz w:val="24"/>
                <w:szCs w:val="24"/>
              </w:rPr>
            </w:pPr>
            <w:r w:rsidRPr="006D25F2">
              <w:rPr>
                <w:rFonts w:ascii="Times New Roman" w:hAnsi="Times New Roman" w:cs="Times New Roman"/>
                <w:b/>
                <w:bCs/>
                <w:i/>
                <w:color w:val="2F5496" w:themeColor="accent1" w:themeShade="BF"/>
                <w:sz w:val="24"/>
                <w:szCs w:val="24"/>
              </w:rPr>
              <w:t>22.3.1.4. Ziedojumi un dāvinājumi</w:t>
            </w:r>
          </w:p>
          <w:p w14:paraId="78B39260"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Grāmatvedības uzskaites principi</w:t>
            </w:r>
          </w:p>
          <w:p w14:paraId="1C03594C"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 989.   </w:t>
            </w:r>
            <w:r w:rsidRPr="006D25F2">
              <w:rPr>
                <w:rFonts w:ascii="Times New Roman" w:hAnsi="Times New Roman" w:cs="Times New Roman"/>
                <w:iCs/>
                <w:sz w:val="24"/>
                <w:szCs w:val="24"/>
              </w:rPr>
              <w:t>Dāvinājumi un ziedojumi ir brīvprātīga aktīvu, tai skaitā naudas vai citu monetāro aktīvu, preču un pakalpojumu natūrā, nodošana budžeta iestādei ar vai bez izlietošanas noteikumiem.</w:t>
            </w:r>
          </w:p>
          <w:p w14:paraId="47858C27"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990.   </w:t>
            </w:r>
            <w:r w:rsidRPr="006D25F2">
              <w:rPr>
                <w:rFonts w:ascii="Times New Roman" w:hAnsi="Times New Roman" w:cs="Times New Roman"/>
                <w:iCs/>
                <w:sz w:val="24"/>
                <w:szCs w:val="24"/>
              </w:rPr>
              <w:t>Aktīvus var dāvināt un ziedot gan juridiska, gan fiziska persona.</w:t>
            </w:r>
          </w:p>
          <w:p w14:paraId="695EA24F"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991.  </w:t>
            </w:r>
            <w:r w:rsidRPr="006D25F2">
              <w:rPr>
                <w:rFonts w:ascii="Times New Roman" w:hAnsi="Times New Roman" w:cs="Times New Roman"/>
                <w:iCs/>
                <w:sz w:val="24"/>
                <w:szCs w:val="24"/>
              </w:rPr>
              <w:t>Naudas vai citu monetāro aktīvu un preču natūrā dāvinājumu un ziedojumu gadījumā pagātnes notikums, kas rada kontroli pār nākotnes saimnieciskos labumus ietverošiem resursiem parasti ir dāvinājuma vai ziedojuma saņemšana.</w:t>
            </w:r>
          </w:p>
          <w:p w14:paraId="6E85B159"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992.   </w:t>
            </w:r>
            <w:r w:rsidRPr="006D25F2">
              <w:rPr>
                <w:rFonts w:ascii="Times New Roman" w:hAnsi="Times New Roman" w:cs="Times New Roman"/>
                <w:iCs/>
                <w:sz w:val="24"/>
                <w:szCs w:val="24"/>
              </w:rPr>
              <w:t>Preces natūrā ir materiāli aktīvi, kas budžeta iestādei bez atlīdzības nodoti darījumā bez atlīdzības, tomēr šādam pārvedumam var tikt piemēroti zināmi noteikumi. Ārējā palīdzība, ko sniedz daudzpusējas vai divpusējas attīstības organizācijas, bieži ietver preces natūrā.</w:t>
            </w:r>
          </w:p>
          <w:p w14:paraId="19F19ED1"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993.   </w:t>
            </w:r>
            <w:r w:rsidRPr="006D25F2">
              <w:rPr>
                <w:rFonts w:ascii="Times New Roman" w:hAnsi="Times New Roman" w:cs="Times New Roman"/>
                <w:iCs/>
                <w:sz w:val="24"/>
                <w:szCs w:val="24"/>
              </w:rPr>
              <w:t>Sākotnēji atzīstot, dāvinājumus un ziedojumus, tai skaitā preces natūrā, novērtē to patiesajā vērtībā iegūšanas datumā. Patieso vērtību nosaka, pamatojoties uz ar dāvinājuma un ziedojuma saņemšanu saistītiem dokumentiem vai veicot to novērtējumu. Aktīva novērtējumu veic budžeta iestādes vadītāja apstiprināta komisija un sagatavo ziedojuma/dāvinājuma novērtēšanas aktu , ja nepieciešams pieaicinot attiecīgās jomas speciālistu, kuram ir atzīta un atbilstoša kvalifikācija. Daudziem aktīviem patieso vērtību komisija var noteikt, pamatojoties uz tirgus cenām. Piemēram, automašīnām un tehnoloģiskām iekārtām.</w:t>
            </w:r>
          </w:p>
          <w:p w14:paraId="65667896" w14:textId="77777777" w:rsidR="006D25F2" w:rsidRDefault="0011348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994.    </w:t>
            </w:r>
            <w:r w:rsidR="006D25F2" w:rsidRPr="006D25F2">
              <w:rPr>
                <w:rFonts w:ascii="Times New Roman" w:hAnsi="Times New Roman" w:cs="Times New Roman"/>
                <w:iCs/>
                <w:sz w:val="24"/>
                <w:szCs w:val="24"/>
              </w:rPr>
              <w:t>Saņemtos dāvinājumus, ziedojumus uzskaita attiecīgajā aktīvu grupā, atzīstot pamatdarbības ieņēmumus (izņemot, ja atbilstoši līgumu nosacījumiem atzīstami nākamo periodu ieņēmumi) vērtībā, kādā novērtēti attiecīgie ziedojumi vai dāvinājumi.</w:t>
            </w:r>
            <w:r w:rsidR="006D25F2">
              <w:rPr>
                <w:rFonts w:ascii="Times New Roman" w:hAnsi="Times New Roman" w:cs="Times New Roman"/>
                <w:iCs/>
                <w:sz w:val="24"/>
                <w:szCs w:val="24"/>
              </w:rPr>
              <w:t xml:space="preserve"> </w:t>
            </w:r>
          </w:p>
          <w:p w14:paraId="272D0955" w14:textId="77777777" w:rsidR="00113485" w:rsidRDefault="00113485" w:rsidP="00CD363C">
            <w:pPr>
              <w:spacing w:after="0" w:line="240" w:lineRule="auto"/>
              <w:ind w:right="113"/>
              <w:jc w:val="both"/>
              <w:rPr>
                <w:rFonts w:ascii="Times New Roman" w:hAnsi="Times New Roman" w:cs="Times New Roman"/>
                <w:b/>
                <w:bCs/>
                <w:iCs/>
                <w:sz w:val="24"/>
                <w:szCs w:val="24"/>
              </w:rPr>
            </w:pPr>
            <w:r w:rsidRPr="00113485">
              <w:rPr>
                <w:rFonts w:ascii="Times New Roman" w:hAnsi="Times New Roman" w:cs="Times New Roman"/>
                <w:b/>
                <w:bCs/>
                <w:iCs/>
                <w:sz w:val="24"/>
                <w:szCs w:val="24"/>
              </w:rPr>
              <w:t>Grāmatojumi</w:t>
            </w:r>
          </w:p>
          <w:p w14:paraId="05CBB881" w14:textId="77777777" w:rsidR="00113485" w:rsidRDefault="0011348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995.   </w:t>
            </w:r>
            <w:r w:rsidRPr="00113485">
              <w:rPr>
                <w:rFonts w:ascii="Times New Roman" w:hAnsi="Times New Roman" w:cs="Times New Roman"/>
                <w:iCs/>
                <w:sz w:val="24"/>
                <w:szCs w:val="24"/>
              </w:rPr>
              <w:t>Naudas līdzekļu veidā saņemtu ziedojumu vai dāvinājumu bez nosacījuma par to izlietošanu konkrētiem mērķiem un atmaksas nosacījuma saņemšanas dienā saskaņā ar kredītiestādes konta izrakstu atzīst ieņēmumos un veic grāmatojumu:</w:t>
            </w:r>
          </w:p>
          <w:p w14:paraId="7371F04C" w14:textId="77777777" w:rsidR="00113485" w:rsidRPr="00113485" w:rsidRDefault="00113485" w:rsidP="00CD363C">
            <w:pPr>
              <w:spacing w:after="0" w:line="240" w:lineRule="auto"/>
              <w:ind w:right="113"/>
              <w:jc w:val="both"/>
              <w:rPr>
                <w:rFonts w:ascii="Times New Roman" w:hAnsi="Times New Roman" w:cs="Times New Roman"/>
                <w:b/>
                <w:bCs/>
                <w:iCs/>
                <w:sz w:val="24"/>
                <w:szCs w:val="24"/>
              </w:rPr>
            </w:pPr>
            <w:r w:rsidRPr="00113485">
              <w:rPr>
                <w:rFonts w:ascii="Times New Roman" w:hAnsi="Times New Roman" w:cs="Times New Roman"/>
                <w:b/>
                <w:bCs/>
                <w:iCs/>
                <w:sz w:val="24"/>
                <w:szCs w:val="24"/>
              </w:rPr>
              <w:t xml:space="preserve">    D    2623  Ziedojumu dāvinājumu  līdzekļi</w:t>
            </w:r>
          </w:p>
          <w:p w14:paraId="751C7FBA" w14:textId="77777777" w:rsidR="00113485" w:rsidRDefault="00113485" w:rsidP="00CD363C">
            <w:pPr>
              <w:spacing w:after="0" w:line="240" w:lineRule="auto"/>
              <w:ind w:right="113"/>
              <w:jc w:val="both"/>
              <w:rPr>
                <w:rFonts w:ascii="Times New Roman" w:hAnsi="Times New Roman" w:cs="Times New Roman"/>
                <w:b/>
                <w:bCs/>
                <w:iCs/>
                <w:sz w:val="24"/>
                <w:szCs w:val="24"/>
              </w:rPr>
            </w:pPr>
            <w:r w:rsidRPr="00113485">
              <w:rPr>
                <w:rFonts w:ascii="Times New Roman" w:hAnsi="Times New Roman" w:cs="Times New Roman"/>
                <w:b/>
                <w:bCs/>
                <w:iCs/>
                <w:sz w:val="24"/>
                <w:szCs w:val="24"/>
              </w:rPr>
              <w:t xml:space="preserve">    K    6000   Pamatdarbības ieņēmumi</w:t>
            </w:r>
          </w:p>
          <w:p w14:paraId="615D06F8" w14:textId="77777777" w:rsidR="00113485" w:rsidRPr="00D45915" w:rsidRDefault="00D4591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996.   </w:t>
            </w:r>
            <w:r w:rsidRPr="00D45915">
              <w:rPr>
                <w:rFonts w:ascii="Times New Roman" w:hAnsi="Times New Roman" w:cs="Times New Roman"/>
                <w:iCs/>
                <w:sz w:val="24"/>
                <w:szCs w:val="24"/>
              </w:rPr>
              <w:t>Ziedojumus vai dāvinājumus natūrā – ilgtermiņa ieguldījumus vai krājumus, kas saņemti bez nosacījuma par to izlietošanu konkrētiem mērķiem, sākotnēji novērtē budžeta iestādes vadītāja apstiprināta komisija. Budžeta iestāde atzīst aktīvu un ieņēmumus atbilstoši komisijas novērtēšanas aktā apstiprinātai ziedojuma vai dāvinājuma vērtībai un veic sekojošu grāmatojumu:</w:t>
            </w:r>
          </w:p>
          <w:p w14:paraId="48E1306F" w14:textId="77777777" w:rsidR="00113485" w:rsidRPr="00D45915" w:rsidRDefault="00D45915" w:rsidP="00CD363C">
            <w:pPr>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D45915">
              <w:rPr>
                <w:rFonts w:ascii="Times New Roman" w:hAnsi="Times New Roman" w:cs="Times New Roman"/>
                <w:b/>
                <w:bCs/>
                <w:iCs/>
                <w:sz w:val="24"/>
                <w:szCs w:val="24"/>
              </w:rPr>
              <w:t>D    1000   Ilgtermiņa ieguldījumi</w:t>
            </w:r>
          </w:p>
          <w:p w14:paraId="020BF216"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D    2100   Krājumi</w:t>
            </w:r>
          </w:p>
          <w:p w14:paraId="1F52EEB7"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K    6000   Pamatdarbības ieņēmumi</w:t>
            </w:r>
          </w:p>
          <w:p w14:paraId="4B9CA937" w14:textId="77777777" w:rsidR="00D45915" w:rsidRDefault="00D4591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997.   </w:t>
            </w:r>
            <w:r w:rsidRPr="00D45915">
              <w:rPr>
                <w:rFonts w:ascii="Times New Roman" w:hAnsi="Times New Roman" w:cs="Times New Roman"/>
                <w:iCs/>
                <w:sz w:val="24"/>
                <w:szCs w:val="24"/>
              </w:rPr>
              <w:t>Gadījumos, ja ziedojums vai dāvinājums ir saņemts ar nosacījumu to izmantot konkrētam mērķim vai nodošanai tālāk citām budžeta iestādēm (piemēram, ministrija saņem dāvinājumu, kuru paredzēts nodot ministrijas padotības iestādēm), ziedojuma vai dāvinājuma saņemšanas dienā atzīst saistības attiecībā uz mērķa (nosacījuma) izpildi</w:t>
            </w:r>
            <w:r>
              <w:rPr>
                <w:rFonts w:ascii="Times New Roman" w:hAnsi="Times New Roman" w:cs="Times New Roman"/>
                <w:iCs/>
                <w:sz w:val="24"/>
                <w:szCs w:val="24"/>
              </w:rPr>
              <w:t>, grāmato:</w:t>
            </w:r>
          </w:p>
          <w:p w14:paraId="54147F71"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D    2623   Ziedojumu un dāvinājumu līdzekļi</w:t>
            </w:r>
          </w:p>
          <w:p w14:paraId="3169F170"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K    5914   Nākamo periodu ieņēmumi par saņemtajiem ziedojumiem dāvinājumiem</w:t>
            </w:r>
          </w:p>
          <w:p w14:paraId="486011EE" w14:textId="77777777" w:rsidR="00D45915" w:rsidRDefault="00D4591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998.   </w:t>
            </w:r>
            <w:r w:rsidRPr="00D45915">
              <w:rPr>
                <w:rFonts w:ascii="Times New Roman" w:hAnsi="Times New Roman" w:cs="Times New Roman"/>
                <w:iCs/>
                <w:sz w:val="24"/>
                <w:szCs w:val="24"/>
              </w:rPr>
              <w:t>Pēc minētā nosacījuma izpildes iestāde atzīst ieņēmumus no saņemtā ziedojuma un samazina saistības</w:t>
            </w:r>
            <w:r>
              <w:rPr>
                <w:rFonts w:ascii="Times New Roman" w:hAnsi="Times New Roman" w:cs="Times New Roman"/>
                <w:iCs/>
                <w:sz w:val="24"/>
                <w:szCs w:val="24"/>
              </w:rPr>
              <w:t>, grāmato</w:t>
            </w:r>
            <w:r w:rsidRPr="00D45915">
              <w:rPr>
                <w:rFonts w:ascii="Times New Roman" w:hAnsi="Times New Roman" w:cs="Times New Roman"/>
                <w:iCs/>
                <w:sz w:val="24"/>
                <w:szCs w:val="24"/>
              </w:rPr>
              <w:t>:</w:t>
            </w:r>
          </w:p>
          <w:p w14:paraId="289CB2CD"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D    5914  Nākamo periodu ieņēmumi par saņemtajiem ziedojumiem dāvinājumiem </w:t>
            </w:r>
          </w:p>
          <w:p w14:paraId="1E84260F" w14:textId="77777777" w:rsid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K    6000   Pamatdarbības ieņēmumi</w:t>
            </w:r>
          </w:p>
          <w:p w14:paraId="4EB4E125" w14:textId="77777777" w:rsidR="00D45915" w:rsidRDefault="0028541C" w:rsidP="00CD363C">
            <w:pPr>
              <w:spacing w:after="0" w:line="240" w:lineRule="auto"/>
              <w:ind w:right="113"/>
              <w:jc w:val="both"/>
              <w:rPr>
                <w:rFonts w:ascii="Times New Roman" w:hAnsi="Times New Roman" w:cs="Times New Roman"/>
                <w:b/>
                <w:bCs/>
                <w:iCs/>
                <w:sz w:val="24"/>
                <w:szCs w:val="24"/>
              </w:rPr>
            </w:pPr>
            <w:r w:rsidRPr="0028541C">
              <w:rPr>
                <w:rFonts w:ascii="Times New Roman" w:hAnsi="Times New Roman" w:cs="Times New Roman"/>
                <w:b/>
                <w:bCs/>
                <w:iCs/>
                <w:sz w:val="24"/>
                <w:szCs w:val="24"/>
              </w:rPr>
              <w:t>Piemēri</w:t>
            </w:r>
          </w:p>
          <w:p w14:paraId="0C2E1E2A" w14:textId="77777777" w:rsidR="0028541C" w:rsidRDefault="0028541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999.   </w:t>
            </w:r>
            <w:r w:rsidRPr="0028541C">
              <w:rPr>
                <w:rFonts w:ascii="Times New Roman" w:hAnsi="Times New Roman" w:cs="Times New Roman"/>
                <w:iCs/>
                <w:sz w:val="24"/>
                <w:szCs w:val="24"/>
              </w:rPr>
              <w:t>Valdība piešķir universitātei 2 ha zemes universitātes viesnīcas izbūvei. Līgums nosaka, ka minētā zeme ir izmantojama viesnīcas izbūvei, bet neietver nosacījumu atdot zemi gadījumā, ja viesnīca netiek uzbūvēta. Atbilstoši aktīva atzīšanas kritērijiem universitāte atzīst zemi kā aktīvu tajā periodā, kurā tā iegūst par to kontroli – īpašumtiesības nostiprinātas Zemesgrāmatā. Zemi atzīst saskaņā ar MK noteikumos par grāmatvedību noteiktām prasībām. Universitāte atzīst ieņēmumus tajā periodā, kurā zemi atzīst par aktīvu bilancē. Darījuma ietvaros nepastāv jebkādi ierobežojumi vai nosacījumi saistību atzīšanai.</w:t>
            </w:r>
          </w:p>
          <w:p w14:paraId="6047DCF0" w14:textId="77777777" w:rsidR="0028541C" w:rsidRPr="00503AAF" w:rsidRDefault="0028541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    1210   Zeme un būves</w:t>
            </w:r>
          </w:p>
          <w:p w14:paraId="3FF3DF6B" w14:textId="77777777" w:rsidR="0028541C" w:rsidRPr="00503AAF" w:rsidRDefault="0028541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    6000   Pamatdarbības ieņēmumi   </w:t>
            </w:r>
          </w:p>
          <w:p w14:paraId="09CEEBDC" w14:textId="77777777" w:rsidR="0028541C" w:rsidRPr="0028541C" w:rsidRDefault="0028541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1000.  </w:t>
            </w:r>
            <w:r w:rsidRPr="0028541C">
              <w:rPr>
                <w:rFonts w:ascii="Times New Roman" w:hAnsi="Times New Roman" w:cs="Times New Roman"/>
                <w:iCs/>
                <w:sz w:val="24"/>
                <w:szCs w:val="24"/>
              </w:rPr>
              <w:t>Ziedojumu saņemšana Lauku atbalsta dienestā no a/s “Latvijas valsts meži”</w:t>
            </w:r>
          </w:p>
          <w:p w14:paraId="623AFE2F" w14:textId="77777777" w:rsidR="0028541C" w:rsidRDefault="0028541C" w:rsidP="00CD363C">
            <w:pPr>
              <w:tabs>
                <w:tab w:val="left" w:pos="330"/>
              </w:tabs>
              <w:spacing w:after="0" w:line="240" w:lineRule="auto"/>
              <w:ind w:right="113"/>
              <w:jc w:val="both"/>
              <w:rPr>
                <w:rFonts w:ascii="Times New Roman" w:hAnsi="Times New Roman" w:cs="Times New Roman"/>
                <w:iCs/>
                <w:sz w:val="24"/>
                <w:szCs w:val="24"/>
              </w:rPr>
            </w:pPr>
            <w:r w:rsidRPr="0028541C">
              <w:rPr>
                <w:rFonts w:ascii="Times New Roman" w:hAnsi="Times New Roman" w:cs="Times New Roman"/>
                <w:iCs/>
                <w:sz w:val="24"/>
                <w:szCs w:val="24"/>
              </w:rPr>
              <w:t>2019.gadā saskaņā ar Zemkopības ministrijas rīkojumu a/s “Latvijas valsts meži” veic ziedojumu Lauku atbalsta dienestam (LAD) Āfrikas cūku mēra uzliesmojuma likvidēšanas un draudu novēršanas pasākumiem un Klasiskā cūku mēra ierobežošanas pasākumu īstenošanai. Rīkojums nosaka konkrētas atbalstāmās jomas, ziedojuma apmēru un tā izlietojuma atklātuma un kontroles kārtību. Ziedojums paredzēts Āfrikas cūku mēra un Klasiskā cūku mēra ierobežošanai un biodrošības pasākumu nodrošināšanai: (1) dzesētavu iegādei - pašvaldībās, un (2) izglītojošo un informatīvo pasākumu organizēšanai - medniekus pārstāvošām organizācijām vai to apvienībai. Rīkojums nosaka Lauku atbalsta dienestam slēgt līgumus ar pašvaldībām un mednieku pārstāvošas organizācijas vai to apvienības par attiecīgo pasākumu īstenošanu. Lauku atbalsta dienests veic atbalsta izmaksu saskaņā ar saņemto protokolu kā transferta pārskaitījumus - pašvaldībām ,,un kā dotāciju - biedrībām un nodibinājumiem. Rīkojums nosaka atskaitīšanās kārtību un kontroli par ziedojumu līdzekļu izlietojumu.</w:t>
            </w:r>
          </w:p>
          <w:p w14:paraId="0C3631CF" w14:textId="77777777" w:rsidR="00936F47" w:rsidRDefault="00936F47"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Grāmatojumi Lauku atbalsta Dienesta grāmatvedības uzskaitē:</w:t>
            </w:r>
          </w:p>
          <w:p w14:paraId="162198C9"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t>Lauku atbalsta dienests atver ziedojumu kontu Valsts kasē. Ziedojuma naudas līdzekļu saņemšanas dienā atzīst naudas līdzekļu un nākamo periodu ieņēmumus par saņemtajiem ziedojumiem un</w:t>
            </w:r>
            <w:r>
              <w:rPr>
                <w:spacing w:val="-5"/>
              </w:rPr>
              <w:t xml:space="preserve"> </w:t>
            </w:r>
            <w:r>
              <w:t>dāvinājumiem.</w:t>
            </w:r>
          </w:p>
          <w:p w14:paraId="21EF0E8B" w14:textId="77777777" w:rsidR="00936F47" w:rsidRDefault="00936F47" w:rsidP="00CD363C">
            <w:pPr>
              <w:spacing w:after="0" w:line="240" w:lineRule="auto"/>
              <w:ind w:left="118" w:right="113"/>
              <w:jc w:val="both"/>
              <w:rPr>
                <w:i/>
              </w:rPr>
            </w:pPr>
            <w:r>
              <w:rPr>
                <w:i/>
              </w:rPr>
              <w:t>Grāmatojums – ziedojuma naudas līdzekļu saņemšana</w:t>
            </w:r>
          </w:p>
          <w:p w14:paraId="6B0DB4D3" w14:textId="77777777" w:rsidR="00936F47" w:rsidRPr="00503AAF" w:rsidRDefault="00503AAF"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2623</w:t>
            </w:r>
            <w:r w:rsidR="00936F47" w:rsidRPr="00503AAF">
              <w:rPr>
                <w:rFonts w:ascii="Times New Roman" w:hAnsi="Times New Roman" w:cs="Times New Roman"/>
                <w:i/>
                <w:sz w:val="24"/>
                <w:szCs w:val="24"/>
              </w:rPr>
              <w:tab/>
              <w:t>Ziedojumu un dāvinājumu līdzekļi</w:t>
            </w:r>
          </w:p>
          <w:p w14:paraId="07DEE3B0" w14:textId="77777777" w:rsidR="00936F47" w:rsidRPr="00503AAF" w:rsidRDefault="00503AAF"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5914</w:t>
            </w:r>
            <w:r w:rsidR="00936F47" w:rsidRPr="00503AAF">
              <w:rPr>
                <w:rFonts w:ascii="Times New Roman" w:hAnsi="Times New Roman" w:cs="Times New Roman"/>
                <w:i/>
                <w:sz w:val="24"/>
                <w:szCs w:val="24"/>
              </w:rPr>
              <w:tab/>
              <w:t>Nākamo periodu ieņēmumi par saņemtajiem ziedojumiem un dāvinājumiem</w:t>
            </w:r>
          </w:p>
          <w:p w14:paraId="0CD1931C"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p>
          <w:p w14:paraId="5F05472D"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Pamatojoties uz noslēgto līgumu, Lauku atbalsta dienests veic avansa transferta pārskaitījumu pašvaldībai vai dotācijas maksājumu (avansā) biedrībai vai nodibinājumam.</w:t>
            </w:r>
          </w:p>
          <w:p w14:paraId="6888776A"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avansa transferta pārskaitījuma veikšana pašvaldībai</w:t>
            </w:r>
          </w:p>
          <w:p w14:paraId="565A1731"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w:t>
            </w:r>
            <w:r w:rsidRPr="00503AAF">
              <w:rPr>
                <w:rFonts w:ascii="Times New Roman" w:hAnsi="Times New Roman" w:cs="Times New Roman"/>
                <w:i/>
                <w:sz w:val="24"/>
                <w:szCs w:val="24"/>
              </w:rPr>
              <w:tab/>
              <w:t>2432</w:t>
            </w:r>
            <w:r w:rsidRPr="00503AAF">
              <w:rPr>
                <w:rFonts w:ascii="Times New Roman" w:hAnsi="Times New Roman" w:cs="Times New Roman"/>
                <w:i/>
                <w:sz w:val="24"/>
                <w:szCs w:val="24"/>
              </w:rPr>
              <w:tab/>
              <w:t>Pārējie transferti</w:t>
            </w:r>
          </w:p>
          <w:p w14:paraId="59388C0A"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69614248"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dotācijas maksājums (avansā) biedrībai vai nodibinājumam</w:t>
            </w:r>
          </w:p>
          <w:p w14:paraId="5338BE83"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2420</w:t>
            </w:r>
            <w:r w:rsidRPr="00503AAF">
              <w:rPr>
                <w:rFonts w:ascii="Times New Roman" w:hAnsi="Times New Roman" w:cs="Times New Roman"/>
                <w:i/>
                <w:sz w:val="24"/>
                <w:szCs w:val="24"/>
              </w:rPr>
              <w:tab/>
              <w:t>Avansa maksājumi par pakalpojumiem un citi nākamo periodu izdevumi</w:t>
            </w:r>
          </w:p>
          <w:p w14:paraId="42F1992E"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498E61A3"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Atbalsta saņēmējs iesniedz Lauku atbalsta dienestam maksājuma dokumentus un atskaites par padarīto (piemēram, dzesētavu iegāde, izdevumi seku novēršanai u.tml.). Pēc dokumentu saņemšanas Lauku atbalsta dienests lemj par izmaksu kompensēšanu un apmēru. Lauku atbalsta dienests atzīst izdevumus par kompensējamo summu un dzēš iepriekš atzītos avansus.</w:t>
            </w:r>
          </w:p>
          <w:p w14:paraId="76448194"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izdevumu un saistību palielinājumu</w:t>
            </w:r>
          </w:p>
          <w:p w14:paraId="3D2C0307"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w:t>
            </w:r>
            <w:r w:rsidRPr="00503AAF">
              <w:rPr>
                <w:rFonts w:ascii="Times New Roman" w:hAnsi="Times New Roman" w:cs="Times New Roman"/>
                <w:i/>
                <w:sz w:val="24"/>
                <w:szCs w:val="24"/>
              </w:rPr>
              <w:tab/>
              <w:t>7000</w:t>
            </w:r>
            <w:r w:rsidRPr="00503AAF">
              <w:rPr>
                <w:rFonts w:ascii="Times New Roman" w:hAnsi="Times New Roman" w:cs="Times New Roman"/>
                <w:i/>
                <w:sz w:val="24"/>
                <w:szCs w:val="24"/>
              </w:rPr>
              <w:tab/>
              <w:t>Pamatdarbības izdevumi</w:t>
            </w:r>
          </w:p>
          <w:p w14:paraId="5C7CEB8C"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3F65490E"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saistību un iepriekš atzīto avansu samazinājumu</w:t>
            </w:r>
          </w:p>
          <w:p w14:paraId="2BB066D8"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29662E42"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2432</w:t>
            </w:r>
            <w:r w:rsidRPr="00503AAF">
              <w:rPr>
                <w:rFonts w:ascii="Times New Roman" w:hAnsi="Times New Roman" w:cs="Times New Roman"/>
                <w:i/>
                <w:sz w:val="24"/>
                <w:szCs w:val="24"/>
              </w:rPr>
              <w:tab/>
              <w:t>Pārējie transferti</w:t>
            </w:r>
          </w:p>
          <w:p w14:paraId="50095FE2"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ab/>
              <w:t>vai</w:t>
            </w:r>
            <w:r w:rsidRPr="00936F47">
              <w:rPr>
                <w:rFonts w:ascii="Times New Roman" w:hAnsi="Times New Roman" w:cs="Times New Roman"/>
                <w:iCs/>
                <w:sz w:val="24"/>
                <w:szCs w:val="24"/>
              </w:rPr>
              <w:tab/>
            </w:r>
          </w:p>
          <w:p w14:paraId="12B04D00"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936F47">
              <w:rPr>
                <w:rFonts w:ascii="Times New Roman" w:hAnsi="Times New Roman" w:cs="Times New Roman"/>
                <w:iCs/>
                <w:sz w:val="24"/>
                <w:szCs w:val="24"/>
              </w:rPr>
              <w:tab/>
            </w:r>
            <w:r>
              <w:rPr>
                <w:rFonts w:ascii="Times New Roman" w:hAnsi="Times New Roman" w:cs="Times New Roman"/>
                <w:iCs/>
                <w:sz w:val="24"/>
                <w:szCs w:val="24"/>
              </w:rPr>
              <w:t xml:space="preserve">      </w:t>
            </w:r>
            <w:r w:rsidRPr="00503AAF">
              <w:rPr>
                <w:rFonts w:ascii="Times New Roman" w:hAnsi="Times New Roman" w:cs="Times New Roman"/>
                <w:i/>
                <w:sz w:val="24"/>
                <w:szCs w:val="24"/>
              </w:rPr>
              <w:t>2420</w:t>
            </w:r>
            <w:r w:rsidRPr="00503AAF">
              <w:rPr>
                <w:rFonts w:ascii="Times New Roman" w:hAnsi="Times New Roman" w:cs="Times New Roman"/>
                <w:i/>
                <w:sz w:val="24"/>
                <w:szCs w:val="24"/>
              </w:rPr>
              <w:tab/>
              <w:t>Avansa maksājumi par pakalpojumiem un citi nākamo periodu izdevumi</w:t>
            </w:r>
          </w:p>
          <w:p w14:paraId="1086C20F"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Gadījumā, ja avansa summa ir bijusi mazāka par kompensējamo summu, tad Lauku atbalsta dienests atzīst izdevumus un saistības pret atbalsta saņēmēju un veic norēķinus ar atbalsta saņēmēju.</w:t>
            </w:r>
          </w:p>
          <w:p w14:paraId="1CCF70C0"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izdevumu un saistību palielinājumu</w:t>
            </w:r>
          </w:p>
          <w:p w14:paraId="5D252B2C"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7000</w:t>
            </w:r>
            <w:r w:rsidRPr="00503AAF">
              <w:rPr>
                <w:rFonts w:ascii="Times New Roman" w:hAnsi="Times New Roman" w:cs="Times New Roman"/>
                <w:i/>
                <w:sz w:val="24"/>
                <w:szCs w:val="24"/>
              </w:rPr>
              <w:tab/>
              <w:t>Pamatdarbības izdevumi</w:t>
            </w:r>
          </w:p>
          <w:p w14:paraId="75F62460"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7EDE7E91"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veic norēķinu ar atbalsta saņēmēju un samazina saistības</w:t>
            </w:r>
          </w:p>
          <w:p w14:paraId="38AA7F15"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7FDA0C96"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6B21CD0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Vienlaikus ar iepriekš 3. un 4. punktā minētajiem grāmatojumiem atzīst ieņēmumus no ziedojumiem (dāvinājumiem) un samazina nākamo periodu ieņēmumus.</w:t>
            </w:r>
          </w:p>
          <w:p w14:paraId="0AC36D2C"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Grāmatojums – atzīst ieņēmumus no ziedojuma (dāvinājuma) un samazina nākamo periodu ieņēmumus</w:t>
            </w:r>
          </w:p>
          <w:p w14:paraId="063FEC8E"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w:t>
            </w:r>
            <w:r w:rsidRPr="00503AAF">
              <w:rPr>
                <w:rFonts w:ascii="Times New Roman" w:hAnsi="Times New Roman" w:cs="Times New Roman"/>
                <w:i/>
                <w:sz w:val="24"/>
                <w:szCs w:val="24"/>
              </w:rPr>
              <w:tab/>
              <w:t>5914</w:t>
            </w:r>
            <w:r w:rsidRPr="00503AAF">
              <w:rPr>
                <w:rFonts w:ascii="Times New Roman" w:hAnsi="Times New Roman" w:cs="Times New Roman"/>
                <w:i/>
                <w:sz w:val="24"/>
                <w:szCs w:val="24"/>
              </w:rPr>
              <w:tab/>
              <w:t>Nākamo periodu ieņēmumi par saņemtajiem ziedojumiem un dāvinājumiem</w:t>
            </w:r>
          </w:p>
          <w:p w14:paraId="5D62C692"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6000</w:t>
            </w:r>
            <w:r w:rsidRPr="00503AAF">
              <w:rPr>
                <w:rFonts w:ascii="Times New Roman" w:hAnsi="Times New Roman" w:cs="Times New Roman"/>
                <w:i/>
                <w:sz w:val="24"/>
                <w:szCs w:val="24"/>
              </w:rPr>
              <w:tab/>
              <w:t>Pamatdarbības ieņēmumi</w:t>
            </w:r>
          </w:p>
          <w:p w14:paraId="3168B7B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Pretendentam atmaksājot piešķirto finansējumu Lauku atbalsta dienesta kontā, Lauku atbalsta dienests atzīst dāvinājumu un ziedojumu naudas līdzekļu palielinājumu un iepriekš uzskaitīto prasību samazinājumu.</w:t>
            </w:r>
          </w:p>
          <w:p w14:paraId="195CB7CE"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saņemot naudas līdzekļu atmaksu, atzīst prasību samazinājumu</w:t>
            </w:r>
          </w:p>
          <w:p w14:paraId="150428E3"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5BA15824"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2432</w:t>
            </w:r>
            <w:r w:rsidRPr="00503AAF">
              <w:rPr>
                <w:rFonts w:ascii="Times New Roman" w:hAnsi="Times New Roman" w:cs="Times New Roman"/>
                <w:i/>
                <w:sz w:val="24"/>
                <w:szCs w:val="24"/>
              </w:rPr>
              <w:tab/>
              <w:t>Pārējie transferti</w:t>
            </w:r>
          </w:p>
          <w:p w14:paraId="57BF4873"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ab/>
              <w:t>vai</w:t>
            </w:r>
            <w:r w:rsidRPr="00503AAF">
              <w:rPr>
                <w:rFonts w:ascii="Times New Roman" w:hAnsi="Times New Roman" w:cs="Times New Roman"/>
                <w:i/>
                <w:sz w:val="24"/>
                <w:szCs w:val="24"/>
              </w:rPr>
              <w:tab/>
            </w:r>
          </w:p>
          <w:p w14:paraId="604B48C7"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ab/>
              <w:t xml:space="preserve">       2420</w:t>
            </w:r>
            <w:r w:rsidRPr="00503AAF">
              <w:rPr>
                <w:rFonts w:ascii="Times New Roman" w:hAnsi="Times New Roman" w:cs="Times New Roman"/>
                <w:i/>
                <w:sz w:val="24"/>
                <w:szCs w:val="24"/>
              </w:rPr>
              <w:tab/>
              <w:t>Avansa maksājumi par pakalpojumiem un citi nākamo periodu izdevumi</w:t>
            </w:r>
          </w:p>
          <w:p w14:paraId="4333F4CD" w14:textId="77777777" w:rsidR="00936F47" w:rsidRPr="00936F47" w:rsidRDefault="00936F47" w:rsidP="00CD363C">
            <w:pPr>
              <w:tabs>
                <w:tab w:val="left" w:pos="330"/>
              </w:tabs>
              <w:spacing w:after="0" w:line="240" w:lineRule="auto"/>
              <w:ind w:right="113"/>
              <w:jc w:val="both"/>
              <w:rPr>
                <w:rFonts w:ascii="Times New Roman" w:hAnsi="Times New Roman" w:cs="Times New Roman"/>
                <w:b/>
                <w:bCs/>
                <w:iCs/>
                <w:sz w:val="24"/>
                <w:szCs w:val="24"/>
              </w:rPr>
            </w:pPr>
            <w:r w:rsidRPr="00936F47">
              <w:rPr>
                <w:rFonts w:ascii="Times New Roman" w:hAnsi="Times New Roman" w:cs="Times New Roman"/>
                <w:b/>
                <w:bCs/>
                <w:iCs/>
                <w:sz w:val="24"/>
                <w:szCs w:val="24"/>
              </w:rPr>
              <w:t>Grāmatojumi pašvaldības grāmatvedības uzskaitē:</w:t>
            </w:r>
          </w:p>
          <w:p w14:paraId="3B4335A3"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Transferta pārskaitījuma saņemšanas dienā pašvaldība atzīst naudas līdzekļu palielinājumu un avansā saņemto transfertu.</w:t>
            </w:r>
          </w:p>
          <w:p w14:paraId="1C6D8DE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avansā saņemto transfertu un naudas līdzekļus</w:t>
            </w:r>
          </w:p>
          <w:p w14:paraId="31E988AC"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2600</w:t>
            </w:r>
            <w:r w:rsidR="00936F47" w:rsidRPr="00503AAF">
              <w:rPr>
                <w:rFonts w:ascii="Times New Roman" w:hAnsi="Times New Roman" w:cs="Times New Roman"/>
                <w:i/>
                <w:sz w:val="24"/>
                <w:szCs w:val="24"/>
              </w:rPr>
              <w:tab/>
              <w:t>Naudas līdzekļi</w:t>
            </w:r>
          </w:p>
          <w:p w14:paraId="672CF956"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5932</w:t>
            </w:r>
            <w:r w:rsidR="00936F47" w:rsidRPr="00503AAF">
              <w:rPr>
                <w:rFonts w:ascii="Times New Roman" w:hAnsi="Times New Roman" w:cs="Times New Roman"/>
                <w:i/>
                <w:sz w:val="24"/>
                <w:szCs w:val="24"/>
              </w:rPr>
              <w:tab/>
              <w:t>Citi transferti</w:t>
            </w:r>
          </w:p>
          <w:p w14:paraId="436643B1"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Pašvaldība veic līgumā paredzēto preču iegādi un uzskaita iegādātos pamatlīdzekļus atbilstoši spēkā esošo normatīvo aktu prasībām.</w:t>
            </w:r>
          </w:p>
          <w:p w14:paraId="453FA2E9"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veic pamatlīdzekļu iegādi</w:t>
            </w:r>
          </w:p>
          <w:p w14:paraId="355994AB"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1230</w:t>
            </w:r>
            <w:r w:rsidR="00936F47" w:rsidRPr="00503AAF">
              <w:rPr>
                <w:rFonts w:ascii="Times New Roman" w:hAnsi="Times New Roman" w:cs="Times New Roman"/>
                <w:i/>
                <w:sz w:val="24"/>
                <w:szCs w:val="24"/>
              </w:rPr>
              <w:tab/>
              <w:t>Pārējie pamatlīdzekļi</w:t>
            </w:r>
          </w:p>
          <w:p w14:paraId="48A93DA9"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2600</w:t>
            </w:r>
            <w:r w:rsidR="00936F47" w:rsidRPr="00503AAF">
              <w:rPr>
                <w:rFonts w:ascii="Times New Roman" w:hAnsi="Times New Roman" w:cs="Times New Roman"/>
                <w:i/>
                <w:sz w:val="24"/>
                <w:szCs w:val="24"/>
              </w:rPr>
              <w:tab/>
              <w:t>Naudas līdzekļi</w:t>
            </w:r>
          </w:p>
          <w:p w14:paraId="1FAF588F"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p>
          <w:p w14:paraId="24E52976"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Pēc dzesētavas iegādes pašvaldība iesniedz iegādi apliecinošus dokumentus Lauku atbalsta dienestā. Saņemot apstiprinājumu no Lauku atbalsta dienesta par kompensējamo summu, atzīst ieņēmumus no transferta.</w:t>
            </w:r>
          </w:p>
          <w:p w14:paraId="06746099"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ieņēmumus no transferta tā apstiprinājuma saņemšanas brīdī</w:t>
            </w:r>
          </w:p>
          <w:p w14:paraId="39AA810F"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5932</w:t>
            </w:r>
            <w:r w:rsidR="00936F47" w:rsidRPr="00503AAF">
              <w:rPr>
                <w:rFonts w:ascii="Times New Roman" w:hAnsi="Times New Roman" w:cs="Times New Roman"/>
                <w:i/>
                <w:sz w:val="24"/>
                <w:szCs w:val="24"/>
              </w:rPr>
              <w:tab/>
              <w:t>Citi transferti</w:t>
            </w:r>
          </w:p>
          <w:p w14:paraId="5D25EE1F"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6000</w:t>
            </w:r>
            <w:r w:rsidR="00936F47" w:rsidRPr="00503AAF">
              <w:rPr>
                <w:rFonts w:ascii="Times New Roman" w:hAnsi="Times New Roman" w:cs="Times New Roman"/>
                <w:i/>
                <w:sz w:val="24"/>
                <w:szCs w:val="24"/>
              </w:rPr>
              <w:tab/>
              <w:t>Pamatdarbības ieņēmumi</w:t>
            </w:r>
          </w:p>
          <w:p w14:paraId="132CF4A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Gadījumos, ja pašvaldība nav izlietojusi piešķirto finansējumu (transfertu) pilnā apmērā un veic atmaksu Lauku atbalsta dienesta kontā, pašvaldība atzīst naudas līdzekļu un saistību samazinājumu.</w:t>
            </w:r>
          </w:p>
          <w:p w14:paraId="3EB278E5"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veicot naudas līdzekļu atmaksu, atzīst saistību samazinājumu</w:t>
            </w:r>
          </w:p>
          <w:p w14:paraId="5FD4B4F1"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5932</w:t>
            </w:r>
            <w:r w:rsidR="00936F47" w:rsidRPr="00503AAF">
              <w:rPr>
                <w:rFonts w:ascii="Times New Roman" w:hAnsi="Times New Roman" w:cs="Times New Roman"/>
                <w:i/>
                <w:sz w:val="24"/>
                <w:szCs w:val="24"/>
              </w:rPr>
              <w:tab/>
              <w:t>Citi transferti</w:t>
            </w:r>
          </w:p>
          <w:p w14:paraId="7E2E73E3"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2600</w:t>
            </w:r>
            <w:r w:rsidR="00936F47" w:rsidRPr="00503AAF">
              <w:rPr>
                <w:rFonts w:ascii="Times New Roman" w:hAnsi="Times New Roman" w:cs="Times New Roman"/>
                <w:i/>
                <w:sz w:val="24"/>
                <w:szCs w:val="24"/>
              </w:rPr>
              <w:tab/>
              <w:t>Naudas līdzekļi</w:t>
            </w:r>
          </w:p>
          <w:p w14:paraId="5720D2B6"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503AAF">
              <w:rPr>
                <w:rFonts w:ascii="Times New Roman" w:hAnsi="Times New Roman" w:cs="Times New Roman"/>
                <w:b/>
                <w:bCs/>
                <w:i/>
                <w:color w:val="2F5496" w:themeColor="accent1" w:themeShade="BF"/>
                <w:sz w:val="24"/>
                <w:szCs w:val="24"/>
              </w:rPr>
              <w:t>22.3.1.5.  Ārvalstu finanšu palīdzība (darījumu partneris – nerezidents)</w:t>
            </w:r>
          </w:p>
          <w:p w14:paraId="214064B7"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Grāmatvedības uzskaites principi</w:t>
            </w:r>
          </w:p>
          <w:p w14:paraId="3E6476BB" w14:textId="77777777" w:rsidR="00503AAF" w:rsidRP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1001.  </w:t>
            </w:r>
            <w:r w:rsidRPr="00503AAF">
              <w:rPr>
                <w:rFonts w:ascii="Times New Roman" w:hAnsi="Times New Roman" w:cs="Times New Roman"/>
                <w:iCs/>
                <w:sz w:val="24"/>
                <w:szCs w:val="24"/>
              </w:rPr>
              <w:t>Budžeta iestāde atzīst ieņēmumus no ārvalstu finanšu palīdzības, ja saņemamā summa atbilst aktīva definīcijai un aktīva atzīšanas kritērijiem, kā noteikts kopējos pārvedumu uzskaites pamatprincipos.</w:t>
            </w:r>
          </w:p>
          <w:p w14:paraId="2F2BAAE4" w14:textId="77777777" w:rsidR="00503AAF" w:rsidRP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1002. </w:t>
            </w:r>
            <w:r w:rsidRPr="00503AAF">
              <w:rPr>
                <w:rFonts w:ascii="Times New Roman" w:hAnsi="Times New Roman" w:cs="Times New Roman"/>
                <w:iCs/>
                <w:sz w:val="24"/>
                <w:szCs w:val="24"/>
              </w:rPr>
              <w:t>Saņemot aktīvu (ārvalstu finanšu palīdzību), budžeta iestāde atzīst saistības attiecībā uz saistošajā tiesību aktā (līgums, vienošanās u.c. dokuments) ietverto nosacījumu izpildi. Ieņēmumus no ārvalstu finanšu palīdzības atzīst atbilstoši tiesību aktos noteiktā nosacījuma izpildei.</w:t>
            </w:r>
          </w:p>
          <w:p w14:paraId="3947C731" w14:textId="77777777" w:rsidR="00503AAF" w:rsidRP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1003. </w:t>
            </w:r>
            <w:r w:rsidRPr="00503AAF">
              <w:rPr>
                <w:rFonts w:ascii="Times New Roman" w:hAnsi="Times New Roman" w:cs="Times New Roman"/>
                <w:iCs/>
                <w:sz w:val="24"/>
                <w:szCs w:val="24"/>
              </w:rPr>
              <w:t>Aktīvu uzrāda budžeta iestādes bilancē no dienas, kad saņemamais pārvedums atbilst aktīva atzīšanas kritērijiem, vai no dienas, kad nauda saņemta budžeta iestādes kontā Valsts kasē vai kredītiestādē.</w:t>
            </w:r>
          </w:p>
          <w:p w14:paraId="11B17EE4" w14:textId="77777777" w:rsidR="000A3B6C"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1004. </w:t>
            </w:r>
            <w:r w:rsidRPr="00503AAF">
              <w:rPr>
                <w:rFonts w:ascii="Times New Roman" w:hAnsi="Times New Roman" w:cs="Times New Roman"/>
                <w:iCs/>
                <w:sz w:val="24"/>
                <w:szCs w:val="24"/>
              </w:rPr>
              <w:t>Saistības par saņemto ārvalstu finanšu palīdzību samazina, pakāpeniski nosacījumu izpildes laikā, pamatojoties uz izpildi apliecinošiem dokumentiem.</w:t>
            </w:r>
          </w:p>
          <w:p w14:paraId="615DAD5E" w14:textId="77777777" w:rsid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Grāmatojumi</w:t>
            </w:r>
          </w:p>
          <w:p w14:paraId="61D0E65C" w14:textId="77777777" w:rsid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1005. </w:t>
            </w:r>
            <w:r w:rsidRPr="00503AAF">
              <w:rPr>
                <w:rFonts w:ascii="Times New Roman" w:hAnsi="Times New Roman" w:cs="Times New Roman"/>
                <w:iCs/>
                <w:sz w:val="24"/>
                <w:szCs w:val="24"/>
              </w:rPr>
              <w:t>Saņemot naudas līdzekļus budžeta iestādes kontā Valsts kasē vai kredītiestādē, finansējuma saņemšanas dienā atzīst naudas līdzekļu palielinājumu un saistības, attiecīgi nodrošinot detalizācijas pakāpi analītiskai ārvalstu finanšu palīdzības uzskaitei. Naudas līdzekļu saņemšanas dienā veic šādu grāmatojumu:</w:t>
            </w:r>
          </w:p>
          <w:p w14:paraId="262230E3"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D    2620   Norēķinu konti Valsts kasē vai kredītiestādēs</w:t>
            </w:r>
          </w:p>
          <w:p w14:paraId="08BA49A9"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K    5917   Īstermiņa saistības par saņemto ārvalstu finanšu palīdzību</w:t>
            </w:r>
          </w:p>
          <w:p w14:paraId="6DA8A006" w14:textId="77777777" w:rsid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K    5157   Ilgtermiņa saistības par saņemto ārvalstu finanšu palīdzību</w:t>
            </w:r>
          </w:p>
          <w:p w14:paraId="790FF8E4" w14:textId="77777777" w:rsid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1006. </w:t>
            </w:r>
            <w:r w:rsidRPr="00503AAF">
              <w:rPr>
                <w:rFonts w:ascii="Times New Roman" w:hAnsi="Times New Roman" w:cs="Times New Roman"/>
                <w:iCs/>
                <w:sz w:val="24"/>
                <w:szCs w:val="24"/>
              </w:rPr>
              <w:t>Saņemot apstiprinājumu par atzītajiem izdevumiem no saņemtās ārvalstu finanšu palīdzības, atzīst ieņēmumus un attiecīgi samazina iepriekš uzskaitītās saistības. Pamatojoties uz attaisnojuma dokumentu, veic grāmatojumu par attiecīgo summu:</w:t>
            </w:r>
          </w:p>
          <w:p w14:paraId="74CC46A0"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D    5917   Īstermiņa saistības par saņemto ārvalstu finanšu palīdzību</w:t>
            </w:r>
          </w:p>
          <w:p w14:paraId="5BBE5572"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K    6000   Pamatdarbības ieņēmumi</w:t>
            </w:r>
          </w:p>
          <w:p w14:paraId="2FE0D0DB" w14:textId="77777777" w:rsidR="00503AAF"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1007.  </w:t>
            </w:r>
            <w:r w:rsidRPr="004E199D">
              <w:rPr>
                <w:rFonts w:ascii="Times New Roman" w:hAnsi="Times New Roman" w:cs="Times New Roman"/>
                <w:iCs/>
                <w:sz w:val="24"/>
                <w:szCs w:val="24"/>
              </w:rPr>
              <w:t>Gadījumos, ja pēc ieņēmumu atzīšanas saņemtās ārvalstu finanšu palīdzības ietvaros konstatēti nepamatoti veikti izdevumi, kas saskaņā ar ārvalstu finanšu palīdzības piešķīrējas institūcijas lēmumu vai citu tiesību vai normatīvo aktu nosacījumiem ir jāatmaksā, atzīst saistības konstatēto nepamatoti veikto izdevumu summas apmērā no dienas, kad ir radušās saistības atdot iepriekš minēto naudas līdzekļu summu. Vienlaikus budžeta iestāde izvērtē iepriekšējos periodos saņemto ārvalstu finanšu palīdzību un izvērtē uzkrājumu veidošanas nepieciešamību gadījumiem, kad konstatēti nepamatoti veikti izdevumi. Budžeta iestāde nodrošina uzkrājumu veidošanu atbilstoši MK noteikumos par grāmatvedību:</w:t>
            </w:r>
          </w:p>
          <w:p w14:paraId="5EB91E40"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E199D">
              <w:rPr>
                <w:rFonts w:ascii="Times New Roman" w:hAnsi="Times New Roman" w:cs="Times New Roman"/>
                <w:b/>
                <w:bCs/>
                <w:iCs/>
                <w:sz w:val="24"/>
                <w:szCs w:val="24"/>
              </w:rPr>
              <w:t>D    7000   Pamatdarbības izdevumi</w:t>
            </w:r>
          </w:p>
          <w:p w14:paraId="7ECA5C08"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 xml:space="preserve">    K    5000   Saistības*</w:t>
            </w:r>
          </w:p>
          <w:p w14:paraId="3439967E" w14:textId="77777777" w:rsidR="004E199D" w:rsidRDefault="004E199D" w:rsidP="00CD363C">
            <w:pPr>
              <w:tabs>
                <w:tab w:val="left" w:pos="330"/>
              </w:tabs>
              <w:spacing w:after="0" w:line="240" w:lineRule="auto"/>
              <w:ind w:right="113"/>
              <w:jc w:val="both"/>
              <w:rPr>
                <w:rFonts w:ascii="Times New Roman" w:hAnsi="Times New Roman" w:cs="Times New Roman"/>
                <w:i/>
                <w:sz w:val="24"/>
                <w:szCs w:val="24"/>
              </w:rPr>
            </w:pPr>
            <w:r w:rsidRPr="004E199D">
              <w:rPr>
                <w:rFonts w:ascii="Times New Roman" w:hAnsi="Times New Roman" w:cs="Times New Roman"/>
                <w:i/>
                <w:sz w:val="24"/>
                <w:szCs w:val="24"/>
              </w:rPr>
              <w:t>*izvērtē, vai nav nepieciešams veidot uzkrājumus</w:t>
            </w:r>
          </w:p>
          <w:p w14:paraId="204F35B8" w14:textId="77777777" w:rsidR="004E199D"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1008. </w:t>
            </w:r>
            <w:r w:rsidRPr="004E199D">
              <w:rPr>
                <w:rFonts w:ascii="Times New Roman" w:hAnsi="Times New Roman" w:cs="Times New Roman"/>
                <w:iCs/>
                <w:sz w:val="24"/>
                <w:szCs w:val="24"/>
              </w:rPr>
              <w:t>Veicot nepamatoti veikto izdevumu atmaksu, maksājuma dienā atzīst aktīvu (naudas līdzekļu) un saistību samazinājumu:</w:t>
            </w:r>
          </w:p>
          <w:p w14:paraId="19CC946F"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E199D">
              <w:rPr>
                <w:rFonts w:ascii="Times New Roman" w:hAnsi="Times New Roman" w:cs="Times New Roman"/>
                <w:b/>
                <w:bCs/>
                <w:iCs/>
                <w:sz w:val="24"/>
                <w:szCs w:val="24"/>
              </w:rPr>
              <w:t>D    5000   Saistības</w:t>
            </w:r>
          </w:p>
          <w:p w14:paraId="58672FD4" w14:textId="77777777" w:rsid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 xml:space="preserve">    K    2620   Norēķinu konti Valsts kasē vai kredītiestādēs</w:t>
            </w:r>
          </w:p>
          <w:p w14:paraId="09A2B920"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Piemēri</w:t>
            </w:r>
          </w:p>
          <w:p w14:paraId="42A4C3B0"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1008.  </w:t>
            </w:r>
            <w:r w:rsidRPr="004E199D">
              <w:rPr>
                <w:rFonts w:ascii="Times New Roman" w:hAnsi="Times New Roman" w:cs="Times New Roman"/>
                <w:iCs/>
                <w:sz w:val="24"/>
                <w:szCs w:val="24"/>
              </w:rPr>
              <w:t>Latvijas Republika valdība noslēdz ārvalstu finanšu palīdzības līgumu ar citu valsti, kas piešķir Latvijas Republikas valdībai ārvalstu finanšu palīdzības finansējumu 2 miljonu EUR apmērā veselības aprūpes sistēmas pilnveidei nākamo divu kalendāro gadu laikā. Latvijas Republika novērtē ārvalstu finanšu palīdzību 2 miljonu EUR apmērā. Līgumā nav paredzēti nosacījumi par finansējuma atmaksu. Dienā, kad līgums kļūst saistošs abām pusēm un minētie resursi atbilst aktīva definīcijai un tā atzīšanas kritērijiem, Latvijas Republika atzīst aktīvu 2 miljonu EUR apmērā un ieņēmumu palielinājumu. Izvērtējot līguma nosacījumus, aktīvu atzīst kā naudas līdzekļus finansējuma saņemšanas dienā vai prasību dienā, kad līgums kļūst saistošs abām pusēm, bet naudas līdzekļi vēl nav saņemti.</w:t>
            </w:r>
          </w:p>
          <w:p w14:paraId="45F40038"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sidRPr="004E199D">
              <w:rPr>
                <w:rFonts w:ascii="Times New Roman" w:hAnsi="Times New Roman" w:cs="Times New Roman"/>
                <w:iCs/>
                <w:sz w:val="24"/>
                <w:szCs w:val="24"/>
              </w:rPr>
              <w:t>Grāmatojums – atzīst naudas līdzekļu palielinājumu un ieņēmumus finansējuma saņemšanas dienā, ja līgums neietver nekādu nosacījumu:</w:t>
            </w:r>
          </w:p>
          <w:p w14:paraId="3CB9308C"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27883A49"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D</w:t>
            </w:r>
            <w:r w:rsidRPr="004E199D">
              <w:rPr>
                <w:rFonts w:ascii="Times New Roman" w:hAnsi="Times New Roman" w:cs="Times New Roman"/>
                <w:i/>
                <w:sz w:val="24"/>
                <w:szCs w:val="24"/>
              </w:rPr>
              <w:tab/>
              <w:t>2620</w:t>
            </w:r>
            <w:r w:rsidRPr="004E199D">
              <w:rPr>
                <w:rFonts w:ascii="Times New Roman" w:hAnsi="Times New Roman" w:cs="Times New Roman"/>
                <w:i/>
                <w:sz w:val="24"/>
                <w:szCs w:val="24"/>
              </w:rPr>
              <w:tab/>
              <w:t>Norēķinu konti Valsts kasē vai kredītiestādēs vai citās institūcijās</w:t>
            </w:r>
          </w:p>
          <w:p w14:paraId="3030CAAD"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K</w:t>
            </w:r>
            <w:r w:rsidRPr="004E199D">
              <w:rPr>
                <w:rFonts w:ascii="Times New Roman" w:hAnsi="Times New Roman" w:cs="Times New Roman"/>
                <w:i/>
                <w:sz w:val="24"/>
                <w:szCs w:val="24"/>
              </w:rPr>
              <w:tab/>
              <w:t>6000</w:t>
            </w:r>
            <w:r w:rsidRPr="004E199D">
              <w:rPr>
                <w:rFonts w:ascii="Times New Roman" w:hAnsi="Times New Roman" w:cs="Times New Roman"/>
                <w:i/>
                <w:sz w:val="24"/>
                <w:szCs w:val="24"/>
              </w:rPr>
              <w:tab/>
              <w:t>Pamatdarbības ieņēmumi</w:t>
            </w:r>
          </w:p>
          <w:p w14:paraId="5ADC259D"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sidRPr="004E199D">
              <w:rPr>
                <w:rFonts w:ascii="Times New Roman" w:hAnsi="Times New Roman" w:cs="Times New Roman"/>
                <w:iCs/>
                <w:sz w:val="24"/>
                <w:szCs w:val="24"/>
              </w:rPr>
              <w:t>Grāmatojums – atzīst naudas līdzekļu palielinājumu un saistības finansējuma saņemšanas dienā, ja līgums ietver nosacījumu attiecībā uz saņemto finansējumu, piemēram, izpildes nosacījums veikt 200 000 pieslēgumus pie ūdensvada. Pretējā gadījumā finansējums atmaksājams finansējuma devējam:</w:t>
            </w:r>
          </w:p>
          <w:p w14:paraId="4A9BDEE9"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58C3798B"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D</w:t>
            </w:r>
            <w:r w:rsidRPr="004E199D">
              <w:rPr>
                <w:rFonts w:ascii="Times New Roman" w:hAnsi="Times New Roman" w:cs="Times New Roman"/>
                <w:i/>
                <w:sz w:val="24"/>
                <w:szCs w:val="24"/>
              </w:rPr>
              <w:tab/>
              <w:t>2620</w:t>
            </w:r>
            <w:r w:rsidRPr="004E199D">
              <w:rPr>
                <w:rFonts w:ascii="Times New Roman" w:hAnsi="Times New Roman" w:cs="Times New Roman"/>
                <w:i/>
                <w:sz w:val="24"/>
                <w:szCs w:val="24"/>
              </w:rPr>
              <w:tab/>
              <w:t>Norēķinu konti Valsts kasē vai kredītiestādēs vai citās institūcijās</w:t>
            </w:r>
          </w:p>
          <w:p w14:paraId="5E1AAEB9"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K</w:t>
            </w:r>
            <w:r w:rsidRPr="004E199D">
              <w:rPr>
                <w:rFonts w:ascii="Times New Roman" w:hAnsi="Times New Roman" w:cs="Times New Roman"/>
                <w:i/>
                <w:sz w:val="24"/>
                <w:szCs w:val="24"/>
              </w:rPr>
              <w:tab/>
              <w:t>5157</w:t>
            </w:r>
            <w:r w:rsidRPr="004E199D">
              <w:rPr>
                <w:rFonts w:ascii="Times New Roman" w:hAnsi="Times New Roman" w:cs="Times New Roman"/>
                <w:i/>
                <w:sz w:val="24"/>
                <w:szCs w:val="24"/>
              </w:rPr>
              <w:tab/>
              <w:t>Ilgtermiņa saistības par saņemto ārvalstu finanšu palīdzību</w:t>
            </w:r>
          </w:p>
          <w:p w14:paraId="40ADD842"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684E28C7"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sidRPr="004E199D">
              <w:rPr>
                <w:rFonts w:ascii="Times New Roman" w:hAnsi="Times New Roman" w:cs="Times New Roman"/>
                <w:iCs/>
                <w:sz w:val="24"/>
                <w:szCs w:val="24"/>
              </w:rPr>
              <w:t>Grāmatojums – pamatojoties uz noslēgto līgumu, atzīst prasību un ieņēmumus dienā, kad līgums kļūst saistošs abām pusēm, bet naudas līdzekļi vēl nav saņemti budžeta iestādes kontā</w:t>
            </w:r>
          </w:p>
          <w:p w14:paraId="197F3B1A"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410B21FF"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D</w:t>
            </w:r>
            <w:r w:rsidRPr="004E199D">
              <w:rPr>
                <w:rFonts w:ascii="Times New Roman" w:hAnsi="Times New Roman" w:cs="Times New Roman"/>
                <w:i/>
                <w:sz w:val="24"/>
                <w:szCs w:val="24"/>
              </w:rPr>
              <w:tab/>
              <w:t>2320</w:t>
            </w:r>
            <w:r w:rsidRPr="004E199D">
              <w:rPr>
                <w:rFonts w:ascii="Times New Roman" w:hAnsi="Times New Roman" w:cs="Times New Roman"/>
                <w:i/>
                <w:sz w:val="24"/>
                <w:szCs w:val="24"/>
              </w:rPr>
              <w:tab/>
              <w:t>Prasības par ārvalstu finanšu palīdzības un Eiropas Savienības politiku instrumentu finansētajiem projektiem (pasākumiem)</w:t>
            </w:r>
          </w:p>
          <w:p w14:paraId="63240D66" w14:textId="77777777" w:rsid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K</w:t>
            </w:r>
            <w:r w:rsidRPr="004E199D">
              <w:rPr>
                <w:rFonts w:ascii="Times New Roman" w:hAnsi="Times New Roman" w:cs="Times New Roman"/>
                <w:i/>
                <w:sz w:val="24"/>
                <w:szCs w:val="24"/>
              </w:rPr>
              <w:tab/>
              <w:t>6000</w:t>
            </w:r>
            <w:r w:rsidRPr="004E199D">
              <w:rPr>
                <w:rFonts w:ascii="Times New Roman" w:hAnsi="Times New Roman" w:cs="Times New Roman"/>
                <w:i/>
                <w:sz w:val="24"/>
                <w:szCs w:val="24"/>
              </w:rPr>
              <w:tab/>
              <w:t>Pamatdarbības ieņēmumi</w:t>
            </w:r>
          </w:p>
          <w:p w14:paraId="7922F31E"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4E199D">
              <w:rPr>
                <w:rFonts w:ascii="Times New Roman" w:hAnsi="Times New Roman" w:cs="Times New Roman"/>
                <w:b/>
                <w:bCs/>
                <w:i/>
                <w:color w:val="2F5496" w:themeColor="accent1" w:themeShade="BF"/>
                <w:sz w:val="24"/>
                <w:szCs w:val="24"/>
              </w:rPr>
              <w:t>22.3.1.6. Ārvalstu finanšu palīdzība Eiropas Savienības politiku instrumentiem un pārējā ārvalstu finanšu palīdzība (sertifikācijas iestādes līmenī)</w:t>
            </w:r>
          </w:p>
          <w:p w14:paraId="4CD5C9C6"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Grāmatvedības uzskaites principi</w:t>
            </w:r>
          </w:p>
          <w:p w14:paraId="40AA7EC8"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1009.  </w:t>
            </w:r>
            <w:r w:rsidRPr="00A6103C">
              <w:rPr>
                <w:rFonts w:ascii="Times New Roman" w:hAnsi="Times New Roman" w:cs="Times New Roman"/>
                <w:iCs/>
                <w:sz w:val="24"/>
                <w:szCs w:val="24"/>
              </w:rPr>
              <w:t>Budžeta iestāde atzīst ieņēmumus no ārvalstu finanšu palīdzības Eiropas Savienības politiku instrumentiem un/vai citas ārvalstu finanšu palīdzības (turpmāk šajā apakšnodaļā – ārvalstu finanšu palīdzība), ja saņemamā summa atbilst aktīva definīcijai un aktīva atzīšanas kritērijiem, kā noteikts pārvedumu uzskaites pamatprincipos.</w:t>
            </w:r>
          </w:p>
          <w:p w14:paraId="67CE8DEE"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1010.   </w:t>
            </w:r>
            <w:r w:rsidRPr="00A6103C">
              <w:rPr>
                <w:rFonts w:ascii="Times New Roman" w:hAnsi="Times New Roman" w:cs="Times New Roman"/>
                <w:iCs/>
                <w:sz w:val="24"/>
                <w:szCs w:val="24"/>
              </w:rPr>
              <w:t>Aktīvu uzrāda budžeta iestādes bilancē no dienas, kad saņemamais aktīvs atbilst aktīva atzīšanas kritērijiem, vai no dienas, kad nauda saņemta budžeta iestādes kontā.</w:t>
            </w:r>
          </w:p>
          <w:p w14:paraId="7A27C40A"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1011.  </w:t>
            </w:r>
            <w:r w:rsidRPr="00A6103C">
              <w:rPr>
                <w:rFonts w:ascii="Times New Roman" w:hAnsi="Times New Roman" w:cs="Times New Roman"/>
                <w:iCs/>
                <w:sz w:val="24"/>
                <w:szCs w:val="24"/>
              </w:rPr>
              <w:t>Saņemot aktīvu, budžeta iestāde atzīst saistības attiecībā uz saistošajā tiesību aktā (līgums, vienošanās u.c. dokuments) ietverto nosacījumu izpildi. Ieņēmumus no ārvalstu finanšu palīdzības atzīst atbilstoši tiesību aktos noteikto nosacījumu izpildei.</w:t>
            </w:r>
          </w:p>
          <w:p w14:paraId="6298B901"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1012.  </w:t>
            </w:r>
            <w:r w:rsidRPr="00A6103C">
              <w:rPr>
                <w:rFonts w:ascii="Times New Roman" w:hAnsi="Times New Roman" w:cs="Times New Roman"/>
                <w:iCs/>
                <w:sz w:val="24"/>
                <w:szCs w:val="24"/>
              </w:rPr>
              <w:t>Saistības par saņemto ārvalstu finanšu palīdzību samazina pakāpeniski, pamatojoties uz nosacījumu izpildi apliecinošiem dokumentiem par attaisnotiem izdevumiem.</w:t>
            </w:r>
          </w:p>
          <w:p w14:paraId="17FE417E"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1013.  </w:t>
            </w:r>
            <w:r w:rsidRPr="00A6103C">
              <w:rPr>
                <w:rFonts w:ascii="Times New Roman" w:hAnsi="Times New Roman" w:cs="Times New Roman"/>
                <w:iCs/>
                <w:sz w:val="24"/>
                <w:szCs w:val="24"/>
              </w:rPr>
              <w:t>Gadījumos, ja saņemtās ārvalstu finanšu palīdzības ietvaros tiek konstatēti nepamatoti veikti izdevumi, kas saskaņā ar ārvalstu finanšu palīdzības piešķīrējas institūcijas lēmumu vai citu tiesību vai normatīvo aktu ir jāietur no nākamā pieprasījuma vai jāatmaksā, atzīst saistības konstatētās summas apmērā no dienas, kad ir radušās saistības ieturēt vai atmaksāt iepriekš minēto naudas līdzekļu summu. Saistības noraksta, pamatojoties uz veikto atmaksu apstiprinājuma dokumentiem.</w:t>
            </w:r>
          </w:p>
          <w:p w14:paraId="1023485B" w14:textId="77777777" w:rsidR="004E199D"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1014.  </w:t>
            </w:r>
            <w:r w:rsidRPr="00A6103C">
              <w:rPr>
                <w:rFonts w:ascii="Times New Roman" w:hAnsi="Times New Roman" w:cs="Times New Roman"/>
                <w:iCs/>
                <w:sz w:val="24"/>
                <w:szCs w:val="24"/>
              </w:rPr>
              <w:t xml:space="preserve">Budžeta iestāde izvērtē iepriekšējos periodos sniegto ārvalstu finanšu palīdzību un nosaka uzkrājumu veidošanas nepieciešamību gadījumiem, kad tiek konstatēti nepamatoti veikti izdevumi. Uzkrājumu veidošanu veic atbilstoši MK noteikumiem par grāmatvedības uzskaiti un </w:t>
            </w:r>
            <w:r>
              <w:rPr>
                <w:rFonts w:ascii="Times New Roman" w:hAnsi="Times New Roman" w:cs="Times New Roman"/>
                <w:iCs/>
                <w:sz w:val="24"/>
                <w:szCs w:val="24"/>
              </w:rPr>
              <w:t>grāmatvedības uzskaites kārtības</w:t>
            </w:r>
            <w:r w:rsidRPr="00A6103C">
              <w:rPr>
                <w:rFonts w:ascii="Times New Roman" w:hAnsi="Times New Roman" w:cs="Times New Roman"/>
                <w:iCs/>
                <w:sz w:val="24"/>
                <w:szCs w:val="24"/>
              </w:rPr>
              <w:t xml:space="preserve"> sadaļā “Uzkrājumu, iespējamo saistību un iespējamo aktīvu uzskaite” noteiktajiem uzskaites principiem.</w:t>
            </w:r>
          </w:p>
          <w:p w14:paraId="349B8CC6" w14:textId="77777777" w:rsidR="00A6103C" w:rsidRDefault="00A6103C" w:rsidP="00CD363C">
            <w:pPr>
              <w:tabs>
                <w:tab w:val="left" w:pos="330"/>
              </w:tabs>
              <w:spacing w:after="0" w:line="240" w:lineRule="auto"/>
              <w:ind w:right="113"/>
              <w:jc w:val="both"/>
              <w:rPr>
                <w:rFonts w:ascii="Times New Roman" w:hAnsi="Times New Roman" w:cs="Times New Roman"/>
                <w:b/>
                <w:bCs/>
                <w:iCs/>
                <w:sz w:val="24"/>
                <w:szCs w:val="24"/>
              </w:rPr>
            </w:pPr>
            <w:r w:rsidRPr="00A6103C">
              <w:rPr>
                <w:rFonts w:ascii="Times New Roman" w:hAnsi="Times New Roman" w:cs="Times New Roman"/>
                <w:b/>
                <w:bCs/>
                <w:iCs/>
                <w:sz w:val="24"/>
                <w:szCs w:val="24"/>
              </w:rPr>
              <w:t>Grāmatojumi</w:t>
            </w:r>
          </w:p>
          <w:p w14:paraId="4E7446DE" w14:textId="77777777" w:rsid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1015.  </w:t>
            </w:r>
            <w:r w:rsidRPr="00A6103C">
              <w:rPr>
                <w:rFonts w:ascii="Times New Roman" w:hAnsi="Times New Roman" w:cs="Times New Roman"/>
                <w:iCs/>
                <w:sz w:val="24"/>
                <w:szCs w:val="24"/>
              </w:rPr>
              <w:t>Saņemot ārvalstu finanšu palīdzības avansa maksājumus budžeta iestādes kontā, finansējuma saņemšanas dienā atzīst naudas līdzekļu palielinājumu un saistības attiecībā uz tiesību aktos noteikto nosacījumu izpildi, un veic šādu grāmatojumu:</w:t>
            </w:r>
          </w:p>
          <w:p w14:paraId="5DCFA2AA" w14:textId="77777777" w:rsidR="00A6103C" w:rsidRPr="00A6103C" w:rsidRDefault="00A6103C"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A6103C">
              <w:rPr>
                <w:rFonts w:ascii="Times New Roman" w:hAnsi="Times New Roman" w:cs="Times New Roman"/>
                <w:b/>
                <w:bCs/>
                <w:iCs/>
                <w:sz w:val="24"/>
                <w:szCs w:val="24"/>
              </w:rPr>
              <w:t>D    2600   Naudas līdzekļi</w:t>
            </w:r>
          </w:p>
          <w:p w14:paraId="01A042CE" w14:textId="77777777" w:rsidR="00A6103C" w:rsidRPr="00A6103C" w:rsidRDefault="00A6103C" w:rsidP="00CD363C">
            <w:pPr>
              <w:tabs>
                <w:tab w:val="left" w:pos="330"/>
              </w:tabs>
              <w:spacing w:after="0" w:line="240" w:lineRule="auto"/>
              <w:ind w:right="113"/>
              <w:jc w:val="both"/>
              <w:rPr>
                <w:rFonts w:ascii="Times New Roman" w:hAnsi="Times New Roman" w:cs="Times New Roman"/>
                <w:b/>
                <w:bCs/>
                <w:iCs/>
                <w:sz w:val="24"/>
                <w:szCs w:val="24"/>
              </w:rPr>
            </w:pPr>
            <w:r w:rsidRPr="00A6103C">
              <w:rPr>
                <w:rFonts w:ascii="Times New Roman" w:hAnsi="Times New Roman" w:cs="Times New Roman"/>
                <w:b/>
                <w:bCs/>
                <w:iCs/>
                <w:sz w:val="24"/>
                <w:szCs w:val="24"/>
              </w:rPr>
              <w:t xml:space="preserve">    K    5000*  Saistības(pret ES par ārvalstu fin. palīdzību un ES pol. Instrumentiem</w:t>
            </w:r>
          </w:p>
          <w:p w14:paraId="7C2F93A7" w14:textId="77777777" w:rsidR="00A6103C" w:rsidRDefault="00A6103C" w:rsidP="00CD363C">
            <w:pPr>
              <w:tabs>
                <w:tab w:val="left" w:pos="330"/>
              </w:tabs>
              <w:spacing w:after="0" w:line="240" w:lineRule="auto"/>
              <w:ind w:right="113"/>
              <w:jc w:val="both"/>
              <w:rPr>
                <w:rFonts w:ascii="Times New Roman" w:hAnsi="Times New Roman" w:cs="Times New Roman"/>
                <w:i/>
                <w:sz w:val="24"/>
                <w:szCs w:val="24"/>
              </w:rPr>
            </w:pPr>
            <w:r w:rsidRPr="00A6103C">
              <w:rPr>
                <w:rFonts w:ascii="Times New Roman" w:hAnsi="Times New Roman" w:cs="Times New Roman"/>
                <w:i/>
                <w:sz w:val="24"/>
                <w:szCs w:val="24"/>
              </w:rPr>
              <w:t>* Budžeta iestāde uzskaita attiecīgajā ilgtermiņa vai īstermiņa saistību postenī</w:t>
            </w:r>
          </w:p>
          <w:p w14:paraId="48405E10"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1016.  </w:t>
            </w:r>
            <w:r w:rsidRPr="00A6103C">
              <w:rPr>
                <w:rFonts w:ascii="Times New Roman" w:hAnsi="Times New Roman" w:cs="Times New Roman"/>
                <w:iCs/>
                <w:sz w:val="24"/>
                <w:szCs w:val="24"/>
              </w:rPr>
              <w:t>Veicot naudas līdzekļu pārskaitījumu finansējuma saņēmējiem atbilstoši pieprasījumam avansā, budžeta iestāde atzīst prasības un naudas līdzekļu samazinājumu:</w:t>
            </w:r>
          </w:p>
          <w:p w14:paraId="68655C82" w14:textId="77777777" w:rsidR="00A6103C" w:rsidRDefault="00A6103C" w:rsidP="00CD363C">
            <w:pPr>
              <w:tabs>
                <w:tab w:val="left" w:pos="330"/>
              </w:tabs>
              <w:spacing w:after="0" w:line="240" w:lineRule="auto"/>
              <w:ind w:right="113"/>
              <w:jc w:val="both"/>
              <w:rPr>
                <w:rFonts w:ascii="Times New Roman" w:hAnsi="Times New Roman" w:cs="Times New Roman"/>
                <w:iCs/>
                <w:sz w:val="24"/>
                <w:szCs w:val="24"/>
              </w:rPr>
            </w:pPr>
            <w:r w:rsidRPr="00A6103C">
              <w:rPr>
                <w:rFonts w:ascii="Times New Roman" w:hAnsi="Times New Roman" w:cs="Times New Roman"/>
                <w:iCs/>
                <w:sz w:val="24"/>
                <w:szCs w:val="24"/>
              </w:rPr>
              <w:t>Grāmatojums – avansa maksājumam komersantam</w:t>
            </w:r>
          </w:p>
          <w:p w14:paraId="139AD91F" w14:textId="77777777" w:rsid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9521B">
              <w:rPr>
                <w:rFonts w:ascii="Times New Roman" w:hAnsi="Times New Roman" w:cs="Times New Roman"/>
                <w:b/>
                <w:bCs/>
                <w:iCs/>
                <w:sz w:val="24"/>
                <w:szCs w:val="24"/>
              </w:rPr>
              <w:t xml:space="preserve">D    2419   Pārējie nākamo periodu izdevumi </w:t>
            </w:r>
            <w:r w:rsidR="0059521B" w:rsidRPr="0059521B">
              <w:rPr>
                <w:rFonts w:ascii="Times New Roman" w:hAnsi="Times New Roman" w:cs="Times New Roman"/>
                <w:b/>
                <w:bCs/>
                <w:iCs/>
                <w:sz w:val="24"/>
                <w:szCs w:val="24"/>
              </w:rPr>
              <w:t>ārvalstu finanšu palīdzības un ES politiku instrumentu</w:t>
            </w:r>
            <w:r w:rsidR="0059521B">
              <w:rPr>
                <w:rFonts w:ascii="Times New Roman" w:hAnsi="Times New Roman" w:cs="Times New Roman"/>
                <w:iCs/>
                <w:sz w:val="24"/>
                <w:szCs w:val="24"/>
              </w:rPr>
              <w:t xml:space="preserve"> </w:t>
            </w:r>
            <w:r w:rsidR="0059521B" w:rsidRPr="0059521B">
              <w:rPr>
                <w:rFonts w:ascii="Times New Roman" w:hAnsi="Times New Roman" w:cs="Times New Roman"/>
                <w:b/>
                <w:bCs/>
                <w:iCs/>
                <w:sz w:val="24"/>
                <w:szCs w:val="24"/>
              </w:rPr>
              <w:t>finansētajiem projektiem, pasākumiem</w:t>
            </w:r>
            <w:r w:rsidR="0059521B">
              <w:rPr>
                <w:rFonts w:ascii="Times New Roman" w:hAnsi="Times New Roman" w:cs="Times New Roman"/>
                <w:iCs/>
                <w:sz w:val="24"/>
                <w:szCs w:val="24"/>
              </w:rPr>
              <w:t xml:space="preserve"> </w:t>
            </w:r>
          </w:p>
          <w:p w14:paraId="36883156" w14:textId="77777777" w:rsidR="0059521B" w:rsidRDefault="0059521B"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59521B">
              <w:rPr>
                <w:rFonts w:ascii="Times New Roman" w:hAnsi="Times New Roman" w:cs="Times New Roman"/>
                <w:b/>
                <w:bCs/>
                <w:iCs/>
                <w:sz w:val="24"/>
                <w:szCs w:val="24"/>
              </w:rPr>
              <w:t>K    2620   Norēķinu konti valsts kasē kredītiestādēs</w:t>
            </w:r>
          </w:p>
          <w:p w14:paraId="21D97720" w14:textId="77777777" w:rsidR="0059521B" w:rsidRPr="0059521B" w:rsidRDefault="0059521B" w:rsidP="00CD363C">
            <w:pPr>
              <w:tabs>
                <w:tab w:val="left" w:pos="330"/>
              </w:tabs>
              <w:spacing w:after="0" w:line="240" w:lineRule="auto"/>
              <w:ind w:right="113"/>
              <w:jc w:val="both"/>
              <w:rPr>
                <w:rFonts w:ascii="Times New Roman" w:hAnsi="Times New Roman" w:cs="Times New Roman"/>
                <w:iCs/>
                <w:sz w:val="24"/>
                <w:szCs w:val="24"/>
              </w:rPr>
            </w:pPr>
            <w:r w:rsidRPr="0059521B">
              <w:rPr>
                <w:rFonts w:ascii="Times New Roman" w:hAnsi="Times New Roman" w:cs="Times New Roman"/>
                <w:iCs/>
                <w:sz w:val="24"/>
                <w:szCs w:val="24"/>
              </w:rPr>
              <w:t>Grāmatojums – avansa maksājumam (transfertam) budžeta iestādei</w:t>
            </w:r>
          </w:p>
          <w:p w14:paraId="2EBBDA06" w14:textId="77777777" w:rsidR="00462053" w:rsidRP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62053">
              <w:rPr>
                <w:rFonts w:ascii="Times New Roman" w:hAnsi="Times New Roman" w:cs="Times New Roman"/>
                <w:b/>
                <w:bCs/>
                <w:iCs/>
                <w:sz w:val="24"/>
                <w:szCs w:val="24"/>
              </w:rPr>
              <w:t>D    2431   Transferti ES politiku instrumentu un pārējās ārvalstu finanšu palīdzības finansētajiem projektiem</w:t>
            </w:r>
          </w:p>
          <w:p w14:paraId="77A7D205" w14:textId="77777777" w:rsidR="00462053" w:rsidRDefault="00462053" w:rsidP="00CD363C">
            <w:pPr>
              <w:tabs>
                <w:tab w:val="left" w:pos="330"/>
              </w:tabs>
              <w:spacing w:after="0" w:line="240" w:lineRule="auto"/>
              <w:ind w:right="113"/>
              <w:jc w:val="both"/>
              <w:rPr>
                <w:rFonts w:ascii="Times New Roman" w:hAnsi="Times New Roman" w:cs="Times New Roman"/>
                <w:iCs/>
                <w:sz w:val="24"/>
                <w:szCs w:val="24"/>
              </w:rPr>
            </w:pPr>
            <w:r w:rsidRPr="00462053">
              <w:rPr>
                <w:rFonts w:ascii="Times New Roman" w:hAnsi="Times New Roman" w:cs="Times New Roman"/>
                <w:b/>
                <w:bCs/>
                <w:iCs/>
                <w:sz w:val="24"/>
                <w:szCs w:val="24"/>
              </w:rPr>
              <w:t xml:space="preserve">    K    2620   Norēķinu konti Valsts kasē  kredītiestādēs</w:t>
            </w:r>
            <w:r w:rsidR="0059521B">
              <w:rPr>
                <w:rFonts w:ascii="Times New Roman" w:hAnsi="Times New Roman" w:cs="Times New Roman"/>
                <w:iCs/>
                <w:sz w:val="24"/>
                <w:szCs w:val="24"/>
              </w:rPr>
              <w:t xml:space="preserve"> </w:t>
            </w:r>
          </w:p>
          <w:p w14:paraId="7C3112B5" w14:textId="77777777" w:rsidR="00462053" w:rsidRPr="00462053" w:rsidRDefault="0059521B"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  </w:t>
            </w:r>
            <w:r w:rsidR="00462053" w:rsidRPr="00462053">
              <w:rPr>
                <w:rFonts w:ascii="Times New Roman" w:hAnsi="Times New Roman" w:cs="Times New Roman"/>
                <w:iCs/>
                <w:sz w:val="24"/>
                <w:szCs w:val="24"/>
              </w:rPr>
              <w:t>Grāmatojums – budžeta iestāde atzīst izdevumus, pamatojoties uz apstiprinātajiem izdevumiem</w:t>
            </w:r>
          </w:p>
          <w:p w14:paraId="01A7A491" w14:textId="77777777" w:rsidR="00462053" w:rsidRP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62053">
              <w:rPr>
                <w:rFonts w:ascii="Times New Roman" w:hAnsi="Times New Roman" w:cs="Times New Roman"/>
                <w:b/>
                <w:bCs/>
                <w:iCs/>
                <w:sz w:val="24"/>
                <w:szCs w:val="24"/>
              </w:rPr>
              <w:t>D    7000   Pamatdarbības izdevumi</w:t>
            </w:r>
          </w:p>
          <w:p w14:paraId="1760F711" w14:textId="77777777" w:rsidR="00462053" w:rsidRP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sidRPr="00462053">
              <w:rPr>
                <w:rFonts w:ascii="Times New Roman" w:hAnsi="Times New Roman" w:cs="Times New Roman"/>
                <w:b/>
                <w:bCs/>
                <w:iCs/>
                <w:sz w:val="24"/>
                <w:szCs w:val="24"/>
              </w:rPr>
              <w:t xml:space="preserve">    K    2419   Pārējie nākamo periodu izdevumi ārvalstu finanšu palīdzības un ES politiku instrumentu finansētajiem projektiem, pasākumiem</w:t>
            </w:r>
          </w:p>
          <w:p w14:paraId="7DF2F6FA" w14:textId="77777777" w:rsid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sidRPr="00462053">
              <w:rPr>
                <w:rFonts w:ascii="Times New Roman" w:hAnsi="Times New Roman" w:cs="Times New Roman"/>
                <w:b/>
                <w:bCs/>
                <w:iCs/>
                <w:sz w:val="24"/>
                <w:szCs w:val="24"/>
              </w:rPr>
              <w:t xml:space="preserve">    K    2431   Transferti ES politiku instrumentu un pārējās ārvalstu finanšu palīdzības finansētajiem projektiem</w:t>
            </w:r>
          </w:p>
          <w:p w14:paraId="6CF9DC2D"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1017.  </w:t>
            </w:r>
            <w:r w:rsidRPr="00955C9A">
              <w:rPr>
                <w:rFonts w:ascii="Times New Roman" w:hAnsi="Times New Roman" w:cs="Times New Roman"/>
                <w:iCs/>
                <w:sz w:val="24"/>
                <w:szCs w:val="24"/>
              </w:rPr>
              <w:t>Saņemot apstiprinājumu par attaisnotajiem izdevumiem no saņemtās ārvalstu finanšu palīdzības, budžeta iestāde atzīst ieņēmumus un attiecīgi samazina iepriekš uzskaitītās saistības. Pamatojoties uz attaisnojuma dokumentu, veic grāmatojumu par attiecīgo summu:</w:t>
            </w:r>
          </w:p>
          <w:p w14:paraId="48809C9D"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 xml:space="preserve">: </w:t>
            </w:r>
            <w:r w:rsidRPr="00955C9A">
              <w:rPr>
                <w:rFonts w:ascii="Times New Roman" w:hAnsi="Times New Roman" w:cs="Times New Roman"/>
                <w:iCs/>
                <w:sz w:val="24"/>
                <w:szCs w:val="24"/>
              </w:rPr>
              <w:t>budžeta iestāde atzīst ieņēmumus no ārvalstu finanšu palīdzības, saņemot apstiprinājumu par attaisnotajiem izdevumiem</w:t>
            </w:r>
          </w:p>
          <w:p w14:paraId="09050D07"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5000*</w:t>
            </w:r>
            <w:r w:rsidRPr="00955C9A">
              <w:rPr>
                <w:rFonts w:ascii="Times New Roman" w:hAnsi="Times New Roman" w:cs="Times New Roman"/>
                <w:b/>
                <w:bCs/>
                <w:iCs/>
                <w:sz w:val="24"/>
                <w:szCs w:val="24"/>
              </w:rPr>
              <w:tab/>
              <w:t>Saistības (saistības pret ES par ārvalstu finanšu palīdzību un ES politiku instrumentiem</w:t>
            </w:r>
          </w:p>
          <w:p w14:paraId="21D17ECA" w14:textId="77777777" w:rsidR="00462053"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6000</w:t>
            </w:r>
            <w:r w:rsidRPr="00955C9A">
              <w:rPr>
                <w:rFonts w:ascii="Times New Roman" w:hAnsi="Times New Roman" w:cs="Times New Roman"/>
                <w:b/>
                <w:bCs/>
                <w:iCs/>
                <w:sz w:val="24"/>
                <w:szCs w:val="24"/>
              </w:rPr>
              <w:tab/>
              <w:t>Pamatdarbības ieņēmumi</w:t>
            </w:r>
          </w:p>
          <w:p w14:paraId="7CF9DC87"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1018.  </w:t>
            </w:r>
            <w:r w:rsidRPr="00955C9A">
              <w:rPr>
                <w:rFonts w:ascii="Times New Roman" w:hAnsi="Times New Roman" w:cs="Times New Roman"/>
                <w:iCs/>
                <w:sz w:val="24"/>
                <w:szCs w:val="24"/>
              </w:rPr>
              <w:t>Gadījumos, ja tiek konstatēti nepamatoti veikti izdevumi, kuri sākotnēji bija atzīti par atbilstošiem un kuri saskaņā ar ārvalstu finanšu palīdzības piešķīrējas institūcijas lēmumu vai citu tiesību vai normatīvo aktu ir jāietur no nākamā pieprasījuma vai jāatmaksā, atzīst saistības konstatētās summas apmērā no dienas, kad ir saņemts lēmums par ārvalstu finanšu palīdzības ietvaros konstatēto neatbilstoši veikto izdevumu ieturēšanu vai atmaksāšanu un prasības pret sadarbības iestādi (SI), veicot šādu grāmatojumu:</w:t>
            </w:r>
          </w:p>
          <w:p w14:paraId="188E1C62"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p>
          <w:p w14:paraId="1EE3A077"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Prasības par ārvalstu finanšu palīdzības un ES politiku instrumentu līdzekļu atmaksu (pret SI)</w:t>
            </w:r>
          </w:p>
          <w:p w14:paraId="1D8FA5F0" w14:textId="77777777" w:rsid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5xxx</w:t>
            </w:r>
            <w:r w:rsidRPr="00955C9A">
              <w:rPr>
                <w:rFonts w:ascii="Times New Roman" w:hAnsi="Times New Roman" w:cs="Times New Roman"/>
                <w:b/>
                <w:bCs/>
                <w:iCs/>
                <w:sz w:val="24"/>
                <w:szCs w:val="24"/>
              </w:rPr>
              <w:tab/>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Saistības pret ES par ārvalstu finanšu palīdzību un ES politiku instrumentiem</w:t>
            </w:r>
          </w:p>
          <w:p w14:paraId="2ADD9E36"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1019.  </w:t>
            </w:r>
            <w:r w:rsidRPr="00955C9A">
              <w:rPr>
                <w:rFonts w:ascii="Times New Roman" w:hAnsi="Times New Roman" w:cs="Times New Roman"/>
                <w:iCs/>
                <w:sz w:val="24"/>
                <w:szCs w:val="24"/>
              </w:rPr>
              <w:t>Neatbilstoši veikto izdevumu atgūšanas gadījumā - dienā, kad no finansējuma saņēmēja saņem naudas līdzekļus, budžeta iestāde, pamatojoties uz konta izrakstu veic šādu grāmatojumu:</w:t>
            </w:r>
          </w:p>
          <w:p w14:paraId="130B5609"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r w:rsidRPr="00955C9A">
              <w:rPr>
                <w:rFonts w:ascii="Times New Roman" w:hAnsi="Times New Roman" w:cs="Times New Roman"/>
                <w:iCs/>
                <w:sz w:val="24"/>
                <w:szCs w:val="24"/>
              </w:rPr>
              <w:t xml:space="preserve"> budžeta iestāde atzīst naudas līdzekļu palielinājumu un prasību samazinājumu naudas līdzekļu pārskaitījuma dienā</w:t>
            </w:r>
          </w:p>
          <w:p w14:paraId="34F057A2"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2600</w:t>
            </w:r>
            <w:r w:rsidRPr="00955C9A">
              <w:rPr>
                <w:rFonts w:ascii="Times New Roman" w:hAnsi="Times New Roman" w:cs="Times New Roman"/>
                <w:b/>
                <w:bCs/>
                <w:iCs/>
                <w:sz w:val="24"/>
                <w:szCs w:val="24"/>
              </w:rPr>
              <w:tab/>
              <w:t>Naudas līdzekļi</w:t>
            </w:r>
          </w:p>
          <w:p w14:paraId="035EBCD2" w14:textId="77777777" w:rsid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t>Prasības par ārvalstu finanšu palīdzības un ES politiku instrumentu līdzekļu atmaksu (pret SI)</w:t>
            </w:r>
          </w:p>
          <w:p w14:paraId="647E6508"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1020.  </w:t>
            </w:r>
            <w:r w:rsidRPr="00955C9A">
              <w:rPr>
                <w:rFonts w:ascii="Times New Roman" w:hAnsi="Times New Roman" w:cs="Times New Roman"/>
                <w:iCs/>
                <w:sz w:val="24"/>
                <w:szCs w:val="24"/>
              </w:rPr>
              <w:t>Gadījumā, ja neatbilstoši veiktos izdevumus par pārskata periodā atzītajiem ieņēmumiem atgūst saskaņā ar normatīvajos aktos noteikto kārtību, budžeta iestāde neatbilstoši veiktos izdevumus uzskata par atgūtiem un atzīst prasību un ieņēmumu samazinājumu, veicot šādus grāmatojumus:</w:t>
            </w:r>
          </w:p>
          <w:p w14:paraId="5FF6CC34"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r w:rsidRPr="00955C9A">
              <w:rPr>
                <w:rFonts w:ascii="Times New Roman" w:hAnsi="Times New Roman" w:cs="Times New Roman"/>
                <w:iCs/>
                <w:sz w:val="24"/>
                <w:szCs w:val="24"/>
              </w:rPr>
              <w:t xml:space="preserve"> budžeta iestāde atzīst ieņēmumu un prasību samazinājumu, ja neatbilstoši veiktie izdevumi tiek ieturēti par pārskata periodā atzītiem ieņēmumiem</w:t>
            </w:r>
          </w:p>
          <w:p w14:paraId="1A04E11A"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6000</w:t>
            </w:r>
            <w:r w:rsidRPr="00955C9A">
              <w:rPr>
                <w:rFonts w:ascii="Times New Roman" w:hAnsi="Times New Roman" w:cs="Times New Roman"/>
                <w:b/>
                <w:bCs/>
                <w:iCs/>
                <w:sz w:val="24"/>
                <w:szCs w:val="24"/>
              </w:rPr>
              <w:tab/>
              <w:t>Pamatdarbības ieņēmumi</w:t>
            </w:r>
          </w:p>
          <w:p w14:paraId="483C5FBD"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t>Prasības par ārvalstu finanšu palīdzības un ES politiku instrumentu līdzekļu atmaksu (pret SI)</w:t>
            </w:r>
          </w:p>
          <w:p w14:paraId="4F319F77"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Grāmatojums</w:t>
            </w:r>
            <w:r>
              <w:rPr>
                <w:rFonts w:ascii="Times New Roman" w:hAnsi="Times New Roman" w:cs="Times New Roman"/>
                <w:iCs/>
                <w:sz w:val="24"/>
                <w:szCs w:val="24"/>
              </w:rPr>
              <w:t>:</w:t>
            </w:r>
            <w:r w:rsidRPr="00955C9A">
              <w:rPr>
                <w:rFonts w:ascii="Times New Roman" w:hAnsi="Times New Roman" w:cs="Times New Roman"/>
                <w:iCs/>
                <w:sz w:val="24"/>
                <w:szCs w:val="24"/>
              </w:rPr>
              <w:t xml:space="preserve"> budžeta iestāde atzīst izdevumus un samazina prasības, ja neatbilstoši veiktie izdevumi tiek ieturēti par iepriekšējos periodos atzītiem ieņēmumiem</w:t>
            </w:r>
          </w:p>
          <w:p w14:paraId="3DBF6ED9"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7000</w:t>
            </w:r>
            <w:r w:rsidRPr="00955C9A">
              <w:rPr>
                <w:rFonts w:ascii="Times New Roman" w:hAnsi="Times New Roman" w:cs="Times New Roman"/>
                <w:b/>
                <w:bCs/>
                <w:iCs/>
                <w:sz w:val="24"/>
                <w:szCs w:val="24"/>
              </w:rPr>
              <w:tab/>
              <w:t>Pamatdarbības izdevumi</w:t>
            </w:r>
          </w:p>
          <w:p w14:paraId="740C53C5" w14:textId="77777777" w:rsidR="00955C9A" w:rsidRPr="00462053"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t>Prasības par ārvalstu finanšu palīdzības un ES politiku instrumentu līdzekļu atmaksu (pret SI)</w:t>
            </w:r>
          </w:p>
          <w:p w14:paraId="17F69DB6"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1021.  </w:t>
            </w:r>
            <w:r w:rsidRPr="00955C9A">
              <w:rPr>
                <w:rFonts w:ascii="Times New Roman" w:hAnsi="Times New Roman" w:cs="Times New Roman"/>
                <w:iCs/>
                <w:sz w:val="24"/>
                <w:szCs w:val="24"/>
              </w:rPr>
              <w:t>Veicot nepamatoti veikto izdevumu atmaksu, pamatojoties uz apstiprinājuma dokumentu par atmaksas veikšanu, maksājuma dienā atzīst aktīvu (naudas līdzekļu) un saistību samazinājumu:</w:t>
            </w:r>
          </w:p>
          <w:p w14:paraId="6B0D0D61"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p>
          <w:p w14:paraId="6EC74044"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955C9A">
              <w:rPr>
                <w:rFonts w:ascii="Times New Roman" w:hAnsi="Times New Roman" w:cs="Times New Roman"/>
                <w:b/>
                <w:bCs/>
                <w:iCs/>
                <w:sz w:val="24"/>
                <w:szCs w:val="24"/>
              </w:rPr>
              <w:t>D    5xxx</w:t>
            </w:r>
            <w:r w:rsidRPr="00955C9A">
              <w:rPr>
                <w:rFonts w:ascii="Times New Roman" w:hAnsi="Times New Roman" w:cs="Times New Roman"/>
                <w:b/>
                <w:bCs/>
                <w:iCs/>
                <w:sz w:val="24"/>
                <w:szCs w:val="24"/>
              </w:rPr>
              <w:tab/>
              <w:t>Saistības par ES par ārvalstu finanšu palīdzību un ES politiku instrumentiem</w:t>
            </w:r>
          </w:p>
          <w:p w14:paraId="6CF95E9F" w14:textId="77777777" w:rsidR="00462053"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b/>
                <w:bCs/>
                <w:iCs/>
                <w:sz w:val="24"/>
                <w:szCs w:val="24"/>
              </w:rPr>
              <w:t xml:space="preserve">    K    2600</w:t>
            </w:r>
            <w:r w:rsidRPr="00955C9A">
              <w:rPr>
                <w:rFonts w:ascii="Times New Roman" w:hAnsi="Times New Roman" w:cs="Times New Roman"/>
                <w:b/>
                <w:bCs/>
                <w:iCs/>
                <w:sz w:val="24"/>
                <w:szCs w:val="24"/>
              </w:rPr>
              <w:tab/>
              <w:t>Naudas līdzekļi</w:t>
            </w:r>
          </w:p>
          <w:p w14:paraId="35AFE596"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1022.  </w:t>
            </w:r>
            <w:r w:rsidRPr="00955C9A">
              <w:rPr>
                <w:rFonts w:ascii="Times New Roman" w:hAnsi="Times New Roman" w:cs="Times New Roman"/>
                <w:iCs/>
                <w:sz w:val="24"/>
                <w:szCs w:val="24"/>
              </w:rPr>
              <w:t>Gadījumos, ja pārskata perioda beigās tiek konstatēts, ka ārvalstu finanšu palīdzības ietvaros ieskaitītie līdzekļi ir mazāki nekā veiktie (sertificētie) izdevumi, veic kreditoru pozitīvā atlikuma pārklasifikāciju:</w:t>
            </w:r>
          </w:p>
          <w:p w14:paraId="38076DA8"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iCs/>
                <w:sz w:val="24"/>
                <w:szCs w:val="24"/>
              </w:rPr>
              <w:t>Grāmatojums</w:t>
            </w:r>
            <w:r>
              <w:rPr>
                <w:rFonts w:ascii="Times New Roman" w:hAnsi="Times New Roman" w:cs="Times New Roman"/>
                <w:iCs/>
                <w:sz w:val="24"/>
                <w:szCs w:val="24"/>
              </w:rPr>
              <w:t>:</w:t>
            </w:r>
          </w:p>
          <w:p w14:paraId="1006886C"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2xxx</w:t>
            </w:r>
            <w:r w:rsidRPr="00955C9A">
              <w:rPr>
                <w:rFonts w:ascii="Times New Roman" w:hAnsi="Times New Roman" w:cs="Times New Roman"/>
                <w:b/>
                <w:bCs/>
                <w:iCs/>
                <w:sz w:val="24"/>
                <w:szCs w:val="24"/>
              </w:rPr>
              <w:tab/>
              <w:t>Prasības par ārvalstu finanšu palīdzības un ES politiku instrumentu līdzekļu atmaksu</w:t>
            </w:r>
          </w:p>
          <w:p w14:paraId="65AC4829"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5xxx</w:t>
            </w:r>
            <w:r w:rsidRPr="00955C9A">
              <w:rPr>
                <w:rFonts w:ascii="Times New Roman" w:hAnsi="Times New Roman" w:cs="Times New Roman"/>
                <w:b/>
                <w:bCs/>
                <w:iCs/>
                <w:sz w:val="24"/>
                <w:szCs w:val="24"/>
              </w:rPr>
              <w:tab/>
              <w:t>Saistības pret ES par ārvalstu finanšu palīdzību un ES politiku instrumentiem</w:t>
            </w:r>
            <w:r>
              <w:rPr>
                <w:rFonts w:ascii="Times New Roman" w:hAnsi="Times New Roman" w:cs="Times New Roman"/>
                <w:b/>
                <w:bCs/>
                <w:iCs/>
                <w:sz w:val="24"/>
                <w:szCs w:val="24"/>
              </w:rPr>
              <w:t xml:space="preserve">            </w:t>
            </w:r>
          </w:p>
          <w:p w14:paraId="1D593E30" w14:textId="77777777" w:rsidR="0059521B"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b/>
                <w:bCs/>
                <w:iCs/>
                <w:sz w:val="24"/>
                <w:szCs w:val="24"/>
              </w:rPr>
              <w:t>Piemēri</w:t>
            </w:r>
          </w:p>
          <w:p w14:paraId="03B3837E"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1023.  </w:t>
            </w:r>
            <w:r w:rsidRPr="00F31413">
              <w:rPr>
                <w:rFonts w:ascii="Times New Roman" w:hAnsi="Times New Roman" w:cs="Times New Roman"/>
                <w:iCs/>
                <w:sz w:val="24"/>
                <w:szCs w:val="24"/>
              </w:rPr>
              <w:t>Valsts kase sagatavo maksājuma pieteikumu par Eiropas Sociālā fonda ietvaros veicamo starpposma maksājumu, ko atbilstoši normatīvo aktu prasībām apstiprina Sadarbības iestāde un Vadošā iestāde. Pēc apstiprinājuma gūšanas Valsts kase nosūta maksājuma pieteikumu Eiropas Komisijai. Pamatojoties uz saņemto maksājuma pieteikumu Eiropas komisija ieskaita Eiropas sociālā fonda naudas līdzekļus Valsts kases kontā.</w:t>
            </w:r>
          </w:p>
          <w:p w14:paraId="18C83A4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Grāmatojums – starpposma maksājuma saņemšana Valsts kasē</w:t>
            </w:r>
          </w:p>
          <w:p w14:paraId="546FECBD"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2600</w:t>
            </w:r>
            <w:r w:rsidRPr="00F31413">
              <w:rPr>
                <w:rFonts w:ascii="Times New Roman" w:hAnsi="Times New Roman" w:cs="Times New Roman"/>
                <w:b/>
                <w:bCs/>
                <w:iCs/>
                <w:sz w:val="24"/>
                <w:szCs w:val="24"/>
              </w:rPr>
              <w:tab/>
              <w:t>Naudas līdzekļi</w:t>
            </w:r>
          </w:p>
          <w:p w14:paraId="64D9E4AD"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5819</w:t>
            </w:r>
            <w:r w:rsidRPr="00F31413">
              <w:rPr>
                <w:rFonts w:ascii="Times New Roman" w:hAnsi="Times New Roman" w:cs="Times New Roman"/>
                <w:b/>
                <w:bCs/>
                <w:iCs/>
                <w:sz w:val="24"/>
                <w:szCs w:val="24"/>
              </w:rPr>
              <w:tab/>
              <w:t>Pārējās īstermiņa saistības</w:t>
            </w:r>
          </w:p>
          <w:p w14:paraId="1626AEC5"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1024.  </w:t>
            </w:r>
            <w:r w:rsidRPr="00F31413">
              <w:rPr>
                <w:rFonts w:ascii="Times New Roman" w:hAnsi="Times New Roman" w:cs="Times New Roman"/>
                <w:iCs/>
                <w:sz w:val="24"/>
                <w:szCs w:val="24"/>
              </w:rPr>
              <w:t>Pamatojoties uz maksājuma rīkojumu, Valsts kase nodrošina Eiropas Sociālā fonda līdzekļu pārskaitījumu finansējuma saņēmējiem. Projektu īstenošanas laikā finansējuma saņēmēji sagatavo un sniedz Sadarbības iestādei maksājuma pieprasījumus par projektu ietvaros veiktajiem izdevumiem. Atbilstoši normatīvajos aktos noteiktajai kārtībai Sadarbības iestādē nodrošina finansējuma</w:t>
            </w:r>
            <w:r w:rsidRPr="00F31413">
              <w:rPr>
                <w:rFonts w:ascii="Times New Roman" w:hAnsi="Times New Roman" w:cs="Times New Roman"/>
                <w:b/>
                <w:bCs/>
                <w:iCs/>
                <w:sz w:val="24"/>
                <w:szCs w:val="24"/>
              </w:rPr>
              <w:t xml:space="preserve"> </w:t>
            </w:r>
            <w:r w:rsidRPr="00F31413">
              <w:rPr>
                <w:rFonts w:ascii="Times New Roman" w:hAnsi="Times New Roman" w:cs="Times New Roman"/>
                <w:iCs/>
                <w:sz w:val="24"/>
                <w:szCs w:val="24"/>
              </w:rPr>
              <w:t>uzraudzību un noteiktā kārtībā apstiprina maksājumu pieprasījumus, veicot attiecīgus ierakstus Valsts informācijas sistēmā par projektu ietvaros veiktiem attaisnotajiem izdevumiem. Pamatojoties uz Valsts informācijas sistēmā iekļauto informāciju par apstiprinātiem izdevumiem, Valsts kase atzīst ieņēmumus no Eiropas Sociālā fonda un saistību samazinājumu.</w:t>
            </w:r>
          </w:p>
          <w:p w14:paraId="650B80F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Grāmatojums – ieņēmumu atzīšana Valsts kasē un saistību samazinājums</w:t>
            </w:r>
          </w:p>
          <w:p w14:paraId="055ECBC3"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5819</w:t>
            </w:r>
            <w:r w:rsidRPr="00F31413">
              <w:rPr>
                <w:rFonts w:ascii="Times New Roman" w:hAnsi="Times New Roman" w:cs="Times New Roman"/>
                <w:b/>
                <w:bCs/>
                <w:iCs/>
                <w:sz w:val="24"/>
                <w:szCs w:val="24"/>
              </w:rPr>
              <w:tab/>
              <w:t>Pārējās īstermiņa saistības</w:t>
            </w:r>
          </w:p>
          <w:p w14:paraId="20BBB762"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6000</w:t>
            </w:r>
            <w:r w:rsidRPr="00F31413">
              <w:rPr>
                <w:rFonts w:ascii="Times New Roman" w:hAnsi="Times New Roman" w:cs="Times New Roman"/>
                <w:b/>
                <w:bCs/>
                <w:iCs/>
                <w:sz w:val="24"/>
                <w:szCs w:val="24"/>
              </w:rPr>
              <w:tab/>
              <w:t>Pamatdarbības ieņēmumi</w:t>
            </w:r>
          </w:p>
          <w:p w14:paraId="5C76DF46"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b/>
                <w:bCs/>
                <w:iCs/>
                <w:sz w:val="24"/>
                <w:szCs w:val="24"/>
              </w:rPr>
              <w:t xml:space="preserve"> </w:t>
            </w:r>
            <w:r w:rsidRPr="00F31413">
              <w:rPr>
                <w:rFonts w:ascii="Times New Roman" w:hAnsi="Times New Roman" w:cs="Times New Roman"/>
                <w:iCs/>
                <w:sz w:val="24"/>
                <w:szCs w:val="24"/>
              </w:rPr>
              <w:t>Vienlaikus, pamatojoties uz apstiprinātajiem maksājuma pieprasījumiem, Valsts kase veic naudas līdzekļu pārskaitījumu un atzīst Eiropas Sociālā projekta ietvaros veiktos izdevumus.</w:t>
            </w:r>
          </w:p>
          <w:p w14:paraId="576074DE"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iCs/>
                <w:sz w:val="24"/>
                <w:szCs w:val="24"/>
              </w:rPr>
              <w:t>Grāmatojums – projekta izdevumu atzīšana Valsts kasē un naudas līdzekļu samazinājums</w:t>
            </w:r>
          </w:p>
          <w:p w14:paraId="2A704CD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7000</w:t>
            </w:r>
            <w:r w:rsidRPr="00F31413">
              <w:rPr>
                <w:rFonts w:ascii="Times New Roman" w:hAnsi="Times New Roman" w:cs="Times New Roman"/>
                <w:b/>
                <w:bCs/>
                <w:iCs/>
                <w:sz w:val="24"/>
                <w:szCs w:val="24"/>
              </w:rPr>
              <w:tab/>
              <w:t>Pamatdarbības izdevumi</w:t>
            </w:r>
          </w:p>
          <w:p w14:paraId="3140353C" w14:textId="77777777" w:rsid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2600</w:t>
            </w:r>
            <w:r w:rsidRPr="00F31413">
              <w:rPr>
                <w:rFonts w:ascii="Times New Roman" w:hAnsi="Times New Roman" w:cs="Times New Roman"/>
                <w:b/>
                <w:bCs/>
                <w:iCs/>
                <w:sz w:val="24"/>
                <w:szCs w:val="24"/>
              </w:rPr>
              <w:tab/>
              <w:t>Naudas līdzekļi</w:t>
            </w:r>
          </w:p>
          <w:p w14:paraId="07471EEF" w14:textId="77777777" w:rsidR="00F31413" w:rsidRDefault="00F31413"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F31413">
              <w:rPr>
                <w:rFonts w:ascii="Times New Roman" w:hAnsi="Times New Roman" w:cs="Times New Roman"/>
                <w:b/>
                <w:bCs/>
                <w:i/>
                <w:color w:val="2F5496" w:themeColor="accent1" w:themeShade="BF"/>
                <w:sz w:val="24"/>
                <w:szCs w:val="24"/>
              </w:rPr>
              <w:t>22.3.1.7. Sodi</w:t>
            </w:r>
          </w:p>
          <w:p w14:paraId="4E7A6C06" w14:textId="77777777" w:rsid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b/>
                <w:bCs/>
                <w:iCs/>
                <w:sz w:val="24"/>
                <w:szCs w:val="24"/>
              </w:rPr>
              <w:t>Grāmatvedības uzskaites principi</w:t>
            </w:r>
          </w:p>
          <w:p w14:paraId="498EFAAB"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1025.  </w:t>
            </w:r>
            <w:r w:rsidRPr="00F31413">
              <w:rPr>
                <w:rFonts w:ascii="Times New Roman" w:hAnsi="Times New Roman" w:cs="Times New Roman"/>
                <w:iCs/>
                <w:sz w:val="24"/>
                <w:szCs w:val="24"/>
              </w:rPr>
              <w:t xml:space="preserve">Sodi var būt naudas sodi, soda naudas, kas piemērotas nodokļu iekasēšanas rezultātā un līgumsodi. Šīs apakšnodaļas uzskaites principi attiecas tikai uz sodiem no darījumiem bez atlīdzības. Sodi no darījumiem ar atlīdzību tiek apskatīti Rokasgrāmatas sadaļā “Ieņēmumu no darījumiem ar atlīdzību uzskaite”. Šajā apakšnodaļā noteiktie grāmatvedības uzskaites principi neattiecas uz nokavējuma naudu uzskaiti nodokļiem, ko administrē Valsts ieņēmumu dienests. Minēto nokavējumu naudu uzskaites principi aprakstīti </w:t>
            </w:r>
            <w:r>
              <w:rPr>
                <w:rFonts w:ascii="Times New Roman" w:hAnsi="Times New Roman" w:cs="Times New Roman"/>
                <w:iCs/>
                <w:sz w:val="24"/>
                <w:szCs w:val="24"/>
              </w:rPr>
              <w:t>Grāmatvedības uzskaites kārtības</w:t>
            </w:r>
            <w:r w:rsidRPr="00F31413">
              <w:rPr>
                <w:rFonts w:ascii="Times New Roman" w:hAnsi="Times New Roman" w:cs="Times New Roman"/>
                <w:iCs/>
                <w:sz w:val="24"/>
                <w:szCs w:val="24"/>
              </w:rPr>
              <w:t xml:space="preserve"> nodaļas “Nodokļi un nodevas” apakšnodaļas “Nodokļu uzskaites pamatprincipi” daļā “Nokavējuma naudu un soda naudu uzskaite”.</w:t>
            </w:r>
          </w:p>
          <w:p w14:paraId="0D335FD2"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1026.  </w:t>
            </w:r>
            <w:r w:rsidRPr="00F31413">
              <w:rPr>
                <w:rFonts w:ascii="Times New Roman" w:hAnsi="Times New Roman" w:cs="Times New Roman"/>
                <w:iCs/>
                <w:sz w:val="24"/>
                <w:szCs w:val="24"/>
              </w:rPr>
              <w:t>Dažādas budžeta iestādes amatpersonas var uzlikt sodu privātpersonām, kuras pēc šo amatpersonu ieskata ir pārkāpušas likumu. Šādos gadījumos personai parasti ir izvēles iespēja samaksāt sodu vai pārsūdzēt šo lēmumu tiesā. Ja atbildētājs vienojas ar prokuroru par soda nomaksu, tādējādi izvairoties no tiesvedības, attiecīgais notikums tiek uzskatīts par sodu.</w:t>
            </w:r>
          </w:p>
          <w:p w14:paraId="06EFABC5"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1027.  </w:t>
            </w:r>
            <w:r w:rsidRPr="00F31413">
              <w:rPr>
                <w:rFonts w:ascii="Times New Roman" w:hAnsi="Times New Roman" w:cs="Times New Roman"/>
                <w:iCs/>
                <w:sz w:val="24"/>
                <w:szCs w:val="24"/>
              </w:rPr>
              <w:t xml:space="preserve">Budžeta iestāde atzīst ieņēmumus no sodiem, kad saņemamā summa atbilst aktīva definīcijai un aktīva atzīšanas kritērijiem, kā noteikts </w:t>
            </w:r>
            <w:r>
              <w:rPr>
                <w:rFonts w:ascii="Times New Roman" w:hAnsi="Times New Roman" w:cs="Times New Roman"/>
                <w:iCs/>
                <w:sz w:val="24"/>
                <w:szCs w:val="24"/>
              </w:rPr>
              <w:t>Grāmatvedības uzskaites kārtības</w:t>
            </w:r>
            <w:r w:rsidRPr="00F31413">
              <w:rPr>
                <w:rFonts w:ascii="Times New Roman" w:hAnsi="Times New Roman" w:cs="Times New Roman"/>
                <w:iCs/>
                <w:sz w:val="24"/>
                <w:szCs w:val="24"/>
              </w:rPr>
              <w:t xml:space="preserve"> apakšnodaļā “Pārvedumu uzskaites pamatprincipi”.</w:t>
            </w:r>
          </w:p>
          <w:p w14:paraId="339D6C0D"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1028.  </w:t>
            </w:r>
            <w:r w:rsidRPr="00F31413">
              <w:rPr>
                <w:rFonts w:ascii="Times New Roman" w:hAnsi="Times New Roman" w:cs="Times New Roman"/>
                <w:iCs/>
                <w:sz w:val="24"/>
                <w:szCs w:val="24"/>
              </w:rPr>
              <w:t>Budžeta iestāde sodus uzskaita zembilancē no dienas, kad tai rodas likumīgas tiesības iekasēt attiecīgo sodu, bet bilancē – no dienas, kad soda saņemšana ir droši ticama.</w:t>
            </w:r>
          </w:p>
          <w:p w14:paraId="3946ED2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1029.  </w:t>
            </w:r>
            <w:r w:rsidRPr="00F31413">
              <w:rPr>
                <w:rFonts w:ascii="Times New Roman" w:hAnsi="Times New Roman" w:cs="Times New Roman"/>
                <w:iCs/>
                <w:sz w:val="24"/>
                <w:szCs w:val="24"/>
              </w:rPr>
              <w:t>Soda saņemšana tiek uzskatīta kā droši ticama agrākajā no notikumiem, kad naudas līdzekļi tiek saņemti vai kad soda maksātājs ir rakstiski apstiprinājis, ka veiks soda samaksu.</w:t>
            </w:r>
          </w:p>
          <w:p w14:paraId="71043D51"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1030.  </w:t>
            </w:r>
            <w:r w:rsidRPr="00F31413">
              <w:rPr>
                <w:rFonts w:ascii="Times New Roman" w:hAnsi="Times New Roman" w:cs="Times New Roman"/>
                <w:iCs/>
                <w:sz w:val="24"/>
                <w:szCs w:val="24"/>
              </w:rPr>
              <w:t>Gadījumos, kad budžeta iestāde iekasē soda naudu kādas citas budžeta iestādes vārdā, tā veic ieņēmumu no soda naudām uzskaiti atsevišķi no savas saimnieciskās darbības uzskaites un sagatavo atsevišķu finanšu pārskatu, kurā uzrāda sodu administrēšanas rezultātu.</w:t>
            </w:r>
          </w:p>
          <w:p w14:paraId="4AB131F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b/>
                <w:bCs/>
                <w:iCs/>
                <w:sz w:val="24"/>
                <w:szCs w:val="24"/>
              </w:rPr>
              <w:t>Grāmatojumi</w:t>
            </w:r>
          </w:p>
          <w:p w14:paraId="0AD63C47"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1031.  Budžeta iestāde uzlikto naudas sodu uzskaita zembilancē, pamatojoties uz aprēķinu un/vai lēmumu, administratīvo aktu vai citu attaisnojuma dokumentu, veicot šādu grāmatojumu:</w:t>
            </w:r>
          </w:p>
          <w:p w14:paraId="57D33314"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Grāmatojums Nr. 1</w:t>
            </w:r>
          </w:p>
          <w:p w14:paraId="5C5B6473"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9130</w:t>
            </w:r>
            <w:r w:rsidRPr="00F31413">
              <w:rPr>
                <w:rFonts w:ascii="Times New Roman" w:hAnsi="Times New Roman" w:cs="Times New Roman"/>
                <w:b/>
                <w:bCs/>
                <w:iCs/>
                <w:sz w:val="24"/>
                <w:szCs w:val="24"/>
              </w:rPr>
              <w:tab/>
              <w:t>Aprēķinātie līgumsodi, naudas sodi, soda naudas un kavējuma naudas</w:t>
            </w:r>
          </w:p>
          <w:p w14:paraId="392975FB"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9xxx</w:t>
            </w:r>
            <w:r w:rsidRPr="00F31413">
              <w:rPr>
                <w:rFonts w:ascii="Times New Roman" w:hAnsi="Times New Roman" w:cs="Times New Roman"/>
                <w:b/>
                <w:bCs/>
                <w:iCs/>
                <w:sz w:val="24"/>
                <w:szCs w:val="24"/>
              </w:rPr>
              <w:tab/>
              <w:t>Zembilances pretkonts*</w:t>
            </w:r>
          </w:p>
          <w:p w14:paraId="069FEEBC" w14:textId="77777777" w:rsidR="00F31413" w:rsidRPr="00F31413" w:rsidRDefault="00F31413" w:rsidP="00CD363C">
            <w:pPr>
              <w:tabs>
                <w:tab w:val="left" w:pos="330"/>
              </w:tabs>
              <w:spacing w:after="0" w:line="240" w:lineRule="auto"/>
              <w:ind w:right="113"/>
              <w:jc w:val="both"/>
              <w:rPr>
                <w:rFonts w:ascii="Times New Roman" w:hAnsi="Times New Roman" w:cs="Times New Roman"/>
                <w:i/>
                <w:sz w:val="24"/>
                <w:szCs w:val="24"/>
              </w:rPr>
            </w:pPr>
            <w:r w:rsidRPr="00F31413">
              <w:rPr>
                <w:rFonts w:ascii="Times New Roman" w:hAnsi="Times New Roman" w:cs="Times New Roman"/>
                <w:b/>
                <w:bCs/>
                <w:iCs/>
                <w:sz w:val="24"/>
                <w:szCs w:val="24"/>
              </w:rPr>
              <w:t>*</w:t>
            </w:r>
            <w:r w:rsidRPr="00F31413">
              <w:rPr>
                <w:rFonts w:ascii="Times New Roman" w:hAnsi="Times New Roman" w:cs="Times New Roman"/>
                <w:i/>
                <w:sz w:val="24"/>
                <w:szCs w:val="24"/>
              </w:rPr>
              <w:tab/>
              <w:t>Zembilances pretkonts ir tehniskais konts, kurš nodrošina grāmatvedības uzskaites sistēmās zembilances uzskaiti pēc divkārša ieraksta principa. Budžeta iestāde var izvēlēties arī citu tehniskā konta lietošanu zembilances darījuma uzskaitei.</w:t>
            </w:r>
          </w:p>
          <w:p w14:paraId="40965FE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1032.  </w:t>
            </w:r>
            <w:r w:rsidRPr="00F31413">
              <w:rPr>
                <w:rFonts w:ascii="Times New Roman" w:hAnsi="Times New Roman" w:cs="Times New Roman"/>
                <w:iCs/>
                <w:sz w:val="24"/>
                <w:szCs w:val="24"/>
              </w:rPr>
              <w:t>Gadījumos, kad uzliktā naudas soda maksājuma saņemšana ir droši ticama, balstoties uz saņemtajiem naudas līdzekļiem - ieņēmumus no naudas sodiem uzskaita dienā, kad saņemts maksājums budžeta iestādes kontā Valsts kasē vai kredītiestādes kontā. Maksājuma saņemšanas dienā budžeta iestāde atzīst naudas līdzekļu palielinājumu un pamatdarbības ieņēmumus un veic šādu grāmatojumu:</w:t>
            </w:r>
          </w:p>
          <w:p w14:paraId="63E96D2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iCs/>
                <w:sz w:val="24"/>
                <w:szCs w:val="24"/>
              </w:rPr>
              <w:t>Grāmatojums Nr. 2</w:t>
            </w:r>
          </w:p>
          <w:p w14:paraId="0D0CEA9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sidRPr="00F31413">
              <w:rPr>
                <w:rFonts w:ascii="Times New Roman" w:hAnsi="Times New Roman" w:cs="Times New Roman"/>
                <w:b/>
                <w:bCs/>
                <w:iCs/>
                <w:sz w:val="24"/>
                <w:szCs w:val="24"/>
              </w:rPr>
              <w:tab/>
              <w:t>2620</w:t>
            </w:r>
            <w:r w:rsidRPr="00F31413">
              <w:rPr>
                <w:rFonts w:ascii="Times New Roman" w:hAnsi="Times New Roman" w:cs="Times New Roman"/>
                <w:b/>
                <w:bCs/>
                <w:iCs/>
                <w:sz w:val="24"/>
                <w:szCs w:val="24"/>
              </w:rPr>
              <w:tab/>
              <w:t>Norēķinu konti Valsts kasē vai kredītiestādēs vai citās institūcijās</w:t>
            </w:r>
          </w:p>
          <w:p w14:paraId="438FE3D7" w14:textId="77777777" w:rsid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6</w:t>
            </w:r>
            <w:r w:rsidRPr="00F31413">
              <w:rPr>
                <w:rFonts w:ascii="Times New Roman" w:hAnsi="Times New Roman" w:cs="Times New Roman"/>
                <w:b/>
                <w:bCs/>
                <w:iCs/>
                <w:sz w:val="24"/>
                <w:szCs w:val="24"/>
              </w:rPr>
              <w:t>000</w:t>
            </w:r>
            <w:r w:rsidRPr="00F31413">
              <w:rPr>
                <w:rFonts w:ascii="Times New Roman" w:hAnsi="Times New Roman" w:cs="Times New Roman"/>
                <w:b/>
                <w:bCs/>
                <w:iCs/>
                <w:sz w:val="24"/>
                <w:szCs w:val="24"/>
              </w:rPr>
              <w:tab/>
              <w:t>Pamatdarbības ieņēmumi</w:t>
            </w:r>
          </w:p>
          <w:p w14:paraId="0224922A" w14:textId="77777777" w:rsidR="008205B3" w:rsidRPr="008205B3" w:rsidRDefault="008205B3" w:rsidP="00CD363C">
            <w:pPr>
              <w:tabs>
                <w:tab w:val="left" w:pos="330"/>
              </w:tabs>
              <w:spacing w:after="0" w:line="240" w:lineRule="auto"/>
              <w:ind w:right="113"/>
              <w:jc w:val="both"/>
              <w:rPr>
                <w:rFonts w:ascii="Times New Roman" w:hAnsi="Times New Roman" w:cs="Times New Roman"/>
                <w:i/>
                <w:sz w:val="24"/>
                <w:szCs w:val="24"/>
              </w:rPr>
            </w:pPr>
            <w:r w:rsidRPr="008205B3">
              <w:rPr>
                <w:rFonts w:ascii="Times New Roman" w:hAnsi="Times New Roman" w:cs="Times New Roman"/>
                <w:i/>
                <w:sz w:val="24"/>
                <w:szCs w:val="24"/>
              </w:rPr>
              <w:t>* ja sods nav atzīstams par droši ticamu pilnā apmērā, budžeta iestāde to soda daļu (apmēru), kas nav atzīstama par droši ticamu, uzskaita zembilancē</w:t>
            </w:r>
          </w:p>
          <w:p w14:paraId="50080DAE"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1033.  Saņemot naudas soda maksājumu, budžeta iestāde samazina zembilances prasības par iepriekš zembilancē uzskaitīto sodu iekasētās soda naudas maksājuma apmērā un veic šādu grāmatojumu:</w:t>
            </w:r>
          </w:p>
          <w:p w14:paraId="60019D6F"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sidRPr="008205B3">
              <w:rPr>
                <w:rFonts w:ascii="Times New Roman" w:hAnsi="Times New Roman" w:cs="Times New Roman"/>
                <w:iCs/>
                <w:sz w:val="24"/>
                <w:szCs w:val="24"/>
              </w:rPr>
              <w:t>Grāmatojums Nr. 3</w:t>
            </w:r>
          </w:p>
          <w:p w14:paraId="39019845"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9xxxx</w:t>
            </w:r>
            <w:r w:rsidRPr="008205B3">
              <w:rPr>
                <w:rFonts w:ascii="Times New Roman" w:hAnsi="Times New Roman" w:cs="Times New Roman"/>
                <w:b/>
                <w:bCs/>
                <w:iCs/>
                <w:sz w:val="24"/>
                <w:szCs w:val="24"/>
              </w:rPr>
              <w:tab/>
              <w:t>Zembilances pretkonts</w:t>
            </w:r>
          </w:p>
          <w:p w14:paraId="0D3B6CF4"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9130</w:t>
            </w:r>
            <w:r w:rsidRPr="008205B3">
              <w:rPr>
                <w:rFonts w:ascii="Times New Roman" w:hAnsi="Times New Roman" w:cs="Times New Roman"/>
                <w:b/>
                <w:bCs/>
                <w:iCs/>
                <w:sz w:val="24"/>
                <w:szCs w:val="24"/>
              </w:rPr>
              <w:tab/>
              <w:t>Aprēķinātie līgumsodi, naudas sodi, soda naudas un kavējuma naudas</w:t>
            </w:r>
          </w:p>
          <w:p w14:paraId="3BCF96F8"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1034.  </w:t>
            </w:r>
            <w:r w:rsidRPr="008205B3">
              <w:rPr>
                <w:rFonts w:ascii="Times New Roman" w:hAnsi="Times New Roman" w:cs="Times New Roman"/>
                <w:iCs/>
                <w:sz w:val="24"/>
                <w:szCs w:val="24"/>
              </w:rPr>
              <w:t>Gadījumos, kad uzliktā soda maksājuma saņemšana ir droši ticama, balstoties uz saņemto rakstisko apliecinājumu no soda maksātāja, budžeta iestāde atzīst prasību par saņemamo soda naudu un ieņēmumus un veic šādu grāmatojumu:</w:t>
            </w:r>
          </w:p>
          <w:p w14:paraId="25DF8921"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Grāmatojums Nr. 4</w:t>
            </w:r>
          </w:p>
          <w:p w14:paraId="0B9C7316"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2300</w:t>
            </w:r>
            <w:r w:rsidRPr="008205B3">
              <w:rPr>
                <w:rFonts w:ascii="Times New Roman" w:hAnsi="Times New Roman" w:cs="Times New Roman"/>
                <w:b/>
                <w:bCs/>
                <w:iCs/>
                <w:sz w:val="24"/>
                <w:szCs w:val="24"/>
              </w:rPr>
              <w:tab/>
              <w:t>Īstermiņa prasības*</w:t>
            </w:r>
          </w:p>
          <w:p w14:paraId="0BF7BA09"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6000</w:t>
            </w:r>
            <w:r w:rsidRPr="008205B3">
              <w:rPr>
                <w:rFonts w:ascii="Times New Roman" w:hAnsi="Times New Roman" w:cs="Times New Roman"/>
                <w:b/>
                <w:bCs/>
                <w:iCs/>
                <w:sz w:val="24"/>
                <w:szCs w:val="24"/>
              </w:rPr>
              <w:tab/>
              <w:t>Pamatdarbības ieņēmumi</w:t>
            </w:r>
          </w:p>
          <w:p w14:paraId="39A890BC" w14:textId="77777777" w:rsidR="008205B3" w:rsidRPr="008205B3" w:rsidRDefault="008205B3" w:rsidP="00CD363C">
            <w:pPr>
              <w:tabs>
                <w:tab w:val="left" w:pos="330"/>
              </w:tabs>
              <w:spacing w:after="0" w:line="240" w:lineRule="auto"/>
              <w:ind w:right="113"/>
              <w:jc w:val="both"/>
              <w:rPr>
                <w:rFonts w:ascii="Times New Roman" w:hAnsi="Times New Roman" w:cs="Times New Roman"/>
                <w:i/>
                <w:sz w:val="24"/>
                <w:szCs w:val="24"/>
              </w:rPr>
            </w:pPr>
            <w:r w:rsidRPr="008205B3">
              <w:rPr>
                <w:rFonts w:ascii="Times New Roman" w:hAnsi="Times New Roman" w:cs="Times New Roman"/>
                <w:b/>
                <w:bCs/>
                <w:iCs/>
                <w:sz w:val="24"/>
                <w:szCs w:val="24"/>
              </w:rPr>
              <w:t xml:space="preserve">* </w:t>
            </w:r>
            <w:r w:rsidRPr="008205B3">
              <w:rPr>
                <w:rFonts w:ascii="Times New Roman" w:hAnsi="Times New Roman" w:cs="Times New Roman"/>
                <w:i/>
                <w:sz w:val="24"/>
                <w:szCs w:val="24"/>
              </w:rPr>
              <w:t>ja sods nav atzīstams par droši ticamu pilnā apmērā, budžeta iestāde to soda daļu (apmēru), kas nav atzīstama par droši ticamu, uzskaita zembilancē</w:t>
            </w:r>
          </w:p>
          <w:p w14:paraId="12C54F3F"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1035.  Saņemot soda maksājumu, tā saņemšanas dienā budžeta iestāde atzīst naudas līdzekļu palielinājumu un samazina iepriekš atzītās prasības par uzlikto sodu, un veic šādu grāmatojumu:</w:t>
            </w:r>
          </w:p>
          <w:p w14:paraId="367DDA49"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Grāmatojums Nr. 5</w:t>
            </w:r>
          </w:p>
          <w:p w14:paraId="152BF76B"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2620</w:t>
            </w:r>
            <w:r w:rsidRPr="008205B3">
              <w:rPr>
                <w:rFonts w:ascii="Times New Roman" w:hAnsi="Times New Roman" w:cs="Times New Roman"/>
                <w:b/>
                <w:bCs/>
                <w:iCs/>
                <w:sz w:val="24"/>
                <w:szCs w:val="24"/>
              </w:rPr>
              <w:tab/>
              <w:t>Norēķinu konti Valsts kasē vai kredītiestādēs vai citās institūcijās</w:t>
            </w:r>
          </w:p>
          <w:p w14:paraId="52BF6FA1" w14:textId="77777777" w:rsidR="00F3141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2300</w:t>
            </w:r>
            <w:r w:rsidRPr="008205B3">
              <w:rPr>
                <w:rFonts w:ascii="Times New Roman" w:hAnsi="Times New Roman" w:cs="Times New Roman"/>
                <w:b/>
                <w:bCs/>
                <w:iCs/>
                <w:sz w:val="24"/>
                <w:szCs w:val="24"/>
              </w:rPr>
              <w:tab/>
              <w:t>Īstermiņa prasības</w:t>
            </w:r>
          </w:p>
          <w:p w14:paraId="152A5054"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p>
          <w:p w14:paraId="13585C04"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p>
          <w:p w14:paraId="3FCED374"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Piemēri</w:t>
            </w:r>
          </w:p>
          <w:p w14:paraId="7C92E659"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1036.   </w:t>
            </w:r>
            <w:r w:rsidRPr="002D6EFD">
              <w:rPr>
                <w:rFonts w:ascii="Times New Roman" w:hAnsi="Times New Roman" w:cs="Times New Roman"/>
                <w:iCs/>
                <w:sz w:val="24"/>
                <w:szCs w:val="24"/>
              </w:rPr>
              <w:t>Valsts vides dienests kādu uzņēmumu atzīst par vainīgu nopietna kaitējuma videi nodarīšanā. Saskaņā ar Valsts vides dienesta lēmumu uzņēmumam ir jāveic sanācijas pasākumi nodarītā kaitējuma seku mazināšanai un jāmaksā naudas sods. Lēmums nav pārsūdzams, un uzņēmums ir apstiprinājis (rakstveidā) naudas soda nomaksu. Uzņēmumam ir stabils finansiālais stāvoklis, un tas var samaksāt piespriesto sodu. Atbilstoši MK noteikumos par grāmatvedību noteiktajam aktīvus un ieņēmumus no saņemtā aktīva atzīst, ja aktīvs atbilst definētajiem aktīva atzīšanas kritērijiem – pastāv liela varbūtība par aktīva saņemšanu un aktīva vērtību var ticami novērtēt. Valsts vides dienests uzrāda prasību un ieņēmumus savā finanšu pārskatā tajā periodā, kurā sods ir atzīts par ticamu (skatīt grāmatojumu zemāk).</w:t>
            </w:r>
          </w:p>
          <w:p w14:paraId="2A9BE30A"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w:t>
            </w:r>
            <w:r>
              <w:rPr>
                <w:rFonts w:ascii="Times New Roman" w:hAnsi="Times New Roman" w:cs="Times New Roman"/>
                <w:iCs/>
                <w:sz w:val="24"/>
                <w:szCs w:val="24"/>
              </w:rPr>
              <w:t>:</w:t>
            </w:r>
          </w:p>
          <w:p w14:paraId="3961B01B" w14:textId="77777777" w:rsidR="002D6EFD" w:rsidRP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2D6EFD">
              <w:rPr>
                <w:rFonts w:ascii="Times New Roman" w:hAnsi="Times New Roman" w:cs="Times New Roman"/>
                <w:b/>
                <w:bCs/>
                <w:iCs/>
                <w:sz w:val="24"/>
                <w:szCs w:val="24"/>
              </w:rPr>
              <w:t>D</w:t>
            </w:r>
            <w:r w:rsidRPr="002D6EFD">
              <w:rPr>
                <w:rFonts w:ascii="Times New Roman" w:hAnsi="Times New Roman" w:cs="Times New Roman"/>
                <w:b/>
                <w:bCs/>
                <w:iCs/>
                <w:sz w:val="24"/>
                <w:szCs w:val="24"/>
              </w:rPr>
              <w:tab/>
              <w:t>2300</w:t>
            </w:r>
            <w:r w:rsidRPr="002D6EFD">
              <w:rPr>
                <w:rFonts w:ascii="Times New Roman" w:hAnsi="Times New Roman" w:cs="Times New Roman"/>
                <w:b/>
                <w:bCs/>
                <w:iCs/>
                <w:sz w:val="24"/>
                <w:szCs w:val="24"/>
              </w:rPr>
              <w:tab/>
              <w:t>Īstermiņa prasības</w:t>
            </w:r>
          </w:p>
          <w:p w14:paraId="73ADBB7F"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2D6EFD">
              <w:rPr>
                <w:rFonts w:ascii="Times New Roman" w:hAnsi="Times New Roman" w:cs="Times New Roman"/>
                <w:b/>
                <w:bCs/>
                <w:iCs/>
                <w:sz w:val="24"/>
                <w:szCs w:val="24"/>
              </w:rPr>
              <w:t xml:space="preserve">    K</w:t>
            </w:r>
            <w:r w:rsidRPr="002D6EFD">
              <w:rPr>
                <w:rFonts w:ascii="Times New Roman" w:hAnsi="Times New Roman" w:cs="Times New Roman"/>
                <w:b/>
                <w:bCs/>
                <w:iCs/>
                <w:sz w:val="24"/>
                <w:szCs w:val="24"/>
              </w:rPr>
              <w:tab/>
              <w:t>6000</w:t>
            </w:r>
            <w:r w:rsidRPr="002D6EFD">
              <w:rPr>
                <w:rFonts w:ascii="Times New Roman" w:hAnsi="Times New Roman" w:cs="Times New Roman"/>
                <w:b/>
                <w:bCs/>
                <w:iCs/>
                <w:sz w:val="24"/>
                <w:szCs w:val="24"/>
              </w:rPr>
              <w:tab/>
              <w:t>Pamatdarbības ieņēmumi</w:t>
            </w:r>
          </w:p>
          <w:p w14:paraId="6AFEE01C"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1037.   </w:t>
            </w:r>
            <w:r w:rsidRPr="002D6EFD">
              <w:rPr>
                <w:rFonts w:ascii="Times New Roman" w:hAnsi="Times New Roman" w:cs="Times New Roman"/>
                <w:iCs/>
                <w:sz w:val="24"/>
                <w:szCs w:val="24"/>
              </w:rPr>
              <w:t>Fiziskā persona nav veicis maksājumu budžetā atbilstošajā termiņā. Pārskata perioda beigās budžeta iestāde novērtē maksājumus, veic nokavējuma naudas un attiecīgā maksājuma pārrēķinu, ko nosūta rakstveidā fiziskajai personai. Aprēķināto nokavējuma naudu uzskaita zembilancē. Maksājuma saņemšanas dienā budžeta iestāde atzīst ieņēmumus no saņemtās nokavējuma naudas un samazina uzkrātās prasības (zembilancē) par nokavējuma naudu.</w:t>
            </w:r>
          </w:p>
          <w:p w14:paraId="4EE87E71"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 – aprēķināto nokavējuma naudu uzskaita zembilancē</w:t>
            </w:r>
            <w:r>
              <w:rPr>
                <w:rFonts w:ascii="Times New Roman" w:hAnsi="Times New Roman" w:cs="Times New Roman"/>
                <w:iCs/>
                <w:sz w:val="24"/>
                <w:szCs w:val="24"/>
              </w:rPr>
              <w:t>:</w:t>
            </w:r>
            <w:r w:rsidRPr="002D6EFD">
              <w:rPr>
                <w:rFonts w:ascii="Times New Roman" w:hAnsi="Times New Roman" w:cs="Times New Roman"/>
                <w:iCs/>
                <w:sz w:val="24"/>
                <w:szCs w:val="24"/>
              </w:rPr>
              <w:t xml:space="preserve"> </w:t>
            </w:r>
          </w:p>
          <w:p w14:paraId="4847A106"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9130</w:t>
            </w:r>
            <w:r w:rsidRPr="00E56070">
              <w:rPr>
                <w:rFonts w:ascii="Times New Roman" w:hAnsi="Times New Roman" w:cs="Times New Roman"/>
                <w:b/>
                <w:bCs/>
                <w:iCs/>
                <w:sz w:val="24"/>
                <w:szCs w:val="24"/>
              </w:rPr>
              <w:tab/>
              <w:t>Aprēķinātie līgumsodi, naudas sodi, soda naudas un kavējuma naudas</w:t>
            </w:r>
          </w:p>
          <w:p w14:paraId="7EF93333"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9xxx</w:t>
            </w:r>
            <w:r w:rsidRPr="00E56070">
              <w:rPr>
                <w:rFonts w:ascii="Times New Roman" w:hAnsi="Times New Roman" w:cs="Times New Roman"/>
                <w:b/>
                <w:bCs/>
                <w:iCs/>
                <w:sz w:val="24"/>
                <w:szCs w:val="24"/>
              </w:rPr>
              <w:tab/>
              <w:t>Zembilances pretkonts</w:t>
            </w:r>
          </w:p>
          <w:p w14:paraId="392E2B6E"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 – nokavējuma naudas maksājuma saņemšanas dienā atzīst ieņēmumus no saņemtās no</w:t>
            </w:r>
            <w:r>
              <w:rPr>
                <w:rFonts w:ascii="Times New Roman" w:hAnsi="Times New Roman" w:cs="Times New Roman"/>
                <w:iCs/>
                <w:sz w:val="24"/>
                <w:szCs w:val="24"/>
              </w:rPr>
              <w:t>k</w:t>
            </w:r>
            <w:r w:rsidRPr="002D6EFD">
              <w:rPr>
                <w:rFonts w:ascii="Times New Roman" w:hAnsi="Times New Roman" w:cs="Times New Roman"/>
                <w:iCs/>
                <w:sz w:val="24"/>
                <w:szCs w:val="24"/>
              </w:rPr>
              <w:t>avējuma naudas</w:t>
            </w:r>
            <w:r>
              <w:rPr>
                <w:rFonts w:ascii="Times New Roman" w:hAnsi="Times New Roman" w:cs="Times New Roman"/>
                <w:iCs/>
                <w:sz w:val="24"/>
                <w:szCs w:val="24"/>
              </w:rPr>
              <w:t>:</w:t>
            </w:r>
          </w:p>
          <w:p w14:paraId="3B44F733"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2620</w:t>
            </w:r>
            <w:r w:rsidRPr="00E56070">
              <w:rPr>
                <w:rFonts w:ascii="Times New Roman" w:hAnsi="Times New Roman" w:cs="Times New Roman"/>
                <w:b/>
                <w:bCs/>
                <w:iCs/>
                <w:sz w:val="24"/>
                <w:szCs w:val="24"/>
              </w:rPr>
              <w:tab/>
              <w:t>Norēķinu konti Valsts kasē vai kredītiestādēs vai citās institūcijās</w:t>
            </w:r>
          </w:p>
          <w:p w14:paraId="5FCC2A01"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6000</w:t>
            </w:r>
            <w:r w:rsidRPr="00E56070">
              <w:rPr>
                <w:rFonts w:ascii="Times New Roman" w:hAnsi="Times New Roman" w:cs="Times New Roman"/>
                <w:b/>
                <w:bCs/>
                <w:iCs/>
                <w:sz w:val="24"/>
                <w:szCs w:val="24"/>
              </w:rPr>
              <w:tab/>
              <w:t>Pamatdarbības ieņēmumi</w:t>
            </w:r>
          </w:p>
          <w:p w14:paraId="36745755"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 - nokavējuma naudas maksājuma saņemšanas dienā dzēš iepriekš zembilancē atzītās nokavējuma naudas prasības iekasētās nokavējuma naudas apmērā</w:t>
            </w:r>
            <w:r>
              <w:rPr>
                <w:rFonts w:ascii="Times New Roman" w:hAnsi="Times New Roman" w:cs="Times New Roman"/>
                <w:iCs/>
                <w:sz w:val="24"/>
                <w:szCs w:val="24"/>
              </w:rPr>
              <w:t>:</w:t>
            </w:r>
          </w:p>
          <w:p w14:paraId="28473218"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9xxx</w:t>
            </w:r>
            <w:r w:rsidRPr="00E56070">
              <w:rPr>
                <w:rFonts w:ascii="Times New Roman" w:hAnsi="Times New Roman" w:cs="Times New Roman"/>
                <w:b/>
                <w:bCs/>
                <w:iCs/>
                <w:sz w:val="24"/>
                <w:szCs w:val="24"/>
              </w:rPr>
              <w:tab/>
              <w:t>Zembilances pretkonts</w:t>
            </w:r>
          </w:p>
          <w:p w14:paraId="4E5990DE"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9130</w:t>
            </w:r>
            <w:r w:rsidRPr="00E56070">
              <w:rPr>
                <w:rFonts w:ascii="Times New Roman" w:hAnsi="Times New Roman" w:cs="Times New Roman"/>
                <w:b/>
                <w:bCs/>
                <w:iCs/>
                <w:sz w:val="24"/>
                <w:szCs w:val="24"/>
              </w:rPr>
              <w:tab/>
              <w:t>Aprēķinātie līgumsodi, naudas sodi, soda naudas un kavējuma naudas</w:t>
            </w:r>
          </w:p>
          <w:p w14:paraId="5D177FCB" w14:textId="77777777" w:rsidR="00E56070" w:rsidRDefault="00E56070"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E56070">
              <w:rPr>
                <w:rFonts w:ascii="Times New Roman" w:hAnsi="Times New Roman" w:cs="Times New Roman"/>
                <w:b/>
                <w:bCs/>
                <w:i/>
                <w:color w:val="2F5496" w:themeColor="accent1" w:themeShade="BF"/>
                <w:sz w:val="24"/>
                <w:szCs w:val="24"/>
              </w:rPr>
              <w:t>22.3.1.8. Ieņēmumi no aizņēmumiem uz atvieglotiem nosacījumiem</w:t>
            </w:r>
          </w:p>
          <w:p w14:paraId="698E8535" w14:textId="77777777" w:rsid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Grāmatvedības uzskaites principi</w:t>
            </w:r>
          </w:p>
          <w:p w14:paraId="1B9922C4"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1038.   </w:t>
            </w:r>
            <w:r w:rsidRPr="00E56070">
              <w:rPr>
                <w:rFonts w:ascii="Times New Roman" w:hAnsi="Times New Roman" w:cs="Times New Roman"/>
                <w:iCs/>
                <w:sz w:val="24"/>
                <w:szCs w:val="24"/>
              </w:rPr>
              <w:t>Aizņēmumi ar atvieglotiem nosacījumiem ir budžeta iestādes saņemtie aizņēmumi, kuriem piemērotās procentu likmes ir zemākas par tirgus likmēm.</w:t>
            </w:r>
          </w:p>
          <w:p w14:paraId="5CD76AE1"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1039.   </w:t>
            </w:r>
            <w:r w:rsidRPr="00E56070">
              <w:rPr>
                <w:rFonts w:ascii="Times New Roman" w:hAnsi="Times New Roman" w:cs="Times New Roman"/>
                <w:iCs/>
                <w:sz w:val="24"/>
                <w:szCs w:val="24"/>
              </w:rPr>
              <w:t>Aizņēmuma atmaksājamā daļa kopā ar procentu maksājumiem ir uzskaitāma saskaņā ar Rokasgrāmatas sadaļu “Finanšu instrumentu uzskaite”. Vienlaikus budžeta iestāde izvērtē, vai starpība starp darījuma cenu (aizņēmuma summa) un aizņēmuma patieso vērtību sākotnējās atzīšanas dienā nav uzskatāma par ieņēmumiem, kas gūti darījumā bez atlīdzības, kas grāmatvedības uzskaitē būtu jāuzskaita saskaņā ar šajā Rokasgrāmatas sadaļā noteiktajiem uzskaites principiem.</w:t>
            </w:r>
          </w:p>
          <w:p w14:paraId="4F2C23FC" w14:textId="77777777" w:rsid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1040.   </w:t>
            </w:r>
            <w:r w:rsidRPr="00E56070">
              <w:rPr>
                <w:rFonts w:ascii="Times New Roman" w:hAnsi="Times New Roman" w:cs="Times New Roman"/>
                <w:iCs/>
                <w:sz w:val="24"/>
                <w:szCs w:val="24"/>
              </w:rPr>
              <w:t>Ja budžeta iestāde konstatē, ka starpība starp darījuma cenu (aizņēmuma summa) un tā patieso vērtību sākotnējās atzīšanas dienā ir uzskatāma par ieņēmumiem, kas gūti darījumā bez atlīdzības, budžeta iestāde atzīst šo starpību par ieņēmumiem, izņemot gadījumus, ja pastāv pašreizējs pienākums, piemēram, ja uz nodotajiem aktīviem ir attiecināti kādi īpaši nosacījumi, no kuriem izriet pašreizējs pienākums. Gadījumos, kad pastāv pašreizējs pienākums, aprēķināto starpību atzīst par saistībām. Izpildot attiecīgo nosacījumu, budžeta iestāde samazina saistības un palielina ieņēmumus attiecīgi par tādu pašu summu.</w:t>
            </w:r>
          </w:p>
          <w:p w14:paraId="6B6D6A1D" w14:textId="77777777" w:rsid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Grāmatojumi</w:t>
            </w:r>
          </w:p>
          <w:p w14:paraId="5F8CC621"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1041.   </w:t>
            </w:r>
            <w:r w:rsidRPr="00E56070">
              <w:rPr>
                <w:rFonts w:ascii="Times New Roman" w:hAnsi="Times New Roman" w:cs="Times New Roman"/>
                <w:iCs/>
                <w:sz w:val="24"/>
                <w:szCs w:val="24"/>
              </w:rPr>
              <w:t>Saņemot naudas līdzekļus norēķinu kontā, budžeta iestāde veic grāmatojumus darījuma oriģinālajā valūtā saskaņā ar noslēgto aizņēmuma līgumu.</w:t>
            </w:r>
          </w:p>
          <w:p w14:paraId="3699D9E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1042.    </w:t>
            </w:r>
            <w:r w:rsidRPr="00E56070">
              <w:rPr>
                <w:rFonts w:ascii="Times New Roman" w:hAnsi="Times New Roman" w:cs="Times New Roman"/>
                <w:iCs/>
                <w:sz w:val="24"/>
                <w:szCs w:val="24"/>
              </w:rPr>
              <w:t>Tā kā uz atvieglotiem nosacījumiem saņemtie aizņēmumi ir saņemti, piemērojot procentu likmes, kas ir zemākas par tirgus likmēm, darījuma cena sākotnējās atzīšanas dienā var nebūt šāda aizņēmuma patiesā vērtība. Tāpēc sākotnējās atzīšanas dienā budžeta iestāde izvērtē saņemtā aizņēmuma būtību pa tā sastāvdaļām un nosaka starpību starp saņemtā aizņēmuma summu un aizņēmuma pašreizējo vērtību, kas tiek diskontēta, izmantojot tirgus procenta likmi, un atzīst saistības, ja aizņēmuma līgumā ir iekļauti nosacījumi aizņēmuma izmantošanai, vai ieņēmumus, ja līgumā nav noteikti nosacījumi, minētās summas apmērā.</w:t>
            </w:r>
          </w:p>
          <w:p w14:paraId="4749145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1043.    </w:t>
            </w:r>
            <w:r w:rsidRPr="00E56070">
              <w:rPr>
                <w:rFonts w:ascii="Times New Roman" w:hAnsi="Times New Roman" w:cs="Times New Roman"/>
                <w:iCs/>
                <w:sz w:val="24"/>
                <w:szCs w:val="24"/>
              </w:rPr>
              <w:t>Naudas saņemšanas dienā veic šādus grāmatojumus:</w:t>
            </w:r>
          </w:p>
          <w:p w14:paraId="599E018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Grāmatojums Nr.1- ja aizņēmuma līgumā ir iekļauti nosacījumi</w:t>
            </w:r>
          </w:p>
          <w:p w14:paraId="1DAD9387"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2600</w:t>
            </w:r>
            <w:r w:rsidRPr="00E56070">
              <w:rPr>
                <w:rFonts w:ascii="Times New Roman" w:hAnsi="Times New Roman" w:cs="Times New Roman"/>
                <w:b/>
                <w:bCs/>
                <w:iCs/>
                <w:sz w:val="24"/>
                <w:szCs w:val="24"/>
              </w:rPr>
              <w:tab/>
              <w:t>Naudas līdzekļi</w:t>
            </w:r>
          </w:p>
          <w:p w14:paraId="270162B5"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5110</w:t>
            </w:r>
            <w:r w:rsidRPr="00E56070">
              <w:rPr>
                <w:rFonts w:ascii="Times New Roman" w:hAnsi="Times New Roman" w:cs="Times New Roman"/>
                <w:b/>
                <w:bCs/>
                <w:iCs/>
                <w:sz w:val="24"/>
                <w:szCs w:val="24"/>
              </w:rPr>
              <w:tab/>
              <w:t>Ilgtermiņa aizņēmumi (aizņēmuma pašreizējā vērtība)</w:t>
            </w:r>
          </w:p>
          <w:p w14:paraId="7B348A39"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5910</w:t>
            </w:r>
            <w:r w:rsidRPr="00E56070">
              <w:rPr>
                <w:rFonts w:ascii="Times New Roman" w:hAnsi="Times New Roman" w:cs="Times New Roman"/>
                <w:b/>
                <w:bCs/>
                <w:iCs/>
                <w:sz w:val="24"/>
                <w:szCs w:val="24"/>
              </w:rPr>
              <w:tab/>
              <w:t>Nākamo periodu ieņēmumi, saņemtie avansa maksājumi (diskontēšanas starpība)</w:t>
            </w:r>
          </w:p>
          <w:p w14:paraId="29A7B00F"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Grāmatojums Nr.2- ja aizņēmuma līgumā nav iekļauti nosacījumi</w:t>
            </w:r>
          </w:p>
          <w:p w14:paraId="2119F2F6"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2600</w:t>
            </w:r>
            <w:r w:rsidRPr="00E56070">
              <w:rPr>
                <w:rFonts w:ascii="Times New Roman" w:hAnsi="Times New Roman" w:cs="Times New Roman"/>
                <w:b/>
                <w:bCs/>
                <w:iCs/>
                <w:sz w:val="24"/>
                <w:szCs w:val="24"/>
              </w:rPr>
              <w:tab/>
              <w:t>Naudas līdzekļi</w:t>
            </w:r>
          </w:p>
          <w:p w14:paraId="7B8A9417"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5110</w:t>
            </w:r>
            <w:r w:rsidRPr="00E56070">
              <w:rPr>
                <w:rFonts w:ascii="Times New Roman" w:hAnsi="Times New Roman" w:cs="Times New Roman"/>
                <w:b/>
                <w:bCs/>
                <w:iCs/>
                <w:sz w:val="24"/>
                <w:szCs w:val="24"/>
              </w:rPr>
              <w:tab/>
              <w:t>Ilgtermiņa aizņēmumi (aizņēmuma pašreizējā vērtība)</w:t>
            </w:r>
          </w:p>
          <w:p w14:paraId="0E603690" w14:textId="77777777" w:rsid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8100</w:t>
            </w:r>
            <w:r w:rsidRPr="00E56070">
              <w:rPr>
                <w:rFonts w:ascii="Times New Roman" w:hAnsi="Times New Roman" w:cs="Times New Roman"/>
                <w:b/>
                <w:bCs/>
                <w:iCs/>
                <w:sz w:val="24"/>
                <w:szCs w:val="24"/>
              </w:rPr>
              <w:tab/>
              <w:t>Finanšu ieņēmumi (diskontēšanas starpība)</w:t>
            </w:r>
          </w:p>
          <w:p w14:paraId="1C19DDB3"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1044.   </w:t>
            </w:r>
            <w:r w:rsidRPr="00E56070">
              <w:rPr>
                <w:rFonts w:ascii="Times New Roman" w:hAnsi="Times New Roman" w:cs="Times New Roman"/>
                <w:iCs/>
                <w:sz w:val="24"/>
                <w:szCs w:val="24"/>
              </w:rPr>
              <w:t>Atbilstoši līguma nosacījumu izpildei pārskata gadā atzīst ieņēmumus un saistību samazinājumu.</w:t>
            </w:r>
          </w:p>
          <w:p w14:paraId="275AD60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Grāmatojums Nr.3</w:t>
            </w:r>
          </w:p>
          <w:p w14:paraId="62D16E48"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5110</w:t>
            </w:r>
            <w:r w:rsidRPr="00E56070">
              <w:rPr>
                <w:rFonts w:ascii="Times New Roman" w:hAnsi="Times New Roman" w:cs="Times New Roman"/>
                <w:b/>
                <w:bCs/>
                <w:iCs/>
                <w:sz w:val="24"/>
                <w:szCs w:val="24"/>
              </w:rPr>
              <w:tab/>
              <w:t>Ilgtermiņa aizņēmumi</w:t>
            </w:r>
          </w:p>
          <w:p w14:paraId="1780B2A6"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6000</w:t>
            </w:r>
            <w:r w:rsidRPr="00E56070">
              <w:rPr>
                <w:rFonts w:ascii="Times New Roman" w:hAnsi="Times New Roman" w:cs="Times New Roman"/>
                <w:b/>
                <w:bCs/>
                <w:iCs/>
                <w:sz w:val="24"/>
                <w:szCs w:val="24"/>
              </w:rPr>
              <w:tab/>
              <w:t>Pamatdarbības ieņēmumi</w:t>
            </w:r>
          </w:p>
          <w:p w14:paraId="3F5252C3"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Piemērs</w:t>
            </w:r>
          </w:p>
          <w:p w14:paraId="543DCF1E"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1045.   </w:t>
            </w:r>
            <w:r w:rsidRPr="00E56070">
              <w:rPr>
                <w:rFonts w:ascii="Times New Roman" w:hAnsi="Times New Roman" w:cs="Times New Roman"/>
                <w:iCs/>
                <w:sz w:val="24"/>
                <w:szCs w:val="24"/>
              </w:rPr>
              <w:t>Budžeta iestāde no attīstības aģentūras saņem 6 miljonus EUR lielu finansējumu 10 skolu būvniecībai nākamajos piecos gados. Finansējums piešķirts ar nosacījumu, ka 1 miljons EUR no piešķirtā finansējuma nav jāatmaksā gadījumā, ja skolas tiek uzceltas. Savukārt 5 miljoni EUR no piešķirtā finansējuma jāatmaksā sekojošā kārtībā:</w:t>
            </w:r>
          </w:p>
          <w:p w14:paraId="623F884A"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1.gadā: aizņēmums nav jāatmaksā;</w:t>
            </w:r>
          </w:p>
          <w:p w14:paraId="3A5C694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2.gadā: jāatmaksā 10% no aizņēmuma summas;</w:t>
            </w:r>
          </w:p>
          <w:p w14:paraId="063FC64D"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3.gadā: jāatmaksā 20% no aizņēmuma summas;</w:t>
            </w:r>
          </w:p>
          <w:p w14:paraId="57A734F7"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4.gadā: jāatmaksā 30% no aizņēmuma summas;</w:t>
            </w:r>
          </w:p>
          <w:p w14:paraId="44A7BC0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5.gadā: jāatmaksā 40% no aizņēmuma summas.</w:t>
            </w:r>
          </w:p>
          <w:p w14:paraId="71E51947"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Aizņēmuma periodā piemērotā procentu likme ir 5% gadā no atlikušās aizņēmuma summas (tiek pieņemts, ka procenti tiek maksāti reizi gadā). Līdzīgu aizņēmumu tirgus procentu likme ir 10%. Ja skolas netiek uzbūvētas, piešķirtais finansējums jāatdod pārveduma veicējam (tiek pieņemts, ka pārveduma veicējam ir efektīvas uzraudzības sistēmas un pieredze neizmantoto naudas līdzekļu atgūšanā). Budžeta iestādes aizņēmuma perioda laikā uzbūvētās skolas:</w:t>
            </w:r>
          </w:p>
          <w:p w14:paraId="7D07B69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1.gadā: pabeigta vienas skolas būvniecība;</w:t>
            </w:r>
          </w:p>
          <w:p w14:paraId="2BF4E48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2.gadā: pabeigta trīs skolu būvniecība;</w:t>
            </w:r>
          </w:p>
          <w:p w14:paraId="6CEFB38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3.gadā: pabeigta piecu skolu būvniecība;</w:t>
            </w:r>
          </w:p>
          <w:p w14:paraId="42C753DB"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4.gadā: pabeigta visu desmit skolu būvniecība.</w:t>
            </w:r>
          </w:p>
          <w:p w14:paraId="73E8BE50"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Budžeta iestāde faktiski saņēmusi 1 miljona EUR lielu dotāciju un aizņēmumu 5 miljonu EUR apmērā.</w:t>
            </w:r>
          </w:p>
          <w:p w14:paraId="42DA0763" w14:textId="77777777" w:rsid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1046.   </w:t>
            </w:r>
            <w:r w:rsidRPr="00E56070">
              <w:rPr>
                <w:rFonts w:ascii="Times New Roman" w:hAnsi="Times New Roman" w:cs="Times New Roman"/>
                <w:iCs/>
                <w:sz w:val="24"/>
                <w:szCs w:val="24"/>
              </w:rPr>
              <w:t xml:space="preserve">Tālāk sniegti grāmatojumi, detalizētas finanšu instrumentu uzskaites prasības, aprēķini un grāmatojumi apskatīti </w:t>
            </w:r>
            <w:r w:rsidR="00547A28">
              <w:rPr>
                <w:rFonts w:ascii="Times New Roman" w:hAnsi="Times New Roman" w:cs="Times New Roman"/>
                <w:iCs/>
                <w:sz w:val="24"/>
                <w:szCs w:val="24"/>
              </w:rPr>
              <w:t>Grāmatvedības uzskaites kārtības</w:t>
            </w:r>
            <w:r w:rsidRPr="00E56070">
              <w:rPr>
                <w:rFonts w:ascii="Times New Roman" w:hAnsi="Times New Roman" w:cs="Times New Roman"/>
                <w:iCs/>
                <w:sz w:val="24"/>
                <w:szCs w:val="24"/>
              </w:rPr>
              <w:t xml:space="preserve"> sadaļā “Finanšu instrumentu uzskaite”.</w:t>
            </w:r>
          </w:p>
          <w:p w14:paraId="415A326A" w14:textId="77777777" w:rsidR="00547A28" w:rsidRPr="00547A28" w:rsidRDefault="00547A28" w:rsidP="00CD363C">
            <w:pPr>
              <w:tabs>
                <w:tab w:val="left" w:pos="330"/>
              </w:tabs>
              <w:spacing w:after="0" w:line="240" w:lineRule="auto"/>
              <w:ind w:right="113"/>
              <w:jc w:val="both"/>
              <w:rPr>
                <w:rFonts w:ascii="Times New Roman" w:hAnsi="Times New Roman" w:cs="Times New Roman"/>
                <w:b/>
                <w:bCs/>
                <w:iCs/>
                <w:sz w:val="24"/>
                <w:szCs w:val="24"/>
              </w:rPr>
            </w:pPr>
            <w:r w:rsidRPr="00547A28">
              <w:rPr>
                <w:rFonts w:ascii="Times New Roman" w:hAnsi="Times New Roman" w:cs="Times New Roman"/>
                <w:b/>
                <w:bCs/>
                <w:iCs/>
                <w:sz w:val="24"/>
                <w:szCs w:val="24"/>
              </w:rPr>
              <w:t>Grāmatojumi</w:t>
            </w:r>
          </w:p>
          <w:p w14:paraId="3C4CD0FE" w14:textId="77777777" w:rsidR="00547A28" w:rsidRPr="00547A28" w:rsidRDefault="00547A28" w:rsidP="00CD363C">
            <w:pPr>
              <w:tabs>
                <w:tab w:val="left" w:pos="330"/>
              </w:tabs>
              <w:spacing w:after="0" w:line="240" w:lineRule="auto"/>
              <w:ind w:right="113"/>
              <w:jc w:val="both"/>
              <w:rPr>
                <w:rFonts w:ascii="Times New Roman" w:hAnsi="Times New Roman" w:cs="Times New Roman"/>
                <w:b/>
                <w:bCs/>
                <w:iCs/>
                <w:sz w:val="24"/>
                <w:szCs w:val="24"/>
              </w:rPr>
            </w:pPr>
            <w:r w:rsidRPr="00547A28">
              <w:rPr>
                <w:rFonts w:ascii="Times New Roman" w:hAnsi="Times New Roman" w:cs="Times New Roman"/>
                <w:b/>
                <w:bCs/>
                <w:iCs/>
                <w:noProof/>
                <w:sz w:val="24"/>
                <w:szCs w:val="24"/>
              </w:rPr>
              <w:drawing>
                <wp:inline distT="0" distB="0" distL="0" distR="0" wp14:anchorId="4F1F5FE0" wp14:editId="01ADF975">
                  <wp:extent cx="6276975"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76975" cy="3562350"/>
                          </a:xfrm>
                          <a:prstGeom prst="rect">
                            <a:avLst/>
                          </a:prstGeom>
                          <a:noFill/>
                          <a:ln>
                            <a:noFill/>
                          </a:ln>
                        </pic:spPr>
                      </pic:pic>
                    </a:graphicData>
                  </a:graphic>
                </wp:inline>
              </w:drawing>
            </w:r>
          </w:p>
          <w:p w14:paraId="69FA7ADC" w14:textId="77777777" w:rsidR="00547A28" w:rsidRPr="00E56070" w:rsidRDefault="00547A28" w:rsidP="00CD363C">
            <w:pPr>
              <w:tabs>
                <w:tab w:val="left" w:pos="330"/>
              </w:tabs>
              <w:spacing w:after="0" w:line="240" w:lineRule="auto"/>
              <w:ind w:right="113"/>
              <w:jc w:val="both"/>
              <w:rPr>
                <w:rFonts w:ascii="Times New Roman" w:hAnsi="Times New Roman" w:cs="Times New Roman"/>
                <w:b/>
                <w:bCs/>
                <w:iCs/>
                <w:sz w:val="24"/>
                <w:szCs w:val="24"/>
              </w:rPr>
            </w:pPr>
          </w:p>
        </w:tc>
        <w:tc>
          <w:tcPr>
            <w:tcW w:w="2268" w:type="dxa"/>
          </w:tcPr>
          <w:p w14:paraId="49483AEA" w14:textId="77777777" w:rsidR="00906836" w:rsidRPr="00906836" w:rsidRDefault="00906836" w:rsidP="00CD363C">
            <w:pPr>
              <w:pStyle w:val="TableParagraph"/>
              <w:ind w:left="-585" w:right="113" w:firstLine="789"/>
              <w:jc w:val="both"/>
              <w:rPr>
                <w:i/>
                <w:sz w:val="24"/>
                <w:szCs w:val="24"/>
              </w:rPr>
            </w:pPr>
          </w:p>
        </w:tc>
        <w:tc>
          <w:tcPr>
            <w:tcW w:w="4248" w:type="dxa"/>
          </w:tcPr>
          <w:p w14:paraId="7308F98C" w14:textId="77777777" w:rsidR="000152EE" w:rsidRPr="00906836" w:rsidRDefault="000152EE" w:rsidP="00CD363C">
            <w:pPr>
              <w:pStyle w:val="TableParagraph"/>
              <w:ind w:left="253" w:right="113"/>
              <w:jc w:val="both"/>
              <w:rPr>
                <w:i/>
                <w:sz w:val="24"/>
                <w:szCs w:val="24"/>
              </w:rPr>
            </w:pPr>
          </w:p>
        </w:tc>
      </w:tr>
      <w:tr w:rsidR="00547A28" w14:paraId="1CA6AAA9"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shd w:val="clear" w:color="auto" w:fill="F1F1F1"/>
          </w:tcPr>
          <w:p w14:paraId="395C1537" w14:textId="77777777" w:rsidR="00547A28" w:rsidRDefault="00547A28" w:rsidP="00CD363C">
            <w:pPr>
              <w:pStyle w:val="TableParagraph"/>
              <w:ind w:left="4" w:right="-142"/>
              <w:jc w:val="both"/>
            </w:pPr>
            <w:r>
              <w:rPr>
                <w:b/>
              </w:rPr>
              <w:t xml:space="preserve">2.gads: </w:t>
            </w:r>
            <w:r>
              <w:t>Ieņēmumu/izdevumu atzīšana (3/10 no uzbūvētajām skolām*1 784 500,00 EUR–jau atzītā summa)</w:t>
            </w:r>
          </w:p>
        </w:tc>
      </w:tr>
      <w:tr w:rsidR="00547A28" w14:paraId="50AEC1F9"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40EDDA67" w14:textId="77777777" w:rsidR="00547A28" w:rsidRDefault="00547A28" w:rsidP="00CD363C">
            <w:pPr>
              <w:pStyle w:val="TableParagraph"/>
              <w:ind w:left="107" w:right="-142"/>
              <w:jc w:val="both"/>
              <w:rPr>
                <w:b/>
                <w:sz w:val="20"/>
              </w:rPr>
            </w:pPr>
            <w:r>
              <w:rPr>
                <w:b/>
                <w:sz w:val="20"/>
              </w:rPr>
              <w:t>D K</w:t>
            </w:r>
          </w:p>
        </w:tc>
        <w:tc>
          <w:tcPr>
            <w:tcW w:w="992" w:type="dxa"/>
            <w:tcBorders>
              <w:bottom w:val="nil"/>
            </w:tcBorders>
          </w:tcPr>
          <w:p w14:paraId="7FE0866B" w14:textId="77777777" w:rsidR="00547A28" w:rsidRDefault="00547A28" w:rsidP="00CD363C">
            <w:pPr>
              <w:pStyle w:val="TableParagraph"/>
              <w:ind w:left="4" w:right="-142"/>
              <w:jc w:val="both"/>
              <w:rPr>
                <w:sz w:val="20"/>
              </w:rPr>
            </w:pPr>
            <w:r>
              <w:rPr>
                <w:sz w:val="20"/>
              </w:rPr>
              <w:t>5910</w:t>
            </w:r>
          </w:p>
        </w:tc>
        <w:tc>
          <w:tcPr>
            <w:tcW w:w="5528" w:type="dxa"/>
            <w:tcBorders>
              <w:bottom w:val="nil"/>
            </w:tcBorders>
          </w:tcPr>
          <w:p w14:paraId="6391B161" w14:textId="77777777" w:rsidR="00547A28" w:rsidRDefault="00547A28" w:rsidP="00CD363C">
            <w:pPr>
              <w:pStyle w:val="TableParagraph"/>
              <w:ind w:left="4" w:right="-142"/>
              <w:jc w:val="both"/>
              <w:rPr>
                <w:sz w:val="20"/>
              </w:rPr>
            </w:pPr>
            <w:r>
              <w:rPr>
                <w:sz w:val="20"/>
              </w:rPr>
              <w:t>Nākamo periodu ieņēmumi, saņemtie avansa maksājumi</w:t>
            </w:r>
          </w:p>
        </w:tc>
        <w:tc>
          <w:tcPr>
            <w:tcW w:w="2127" w:type="dxa"/>
            <w:tcBorders>
              <w:bottom w:val="nil"/>
            </w:tcBorders>
          </w:tcPr>
          <w:p w14:paraId="674EAF7A" w14:textId="77777777" w:rsidR="00547A28" w:rsidRDefault="00547A28" w:rsidP="00CD363C">
            <w:pPr>
              <w:pStyle w:val="TableParagraph"/>
              <w:ind w:left="4" w:right="-142"/>
              <w:jc w:val="both"/>
              <w:rPr>
                <w:sz w:val="20"/>
              </w:rPr>
            </w:pPr>
            <w:r>
              <w:rPr>
                <w:sz w:val="20"/>
              </w:rPr>
              <w:t>356 910,00 EUR</w:t>
            </w:r>
          </w:p>
        </w:tc>
      </w:tr>
      <w:tr w:rsidR="00547A28" w14:paraId="435078F7"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80"/>
        </w:trPr>
        <w:tc>
          <w:tcPr>
            <w:tcW w:w="989" w:type="dxa"/>
            <w:vMerge/>
            <w:tcBorders>
              <w:top w:val="nil"/>
            </w:tcBorders>
          </w:tcPr>
          <w:p w14:paraId="5B544173" w14:textId="77777777" w:rsidR="00547A28" w:rsidRDefault="00547A28" w:rsidP="00CD363C">
            <w:pPr>
              <w:spacing w:after="0" w:line="240" w:lineRule="auto"/>
              <w:ind w:right="-142"/>
              <w:jc w:val="both"/>
              <w:rPr>
                <w:sz w:val="2"/>
                <w:szCs w:val="2"/>
              </w:rPr>
            </w:pPr>
          </w:p>
        </w:tc>
        <w:tc>
          <w:tcPr>
            <w:tcW w:w="992" w:type="dxa"/>
            <w:tcBorders>
              <w:top w:val="nil"/>
            </w:tcBorders>
          </w:tcPr>
          <w:p w14:paraId="4A5FCA5E" w14:textId="77777777" w:rsidR="00547A28" w:rsidRDefault="00547A28" w:rsidP="00CD363C">
            <w:pPr>
              <w:pStyle w:val="TableParagraph"/>
              <w:ind w:left="4" w:right="-142"/>
              <w:jc w:val="both"/>
              <w:rPr>
                <w:sz w:val="20"/>
              </w:rPr>
            </w:pPr>
            <w:r>
              <w:rPr>
                <w:sz w:val="20"/>
              </w:rPr>
              <w:t>6000</w:t>
            </w:r>
          </w:p>
        </w:tc>
        <w:tc>
          <w:tcPr>
            <w:tcW w:w="5528" w:type="dxa"/>
            <w:tcBorders>
              <w:top w:val="nil"/>
            </w:tcBorders>
          </w:tcPr>
          <w:p w14:paraId="57E36013" w14:textId="77777777" w:rsidR="00547A28" w:rsidRDefault="00547A28" w:rsidP="00CD363C">
            <w:pPr>
              <w:pStyle w:val="TableParagraph"/>
              <w:ind w:left="4" w:right="-142"/>
              <w:jc w:val="both"/>
              <w:rPr>
                <w:sz w:val="20"/>
              </w:rPr>
            </w:pPr>
            <w:r>
              <w:rPr>
                <w:sz w:val="20"/>
              </w:rPr>
              <w:t>Pamatdarbības ieņēmumi</w:t>
            </w:r>
          </w:p>
        </w:tc>
        <w:tc>
          <w:tcPr>
            <w:tcW w:w="2127" w:type="dxa"/>
            <w:tcBorders>
              <w:top w:val="nil"/>
            </w:tcBorders>
          </w:tcPr>
          <w:p w14:paraId="48E99045" w14:textId="77777777" w:rsidR="00547A28" w:rsidRDefault="00547A28" w:rsidP="00CD363C">
            <w:pPr>
              <w:pStyle w:val="TableParagraph"/>
              <w:ind w:left="4" w:right="-142"/>
              <w:jc w:val="both"/>
              <w:rPr>
                <w:sz w:val="20"/>
              </w:rPr>
            </w:pPr>
            <w:r>
              <w:rPr>
                <w:sz w:val="20"/>
              </w:rPr>
              <w:t>356 910,00 EUR</w:t>
            </w:r>
          </w:p>
        </w:tc>
      </w:tr>
      <w:tr w:rsidR="00547A28" w14:paraId="2B25329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tcPr>
          <w:p w14:paraId="013D63AA" w14:textId="77777777" w:rsidR="00547A28" w:rsidRDefault="00547A28" w:rsidP="00CD363C">
            <w:pPr>
              <w:pStyle w:val="TableParagraph"/>
              <w:ind w:left="4" w:right="-142"/>
              <w:jc w:val="both"/>
            </w:pPr>
            <w:r>
              <w:t>Izmaksu/ieņēmumu atzīšana (% no 5 000 000 EUR+500 000 EUR aizdevuma atmaksa)</w:t>
            </w:r>
          </w:p>
        </w:tc>
      </w:tr>
      <w:tr w:rsidR="00547A28" w14:paraId="303A0AA9"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8"/>
        </w:trPr>
        <w:tc>
          <w:tcPr>
            <w:tcW w:w="989" w:type="dxa"/>
            <w:tcBorders>
              <w:bottom w:val="nil"/>
            </w:tcBorders>
          </w:tcPr>
          <w:p w14:paraId="4D13CAA4"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0B51C27F"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5A9F33E3"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28967CAF" w14:textId="77777777" w:rsidR="00547A28" w:rsidRDefault="00547A28" w:rsidP="00CD363C">
            <w:pPr>
              <w:pStyle w:val="TableParagraph"/>
              <w:ind w:left="4" w:right="-142"/>
              <w:jc w:val="both"/>
              <w:rPr>
                <w:sz w:val="20"/>
              </w:rPr>
            </w:pPr>
            <w:r>
              <w:rPr>
                <w:sz w:val="20"/>
              </w:rPr>
              <w:t>438 700,00 EUR</w:t>
            </w:r>
          </w:p>
        </w:tc>
      </w:tr>
      <w:tr w:rsidR="00547A28" w14:paraId="1FA27D35"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9"/>
        </w:trPr>
        <w:tc>
          <w:tcPr>
            <w:tcW w:w="989" w:type="dxa"/>
            <w:tcBorders>
              <w:top w:val="nil"/>
              <w:bottom w:val="nil"/>
            </w:tcBorders>
          </w:tcPr>
          <w:p w14:paraId="3DB7BB01"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4C8DE563"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7AA5E080"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48A29106" w14:textId="77777777" w:rsidR="00547A28" w:rsidRDefault="00547A28" w:rsidP="00CD363C">
            <w:pPr>
              <w:pStyle w:val="TableParagraph"/>
              <w:ind w:left="4" w:right="-142"/>
              <w:jc w:val="both"/>
              <w:rPr>
                <w:sz w:val="20"/>
              </w:rPr>
            </w:pPr>
            <w:r>
              <w:rPr>
                <w:sz w:val="20"/>
              </w:rPr>
              <w:t>438 700,00 EUR</w:t>
            </w:r>
          </w:p>
        </w:tc>
      </w:tr>
      <w:tr w:rsidR="00547A28" w14:paraId="6379026C"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37AA0E8E"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11FD2F30"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3907F07F"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00A20A7D" w14:textId="77777777" w:rsidR="00547A28" w:rsidRDefault="00547A28" w:rsidP="00CD363C">
            <w:pPr>
              <w:pStyle w:val="TableParagraph"/>
              <w:ind w:left="4" w:right="-142"/>
              <w:jc w:val="both"/>
              <w:rPr>
                <w:sz w:val="20"/>
              </w:rPr>
            </w:pPr>
            <w:r>
              <w:rPr>
                <w:sz w:val="20"/>
              </w:rPr>
              <w:t>750 000,00 EUR</w:t>
            </w:r>
          </w:p>
        </w:tc>
      </w:tr>
      <w:tr w:rsidR="00547A28" w14:paraId="5DA4C950"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345EDF19" w14:textId="77777777" w:rsidR="00547A28" w:rsidRDefault="00547A28" w:rsidP="00CD363C">
            <w:pPr>
              <w:pStyle w:val="TableParagraph"/>
              <w:ind w:left="107" w:right="-142"/>
              <w:jc w:val="both"/>
              <w:rPr>
                <w:b/>
                <w:sz w:val="20"/>
              </w:rPr>
            </w:pPr>
            <w:r>
              <w:rPr>
                <w:b/>
                <w:w w:val="99"/>
                <w:sz w:val="20"/>
              </w:rPr>
              <w:t>K</w:t>
            </w:r>
          </w:p>
        </w:tc>
        <w:tc>
          <w:tcPr>
            <w:tcW w:w="992" w:type="dxa"/>
            <w:tcBorders>
              <w:top w:val="nil"/>
            </w:tcBorders>
          </w:tcPr>
          <w:p w14:paraId="36A19CAC" w14:textId="77777777" w:rsidR="00547A28" w:rsidRDefault="00547A28" w:rsidP="00CD363C">
            <w:pPr>
              <w:pStyle w:val="TableParagraph"/>
              <w:ind w:left="4" w:right="-142"/>
              <w:jc w:val="both"/>
              <w:rPr>
                <w:sz w:val="20"/>
              </w:rPr>
            </w:pPr>
            <w:r>
              <w:rPr>
                <w:sz w:val="20"/>
              </w:rPr>
              <w:t>2620</w:t>
            </w:r>
          </w:p>
        </w:tc>
        <w:tc>
          <w:tcPr>
            <w:tcW w:w="5528" w:type="dxa"/>
            <w:tcBorders>
              <w:top w:val="nil"/>
            </w:tcBorders>
          </w:tcPr>
          <w:p w14:paraId="71043D1C"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tcBorders>
          </w:tcPr>
          <w:p w14:paraId="4AA95814" w14:textId="77777777" w:rsidR="00547A28" w:rsidRDefault="00547A28" w:rsidP="00CD363C">
            <w:pPr>
              <w:pStyle w:val="TableParagraph"/>
              <w:ind w:left="4" w:right="-142"/>
              <w:jc w:val="both"/>
              <w:rPr>
                <w:sz w:val="20"/>
              </w:rPr>
            </w:pPr>
            <w:r>
              <w:rPr>
                <w:sz w:val="20"/>
              </w:rPr>
              <w:t>750 000,00 EUR</w:t>
            </w:r>
          </w:p>
        </w:tc>
      </w:tr>
      <w:tr w:rsidR="00547A28" w14:paraId="5153873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676"/>
        </w:trPr>
        <w:tc>
          <w:tcPr>
            <w:tcW w:w="989" w:type="dxa"/>
          </w:tcPr>
          <w:p w14:paraId="15CBD7EF" w14:textId="77777777" w:rsidR="00547A28" w:rsidRDefault="00547A28" w:rsidP="00CD363C">
            <w:pPr>
              <w:pStyle w:val="TableParagraph"/>
              <w:ind w:left="107" w:right="-142"/>
              <w:jc w:val="both"/>
              <w:rPr>
                <w:b/>
                <w:sz w:val="20"/>
              </w:rPr>
            </w:pPr>
            <w:r>
              <w:rPr>
                <w:b/>
                <w:sz w:val="20"/>
              </w:rPr>
              <w:t>D K</w:t>
            </w:r>
          </w:p>
        </w:tc>
        <w:tc>
          <w:tcPr>
            <w:tcW w:w="992" w:type="dxa"/>
          </w:tcPr>
          <w:p w14:paraId="4827A572" w14:textId="77777777" w:rsidR="00547A28" w:rsidRDefault="00547A28" w:rsidP="00CD363C">
            <w:pPr>
              <w:pStyle w:val="TableParagraph"/>
              <w:ind w:left="4" w:right="-142"/>
              <w:jc w:val="both"/>
              <w:rPr>
                <w:sz w:val="20"/>
              </w:rPr>
            </w:pPr>
            <w:r>
              <w:rPr>
                <w:sz w:val="20"/>
              </w:rPr>
              <w:t>5119</w:t>
            </w:r>
          </w:p>
          <w:p w14:paraId="3402D40A" w14:textId="77777777" w:rsidR="00547A28" w:rsidRDefault="00547A28" w:rsidP="00CD363C">
            <w:pPr>
              <w:pStyle w:val="TableParagraph"/>
              <w:ind w:left="4" w:right="-142"/>
              <w:jc w:val="both"/>
              <w:rPr>
                <w:sz w:val="20"/>
              </w:rPr>
            </w:pPr>
            <w:r>
              <w:rPr>
                <w:sz w:val="20"/>
              </w:rPr>
              <w:t>5219</w:t>
            </w:r>
          </w:p>
        </w:tc>
        <w:tc>
          <w:tcPr>
            <w:tcW w:w="5528" w:type="dxa"/>
          </w:tcPr>
          <w:p w14:paraId="6B8D645D" w14:textId="77777777" w:rsidR="00547A28" w:rsidRDefault="00547A28" w:rsidP="00CD363C">
            <w:pPr>
              <w:pStyle w:val="TableParagraph"/>
              <w:ind w:left="4" w:right="-142"/>
              <w:jc w:val="both"/>
              <w:rPr>
                <w:sz w:val="20"/>
              </w:rPr>
            </w:pPr>
            <w:r>
              <w:rPr>
                <w:sz w:val="20"/>
              </w:rPr>
              <w:t>Ilgtermiņa aizņēmumi</w:t>
            </w:r>
          </w:p>
          <w:p w14:paraId="2A5030BC"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Pr>
          <w:p w14:paraId="616A53F8" w14:textId="77777777" w:rsidR="00547A28" w:rsidRDefault="00547A28" w:rsidP="00CD363C">
            <w:pPr>
              <w:pStyle w:val="TableParagraph"/>
              <w:ind w:left="4" w:right="-142"/>
              <w:jc w:val="both"/>
              <w:rPr>
                <w:sz w:val="20"/>
              </w:rPr>
            </w:pPr>
            <w:r>
              <w:rPr>
                <w:sz w:val="20"/>
              </w:rPr>
              <w:t>1 225 000,00</w:t>
            </w:r>
            <w:r>
              <w:rPr>
                <w:spacing w:val="-4"/>
                <w:sz w:val="20"/>
              </w:rPr>
              <w:t xml:space="preserve"> </w:t>
            </w:r>
            <w:r>
              <w:rPr>
                <w:sz w:val="20"/>
              </w:rPr>
              <w:t>EUR</w:t>
            </w:r>
          </w:p>
          <w:p w14:paraId="4724295C" w14:textId="77777777" w:rsidR="00547A28" w:rsidRDefault="00547A28" w:rsidP="00CD363C">
            <w:pPr>
              <w:pStyle w:val="TableParagraph"/>
              <w:ind w:left="4" w:right="-142"/>
              <w:jc w:val="both"/>
              <w:rPr>
                <w:sz w:val="20"/>
              </w:rPr>
            </w:pPr>
            <w:r>
              <w:rPr>
                <w:sz w:val="20"/>
              </w:rPr>
              <w:t>1 225 000,00</w:t>
            </w:r>
            <w:r>
              <w:rPr>
                <w:spacing w:val="-4"/>
                <w:sz w:val="20"/>
              </w:rPr>
              <w:t xml:space="preserve"> </w:t>
            </w:r>
            <w:r>
              <w:rPr>
                <w:sz w:val="20"/>
              </w:rPr>
              <w:t>EUR</w:t>
            </w:r>
          </w:p>
        </w:tc>
      </w:tr>
      <w:tr w:rsidR="00547A28" w14:paraId="4D27360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2"/>
        </w:trPr>
        <w:tc>
          <w:tcPr>
            <w:tcW w:w="9636" w:type="dxa"/>
            <w:gridSpan w:val="4"/>
            <w:shd w:val="clear" w:color="auto" w:fill="F1F1F1"/>
          </w:tcPr>
          <w:p w14:paraId="0C7705D3" w14:textId="77777777" w:rsidR="00547A28" w:rsidRDefault="00547A28" w:rsidP="00CD363C">
            <w:pPr>
              <w:pStyle w:val="TableParagraph"/>
              <w:ind w:left="4" w:right="-142"/>
              <w:jc w:val="both"/>
            </w:pPr>
            <w:r>
              <w:rPr>
                <w:b/>
              </w:rPr>
              <w:t xml:space="preserve">3.gads: </w:t>
            </w:r>
            <w:r>
              <w:t>Ieņēmumu/izdevumu atzīšana (5/10 no uzbūvētajām skolām*1 784 500,00 EUR–jau atzītā summa)</w:t>
            </w:r>
          </w:p>
        </w:tc>
      </w:tr>
      <w:tr w:rsidR="00547A28" w14:paraId="058F2E0E"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676"/>
        </w:trPr>
        <w:tc>
          <w:tcPr>
            <w:tcW w:w="989" w:type="dxa"/>
          </w:tcPr>
          <w:p w14:paraId="744FDA11" w14:textId="77777777" w:rsidR="00547A28" w:rsidRDefault="00547A28" w:rsidP="00CD363C">
            <w:pPr>
              <w:pStyle w:val="TableParagraph"/>
              <w:ind w:left="107" w:right="-142"/>
              <w:jc w:val="both"/>
              <w:rPr>
                <w:b/>
                <w:sz w:val="20"/>
              </w:rPr>
            </w:pPr>
            <w:r>
              <w:rPr>
                <w:b/>
                <w:sz w:val="20"/>
              </w:rPr>
              <w:t>D K</w:t>
            </w:r>
          </w:p>
        </w:tc>
        <w:tc>
          <w:tcPr>
            <w:tcW w:w="992" w:type="dxa"/>
          </w:tcPr>
          <w:p w14:paraId="366DBB3B" w14:textId="77777777" w:rsidR="00547A28" w:rsidRDefault="00547A28" w:rsidP="00CD363C">
            <w:pPr>
              <w:pStyle w:val="TableParagraph"/>
              <w:ind w:left="4" w:right="-142"/>
              <w:jc w:val="both"/>
              <w:rPr>
                <w:sz w:val="20"/>
              </w:rPr>
            </w:pPr>
            <w:r>
              <w:rPr>
                <w:sz w:val="20"/>
              </w:rPr>
              <w:t>5910</w:t>
            </w:r>
          </w:p>
          <w:p w14:paraId="2AB4A66B" w14:textId="77777777" w:rsidR="00547A28" w:rsidRDefault="00547A28" w:rsidP="00CD363C">
            <w:pPr>
              <w:pStyle w:val="TableParagraph"/>
              <w:ind w:left="4" w:right="-142"/>
              <w:jc w:val="both"/>
              <w:rPr>
                <w:sz w:val="20"/>
              </w:rPr>
            </w:pPr>
            <w:r>
              <w:rPr>
                <w:sz w:val="20"/>
              </w:rPr>
              <w:t>6000</w:t>
            </w:r>
          </w:p>
        </w:tc>
        <w:tc>
          <w:tcPr>
            <w:tcW w:w="5528" w:type="dxa"/>
          </w:tcPr>
          <w:p w14:paraId="6F61247F" w14:textId="77777777" w:rsidR="00547A28" w:rsidRDefault="00547A28" w:rsidP="00CD363C">
            <w:pPr>
              <w:pStyle w:val="TableParagraph"/>
              <w:ind w:left="4" w:right="-142"/>
              <w:jc w:val="both"/>
              <w:rPr>
                <w:sz w:val="20"/>
              </w:rPr>
            </w:pPr>
            <w:r>
              <w:rPr>
                <w:sz w:val="20"/>
              </w:rPr>
              <w:t>Nākamo periodu ieņēmumi, saņemtie avansa maksājumi Pamatdarbības ieņēmumi</w:t>
            </w:r>
          </w:p>
        </w:tc>
        <w:tc>
          <w:tcPr>
            <w:tcW w:w="2127" w:type="dxa"/>
          </w:tcPr>
          <w:p w14:paraId="7CC1FCDE" w14:textId="77777777" w:rsidR="00547A28" w:rsidRDefault="00547A28" w:rsidP="00CD363C">
            <w:pPr>
              <w:pStyle w:val="TableParagraph"/>
              <w:ind w:left="4" w:right="-142"/>
              <w:jc w:val="both"/>
              <w:rPr>
                <w:sz w:val="20"/>
              </w:rPr>
            </w:pPr>
            <w:r>
              <w:rPr>
                <w:sz w:val="20"/>
              </w:rPr>
              <w:t>356 910,00</w:t>
            </w:r>
            <w:r>
              <w:rPr>
                <w:spacing w:val="-3"/>
                <w:sz w:val="20"/>
              </w:rPr>
              <w:t xml:space="preserve"> </w:t>
            </w:r>
            <w:r>
              <w:rPr>
                <w:sz w:val="20"/>
              </w:rPr>
              <w:t>EUR</w:t>
            </w:r>
          </w:p>
          <w:p w14:paraId="390EBDAB" w14:textId="77777777" w:rsidR="00547A28" w:rsidRDefault="00547A28" w:rsidP="00CD363C">
            <w:pPr>
              <w:pStyle w:val="TableParagraph"/>
              <w:ind w:left="4" w:right="-142"/>
              <w:jc w:val="both"/>
              <w:rPr>
                <w:sz w:val="20"/>
              </w:rPr>
            </w:pPr>
            <w:r>
              <w:rPr>
                <w:sz w:val="20"/>
              </w:rPr>
              <w:t>356 910,00</w:t>
            </w:r>
            <w:r>
              <w:rPr>
                <w:spacing w:val="-3"/>
                <w:sz w:val="20"/>
              </w:rPr>
              <w:t xml:space="preserve"> </w:t>
            </w:r>
            <w:r>
              <w:rPr>
                <w:sz w:val="20"/>
              </w:rPr>
              <w:t>EUR</w:t>
            </w:r>
          </w:p>
        </w:tc>
      </w:tr>
      <w:tr w:rsidR="00547A28" w14:paraId="0445D5D8"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tcPr>
          <w:p w14:paraId="60E675E6" w14:textId="77777777" w:rsidR="00547A28" w:rsidRDefault="00547A28" w:rsidP="00CD363C">
            <w:pPr>
              <w:pStyle w:val="TableParagraph"/>
              <w:ind w:left="4" w:right="-142"/>
              <w:jc w:val="both"/>
            </w:pPr>
            <w:r>
              <w:t>Izmaksu/ieņēmumu atzīšana (% no 4 500 000,00 EUR+1 000 000,00 EUR aizdevuma atmaksa)</w:t>
            </w:r>
          </w:p>
        </w:tc>
      </w:tr>
      <w:tr w:rsidR="00547A28" w14:paraId="408DADF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8"/>
        </w:trPr>
        <w:tc>
          <w:tcPr>
            <w:tcW w:w="989" w:type="dxa"/>
            <w:tcBorders>
              <w:bottom w:val="nil"/>
            </w:tcBorders>
          </w:tcPr>
          <w:p w14:paraId="0629786B"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7FFD5624"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34DEA8E7"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5D026947" w14:textId="77777777" w:rsidR="00547A28" w:rsidRDefault="00547A28" w:rsidP="00CD363C">
            <w:pPr>
              <w:pStyle w:val="TableParagraph"/>
              <w:ind w:left="4" w:right="-142"/>
              <w:jc w:val="both"/>
              <w:rPr>
                <w:sz w:val="20"/>
              </w:rPr>
            </w:pPr>
            <w:r>
              <w:rPr>
                <w:sz w:val="20"/>
              </w:rPr>
              <w:t>407 569,00 EUR</w:t>
            </w:r>
          </w:p>
        </w:tc>
      </w:tr>
      <w:tr w:rsidR="00547A28" w14:paraId="0457F3DC"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9"/>
        </w:trPr>
        <w:tc>
          <w:tcPr>
            <w:tcW w:w="989" w:type="dxa"/>
            <w:tcBorders>
              <w:top w:val="nil"/>
              <w:bottom w:val="nil"/>
            </w:tcBorders>
          </w:tcPr>
          <w:p w14:paraId="1656FF00"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22814D90"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55894762"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0E844BAD" w14:textId="77777777" w:rsidR="00547A28" w:rsidRDefault="00547A28" w:rsidP="00CD363C">
            <w:pPr>
              <w:pStyle w:val="TableParagraph"/>
              <w:ind w:left="4" w:right="-142"/>
              <w:jc w:val="both"/>
              <w:rPr>
                <w:sz w:val="20"/>
              </w:rPr>
            </w:pPr>
            <w:r>
              <w:rPr>
                <w:sz w:val="20"/>
              </w:rPr>
              <w:t>407 569,00 EUR</w:t>
            </w:r>
          </w:p>
        </w:tc>
      </w:tr>
      <w:tr w:rsidR="00547A28" w14:paraId="4594453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3D32E164"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63FD8215"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0F7447C8"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7AF28990" w14:textId="77777777" w:rsidR="00547A28" w:rsidRDefault="00547A28" w:rsidP="00CD363C">
            <w:pPr>
              <w:pStyle w:val="TableParagraph"/>
              <w:ind w:left="4" w:right="-142"/>
              <w:jc w:val="both"/>
              <w:rPr>
                <w:sz w:val="20"/>
              </w:rPr>
            </w:pPr>
            <w:r>
              <w:rPr>
                <w:sz w:val="20"/>
              </w:rPr>
              <w:t>1 225 000,00 EUR</w:t>
            </w:r>
          </w:p>
        </w:tc>
      </w:tr>
      <w:tr w:rsidR="00547A28" w14:paraId="70E6F08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642FF1AC" w14:textId="77777777" w:rsidR="00547A28" w:rsidRDefault="00547A28" w:rsidP="00CD363C">
            <w:pPr>
              <w:pStyle w:val="TableParagraph"/>
              <w:ind w:left="107" w:right="-142"/>
              <w:jc w:val="both"/>
              <w:rPr>
                <w:b/>
                <w:sz w:val="20"/>
              </w:rPr>
            </w:pPr>
            <w:r>
              <w:rPr>
                <w:b/>
                <w:w w:val="99"/>
                <w:sz w:val="20"/>
              </w:rPr>
              <w:t>K</w:t>
            </w:r>
          </w:p>
        </w:tc>
        <w:tc>
          <w:tcPr>
            <w:tcW w:w="992" w:type="dxa"/>
            <w:tcBorders>
              <w:top w:val="nil"/>
            </w:tcBorders>
          </w:tcPr>
          <w:p w14:paraId="1E573126" w14:textId="77777777" w:rsidR="00547A28" w:rsidRDefault="00547A28" w:rsidP="00CD363C">
            <w:pPr>
              <w:pStyle w:val="TableParagraph"/>
              <w:ind w:left="4" w:right="-142"/>
              <w:jc w:val="both"/>
              <w:rPr>
                <w:sz w:val="20"/>
              </w:rPr>
            </w:pPr>
            <w:r>
              <w:rPr>
                <w:sz w:val="20"/>
              </w:rPr>
              <w:t>2620</w:t>
            </w:r>
          </w:p>
        </w:tc>
        <w:tc>
          <w:tcPr>
            <w:tcW w:w="5528" w:type="dxa"/>
            <w:tcBorders>
              <w:top w:val="nil"/>
            </w:tcBorders>
          </w:tcPr>
          <w:p w14:paraId="1205343B"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tcBorders>
          </w:tcPr>
          <w:p w14:paraId="6CB18277" w14:textId="77777777" w:rsidR="00547A28" w:rsidRDefault="00547A28" w:rsidP="00CD363C">
            <w:pPr>
              <w:pStyle w:val="TableParagraph"/>
              <w:ind w:left="4" w:right="-142"/>
              <w:jc w:val="both"/>
              <w:rPr>
                <w:sz w:val="20"/>
              </w:rPr>
            </w:pPr>
            <w:r>
              <w:rPr>
                <w:sz w:val="20"/>
              </w:rPr>
              <w:t>1 225 000,00 EUR</w:t>
            </w:r>
          </w:p>
        </w:tc>
      </w:tr>
      <w:tr w:rsidR="00547A28" w14:paraId="44663CE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66A79C5A" w14:textId="77777777" w:rsidR="00547A28" w:rsidRDefault="00547A28" w:rsidP="00CD363C">
            <w:pPr>
              <w:pStyle w:val="TableParagraph"/>
              <w:ind w:left="107" w:right="-142"/>
              <w:jc w:val="both"/>
              <w:rPr>
                <w:sz w:val="20"/>
              </w:rPr>
            </w:pPr>
            <w:r>
              <w:rPr>
                <w:sz w:val="20"/>
              </w:rPr>
              <w:t>D K</w:t>
            </w:r>
          </w:p>
        </w:tc>
        <w:tc>
          <w:tcPr>
            <w:tcW w:w="992" w:type="dxa"/>
            <w:tcBorders>
              <w:bottom w:val="nil"/>
            </w:tcBorders>
          </w:tcPr>
          <w:p w14:paraId="47261305" w14:textId="77777777" w:rsidR="00547A28" w:rsidRDefault="00547A28" w:rsidP="00CD363C">
            <w:pPr>
              <w:pStyle w:val="TableParagraph"/>
              <w:ind w:left="4" w:right="-142"/>
              <w:jc w:val="both"/>
              <w:rPr>
                <w:sz w:val="20"/>
              </w:rPr>
            </w:pPr>
            <w:r>
              <w:rPr>
                <w:sz w:val="20"/>
              </w:rPr>
              <w:t>5119</w:t>
            </w:r>
          </w:p>
        </w:tc>
        <w:tc>
          <w:tcPr>
            <w:tcW w:w="5528" w:type="dxa"/>
            <w:tcBorders>
              <w:bottom w:val="nil"/>
            </w:tcBorders>
          </w:tcPr>
          <w:p w14:paraId="1AB476FE" w14:textId="77777777" w:rsidR="00547A28" w:rsidRDefault="00547A28" w:rsidP="00CD363C">
            <w:pPr>
              <w:pStyle w:val="TableParagraph"/>
              <w:ind w:left="4" w:right="-142"/>
              <w:jc w:val="both"/>
              <w:rPr>
                <w:sz w:val="20"/>
              </w:rPr>
            </w:pPr>
            <w:r>
              <w:rPr>
                <w:sz w:val="20"/>
              </w:rPr>
              <w:t>Ilgtermiņa aizņēmumi</w:t>
            </w:r>
          </w:p>
        </w:tc>
        <w:tc>
          <w:tcPr>
            <w:tcW w:w="2127" w:type="dxa"/>
            <w:tcBorders>
              <w:bottom w:val="nil"/>
            </w:tcBorders>
          </w:tcPr>
          <w:p w14:paraId="1845AF64" w14:textId="77777777" w:rsidR="00547A28" w:rsidRDefault="00547A28" w:rsidP="00CD363C">
            <w:pPr>
              <w:pStyle w:val="TableParagraph"/>
              <w:ind w:left="4" w:right="-142"/>
              <w:jc w:val="both"/>
              <w:rPr>
                <w:sz w:val="20"/>
              </w:rPr>
            </w:pPr>
            <w:r>
              <w:rPr>
                <w:sz w:val="20"/>
              </w:rPr>
              <w:t>1 675 000,00 EUR</w:t>
            </w:r>
          </w:p>
        </w:tc>
      </w:tr>
      <w:tr w:rsidR="00547A28" w14:paraId="278C701C"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5"/>
        </w:trPr>
        <w:tc>
          <w:tcPr>
            <w:tcW w:w="989" w:type="dxa"/>
            <w:vMerge/>
            <w:tcBorders>
              <w:top w:val="nil"/>
            </w:tcBorders>
          </w:tcPr>
          <w:p w14:paraId="213A94BA" w14:textId="77777777" w:rsidR="00547A28" w:rsidRDefault="00547A28" w:rsidP="00CD363C">
            <w:pPr>
              <w:spacing w:after="0" w:line="240" w:lineRule="auto"/>
              <w:ind w:right="-142"/>
              <w:jc w:val="both"/>
              <w:rPr>
                <w:sz w:val="2"/>
                <w:szCs w:val="2"/>
              </w:rPr>
            </w:pPr>
          </w:p>
        </w:tc>
        <w:tc>
          <w:tcPr>
            <w:tcW w:w="992" w:type="dxa"/>
            <w:tcBorders>
              <w:top w:val="nil"/>
            </w:tcBorders>
          </w:tcPr>
          <w:p w14:paraId="5F686941" w14:textId="77777777" w:rsidR="00547A28" w:rsidRDefault="00547A28" w:rsidP="00CD363C">
            <w:pPr>
              <w:pStyle w:val="TableParagraph"/>
              <w:ind w:left="4" w:right="-142"/>
              <w:jc w:val="both"/>
              <w:rPr>
                <w:sz w:val="20"/>
              </w:rPr>
            </w:pPr>
            <w:r>
              <w:rPr>
                <w:sz w:val="20"/>
              </w:rPr>
              <w:t>5219</w:t>
            </w:r>
          </w:p>
        </w:tc>
        <w:tc>
          <w:tcPr>
            <w:tcW w:w="5528" w:type="dxa"/>
            <w:tcBorders>
              <w:top w:val="nil"/>
            </w:tcBorders>
          </w:tcPr>
          <w:p w14:paraId="439AB99B"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tcBorders>
          </w:tcPr>
          <w:p w14:paraId="21CF44BB" w14:textId="77777777" w:rsidR="00547A28" w:rsidRDefault="00547A28" w:rsidP="00CD363C">
            <w:pPr>
              <w:pStyle w:val="TableParagraph"/>
              <w:ind w:left="4" w:right="-142"/>
              <w:jc w:val="both"/>
              <w:rPr>
                <w:sz w:val="20"/>
              </w:rPr>
            </w:pPr>
            <w:r>
              <w:rPr>
                <w:sz w:val="20"/>
              </w:rPr>
              <w:t>1 675 000,00 EUR</w:t>
            </w:r>
          </w:p>
        </w:tc>
      </w:tr>
      <w:tr w:rsidR="00547A28" w14:paraId="401ADD61"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2"/>
        </w:trPr>
        <w:tc>
          <w:tcPr>
            <w:tcW w:w="9636" w:type="dxa"/>
            <w:gridSpan w:val="4"/>
            <w:shd w:val="clear" w:color="auto" w:fill="F1F1F1"/>
          </w:tcPr>
          <w:p w14:paraId="51B5A229" w14:textId="77777777" w:rsidR="00547A28" w:rsidRDefault="00547A28" w:rsidP="00CD363C">
            <w:pPr>
              <w:pStyle w:val="TableParagraph"/>
              <w:ind w:left="4" w:right="-142"/>
              <w:jc w:val="both"/>
            </w:pPr>
            <w:r>
              <w:rPr>
                <w:b/>
              </w:rPr>
              <w:t xml:space="preserve">4.gads: </w:t>
            </w:r>
            <w:r>
              <w:t>Ieņēmumu/izdevumu atzīšana (uzbūvētas visas skolas, 1 784 550,00 EUR-892 275,00 EUR)</w:t>
            </w:r>
          </w:p>
        </w:tc>
      </w:tr>
      <w:tr w:rsidR="00547A28" w14:paraId="01ECDF41"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61ABADF3" w14:textId="77777777" w:rsidR="00547A28" w:rsidRDefault="00547A28" w:rsidP="00CD363C">
            <w:pPr>
              <w:pStyle w:val="TableParagraph"/>
              <w:ind w:left="107" w:right="-142"/>
              <w:jc w:val="both"/>
              <w:rPr>
                <w:b/>
                <w:sz w:val="20"/>
              </w:rPr>
            </w:pPr>
            <w:r>
              <w:rPr>
                <w:b/>
                <w:sz w:val="20"/>
              </w:rPr>
              <w:t>D K</w:t>
            </w:r>
          </w:p>
        </w:tc>
        <w:tc>
          <w:tcPr>
            <w:tcW w:w="992" w:type="dxa"/>
            <w:tcBorders>
              <w:bottom w:val="nil"/>
            </w:tcBorders>
          </w:tcPr>
          <w:p w14:paraId="123D29B5" w14:textId="77777777" w:rsidR="00547A28" w:rsidRDefault="00547A28" w:rsidP="00CD363C">
            <w:pPr>
              <w:pStyle w:val="TableParagraph"/>
              <w:ind w:left="4" w:right="-142"/>
              <w:jc w:val="both"/>
              <w:rPr>
                <w:sz w:val="20"/>
              </w:rPr>
            </w:pPr>
            <w:r>
              <w:rPr>
                <w:sz w:val="20"/>
              </w:rPr>
              <w:t>5910</w:t>
            </w:r>
          </w:p>
        </w:tc>
        <w:tc>
          <w:tcPr>
            <w:tcW w:w="5528" w:type="dxa"/>
            <w:tcBorders>
              <w:bottom w:val="nil"/>
            </w:tcBorders>
          </w:tcPr>
          <w:p w14:paraId="4F75C3D8" w14:textId="77777777" w:rsidR="00547A28" w:rsidRDefault="00547A28" w:rsidP="00CD363C">
            <w:pPr>
              <w:pStyle w:val="TableParagraph"/>
              <w:ind w:left="4" w:right="-142"/>
              <w:jc w:val="both"/>
              <w:rPr>
                <w:sz w:val="20"/>
              </w:rPr>
            </w:pPr>
            <w:r>
              <w:rPr>
                <w:sz w:val="20"/>
              </w:rPr>
              <w:t>Nākamo periodu ieņēmumi, saņemtie avansa maksājumi</w:t>
            </w:r>
          </w:p>
        </w:tc>
        <w:tc>
          <w:tcPr>
            <w:tcW w:w="2127" w:type="dxa"/>
            <w:tcBorders>
              <w:bottom w:val="nil"/>
            </w:tcBorders>
          </w:tcPr>
          <w:p w14:paraId="73E70D0F" w14:textId="77777777" w:rsidR="00547A28" w:rsidRDefault="00547A28" w:rsidP="00CD363C">
            <w:pPr>
              <w:pStyle w:val="TableParagraph"/>
              <w:ind w:left="4" w:right="-142"/>
              <w:jc w:val="both"/>
              <w:rPr>
                <w:sz w:val="20"/>
              </w:rPr>
            </w:pPr>
            <w:r>
              <w:rPr>
                <w:sz w:val="20"/>
              </w:rPr>
              <w:t>892 275,00 EUR</w:t>
            </w:r>
          </w:p>
        </w:tc>
      </w:tr>
      <w:tr w:rsidR="00547A28" w14:paraId="622798A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5"/>
        </w:trPr>
        <w:tc>
          <w:tcPr>
            <w:tcW w:w="989" w:type="dxa"/>
            <w:vMerge/>
            <w:tcBorders>
              <w:top w:val="nil"/>
            </w:tcBorders>
          </w:tcPr>
          <w:p w14:paraId="773D7C2E" w14:textId="77777777" w:rsidR="00547A28" w:rsidRDefault="00547A28" w:rsidP="00CD363C">
            <w:pPr>
              <w:spacing w:after="0" w:line="240" w:lineRule="auto"/>
              <w:ind w:right="-142"/>
              <w:jc w:val="both"/>
              <w:rPr>
                <w:sz w:val="2"/>
                <w:szCs w:val="2"/>
              </w:rPr>
            </w:pPr>
          </w:p>
        </w:tc>
        <w:tc>
          <w:tcPr>
            <w:tcW w:w="992" w:type="dxa"/>
            <w:tcBorders>
              <w:top w:val="nil"/>
            </w:tcBorders>
          </w:tcPr>
          <w:p w14:paraId="0CD1DA11" w14:textId="77777777" w:rsidR="00547A28" w:rsidRDefault="00547A28" w:rsidP="00CD363C">
            <w:pPr>
              <w:pStyle w:val="TableParagraph"/>
              <w:ind w:left="4" w:right="-142"/>
              <w:jc w:val="both"/>
              <w:rPr>
                <w:sz w:val="20"/>
              </w:rPr>
            </w:pPr>
            <w:r>
              <w:rPr>
                <w:sz w:val="20"/>
              </w:rPr>
              <w:t>6000</w:t>
            </w:r>
          </w:p>
        </w:tc>
        <w:tc>
          <w:tcPr>
            <w:tcW w:w="5528" w:type="dxa"/>
            <w:tcBorders>
              <w:top w:val="nil"/>
            </w:tcBorders>
          </w:tcPr>
          <w:p w14:paraId="69A77133" w14:textId="77777777" w:rsidR="00547A28" w:rsidRDefault="00547A28" w:rsidP="00CD363C">
            <w:pPr>
              <w:pStyle w:val="TableParagraph"/>
              <w:ind w:left="4" w:right="-142"/>
              <w:jc w:val="both"/>
              <w:rPr>
                <w:sz w:val="20"/>
              </w:rPr>
            </w:pPr>
            <w:r>
              <w:rPr>
                <w:sz w:val="20"/>
              </w:rPr>
              <w:t>Pamatdarbības ieņēmumi</w:t>
            </w:r>
          </w:p>
        </w:tc>
        <w:tc>
          <w:tcPr>
            <w:tcW w:w="2127" w:type="dxa"/>
            <w:tcBorders>
              <w:top w:val="nil"/>
            </w:tcBorders>
          </w:tcPr>
          <w:p w14:paraId="57AEA61D" w14:textId="77777777" w:rsidR="00547A28" w:rsidRDefault="00547A28" w:rsidP="00CD363C">
            <w:pPr>
              <w:pStyle w:val="TableParagraph"/>
              <w:ind w:left="4" w:right="-142"/>
              <w:jc w:val="both"/>
              <w:rPr>
                <w:sz w:val="20"/>
              </w:rPr>
            </w:pPr>
            <w:r>
              <w:rPr>
                <w:sz w:val="20"/>
              </w:rPr>
              <w:t>892 275,00 EUR</w:t>
            </w:r>
          </w:p>
        </w:tc>
      </w:tr>
      <w:tr w:rsidR="00547A28" w14:paraId="495D3CD3"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tcPr>
          <w:p w14:paraId="24180AA6" w14:textId="77777777" w:rsidR="00547A28" w:rsidRDefault="00547A28" w:rsidP="00CD363C">
            <w:pPr>
              <w:pStyle w:val="TableParagraph"/>
              <w:ind w:left="4" w:right="-142"/>
              <w:jc w:val="both"/>
            </w:pPr>
            <w:r>
              <w:t>Izmaksu/ieņēmumu atzīšana (% no 3 500 000,00 EUR+1 500 000,00 EUR aizdevuma atmaksa)</w:t>
            </w:r>
          </w:p>
        </w:tc>
      </w:tr>
      <w:tr w:rsidR="00547A28" w14:paraId="27A2305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7"/>
        </w:trPr>
        <w:tc>
          <w:tcPr>
            <w:tcW w:w="989" w:type="dxa"/>
            <w:tcBorders>
              <w:bottom w:val="nil"/>
            </w:tcBorders>
          </w:tcPr>
          <w:p w14:paraId="18F33F2D"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46CB50A1"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00E0FB92"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521FC3AA" w14:textId="77777777" w:rsidR="00547A28" w:rsidRDefault="00547A28" w:rsidP="00CD363C">
            <w:pPr>
              <w:pStyle w:val="TableParagraph"/>
              <w:ind w:left="4" w:right="-142"/>
              <w:jc w:val="both"/>
              <w:rPr>
                <w:sz w:val="20"/>
              </w:rPr>
            </w:pPr>
            <w:r>
              <w:rPr>
                <w:sz w:val="20"/>
              </w:rPr>
              <w:t>325 826,00 EUR</w:t>
            </w:r>
          </w:p>
        </w:tc>
      </w:tr>
      <w:tr w:rsidR="00547A28" w14:paraId="2FA697FA"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142662C3"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1FA799CD"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7BC40178"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29795B0C" w14:textId="77777777" w:rsidR="00547A28" w:rsidRDefault="00547A28" w:rsidP="00CD363C">
            <w:pPr>
              <w:pStyle w:val="TableParagraph"/>
              <w:ind w:left="4" w:right="-142"/>
              <w:jc w:val="both"/>
              <w:rPr>
                <w:sz w:val="20"/>
              </w:rPr>
            </w:pPr>
            <w:r>
              <w:rPr>
                <w:sz w:val="20"/>
              </w:rPr>
              <w:t>325 826,00 EUR</w:t>
            </w:r>
          </w:p>
        </w:tc>
      </w:tr>
      <w:tr w:rsidR="00547A28" w14:paraId="37A33BB5"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252129A3"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04472790"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38C56E85"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092DA86E" w14:textId="77777777" w:rsidR="00547A28" w:rsidRDefault="00547A28" w:rsidP="00CD363C">
            <w:pPr>
              <w:pStyle w:val="TableParagraph"/>
              <w:ind w:left="4" w:right="-142"/>
              <w:jc w:val="both"/>
              <w:rPr>
                <w:sz w:val="20"/>
              </w:rPr>
            </w:pPr>
            <w:r>
              <w:rPr>
                <w:sz w:val="20"/>
              </w:rPr>
              <w:t>1 675 000,00 EUR</w:t>
            </w:r>
          </w:p>
        </w:tc>
      </w:tr>
      <w:tr w:rsidR="00547A28" w14:paraId="79116D5B"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0C366DFE" w14:textId="77777777" w:rsidR="00547A28" w:rsidRDefault="00547A28" w:rsidP="00CD363C">
            <w:pPr>
              <w:pStyle w:val="TableParagraph"/>
              <w:ind w:left="107" w:right="-142"/>
              <w:jc w:val="both"/>
              <w:rPr>
                <w:b/>
                <w:sz w:val="20"/>
              </w:rPr>
            </w:pPr>
            <w:r>
              <w:rPr>
                <w:b/>
                <w:w w:val="99"/>
                <w:sz w:val="20"/>
              </w:rPr>
              <w:t>K</w:t>
            </w:r>
          </w:p>
        </w:tc>
        <w:tc>
          <w:tcPr>
            <w:tcW w:w="992" w:type="dxa"/>
            <w:tcBorders>
              <w:top w:val="nil"/>
            </w:tcBorders>
          </w:tcPr>
          <w:p w14:paraId="1F265795" w14:textId="77777777" w:rsidR="00547A28" w:rsidRDefault="00547A28" w:rsidP="00CD363C">
            <w:pPr>
              <w:pStyle w:val="TableParagraph"/>
              <w:ind w:left="4" w:right="-142"/>
              <w:jc w:val="both"/>
              <w:rPr>
                <w:sz w:val="20"/>
              </w:rPr>
            </w:pPr>
            <w:r>
              <w:rPr>
                <w:sz w:val="20"/>
              </w:rPr>
              <w:t>2620</w:t>
            </w:r>
          </w:p>
        </w:tc>
        <w:tc>
          <w:tcPr>
            <w:tcW w:w="5528" w:type="dxa"/>
            <w:tcBorders>
              <w:top w:val="nil"/>
            </w:tcBorders>
          </w:tcPr>
          <w:p w14:paraId="1CFAAC59"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tcBorders>
          </w:tcPr>
          <w:p w14:paraId="57B2952B" w14:textId="77777777" w:rsidR="00547A28" w:rsidRDefault="00547A28" w:rsidP="00CD363C">
            <w:pPr>
              <w:pStyle w:val="TableParagraph"/>
              <w:ind w:left="4" w:right="-142"/>
              <w:jc w:val="both"/>
              <w:rPr>
                <w:sz w:val="20"/>
              </w:rPr>
            </w:pPr>
            <w:r>
              <w:rPr>
                <w:sz w:val="20"/>
              </w:rPr>
              <w:t>1 675 000,00 EUR</w:t>
            </w:r>
          </w:p>
        </w:tc>
      </w:tr>
      <w:tr w:rsidR="00547A28" w14:paraId="57BBC987"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2C9D3AFD" w14:textId="77777777" w:rsidR="00547A28" w:rsidRDefault="00547A28" w:rsidP="00CD363C">
            <w:pPr>
              <w:pStyle w:val="TableParagraph"/>
              <w:ind w:left="107" w:right="-142"/>
              <w:jc w:val="both"/>
              <w:rPr>
                <w:sz w:val="20"/>
              </w:rPr>
            </w:pPr>
            <w:r>
              <w:rPr>
                <w:sz w:val="20"/>
              </w:rPr>
              <w:t>D K</w:t>
            </w:r>
          </w:p>
        </w:tc>
        <w:tc>
          <w:tcPr>
            <w:tcW w:w="992" w:type="dxa"/>
            <w:tcBorders>
              <w:bottom w:val="nil"/>
            </w:tcBorders>
          </w:tcPr>
          <w:p w14:paraId="26ECCA5D" w14:textId="77777777" w:rsidR="00547A28" w:rsidRDefault="00547A28" w:rsidP="00CD363C">
            <w:pPr>
              <w:pStyle w:val="TableParagraph"/>
              <w:ind w:left="4" w:right="-142"/>
              <w:jc w:val="both"/>
              <w:rPr>
                <w:sz w:val="20"/>
              </w:rPr>
            </w:pPr>
            <w:r>
              <w:rPr>
                <w:sz w:val="20"/>
              </w:rPr>
              <w:t>5119</w:t>
            </w:r>
          </w:p>
        </w:tc>
        <w:tc>
          <w:tcPr>
            <w:tcW w:w="5528" w:type="dxa"/>
            <w:tcBorders>
              <w:bottom w:val="nil"/>
            </w:tcBorders>
          </w:tcPr>
          <w:p w14:paraId="651C0C14" w14:textId="77777777" w:rsidR="00547A28" w:rsidRDefault="00547A28" w:rsidP="00CD363C">
            <w:pPr>
              <w:pStyle w:val="TableParagraph"/>
              <w:ind w:left="4" w:right="-142"/>
              <w:jc w:val="both"/>
              <w:rPr>
                <w:sz w:val="20"/>
              </w:rPr>
            </w:pPr>
            <w:r>
              <w:rPr>
                <w:sz w:val="20"/>
              </w:rPr>
              <w:t>Ilgtermiņa aizņēmumi</w:t>
            </w:r>
          </w:p>
        </w:tc>
        <w:tc>
          <w:tcPr>
            <w:tcW w:w="2127" w:type="dxa"/>
            <w:tcBorders>
              <w:bottom w:val="nil"/>
            </w:tcBorders>
          </w:tcPr>
          <w:p w14:paraId="0008413F" w14:textId="77777777" w:rsidR="00547A28" w:rsidRDefault="00547A28" w:rsidP="00CD363C">
            <w:pPr>
              <w:pStyle w:val="TableParagraph"/>
              <w:ind w:left="4" w:right="-142"/>
              <w:jc w:val="both"/>
              <w:rPr>
                <w:sz w:val="20"/>
              </w:rPr>
            </w:pPr>
            <w:r>
              <w:rPr>
                <w:sz w:val="20"/>
              </w:rPr>
              <w:t>1 909 091,00 EUR</w:t>
            </w:r>
          </w:p>
        </w:tc>
      </w:tr>
      <w:tr w:rsidR="00547A28" w14:paraId="2E2FC5C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5"/>
        </w:trPr>
        <w:tc>
          <w:tcPr>
            <w:tcW w:w="989" w:type="dxa"/>
            <w:vMerge/>
            <w:tcBorders>
              <w:top w:val="nil"/>
            </w:tcBorders>
          </w:tcPr>
          <w:p w14:paraId="5A2F305C" w14:textId="77777777" w:rsidR="00547A28" w:rsidRDefault="00547A28" w:rsidP="00CD363C">
            <w:pPr>
              <w:spacing w:after="0" w:line="240" w:lineRule="auto"/>
              <w:ind w:right="-142"/>
              <w:jc w:val="both"/>
              <w:rPr>
                <w:sz w:val="2"/>
                <w:szCs w:val="2"/>
              </w:rPr>
            </w:pPr>
          </w:p>
        </w:tc>
        <w:tc>
          <w:tcPr>
            <w:tcW w:w="992" w:type="dxa"/>
            <w:tcBorders>
              <w:top w:val="nil"/>
            </w:tcBorders>
          </w:tcPr>
          <w:p w14:paraId="5F5F2B9C" w14:textId="77777777" w:rsidR="00547A28" w:rsidRDefault="00547A28" w:rsidP="00CD363C">
            <w:pPr>
              <w:pStyle w:val="TableParagraph"/>
              <w:ind w:left="4" w:right="-142"/>
              <w:jc w:val="both"/>
              <w:rPr>
                <w:sz w:val="20"/>
              </w:rPr>
            </w:pPr>
            <w:r>
              <w:rPr>
                <w:sz w:val="20"/>
              </w:rPr>
              <w:t>5219</w:t>
            </w:r>
          </w:p>
        </w:tc>
        <w:tc>
          <w:tcPr>
            <w:tcW w:w="5528" w:type="dxa"/>
            <w:tcBorders>
              <w:top w:val="nil"/>
            </w:tcBorders>
          </w:tcPr>
          <w:p w14:paraId="6118F8FB"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tcBorders>
          </w:tcPr>
          <w:p w14:paraId="161491F3" w14:textId="77777777" w:rsidR="00547A28" w:rsidRDefault="00547A28" w:rsidP="00CD363C">
            <w:pPr>
              <w:pStyle w:val="TableParagraph"/>
              <w:ind w:left="4" w:right="-142"/>
              <w:jc w:val="both"/>
              <w:rPr>
                <w:sz w:val="20"/>
              </w:rPr>
            </w:pPr>
            <w:r>
              <w:rPr>
                <w:sz w:val="20"/>
              </w:rPr>
              <w:t>1 909 091,00 EUR</w:t>
            </w:r>
          </w:p>
        </w:tc>
      </w:tr>
      <w:tr w:rsidR="00547A28" w14:paraId="7EE2EE9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shd w:val="clear" w:color="auto" w:fill="F1F1F1"/>
          </w:tcPr>
          <w:p w14:paraId="79C46851" w14:textId="77777777" w:rsidR="00547A28" w:rsidRDefault="00547A28" w:rsidP="00CD363C">
            <w:pPr>
              <w:pStyle w:val="TableParagraph"/>
              <w:ind w:left="4" w:right="-142"/>
              <w:jc w:val="both"/>
            </w:pPr>
            <w:r>
              <w:rPr>
                <w:b/>
              </w:rPr>
              <w:t xml:space="preserve">5.gads: </w:t>
            </w:r>
            <w:r>
              <w:t>Izmaksu atzīšana (% no 2 000 000,00 EUR+2 000 000,00 EUR aizdevuma atmaksa</w:t>
            </w:r>
          </w:p>
        </w:tc>
      </w:tr>
      <w:tr w:rsidR="00547A28" w14:paraId="5CCFF0E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6"/>
        </w:trPr>
        <w:tc>
          <w:tcPr>
            <w:tcW w:w="989" w:type="dxa"/>
            <w:tcBorders>
              <w:bottom w:val="nil"/>
            </w:tcBorders>
          </w:tcPr>
          <w:p w14:paraId="62E94C0F"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2B17D6DC"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4C9A6F9E"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5BB8D4FE" w14:textId="77777777" w:rsidR="00547A28" w:rsidRDefault="00547A28" w:rsidP="00CD363C">
            <w:pPr>
              <w:pStyle w:val="TableParagraph"/>
              <w:ind w:left="4" w:right="-142"/>
              <w:jc w:val="both"/>
              <w:rPr>
                <w:sz w:val="20"/>
              </w:rPr>
            </w:pPr>
            <w:r>
              <w:rPr>
                <w:sz w:val="20"/>
              </w:rPr>
              <w:t>190 909,00 EUR</w:t>
            </w:r>
          </w:p>
        </w:tc>
      </w:tr>
      <w:tr w:rsidR="00547A28" w14:paraId="28365D64"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3058FB6C"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60B23899"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303221AC"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0E428008" w14:textId="77777777" w:rsidR="00547A28" w:rsidRDefault="00547A28" w:rsidP="00CD363C">
            <w:pPr>
              <w:pStyle w:val="TableParagraph"/>
              <w:ind w:left="4" w:right="-142"/>
              <w:jc w:val="both"/>
              <w:rPr>
                <w:sz w:val="20"/>
              </w:rPr>
            </w:pPr>
            <w:r>
              <w:rPr>
                <w:sz w:val="20"/>
              </w:rPr>
              <w:t>190 909,00 EUR</w:t>
            </w:r>
          </w:p>
        </w:tc>
      </w:tr>
      <w:tr w:rsidR="00547A28" w14:paraId="139558F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48A99ECB"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2E3DA6F1"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0E3A3330"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69CA5E6D" w14:textId="77777777" w:rsidR="00547A28" w:rsidRDefault="00547A28" w:rsidP="00CD363C">
            <w:pPr>
              <w:pStyle w:val="TableParagraph"/>
              <w:ind w:left="4" w:right="-142"/>
              <w:jc w:val="both"/>
              <w:rPr>
                <w:sz w:val="20"/>
              </w:rPr>
            </w:pPr>
            <w:r>
              <w:rPr>
                <w:sz w:val="20"/>
              </w:rPr>
              <w:t>2 100 000,00 EUR</w:t>
            </w:r>
          </w:p>
        </w:tc>
      </w:tr>
      <w:tr w:rsidR="00547A28" w14:paraId="7640964B"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bottom w:val="nil"/>
            </w:tcBorders>
          </w:tcPr>
          <w:p w14:paraId="63829547"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23A5C2AD" w14:textId="77777777" w:rsidR="00547A28" w:rsidRDefault="00547A28" w:rsidP="00CD363C">
            <w:pPr>
              <w:pStyle w:val="TableParagraph"/>
              <w:ind w:left="4" w:right="-142"/>
              <w:jc w:val="both"/>
              <w:rPr>
                <w:sz w:val="20"/>
              </w:rPr>
            </w:pPr>
            <w:r>
              <w:rPr>
                <w:sz w:val="20"/>
              </w:rPr>
              <w:t>2620</w:t>
            </w:r>
          </w:p>
        </w:tc>
        <w:tc>
          <w:tcPr>
            <w:tcW w:w="5528" w:type="dxa"/>
            <w:tcBorders>
              <w:top w:val="nil"/>
              <w:bottom w:val="nil"/>
            </w:tcBorders>
          </w:tcPr>
          <w:p w14:paraId="292A2052"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bottom w:val="nil"/>
            </w:tcBorders>
          </w:tcPr>
          <w:p w14:paraId="5026A97A" w14:textId="77777777" w:rsidR="00547A28" w:rsidRDefault="00547A28" w:rsidP="00CD363C">
            <w:pPr>
              <w:pStyle w:val="TableParagraph"/>
              <w:ind w:left="4" w:right="-142"/>
              <w:jc w:val="both"/>
              <w:rPr>
                <w:sz w:val="20"/>
              </w:rPr>
            </w:pPr>
            <w:r>
              <w:rPr>
                <w:sz w:val="20"/>
              </w:rPr>
              <w:t>2 100 000,00 EUR</w:t>
            </w:r>
          </w:p>
        </w:tc>
      </w:tr>
      <w:tr w:rsidR="00547A28" w14:paraId="21EFBCE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bottom w:val="nil"/>
            </w:tcBorders>
          </w:tcPr>
          <w:p w14:paraId="26D2A772" w14:textId="77777777" w:rsidR="00547A28" w:rsidRDefault="00547A28" w:rsidP="00CD363C">
            <w:pPr>
              <w:pStyle w:val="TableParagraph"/>
              <w:ind w:left="107" w:right="-142"/>
              <w:jc w:val="both"/>
              <w:rPr>
                <w:b/>
                <w:w w:val="99"/>
                <w:sz w:val="20"/>
              </w:rPr>
            </w:pPr>
          </w:p>
        </w:tc>
        <w:tc>
          <w:tcPr>
            <w:tcW w:w="992" w:type="dxa"/>
            <w:tcBorders>
              <w:top w:val="nil"/>
              <w:bottom w:val="nil"/>
            </w:tcBorders>
          </w:tcPr>
          <w:p w14:paraId="7A6E7EFA" w14:textId="77777777" w:rsidR="00547A28" w:rsidRDefault="00547A28" w:rsidP="00CD363C">
            <w:pPr>
              <w:pStyle w:val="TableParagraph"/>
              <w:ind w:left="4" w:right="-142"/>
              <w:jc w:val="both"/>
              <w:rPr>
                <w:sz w:val="20"/>
              </w:rPr>
            </w:pPr>
          </w:p>
        </w:tc>
        <w:tc>
          <w:tcPr>
            <w:tcW w:w="5528" w:type="dxa"/>
            <w:tcBorders>
              <w:top w:val="nil"/>
              <w:bottom w:val="nil"/>
            </w:tcBorders>
          </w:tcPr>
          <w:p w14:paraId="7C0A305B" w14:textId="77777777" w:rsidR="00547A28" w:rsidRDefault="00547A28" w:rsidP="00CD363C">
            <w:pPr>
              <w:pStyle w:val="TableParagraph"/>
              <w:ind w:left="4" w:right="-142"/>
              <w:jc w:val="both"/>
              <w:rPr>
                <w:sz w:val="20"/>
              </w:rPr>
            </w:pPr>
          </w:p>
        </w:tc>
        <w:tc>
          <w:tcPr>
            <w:tcW w:w="2127" w:type="dxa"/>
            <w:tcBorders>
              <w:top w:val="nil"/>
              <w:bottom w:val="nil"/>
            </w:tcBorders>
          </w:tcPr>
          <w:p w14:paraId="2DEE16DC" w14:textId="77777777" w:rsidR="00547A28" w:rsidRDefault="00547A28" w:rsidP="00CD363C">
            <w:pPr>
              <w:pStyle w:val="TableParagraph"/>
              <w:ind w:left="4" w:right="-142"/>
              <w:jc w:val="both"/>
              <w:rPr>
                <w:sz w:val="20"/>
              </w:rPr>
            </w:pPr>
          </w:p>
        </w:tc>
      </w:tr>
      <w:tr w:rsidR="00547A28" w14:paraId="59D2A42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052DDE1B" w14:textId="77777777" w:rsidR="00547A28" w:rsidRDefault="00547A28" w:rsidP="00CD363C">
            <w:pPr>
              <w:pStyle w:val="TableParagraph"/>
              <w:ind w:left="107" w:right="-142"/>
              <w:jc w:val="both"/>
              <w:rPr>
                <w:b/>
                <w:w w:val="99"/>
                <w:sz w:val="20"/>
              </w:rPr>
            </w:pPr>
          </w:p>
        </w:tc>
        <w:tc>
          <w:tcPr>
            <w:tcW w:w="992" w:type="dxa"/>
            <w:tcBorders>
              <w:top w:val="nil"/>
            </w:tcBorders>
          </w:tcPr>
          <w:p w14:paraId="4BAE6788" w14:textId="77777777" w:rsidR="00547A28" w:rsidRDefault="00547A28" w:rsidP="00CD363C">
            <w:pPr>
              <w:pStyle w:val="TableParagraph"/>
              <w:ind w:left="4" w:right="-142"/>
              <w:jc w:val="both"/>
              <w:rPr>
                <w:sz w:val="20"/>
              </w:rPr>
            </w:pPr>
          </w:p>
        </w:tc>
        <w:tc>
          <w:tcPr>
            <w:tcW w:w="5528" w:type="dxa"/>
            <w:tcBorders>
              <w:top w:val="nil"/>
            </w:tcBorders>
          </w:tcPr>
          <w:p w14:paraId="7CC6AF4F" w14:textId="77777777" w:rsidR="00547A28" w:rsidRDefault="00547A28" w:rsidP="00CD363C">
            <w:pPr>
              <w:pStyle w:val="TableParagraph"/>
              <w:ind w:left="4" w:right="-142"/>
              <w:jc w:val="both"/>
              <w:rPr>
                <w:sz w:val="20"/>
              </w:rPr>
            </w:pPr>
          </w:p>
        </w:tc>
        <w:tc>
          <w:tcPr>
            <w:tcW w:w="2127" w:type="dxa"/>
            <w:tcBorders>
              <w:top w:val="nil"/>
            </w:tcBorders>
          </w:tcPr>
          <w:p w14:paraId="6D4060E8" w14:textId="77777777" w:rsidR="00547A28" w:rsidRDefault="00547A28" w:rsidP="00CD363C">
            <w:pPr>
              <w:pStyle w:val="TableParagraph"/>
              <w:ind w:left="4" w:right="-142"/>
              <w:jc w:val="both"/>
              <w:rPr>
                <w:sz w:val="20"/>
              </w:rPr>
            </w:pPr>
          </w:p>
        </w:tc>
      </w:tr>
    </w:tbl>
    <w:p w14:paraId="00F17B51" w14:textId="77777777" w:rsidR="00906836" w:rsidRDefault="00906836" w:rsidP="00CD363C">
      <w:pPr>
        <w:spacing w:after="0" w:line="240" w:lineRule="auto"/>
        <w:ind w:right="-142"/>
        <w:jc w:val="both"/>
        <w:rPr>
          <w:rFonts w:ascii="Times New Roman" w:eastAsia="Times New Roman" w:hAnsi="Times New Roman" w:cs="Times New Roman"/>
          <w:sz w:val="20"/>
        </w:rPr>
      </w:pPr>
    </w:p>
    <w:p w14:paraId="4B14768A" w14:textId="77777777" w:rsidR="00153B26" w:rsidRPr="00153B26" w:rsidRDefault="00153B26" w:rsidP="00CD363C">
      <w:pPr>
        <w:spacing w:after="0" w:line="240" w:lineRule="auto"/>
        <w:ind w:right="-142"/>
        <w:jc w:val="both"/>
        <w:rPr>
          <w:rFonts w:ascii="Times New Roman" w:hAnsi="Times New Roman" w:cs="Times New Roman"/>
          <w:b/>
          <w:bCs/>
          <w:i/>
          <w:iCs/>
          <w:color w:val="2F5496" w:themeColor="accent1" w:themeShade="BF"/>
          <w:sz w:val="24"/>
          <w:szCs w:val="24"/>
        </w:rPr>
      </w:pPr>
      <w:r w:rsidRPr="00153B26">
        <w:rPr>
          <w:rFonts w:ascii="Times New Roman" w:hAnsi="Times New Roman" w:cs="Times New Roman"/>
          <w:b/>
          <w:bCs/>
          <w:i/>
          <w:iCs/>
          <w:color w:val="2F5496" w:themeColor="accent1" w:themeShade="BF"/>
          <w:sz w:val="24"/>
          <w:szCs w:val="24"/>
        </w:rPr>
        <w:t>22.3.1.9. Citi pārvedumi</w:t>
      </w:r>
    </w:p>
    <w:p w14:paraId="6B147B1A" w14:textId="77777777" w:rsidR="00153B26" w:rsidRPr="00153B26" w:rsidRDefault="00153B26" w:rsidP="00CD363C">
      <w:pPr>
        <w:spacing w:after="0" w:line="240" w:lineRule="auto"/>
        <w:ind w:right="425"/>
        <w:jc w:val="both"/>
        <w:rPr>
          <w:rFonts w:ascii="Times New Roman" w:hAnsi="Times New Roman" w:cs="Times New Roman"/>
          <w:b/>
          <w:bCs/>
          <w:sz w:val="24"/>
          <w:szCs w:val="24"/>
        </w:rPr>
      </w:pPr>
      <w:r w:rsidRPr="00153B26">
        <w:rPr>
          <w:rFonts w:ascii="Times New Roman" w:hAnsi="Times New Roman" w:cs="Times New Roman"/>
          <w:b/>
          <w:bCs/>
          <w:sz w:val="24"/>
          <w:szCs w:val="24"/>
        </w:rPr>
        <w:t>Grāmatvedības uzskaites principi</w:t>
      </w:r>
    </w:p>
    <w:p w14:paraId="0BC37A20" w14:textId="77777777" w:rsidR="00153B26" w:rsidRPr="00153B26" w:rsidRDefault="00153B26"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1047.   </w:t>
      </w:r>
      <w:r w:rsidRPr="00153B26">
        <w:rPr>
          <w:rFonts w:ascii="Times New Roman" w:hAnsi="Times New Roman" w:cs="Times New Roman"/>
          <w:sz w:val="24"/>
          <w:szCs w:val="24"/>
        </w:rPr>
        <w:t>Budžeta iestāde atzīst aktīvus un ieņēmumus no citiem pārvedumu veidiem, ja pārvedums atbilst aktīva atzīšanas kritērijiem. Pie citiem pārveduma veidiem attiecināmi parādu dzēšana, mantojumi un pakalpojumi natūrā.</w:t>
      </w:r>
    </w:p>
    <w:p w14:paraId="6530E3D5" w14:textId="77777777" w:rsidR="00153B26" w:rsidRPr="00153B26" w:rsidRDefault="00153B26" w:rsidP="00CD363C">
      <w:pPr>
        <w:spacing w:after="0" w:line="240" w:lineRule="auto"/>
        <w:ind w:right="425"/>
        <w:jc w:val="both"/>
        <w:rPr>
          <w:rFonts w:ascii="Times New Roman" w:hAnsi="Times New Roman" w:cs="Times New Roman"/>
          <w:b/>
          <w:bCs/>
          <w:sz w:val="24"/>
          <w:szCs w:val="24"/>
        </w:rPr>
      </w:pPr>
      <w:r w:rsidRPr="00153B26">
        <w:rPr>
          <w:rFonts w:ascii="Times New Roman" w:hAnsi="Times New Roman" w:cs="Times New Roman"/>
          <w:b/>
          <w:bCs/>
          <w:sz w:val="24"/>
          <w:szCs w:val="24"/>
        </w:rPr>
        <w:t>Parādu dzēšana</w:t>
      </w:r>
    </w:p>
    <w:p w14:paraId="1FA143CA"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1048.    </w:t>
      </w:r>
      <w:r w:rsidRPr="00153B26">
        <w:rPr>
          <w:rFonts w:ascii="Times New Roman" w:eastAsia="Times New Roman" w:hAnsi="Times New Roman" w:cs="Times New Roman"/>
          <w:sz w:val="24"/>
          <w:szCs w:val="24"/>
        </w:rPr>
        <w:t>Budžeta iestāde atzīst aktīvu un ieņēmumus no parādu dzēšanas gadījumos, kad darījuma partneri atsakās no tiesībām iekasēt budžeta iestādes parādu, to attiecīgi dzēšot.</w:t>
      </w:r>
    </w:p>
    <w:p w14:paraId="08B254F5"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Piemēri:</w:t>
      </w:r>
    </w:p>
    <w:p w14:paraId="3C71F3CD"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sz w:val="24"/>
          <w:szCs w:val="24"/>
        </w:rPr>
        <w:t>Valdība pieņem lēmumu par piešķirtā aizdevuma dzēšanu pašvaldībai. Šajā gadījumā pašvaldība atzīst neto aktīvu pieaugumu (ieņēmumus) dienā, kad iepriekš atzītās saistības par saņemto aizdevumu ir dzēstas.</w:t>
      </w:r>
    </w:p>
    <w:p w14:paraId="7AA2CD2C"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Grāmatojums</w:t>
      </w:r>
    </w:p>
    <w:p w14:paraId="52A5F8AF"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b/>
          <w:bCs/>
          <w:sz w:val="24"/>
          <w:szCs w:val="24"/>
        </w:rPr>
        <w:t>D    5000   Saistības</w:t>
      </w:r>
    </w:p>
    <w:p w14:paraId="44423A66"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sidRPr="00153B26">
        <w:rPr>
          <w:rFonts w:ascii="Times New Roman" w:eastAsia="Times New Roman" w:hAnsi="Times New Roman" w:cs="Times New Roman"/>
          <w:b/>
          <w:bCs/>
          <w:sz w:val="24"/>
          <w:szCs w:val="24"/>
        </w:rPr>
        <w:t xml:space="preserve">    K    8530    Ieņēmumi no saistību dzēšanas</w:t>
      </w:r>
    </w:p>
    <w:p w14:paraId="3BC73951"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sz w:val="24"/>
          <w:szCs w:val="24"/>
        </w:rPr>
        <w:t>Valdība piešķīra pašvaldībai aizdevumu 2 miljonu EUR apmērā ūdens attīrīšanas iekārtu būvniecībai. Mainoties politikai, valdība pieņem lēmumu dzēst aizdevumu un uz aizdevuma dzēšanu nav attiecināmi nekādi noteikumi. Lēmums par aizdevuma dzēšanu pašvaldībai tiek paziņots rakstveidā, pievienojot dokumentālu apstiprinājumu par aizdevuma dzēšanu. Pašvaldība, saņemot valdības vēstuli un dokumentālu apstiprinājumu par aizdevuma dzēšanu, pārtrauc no aizdevuma izrietošo saistību atzīšanu un uzrāda ieņēmumus tā perioda pārskatā, kurā saņemts apstiprinājums par parāda dzēšanu un pārtraukta attiecīgo aizdevuma saistību atzīšana.</w:t>
      </w:r>
    </w:p>
    <w:p w14:paraId="64EE9F3B"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Grāmatojums</w:t>
      </w:r>
    </w:p>
    <w:p w14:paraId="315F8D3A"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b/>
          <w:bCs/>
          <w:sz w:val="24"/>
          <w:szCs w:val="24"/>
        </w:rPr>
        <w:t>D    5000   Saistības</w:t>
      </w:r>
    </w:p>
    <w:p w14:paraId="39B9A809"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sidRPr="00153B26">
        <w:rPr>
          <w:rFonts w:ascii="Times New Roman" w:eastAsia="Times New Roman" w:hAnsi="Times New Roman" w:cs="Times New Roman"/>
          <w:b/>
          <w:bCs/>
          <w:sz w:val="24"/>
          <w:szCs w:val="24"/>
        </w:rPr>
        <w:t xml:space="preserve">    K    8530   Ieņēmumi no saistību dzēšanas</w:t>
      </w:r>
      <w:r w:rsidRPr="00153B26">
        <w:rPr>
          <w:rFonts w:ascii="Times New Roman" w:eastAsia="Times New Roman" w:hAnsi="Times New Roman" w:cs="Times New Roman"/>
          <w:b/>
          <w:bCs/>
          <w:sz w:val="24"/>
          <w:szCs w:val="24"/>
        </w:rPr>
        <w:tab/>
      </w:r>
    </w:p>
    <w:p w14:paraId="2270436D" w14:textId="77777777" w:rsidR="00153B26" w:rsidRDefault="00153B26" w:rsidP="00CD363C">
      <w:pPr>
        <w:tabs>
          <w:tab w:val="left" w:pos="3765"/>
        </w:tabs>
        <w:spacing w:after="0" w:line="240" w:lineRule="auto"/>
        <w:ind w:right="425"/>
        <w:jc w:val="both"/>
        <w:rPr>
          <w:rFonts w:ascii="Times New Roman" w:hAnsi="Times New Roman" w:cs="Times New Roman"/>
          <w:b/>
          <w:bCs/>
          <w:sz w:val="24"/>
          <w:szCs w:val="24"/>
        </w:rPr>
      </w:pPr>
      <w:r w:rsidRPr="00153B26">
        <w:rPr>
          <w:rFonts w:ascii="Times New Roman" w:hAnsi="Times New Roman" w:cs="Times New Roman"/>
          <w:b/>
          <w:bCs/>
          <w:sz w:val="24"/>
          <w:szCs w:val="24"/>
        </w:rPr>
        <w:t>Mantojums</w:t>
      </w:r>
    </w:p>
    <w:p w14:paraId="47D7847D" w14:textId="77777777" w:rsidR="00153B26" w:rsidRDefault="00153B26" w:rsidP="00CD363C">
      <w:pPr>
        <w:pStyle w:val="Pamatteksts"/>
        <w:ind w:right="425"/>
        <w:jc w:val="both"/>
      </w:pPr>
      <w:r>
        <w:rPr>
          <w:noProof/>
        </w:rPr>
        <w:t xml:space="preserve">1049.   </w:t>
      </w:r>
      <w:r>
        <w:t>Mantojums ir pārvedums, kas veikts saskaņā ar mantojuma atstājēja testamenta vai citiem nosacījumiem. Pagātnes notikums, kas rada kontroli pār aktīvu iestājas, kad budžeta iestādei ir izpildāma prasība, piemēram, mantojuma atstājēja nāves gadījumā vai testamenta spēkā stāšanās brīdī.</w:t>
      </w:r>
    </w:p>
    <w:p w14:paraId="32028BB9" w14:textId="77777777" w:rsidR="00153B26" w:rsidRDefault="00153B26" w:rsidP="00CD363C">
      <w:pPr>
        <w:pStyle w:val="Pamatteksts"/>
        <w:ind w:right="425"/>
        <w:jc w:val="both"/>
      </w:pPr>
      <w:r>
        <w:rPr>
          <w:noProof/>
        </w:rPr>
        <w:t xml:space="preserve">1050.    </w:t>
      </w:r>
      <w:r>
        <w:t>Mantojumu, kas atbilst aktīva definīcijai, atzīst par aktīvu un ieņēmumiem, ja pastāv liela varbūtība, ka notiks nākotnes saimniecisko labumu saņemšana, un ja aktīva patieso vērtību var ticami novērtēt. Nākotnes saimniecisko labumu saņemšanas varbūtības noteikšana var būt problemātiska, ja starp mantojuma atstājēja nāvi un dienu, kad budžeta iestāde saņem jebkādus aktīvus, paiet zināms laika posms. Budžeta iestādei jāizvērtē, vai mantojuma atstājēja novēlētais īpašums ir pietiekami liels, lai apmierinātu ar to saistītās prasības un izpildītu visus novēlējumus. Arī testamenta apstrīdēšana var ietekmēt aktīvu saņemšanas varbūtību, līdz ar to budžeta iestāde izvērtē, vai mantojuma tiesības ir neapstrīdamas, kā rezultātā var atzīt saņemto pārvedumu.</w:t>
      </w:r>
    </w:p>
    <w:p w14:paraId="26B709A8" w14:textId="77777777" w:rsidR="00153B26" w:rsidRDefault="00641BEB" w:rsidP="00CD363C">
      <w:pPr>
        <w:pStyle w:val="Pamatteksts"/>
        <w:ind w:right="425"/>
        <w:jc w:val="both"/>
      </w:pPr>
      <w:r>
        <w:rPr>
          <w:noProof/>
        </w:rPr>
        <w:t xml:space="preserve">1051.    </w:t>
      </w:r>
      <w:r w:rsidR="00153B26">
        <w:t>Mantojumus novērtē saņemto vai saņemamo resursu patiesajā vērtībā.</w:t>
      </w:r>
    </w:p>
    <w:p w14:paraId="56FA3684" w14:textId="77777777" w:rsidR="00153B26" w:rsidRDefault="00641BEB" w:rsidP="00CD363C">
      <w:pPr>
        <w:pStyle w:val="Pamatteksts"/>
        <w:ind w:right="425"/>
        <w:jc w:val="both"/>
      </w:pPr>
      <w:r>
        <w:rPr>
          <w:noProof/>
        </w:rPr>
        <w:t xml:space="preserve">1052.   </w:t>
      </w:r>
      <w:r w:rsidR="00153B26">
        <w:rPr>
          <w:b/>
        </w:rPr>
        <w:t xml:space="preserve">Piemērs - </w:t>
      </w:r>
      <w:r w:rsidR="00153B26">
        <w:t>valsts universitātes absolvente, 55 gadus veca sieviete, savā testamentā ir noteikusi universitāti kā galveno mantinieku. Testaments tiek paziņots universitātei. Absolvente nav precējusies un viņai nav bērnu. Viņas īpašumā ir nekustamais īpašums, kura pašreizējā vērtība ir</w:t>
      </w:r>
      <w:r>
        <w:t xml:space="preserve"> </w:t>
      </w:r>
      <w:r w:rsidR="00153B26">
        <w:t>200 000 EUR. Valsts universitāte neuzrāda nekādu ar testamentu saistītu aktīvu vai ieņēmumu palielinājumu savā finanšu pārskatā par periodu, kurā sagatavots testaments. Pagātnes notikums, kura rezultātā rodas mantojuma tiesības, ir mantojuma atstājēja nāve. Aktīvu un ieņēmumus no aktīva saņemšanas atzīst, kad izpildās aktīva atzīšanas kritēriji, tas ir, mantojuma atstājējas nāves gadījumā budžeta iestādei (universitāte) rodas mantojuma tiesības un tās nav apstrīdamas.</w:t>
      </w:r>
    </w:p>
    <w:p w14:paraId="580A408A" w14:textId="77777777" w:rsidR="00153B26" w:rsidRDefault="00153B26" w:rsidP="00CD363C">
      <w:pPr>
        <w:spacing w:after="0" w:line="240" w:lineRule="auto"/>
        <w:ind w:left="338" w:right="425"/>
        <w:jc w:val="both"/>
        <w:rPr>
          <w:i/>
        </w:rPr>
      </w:pPr>
      <w:r>
        <w:rPr>
          <w:i/>
        </w:rPr>
        <w:t>Grāmatojums – universitāte atzīst saņemto mantojumu dienā, kad mantojuma tiesības nav apstrīdamas</w:t>
      </w:r>
    </w:p>
    <w:p w14:paraId="1C5ADF21" w14:textId="77777777" w:rsidR="00641BEB" w:rsidRPr="00320B04" w:rsidRDefault="00641BEB" w:rsidP="00CD363C">
      <w:pPr>
        <w:spacing w:after="0" w:line="240" w:lineRule="auto"/>
        <w:ind w:right="425"/>
        <w:jc w:val="both"/>
        <w:rPr>
          <w:rFonts w:ascii="Times New Roman" w:hAnsi="Times New Roman" w:cs="Times New Roman"/>
          <w:b/>
          <w:bCs/>
          <w:iCs/>
          <w:sz w:val="24"/>
          <w:szCs w:val="24"/>
        </w:rPr>
      </w:pPr>
      <w:r>
        <w:rPr>
          <w:iCs/>
        </w:rPr>
        <w:t xml:space="preserve">    </w:t>
      </w:r>
      <w:r w:rsidRPr="00320B04">
        <w:rPr>
          <w:rFonts w:ascii="Times New Roman" w:hAnsi="Times New Roman" w:cs="Times New Roman"/>
          <w:b/>
          <w:bCs/>
          <w:iCs/>
          <w:sz w:val="24"/>
          <w:szCs w:val="24"/>
        </w:rPr>
        <w:t xml:space="preserve">D    1xxx </w:t>
      </w:r>
      <w:r w:rsidR="00320B04" w:rsidRPr="00320B04">
        <w:rPr>
          <w:rFonts w:ascii="Times New Roman" w:hAnsi="Times New Roman" w:cs="Times New Roman"/>
          <w:b/>
          <w:bCs/>
          <w:iCs/>
          <w:sz w:val="24"/>
          <w:szCs w:val="24"/>
        </w:rPr>
        <w:t xml:space="preserve">   </w:t>
      </w:r>
      <w:r w:rsidRPr="00320B04">
        <w:rPr>
          <w:rFonts w:ascii="Times New Roman" w:hAnsi="Times New Roman" w:cs="Times New Roman"/>
          <w:b/>
          <w:bCs/>
          <w:iCs/>
          <w:sz w:val="24"/>
          <w:szCs w:val="24"/>
        </w:rPr>
        <w:t>Ilgter</w:t>
      </w:r>
      <w:r w:rsidR="00320B04" w:rsidRPr="00320B04">
        <w:rPr>
          <w:rFonts w:ascii="Times New Roman" w:hAnsi="Times New Roman" w:cs="Times New Roman"/>
          <w:b/>
          <w:bCs/>
          <w:iCs/>
          <w:sz w:val="24"/>
          <w:szCs w:val="24"/>
        </w:rPr>
        <w:t>miņa aktīvi</w:t>
      </w:r>
    </w:p>
    <w:p w14:paraId="652EA52A" w14:textId="77777777" w:rsidR="00320B04" w:rsidRPr="00320B04" w:rsidRDefault="00320B04" w:rsidP="00CD363C">
      <w:pPr>
        <w:spacing w:after="0" w:line="240" w:lineRule="auto"/>
        <w:ind w:right="425"/>
        <w:jc w:val="both"/>
        <w:rPr>
          <w:rFonts w:ascii="Times New Roman" w:hAnsi="Times New Roman" w:cs="Times New Roman"/>
          <w:b/>
          <w:bCs/>
          <w:iCs/>
          <w:sz w:val="24"/>
          <w:szCs w:val="24"/>
        </w:rPr>
      </w:pPr>
      <w:r w:rsidRPr="00320B04">
        <w:rPr>
          <w:rFonts w:ascii="Times New Roman" w:hAnsi="Times New Roman" w:cs="Times New Roman"/>
          <w:b/>
          <w:bCs/>
          <w:iCs/>
          <w:sz w:val="24"/>
          <w:szCs w:val="24"/>
        </w:rPr>
        <w:t xml:space="preserve">    D    2300   Īstermiņas prasības</w:t>
      </w:r>
    </w:p>
    <w:p w14:paraId="49833498" w14:textId="77777777" w:rsidR="00320B04" w:rsidRPr="00320B04" w:rsidRDefault="00320B04" w:rsidP="00CD363C">
      <w:pPr>
        <w:spacing w:after="0" w:line="240" w:lineRule="auto"/>
        <w:ind w:right="425"/>
        <w:jc w:val="both"/>
        <w:rPr>
          <w:rFonts w:ascii="Times New Roman" w:hAnsi="Times New Roman" w:cs="Times New Roman"/>
          <w:b/>
          <w:bCs/>
          <w:iCs/>
          <w:sz w:val="24"/>
          <w:szCs w:val="24"/>
        </w:rPr>
      </w:pPr>
      <w:r w:rsidRPr="00320B04">
        <w:rPr>
          <w:rFonts w:ascii="Times New Roman" w:hAnsi="Times New Roman" w:cs="Times New Roman"/>
          <w:b/>
          <w:bCs/>
          <w:iCs/>
          <w:sz w:val="24"/>
          <w:szCs w:val="24"/>
        </w:rPr>
        <w:t xml:space="preserve">    K    6000   Pamatdarbības ieņēmumi</w:t>
      </w:r>
    </w:p>
    <w:p w14:paraId="49857A1E" w14:textId="77777777" w:rsidR="00153B26" w:rsidRDefault="00153B26" w:rsidP="00CD363C">
      <w:pPr>
        <w:pStyle w:val="Pamatteksts"/>
        <w:ind w:right="425"/>
        <w:jc w:val="both"/>
        <w:rPr>
          <w:i/>
          <w:sz w:val="10"/>
        </w:rPr>
      </w:pPr>
    </w:p>
    <w:p w14:paraId="20AAB501" w14:textId="77777777" w:rsidR="00153B26" w:rsidRPr="00641BEB" w:rsidRDefault="00153B26" w:rsidP="00CD363C">
      <w:pPr>
        <w:pStyle w:val="Pamatteksts"/>
        <w:tabs>
          <w:tab w:val="left" w:pos="914"/>
          <w:tab w:val="left" w:pos="9923"/>
        </w:tabs>
        <w:ind w:right="425"/>
        <w:jc w:val="both"/>
        <w:sectPr w:rsidR="00153B26" w:rsidRPr="00641BEB" w:rsidSect="00153B26">
          <w:footerReference w:type="default" r:id="rId83"/>
          <w:pgSz w:w="11910" w:h="16840"/>
          <w:pgMar w:top="760" w:right="740" w:bottom="1200" w:left="1134" w:header="0" w:footer="1010" w:gutter="0"/>
          <w:cols w:space="720"/>
        </w:sectPr>
      </w:pPr>
      <w:bookmarkStart w:id="90" w:name="10._Informācijas_uzrādīšana"/>
      <w:bookmarkStart w:id="91" w:name="_bookmark402"/>
      <w:bookmarkEnd w:id="90"/>
      <w:bookmarkEnd w:id="91"/>
    </w:p>
    <w:tbl>
      <w:tblPr>
        <w:tblW w:w="0" w:type="auto"/>
        <w:tblLayout w:type="fixed"/>
        <w:tblCellMar>
          <w:left w:w="0" w:type="dxa"/>
          <w:right w:w="0" w:type="dxa"/>
        </w:tblCellMar>
        <w:tblLook w:val="01E0" w:firstRow="1" w:lastRow="1" w:firstColumn="1" w:lastColumn="1" w:noHBand="0" w:noVBand="0"/>
      </w:tblPr>
      <w:tblGrid>
        <w:gridCol w:w="20"/>
        <w:gridCol w:w="3035"/>
        <w:gridCol w:w="3035"/>
      </w:tblGrid>
      <w:tr w:rsidR="00153B26" w:rsidRPr="00906836" w14:paraId="708EFF8C" w14:textId="77777777" w:rsidTr="009C51A4">
        <w:trPr>
          <w:trHeight w:val="327"/>
        </w:trPr>
        <w:tc>
          <w:tcPr>
            <w:tcW w:w="20" w:type="dxa"/>
          </w:tcPr>
          <w:p w14:paraId="4FEEB49D" w14:textId="77777777" w:rsidR="00153B26" w:rsidRPr="00906836" w:rsidRDefault="00153B26" w:rsidP="00CD363C">
            <w:pPr>
              <w:pStyle w:val="TableParagraph"/>
              <w:ind w:left="-1980" w:right="425"/>
              <w:jc w:val="both"/>
              <w:rPr>
                <w:i/>
                <w:sz w:val="24"/>
                <w:szCs w:val="24"/>
              </w:rPr>
            </w:pPr>
          </w:p>
        </w:tc>
        <w:tc>
          <w:tcPr>
            <w:tcW w:w="3035" w:type="dxa"/>
          </w:tcPr>
          <w:p w14:paraId="1393CF4B" w14:textId="77777777" w:rsidR="00153B26" w:rsidRPr="00906836" w:rsidRDefault="00153B26" w:rsidP="00CD363C">
            <w:pPr>
              <w:pStyle w:val="TableParagraph"/>
              <w:ind w:right="425"/>
              <w:jc w:val="both"/>
              <w:rPr>
                <w:sz w:val="24"/>
                <w:szCs w:val="24"/>
              </w:rPr>
            </w:pPr>
          </w:p>
        </w:tc>
        <w:tc>
          <w:tcPr>
            <w:tcW w:w="3035" w:type="dxa"/>
          </w:tcPr>
          <w:p w14:paraId="28842513" w14:textId="77777777" w:rsidR="00153B26" w:rsidRPr="00906836" w:rsidRDefault="00153B26" w:rsidP="00CD363C">
            <w:pPr>
              <w:pStyle w:val="TableParagraph"/>
              <w:ind w:right="425"/>
              <w:jc w:val="both"/>
              <w:rPr>
                <w:sz w:val="24"/>
                <w:szCs w:val="24"/>
              </w:rPr>
            </w:pPr>
          </w:p>
        </w:tc>
      </w:tr>
    </w:tbl>
    <w:p w14:paraId="38EEA029" w14:textId="77777777" w:rsidR="00906836" w:rsidRPr="00A60C14" w:rsidRDefault="00320B04" w:rsidP="00CD363C">
      <w:pPr>
        <w:pStyle w:val="Pamatteksts"/>
        <w:numPr>
          <w:ilvl w:val="0"/>
          <w:numId w:val="60"/>
        </w:numPr>
        <w:ind w:right="425"/>
        <w:jc w:val="both"/>
        <w:rPr>
          <w:b/>
          <w:bCs/>
          <w:iCs/>
          <w:sz w:val="28"/>
          <w:szCs w:val="28"/>
        </w:rPr>
      </w:pPr>
      <w:r w:rsidRPr="00A60C14">
        <w:rPr>
          <w:b/>
          <w:bCs/>
          <w:iCs/>
          <w:sz w:val="28"/>
          <w:szCs w:val="28"/>
        </w:rPr>
        <w:t>Ieņēmumu darījumos ar atlīdzību uzskaite</w:t>
      </w:r>
    </w:p>
    <w:p w14:paraId="358319F0" w14:textId="77777777" w:rsidR="00906836" w:rsidRPr="00906836" w:rsidRDefault="00906836" w:rsidP="00CD363C">
      <w:pPr>
        <w:pStyle w:val="Virsraksts4"/>
        <w:spacing w:before="0"/>
        <w:ind w:left="118" w:right="425"/>
        <w:jc w:val="both"/>
        <w:rPr>
          <w:color w:val="002069"/>
        </w:rPr>
      </w:pPr>
    </w:p>
    <w:p w14:paraId="0186EC40" w14:textId="77777777" w:rsidR="009C51A4" w:rsidRPr="00A02AD3" w:rsidRDefault="009C51A4" w:rsidP="00CD363C">
      <w:pPr>
        <w:pStyle w:val="Pamatteksts"/>
        <w:tabs>
          <w:tab w:val="left" w:pos="914"/>
          <w:tab w:val="left" w:pos="10039"/>
        </w:tabs>
        <w:ind w:right="425"/>
        <w:jc w:val="both"/>
        <w:rPr>
          <w:sz w:val="24"/>
          <w:szCs w:val="24"/>
        </w:rPr>
      </w:pPr>
      <w:r>
        <w:t xml:space="preserve">1053.   </w:t>
      </w:r>
      <w:r w:rsidRPr="00A02AD3">
        <w:rPr>
          <w:sz w:val="24"/>
          <w:szCs w:val="24"/>
        </w:rPr>
        <w:t>Šī sadaļa nosaka uzskaites principus ieņēmumiem no sekojošiem darījumiem un</w:t>
      </w:r>
      <w:r w:rsidRPr="00A02AD3">
        <w:rPr>
          <w:spacing w:val="-15"/>
          <w:sz w:val="24"/>
          <w:szCs w:val="24"/>
        </w:rPr>
        <w:t xml:space="preserve"> </w:t>
      </w:r>
      <w:r w:rsidRPr="00A02AD3">
        <w:rPr>
          <w:sz w:val="24"/>
          <w:szCs w:val="24"/>
        </w:rPr>
        <w:t>notikumiem:</w:t>
      </w:r>
    </w:p>
    <w:p w14:paraId="3022017B" w14:textId="77777777" w:rsidR="009C51A4" w:rsidRPr="00A02AD3" w:rsidRDefault="009C51A4" w:rsidP="00CD363C">
      <w:pPr>
        <w:pStyle w:val="Sarakstarindkopa"/>
        <w:widowControl w:val="0"/>
        <w:numPr>
          <w:ilvl w:val="2"/>
          <w:numId w:val="70"/>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pakalpojumu</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sniegšana;</w:t>
      </w:r>
    </w:p>
    <w:p w14:paraId="239FA84C" w14:textId="77777777" w:rsidR="009C51A4" w:rsidRPr="00A02AD3" w:rsidRDefault="009C51A4" w:rsidP="00CD363C">
      <w:pPr>
        <w:pStyle w:val="Sarakstarindkopa"/>
        <w:widowControl w:val="0"/>
        <w:numPr>
          <w:ilvl w:val="2"/>
          <w:numId w:val="70"/>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preču</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pārdošana;</w:t>
      </w:r>
    </w:p>
    <w:p w14:paraId="3F083E11" w14:textId="77777777" w:rsidR="009C51A4" w:rsidRPr="00A02AD3" w:rsidRDefault="009C51A4" w:rsidP="00CD363C">
      <w:pPr>
        <w:pStyle w:val="Sarakstarindkopa"/>
        <w:widowControl w:val="0"/>
        <w:numPr>
          <w:ilvl w:val="2"/>
          <w:numId w:val="70"/>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gadījumi, kad budžeta iestādes aktīvus lieto trešās personas un budžeta iestāde gūst ieņēmumus procentu, autoratlīdzības un dividenžu vai tamlīdzīgu maksājumu</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veidā.</w:t>
      </w:r>
    </w:p>
    <w:p w14:paraId="3A41FB30" w14:textId="77777777" w:rsidR="006162DC" w:rsidRPr="00A02AD3" w:rsidRDefault="009C51A4" w:rsidP="00CD363C">
      <w:pPr>
        <w:spacing w:after="0" w:line="240" w:lineRule="auto"/>
        <w:ind w:right="425"/>
        <w:jc w:val="both"/>
        <w:rPr>
          <w:rFonts w:ascii="Times New Roman" w:hAnsi="Times New Roman" w:cs="Times New Roman"/>
          <w:color w:val="FF0000"/>
          <w:sz w:val="24"/>
          <w:szCs w:val="24"/>
        </w:rPr>
      </w:pPr>
      <w:r w:rsidRPr="00A02AD3">
        <w:rPr>
          <w:rFonts w:ascii="Times New Roman" w:hAnsi="Times New Roman" w:cs="Times New Roman"/>
          <w:sz w:val="24"/>
          <w:szCs w:val="24"/>
        </w:rPr>
        <w:t>1054.   Darījums ar atlīdzību rodas, kad budžeta iestāde saņem aktīvus vai pakalpojumus, vai izpilda saistības, un darījuma otrai pusei pretī tieši nodod atlīdzību, kuras patiesā vērtība atbilst saņemto aktīvu vai pakalpojumu patiesai vērtībai. Tie</w:t>
      </w:r>
      <w:r w:rsidRPr="00A02AD3">
        <w:rPr>
          <w:rFonts w:ascii="Times New Roman" w:hAnsi="Times New Roman" w:cs="Times New Roman"/>
          <w:spacing w:val="-31"/>
          <w:sz w:val="24"/>
          <w:szCs w:val="24"/>
        </w:rPr>
        <w:t xml:space="preserve"> </w:t>
      </w:r>
      <w:r w:rsidRPr="00A02AD3">
        <w:rPr>
          <w:rFonts w:ascii="Times New Roman" w:hAnsi="Times New Roman" w:cs="Times New Roman"/>
          <w:sz w:val="24"/>
          <w:szCs w:val="24"/>
        </w:rPr>
        <w:t>ietver ieņēmumus un izdevumus, kuri ir saistīti ar pakalpojumu sniegšanu,</w:t>
      </w:r>
      <w:r w:rsidRPr="00A02AD3">
        <w:rPr>
          <w:rFonts w:ascii="Times New Roman" w:hAnsi="Times New Roman" w:cs="Times New Roman"/>
          <w:spacing w:val="-23"/>
          <w:sz w:val="24"/>
          <w:szCs w:val="24"/>
        </w:rPr>
        <w:t xml:space="preserve"> </w:t>
      </w:r>
      <w:r w:rsidRPr="00A02AD3">
        <w:rPr>
          <w:rFonts w:ascii="Times New Roman" w:hAnsi="Times New Roman" w:cs="Times New Roman"/>
          <w:sz w:val="24"/>
          <w:szCs w:val="24"/>
        </w:rPr>
        <w:t>preču pārdošanu, aktīvu lietošanu un</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līgumsodiem.</w:t>
      </w:r>
    </w:p>
    <w:p w14:paraId="104E3CE7" w14:textId="77777777" w:rsidR="006162DC" w:rsidRPr="00744E05" w:rsidRDefault="00744E05" w:rsidP="00CD363C">
      <w:pPr>
        <w:pStyle w:val="Sarakstarindkopa"/>
        <w:numPr>
          <w:ilvl w:val="1"/>
          <w:numId w:val="73"/>
        </w:num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C51A4" w:rsidRPr="00744E05">
        <w:rPr>
          <w:rFonts w:ascii="Times New Roman" w:hAnsi="Times New Roman" w:cs="Times New Roman"/>
          <w:b/>
          <w:bCs/>
          <w:sz w:val="24"/>
          <w:szCs w:val="24"/>
        </w:rPr>
        <w:t>Ieņēmumu atzīšana un novērtēšana darījumos ar atlīdzību.</w:t>
      </w:r>
    </w:p>
    <w:p w14:paraId="248322F1" w14:textId="77777777" w:rsidR="009C51A4" w:rsidRPr="00A02AD3" w:rsidRDefault="009C51A4"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1055.    Budžeta iestāde var gūt ieņēmumus no šādiem darījumiem un</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notikumiem:</w:t>
      </w:r>
    </w:p>
    <w:p w14:paraId="55E033CB" w14:textId="77777777" w:rsidR="009C51A4" w:rsidRPr="00A02AD3" w:rsidRDefault="009C51A4" w:rsidP="00CD363C">
      <w:pPr>
        <w:pStyle w:val="Sarakstarindkopa"/>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pakalpojumu</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sniegšana;</w:t>
      </w:r>
    </w:p>
    <w:p w14:paraId="152FCE16" w14:textId="77777777" w:rsidR="009C51A4" w:rsidRPr="00A02AD3" w:rsidRDefault="009C51A4" w:rsidP="00CD363C">
      <w:pPr>
        <w:pStyle w:val="Sarakstarindkopa"/>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preču</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pārdošana;</w:t>
      </w:r>
    </w:p>
    <w:p w14:paraId="6601E593" w14:textId="77777777" w:rsidR="009C51A4" w:rsidRPr="00A02AD3" w:rsidRDefault="009C51A4" w:rsidP="00CD363C">
      <w:pPr>
        <w:pStyle w:val="Sarakstarindkopa"/>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gadījumos,</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kad</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iestādes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aktīvus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lieto</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trešās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personas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un</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iestāde</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gūst</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ieņēmumus procentu, autoratlīdzības un dividenžu vai tamlīdzīgu maksājumu</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veidā.</w:t>
      </w:r>
    </w:p>
    <w:p w14:paraId="71D13275"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1056.    Lai atšķirtu darījumus ar atlīdzību no darījumiem bez atlīdzības, darījums jāizvērtē pēc tā būtības, nevis darījuma juridiskās</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formas.</w:t>
      </w:r>
    </w:p>
    <w:p w14:paraId="0189AE97" w14:textId="77777777" w:rsidR="00A27F03" w:rsidRDefault="009C51A4" w:rsidP="00CD363C">
      <w:pPr>
        <w:widowControl w:val="0"/>
        <w:tabs>
          <w:tab w:val="left" w:pos="1018"/>
        </w:tabs>
        <w:autoSpaceDE w:val="0"/>
        <w:autoSpaceDN w:val="0"/>
        <w:spacing w:after="0" w:line="240" w:lineRule="auto"/>
        <w:ind w:right="425"/>
        <w:jc w:val="both"/>
      </w:pPr>
      <w:r w:rsidRPr="00A02AD3">
        <w:rPr>
          <w:rFonts w:ascii="Times New Roman" w:hAnsi="Times New Roman" w:cs="Times New Roman"/>
          <w:sz w:val="24"/>
          <w:szCs w:val="24"/>
        </w:rPr>
        <w:t>1057.   Trešo personu vārdā iekasētās summas, piemēram, budžeta iestādes iekasētie maksājumi saskaņā ar trīspusējo vienošanos no nomniekiem par elektrību pakalpojuma sniedzēja vārdā, nav saimnieciskie labumi,</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ko</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iegūst</w:t>
      </w:r>
      <w:r w:rsidRPr="00A02AD3">
        <w:rPr>
          <w:rFonts w:ascii="Times New Roman" w:hAnsi="Times New Roman" w:cs="Times New Roman"/>
          <w:spacing w:val="-6"/>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iestāde.</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No</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šāda</w:t>
      </w:r>
      <w:r w:rsidRPr="00A02AD3">
        <w:rPr>
          <w:rFonts w:ascii="Times New Roman" w:hAnsi="Times New Roman" w:cs="Times New Roman"/>
          <w:spacing w:val="-6"/>
          <w:sz w:val="24"/>
          <w:szCs w:val="24"/>
        </w:rPr>
        <w:t xml:space="preserve"> </w:t>
      </w:r>
      <w:r w:rsidRPr="00A02AD3">
        <w:rPr>
          <w:rFonts w:ascii="Times New Roman" w:hAnsi="Times New Roman" w:cs="Times New Roman"/>
          <w:sz w:val="24"/>
          <w:szCs w:val="24"/>
        </w:rPr>
        <w:t>darījuma</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ieņēmumus</w:t>
      </w:r>
      <w:r w:rsidRPr="00A02AD3">
        <w:rPr>
          <w:rFonts w:ascii="Times New Roman" w:hAnsi="Times New Roman" w:cs="Times New Roman"/>
          <w:spacing w:val="-6"/>
          <w:sz w:val="24"/>
          <w:szCs w:val="24"/>
        </w:rPr>
        <w:t xml:space="preserve"> </w:t>
      </w:r>
      <w:r w:rsidRPr="00A02AD3">
        <w:rPr>
          <w:rFonts w:ascii="Times New Roman" w:hAnsi="Times New Roman" w:cs="Times New Roman"/>
          <w:sz w:val="24"/>
          <w:szCs w:val="24"/>
        </w:rPr>
        <w:t>neatzīst.</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Pilnvarotāja</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vārdā</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iekasētās summas nav ieņēmumi. Toties ieņēmumi ir summa, kas saņemta kā jebkāda komisijas maksa. Saņemot</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maksājumus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trešās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personas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vārdā,</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izņemot</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transfertus,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saskaņā</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ar</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attiecīgu</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vienošanos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starp pakalpojuma saņēmēju, pakalpojuma sniedzēju un budžeta iestādi, atzīst naudas līdzekļu palielinājumu</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un</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saistības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pret</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trešo</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personu.</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Veicot</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maksājumu</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saņēmējam</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(nododot</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aktīvus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trešajai personai), budžeta iestāde samazina saistības un naudas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līdzekļus.</w:t>
      </w:r>
      <w:r w:rsidR="00A27F03" w:rsidRPr="00A27F03">
        <w:t xml:space="preserve"> </w:t>
      </w:r>
    </w:p>
    <w:p w14:paraId="19FB828B"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b/>
          <w:bCs/>
        </w:rPr>
      </w:pPr>
      <w:r w:rsidRPr="00F1523B">
        <w:rPr>
          <w:rFonts w:ascii="Times New Roman" w:hAnsi="Times New Roman" w:cs="Times New Roman"/>
        </w:rPr>
        <w:t>1057.1</w:t>
      </w:r>
      <w:r w:rsidRPr="00A27F03">
        <w:rPr>
          <w:rFonts w:ascii="Times New Roman" w:hAnsi="Times New Roman" w:cs="Times New Roman"/>
          <w:b/>
          <w:bCs/>
        </w:rPr>
        <w:t xml:space="preserve">  PIEMĒRS</w:t>
      </w:r>
      <w:r>
        <w:t xml:space="preserve">  </w:t>
      </w:r>
      <w:r w:rsidRPr="00A27F03">
        <w:rPr>
          <w:rFonts w:ascii="Times New Roman" w:hAnsi="Times New Roman" w:cs="Times New Roman"/>
          <w:b/>
          <w:bCs/>
        </w:rPr>
        <w:t>TREŠO PERSONU VĀRDĀ IEKASĒTIE NAUDAS LĪDZEKĻI</w:t>
      </w:r>
    </w:p>
    <w:p w14:paraId="60CBBE00"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Grāmatošana</w:t>
      </w:r>
      <w:r w:rsidR="00F1523B">
        <w:rPr>
          <w:rFonts w:ascii="Times New Roman" w:hAnsi="Times New Roman" w:cs="Times New Roman"/>
          <w:sz w:val="24"/>
          <w:szCs w:val="24"/>
        </w:rPr>
        <w:t>:</w:t>
      </w:r>
    </w:p>
    <w:p w14:paraId="0344F17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Pašvaldība, pašvaldības iestāde iznomā telpas SIA, vai skolas dienesta dzīvoklis kurā dzīvo direktors vai kāds cits skolotājs, bet maksa par elektroenerģiju, siltumu  ir iekļauta kopējā pašvaldības iestādes rēķinā. Elektroenerģijas, siltuma  patēriņš tiek fiksēts ar atsevišķu skaitītāju vai ir atrunāta maksa par elektroenerģiju.</w:t>
      </w:r>
    </w:p>
    <w:p w14:paraId="06F0FE5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Rīkojamies sekojoši:</w:t>
      </w:r>
    </w:p>
    <w:p w14:paraId="665AE0DF"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PIEMĒRS</w:t>
      </w:r>
    </w:p>
    <w:p w14:paraId="4771A67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Pašvaldība saņem rēķinu par elektroenerģijas patēriņu par summu 585 EUR</w:t>
      </w:r>
    </w:p>
    <w:p w14:paraId="6E0CF202"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t.sk. SIA patērētā elektroenerģijas daļa ir 85 EUR</w:t>
      </w:r>
    </w:p>
    <w:p w14:paraId="01AD2673"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1) Grāmatojam rēķinu</w:t>
      </w:r>
    </w:p>
    <w:p w14:paraId="6AA8B6A8"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Db 7022 -    500 EUR  EKK 2223</w:t>
      </w:r>
    </w:p>
    <w:p w14:paraId="657443AB"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Db 7022.1  -   85 EUR  EKK 2223</w:t>
      </w:r>
    </w:p>
    <w:p w14:paraId="3854D289"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Kr  5311 -    585 EUR  </w:t>
      </w:r>
    </w:p>
    <w:p w14:paraId="291D9C53"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2) Piestādam rēķinu SIA</w:t>
      </w:r>
    </w:p>
    <w:p w14:paraId="7002EBB9"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Db 23xx  -     185 EUR (nomas maksa 100, elektr.85 ) </w:t>
      </w:r>
    </w:p>
    <w:p w14:paraId="3B1A14AA"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Kr  6xxx    -   100 EUR  EKK 21xxx</w:t>
      </w:r>
    </w:p>
    <w:p w14:paraId="72978C5B"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Kr  7022.1    -  85 EUR  EKK 2223</w:t>
      </w:r>
    </w:p>
    <w:p w14:paraId="3AF06DA7"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Kur 7022.1  konts ir ,, Starpniecības izdevumi”  </w:t>
      </w:r>
    </w:p>
    <w:p w14:paraId="34AB7D67"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3) Apmaksājam Elektrum rēķinu</w:t>
      </w:r>
    </w:p>
    <w:p w14:paraId="31F6BB2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Db 5311 – 585 EUR</w:t>
      </w:r>
    </w:p>
    <w:p w14:paraId="61777042"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Kr   2621 – 585  EUR    EKK 2223</w:t>
      </w:r>
    </w:p>
    <w:p w14:paraId="3E1A75AF"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4) Saņemam SIA apmaksu</w:t>
      </w:r>
    </w:p>
    <w:p w14:paraId="18218F05"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Dt  2621 – 100  EUR   EKK 21xxx</w:t>
      </w:r>
    </w:p>
    <w:p w14:paraId="5A78817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Dt   2621  -  85 EUR  EKK 2223</w:t>
      </w:r>
    </w:p>
    <w:p w14:paraId="5C0C8DF9" w14:textId="77777777" w:rsidR="009C51A4" w:rsidRPr="00A02AD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Kt   23xx -185  EUR          </w:t>
      </w:r>
    </w:p>
    <w:p w14:paraId="68AF6312" w14:textId="77777777" w:rsidR="009C51A4" w:rsidRPr="00A02AD3" w:rsidRDefault="009C51A4"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1058.   Budžeta iestāde ieņēmumus atzīst, ja ir ticams,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ka:</w:t>
      </w:r>
    </w:p>
    <w:p w14:paraId="2B788CAC" w14:textId="77777777" w:rsidR="009C51A4" w:rsidRPr="00A02AD3" w:rsidRDefault="009C51A4" w:rsidP="00CD363C">
      <w:pPr>
        <w:pStyle w:val="Sarakstarindkopa"/>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budžeta iestāde saņems resursus,</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un,</w:t>
      </w:r>
    </w:p>
    <w:p w14:paraId="4AB961E0" w14:textId="77777777" w:rsidR="009C51A4" w:rsidRPr="00A02AD3" w:rsidRDefault="009C51A4" w:rsidP="00CD363C">
      <w:pPr>
        <w:pStyle w:val="Sarakstarindkopa"/>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šos labumus iespējams ticami</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novērtēt.</w:t>
      </w:r>
    </w:p>
    <w:p w14:paraId="44EC9B7A"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1059.  Budžeta iestāde novērtē ieņēmumus saņemtās vai saņemamās atlīdzības patiesajā vērtībā un atzīst periodā,</w:t>
      </w:r>
      <w:r w:rsidRPr="00A02AD3">
        <w:rPr>
          <w:rFonts w:ascii="Times New Roman" w:hAnsi="Times New Roman" w:cs="Times New Roman"/>
          <w:spacing w:val="-13"/>
          <w:sz w:val="24"/>
          <w:szCs w:val="24"/>
        </w:rPr>
        <w:t xml:space="preserve"> </w:t>
      </w:r>
      <w:r w:rsidRPr="00A02AD3">
        <w:rPr>
          <w:rFonts w:ascii="Times New Roman" w:hAnsi="Times New Roman" w:cs="Times New Roman"/>
          <w:sz w:val="24"/>
          <w:szCs w:val="24"/>
        </w:rPr>
        <w:t>kad</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tie</w:t>
      </w:r>
      <w:r w:rsidRPr="00A02AD3">
        <w:rPr>
          <w:rFonts w:ascii="Times New Roman" w:hAnsi="Times New Roman" w:cs="Times New Roman"/>
          <w:spacing w:val="-14"/>
          <w:sz w:val="24"/>
          <w:szCs w:val="24"/>
        </w:rPr>
        <w:t xml:space="preserve"> </w:t>
      </w:r>
      <w:r w:rsidRPr="00A02AD3">
        <w:rPr>
          <w:rFonts w:ascii="Times New Roman" w:hAnsi="Times New Roman" w:cs="Times New Roman"/>
          <w:sz w:val="24"/>
          <w:szCs w:val="24"/>
        </w:rPr>
        <w:t>radušies,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piemēram,</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kad</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sniegti</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pakalpojumi</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vai</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pārdotas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preces,</w:t>
      </w:r>
      <w:r w:rsidRPr="00A02AD3">
        <w:rPr>
          <w:rFonts w:ascii="Times New Roman" w:hAnsi="Times New Roman" w:cs="Times New Roman"/>
          <w:spacing w:val="-13"/>
          <w:sz w:val="24"/>
          <w:szCs w:val="24"/>
        </w:rPr>
        <w:t xml:space="preserve"> </w:t>
      </w:r>
      <w:r w:rsidRPr="00A02AD3">
        <w:rPr>
          <w:rFonts w:ascii="Times New Roman" w:hAnsi="Times New Roman" w:cs="Times New Roman"/>
          <w:sz w:val="24"/>
          <w:szCs w:val="24"/>
        </w:rPr>
        <w:t>neatkarīgi</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no</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naudas saņemšanas.</w:t>
      </w:r>
    </w:p>
    <w:p w14:paraId="44156DA3" w14:textId="77777777" w:rsidR="009C51A4" w:rsidRPr="00A02AD3" w:rsidRDefault="009C51A4" w:rsidP="00CD363C">
      <w:pPr>
        <w:spacing w:after="0" w:line="240" w:lineRule="auto"/>
        <w:ind w:right="425"/>
        <w:jc w:val="both"/>
        <w:rPr>
          <w:rFonts w:ascii="Times New Roman" w:hAnsi="Times New Roman" w:cs="Times New Roman"/>
          <w:i/>
          <w:sz w:val="24"/>
          <w:szCs w:val="24"/>
        </w:rPr>
      </w:pPr>
      <w:r w:rsidRPr="00A02AD3">
        <w:rPr>
          <w:rFonts w:ascii="Times New Roman" w:hAnsi="Times New Roman" w:cs="Times New Roman"/>
          <w:i/>
          <w:sz w:val="24"/>
          <w:szCs w:val="24"/>
        </w:rPr>
        <w:t>Piemēram, budžeta iestāde pārskata perioda beigās ir pārdevusi preces vai sniegusi pakalpojumus. Lai arī prece</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ir</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pārdota/pakalpojumi</w:t>
      </w:r>
      <w:r w:rsidRPr="00A02AD3">
        <w:rPr>
          <w:rFonts w:ascii="Times New Roman" w:hAnsi="Times New Roman" w:cs="Times New Roman"/>
          <w:i/>
          <w:spacing w:val="-11"/>
          <w:sz w:val="24"/>
          <w:szCs w:val="24"/>
        </w:rPr>
        <w:t xml:space="preserve"> </w:t>
      </w:r>
      <w:r w:rsidRPr="00A02AD3">
        <w:rPr>
          <w:rFonts w:ascii="Times New Roman" w:hAnsi="Times New Roman" w:cs="Times New Roman"/>
          <w:i/>
          <w:sz w:val="24"/>
          <w:szCs w:val="24"/>
        </w:rPr>
        <w:t>sniegti,</w:t>
      </w:r>
      <w:r w:rsidRPr="00A02AD3">
        <w:rPr>
          <w:rFonts w:ascii="Times New Roman" w:hAnsi="Times New Roman" w:cs="Times New Roman"/>
          <w:i/>
          <w:spacing w:val="-12"/>
          <w:sz w:val="24"/>
          <w:szCs w:val="24"/>
        </w:rPr>
        <w:t xml:space="preserve"> </w:t>
      </w:r>
      <w:r w:rsidRPr="00A02AD3">
        <w:rPr>
          <w:rFonts w:ascii="Times New Roman" w:hAnsi="Times New Roman" w:cs="Times New Roman"/>
          <w:i/>
          <w:sz w:val="24"/>
          <w:szCs w:val="24"/>
        </w:rPr>
        <w:t>pārskata</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datumā</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budžeta</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iestāde</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nav</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izrakstījusi</w:t>
      </w:r>
      <w:r w:rsidRPr="00A02AD3">
        <w:rPr>
          <w:rFonts w:ascii="Times New Roman" w:hAnsi="Times New Roman" w:cs="Times New Roman"/>
          <w:i/>
          <w:spacing w:val="-11"/>
          <w:sz w:val="24"/>
          <w:szCs w:val="24"/>
        </w:rPr>
        <w:t xml:space="preserve"> </w:t>
      </w:r>
      <w:r w:rsidRPr="00A02AD3">
        <w:rPr>
          <w:rFonts w:ascii="Times New Roman" w:hAnsi="Times New Roman" w:cs="Times New Roman"/>
          <w:i/>
          <w:sz w:val="24"/>
          <w:szCs w:val="24"/>
        </w:rPr>
        <w:t>rēķinu</w:t>
      </w:r>
      <w:r w:rsidRPr="00A02AD3">
        <w:rPr>
          <w:rFonts w:ascii="Times New Roman" w:hAnsi="Times New Roman" w:cs="Times New Roman"/>
          <w:i/>
          <w:spacing w:val="-12"/>
          <w:sz w:val="24"/>
          <w:szCs w:val="24"/>
        </w:rPr>
        <w:t xml:space="preserve"> </w:t>
      </w:r>
      <w:r w:rsidRPr="00A02AD3">
        <w:rPr>
          <w:rFonts w:ascii="Times New Roman" w:hAnsi="Times New Roman" w:cs="Times New Roman"/>
          <w:i/>
          <w:sz w:val="24"/>
          <w:szCs w:val="24"/>
        </w:rPr>
        <w:t>par</w:t>
      </w:r>
      <w:r w:rsidRPr="00A02AD3">
        <w:rPr>
          <w:rFonts w:ascii="Times New Roman" w:hAnsi="Times New Roman" w:cs="Times New Roman"/>
          <w:i/>
          <w:spacing w:val="-13"/>
          <w:sz w:val="24"/>
          <w:szCs w:val="24"/>
        </w:rPr>
        <w:t xml:space="preserve"> </w:t>
      </w:r>
      <w:r w:rsidRPr="00A02AD3">
        <w:rPr>
          <w:rFonts w:ascii="Times New Roman" w:hAnsi="Times New Roman" w:cs="Times New Roman"/>
          <w:i/>
          <w:sz w:val="24"/>
          <w:szCs w:val="24"/>
        </w:rPr>
        <w:t>sniegtajiem pakalpojumiem/pārdoto preci. Preču vai pakalpojumu saņēmējs (pircējs) veic maksājumu par saņemto preci/pakalpojumu tikai nākamajā pārskata periodā. Budžeta iestāde uzskaita ieņēmumus pārskata periodā, kad tie radušies – preces pārdotas/sniegti pakalpojumi un pircējam nodoti nozīmīgi ar aktīva īpašuma tiesībām saistītie riski, pat ja nauda tiek saņemta pēc pārskata perioda</w:t>
      </w:r>
      <w:r w:rsidRPr="00A02AD3">
        <w:rPr>
          <w:rFonts w:ascii="Times New Roman" w:hAnsi="Times New Roman" w:cs="Times New Roman"/>
          <w:i/>
          <w:spacing w:val="-16"/>
          <w:sz w:val="24"/>
          <w:szCs w:val="24"/>
        </w:rPr>
        <w:t xml:space="preserve"> </w:t>
      </w:r>
      <w:r w:rsidRPr="00A02AD3">
        <w:rPr>
          <w:rFonts w:ascii="Times New Roman" w:hAnsi="Times New Roman" w:cs="Times New Roman"/>
          <w:i/>
          <w:sz w:val="24"/>
          <w:szCs w:val="24"/>
        </w:rPr>
        <w:t>beigām.</w:t>
      </w:r>
    </w:p>
    <w:p w14:paraId="051BE9A6"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1060.   Budžeta iestāde ieņēmumus analītiski uzskaita atbilstoši normatīvajos aktos budžeta klasifikāciju jomā noteiktajai budžeta ieņēmumu</w:t>
      </w:r>
      <w:r w:rsidRPr="00A02AD3">
        <w:rPr>
          <w:rFonts w:ascii="Times New Roman" w:hAnsi="Times New Roman" w:cs="Times New Roman"/>
          <w:spacing w:val="2"/>
          <w:sz w:val="24"/>
          <w:szCs w:val="24"/>
        </w:rPr>
        <w:t xml:space="preserve"> </w:t>
      </w:r>
      <w:r w:rsidRPr="00A02AD3">
        <w:rPr>
          <w:rFonts w:ascii="Times New Roman" w:hAnsi="Times New Roman" w:cs="Times New Roman"/>
          <w:sz w:val="24"/>
          <w:szCs w:val="24"/>
        </w:rPr>
        <w:t>klasifikācijai.</w:t>
      </w:r>
    </w:p>
    <w:p w14:paraId="1ADF3A35"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1061.  Budžeta iestāde novērtē ieņēmumus, kas radušies darījuma rezultātā, saskaņā ar līgumu, vienošanos vai citu attaisnojuma dokumentu, un atzīst ieņēmumus saņemtās atlīdzības vērtībā vai prasības patiesajā vērtībā, atskaitot pievienotās vērtības nodokli un budžeta iestādes piešķirtās atlaides un atvieglojumus. Piešķirtās atlaides un atvieglojumus uzskaita analītiski. </w:t>
      </w:r>
      <w:r w:rsidR="00A60C14" w:rsidRPr="00A60C14">
        <w:rPr>
          <w:rFonts w:ascii="Times New Roman" w:hAnsi="Times New Roman" w:cs="Times New Roman"/>
          <w:sz w:val="24"/>
          <w:szCs w:val="24"/>
        </w:rPr>
        <w:t>23.6</w:t>
      </w:r>
      <w:r w:rsidRPr="00A60C14">
        <w:rPr>
          <w:rFonts w:ascii="Times New Roman" w:hAnsi="Times New Roman" w:cs="Times New Roman"/>
          <w:sz w:val="24"/>
          <w:szCs w:val="24"/>
        </w:rPr>
        <w:t>.nodaļā</w:t>
      </w:r>
      <w:r w:rsidRPr="00A60C14">
        <w:rPr>
          <w:rFonts w:ascii="Times New Roman" w:hAnsi="Times New Roman" w:cs="Times New Roman"/>
          <w:color w:val="0462C1"/>
          <w:sz w:val="24"/>
          <w:szCs w:val="24"/>
        </w:rPr>
        <w:t xml:space="preserve"> </w:t>
      </w:r>
      <w:r w:rsidRPr="00A60C14">
        <w:rPr>
          <w:rFonts w:ascii="Times New Roman" w:hAnsi="Times New Roman" w:cs="Times New Roman"/>
          <w:color w:val="0462C1"/>
          <w:sz w:val="24"/>
          <w:szCs w:val="24"/>
          <w:u w:val="single" w:color="0462C1"/>
        </w:rPr>
        <w:t>“</w:t>
      </w:r>
      <w:hyperlink w:anchor="_bookmark420" w:history="1">
        <w:r w:rsidRPr="00A60C14">
          <w:rPr>
            <w:rFonts w:ascii="Times New Roman" w:hAnsi="Times New Roman" w:cs="Times New Roman"/>
            <w:color w:val="0462C1"/>
            <w:sz w:val="24"/>
            <w:szCs w:val="24"/>
            <w:u w:val="single" w:color="0462C1"/>
          </w:rPr>
          <w:t>Praktiski piemēri</w:t>
        </w:r>
      </w:hyperlink>
      <w:hyperlink w:anchor="_bookmark420" w:history="1">
        <w:r w:rsidRPr="00A60C14">
          <w:rPr>
            <w:rFonts w:ascii="Times New Roman" w:hAnsi="Times New Roman" w:cs="Times New Roman"/>
            <w:color w:val="0462C1"/>
            <w:sz w:val="24"/>
            <w:szCs w:val="24"/>
            <w:u w:val="single" w:color="0462C1"/>
          </w:rPr>
          <w:t xml:space="preserve"> un informācijas atklāšanas paraugi</w:t>
        </w:r>
      </w:hyperlink>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z w:val="24"/>
          <w:szCs w:val="24"/>
        </w:rPr>
        <w:t xml:space="preserve"> </w:t>
      </w:r>
      <w:r w:rsidRPr="00A60C14">
        <w:rPr>
          <w:rFonts w:ascii="Times New Roman" w:hAnsi="Times New Roman" w:cs="Times New Roman"/>
          <w:sz w:val="24"/>
          <w:szCs w:val="24"/>
        </w:rPr>
        <w:t>sniegts ilustratīvs piemērs ieņēmumu uzskaitei, ņemot vērā piešķirtās</w:t>
      </w:r>
      <w:r w:rsidRPr="00A60C14">
        <w:rPr>
          <w:rFonts w:ascii="Times New Roman" w:hAnsi="Times New Roman" w:cs="Times New Roman"/>
          <w:spacing w:val="-1"/>
          <w:sz w:val="24"/>
          <w:szCs w:val="24"/>
        </w:rPr>
        <w:t xml:space="preserve"> </w:t>
      </w:r>
      <w:r w:rsidRPr="00A60C14">
        <w:rPr>
          <w:rFonts w:ascii="Times New Roman" w:hAnsi="Times New Roman" w:cs="Times New Roman"/>
          <w:sz w:val="24"/>
          <w:szCs w:val="24"/>
        </w:rPr>
        <w:t>atlaides.</w:t>
      </w:r>
    </w:p>
    <w:p w14:paraId="00C8BFE0"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1062.  Visbiežāk par preci/pakalpojuma sniegšanu saņemamā atlīdzība ir naudas vai naudas ekvivalentu veidā, un ieņēmumu summa ir vienāda ar saņemto naudas līdzekļu vai atzīstamās prasības</w:t>
      </w:r>
      <w:r w:rsidRPr="00A02AD3">
        <w:rPr>
          <w:rFonts w:ascii="Times New Roman" w:hAnsi="Times New Roman" w:cs="Times New Roman"/>
          <w:spacing w:val="-22"/>
          <w:sz w:val="24"/>
          <w:szCs w:val="24"/>
        </w:rPr>
        <w:t xml:space="preserve"> </w:t>
      </w:r>
      <w:r w:rsidRPr="00A02AD3">
        <w:rPr>
          <w:rFonts w:ascii="Times New Roman" w:hAnsi="Times New Roman" w:cs="Times New Roman"/>
          <w:sz w:val="24"/>
          <w:szCs w:val="24"/>
        </w:rPr>
        <w:t>summu.</w:t>
      </w:r>
    </w:p>
    <w:p w14:paraId="3075A5D4" w14:textId="77777777" w:rsidR="00A02AD3"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pacing w:val="36"/>
          <w:sz w:val="24"/>
          <w:szCs w:val="24"/>
        </w:rPr>
      </w:pPr>
      <w:r w:rsidRPr="00A02AD3">
        <w:rPr>
          <w:rFonts w:ascii="Times New Roman" w:hAnsi="Times New Roman" w:cs="Times New Roman"/>
          <w:sz w:val="24"/>
          <w:szCs w:val="24"/>
        </w:rPr>
        <w:t>1063.   Ja naudas vai naudas ekvivalentu saņemšana tiek atlikta ilgāk par 12 mēnešiem, atlīdzības patiesā vērtība</w:t>
      </w:r>
      <w:r w:rsidRPr="00A02AD3">
        <w:rPr>
          <w:rFonts w:ascii="Times New Roman" w:hAnsi="Times New Roman" w:cs="Times New Roman"/>
          <w:spacing w:val="36"/>
          <w:sz w:val="24"/>
          <w:szCs w:val="24"/>
        </w:rPr>
        <w:t xml:space="preserve"> </w:t>
      </w:r>
      <w:r w:rsidRPr="00A02AD3">
        <w:rPr>
          <w:rFonts w:ascii="Times New Roman" w:hAnsi="Times New Roman" w:cs="Times New Roman"/>
          <w:sz w:val="24"/>
          <w:szCs w:val="24"/>
        </w:rPr>
        <w:t>var</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būt</w:t>
      </w:r>
      <w:r w:rsidRPr="00A02AD3">
        <w:rPr>
          <w:rFonts w:ascii="Times New Roman" w:hAnsi="Times New Roman" w:cs="Times New Roman"/>
          <w:spacing w:val="38"/>
          <w:sz w:val="24"/>
          <w:szCs w:val="24"/>
        </w:rPr>
        <w:t xml:space="preserve"> </w:t>
      </w:r>
      <w:r w:rsidRPr="00A02AD3">
        <w:rPr>
          <w:rFonts w:ascii="Times New Roman" w:hAnsi="Times New Roman" w:cs="Times New Roman"/>
          <w:sz w:val="24"/>
          <w:szCs w:val="24"/>
        </w:rPr>
        <w:t>mazāka</w:t>
      </w:r>
      <w:r w:rsidRPr="00A02AD3">
        <w:rPr>
          <w:rFonts w:ascii="Times New Roman" w:hAnsi="Times New Roman" w:cs="Times New Roman"/>
          <w:spacing w:val="36"/>
          <w:sz w:val="24"/>
          <w:szCs w:val="24"/>
        </w:rPr>
        <w:t xml:space="preserve"> </w:t>
      </w:r>
      <w:r w:rsidRPr="00A02AD3">
        <w:rPr>
          <w:rFonts w:ascii="Times New Roman" w:hAnsi="Times New Roman" w:cs="Times New Roman"/>
          <w:sz w:val="24"/>
          <w:szCs w:val="24"/>
        </w:rPr>
        <w:t>par</w:t>
      </w:r>
      <w:r w:rsidRPr="00A02AD3">
        <w:rPr>
          <w:rFonts w:ascii="Times New Roman" w:hAnsi="Times New Roman" w:cs="Times New Roman"/>
          <w:spacing w:val="38"/>
          <w:sz w:val="24"/>
          <w:szCs w:val="24"/>
        </w:rPr>
        <w:t xml:space="preserve"> </w:t>
      </w:r>
      <w:r w:rsidRPr="00A02AD3">
        <w:rPr>
          <w:rFonts w:ascii="Times New Roman" w:hAnsi="Times New Roman" w:cs="Times New Roman"/>
          <w:sz w:val="24"/>
          <w:szCs w:val="24"/>
        </w:rPr>
        <w:t>saņemtās</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vai</w:t>
      </w:r>
      <w:r w:rsidRPr="00A02AD3">
        <w:rPr>
          <w:rFonts w:ascii="Times New Roman" w:hAnsi="Times New Roman" w:cs="Times New Roman"/>
          <w:spacing w:val="36"/>
          <w:sz w:val="24"/>
          <w:szCs w:val="24"/>
        </w:rPr>
        <w:t xml:space="preserve"> </w:t>
      </w:r>
      <w:r w:rsidRPr="00A02AD3">
        <w:rPr>
          <w:rFonts w:ascii="Times New Roman" w:hAnsi="Times New Roman" w:cs="Times New Roman"/>
          <w:sz w:val="24"/>
          <w:szCs w:val="24"/>
        </w:rPr>
        <w:t>saņemamās</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naudas</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nominālvērtību.</w:t>
      </w:r>
      <w:r w:rsidRPr="00A02AD3">
        <w:rPr>
          <w:rFonts w:ascii="Times New Roman" w:hAnsi="Times New Roman" w:cs="Times New Roman"/>
          <w:spacing w:val="36"/>
          <w:sz w:val="24"/>
          <w:szCs w:val="24"/>
        </w:rPr>
        <w:t xml:space="preserve"> </w:t>
      </w:r>
    </w:p>
    <w:p w14:paraId="2C678B5D"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i/>
          <w:sz w:val="24"/>
          <w:szCs w:val="24"/>
        </w:rPr>
        <w:t>Piemēram,</w:t>
      </w:r>
      <w:r w:rsidRPr="00A02AD3">
        <w:rPr>
          <w:rFonts w:ascii="Times New Roman" w:hAnsi="Times New Roman" w:cs="Times New Roman"/>
          <w:i/>
          <w:spacing w:val="37"/>
          <w:sz w:val="24"/>
          <w:szCs w:val="24"/>
        </w:rPr>
        <w:t xml:space="preserve"> </w:t>
      </w:r>
      <w:r w:rsidRPr="00A02AD3">
        <w:rPr>
          <w:rFonts w:ascii="Times New Roman" w:hAnsi="Times New Roman" w:cs="Times New Roman"/>
          <w:i/>
          <w:sz w:val="24"/>
          <w:szCs w:val="24"/>
        </w:rPr>
        <w:t>budžeta</w:t>
      </w:r>
      <w:r w:rsidR="00A02AD3" w:rsidRPr="00A02AD3">
        <w:rPr>
          <w:rFonts w:ascii="Times New Roman" w:hAnsi="Times New Roman" w:cs="Times New Roman"/>
          <w:i/>
          <w:sz w:val="24"/>
          <w:szCs w:val="24"/>
        </w:rPr>
        <w:t xml:space="preserve"> </w:t>
      </w:r>
      <w:r w:rsidRPr="00A02AD3">
        <w:rPr>
          <w:rFonts w:ascii="Times New Roman" w:hAnsi="Times New Roman" w:cs="Times New Roman"/>
          <w:i/>
          <w:sz w:val="24"/>
          <w:szCs w:val="24"/>
        </w:rPr>
        <w:t>iestāde</w:t>
      </w:r>
      <w:r w:rsidRPr="00A02AD3">
        <w:rPr>
          <w:rFonts w:ascii="Times New Roman" w:hAnsi="Times New Roman" w:cs="Times New Roman"/>
          <w:i/>
          <w:spacing w:val="-9"/>
          <w:sz w:val="24"/>
          <w:szCs w:val="24"/>
        </w:rPr>
        <w:t xml:space="preserve"> </w:t>
      </w:r>
      <w:r w:rsidRPr="00A02AD3">
        <w:rPr>
          <w:rFonts w:ascii="Times New Roman" w:hAnsi="Times New Roman" w:cs="Times New Roman"/>
          <w:i/>
          <w:sz w:val="24"/>
          <w:szCs w:val="24"/>
        </w:rPr>
        <w:t>var</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pircējam</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piešķirt</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atlikto</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maksājumu</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darījumam,</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par</w:t>
      </w:r>
      <w:r w:rsidRPr="00A02AD3">
        <w:rPr>
          <w:rFonts w:ascii="Times New Roman" w:hAnsi="Times New Roman" w:cs="Times New Roman"/>
          <w:i/>
          <w:spacing w:val="-5"/>
          <w:sz w:val="24"/>
          <w:szCs w:val="24"/>
        </w:rPr>
        <w:t xml:space="preserve"> </w:t>
      </w:r>
      <w:r w:rsidRPr="00A02AD3">
        <w:rPr>
          <w:rFonts w:ascii="Times New Roman" w:hAnsi="Times New Roman" w:cs="Times New Roman"/>
          <w:i/>
          <w:sz w:val="24"/>
          <w:szCs w:val="24"/>
        </w:rPr>
        <w:t>kuru</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pircējam</w:t>
      </w:r>
      <w:r w:rsidRPr="00A02AD3">
        <w:rPr>
          <w:rFonts w:ascii="Times New Roman" w:hAnsi="Times New Roman" w:cs="Times New Roman"/>
          <w:i/>
          <w:spacing w:val="-11"/>
          <w:sz w:val="24"/>
          <w:szCs w:val="24"/>
        </w:rPr>
        <w:t xml:space="preserve"> </w:t>
      </w:r>
      <w:r w:rsidRPr="00A02AD3">
        <w:rPr>
          <w:rFonts w:ascii="Times New Roman" w:hAnsi="Times New Roman" w:cs="Times New Roman"/>
          <w:i/>
          <w:sz w:val="24"/>
          <w:szCs w:val="24"/>
        </w:rPr>
        <w:t>ir</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iespēja</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norēķināties ilgāk</w:t>
      </w:r>
      <w:r w:rsidRPr="00A02AD3">
        <w:rPr>
          <w:rFonts w:ascii="Times New Roman" w:hAnsi="Times New Roman" w:cs="Times New Roman"/>
          <w:i/>
          <w:spacing w:val="-4"/>
          <w:sz w:val="24"/>
          <w:szCs w:val="24"/>
        </w:rPr>
        <w:t xml:space="preserve"> </w:t>
      </w:r>
      <w:r w:rsidRPr="00A02AD3">
        <w:rPr>
          <w:rFonts w:ascii="Times New Roman" w:hAnsi="Times New Roman" w:cs="Times New Roman"/>
          <w:i/>
          <w:sz w:val="24"/>
          <w:szCs w:val="24"/>
        </w:rPr>
        <w:t>nekā</w:t>
      </w:r>
      <w:r w:rsidRPr="00A02AD3">
        <w:rPr>
          <w:rFonts w:ascii="Times New Roman" w:hAnsi="Times New Roman" w:cs="Times New Roman"/>
          <w:i/>
          <w:spacing w:val="-5"/>
          <w:sz w:val="24"/>
          <w:szCs w:val="24"/>
        </w:rPr>
        <w:t xml:space="preserve"> </w:t>
      </w:r>
      <w:r w:rsidRPr="00A02AD3">
        <w:rPr>
          <w:rFonts w:ascii="Times New Roman" w:hAnsi="Times New Roman" w:cs="Times New Roman"/>
          <w:i/>
          <w:sz w:val="24"/>
          <w:szCs w:val="24"/>
        </w:rPr>
        <w:t>12</w:t>
      </w:r>
      <w:r w:rsidRPr="00A02AD3">
        <w:rPr>
          <w:rFonts w:ascii="Times New Roman" w:hAnsi="Times New Roman" w:cs="Times New Roman"/>
          <w:i/>
          <w:spacing w:val="-5"/>
          <w:sz w:val="24"/>
          <w:szCs w:val="24"/>
        </w:rPr>
        <w:t xml:space="preserve"> </w:t>
      </w:r>
      <w:r w:rsidRPr="00A02AD3">
        <w:rPr>
          <w:rFonts w:ascii="Times New Roman" w:hAnsi="Times New Roman" w:cs="Times New Roman"/>
          <w:i/>
          <w:sz w:val="24"/>
          <w:szCs w:val="24"/>
        </w:rPr>
        <w:t>mēnešus</w:t>
      </w:r>
      <w:r w:rsidRPr="00A02AD3">
        <w:rPr>
          <w:rFonts w:ascii="Times New Roman" w:hAnsi="Times New Roman" w:cs="Times New Roman"/>
          <w:i/>
          <w:spacing w:val="-4"/>
          <w:sz w:val="24"/>
          <w:szCs w:val="24"/>
        </w:rPr>
        <w:t xml:space="preserve"> </w:t>
      </w:r>
      <w:r w:rsidRPr="00A02AD3">
        <w:rPr>
          <w:rFonts w:ascii="Times New Roman" w:hAnsi="Times New Roman" w:cs="Times New Roman"/>
          <w:i/>
          <w:sz w:val="24"/>
          <w:szCs w:val="24"/>
        </w:rPr>
        <w:t>pēc</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darījuma.</w:t>
      </w:r>
      <w:r w:rsidRPr="00A02AD3">
        <w:rPr>
          <w:rFonts w:ascii="Times New Roman" w:hAnsi="Times New Roman" w:cs="Times New Roman"/>
          <w:i/>
          <w:spacing w:val="-3"/>
          <w:sz w:val="24"/>
          <w:szCs w:val="24"/>
        </w:rPr>
        <w:t xml:space="preserve"> </w:t>
      </w:r>
      <w:r w:rsidRPr="00A02AD3">
        <w:rPr>
          <w:rFonts w:ascii="Times New Roman" w:hAnsi="Times New Roman" w:cs="Times New Roman"/>
          <w:sz w:val="24"/>
          <w:szCs w:val="24"/>
        </w:rPr>
        <w:t>Šajā</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gadījumā</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iestāde</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atzīst</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prasības</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pašreizējā</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vērtībā, ko aprēķina, diskontējot nākotnes maksājumus ar Valsts kases tīmekļa vietnē publicētu atbilstošu procentu</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likmi.</w:t>
      </w:r>
      <w:r w:rsidRPr="00A02AD3">
        <w:rPr>
          <w:rFonts w:ascii="Times New Roman" w:hAnsi="Times New Roman" w:cs="Times New Roman"/>
          <w:spacing w:val="-3"/>
          <w:sz w:val="24"/>
          <w:szCs w:val="24"/>
        </w:rPr>
        <w:t xml:space="preserve"> </w:t>
      </w:r>
      <w:r w:rsidR="00A60C14">
        <w:rPr>
          <w:rFonts w:ascii="Times New Roman" w:hAnsi="Times New Roman" w:cs="Times New Roman"/>
          <w:spacing w:val="-3"/>
          <w:sz w:val="24"/>
          <w:szCs w:val="24"/>
        </w:rPr>
        <w:t>23.6</w:t>
      </w:r>
      <w:r w:rsidRPr="00A60C14">
        <w:rPr>
          <w:rFonts w:ascii="Times New Roman" w:hAnsi="Times New Roman" w:cs="Times New Roman"/>
          <w:sz w:val="24"/>
          <w:szCs w:val="24"/>
        </w:rPr>
        <w:t>.</w:t>
      </w:r>
      <w:r w:rsidRPr="00A60C14">
        <w:rPr>
          <w:rFonts w:ascii="Times New Roman" w:hAnsi="Times New Roman" w:cs="Times New Roman"/>
          <w:spacing w:val="-4"/>
          <w:sz w:val="24"/>
          <w:szCs w:val="24"/>
        </w:rPr>
        <w:t xml:space="preserve"> </w:t>
      </w:r>
      <w:r w:rsidRPr="00A60C14">
        <w:rPr>
          <w:rFonts w:ascii="Times New Roman" w:hAnsi="Times New Roman" w:cs="Times New Roman"/>
          <w:sz w:val="24"/>
          <w:szCs w:val="24"/>
        </w:rPr>
        <w:t>apakšnodaļā</w:t>
      </w:r>
      <w:r w:rsidRPr="00A60C14">
        <w:rPr>
          <w:rFonts w:ascii="Times New Roman" w:hAnsi="Times New Roman" w:cs="Times New Roman"/>
          <w:spacing w:val="-4"/>
          <w:sz w:val="24"/>
          <w:szCs w:val="24"/>
        </w:rPr>
        <w:t xml:space="preserve"> </w:t>
      </w:r>
      <w:r w:rsidRPr="00A60C14">
        <w:rPr>
          <w:rFonts w:ascii="Times New Roman" w:hAnsi="Times New Roman" w:cs="Times New Roman"/>
          <w:color w:val="0462C1"/>
          <w:sz w:val="24"/>
          <w:szCs w:val="24"/>
          <w:u w:val="single" w:color="0462C1"/>
        </w:rPr>
        <w:t>“</w:t>
      </w:r>
      <w:hyperlink w:anchor="_bookmark421" w:history="1">
        <w:r w:rsidR="00A60C14" w:rsidRPr="00A60C14">
          <w:rPr>
            <w:rFonts w:ascii="Times New Roman" w:hAnsi="Times New Roman" w:cs="Times New Roman"/>
            <w:color w:val="0462C1"/>
            <w:sz w:val="24"/>
            <w:szCs w:val="24"/>
            <w:u w:val="single" w:color="0462C1"/>
          </w:rPr>
          <w:t>23.6.1</w:t>
        </w:r>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pacing w:val="-4"/>
            <w:sz w:val="24"/>
            <w:szCs w:val="24"/>
            <w:u w:val="single" w:color="0462C1"/>
          </w:rPr>
          <w:t xml:space="preserve"> </w:t>
        </w:r>
        <w:r w:rsidRPr="00A60C14">
          <w:rPr>
            <w:rFonts w:ascii="Times New Roman" w:hAnsi="Times New Roman" w:cs="Times New Roman"/>
            <w:color w:val="0462C1"/>
            <w:sz w:val="24"/>
            <w:szCs w:val="24"/>
            <w:u w:val="single" w:color="0462C1"/>
          </w:rPr>
          <w:t>Piemērs</w:t>
        </w:r>
        <w:r w:rsidRPr="00A60C14">
          <w:rPr>
            <w:rFonts w:ascii="Times New Roman" w:hAnsi="Times New Roman" w:cs="Times New Roman"/>
            <w:color w:val="0462C1"/>
            <w:spacing w:val="-5"/>
            <w:sz w:val="24"/>
            <w:szCs w:val="24"/>
            <w:u w:val="single" w:color="0462C1"/>
          </w:rPr>
          <w:t xml:space="preserve"> </w:t>
        </w:r>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pacing w:val="-7"/>
            <w:sz w:val="24"/>
            <w:szCs w:val="24"/>
            <w:u w:val="single" w:color="0462C1"/>
          </w:rPr>
          <w:t xml:space="preserve"> </w:t>
        </w:r>
        <w:r w:rsidRPr="00A60C14">
          <w:rPr>
            <w:rFonts w:ascii="Times New Roman" w:hAnsi="Times New Roman" w:cs="Times New Roman"/>
            <w:color w:val="0462C1"/>
            <w:sz w:val="24"/>
            <w:szCs w:val="24"/>
            <w:u w:val="single" w:color="0462C1"/>
          </w:rPr>
          <w:t>ieņēmumu</w:t>
        </w:r>
        <w:r w:rsidRPr="00A60C14">
          <w:rPr>
            <w:rFonts w:ascii="Times New Roman" w:hAnsi="Times New Roman" w:cs="Times New Roman"/>
            <w:color w:val="0462C1"/>
            <w:spacing w:val="-5"/>
            <w:sz w:val="24"/>
            <w:szCs w:val="24"/>
            <w:u w:val="single" w:color="0462C1"/>
          </w:rPr>
          <w:t xml:space="preserve"> </w:t>
        </w:r>
        <w:r w:rsidRPr="00A60C14">
          <w:rPr>
            <w:rFonts w:ascii="Times New Roman" w:hAnsi="Times New Roman" w:cs="Times New Roman"/>
            <w:color w:val="0462C1"/>
            <w:sz w:val="24"/>
            <w:szCs w:val="24"/>
            <w:u w:val="single" w:color="0462C1"/>
          </w:rPr>
          <w:t>un</w:t>
        </w:r>
        <w:r w:rsidRPr="00A60C14">
          <w:rPr>
            <w:rFonts w:ascii="Times New Roman" w:hAnsi="Times New Roman" w:cs="Times New Roman"/>
            <w:color w:val="0462C1"/>
            <w:spacing w:val="-4"/>
            <w:sz w:val="24"/>
            <w:szCs w:val="24"/>
            <w:u w:val="single" w:color="0462C1"/>
          </w:rPr>
          <w:t xml:space="preserve"> </w:t>
        </w:r>
        <w:r w:rsidRPr="00A60C14">
          <w:rPr>
            <w:rFonts w:ascii="Times New Roman" w:hAnsi="Times New Roman" w:cs="Times New Roman"/>
            <w:color w:val="0462C1"/>
            <w:sz w:val="24"/>
            <w:szCs w:val="24"/>
            <w:u w:val="single" w:color="0462C1"/>
          </w:rPr>
          <w:t>procentu</w:t>
        </w:r>
        <w:r w:rsidRPr="00A60C14">
          <w:rPr>
            <w:rFonts w:ascii="Times New Roman" w:hAnsi="Times New Roman" w:cs="Times New Roman"/>
            <w:color w:val="0462C1"/>
            <w:spacing w:val="-7"/>
            <w:sz w:val="24"/>
            <w:szCs w:val="24"/>
            <w:u w:val="single" w:color="0462C1"/>
          </w:rPr>
          <w:t xml:space="preserve"> </w:t>
        </w:r>
        <w:r w:rsidRPr="00A60C14">
          <w:rPr>
            <w:rFonts w:ascii="Times New Roman" w:hAnsi="Times New Roman" w:cs="Times New Roman"/>
            <w:color w:val="0462C1"/>
            <w:sz w:val="24"/>
            <w:szCs w:val="24"/>
            <w:u w:val="single" w:color="0462C1"/>
          </w:rPr>
          <w:t>ieņēmumu</w:t>
        </w:r>
        <w:r w:rsidRPr="00A60C14">
          <w:rPr>
            <w:rFonts w:ascii="Times New Roman" w:hAnsi="Times New Roman" w:cs="Times New Roman"/>
            <w:color w:val="0462C1"/>
            <w:spacing w:val="-5"/>
            <w:sz w:val="24"/>
            <w:szCs w:val="24"/>
            <w:u w:val="single" w:color="0462C1"/>
          </w:rPr>
          <w:t xml:space="preserve"> </w:t>
        </w:r>
        <w:r w:rsidRPr="00A60C14">
          <w:rPr>
            <w:rFonts w:ascii="Times New Roman" w:hAnsi="Times New Roman" w:cs="Times New Roman"/>
            <w:color w:val="0462C1"/>
            <w:sz w:val="24"/>
            <w:szCs w:val="24"/>
            <w:u w:val="single" w:color="0462C1"/>
          </w:rPr>
          <w:t>atzīšana</w:t>
        </w:r>
        <w:r w:rsidRPr="00A60C14">
          <w:rPr>
            <w:rFonts w:ascii="Times New Roman" w:hAnsi="Times New Roman" w:cs="Times New Roman"/>
            <w:color w:val="0462C1"/>
            <w:spacing w:val="-6"/>
            <w:sz w:val="24"/>
            <w:szCs w:val="24"/>
            <w:u w:val="single" w:color="0462C1"/>
          </w:rPr>
          <w:t xml:space="preserve"> </w:t>
        </w:r>
        <w:r w:rsidRPr="00A60C14">
          <w:rPr>
            <w:rFonts w:ascii="Times New Roman" w:hAnsi="Times New Roman" w:cs="Times New Roman"/>
            <w:color w:val="0462C1"/>
            <w:sz w:val="24"/>
            <w:szCs w:val="24"/>
            <w:u w:val="single" w:color="0462C1"/>
          </w:rPr>
          <w:t>atliktā</w:t>
        </w:r>
      </w:hyperlink>
      <w:r w:rsidRPr="00A60C14">
        <w:rPr>
          <w:rFonts w:ascii="Times New Roman" w:hAnsi="Times New Roman" w:cs="Times New Roman"/>
          <w:color w:val="0462C1"/>
          <w:sz w:val="24"/>
          <w:szCs w:val="24"/>
        </w:rPr>
        <w:t xml:space="preserve"> </w:t>
      </w:r>
      <w:hyperlink w:anchor="_bookmark421" w:history="1">
        <w:r w:rsidRPr="00A60C14">
          <w:rPr>
            <w:rFonts w:ascii="Times New Roman" w:hAnsi="Times New Roman" w:cs="Times New Roman"/>
            <w:color w:val="0462C1"/>
            <w:sz w:val="24"/>
            <w:szCs w:val="24"/>
            <w:u w:val="single" w:color="0462C1"/>
          </w:rPr>
          <w:t>maksājuma gadījumā.</w:t>
        </w:r>
      </w:hyperlink>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z w:val="24"/>
          <w:szCs w:val="24"/>
        </w:rPr>
        <w:t xml:space="preserve"> </w:t>
      </w:r>
      <w:r w:rsidRPr="00A60C14">
        <w:rPr>
          <w:rFonts w:ascii="Times New Roman" w:hAnsi="Times New Roman" w:cs="Times New Roman"/>
          <w:sz w:val="24"/>
          <w:szCs w:val="24"/>
        </w:rPr>
        <w:t>sniegts ilustratīvs piemērs ieņēmumu un procentu ieņēmumu atzīšanai atliktā maksājuma</w:t>
      </w:r>
      <w:r w:rsidRPr="00A60C14">
        <w:rPr>
          <w:rFonts w:ascii="Times New Roman" w:hAnsi="Times New Roman" w:cs="Times New Roman"/>
          <w:spacing w:val="-1"/>
          <w:sz w:val="24"/>
          <w:szCs w:val="24"/>
        </w:rPr>
        <w:t xml:space="preserve"> </w:t>
      </w:r>
      <w:r w:rsidRPr="00A60C14">
        <w:rPr>
          <w:rFonts w:ascii="Times New Roman" w:hAnsi="Times New Roman" w:cs="Times New Roman"/>
          <w:sz w:val="24"/>
          <w:szCs w:val="24"/>
        </w:rPr>
        <w:t>gadījumā.</w:t>
      </w:r>
    </w:p>
    <w:p w14:paraId="1B5A297E"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1064. </w:t>
      </w:r>
      <w:r w:rsidR="009C51A4" w:rsidRPr="00A02AD3">
        <w:rPr>
          <w:rFonts w:ascii="Times New Roman" w:hAnsi="Times New Roman" w:cs="Times New Roman"/>
          <w:sz w:val="24"/>
          <w:szCs w:val="24"/>
        </w:rPr>
        <w:t>Ja vienošanās starp pārdevēju un pircēju faktiski ir finansēšanas darījums, atlīdzības patieso vērtību nosaka, diskontējot visas nākotnē saņemamās summas pēc līgumā noteiktās procentu likmes; ja līgumā procentu likme nav noteikta, tad izmanto Valsts kases interneta vietnē publicēto</w:t>
      </w:r>
      <w:r w:rsidR="009C51A4" w:rsidRPr="00A02AD3">
        <w:rPr>
          <w:rFonts w:ascii="Times New Roman" w:hAnsi="Times New Roman" w:cs="Times New Roman"/>
          <w:spacing w:val="-22"/>
          <w:sz w:val="24"/>
          <w:szCs w:val="24"/>
        </w:rPr>
        <w:t xml:space="preserve"> </w:t>
      </w:r>
      <w:r w:rsidR="009C51A4" w:rsidRPr="00A02AD3">
        <w:rPr>
          <w:rFonts w:ascii="Times New Roman" w:hAnsi="Times New Roman" w:cs="Times New Roman"/>
          <w:sz w:val="24"/>
          <w:szCs w:val="24"/>
        </w:rPr>
        <w:t>likmi.</w:t>
      </w:r>
    </w:p>
    <w:p w14:paraId="6CF69988"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1065.   </w:t>
      </w:r>
      <w:r w:rsidR="009C51A4" w:rsidRPr="00A02AD3">
        <w:rPr>
          <w:rFonts w:ascii="Times New Roman" w:hAnsi="Times New Roman" w:cs="Times New Roman"/>
          <w:sz w:val="24"/>
          <w:szCs w:val="24"/>
        </w:rPr>
        <w:t xml:space="preserve">Budžeta iestāde atzīst starpību starp atlīdzības patieso vērtību un tās nominālvērtību kā procentu ieņēmumus </w:t>
      </w:r>
      <w:r w:rsidR="009C51A4" w:rsidRPr="00A60C14">
        <w:rPr>
          <w:rFonts w:ascii="Times New Roman" w:hAnsi="Times New Roman" w:cs="Times New Roman"/>
          <w:sz w:val="24"/>
          <w:szCs w:val="24"/>
        </w:rPr>
        <w:t xml:space="preserve">atbilstoši </w:t>
      </w:r>
      <w:r w:rsidR="00A60C14" w:rsidRPr="00A60C14">
        <w:rPr>
          <w:rFonts w:ascii="Times New Roman" w:hAnsi="Times New Roman" w:cs="Times New Roman"/>
          <w:sz w:val="24"/>
          <w:szCs w:val="24"/>
        </w:rPr>
        <w:t>23.4</w:t>
      </w:r>
      <w:r w:rsidR="009C51A4" w:rsidRPr="00A60C14">
        <w:rPr>
          <w:rFonts w:ascii="Times New Roman" w:hAnsi="Times New Roman" w:cs="Times New Roman"/>
          <w:sz w:val="24"/>
          <w:szCs w:val="24"/>
        </w:rPr>
        <w:t>. nodaļā</w:t>
      </w:r>
      <w:r w:rsidR="009C51A4" w:rsidRPr="00A60C14">
        <w:rPr>
          <w:rFonts w:ascii="Times New Roman" w:hAnsi="Times New Roman" w:cs="Times New Roman"/>
          <w:color w:val="0462C1"/>
          <w:sz w:val="24"/>
          <w:szCs w:val="24"/>
        </w:rPr>
        <w:t xml:space="preserve"> </w:t>
      </w:r>
      <w:r w:rsidR="009C51A4" w:rsidRPr="00A60C14">
        <w:rPr>
          <w:rFonts w:ascii="Times New Roman" w:hAnsi="Times New Roman" w:cs="Times New Roman"/>
          <w:color w:val="0462C1"/>
          <w:sz w:val="24"/>
          <w:szCs w:val="24"/>
          <w:u w:val="single" w:color="0462C1"/>
        </w:rPr>
        <w:t>“</w:t>
      </w:r>
      <w:hyperlink w:anchor="_bookmark417" w:history="1">
        <w:r w:rsidR="009C51A4" w:rsidRPr="00A60C14">
          <w:rPr>
            <w:rFonts w:ascii="Times New Roman" w:hAnsi="Times New Roman" w:cs="Times New Roman"/>
            <w:color w:val="0462C1"/>
            <w:sz w:val="24"/>
            <w:szCs w:val="24"/>
            <w:u w:val="single" w:color="0462C1"/>
          </w:rPr>
          <w:t>Procentu ieņēmumi, autoratlīdzības ieņēmumi, dividendes vai</w:t>
        </w:r>
      </w:hyperlink>
      <w:hyperlink w:anchor="_bookmark417" w:history="1">
        <w:r w:rsidR="009C51A4" w:rsidRPr="00A60C14">
          <w:rPr>
            <w:rFonts w:ascii="Times New Roman" w:hAnsi="Times New Roman" w:cs="Times New Roman"/>
            <w:color w:val="0462C1"/>
            <w:sz w:val="24"/>
            <w:szCs w:val="24"/>
            <w:u w:val="single" w:color="0462C1"/>
          </w:rPr>
          <w:t xml:space="preserve"> tamlīdzīgi maksājumi, ieņēmumi no aktīva atsavināšanas</w:t>
        </w:r>
      </w:hyperlink>
      <w:r w:rsidR="009C51A4" w:rsidRPr="00A60C14">
        <w:rPr>
          <w:rFonts w:ascii="Times New Roman" w:hAnsi="Times New Roman" w:cs="Times New Roman"/>
          <w:color w:val="0462C1"/>
          <w:sz w:val="24"/>
          <w:szCs w:val="24"/>
          <w:u w:val="single" w:color="0462C1"/>
        </w:rPr>
        <w:t>”</w:t>
      </w:r>
      <w:r w:rsidR="009C51A4" w:rsidRPr="00A60C14">
        <w:rPr>
          <w:rFonts w:ascii="Times New Roman" w:hAnsi="Times New Roman" w:cs="Times New Roman"/>
          <w:color w:val="0462C1"/>
          <w:sz w:val="24"/>
          <w:szCs w:val="24"/>
        </w:rPr>
        <w:t xml:space="preserve"> </w:t>
      </w:r>
      <w:r w:rsidR="009C51A4" w:rsidRPr="00A60C14">
        <w:rPr>
          <w:rFonts w:ascii="Times New Roman" w:hAnsi="Times New Roman" w:cs="Times New Roman"/>
          <w:sz w:val="24"/>
          <w:szCs w:val="24"/>
        </w:rPr>
        <w:t>noteiktajiem uzskaites</w:t>
      </w:r>
      <w:r w:rsidR="009C51A4" w:rsidRPr="00A02AD3">
        <w:rPr>
          <w:rFonts w:ascii="Times New Roman" w:hAnsi="Times New Roman" w:cs="Times New Roman"/>
          <w:spacing w:val="-15"/>
          <w:sz w:val="24"/>
          <w:szCs w:val="24"/>
        </w:rPr>
        <w:t xml:space="preserve"> </w:t>
      </w:r>
      <w:r w:rsidR="009C51A4" w:rsidRPr="00A02AD3">
        <w:rPr>
          <w:rFonts w:ascii="Times New Roman" w:hAnsi="Times New Roman" w:cs="Times New Roman"/>
          <w:sz w:val="24"/>
          <w:szCs w:val="24"/>
        </w:rPr>
        <w:t>principiem.</w:t>
      </w:r>
    </w:p>
    <w:p w14:paraId="4B6CD4EE"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1066.  </w:t>
      </w:r>
      <w:r w:rsidR="009C51A4" w:rsidRPr="00A02AD3">
        <w:rPr>
          <w:rFonts w:ascii="Times New Roman" w:hAnsi="Times New Roman" w:cs="Times New Roman"/>
          <w:sz w:val="24"/>
          <w:szCs w:val="24"/>
        </w:rPr>
        <w:t>Ja</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preces</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pārdod</w:t>
      </w:r>
      <w:r w:rsidR="009C51A4" w:rsidRPr="00A02AD3">
        <w:rPr>
          <w:rFonts w:ascii="Times New Roman" w:hAnsi="Times New Roman" w:cs="Times New Roman"/>
          <w:spacing w:val="-10"/>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pakalpojumus</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sniedz</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apmaiņā</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pret</w:t>
      </w:r>
      <w:r w:rsidR="009C51A4" w:rsidRPr="00A02AD3">
        <w:rPr>
          <w:rFonts w:ascii="Times New Roman" w:hAnsi="Times New Roman" w:cs="Times New Roman"/>
          <w:spacing w:val="-11"/>
          <w:sz w:val="24"/>
          <w:szCs w:val="24"/>
        </w:rPr>
        <w:t xml:space="preserve"> </w:t>
      </w:r>
      <w:r w:rsidR="009C51A4" w:rsidRPr="00A02AD3">
        <w:rPr>
          <w:rFonts w:ascii="Times New Roman" w:hAnsi="Times New Roman" w:cs="Times New Roman"/>
          <w:sz w:val="24"/>
          <w:szCs w:val="24"/>
        </w:rPr>
        <w:t>atšķirīgām</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precēm</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pakalpojumiem,</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maiņu uzskata par darījumu, kas rada ieņēmumus. Ieņēmumus novērtē saņemto preču vai pakalpojumu patiesajā</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vērtībā,</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kuru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koriģē</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par</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pārskaitīto</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naudas</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1"/>
          <w:sz w:val="24"/>
          <w:szCs w:val="24"/>
        </w:rPr>
        <w:t xml:space="preserve"> </w:t>
      </w:r>
      <w:r w:rsidR="009C51A4" w:rsidRPr="00A02AD3">
        <w:rPr>
          <w:rFonts w:ascii="Times New Roman" w:hAnsi="Times New Roman" w:cs="Times New Roman"/>
          <w:sz w:val="24"/>
          <w:szCs w:val="24"/>
        </w:rPr>
        <w:t>tās</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ekvivalentu</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summu.</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Ja</w:t>
      </w:r>
      <w:r w:rsidR="009C51A4" w:rsidRPr="00A02AD3">
        <w:rPr>
          <w:rFonts w:ascii="Times New Roman" w:hAnsi="Times New Roman" w:cs="Times New Roman"/>
          <w:spacing w:val="-4"/>
          <w:sz w:val="24"/>
          <w:szCs w:val="24"/>
        </w:rPr>
        <w:t xml:space="preserve"> </w:t>
      </w:r>
      <w:r w:rsidR="009C51A4" w:rsidRPr="00A02AD3">
        <w:rPr>
          <w:rFonts w:ascii="Times New Roman" w:hAnsi="Times New Roman" w:cs="Times New Roman"/>
          <w:sz w:val="24"/>
          <w:szCs w:val="24"/>
        </w:rPr>
        <w:t>saņemto</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preču</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vai pakalpojumu</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patieso</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vērtību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nevar</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ticami</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novērtēt,</w:t>
      </w:r>
      <w:r w:rsidR="009C51A4" w:rsidRPr="00A02AD3">
        <w:rPr>
          <w:rFonts w:ascii="Times New Roman" w:hAnsi="Times New Roman" w:cs="Times New Roman"/>
          <w:spacing w:val="-10"/>
          <w:sz w:val="24"/>
          <w:szCs w:val="24"/>
        </w:rPr>
        <w:t xml:space="preserve"> </w:t>
      </w:r>
      <w:r w:rsidR="009C51A4" w:rsidRPr="00A02AD3">
        <w:rPr>
          <w:rFonts w:ascii="Times New Roman" w:hAnsi="Times New Roman" w:cs="Times New Roman"/>
          <w:sz w:val="24"/>
          <w:szCs w:val="24"/>
        </w:rPr>
        <w:t>ieņēmumus</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novērtē</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atdoto</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preču</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pakalpojumu patiesajā vērtībā, kuru koriģē par pārskaitīto naudas vai tās ekvivalentu</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summu.</w:t>
      </w:r>
    </w:p>
    <w:p w14:paraId="29317A84"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rsidRPr="00A02AD3">
        <w:rPr>
          <w:rFonts w:ascii="Times New Roman" w:hAnsi="Times New Roman" w:cs="Times New Roman"/>
          <w:sz w:val="24"/>
          <w:szCs w:val="24"/>
        </w:rPr>
        <w:t xml:space="preserve">1067. </w:t>
      </w:r>
      <w:r w:rsidR="009C51A4" w:rsidRPr="00A02AD3">
        <w:rPr>
          <w:rFonts w:ascii="Times New Roman" w:hAnsi="Times New Roman" w:cs="Times New Roman"/>
          <w:sz w:val="24"/>
          <w:szCs w:val="24"/>
        </w:rPr>
        <w:t>Atzīstot</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ieņēmumus,</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budžeta</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iestāde</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parasti</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piemēro</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ieņēmumu</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atzīšanas</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kritērijus</w:t>
      </w:r>
      <w:r w:rsidR="009C51A4" w:rsidRPr="00A02AD3">
        <w:rPr>
          <w:rFonts w:ascii="Times New Roman" w:hAnsi="Times New Roman" w:cs="Times New Roman"/>
          <w:spacing w:val="-15"/>
          <w:sz w:val="24"/>
          <w:szCs w:val="24"/>
        </w:rPr>
        <w:t xml:space="preserve"> </w:t>
      </w:r>
      <w:r w:rsidR="009C51A4" w:rsidRPr="00A02AD3">
        <w:rPr>
          <w:rFonts w:ascii="Times New Roman" w:hAnsi="Times New Roman" w:cs="Times New Roman"/>
          <w:sz w:val="24"/>
          <w:szCs w:val="24"/>
        </w:rPr>
        <w:t>katram</w:t>
      </w:r>
      <w:r w:rsidR="009C51A4" w:rsidRPr="00A02AD3">
        <w:rPr>
          <w:rFonts w:ascii="Times New Roman" w:hAnsi="Times New Roman" w:cs="Times New Roman"/>
          <w:spacing w:val="-15"/>
          <w:sz w:val="24"/>
          <w:szCs w:val="24"/>
        </w:rPr>
        <w:t xml:space="preserve"> </w:t>
      </w:r>
      <w:r w:rsidR="009C51A4" w:rsidRPr="00A02AD3">
        <w:rPr>
          <w:rFonts w:ascii="Times New Roman" w:hAnsi="Times New Roman" w:cs="Times New Roman"/>
          <w:sz w:val="24"/>
          <w:szCs w:val="24"/>
        </w:rPr>
        <w:t>darījumam atsevišķi.</w:t>
      </w:r>
      <w:r w:rsidR="009C51A4" w:rsidRPr="00A02AD3">
        <w:rPr>
          <w:rFonts w:ascii="Times New Roman" w:hAnsi="Times New Roman" w:cs="Times New Roman"/>
          <w:spacing w:val="-11"/>
          <w:sz w:val="24"/>
          <w:szCs w:val="24"/>
        </w:rPr>
        <w:t xml:space="preserve"> </w:t>
      </w:r>
      <w:r w:rsidR="009C51A4" w:rsidRPr="00A02AD3">
        <w:rPr>
          <w:rFonts w:ascii="Times New Roman" w:hAnsi="Times New Roman" w:cs="Times New Roman"/>
          <w:sz w:val="24"/>
          <w:szCs w:val="24"/>
        </w:rPr>
        <w:t>Tomēr</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atsevišķos</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gadījumos,</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lai</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sniegtu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patiesu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priekšstatu</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par</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darījuma</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būtību,</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 xml:space="preserve">ieņēmumu atzīšanas kritēriji jāpiemēro viena darījuma atsevišķi identificējamām sastāvdaļām vai vairākiem darījumiem kopā, ja tie ir saistīti tā, ka ietekme nav saprotama, neaplūkojot darījumu virkni kopumā. </w:t>
      </w:r>
      <w:r w:rsidR="009C51A4" w:rsidRPr="00A02AD3">
        <w:rPr>
          <w:rFonts w:ascii="Times New Roman" w:hAnsi="Times New Roman" w:cs="Times New Roman"/>
          <w:i/>
          <w:sz w:val="24"/>
          <w:szCs w:val="24"/>
        </w:rPr>
        <w:t>Piemēram, ja preces pārdošanas cenā ir iekļauta summa par tās turpmāko apkalpošanu, budžeta iestāde apkalpošanas summu atzīst par ieņēmumiem tajā periodā, kurā sniedz</w:t>
      </w:r>
      <w:r w:rsidR="009C51A4" w:rsidRPr="00A02AD3">
        <w:rPr>
          <w:rFonts w:ascii="Times New Roman" w:hAnsi="Times New Roman" w:cs="Times New Roman"/>
          <w:i/>
          <w:spacing w:val="-16"/>
          <w:sz w:val="24"/>
          <w:szCs w:val="24"/>
        </w:rPr>
        <w:t xml:space="preserve"> </w:t>
      </w:r>
      <w:r w:rsidR="009C51A4" w:rsidRPr="00A02AD3">
        <w:rPr>
          <w:rFonts w:ascii="Times New Roman" w:hAnsi="Times New Roman" w:cs="Times New Roman"/>
          <w:i/>
          <w:sz w:val="24"/>
          <w:szCs w:val="24"/>
        </w:rPr>
        <w:t>pakalpojumu.</w:t>
      </w:r>
    </w:p>
    <w:p w14:paraId="6A35DB70"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1068.      </w:t>
      </w:r>
      <w:r w:rsidR="00A60C14">
        <w:rPr>
          <w:rFonts w:ascii="Times New Roman" w:hAnsi="Times New Roman" w:cs="Times New Roman"/>
          <w:sz w:val="24"/>
          <w:szCs w:val="24"/>
        </w:rPr>
        <w:t>23.6</w:t>
      </w:r>
      <w:r w:rsidR="009C51A4" w:rsidRPr="00A02AD3">
        <w:rPr>
          <w:rFonts w:ascii="Times New Roman" w:hAnsi="Times New Roman" w:cs="Times New Roman"/>
          <w:sz w:val="24"/>
          <w:szCs w:val="24"/>
        </w:rPr>
        <w:t xml:space="preserve"> apakšnodaļā</w:t>
      </w:r>
      <w:r w:rsidR="009C51A4" w:rsidRPr="00A02AD3">
        <w:rPr>
          <w:rFonts w:ascii="Times New Roman" w:hAnsi="Times New Roman" w:cs="Times New Roman"/>
          <w:color w:val="0462C1"/>
          <w:sz w:val="24"/>
          <w:szCs w:val="24"/>
        </w:rPr>
        <w:t xml:space="preserve"> </w:t>
      </w:r>
      <w:r w:rsidR="009C51A4" w:rsidRPr="00A02AD3">
        <w:rPr>
          <w:rFonts w:ascii="Times New Roman" w:hAnsi="Times New Roman" w:cs="Times New Roman"/>
          <w:color w:val="0462C1"/>
          <w:sz w:val="24"/>
          <w:szCs w:val="24"/>
          <w:u w:val="single" w:color="0462C1"/>
        </w:rPr>
        <w:t>“</w:t>
      </w:r>
      <w:hyperlink w:anchor="_bookmark422" w:history="1">
        <w:r w:rsidR="00A60C14">
          <w:rPr>
            <w:rFonts w:ascii="Times New Roman" w:hAnsi="Times New Roman" w:cs="Times New Roman"/>
            <w:color w:val="0462C1"/>
            <w:sz w:val="24"/>
            <w:szCs w:val="24"/>
            <w:u w:val="single" w:color="0462C1"/>
          </w:rPr>
          <w:t>23.6.2.</w:t>
        </w:r>
        <w:r w:rsidR="009C51A4" w:rsidRPr="00A02AD3">
          <w:rPr>
            <w:rFonts w:ascii="Times New Roman" w:hAnsi="Times New Roman" w:cs="Times New Roman"/>
            <w:color w:val="0462C1"/>
            <w:sz w:val="24"/>
            <w:szCs w:val="24"/>
            <w:u w:val="single" w:color="0462C1"/>
          </w:rPr>
          <w:t>. Piemērs – ieņēmumu atzīšana viena darījuma atsevišķi identificējamām</w:t>
        </w:r>
      </w:hyperlink>
      <w:hyperlink w:anchor="_bookmark422" w:history="1">
        <w:r w:rsidR="009C51A4" w:rsidRPr="00A02AD3">
          <w:rPr>
            <w:rFonts w:ascii="Times New Roman" w:hAnsi="Times New Roman" w:cs="Times New Roman"/>
            <w:color w:val="0462C1"/>
            <w:sz w:val="24"/>
            <w:szCs w:val="24"/>
            <w:u w:val="single" w:color="0462C1"/>
          </w:rPr>
          <w:t xml:space="preserve"> sastāvdaļām.</w:t>
        </w:r>
      </w:hyperlink>
      <w:r w:rsidR="009C51A4" w:rsidRPr="00A02AD3">
        <w:rPr>
          <w:rFonts w:ascii="Times New Roman" w:hAnsi="Times New Roman" w:cs="Times New Roman"/>
          <w:color w:val="0462C1"/>
          <w:sz w:val="24"/>
          <w:szCs w:val="24"/>
          <w:u w:val="single" w:color="0462C1"/>
        </w:rPr>
        <w:t>”</w:t>
      </w:r>
      <w:r w:rsidR="009C51A4" w:rsidRPr="00A02AD3">
        <w:rPr>
          <w:rFonts w:ascii="Times New Roman" w:hAnsi="Times New Roman" w:cs="Times New Roman"/>
          <w:color w:val="0462C1"/>
          <w:sz w:val="24"/>
          <w:szCs w:val="24"/>
        </w:rPr>
        <w:t xml:space="preserve"> </w:t>
      </w:r>
      <w:r w:rsidR="009C51A4" w:rsidRPr="00A02AD3">
        <w:rPr>
          <w:rFonts w:ascii="Times New Roman" w:hAnsi="Times New Roman" w:cs="Times New Roman"/>
          <w:sz w:val="24"/>
          <w:szCs w:val="24"/>
        </w:rPr>
        <w:t>sniegts ilustratīvs ieņēmumu atzīšanas piemērs viena darījuma atsevišķi identificējamām</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sastāvdaļām.</w:t>
      </w:r>
    </w:p>
    <w:p w14:paraId="2F304E73" w14:textId="77777777" w:rsidR="006162DC" w:rsidRPr="00A02AD3" w:rsidRDefault="00A02AD3" w:rsidP="00CD363C">
      <w:pPr>
        <w:spacing w:after="0" w:line="240" w:lineRule="auto"/>
        <w:ind w:right="425"/>
        <w:jc w:val="both"/>
        <w:rPr>
          <w:rFonts w:ascii="Times New Roman" w:hAnsi="Times New Roman" w:cs="Times New Roman"/>
          <w:b/>
          <w:bCs/>
          <w:sz w:val="24"/>
          <w:szCs w:val="24"/>
        </w:rPr>
      </w:pPr>
      <w:r w:rsidRPr="00A02AD3">
        <w:rPr>
          <w:rFonts w:ascii="Times New Roman" w:hAnsi="Times New Roman" w:cs="Times New Roman"/>
          <w:b/>
          <w:bCs/>
          <w:sz w:val="24"/>
          <w:szCs w:val="24"/>
        </w:rPr>
        <w:t>23.2. Pakalpojumu sniegšana</w:t>
      </w:r>
    </w:p>
    <w:p w14:paraId="6B3E67CB"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1069.   Pakalpojumu sniegšana parasti nozīmē, ka budžeta iestāde veic ar pasūtītāju saskaņotu uzdevumu izpildi saskaņotā laika periodā. Pakalpojumus var sniegt viena perioda vai vairāku periodu laikā.</w:t>
      </w:r>
    </w:p>
    <w:p w14:paraId="5420C4AA"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rsidRPr="00DE4093">
        <w:rPr>
          <w:rFonts w:ascii="Times New Roman" w:hAnsi="Times New Roman" w:cs="Times New Roman"/>
          <w:sz w:val="24"/>
          <w:szCs w:val="24"/>
        </w:rPr>
        <w:t xml:space="preserve"> </w:t>
      </w:r>
      <w:r w:rsidRPr="00DE4093">
        <w:rPr>
          <w:rFonts w:ascii="Times New Roman" w:hAnsi="Times New Roman" w:cs="Times New Roman"/>
          <w:i/>
          <w:sz w:val="24"/>
          <w:szCs w:val="24"/>
        </w:rPr>
        <w:t>Piemēri budžeta iestāžu sniegtajiem pakalpojumiem, par kuriem parasti saņem ieņēmumus, var būt komunālie pakalpojumi, ūdensapgādes objektu</w:t>
      </w:r>
      <w:r w:rsidRPr="00DE4093">
        <w:rPr>
          <w:rFonts w:ascii="Times New Roman" w:hAnsi="Times New Roman" w:cs="Times New Roman"/>
          <w:i/>
          <w:spacing w:val="-2"/>
          <w:sz w:val="24"/>
          <w:szCs w:val="24"/>
        </w:rPr>
        <w:t xml:space="preserve"> </w:t>
      </w:r>
      <w:r w:rsidRPr="00DE4093">
        <w:rPr>
          <w:rFonts w:ascii="Times New Roman" w:hAnsi="Times New Roman" w:cs="Times New Roman"/>
          <w:i/>
          <w:sz w:val="24"/>
          <w:szCs w:val="24"/>
        </w:rPr>
        <w:t>apsaimniekošana.</w:t>
      </w:r>
    </w:p>
    <w:p w14:paraId="08259995"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1070. Budžeta</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iestāde</w:t>
      </w:r>
      <w:r w:rsidRPr="00DE4093">
        <w:rPr>
          <w:rFonts w:ascii="Times New Roman" w:hAnsi="Times New Roman" w:cs="Times New Roman"/>
          <w:spacing w:val="-10"/>
          <w:sz w:val="24"/>
          <w:szCs w:val="24"/>
        </w:rPr>
        <w:t xml:space="preserve"> </w:t>
      </w:r>
      <w:r w:rsidRPr="00DE4093">
        <w:rPr>
          <w:rFonts w:ascii="Times New Roman" w:hAnsi="Times New Roman" w:cs="Times New Roman"/>
          <w:sz w:val="24"/>
          <w:szCs w:val="24"/>
        </w:rPr>
        <w:t>atzīst</w:t>
      </w:r>
      <w:r w:rsidRPr="00DE4093">
        <w:rPr>
          <w:rFonts w:ascii="Times New Roman" w:hAnsi="Times New Roman" w:cs="Times New Roman"/>
          <w:spacing w:val="-11"/>
          <w:sz w:val="24"/>
          <w:szCs w:val="24"/>
        </w:rPr>
        <w:t xml:space="preserve"> </w:t>
      </w:r>
      <w:r w:rsidRPr="00DE4093">
        <w:rPr>
          <w:rFonts w:ascii="Times New Roman" w:hAnsi="Times New Roman" w:cs="Times New Roman"/>
          <w:sz w:val="24"/>
          <w:szCs w:val="24"/>
        </w:rPr>
        <w:t>ieņēmumus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no</w:t>
      </w:r>
      <w:r w:rsidRPr="00DE4093">
        <w:rPr>
          <w:rFonts w:ascii="Times New Roman" w:hAnsi="Times New Roman" w:cs="Times New Roman"/>
          <w:spacing w:val="-10"/>
          <w:sz w:val="24"/>
          <w:szCs w:val="24"/>
        </w:rPr>
        <w:t xml:space="preserve"> </w:t>
      </w:r>
      <w:r w:rsidRPr="00DE4093">
        <w:rPr>
          <w:rFonts w:ascii="Times New Roman" w:hAnsi="Times New Roman" w:cs="Times New Roman"/>
          <w:sz w:val="24"/>
          <w:szCs w:val="24"/>
        </w:rPr>
        <w:t>pakalpojumu</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sniegšanas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tajā</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pārskata</w:t>
      </w:r>
      <w:r w:rsidRPr="00DE4093">
        <w:rPr>
          <w:rFonts w:ascii="Times New Roman" w:hAnsi="Times New Roman" w:cs="Times New Roman"/>
          <w:spacing w:val="-11"/>
          <w:sz w:val="24"/>
          <w:szCs w:val="24"/>
        </w:rPr>
        <w:t xml:space="preserve"> </w:t>
      </w:r>
      <w:r w:rsidRPr="00DE4093">
        <w:rPr>
          <w:rFonts w:ascii="Times New Roman" w:hAnsi="Times New Roman" w:cs="Times New Roman"/>
          <w:sz w:val="24"/>
          <w:szCs w:val="24"/>
        </w:rPr>
        <w:t>periodā,</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kurā</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pakalpojumi sniegti.</w:t>
      </w:r>
    </w:p>
    <w:p w14:paraId="2581AB38"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1071. Pārskata periodā, kurā sniegts pakalpojums, pamatojoties uz izrakstīto rēķinu, budžeta iestāde atzīst ieņēmumus un prasības par pakalpojuma sniegšanu, veicot sekojošu</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grāmatojumu:</w:t>
      </w:r>
    </w:p>
    <w:p w14:paraId="7A923EC2" w14:textId="77777777" w:rsidR="00A02AD3" w:rsidRPr="00DE4093" w:rsidRDefault="00A02AD3" w:rsidP="00CD363C">
      <w:pPr>
        <w:pStyle w:val="Pamatteksts"/>
        <w:ind w:right="425"/>
        <w:jc w:val="both"/>
        <w:rPr>
          <w:sz w:val="24"/>
          <w:szCs w:val="24"/>
        </w:rPr>
      </w:pPr>
    </w:p>
    <w:p w14:paraId="577E9A40" w14:textId="77777777" w:rsidR="006162DC" w:rsidRPr="00DE4093" w:rsidRDefault="00A02AD3"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D    2300   Īstermiņa prasības</w:t>
      </w:r>
    </w:p>
    <w:p w14:paraId="2EF07A2B" w14:textId="77777777" w:rsidR="00A02AD3" w:rsidRPr="00DE4093" w:rsidRDefault="00A02AD3"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K    6000   Pamatdarbības ieņēmumi( attiecīgais ieņēmumu konts)</w:t>
      </w:r>
    </w:p>
    <w:p w14:paraId="5A8B9332" w14:textId="77777777" w:rsidR="00A02AD3" w:rsidRPr="00DE4093" w:rsidRDefault="00A02AD3"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K*  5723*  Pievienotās vērtības nodoklis   </w:t>
      </w:r>
    </w:p>
    <w:p w14:paraId="379ABB42" w14:textId="77777777" w:rsidR="00A02AD3" w:rsidRPr="00DE4093" w:rsidRDefault="00A02AD3" w:rsidP="00CD363C">
      <w:pPr>
        <w:spacing w:after="0" w:line="240" w:lineRule="auto"/>
        <w:ind w:left="1471" w:right="425"/>
        <w:jc w:val="both"/>
        <w:rPr>
          <w:i/>
          <w:sz w:val="24"/>
          <w:szCs w:val="24"/>
        </w:rPr>
      </w:pPr>
      <w:r w:rsidRPr="00DE4093">
        <w:rPr>
          <w:i/>
          <w:sz w:val="24"/>
          <w:szCs w:val="24"/>
        </w:rPr>
        <w:t xml:space="preserve">* </w:t>
      </w:r>
      <w:bookmarkStart w:id="92" w:name="_Hlk14782562"/>
      <w:r w:rsidRPr="00DE4093">
        <w:rPr>
          <w:i/>
          <w:sz w:val="24"/>
          <w:szCs w:val="24"/>
        </w:rPr>
        <w:t>gadījumā, ja budžeta iestāde ir PVN maksātāja</w:t>
      </w:r>
    </w:p>
    <w:bookmarkEnd w:id="92"/>
    <w:p w14:paraId="460EA180" w14:textId="77777777" w:rsidR="00F96D2A" w:rsidRPr="00DE4093" w:rsidRDefault="00F96D2A"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1072.</w:t>
      </w:r>
      <w:r w:rsidRPr="00DE4093">
        <w:rPr>
          <w:sz w:val="24"/>
          <w:szCs w:val="24"/>
        </w:rPr>
        <w:t xml:space="preserve">   </w:t>
      </w:r>
      <w:r w:rsidRPr="00DE4093">
        <w:rPr>
          <w:rFonts w:ascii="Times New Roman" w:hAnsi="Times New Roman" w:cs="Times New Roman"/>
          <w:sz w:val="24"/>
          <w:szCs w:val="24"/>
        </w:rPr>
        <w:t>Saņemot apmaksu par pakalpojumiem, budžeta iestāde samazina atzītās prasības un</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grāmato:</w:t>
      </w:r>
    </w:p>
    <w:p w14:paraId="3A569320" w14:textId="77777777" w:rsidR="006162DC" w:rsidRPr="00DE4093" w:rsidRDefault="00F96D2A"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color w:val="FF0000"/>
          <w:sz w:val="24"/>
          <w:szCs w:val="24"/>
        </w:rPr>
        <w:t xml:space="preserve">    </w:t>
      </w:r>
      <w:r w:rsidRPr="00DE4093">
        <w:rPr>
          <w:rFonts w:ascii="Times New Roman" w:hAnsi="Times New Roman" w:cs="Times New Roman"/>
          <w:b/>
          <w:bCs/>
          <w:sz w:val="24"/>
          <w:szCs w:val="24"/>
        </w:rPr>
        <w:t>D    2600   Naudas līdzekļi</w:t>
      </w:r>
    </w:p>
    <w:p w14:paraId="2657147C" w14:textId="77777777" w:rsidR="00F96D2A" w:rsidRPr="00DE4093" w:rsidRDefault="00F96D2A"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K    2300   Īstermiņa prasības</w:t>
      </w:r>
    </w:p>
    <w:p w14:paraId="75B99510" w14:textId="77777777" w:rsidR="00F96D2A" w:rsidRPr="00DE4093" w:rsidRDefault="00F96D2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1073.  Pārskata perioda beigās budžeta iestāde aprēķina un atzīst ieņēmumus, kas attiecas uz pārskata periodu, bet par kuriem rēķins vēl nav sagatavots, veicot sekojošu</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grāmatojumu:</w:t>
      </w:r>
    </w:p>
    <w:p w14:paraId="6B98739B" w14:textId="77777777" w:rsidR="00F96D2A" w:rsidRPr="00F96D2A" w:rsidRDefault="00F96D2A"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color w:val="FF0000"/>
          <w:sz w:val="24"/>
          <w:szCs w:val="24"/>
        </w:rPr>
        <w:t xml:space="preserve">    </w:t>
      </w:r>
      <w:r w:rsidRPr="00F96D2A">
        <w:rPr>
          <w:rFonts w:ascii="Times New Roman" w:hAnsi="Times New Roman" w:cs="Times New Roman"/>
          <w:b/>
          <w:bCs/>
          <w:sz w:val="24"/>
          <w:szCs w:val="24"/>
        </w:rPr>
        <w:t>D    2364    Uzkrātie ieņēmumi par pakalpojumiem</w:t>
      </w:r>
    </w:p>
    <w:p w14:paraId="5297F79F" w14:textId="77777777" w:rsidR="00F96D2A" w:rsidRDefault="00F96D2A" w:rsidP="00CD363C">
      <w:pPr>
        <w:spacing w:after="0" w:line="240" w:lineRule="auto"/>
        <w:ind w:right="425"/>
        <w:jc w:val="both"/>
        <w:rPr>
          <w:rFonts w:ascii="Times New Roman" w:hAnsi="Times New Roman" w:cs="Times New Roman"/>
          <w:b/>
          <w:bCs/>
          <w:sz w:val="24"/>
          <w:szCs w:val="24"/>
        </w:rPr>
      </w:pPr>
      <w:r w:rsidRPr="00F96D2A">
        <w:rPr>
          <w:rFonts w:ascii="Times New Roman" w:hAnsi="Times New Roman" w:cs="Times New Roman"/>
          <w:b/>
          <w:bCs/>
          <w:sz w:val="24"/>
          <w:szCs w:val="24"/>
        </w:rPr>
        <w:t xml:space="preserve">    K    6000   Pamatdarbības ieņēmumi</w:t>
      </w:r>
    </w:p>
    <w:p w14:paraId="2B036169"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1074.  Nākamajā pārskata periodā, izrakstot rēķinu par pakalpojumiem, kas sniegti iepriekšējā pārskata periodā, budžeta iestāde atzīst prasības un samazina uzkrātos ieņēmumus, veicot sekojošu grāmatojumu:</w:t>
      </w:r>
    </w:p>
    <w:p w14:paraId="3BBCBA08"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D    2300   Īstermiņa prasības</w:t>
      </w:r>
    </w:p>
    <w:p w14:paraId="5239AA49"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K    2364   Uzkrātie ieņēmumi par pakalpojumiem</w:t>
      </w:r>
    </w:p>
    <w:p w14:paraId="09468325"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K*   5723   Pievienotās vērtības nodoklis</w:t>
      </w:r>
    </w:p>
    <w:p w14:paraId="7121E700" w14:textId="77777777" w:rsidR="00DE4093" w:rsidRPr="00DE4093" w:rsidRDefault="00DE4093" w:rsidP="00CD363C">
      <w:pPr>
        <w:spacing w:after="0" w:line="240" w:lineRule="auto"/>
        <w:ind w:left="1471" w:right="425"/>
        <w:jc w:val="both"/>
        <w:rPr>
          <w:i/>
          <w:sz w:val="24"/>
          <w:szCs w:val="24"/>
        </w:rPr>
      </w:pPr>
      <w:r>
        <w:rPr>
          <w:rFonts w:ascii="Times New Roman" w:hAnsi="Times New Roman" w:cs="Times New Roman"/>
          <w:sz w:val="24"/>
          <w:szCs w:val="24"/>
        </w:rPr>
        <w:t xml:space="preserve">    </w:t>
      </w:r>
      <w:r w:rsidRPr="00DE4093">
        <w:rPr>
          <w:i/>
          <w:sz w:val="24"/>
          <w:szCs w:val="24"/>
        </w:rPr>
        <w:t>gadījumā, ja budžeta iestāde ir PVN maksātāja</w:t>
      </w:r>
    </w:p>
    <w:p w14:paraId="3CA7CC8F"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t xml:space="preserve">1075.  </w:t>
      </w:r>
      <w:r w:rsidRPr="00DE4093">
        <w:rPr>
          <w:rFonts w:ascii="Times New Roman" w:hAnsi="Times New Roman" w:cs="Times New Roman"/>
          <w:sz w:val="24"/>
          <w:szCs w:val="24"/>
        </w:rPr>
        <w:t>Ja pakalpojuma sniegšana pārskata perioda beigās nav pabeigta, ieņēmumus no pakalpojumu sniegšanas</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atzīst,</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ņemot</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vērā</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to,</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kādā</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izpildes</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pakāpē</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darījums</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ir</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pārskata</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datumā,</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ja</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tā</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iznākumu</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var ticami aplēst. Saskaņā ar šo metodi ieņēmumus atzīst tajos pārskata periodos, kuros pakalpojumi sniegti.</w:t>
      </w:r>
      <w:r w:rsidRPr="00DE4093">
        <w:rPr>
          <w:rFonts w:ascii="Times New Roman" w:hAnsi="Times New Roman" w:cs="Times New Roman"/>
          <w:spacing w:val="-14"/>
          <w:sz w:val="24"/>
          <w:szCs w:val="24"/>
        </w:rPr>
        <w:t xml:space="preserve"> </w:t>
      </w:r>
      <w:r w:rsidRPr="00DE4093">
        <w:rPr>
          <w:rFonts w:ascii="Times New Roman" w:hAnsi="Times New Roman" w:cs="Times New Roman"/>
          <w:i/>
          <w:sz w:val="24"/>
          <w:szCs w:val="24"/>
        </w:rPr>
        <w:t>Piemēram,</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budžeta</w:t>
      </w:r>
      <w:r w:rsidRPr="00DE4093">
        <w:rPr>
          <w:rFonts w:ascii="Times New Roman" w:hAnsi="Times New Roman" w:cs="Times New Roman"/>
          <w:i/>
          <w:spacing w:val="-16"/>
          <w:sz w:val="24"/>
          <w:szCs w:val="24"/>
        </w:rPr>
        <w:t xml:space="preserve"> </w:t>
      </w:r>
      <w:r w:rsidRPr="00DE4093">
        <w:rPr>
          <w:rFonts w:ascii="Times New Roman" w:hAnsi="Times New Roman" w:cs="Times New Roman"/>
          <w:i/>
          <w:sz w:val="24"/>
          <w:szCs w:val="24"/>
        </w:rPr>
        <w:t>iestāde,</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kura</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iznomā</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telpas</w:t>
      </w:r>
      <w:r w:rsidRPr="00DE4093">
        <w:rPr>
          <w:rFonts w:ascii="Times New Roman" w:hAnsi="Times New Roman" w:cs="Times New Roman"/>
          <w:i/>
          <w:spacing w:val="-15"/>
          <w:sz w:val="24"/>
          <w:szCs w:val="24"/>
        </w:rPr>
        <w:t xml:space="preserve"> </w:t>
      </w:r>
      <w:r w:rsidRPr="00DE4093">
        <w:rPr>
          <w:rFonts w:ascii="Times New Roman" w:hAnsi="Times New Roman" w:cs="Times New Roman"/>
          <w:i/>
          <w:sz w:val="24"/>
          <w:szCs w:val="24"/>
        </w:rPr>
        <w:t>citai</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iestādei,</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rēķinu</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par</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pakalpojumu</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izsniedz reizi pusgadā, taču ieņēmumus atzīst periodā, kad sniegts pakalpojums, tas ir, katru</w:t>
      </w:r>
      <w:r w:rsidRPr="00DE4093">
        <w:rPr>
          <w:rFonts w:ascii="Times New Roman" w:hAnsi="Times New Roman" w:cs="Times New Roman"/>
          <w:i/>
          <w:spacing w:val="-19"/>
          <w:sz w:val="24"/>
          <w:szCs w:val="24"/>
        </w:rPr>
        <w:t xml:space="preserve"> </w:t>
      </w:r>
      <w:r w:rsidRPr="00DE4093">
        <w:rPr>
          <w:rFonts w:ascii="Times New Roman" w:hAnsi="Times New Roman" w:cs="Times New Roman"/>
          <w:i/>
          <w:sz w:val="24"/>
          <w:szCs w:val="24"/>
        </w:rPr>
        <w:t>mēnesi.</w:t>
      </w:r>
    </w:p>
    <w:p w14:paraId="0C5F509C" w14:textId="77777777" w:rsidR="00DE4093" w:rsidRPr="00DE4093" w:rsidRDefault="00DE4093"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1076.    Darījuma iznākumu var ticami aplēst, ja tiek ievēroti visi sekojošie</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nosacījumi:</w:t>
      </w:r>
    </w:p>
    <w:p w14:paraId="3FA42F2A"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ieņēmumu summu var ticami</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novērtēt;</w:t>
      </w:r>
    </w:p>
    <w:p w14:paraId="18B22478"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ir ticams, ka budžeta iestāde saņems atlīdzību par sniegto</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pakalpojumu;</w:t>
      </w:r>
    </w:p>
    <w:p w14:paraId="052DCAA4"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var ticami novērtēt, kādā izpildes pakāpē darījums ir pārskata</w:t>
      </w:r>
      <w:r w:rsidRPr="00DE4093">
        <w:rPr>
          <w:rFonts w:ascii="Times New Roman" w:hAnsi="Times New Roman" w:cs="Times New Roman"/>
          <w:spacing w:val="-2"/>
          <w:sz w:val="24"/>
          <w:szCs w:val="24"/>
        </w:rPr>
        <w:t xml:space="preserve"> </w:t>
      </w:r>
      <w:r w:rsidRPr="00DE4093">
        <w:rPr>
          <w:rFonts w:ascii="Times New Roman" w:hAnsi="Times New Roman" w:cs="Times New Roman"/>
          <w:sz w:val="24"/>
          <w:szCs w:val="24"/>
        </w:rPr>
        <w:t>datumā;</w:t>
      </w:r>
    </w:p>
    <w:p w14:paraId="48C3AE26"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var ticami novērtēt radušās darījuma izmaksas un izmaksas, kas nepieciešamas darījuma pabeigšanai.</w:t>
      </w:r>
    </w:p>
    <w:p w14:paraId="15FCC6F7"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1077.    Budžeta iestāde parasti spēj veikt ticamas aplēses, ņemot vērā vienošanos starp darījuma pusēm un izvērtējot sekojošus</w:t>
      </w:r>
      <w:r w:rsidRPr="00DE4093">
        <w:rPr>
          <w:rFonts w:ascii="Times New Roman" w:hAnsi="Times New Roman" w:cs="Times New Roman"/>
          <w:spacing w:val="1"/>
          <w:sz w:val="24"/>
          <w:szCs w:val="24"/>
        </w:rPr>
        <w:t xml:space="preserve"> </w:t>
      </w:r>
      <w:r w:rsidRPr="00DE4093">
        <w:rPr>
          <w:rFonts w:ascii="Times New Roman" w:hAnsi="Times New Roman" w:cs="Times New Roman"/>
          <w:sz w:val="24"/>
          <w:szCs w:val="24"/>
        </w:rPr>
        <w:t>kritērijus:</w:t>
      </w:r>
    </w:p>
    <w:p w14:paraId="1D69BF6F"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katras puses īstenojamās tiesības attiecībā uz pakalpojumu, ko puses sniegs un</w:t>
      </w:r>
      <w:r w:rsidRPr="00DE4093">
        <w:rPr>
          <w:rFonts w:ascii="Times New Roman" w:hAnsi="Times New Roman" w:cs="Times New Roman"/>
          <w:spacing w:val="-13"/>
          <w:sz w:val="24"/>
          <w:szCs w:val="24"/>
        </w:rPr>
        <w:t xml:space="preserve"> </w:t>
      </w:r>
      <w:r w:rsidRPr="00DE4093">
        <w:rPr>
          <w:rFonts w:ascii="Times New Roman" w:hAnsi="Times New Roman" w:cs="Times New Roman"/>
          <w:sz w:val="24"/>
          <w:szCs w:val="24"/>
        </w:rPr>
        <w:t>saņems;</w:t>
      </w:r>
    </w:p>
    <w:p w14:paraId="7CE1C6A9"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atlīdzība, kas pienākas vai</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jāsamaksā;</w:t>
      </w:r>
    </w:p>
    <w:p w14:paraId="7C8F2A37"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norēķinu veids un</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termiņi.</w:t>
      </w:r>
    </w:p>
    <w:p w14:paraId="1B5384AE"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1078.   Darījuma izpildes pakāpi var noteikt ar dažādām metodēm. Budžeta iestāde izvēlas metodi, kura ir piemērotākā</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ticamai</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pakalpojumu</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novērtēšanai.</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Darījuma</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izpildes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pakāpes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noteikšanai</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pielieto</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vienu no šādām</w:t>
      </w:r>
      <w:r w:rsidRPr="00DE4093">
        <w:rPr>
          <w:rFonts w:ascii="Times New Roman" w:hAnsi="Times New Roman" w:cs="Times New Roman"/>
          <w:spacing w:val="-2"/>
          <w:sz w:val="24"/>
          <w:szCs w:val="24"/>
        </w:rPr>
        <w:t xml:space="preserve"> </w:t>
      </w:r>
      <w:r w:rsidRPr="00DE4093">
        <w:rPr>
          <w:rFonts w:ascii="Times New Roman" w:hAnsi="Times New Roman" w:cs="Times New Roman"/>
          <w:sz w:val="24"/>
          <w:szCs w:val="24"/>
        </w:rPr>
        <w:t>metodēm:</w:t>
      </w:r>
    </w:p>
    <w:p w14:paraId="6E15D50F"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DE4093">
        <w:rPr>
          <w:rFonts w:ascii="Times New Roman" w:hAnsi="Times New Roman" w:cs="Times New Roman"/>
          <w:sz w:val="24"/>
          <w:szCs w:val="24"/>
        </w:rPr>
        <w:t xml:space="preserve">darbu apsekošana – budžeta iestāde novērtē paveikto darbu apjomu un atzīst ieņēmumus novērtējuma apjomā. </w:t>
      </w:r>
      <w:r w:rsidRPr="00DE4093">
        <w:rPr>
          <w:rFonts w:ascii="Times New Roman" w:hAnsi="Times New Roman" w:cs="Times New Roman"/>
          <w:i/>
          <w:sz w:val="24"/>
          <w:szCs w:val="24"/>
        </w:rPr>
        <w:t>Piemēram, saskaņā ar līgumu par budžeta iestādes sniegtajiem pakalpojumiem pēc veiktā darba novērtēšanas budžeta iestādei tiek iesniegts apsekošanas akts (ziņojums);</w:t>
      </w:r>
    </w:p>
    <w:p w14:paraId="569B9616"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DE4093">
        <w:rPr>
          <w:rFonts w:ascii="Times New Roman" w:hAnsi="Times New Roman" w:cs="Times New Roman"/>
          <w:sz w:val="24"/>
          <w:szCs w:val="24"/>
        </w:rPr>
        <w:t>izpildīto darbu (pakalpojumu) proporcionāls apjoms atbilstoši kopējiem veicamajiem pakalpojumiem</w:t>
      </w:r>
      <w:r w:rsidRPr="00DE4093">
        <w:rPr>
          <w:rFonts w:ascii="Times New Roman" w:hAnsi="Times New Roman" w:cs="Times New Roman"/>
          <w:spacing w:val="-15"/>
          <w:sz w:val="24"/>
          <w:szCs w:val="24"/>
        </w:rPr>
        <w:t xml:space="preserve"> </w:t>
      </w:r>
      <w:r w:rsidRPr="00DE4093">
        <w:rPr>
          <w:rFonts w:ascii="Times New Roman" w:hAnsi="Times New Roman" w:cs="Times New Roman"/>
          <w:sz w:val="24"/>
          <w:szCs w:val="24"/>
        </w:rPr>
        <w:t>–</w:t>
      </w:r>
      <w:r w:rsidRPr="00DE4093">
        <w:rPr>
          <w:rFonts w:ascii="Times New Roman" w:hAnsi="Times New Roman" w:cs="Times New Roman"/>
          <w:spacing w:val="-13"/>
          <w:sz w:val="24"/>
          <w:szCs w:val="24"/>
        </w:rPr>
        <w:t xml:space="preserve"> </w:t>
      </w:r>
      <w:r w:rsidRPr="00DE4093">
        <w:rPr>
          <w:rFonts w:ascii="Times New Roman" w:hAnsi="Times New Roman" w:cs="Times New Roman"/>
          <w:sz w:val="24"/>
          <w:szCs w:val="24"/>
        </w:rPr>
        <w:t>budžeta</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iestāde</w:t>
      </w:r>
      <w:r w:rsidRPr="00DE4093">
        <w:rPr>
          <w:rFonts w:ascii="Times New Roman" w:hAnsi="Times New Roman" w:cs="Times New Roman"/>
          <w:spacing w:val="-12"/>
          <w:sz w:val="24"/>
          <w:szCs w:val="24"/>
        </w:rPr>
        <w:t xml:space="preserve"> </w:t>
      </w:r>
      <w:r w:rsidRPr="00DE4093">
        <w:rPr>
          <w:rFonts w:ascii="Times New Roman" w:hAnsi="Times New Roman" w:cs="Times New Roman"/>
          <w:sz w:val="24"/>
          <w:szCs w:val="24"/>
        </w:rPr>
        <w:t>aprēķina</w:t>
      </w:r>
      <w:r w:rsidRPr="00DE4093">
        <w:rPr>
          <w:rFonts w:ascii="Times New Roman" w:hAnsi="Times New Roman" w:cs="Times New Roman"/>
          <w:spacing w:val="-11"/>
          <w:sz w:val="24"/>
          <w:szCs w:val="24"/>
        </w:rPr>
        <w:t xml:space="preserve"> </w:t>
      </w:r>
      <w:r w:rsidRPr="00DE4093">
        <w:rPr>
          <w:rFonts w:ascii="Times New Roman" w:hAnsi="Times New Roman" w:cs="Times New Roman"/>
          <w:sz w:val="24"/>
          <w:szCs w:val="24"/>
        </w:rPr>
        <w:t>pārskata</w:t>
      </w:r>
      <w:r w:rsidRPr="00DE4093">
        <w:rPr>
          <w:rFonts w:ascii="Times New Roman" w:hAnsi="Times New Roman" w:cs="Times New Roman"/>
          <w:spacing w:val="-12"/>
          <w:sz w:val="24"/>
          <w:szCs w:val="24"/>
        </w:rPr>
        <w:t xml:space="preserve"> </w:t>
      </w:r>
      <w:r w:rsidRPr="00DE4093">
        <w:rPr>
          <w:rFonts w:ascii="Times New Roman" w:hAnsi="Times New Roman" w:cs="Times New Roman"/>
          <w:sz w:val="24"/>
          <w:szCs w:val="24"/>
        </w:rPr>
        <w:t>periodā</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izpildīto</w:t>
      </w:r>
      <w:r w:rsidRPr="00DE4093">
        <w:rPr>
          <w:rFonts w:ascii="Times New Roman" w:hAnsi="Times New Roman" w:cs="Times New Roman"/>
          <w:spacing w:val="-13"/>
          <w:sz w:val="24"/>
          <w:szCs w:val="24"/>
        </w:rPr>
        <w:t xml:space="preserve"> </w:t>
      </w:r>
      <w:r w:rsidRPr="00DE4093">
        <w:rPr>
          <w:rFonts w:ascii="Times New Roman" w:hAnsi="Times New Roman" w:cs="Times New Roman"/>
          <w:sz w:val="24"/>
          <w:szCs w:val="24"/>
        </w:rPr>
        <w:t>darbu</w:t>
      </w:r>
      <w:r w:rsidRPr="00DE4093">
        <w:rPr>
          <w:rFonts w:ascii="Times New Roman" w:hAnsi="Times New Roman" w:cs="Times New Roman"/>
          <w:spacing w:val="-15"/>
          <w:sz w:val="24"/>
          <w:szCs w:val="24"/>
        </w:rPr>
        <w:t xml:space="preserve"> </w:t>
      </w:r>
      <w:r w:rsidRPr="00DE4093">
        <w:rPr>
          <w:rFonts w:ascii="Times New Roman" w:hAnsi="Times New Roman" w:cs="Times New Roman"/>
          <w:sz w:val="24"/>
          <w:szCs w:val="24"/>
        </w:rPr>
        <w:t>procentuālo</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 xml:space="preserve">īpatsvaru no kopējā sniedzamā pakalpojuma. Ieņēmumu summu aprēķina, līguma summu reizinot ar aprēķināto izpildīto darbu procentuālo īpatsvaru, </w:t>
      </w:r>
      <w:r w:rsidRPr="00DE4093">
        <w:rPr>
          <w:rFonts w:ascii="Times New Roman" w:hAnsi="Times New Roman" w:cs="Times New Roman"/>
          <w:i/>
          <w:sz w:val="24"/>
          <w:szCs w:val="24"/>
        </w:rPr>
        <w:t>piemēram, pašvaldība noslēdz līgumu ar uzņēmumu, lai sniegtu noteiktus pakalpojumus uzņēmuma darbiniekiem. Saskaņā ar līguma noteikumiem</w:t>
      </w:r>
      <w:r w:rsidRPr="00DE4093">
        <w:rPr>
          <w:rFonts w:ascii="Times New Roman" w:hAnsi="Times New Roman" w:cs="Times New Roman"/>
          <w:i/>
          <w:spacing w:val="16"/>
          <w:sz w:val="24"/>
          <w:szCs w:val="24"/>
        </w:rPr>
        <w:t xml:space="preserve"> </w:t>
      </w:r>
      <w:r w:rsidRPr="00DE4093">
        <w:rPr>
          <w:rFonts w:ascii="Times New Roman" w:hAnsi="Times New Roman" w:cs="Times New Roman"/>
          <w:i/>
          <w:sz w:val="24"/>
          <w:szCs w:val="24"/>
        </w:rPr>
        <w:t>līgumā</w:t>
      </w:r>
      <w:r w:rsidRPr="00DE4093">
        <w:rPr>
          <w:rFonts w:ascii="Times New Roman" w:hAnsi="Times New Roman" w:cs="Times New Roman"/>
          <w:i/>
          <w:spacing w:val="17"/>
          <w:sz w:val="24"/>
          <w:szCs w:val="24"/>
        </w:rPr>
        <w:t xml:space="preserve"> </w:t>
      </w:r>
      <w:r w:rsidRPr="00DE4093">
        <w:rPr>
          <w:rFonts w:ascii="Times New Roman" w:hAnsi="Times New Roman" w:cs="Times New Roman"/>
          <w:i/>
          <w:sz w:val="24"/>
          <w:szCs w:val="24"/>
        </w:rPr>
        <w:t>norādītie</w:t>
      </w:r>
      <w:r w:rsidRPr="00DE4093">
        <w:rPr>
          <w:rFonts w:ascii="Times New Roman" w:hAnsi="Times New Roman" w:cs="Times New Roman"/>
          <w:i/>
          <w:spacing w:val="18"/>
          <w:sz w:val="24"/>
          <w:szCs w:val="24"/>
        </w:rPr>
        <w:t xml:space="preserve"> </w:t>
      </w:r>
      <w:r w:rsidRPr="00DE4093">
        <w:rPr>
          <w:rFonts w:ascii="Times New Roman" w:hAnsi="Times New Roman" w:cs="Times New Roman"/>
          <w:i/>
          <w:sz w:val="24"/>
          <w:szCs w:val="24"/>
        </w:rPr>
        <w:t>pakalpojumi</w:t>
      </w:r>
      <w:r w:rsidRPr="00DE4093">
        <w:rPr>
          <w:rFonts w:ascii="Times New Roman" w:hAnsi="Times New Roman" w:cs="Times New Roman"/>
          <w:i/>
          <w:spacing w:val="18"/>
          <w:sz w:val="24"/>
          <w:szCs w:val="24"/>
        </w:rPr>
        <w:t xml:space="preserve"> </w:t>
      </w:r>
      <w:r w:rsidRPr="00DE4093">
        <w:rPr>
          <w:rFonts w:ascii="Times New Roman" w:hAnsi="Times New Roman" w:cs="Times New Roman"/>
          <w:i/>
          <w:sz w:val="24"/>
          <w:szCs w:val="24"/>
        </w:rPr>
        <w:t>tiek</w:t>
      </w:r>
      <w:r w:rsidRPr="00DE4093">
        <w:rPr>
          <w:rFonts w:ascii="Times New Roman" w:hAnsi="Times New Roman" w:cs="Times New Roman"/>
          <w:i/>
          <w:spacing w:val="17"/>
          <w:sz w:val="24"/>
          <w:szCs w:val="24"/>
        </w:rPr>
        <w:t xml:space="preserve"> </w:t>
      </w:r>
      <w:r w:rsidRPr="00DE4093">
        <w:rPr>
          <w:rFonts w:ascii="Times New Roman" w:hAnsi="Times New Roman" w:cs="Times New Roman"/>
          <w:i/>
          <w:sz w:val="24"/>
          <w:szCs w:val="24"/>
        </w:rPr>
        <w:t>sniegti</w:t>
      </w:r>
      <w:r w:rsidRPr="00DE4093">
        <w:rPr>
          <w:rFonts w:ascii="Times New Roman" w:hAnsi="Times New Roman" w:cs="Times New Roman"/>
          <w:i/>
          <w:spacing w:val="21"/>
          <w:sz w:val="24"/>
          <w:szCs w:val="24"/>
        </w:rPr>
        <w:t xml:space="preserve"> </w:t>
      </w:r>
      <w:r w:rsidRPr="00DE4093">
        <w:rPr>
          <w:rFonts w:ascii="Times New Roman" w:hAnsi="Times New Roman" w:cs="Times New Roman"/>
          <w:i/>
          <w:sz w:val="24"/>
          <w:szCs w:val="24"/>
        </w:rPr>
        <w:t>120</w:t>
      </w:r>
      <w:r w:rsidRPr="00DE4093">
        <w:rPr>
          <w:rFonts w:ascii="Times New Roman" w:hAnsi="Times New Roman" w:cs="Times New Roman"/>
          <w:i/>
          <w:spacing w:val="17"/>
          <w:sz w:val="24"/>
          <w:szCs w:val="24"/>
        </w:rPr>
        <w:t xml:space="preserve"> </w:t>
      </w:r>
      <w:r w:rsidRPr="00DE4093">
        <w:rPr>
          <w:rFonts w:ascii="Times New Roman" w:hAnsi="Times New Roman" w:cs="Times New Roman"/>
          <w:i/>
          <w:sz w:val="24"/>
          <w:szCs w:val="24"/>
        </w:rPr>
        <w:t>darbiniekiem</w:t>
      </w:r>
      <w:r w:rsidRPr="00DE4093">
        <w:rPr>
          <w:rFonts w:ascii="Times New Roman" w:hAnsi="Times New Roman" w:cs="Times New Roman"/>
          <w:i/>
          <w:spacing w:val="16"/>
          <w:sz w:val="24"/>
          <w:szCs w:val="24"/>
        </w:rPr>
        <w:t xml:space="preserve"> </w:t>
      </w:r>
      <w:r w:rsidRPr="00DE4093">
        <w:rPr>
          <w:rFonts w:ascii="Times New Roman" w:hAnsi="Times New Roman" w:cs="Times New Roman"/>
          <w:i/>
          <w:sz w:val="24"/>
          <w:szCs w:val="24"/>
        </w:rPr>
        <w:t>viena</w:t>
      </w:r>
      <w:r w:rsidRPr="00DE4093">
        <w:rPr>
          <w:rFonts w:ascii="Times New Roman" w:hAnsi="Times New Roman" w:cs="Times New Roman"/>
          <w:i/>
          <w:spacing w:val="18"/>
          <w:sz w:val="24"/>
          <w:szCs w:val="24"/>
        </w:rPr>
        <w:t xml:space="preserve"> </w:t>
      </w:r>
      <w:r w:rsidRPr="00DE4093">
        <w:rPr>
          <w:rFonts w:ascii="Times New Roman" w:hAnsi="Times New Roman" w:cs="Times New Roman"/>
          <w:i/>
          <w:sz w:val="24"/>
          <w:szCs w:val="24"/>
        </w:rPr>
        <w:t>gada</w:t>
      </w:r>
      <w:r w:rsidRPr="00DE4093">
        <w:rPr>
          <w:rFonts w:ascii="Times New Roman" w:hAnsi="Times New Roman" w:cs="Times New Roman"/>
          <w:i/>
          <w:spacing w:val="19"/>
          <w:sz w:val="24"/>
          <w:szCs w:val="24"/>
        </w:rPr>
        <w:t xml:space="preserve"> </w:t>
      </w:r>
      <w:r w:rsidRPr="00DE4093">
        <w:rPr>
          <w:rFonts w:ascii="Times New Roman" w:hAnsi="Times New Roman" w:cs="Times New Roman"/>
          <w:i/>
          <w:sz w:val="24"/>
          <w:szCs w:val="24"/>
        </w:rPr>
        <w:t>laikā</w:t>
      </w:r>
      <w:r w:rsidRPr="00DE4093">
        <w:rPr>
          <w:rFonts w:ascii="Times New Roman" w:hAnsi="Times New Roman" w:cs="Times New Roman"/>
          <w:i/>
          <w:spacing w:val="19"/>
          <w:sz w:val="24"/>
          <w:szCs w:val="24"/>
        </w:rPr>
        <w:t xml:space="preserve"> </w:t>
      </w:r>
      <w:r w:rsidRPr="00DE4093">
        <w:rPr>
          <w:rFonts w:ascii="Times New Roman" w:hAnsi="Times New Roman" w:cs="Times New Roman"/>
          <w:i/>
          <w:sz w:val="24"/>
          <w:szCs w:val="24"/>
        </w:rPr>
        <w:t>no</w:t>
      </w:r>
    </w:p>
    <w:p w14:paraId="29D9AABA" w14:textId="77777777" w:rsidR="00744E05" w:rsidRDefault="00DE4093" w:rsidP="00CD363C">
      <w:pPr>
        <w:tabs>
          <w:tab w:val="left" w:pos="2301"/>
          <w:tab w:val="left" w:pos="3738"/>
          <w:tab w:val="left" w:pos="5117"/>
          <w:tab w:val="left" w:pos="6166"/>
          <w:tab w:val="left" w:pos="7346"/>
          <w:tab w:val="left" w:pos="8248"/>
          <w:tab w:val="left" w:pos="9453"/>
        </w:tabs>
        <w:spacing w:after="0" w:line="240" w:lineRule="auto"/>
        <w:ind w:left="1471" w:right="425"/>
        <w:jc w:val="both"/>
        <w:rPr>
          <w:rFonts w:ascii="Times New Roman" w:hAnsi="Times New Roman" w:cs="Times New Roman"/>
          <w:i/>
          <w:sz w:val="24"/>
          <w:szCs w:val="24"/>
        </w:rPr>
      </w:pPr>
      <w:r w:rsidRPr="00DE4093">
        <w:rPr>
          <w:rFonts w:ascii="Times New Roman" w:hAnsi="Times New Roman" w:cs="Times New Roman"/>
          <w:i/>
          <w:sz w:val="24"/>
          <w:szCs w:val="24"/>
        </w:rPr>
        <w:t>līguma</w:t>
      </w:r>
      <w:r w:rsidRPr="00DE4093">
        <w:rPr>
          <w:rFonts w:ascii="Times New Roman" w:hAnsi="Times New Roman" w:cs="Times New Roman"/>
          <w:i/>
          <w:sz w:val="24"/>
          <w:szCs w:val="24"/>
        </w:rPr>
        <w:tab/>
        <w:t>parakstīšanas</w:t>
      </w:r>
      <w:r w:rsidRPr="00DE4093">
        <w:rPr>
          <w:rFonts w:ascii="Times New Roman" w:hAnsi="Times New Roman" w:cs="Times New Roman"/>
          <w:i/>
          <w:sz w:val="24"/>
          <w:szCs w:val="24"/>
        </w:rPr>
        <w:tab/>
        <w:t>datuma. Šajā</w:t>
      </w:r>
      <w:r w:rsidRPr="00DE4093">
        <w:rPr>
          <w:rFonts w:ascii="Times New Roman" w:hAnsi="Times New Roman" w:cs="Times New Roman"/>
          <w:i/>
          <w:sz w:val="24"/>
          <w:szCs w:val="24"/>
        </w:rPr>
        <w:tab/>
        <w:t>gadījumā</w:t>
      </w:r>
      <w:r w:rsidRPr="00DE4093">
        <w:rPr>
          <w:rFonts w:ascii="Times New Roman" w:hAnsi="Times New Roman" w:cs="Times New Roman"/>
          <w:i/>
          <w:sz w:val="24"/>
          <w:szCs w:val="24"/>
        </w:rPr>
        <w:tab/>
        <w:t>pašvaldība</w:t>
      </w:r>
      <w:r w:rsidRPr="00DE4093">
        <w:rPr>
          <w:rFonts w:ascii="Times New Roman" w:hAnsi="Times New Roman" w:cs="Times New Roman"/>
          <w:i/>
          <w:sz w:val="24"/>
          <w:szCs w:val="24"/>
        </w:rPr>
        <w:tab/>
        <w:t>perioda</w:t>
      </w:r>
      <w:r w:rsidRPr="00DE4093">
        <w:rPr>
          <w:rFonts w:ascii="Times New Roman" w:hAnsi="Times New Roman" w:cs="Times New Roman"/>
          <w:i/>
          <w:sz w:val="24"/>
          <w:szCs w:val="24"/>
        </w:rPr>
        <w:tab/>
        <w:t>ieņēmumus</w:t>
      </w:r>
    </w:p>
    <w:p w14:paraId="1E776828" w14:textId="77777777" w:rsidR="00DE4093" w:rsidRPr="00DE4093" w:rsidRDefault="00744E05" w:rsidP="00CD363C">
      <w:pPr>
        <w:tabs>
          <w:tab w:val="left" w:pos="2301"/>
          <w:tab w:val="left" w:pos="3738"/>
          <w:tab w:val="left" w:pos="5117"/>
          <w:tab w:val="left" w:pos="6166"/>
          <w:tab w:val="left" w:pos="7346"/>
          <w:tab w:val="left" w:pos="8248"/>
          <w:tab w:val="left" w:pos="9453"/>
        </w:tabs>
        <w:spacing w:after="0" w:line="240" w:lineRule="auto"/>
        <w:ind w:right="425"/>
        <w:jc w:val="both"/>
        <w:rPr>
          <w:rFonts w:ascii="Times New Roman" w:hAnsi="Times New Roman" w:cs="Times New Roman"/>
          <w:i/>
          <w:sz w:val="24"/>
          <w:szCs w:val="24"/>
        </w:rPr>
      </w:pPr>
      <w:r>
        <w:rPr>
          <w:rFonts w:ascii="Times New Roman" w:hAnsi="Times New Roman" w:cs="Times New Roman"/>
          <w:i/>
          <w:sz w:val="24"/>
          <w:szCs w:val="24"/>
        </w:rPr>
        <w:t xml:space="preserve">                        </w:t>
      </w:r>
      <w:r w:rsidR="00DE4093" w:rsidRPr="00DE4093">
        <w:rPr>
          <w:rFonts w:ascii="Times New Roman" w:hAnsi="Times New Roman" w:cs="Times New Roman"/>
          <w:i/>
          <w:sz w:val="24"/>
          <w:szCs w:val="24"/>
        </w:rPr>
        <w:t>atzīst proporcionāli kopējam sniedzamo pakalpojumu</w:t>
      </w:r>
      <w:r w:rsidR="00DE4093" w:rsidRPr="00DE4093">
        <w:rPr>
          <w:rFonts w:ascii="Times New Roman" w:hAnsi="Times New Roman" w:cs="Times New Roman"/>
          <w:i/>
          <w:spacing w:val="-4"/>
          <w:sz w:val="24"/>
          <w:szCs w:val="24"/>
        </w:rPr>
        <w:t xml:space="preserve"> </w:t>
      </w:r>
      <w:r w:rsidR="00DE4093" w:rsidRPr="00DE4093">
        <w:rPr>
          <w:rFonts w:ascii="Times New Roman" w:hAnsi="Times New Roman" w:cs="Times New Roman"/>
          <w:i/>
          <w:sz w:val="24"/>
          <w:szCs w:val="24"/>
        </w:rPr>
        <w:t>apjomam;</w:t>
      </w:r>
    </w:p>
    <w:p w14:paraId="65E37E0D" w14:textId="77777777" w:rsidR="00DE4093" w:rsidRPr="00DE4093" w:rsidRDefault="00DE4093" w:rsidP="00CD363C">
      <w:pPr>
        <w:pStyle w:val="Sarakstarindkopa"/>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radušos izmaksu proporcionāls apjoms atbilstoši darījuma paredzamajām kopējām izmaksām – budžeta iestāde aprēķina pārskata periodā radušos ar darījumu saistīto izdevumu īpatsvaru no kopējām</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plānotajām</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darījuma</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izmaksām.</w:t>
      </w:r>
      <w:r w:rsidRPr="00DE4093">
        <w:rPr>
          <w:rFonts w:ascii="Times New Roman" w:hAnsi="Times New Roman" w:cs="Times New Roman"/>
          <w:spacing w:val="-2"/>
          <w:sz w:val="24"/>
          <w:szCs w:val="24"/>
        </w:rPr>
        <w:t xml:space="preserve"> </w:t>
      </w:r>
      <w:r w:rsidRPr="00DE4093">
        <w:rPr>
          <w:rFonts w:ascii="Times New Roman" w:hAnsi="Times New Roman" w:cs="Times New Roman"/>
          <w:sz w:val="24"/>
          <w:szCs w:val="24"/>
        </w:rPr>
        <w:t>Izmaksās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ietver</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tikai</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tās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izmaksas,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kas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tieši</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attiecas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uz izpildīto vai sniedzamo pakalpojumu. Ieņēmumu summu aprēķina, līguma summu reizinot ar aprēķināto</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īpatsvaru.</w:t>
      </w:r>
    </w:p>
    <w:p w14:paraId="6367A96A"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1079.   Ja darījuma iznākumu nevar ticami aplēst, ieņēmumus atzīst tādā apmērā, kādā atzīti izdevumi, kas tieši saistīti ar pakalpojuma sniegšanu un tiks atgūti, saņemot atlīdzību par sniegto</w:t>
      </w:r>
      <w:r w:rsidRPr="00DE4093">
        <w:rPr>
          <w:rFonts w:ascii="Times New Roman" w:hAnsi="Times New Roman" w:cs="Times New Roman"/>
          <w:spacing w:val="-26"/>
          <w:sz w:val="24"/>
          <w:szCs w:val="24"/>
        </w:rPr>
        <w:t xml:space="preserve"> </w:t>
      </w:r>
      <w:r w:rsidRPr="00DE4093">
        <w:rPr>
          <w:rFonts w:ascii="Times New Roman" w:hAnsi="Times New Roman" w:cs="Times New Roman"/>
          <w:sz w:val="24"/>
          <w:szCs w:val="24"/>
        </w:rPr>
        <w:t>pakalpojumu.</w:t>
      </w:r>
    </w:p>
    <w:p w14:paraId="1ADB288B"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1080.   Ja budžeta iestāde nevar ticami aplēst darījuma iznākumu un ar darījumu saistīto izdevumu atgūšana ir maz iespējama, ieņēmumus neatzīst un radušās izmaksas atzīst par izdevumiem. Kad budžeta iestādei vairs nepastāv šaubas, kas kavēja ticami aplēst darījuma iznākumu, ieņēmumus atzīst tikai tad, ja ir izpildīti ieņēmumu atzīšanas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kritēriji.</w:t>
      </w:r>
    </w:p>
    <w:p w14:paraId="64AF1896"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1081.   Ja budžeta iestādei rodas šaubas par iepriekš atzīto ieņēmumu iekasēšanu, budžeta iestāde to summu, kuru nav iespējams iekasēt vai kuras atgūšana vairs nav ticama, atzīst par izdevumiem, nevis par sākotnēji</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atzītās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ieņēmumu</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summas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korekciju</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saskaņā</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ar</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Grāmatvedības uzskaites kārtības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sadaļā</w:t>
      </w:r>
      <w:r w:rsidRPr="00DE4093">
        <w:rPr>
          <w:rFonts w:ascii="Times New Roman" w:hAnsi="Times New Roman" w:cs="Times New Roman"/>
          <w:color w:val="0462C1"/>
          <w:spacing w:val="-7"/>
          <w:sz w:val="24"/>
          <w:szCs w:val="24"/>
        </w:rPr>
        <w:t xml:space="preserve"> </w:t>
      </w:r>
      <w:r w:rsidRPr="00DE4093">
        <w:rPr>
          <w:rFonts w:ascii="Times New Roman" w:hAnsi="Times New Roman" w:cs="Times New Roman"/>
          <w:color w:val="0462C1"/>
          <w:sz w:val="24"/>
          <w:szCs w:val="24"/>
          <w:u w:val="single" w:color="0462C1"/>
        </w:rPr>
        <w:t>“</w:t>
      </w:r>
      <w:hyperlink w:anchor="_bookmark179" w:history="1">
        <w:r w:rsidRPr="00DE4093">
          <w:rPr>
            <w:rFonts w:ascii="Times New Roman" w:hAnsi="Times New Roman" w:cs="Times New Roman"/>
            <w:color w:val="0462C1"/>
            <w:sz w:val="24"/>
            <w:szCs w:val="24"/>
            <w:u w:val="single" w:color="0462C1"/>
          </w:rPr>
          <w:t>Prasību</w:t>
        </w:r>
        <w:r w:rsidRPr="00DE4093">
          <w:rPr>
            <w:rFonts w:ascii="Times New Roman" w:hAnsi="Times New Roman" w:cs="Times New Roman"/>
            <w:color w:val="0462C1"/>
            <w:spacing w:val="-7"/>
            <w:sz w:val="24"/>
            <w:szCs w:val="24"/>
            <w:u w:val="single" w:color="0462C1"/>
          </w:rPr>
          <w:t xml:space="preserve"> </w:t>
        </w:r>
        <w:r w:rsidRPr="00DE4093">
          <w:rPr>
            <w:rFonts w:ascii="Times New Roman" w:hAnsi="Times New Roman" w:cs="Times New Roman"/>
            <w:color w:val="0462C1"/>
            <w:sz w:val="24"/>
            <w:szCs w:val="24"/>
            <w:u w:val="single" w:color="0462C1"/>
          </w:rPr>
          <w:t>uzskaite,</w:t>
        </w:r>
        <w:r w:rsidRPr="00DE4093">
          <w:rPr>
            <w:rFonts w:ascii="Times New Roman" w:hAnsi="Times New Roman" w:cs="Times New Roman"/>
            <w:color w:val="0462C1"/>
            <w:spacing w:val="-10"/>
            <w:sz w:val="24"/>
            <w:szCs w:val="24"/>
            <w:u w:val="single" w:color="0462C1"/>
          </w:rPr>
          <w:t xml:space="preserve"> </w:t>
        </w:r>
        <w:r w:rsidRPr="00DE4093">
          <w:rPr>
            <w:rFonts w:ascii="Times New Roman" w:hAnsi="Times New Roman" w:cs="Times New Roman"/>
            <w:color w:val="0462C1"/>
            <w:sz w:val="24"/>
            <w:szCs w:val="24"/>
            <w:u w:val="single" w:color="0462C1"/>
          </w:rPr>
          <w:t>tai</w:t>
        </w:r>
      </w:hyperlink>
      <w:hyperlink w:anchor="_bookmark179" w:history="1">
        <w:r w:rsidRPr="00DE4093">
          <w:rPr>
            <w:rFonts w:ascii="Times New Roman" w:hAnsi="Times New Roman" w:cs="Times New Roman"/>
            <w:color w:val="0462C1"/>
            <w:sz w:val="24"/>
            <w:szCs w:val="24"/>
            <w:u w:val="single" w:color="0462C1"/>
          </w:rPr>
          <w:t xml:space="preserve"> skaitā, nākamo periodu izdevumu un avansu uzskaite</w:t>
        </w:r>
      </w:hyperlink>
      <w:r w:rsidRPr="00DE4093">
        <w:rPr>
          <w:rFonts w:ascii="Times New Roman" w:hAnsi="Times New Roman" w:cs="Times New Roman"/>
          <w:color w:val="0462C1"/>
          <w:sz w:val="24"/>
          <w:szCs w:val="24"/>
          <w:u w:val="single" w:color="0462C1"/>
        </w:rPr>
        <w:t>”</w:t>
      </w:r>
      <w:r w:rsidRPr="00DE4093">
        <w:rPr>
          <w:rFonts w:ascii="Times New Roman" w:hAnsi="Times New Roman" w:cs="Times New Roman"/>
          <w:color w:val="0462C1"/>
          <w:sz w:val="24"/>
          <w:szCs w:val="24"/>
        </w:rPr>
        <w:t xml:space="preserve"> </w:t>
      </w:r>
      <w:r w:rsidRPr="00DE4093">
        <w:rPr>
          <w:rFonts w:ascii="Times New Roman" w:hAnsi="Times New Roman" w:cs="Times New Roman"/>
          <w:sz w:val="24"/>
          <w:szCs w:val="24"/>
        </w:rPr>
        <w:t>noteiktajiem uzskaites</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principiem.</w:t>
      </w:r>
    </w:p>
    <w:p w14:paraId="2C4F2642"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1082.   Ja budžeta iestāde anulē pārskata gadā izrakstīto rēķinu, tā izraksta kredītrēķinu, veicot sekojošu grāmatojumu:</w:t>
      </w:r>
    </w:p>
    <w:p w14:paraId="737B7DCD" w14:textId="77777777" w:rsidR="00DE4093"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44E05">
        <w:rPr>
          <w:rFonts w:ascii="Times New Roman" w:hAnsi="Times New Roman" w:cs="Times New Roman"/>
          <w:b/>
          <w:bCs/>
          <w:sz w:val="24"/>
          <w:szCs w:val="24"/>
        </w:rPr>
        <w:t>D    6000   Pamatdarbības ieņēmumi</w:t>
      </w:r>
    </w:p>
    <w:p w14:paraId="63961AC8"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D*   5723  Pievienotās vērtības nodoklis</w:t>
      </w:r>
    </w:p>
    <w:p w14:paraId="108E477F"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K    2300   Īstermiņa prasības </w:t>
      </w:r>
    </w:p>
    <w:p w14:paraId="3D5988A3" w14:textId="77777777" w:rsidR="00744E05" w:rsidRDefault="00744E05" w:rsidP="00CD363C">
      <w:pPr>
        <w:spacing w:after="0" w:line="240" w:lineRule="auto"/>
        <w:ind w:left="1471" w:right="425"/>
        <w:jc w:val="both"/>
        <w:rPr>
          <w:i/>
          <w:sz w:val="20"/>
        </w:rPr>
      </w:pPr>
      <w:bookmarkStart w:id="93" w:name="_Hlk14783287"/>
      <w:r>
        <w:rPr>
          <w:i/>
          <w:sz w:val="20"/>
        </w:rPr>
        <w:t>* gadījumā, ja budžeta iestāde ir PVN maksātāja</w:t>
      </w:r>
    </w:p>
    <w:bookmarkEnd w:id="93"/>
    <w:p w14:paraId="2EDBA337"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44E05">
        <w:rPr>
          <w:rFonts w:ascii="Times New Roman" w:hAnsi="Times New Roman" w:cs="Times New Roman"/>
          <w:sz w:val="24"/>
          <w:szCs w:val="24"/>
        </w:rPr>
        <w:t>1083.  Ja budžeta iestāde anulē iepriekšējā pārskata gadā izrakstīto rēķinu, tā izraksta kredītrēķinu, veicot sekojošu</w:t>
      </w:r>
      <w:r w:rsidRPr="00744E05">
        <w:rPr>
          <w:rFonts w:ascii="Times New Roman" w:hAnsi="Times New Roman" w:cs="Times New Roman"/>
          <w:spacing w:val="-1"/>
          <w:sz w:val="24"/>
          <w:szCs w:val="24"/>
        </w:rPr>
        <w:t xml:space="preserve"> </w:t>
      </w:r>
      <w:r w:rsidRPr="00744E05">
        <w:rPr>
          <w:rFonts w:ascii="Times New Roman" w:hAnsi="Times New Roman" w:cs="Times New Roman"/>
          <w:sz w:val="24"/>
          <w:szCs w:val="24"/>
        </w:rPr>
        <w:t>grāmatojumu:</w:t>
      </w:r>
    </w:p>
    <w:p w14:paraId="3B115231"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sz w:val="24"/>
          <w:szCs w:val="24"/>
        </w:rPr>
        <w:t xml:space="preserve">    </w:t>
      </w:r>
      <w:r w:rsidRPr="00744E05">
        <w:rPr>
          <w:rFonts w:ascii="Times New Roman" w:hAnsi="Times New Roman" w:cs="Times New Roman"/>
          <w:b/>
          <w:bCs/>
          <w:sz w:val="24"/>
          <w:szCs w:val="24"/>
        </w:rPr>
        <w:t>D    7000   Pamatdarbības izdevumi</w:t>
      </w:r>
    </w:p>
    <w:p w14:paraId="228AFA25"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D*   5723  Pievienotās vērtības nodoklis</w:t>
      </w:r>
    </w:p>
    <w:p w14:paraId="48AB16D6"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K    2300   Īstermiņa prasības</w:t>
      </w:r>
    </w:p>
    <w:p w14:paraId="6697EED3" w14:textId="77777777" w:rsidR="00DE4093"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744E05">
        <w:rPr>
          <w:rFonts w:ascii="Times New Roman" w:hAnsi="Times New Roman" w:cs="Times New Roman"/>
          <w:i/>
          <w:iCs/>
          <w:sz w:val="24"/>
          <w:szCs w:val="24"/>
        </w:rPr>
        <w:t>* gadījumā, ja budžeta iestāde ir PVN maksātāja</w:t>
      </w:r>
    </w:p>
    <w:p w14:paraId="6DB201BF" w14:textId="77777777" w:rsidR="00D700CC" w:rsidRPr="00744E05" w:rsidRDefault="00D700CC"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p>
    <w:p w14:paraId="60F9E835" w14:textId="77777777" w:rsidR="00F96D2A" w:rsidRPr="00744E05" w:rsidRDefault="00D700CC" w:rsidP="00CD363C">
      <w:pPr>
        <w:pStyle w:val="Sarakstarindkopa"/>
        <w:spacing w:after="0" w:line="240" w:lineRule="auto"/>
        <w:ind w:left="420" w:right="425"/>
        <w:jc w:val="both"/>
        <w:rPr>
          <w:rFonts w:ascii="Times New Roman" w:hAnsi="Times New Roman" w:cs="Times New Roman"/>
          <w:b/>
          <w:bCs/>
          <w:sz w:val="24"/>
          <w:szCs w:val="24"/>
        </w:rPr>
      </w:pPr>
      <w:r>
        <w:rPr>
          <w:rFonts w:ascii="Times New Roman" w:hAnsi="Times New Roman" w:cs="Times New Roman"/>
          <w:b/>
          <w:bCs/>
          <w:sz w:val="24"/>
          <w:szCs w:val="24"/>
        </w:rPr>
        <w:t>23.3.</w:t>
      </w:r>
      <w:r w:rsidR="00744E05" w:rsidRPr="00744E05">
        <w:rPr>
          <w:rFonts w:ascii="Times New Roman" w:hAnsi="Times New Roman" w:cs="Times New Roman"/>
          <w:b/>
          <w:bCs/>
          <w:sz w:val="24"/>
          <w:szCs w:val="24"/>
        </w:rPr>
        <w:t xml:space="preserve"> Preču pārdošana</w:t>
      </w:r>
    </w:p>
    <w:p w14:paraId="6E4E21C7" w14:textId="77777777" w:rsidR="00744E05" w:rsidRPr="00FD3C9A" w:rsidRDefault="00744E05"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1084.   Preces ietver</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sekojošo:</w:t>
      </w:r>
    </w:p>
    <w:p w14:paraId="4672B80B" w14:textId="77777777" w:rsidR="00744E05" w:rsidRPr="00FD3C9A" w:rsidRDefault="00744E05" w:rsidP="00CD363C">
      <w:pPr>
        <w:pStyle w:val="Sarakstarindkopa"/>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D3C9A">
        <w:rPr>
          <w:rFonts w:ascii="Times New Roman" w:hAnsi="Times New Roman" w:cs="Times New Roman"/>
          <w:sz w:val="24"/>
          <w:szCs w:val="24"/>
        </w:rPr>
        <w:t xml:space="preserve">preces, ko budžeta iestāde saražojusi, lai pārdotu. </w:t>
      </w:r>
      <w:r w:rsidRPr="00FD3C9A">
        <w:rPr>
          <w:rFonts w:ascii="Times New Roman" w:hAnsi="Times New Roman" w:cs="Times New Roman"/>
          <w:i/>
          <w:sz w:val="24"/>
          <w:szCs w:val="24"/>
        </w:rPr>
        <w:t>Piemēram, drukāti</w:t>
      </w:r>
      <w:r w:rsidRPr="00FD3C9A">
        <w:rPr>
          <w:rFonts w:ascii="Times New Roman" w:hAnsi="Times New Roman" w:cs="Times New Roman"/>
          <w:i/>
          <w:spacing w:val="-6"/>
          <w:sz w:val="24"/>
          <w:szCs w:val="24"/>
        </w:rPr>
        <w:t xml:space="preserve"> </w:t>
      </w:r>
      <w:r w:rsidRPr="00FD3C9A">
        <w:rPr>
          <w:rFonts w:ascii="Times New Roman" w:hAnsi="Times New Roman" w:cs="Times New Roman"/>
          <w:i/>
          <w:sz w:val="24"/>
          <w:szCs w:val="24"/>
        </w:rPr>
        <w:t>izdevumi;</w:t>
      </w:r>
    </w:p>
    <w:p w14:paraId="3A0B5570" w14:textId="77777777" w:rsidR="00744E05" w:rsidRPr="00FD3C9A" w:rsidRDefault="00744E05" w:rsidP="00CD363C">
      <w:pPr>
        <w:pStyle w:val="Sarakstarindkopa"/>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preces, kas pirktas tālākpārdošanai. Piemēram, preces, zeme vai cits īpašums, kas tiek turēts tālākpārdošanai.</w:t>
      </w:r>
    </w:p>
    <w:p w14:paraId="5FD9828D" w14:textId="77777777" w:rsidR="00744E05" w:rsidRPr="00FD3C9A" w:rsidRDefault="00744E05"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1085.   Budžeta iestāde ieņēmumus no preču pārdošanas atzīst, ja ir izpildīti sekojoši ieņēmumu atzīšanas kritēriji:</w:t>
      </w:r>
    </w:p>
    <w:p w14:paraId="36724566" w14:textId="77777777" w:rsidR="00FD3C9A" w:rsidRPr="00FD3C9A" w:rsidRDefault="00FD3C9A" w:rsidP="00CD363C">
      <w:pPr>
        <w:pStyle w:val="Sarakstarindkopa"/>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budžeta iestāde ir nodevusi pircējam nozīmīgus ar aktīva īpašuma tiesībām saistītus riskus un atlīdzības;</w:t>
      </w:r>
    </w:p>
    <w:p w14:paraId="58DD1C4A" w14:textId="77777777" w:rsidR="00FD3C9A" w:rsidRPr="00FD3C9A" w:rsidRDefault="00FD3C9A" w:rsidP="00CD363C">
      <w:pPr>
        <w:pStyle w:val="Sarakstarindkopa"/>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budžeta iestāde nesaglabā ne turpmākās pārvaldīšanas tiesības tādā apjomā, ko parasti dod īpašuma tiesības, ne reālu kontroli pār pārdotajām</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precēm;</w:t>
      </w:r>
    </w:p>
    <w:p w14:paraId="3593329A" w14:textId="77777777" w:rsidR="00FD3C9A" w:rsidRPr="00FD3C9A" w:rsidRDefault="00FD3C9A" w:rsidP="00CD363C">
      <w:pPr>
        <w:pStyle w:val="Sarakstarindkopa"/>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ieņēmumu summu var ticami</w:t>
      </w:r>
      <w:r w:rsidRPr="00FD3C9A">
        <w:rPr>
          <w:rFonts w:ascii="Times New Roman" w:hAnsi="Times New Roman" w:cs="Times New Roman"/>
          <w:spacing w:val="3"/>
          <w:sz w:val="24"/>
          <w:szCs w:val="24"/>
        </w:rPr>
        <w:t xml:space="preserve"> </w:t>
      </w:r>
      <w:r w:rsidRPr="00FD3C9A">
        <w:rPr>
          <w:rFonts w:ascii="Times New Roman" w:hAnsi="Times New Roman" w:cs="Times New Roman"/>
          <w:sz w:val="24"/>
          <w:szCs w:val="24"/>
        </w:rPr>
        <w:t>novērtēt;</w:t>
      </w:r>
    </w:p>
    <w:p w14:paraId="6B09111D" w14:textId="77777777" w:rsidR="00FD3C9A" w:rsidRPr="00FD3C9A" w:rsidRDefault="00FD3C9A" w:rsidP="00CD363C">
      <w:pPr>
        <w:pStyle w:val="Sarakstarindkopa"/>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ir ticams, ka budžeta iestāde saņems ar darījumu saistītos saimnieciskos labumus</w:t>
      </w:r>
      <w:r w:rsidRPr="00FD3C9A">
        <w:rPr>
          <w:rFonts w:ascii="Times New Roman" w:hAnsi="Times New Roman" w:cs="Times New Roman"/>
          <w:spacing w:val="-13"/>
          <w:sz w:val="24"/>
          <w:szCs w:val="24"/>
        </w:rPr>
        <w:t xml:space="preserve"> </w:t>
      </w:r>
      <w:r w:rsidRPr="00FD3C9A">
        <w:rPr>
          <w:rFonts w:ascii="Times New Roman" w:hAnsi="Times New Roman" w:cs="Times New Roman"/>
          <w:sz w:val="24"/>
          <w:szCs w:val="24"/>
        </w:rPr>
        <w:t>(atlīdzību).</w:t>
      </w:r>
    </w:p>
    <w:p w14:paraId="55E27733" w14:textId="77777777" w:rsidR="00FD3C9A" w:rsidRPr="00FD3C9A" w:rsidRDefault="00FD3C9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1086.  Lai izvērtētu, kad budžeta iestāde ir nodevusi pircējam nozīmīgus īpašumtiesībām raksturīgus riskus un</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atlīdzības,</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jāpārbauda</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darījuma</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apstākļi.</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Lielākajai</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pārdošanas</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darījumu</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daļai</w:t>
      </w:r>
      <w:r w:rsidRPr="00FD3C9A">
        <w:rPr>
          <w:rFonts w:ascii="Times New Roman" w:hAnsi="Times New Roman" w:cs="Times New Roman"/>
          <w:spacing w:val="-3"/>
          <w:sz w:val="24"/>
          <w:szCs w:val="24"/>
        </w:rPr>
        <w:t xml:space="preserve"> </w:t>
      </w:r>
      <w:r w:rsidRPr="00FD3C9A">
        <w:rPr>
          <w:rFonts w:ascii="Times New Roman" w:hAnsi="Times New Roman" w:cs="Times New Roman"/>
          <w:sz w:val="24"/>
          <w:szCs w:val="24"/>
        </w:rPr>
        <w:t>ar</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īpašuma</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tiesībām saistīto risku un atlīdzību nodošana sakrīt ar juridisko īpašuma tiesību nodošanu pircējam. Tomēr dažkārt ar īpašuma tiesībām saistīto risku un atlīdzību nodošanas laiks nesakrīt ar juridisko īpašuma tiesību</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nodošanu.</w:t>
      </w:r>
    </w:p>
    <w:p w14:paraId="6C03CE7E" w14:textId="77777777" w:rsidR="00FD3C9A" w:rsidRPr="00FD3C9A" w:rsidRDefault="00FD3C9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1087.   Ja budžeta iestādei saglabājas nozīmīgi ar īpašuma tiesībām saistīti riski, tas neatbilst pārdošanas darījumam un ieņēmumus neatzīst. Budžeta iestādei var saglabāties nozīmīgi ar īpašuma tiesībām saistīti riski dažādos veidos,</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piemēram:</w:t>
      </w:r>
    </w:p>
    <w:p w14:paraId="6915B859" w14:textId="77777777" w:rsidR="00FD3C9A" w:rsidRPr="00FD3C9A" w:rsidRDefault="00FD3C9A" w:rsidP="00CD363C">
      <w:pPr>
        <w:pStyle w:val="Sarakstarindkopa"/>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budžeta iestādei saglabājas pienākums par neapmierinošu pakalpojumu izpildi, uz ko neattiecas parastās</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garantijas;</w:t>
      </w:r>
    </w:p>
    <w:p w14:paraId="014E22DA" w14:textId="77777777" w:rsidR="00FD3C9A" w:rsidRPr="00FD3C9A" w:rsidRDefault="00FD3C9A" w:rsidP="00CD363C">
      <w:pPr>
        <w:pStyle w:val="Sarakstarindkopa"/>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D3C9A">
        <w:rPr>
          <w:rFonts w:ascii="Times New Roman" w:hAnsi="Times New Roman" w:cs="Times New Roman"/>
          <w:sz w:val="24"/>
          <w:szCs w:val="24"/>
        </w:rPr>
        <w:t xml:space="preserve">ieņēmumu saņemšana no kāda konkrēta pārdošanas darījuma ir atkarīga no tā, vai pircējs gūst ieņēmumus no preču pārdošanas. </w:t>
      </w:r>
      <w:r w:rsidRPr="00FD3C9A">
        <w:rPr>
          <w:rFonts w:ascii="Times New Roman" w:hAnsi="Times New Roman" w:cs="Times New Roman"/>
          <w:i/>
          <w:sz w:val="24"/>
          <w:szCs w:val="24"/>
        </w:rPr>
        <w:t>Piemēram, ja budžeta iestāde par maksu izplata izglītojošus materiālus skolām pēc principa, ka tie jāpārdod vai jāatdod atpakaļ, un skola veic apmaksu budžeta iestādei tikai tādā apmērā, kādu ir izdevies iekasēt, pārdodot šos mācību</w:t>
      </w:r>
      <w:r w:rsidRPr="00FD3C9A">
        <w:rPr>
          <w:rFonts w:ascii="Times New Roman" w:hAnsi="Times New Roman" w:cs="Times New Roman"/>
          <w:i/>
          <w:spacing w:val="-20"/>
          <w:sz w:val="24"/>
          <w:szCs w:val="24"/>
        </w:rPr>
        <w:t xml:space="preserve"> </w:t>
      </w:r>
      <w:r w:rsidRPr="00FD3C9A">
        <w:rPr>
          <w:rFonts w:ascii="Times New Roman" w:hAnsi="Times New Roman" w:cs="Times New Roman"/>
          <w:i/>
          <w:sz w:val="24"/>
          <w:szCs w:val="24"/>
        </w:rPr>
        <w:t>materiālus;</w:t>
      </w:r>
    </w:p>
    <w:p w14:paraId="2D9BA39E" w14:textId="77777777" w:rsidR="00FD3C9A" w:rsidRPr="00FD3C9A" w:rsidRDefault="00FD3C9A" w:rsidP="00CD363C">
      <w:pPr>
        <w:pStyle w:val="Sarakstarindkopa"/>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tiek</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nosūtītas</w:t>
      </w:r>
      <w:r w:rsidRPr="00FD3C9A">
        <w:rPr>
          <w:rFonts w:ascii="Times New Roman" w:hAnsi="Times New Roman" w:cs="Times New Roman"/>
          <w:spacing w:val="-10"/>
          <w:sz w:val="24"/>
          <w:szCs w:val="24"/>
        </w:rPr>
        <w:t xml:space="preserve"> </w:t>
      </w:r>
      <w:r w:rsidRPr="00FD3C9A">
        <w:rPr>
          <w:rFonts w:ascii="Times New Roman" w:hAnsi="Times New Roman" w:cs="Times New Roman"/>
          <w:sz w:val="24"/>
          <w:szCs w:val="24"/>
        </w:rPr>
        <w:t>uzstādāmas</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preces,</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un</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to</w:t>
      </w:r>
      <w:r w:rsidRPr="00FD3C9A">
        <w:rPr>
          <w:rFonts w:ascii="Times New Roman" w:hAnsi="Times New Roman" w:cs="Times New Roman"/>
          <w:spacing w:val="-10"/>
          <w:sz w:val="24"/>
          <w:szCs w:val="24"/>
        </w:rPr>
        <w:t xml:space="preserve"> </w:t>
      </w:r>
      <w:r w:rsidRPr="00FD3C9A">
        <w:rPr>
          <w:rFonts w:ascii="Times New Roman" w:hAnsi="Times New Roman" w:cs="Times New Roman"/>
          <w:sz w:val="24"/>
          <w:szCs w:val="24"/>
        </w:rPr>
        <w:t>uzstādīšana</w:t>
      </w:r>
      <w:r w:rsidRPr="00FD3C9A">
        <w:rPr>
          <w:rFonts w:ascii="Times New Roman" w:hAnsi="Times New Roman" w:cs="Times New Roman"/>
          <w:spacing w:val="-11"/>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11"/>
          <w:sz w:val="24"/>
          <w:szCs w:val="24"/>
        </w:rPr>
        <w:t xml:space="preserve"> </w:t>
      </w:r>
      <w:r w:rsidRPr="00FD3C9A">
        <w:rPr>
          <w:rFonts w:ascii="Times New Roman" w:hAnsi="Times New Roman" w:cs="Times New Roman"/>
          <w:sz w:val="24"/>
          <w:szCs w:val="24"/>
        </w:rPr>
        <w:t>nozīmīga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līguma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daļa,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kuru</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budžeta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iestāde vēl nav</w:t>
      </w:r>
      <w:r w:rsidRPr="00FD3C9A">
        <w:rPr>
          <w:rFonts w:ascii="Times New Roman" w:hAnsi="Times New Roman" w:cs="Times New Roman"/>
          <w:spacing w:val="-2"/>
          <w:sz w:val="24"/>
          <w:szCs w:val="24"/>
        </w:rPr>
        <w:t xml:space="preserve"> </w:t>
      </w:r>
      <w:r w:rsidRPr="00FD3C9A">
        <w:rPr>
          <w:rFonts w:ascii="Times New Roman" w:hAnsi="Times New Roman" w:cs="Times New Roman"/>
          <w:sz w:val="24"/>
          <w:szCs w:val="24"/>
        </w:rPr>
        <w:t>izpildījusi;</w:t>
      </w:r>
    </w:p>
    <w:p w14:paraId="46E0B47F" w14:textId="77777777" w:rsidR="00FD3C9A" w:rsidRPr="00FD3C9A" w:rsidRDefault="00FD3C9A" w:rsidP="00CD363C">
      <w:pPr>
        <w:pStyle w:val="Sarakstarindkopa"/>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pircējam</w:t>
      </w:r>
      <w:r w:rsidRPr="00FD3C9A">
        <w:rPr>
          <w:rFonts w:ascii="Times New Roman" w:hAnsi="Times New Roman" w:cs="Times New Roman"/>
          <w:spacing w:val="-10"/>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tiesības</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anulēt</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pirkumu</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līgumā</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norādītā</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iemesla</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dēļ,</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un</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budžeta</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iestādei</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šaubas</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par līguma</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izpildi.</w:t>
      </w:r>
    </w:p>
    <w:p w14:paraId="35795826" w14:textId="77777777" w:rsidR="00FD3C9A" w:rsidRPr="00FD3C9A" w:rsidRDefault="00FD3C9A"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rsidRPr="00FD3C9A">
        <w:rPr>
          <w:rFonts w:ascii="Times New Roman" w:hAnsi="Times New Roman" w:cs="Times New Roman"/>
          <w:sz w:val="24"/>
          <w:szCs w:val="24"/>
        </w:rPr>
        <w:t>1088.  Ja</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budžeta</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iestādei</w:t>
      </w:r>
      <w:r w:rsidRPr="00FD3C9A">
        <w:rPr>
          <w:rFonts w:ascii="Times New Roman" w:hAnsi="Times New Roman" w:cs="Times New Roman"/>
          <w:spacing w:val="-3"/>
          <w:sz w:val="24"/>
          <w:szCs w:val="24"/>
        </w:rPr>
        <w:t xml:space="preserve"> </w:t>
      </w:r>
      <w:r w:rsidRPr="00FD3C9A">
        <w:rPr>
          <w:rFonts w:ascii="Times New Roman" w:hAnsi="Times New Roman" w:cs="Times New Roman"/>
          <w:sz w:val="24"/>
          <w:szCs w:val="24"/>
        </w:rPr>
        <w:t>saglabājas</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nenozīmīgi</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ar</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īpašuma</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tiesībām</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saistīti</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riski,</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darījums</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uzskatāms</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 xml:space="preserve">par pārdošanas darījumu un ieņēmumi ir jāatzīst. </w:t>
      </w:r>
      <w:r w:rsidRPr="00FD3C9A">
        <w:rPr>
          <w:rFonts w:ascii="Times New Roman" w:hAnsi="Times New Roman" w:cs="Times New Roman"/>
          <w:i/>
          <w:sz w:val="24"/>
          <w:szCs w:val="24"/>
        </w:rPr>
        <w:t>Piemēram, budžeta iestādei (pārdevējam) saglabājas juridiskās īpašuma tiesības uz precēm tikai tādēļ, lai nodrošinātu, ka būs iespējams iekasēt tam pienākošos</w:t>
      </w:r>
      <w:r w:rsidRPr="00FD3C9A">
        <w:rPr>
          <w:rFonts w:ascii="Times New Roman" w:hAnsi="Times New Roman" w:cs="Times New Roman"/>
          <w:i/>
          <w:spacing w:val="-1"/>
          <w:sz w:val="24"/>
          <w:szCs w:val="24"/>
        </w:rPr>
        <w:t xml:space="preserve"> </w:t>
      </w:r>
      <w:r w:rsidRPr="00FD3C9A">
        <w:rPr>
          <w:rFonts w:ascii="Times New Roman" w:hAnsi="Times New Roman" w:cs="Times New Roman"/>
          <w:i/>
          <w:sz w:val="24"/>
          <w:szCs w:val="24"/>
        </w:rPr>
        <w:t>summu.</w:t>
      </w:r>
    </w:p>
    <w:p w14:paraId="0B376A19" w14:textId="77777777" w:rsidR="006162DC" w:rsidRDefault="00FD3C9A"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1089. </w:t>
      </w:r>
      <w:r w:rsidRPr="00FD3C9A">
        <w:rPr>
          <w:rFonts w:ascii="Times New Roman" w:hAnsi="Times New Roman" w:cs="Times New Roman"/>
          <w:sz w:val="24"/>
          <w:szCs w:val="24"/>
        </w:rPr>
        <w:t>Dienā, kad budžeta iestāde nodod preces saskaņā ar attiecīgu dokumentu, pamatojoties uz izrakstīto rēķinu-pavadzīmi par preču pārdošanu, atzīst ieņēmumus un prasības, veicot sekojošu</w:t>
      </w:r>
      <w:r w:rsidRPr="00FD3C9A">
        <w:rPr>
          <w:rFonts w:ascii="Times New Roman" w:hAnsi="Times New Roman" w:cs="Times New Roman"/>
          <w:spacing w:val="-19"/>
          <w:sz w:val="24"/>
          <w:szCs w:val="24"/>
        </w:rPr>
        <w:t xml:space="preserve"> </w:t>
      </w:r>
      <w:r w:rsidRPr="00FD3C9A">
        <w:rPr>
          <w:rFonts w:ascii="Times New Roman" w:hAnsi="Times New Roman" w:cs="Times New Roman"/>
          <w:sz w:val="24"/>
          <w:szCs w:val="24"/>
        </w:rPr>
        <w:t>grāmatojumu</w:t>
      </w:r>
      <w:r w:rsidR="00B95F82">
        <w:rPr>
          <w:rFonts w:ascii="Times New Roman" w:hAnsi="Times New Roman" w:cs="Times New Roman"/>
          <w:sz w:val="24"/>
          <w:szCs w:val="24"/>
        </w:rPr>
        <w:t>:</w:t>
      </w:r>
    </w:p>
    <w:p w14:paraId="67EDEEB6"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D700CC">
        <w:rPr>
          <w:rFonts w:ascii="Times New Roman" w:hAnsi="Times New Roman" w:cs="Times New Roman"/>
          <w:b/>
          <w:bCs/>
          <w:sz w:val="24"/>
          <w:szCs w:val="24"/>
        </w:rPr>
        <w:t>D    2300   Īstermiņa prasības</w:t>
      </w:r>
    </w:p>
    <w:p w14:paraId="2DEBADB6"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sidRPr="00D700CC">
        <w:rPr>
          <w:rFonts w:ascii="Times New Roman" w:hAnsi="Times New Roman" w:cs="Times New Roman"/>
          <w:b/>
          <w:bCs/>
          <w:sz w:val="24"/>
          <w:szCs w:val="24"/>
        </w:rPr>
        <w:t xml:space="preserve">    K    6000   Pamatdarbības ieņēmumi</w:t>
      </w:r>
    </w:p>
    <w:p w14:paraId="4573E0AE"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sidRPr="00D700CC">
        <w:rPr>
          <w:rFonts w:ascii="Times New Roman" w:hAnsi="Times New Roman" w:cs="Times New Roman"/>
          <w:b/>
          <w:bCs/>
          <w:sz w:val="24"/>
          <w:szCs w:val="24"/>
        </w:rPr>
        <w:t xml:space="preserve">    K    8510   Ieņēmumi no atsavināšanai paredzēto nefinanšu aktīvu pārdošanas</w:t>
      </w:r>
    </w:p>
    <w:p w14:paraId="097F4A95"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sidRPr="00D700CC">
        <w:rPr>
          <w:rFonts w:ascii="Times New Roman" w:hAnsi="Times New Roman" w:cs="Times New Roman"/>
          <w:b/>
          <w:bCs/>
          <w:sz w:val="24"/>
          <w:szCs w:val="24"/>
        </w:rPr>
        <w:t xml:space="preserve">    K*   5723  Pievienotās vērtības nodoklis</w:t>
      </w:r>
    </w:p>
    <w:p w14:paraId="735CE1A9" w14:textId="77777777" w:rsidR="00D700CC" w:rsidRDefault="00D700CC" w:rsidP="00CD363C">
      <w:pPr>
        <w:spacing w:after="0" w:line="240" w:lineRule="auto"/>
        <w:ind w:left="1471" w:right="425"/>
        <w:jc w:val="both"/>
        <w:rPr>
          <w:i/>
          <w:sz w:val="20"/>
        </w:rPr>
      </w:pPr>
      <w:r>
        <w:rPr>
          <w:i/>
          <w:sz w:val="20"/>
        </w:rPr>
        <w:t>*gadījumā, ja budžeta iestāde ir PVN maksātāja</w:t>
      </w:r>
    </w:p>
    <w:p w14:paraId="4D49FEB0" w14:textId="77777777" w:rsidR="00D700CC" w:rsidRPr="00D700CC" w:rsidRDefault="00D700C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D700CC">
        <w:rPr>
          <w:rFonts w:ascii="Times New Roman" w:hAnsi="Times New Roman" w:cs="Times New Roman"/>
          <w:sz w:val="24"/>
          <w:szCs w:val="24"/>
        </w:rPr>
        <w:t>1090.   Saņemot apmaksu par preču pārdošanu, budžeta iestāde samazina atzītās prasības un</w:t>
      </w:r>
      <w:r w:rsidRPr="00D700CC">
        <w:rPr>
          <w:rFonts w:ascii="Times New Roman" w:hAnsi="Times New Roman" w:cs="Times New Roman"/>
          <w:spacing w:val="-12"/>
          <w:sz w:val="24"/>
          <w:szCs w:val="24"/>
        </w:rPr>
        <w:t xml:space="preserve"> </w:t>
      </w:r>
      <w:r w:rsidRPr="00D700CC">
        <w:rPr>
          <w:rFonts w:ascii="Times New Roman" w:hAnsi="Times New Roman" w:cs="Times New Roman"/>
          <w:sz w:val="24"/>
          <w:szCs w:val="24"/>
        </w:rPr>
        <w:t>grāmato:</w:t>
      </w:r>
    </w:p>
    <w:p w14:paraId="2ABC8E2A" w14:textId="77777777" w:rsidR="00D700CC" w:rsidRPr="00D700CC" w:rsidRDefault="00D700CC" w:rsidP="00CD363C">
      <w:pPr>
        <w:spacing w:after="0" w:line="240" w:lineRule="auto"/>
        <w:ind w:right="425"/>
        <w:jc w:val="both"/>
        <w:rPr>
          <w:rFonts w:ascii="Times New Roman" w:hAnsi="Times New Roman" w:cs="Times New Roman"/>
          <w:b/>
          <w:bCs/>
          <w:iCs/>
          <w:sz w:val="24"/>
          <w:szCs w:val="24"/>
        </w:rPr>
      </w:pPr>
      <w:r w:rsidRPr="00D700CC">
        <w:rPr>
          <w:rFonts w:ascii="Times New Roman" w:hAnsi="Times New Roman" w:cs="Times New Roman"/>
          <w:iCs/>
          <w:sz w:val="24"/>
          <w:szCs w:val="24"/>
        </w:rPr>
        <w:t xml:space="preserve">    </w:t>
      </w:r>
      <w:r w:rsidRPr="00D700CC">
        <w:rPr>
          <w:rFonts w:ascii="Times New Roman" w:hAnsi="Times New Roman" w:cs="Times New Roman"/>
          <w:b/>
          <w:bCs/>
          <w:iCs/>
          <w:sz w:val="24"/>
          <w:szCs w:val="24"/>
        </w:rPr>
        <w:t>D    2600   Naudas līdzekļi</w:t>
      </w:r>
    </w:p>
    <w:p w14:paraId="1EA6AE23" w14:textId="77777777" w:rsidR="00D700CC" w:rsidRPr="00D700CC" w:rsidRDefault="00D700CC" w:rsidP="00CD363C">
      <w:pPr>
        <w:spacing w:after="0" w:line="240" w:lineRule="auto"/>
        <w:ind w:right="425"/>
        <w:jc w:val="both"/>
        <w:rPr>
          <w:rFonts w:ascii="Times New Roman" w:hAnsi="Times New Roman" w:cs="Times New Roman"/>
          <w:b/>
          <w:bCs/>
          <w:iCs/>
          <w:sz w:val="24"/>
          <w:szCs w:val="24"/>
        </w:rPr>
      </w:pPr>
      <w:r w:rsidRPr="00D700CC">
        <w:rPr>
          <w:rFonts w:ascii="Times New Roman" w:hAnsi="Times New Roman" w:cs="Times New Roman"/>
          <w:b/>
          <w:bCs/>
          <w:iCs/>
          <w:sz w:val="24"/>
          <w:szCs w:val="24"/>
        </w:rPr>
        <w:t xml:space="preserve">    K    2300 Īstermiņa saistības</w:t>
      </w:r>
    </w:p>
    <w:p w14:paraId="7B733620" w14:textId="77777777" w:rsidR="00D700CC" w:rsidRPr="005D1D45" w:rsidRDefault="00D700CC"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5D1D45">
        <w:rPr>
          <w:rFonts w:ascii="Times New Roman" w:hAnsi="Times New Roman" w:cs="Times New Roman"/>
          <w:sz w:val="24"/>
          <w:szCs w:val="24"/>
        </w:rPr>
        <w:t>1091.   Pārskata perioda beigās budžeta iestāde aprēķina un atzīst uzkrātos ieņēmumus un ieņēmumus, kas attiecas uz pārskata periodu, bet par kuriem rēķins vēl nav sagatavots, veicot sekojošu</w:t>
      </w:r>
      <w:r w:rsidRPr="005D1D45">
        <w:rPr>
          <w:rFonts w:ascii="Times New Roman" w:hAnsi="Times New Roman" w:cs="Times New Roman"/>
          <w:spacing w:val="-23"/>
          <w:sz w:val="24"/>
          <w:szCs w:val="24"/>
        </w:rPr>
        <w:t xml:space="preserve"> </w:t>
      </w:r>
      <w:r w:rsidRPr="005D1D45">
        <w:rPr>
          <w:rFonts w:ascii="Times New Roman" w:hAnsi="Times New Roman" w:cs="Times New Roman"/>
          <w:sz w:val="24"/>
          <w:szCs w:val="24"/>
        </w:rPr>
        <w:t>grāmatojumu:</w:t>
      </w:r>
    </w:p>
    <w:p w14:paraId="0DF0596C" w14:textId="77777777" w:rsidR="005D1D45" w:rsidRPr="005D1D45" w:rsidRDefault="00D700CC" w:rsidP="00CD363C">
      <w:pPr>
        <w:spacing w:after="0" w:line="240" w:lineRule="auto"/>
        <w:ind w:right="425"/>
        <w:jc w:val="both"/>
        <w:rPr>
          <w:rFonts w:ascii="Times New Roman" w:hAnsi="Times New Roman" w:cs="Times New Roman"/>
          <w:b/>
          <w:bCs/>
          <w:sz w:val="24"/>
          <w:szCs w:val="24"/>
        </w:rPr>
      </w:pPr>
      <w:r w:rsidRPr="005D1D45">
        <w:rPr>
          <w:rFonts w:ascii="Times New Roman" w:hAnsi="Times New Roman" w:cs="Times New Roman"/>
          <w:color w:val="FF0000"/>
          <w:sz w:val="24"/>
          <w:szCs w:val="24"/>
        </w:rPr>
        <w:t xml:space="preserve">    </w:t>
      </w:r>
      <w:r w:rsidRPr="005D1D45">
        <w:rPr>
          <w:rFonts w:ascii="Times New Roman" w:hAnsi="Times New Roman" w:cs="Times New Roman"/>
          <w:b/>
          <w:bCs/>
          <w:sz w:val="24"/>
          <w:szCs w:val="24"/>
        </w:rPr>
        <w:t>D</w:t>
      </w:r>
      <w:r w:rsidR="005D1D45" w:rsidRPr="005D1D45">
        <w:rPr>
          <w:rFonts w:ascii="Times New Roman" w:hAnsi="Times New Roman" w:cs="Times New Roman"/>
          <w:b/>
          <w:bCs/>
          <w:sz w:val="24"/>
          <w:szCs w:val="24"/>
        </w:rPr>
        <w:t xml:space="preserve">    2360   Uzkrātie ieņēmumi</w:t>
      </w:r>
    </w:p>
    <w:p w14:paraId="58A33802" w14:textId="77777777" w:rsidR="005D1D45" w:rsidRPr="005D1D45" w:rsidRDefault="005D1D45" w:rsidP="00CD363C">
      <w:pPr>
        <w:spacing w:after="0" w:line="240" w:lineRule="auto"/>
        <w:ind w:right="425"/>
        <w:jc w:val="both"/>
        <w:rPr>
          <w:rFonts w:ascii="Times New Roman" w:hAnsi="Times New Roman" w:cs="Times New Roman"/>
          <w:b/>
          <w:bCs/>
          <w:sz w:val="24"/>
          <w:szCs w:val="24"/>
        </w:rPr>
      </w:pPr>
      <w:r w:rsidRPr="005D1D45">
        <w:rPr>
          <w:rFonts w:ascii="Times New Roman" w:hAnsi="Times New Roman" w:cs="Times New Roman"/>
          <w:b/>
          <w:bCs/>
          <w:sz w:val="24"/>
          <w:szCs w:val="24"/>
        </w:rPr>
        <w:t xml:space="preserve">    K    6000   Pamatdarbības ieņēmumi</w:t>
      </w:r>
    </w:p>
    <w:p w14:paraId="08A89247" w14:textId="77777777" w:rsidR="005D1D45" w:rsidRDefault="005D1D45" w:rsidP="00CD363C">
      <w:pPr>
        <w:spacing w:after="0" w:line="240" w:lineRule="auto"/>
        <w:ind w:right="425"/>
        <w:jc w:val="both"/>
        <w:rPr>
          <w:rFonts w:ascii="Times New Roman" w:hAnsi="Times New Roman" w:cs="Times New Roman"/>
          <w:b/>
          <w:bCs/>
          <w:sz w:val="24"/>
          <w:szCs w:val="24"/>
        </w:rPr>
      </w:pPr>
      <w:r w:rsidRPr="005D1D45">
        <w:rPr>
          <w:rFonts w:ascii="Times New Roman" w:hAnsi="Times New Roman" w:cs="Times New Roman"/>
          <w:b/>
          <w:bCs/>
          <w:sz w:val="24"/>
          <w:szCs w:val="24"/>
        </w:rPr>
        <w:t xml:space="preserve">    K    8510   Ieņēmumi no atsavināšanai paredzēto nefinanšu aktīvu pārdošanas</w:t>
      </w:r>
      <w:r w:rsidR="00D700CC" w:rsidRPr="005D1D45">
        <w:rPr>
          <w:rFonts w:ascii="Times New Roman" w:hAnsi="Times New Roman" w:cs="Times New Roman"/>
          <w:b/>
          <w:bCs/>
          <w:sz w:val="24"/>
          <w:szCs w:val="24"/>
        </w:rPr>
        <w:t xml:space="preserve">    </w:t>
      </w:r>
    </w:p>
    <w:p w14:paraId="46005056" w14:textId="77777777" w:rsidR="005D1D45" w:rsidRPr="005D1D45" w:rsidRDefault="005D1D45" w:rsidP="00CD363C">
      <w:pPr>
        <w:spacing w:after="0" w:line="240" w:lineRule="auto"/>
        <w:ind w:right="425"/>
        <w:jc w:val="both"/>
        <w:rPr>
          <w:rFonts w:ascii="Times New Roman" w:hAnsi="Times New Roman" w:cs="Times New Roman"/>
          <w:sz w:val="24"/>
          <w:szCs w:val="24"/>
        </w:rPr>
      </w:pPr>
      <w:r w:rsidRPr="005D1D45">
        <w:rPr>
          <w:rFonts w:ascii="Times New Roman" w:hAnsi="Times New Roman" w:cs="Times New Roman"/>
          <w:sz w:val="24"/>
          <w:szCs w:val="24"/>
        </w:rPr>
        <w:t>1092.   Nākamajā pārskata periodā, izrakstot rēķinu par precēm, kas piegādātas iepriekšējā pārskata periodā un atzīti kā uzkrātie ieņēmumi, budžeta iestāde atzīst prasības, veicot sekojošu</w:t>
      </w:r>
      <w:r w:rsidRPr="005D1D45">
        <w:rPr>
          <w:rFonts w:ascii="Times New Roman" w:hAnsi="Times New Roman" w:cs="Times New Roman"/>
          <w:spacing w:val="-6"/>
          <w:sz w:val="24"/>
          <w:szCs w:val="24"/>
        </w:rPr>
        <w:t xml:space="preserve"> </w:t>
      </w:r>
      <w:r w:rsidRPr="005D1D45">
        <w:rPr>
          <w:rFonts w:ascii="Times New Roman" w:hAnsi="Times New Roman" w:cs="Times New Roman"/>
          <w:sz w:val="24"/>
          <w:szCs w:val="24"/>
        </w:rPr>
        <w:t>grāmatojumu:</w:t>
      </w:r>
    </w:p>
    <w:p w14:paraId="1516C2F8" w14:textId="77777777" w:rsidR="005D1D45" w:rsidRDefault="005D1D45"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D    2300   Īstermiņa prasības</w:t>
      </w:r>
    </w:p>
    <w:p w14:paraId="254261C3" w14:textId="77777777" w:rsidR="005D1D45" w:rsidRDefault="005D1D45"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K    2360   Uzkrātie ieņēmumi</w:t>
      </w:r>
    </w:p>
    <w:p w14:paraId="7EAD3C1E" w14:textId="77777777" w:rsidR="005D1D45" w:rsidRDefault="005D1D45"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K*   5723  Pievienotās vērtības nodoklis</w:t>
      </w:r>
    </w:p>
    <w:p w14:paraId="56E859A3" w14:textId="77777777" w:rsidR="005D1D45" w:rsidRDefault="005D1D45" w:rsidP="00CD363C">
      <w:pPr>
        <w:spacing w:after="0" w:line="240" w:lineRule="auto"/>
        <w:ind w:left="1471" w:right="425"/>
        <w:jc w:val="both"/>
        <w:rPr>
          <w:i/>
          <w:sz w:val="20"/>
        </w:rPr>
      </w:pPr>
      <w:r>
        <w:rPr>
          <w:i/>
          <w:sz w:val="20"/>
        </w:rPr>
        <w:t>* gadījumā, ja budžeta iestāde ir PVN maksātāja</w:t>
      </w:r>
    </w:p>
    <w:p w14:paraId="2AC39D1B" w14:textId="77777777" w:rsidR="00F1523B" w:rsidRDefault="00F15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F1523B">
        <w:rPr>
          <w:rFonts w:ascii="Times New Roman" w:hAnsi="Times New Roman" w:cs="Times New Roman"/>
          <w:sz w:val="24"/>
          <w:szCs w:val="24"/>
        </w:rPr>
        <w:t>1093.  Ieņēmumus atzīst tikai tādā gadījumā, ja ir ticams, ka budžeta iestāde saņems ar darījumu saistītos saimnieciskos</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labumus.</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Dažos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gadījumos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šādas</w:t>
      </w:r>
      <w:r w:rsidRPr="00F1523B">
        <w:rPr>
          <w:rFonts w:ascii="Times New Roman" w:hAnsi="Times New Roman" w:cs="Times New Roman"/>
          <w:spacing w:val="-4"/>
          <w:sz w:val="24"/>
          <w:szCs w:val="24"/>
        </w:rPr>
        <w:t xml:space="preserve"> </w:t>
      </w:r>
      <w:r w:rsidRPr="00F1523B">
        <w:rPr>
          <w:rFonts w:ascii="Times New Roman" w:hAnsi="Times New Roman" w:cs="Times New Roman"/>
          <w:sz w:val="24"/>
          <w:szCs w:val="24"/>
        </w:rPr>
        <w:t>ticamības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var</w:t>
      </w:r>
      <w:r w:rsidRPr="00F1523B">
        <w:rPr>
          <w:rFonts w:ascii="Times New Roman" w:hAnsi="Times New Roman" w:cs="Times New Roman"/>
          <w:spacing w:val="-4"/>
          <w:sz w:val="24"/>
          <w:szCs w:val="24"/>
        </w:rPr>
        <w:t xml:space="preserve"> </w:t>
      </w:r>
      <w:r w:rsidRPr="00F1523B">
        <w:rPr>
          <w:rFonts w:ascii="Times New Roman" w:hAnsi="Times New Roman" w:cs="Times New Roman"/>
          <w:sz w:val="24"/>
          <w:szCs w:val="24"/>
        </w:rPr>
        <w:t>nebūt,</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līdz</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netiks</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saņemta</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atlīdzība</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 xml:space="preserve">vai likvidētas šaubas. </w:t>
      </w:r>
      <w:r w:rsidRPr="00F1523B">
        <w:rPr>
          <w:rFonts w:ascii="Times New Roman" w:hAnsi="Times New Roman" w:cs="Times New Roman"/>
          <w:i/>
          <w:sz w:val="24"/>
          <w:szCs w:val="24"/>
        </w:rPr>
        <w:t>Piemēram, ieņēmumi var būt atkarīgi no tā, vai otra puse būs spējīga piegādāt preces saskaņā ar līgumu, un, ja ir kādas šaubas, ka tas notiks, ieņēmumu atzīšanu var atlikt, līdz līguma izpildei. Budžeta iestāde atzīst ieņēmumus, kad preces ir piegādātas</w:t>
      </w:r>
      <w:r w:rsidRPr="00F1523B">
        <w:rPr>
          <w:rFonts w:ascii="Times New Roman" w:hAnsi="Times New Roman" w:cs="Times New Roman"/>
          <w:sz w:val="24"/>
          <w:szCs w:val="24"/>
        </w:rPr>
        <w:t>. Ja rodas šaubas par ieņēmumos</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jau</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atzītās</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summas</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iekasēšanu,</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tad</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summu,</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kuru</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nav</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iespējams</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iekasēt,</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vai</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summu,</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kuras atgūšana</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vairs</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nav</w:t>
      </w:r>
      <w:r w:rsidRPr="00F1523B">
        <w:rPr>
          <w:rFonts w:ascii="Times New Roman" w:hAnsi="Times New Roman" w:cs="Times New Roman"/>
          <w:spacing w:val="-18"/>
          <w:sz w:val="24"/>
          <w:szCs w:val="24"/>
        </w:rPr>
        <w:t xml:space="preserve"> </w:t>
      </w:r>
      <w:r w:rsidRPr="00F1523B">
        <w:rPr>
          <w:rFonts w:ascii="Times New Roman" w:hAnsi="Times New Roman" w:cs="Times New Roman"/>
          <w:sz w:val="24"/>
          <w:szCs w:val="24"/>
        </w:rPr>
        <w:t>ticama,</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atzīst</w:t>
      </w:r>
      <w:r w:rsidRPr="00F1523B">
        <w:rPr>
          <w:rFonts w:ascii="Times New Roman" w:hAnsi="Times New Roman" w:cs="Times New Roman"/>
          <w:spacing w:val="-14"/>
          <w:sz w:val="24"/>
          <w:szCs w:val="24"/>
        </w:rPr>
        <w:t xml:space="preserve"> </w:t>
      </w:r>
      <w:r w:rsidRPr="00F1523B">
        <w:rPr>
          <w:rFonts w:ascii="Times New Roman" w:hAnsi="Times New Roman" w:cs="Times New Roman"/>
          <w:sz w:val="24"/>
          <w:szCs w:val="24"/>
        </w:rPr>
        <w:t>par</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izdevumiem</w:t>
      </w:r>
      <w:r w:rsidRPr="00F1523B">
        <w:rPr>
          <w:rFonts w:ascii="Times New Roman" w:hAnsi="Times New Roman" w:cs="Times New Roman"/>
          <w:spacing w:val="-17"/>
          <w:sz w:val="24"/>
          <w:szCs w:val="24"/>
        </w:rPr>
        <w:t xml:space="preserve"> </w:t>
      </w:r>
      <w:r w:rsidRPr="00F1523B">
        <w:rPr>
          <w:rFonts w:ascii="Times New Roman" w:hAnsi="Times New Roman" w:cs="Times New Roman"/>
          <w:sz w:val="24"/>
          <w:szCs w:val="24"/>
        </w:rPr>
        <w:t>un</w:t>
      </w:r>
      <w:r w:rsidRPr="00F1523B">
        <w:rPr>
          <w:rFonts w:ascii="Times New Roman" w:hAnsi="Times New Roman" w:cs="Times New Roman"/>
          <w:spacing w:val="-17"/>
          <w:sz w:val="24"/>
          <w:szCs w:val="24"/>
        </w:rPr>
        <w:t xml:space="preserve"> </w:t>
      </w:r>
      <w:r w:rsidRPr="00F1523B">
        <w:rPr>
          <w:rFonts w:ascii="Times New Roman" w:hAnsi="Times New Roman" w:cs="Times New Roman"/>
          <w:sz w:val="24"/>
          <w:szCs w:val="24"/>
        </w:rPr>
        <w:t>prasību</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vērtības</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samazinājumu</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nevis</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par</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sākotnēji atzītās ieņēmumu summas korekciju saskaņā ar Grāmatvedības uzskaites kārtības sadaļā</w:t>
      </w:r>
      <w:r w:rsidRPr="00F1523B">
        <w:rPr>
          <w:rFonts w:ascii="Times New Roman" w:hAnsi="Times New Roman" w:cs="Times New Roman"/>
          <w:color w:val="0462C1"/>
          <w:sz w:val="24"/>
          <w:szCs w:val="24"/>
        </w:rPr>
        <w:t xml:space="preserve"> </w:t>
      </w:r>
      <w:r w:rsidRPr="00F1523B">
        <w:rPr>
          <w:rFonts w:ascii="Times New Roman" w:hAnsi="Times New Roman" w:cs="Times New Roman"/>
          <w:color w:val="0462C1"/>
          <w:sz w:val="24"/>
          <w:szCs w:val="24"/>
          <w:u w:val="single" w:color="0462C1"/>
        </w:rPr>
        <w:t>“</w:t>
      </w:r>
      <w:hyperlink w:anchor="_bookmark179" w:history="1">
        <w:r w:rsidRPr="00F1523B">
          <w:rPr>
            <w:rFonts w:ascii="Times New Roman" w:hAnsi="Times New Roman" w:cs="Times New Roman"/>
            <w:color w:val="0462C1"/>
            <w:sz w:val="24"/>
            <w:szCs w:val="24"/>
            <w:u w:val="single" w:color="0462C1"/>
          </w:rPr>
          <w:t>Prasību uzskaite, tai skaitā,</w:t>
        </w:r>
      </w:hyperlink>
      <w:hyperlink w:anchor="_bookmark179" w:history="1">
        <w:r w:rsidRPr="00F1523B">
          <w:rPr>
            <w:rFonts w:ascii="Times New Roman" w:hAnsi="Times New Roman" w:cs="Times New Roman"/>
            <w:color w:val="0462C1"/>
            <w:sz w:val="24"/>
            <w:szCs w:val="24"/>
            <w:u w:val="single" w:color="0462C1"/>
          </w:rPr>
          <w:t xml:space="preserve"> nākamo periodu izdevumu un avansu uzskaite</w:t>
        </w:r>
      </w:hyperlink>
      <w:r w:rsidRPr="00F1523B">
        <w:rPr>
          <w:rFonts w:ascii="Times New Roman" w:hAnsi="Times New Roman" w:cs="Times New Roman"/>
          <w:color w:val="0462C1"/>
          <w:sz w:val="24"/>
          <w:szCs w:val="24"/>
          <w:u w:val="single" w:color="0462C1"/>
        </w:rPr>
        <w:t>”</w:t>
      </w:r>
      <w:r w:rsidRPr="00F1523B">
        <w:rPr>
          <w:rFonts w:ascii="Times New Roman" w:hAnsi="Times New Roman" w:cs="Times New Roman"/>
          <w:color w:val="0462C1"/>
          <w:sz w:val="24"/>
          <w:szCs w:val="24"/>
        </w:rPr>
        <w:t xml:space="preserve"> </w:t>
      </w:r>
      <w:r w:rsidRPr="00F1523B">
        <w:rPr>
          <w:rFonts w:ascii="Times New Roman" w:hAnsi="Times New Roman" w:cs="Times New Roman"/>
          <w:sz w:val="24"/>
          <w:szCs w:val="24"/>
        </w:rPr>
        <w:t>noteiktajiem uzskaites</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principiem.</w:t>
      </w:r>
    </w:p>
    <w:p w14:paraId="2D6ED4F3" w14:textId="77777777" w:rsidR="00F1523B" w:rsidRPr="00F1523B" w:rsidRDefault="00F15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F1523B">
        <w:rPr>
          <w:rFonts w:ascii="Times New Roman" w:hAnsi="Times New Roman" w:cs="Times New Roman"/>
          <w:b/>
          <w:bCs/>
          <w:sz w:val="24"/>
          <w:szCs w:val="24"/>
        </w:rPr>
        <w:t>23.4. Procentu ieņēmumi, autoratlīdzības ieņēmumi, dividendes vai tamlīdzīgi maksājumi, ieņēmumi no aktīva atsavināšanas</w:t>
      </w:r>
    </w:p>
    <w:p w14:paraId="0FEC3457" w14:textId="77777777" w:rsidR="00F1523B" w:rsidRPr="00F1523B" w:rsidRDefault="00F1523B"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F1523B">
        <w:rPr>
          <w:rFonts w:ascii="Times New Roman" w:hAnsi="Times New Roman" w:cs="Times New Roman"/>
          <w:sz w:val="24"/>
          <w:szCs w:val="24"/>
        </w:rPr>
        <w:t xml:space="preserve">1094.   Budžeta iestāde atzīst ieņēmumus, kas rodas, ja trešās personas lieto budžeta iestādes aktīvus, </w:t>
      </w:r>
      <w:r w:rsidRPr="00F1523B">
        <w:rPr>
          <w:rFonts w:ascii="Times New Roman" w:hAnsi="Times New Roman" w:cs="Times New Roman"/>
          <w:spacing w:val="3"/>
          <w:sz w:val="24"/>
          <w:szCs w:val="24"/>
        </w:rPr>
        <w:t xml:space="preserve">ja </w:t>
      </w:r>
      <w:r w:rsidRPr="00F1523B">
        <w:rPr>
          <w:rFonts w:ascii="Times New Roman" w:hAnsi="Times New Roman" w:cs="Times New Roman"/>
          <w:sz w:val="24"/>
          <w:szCs w:val="24"/>
        </w:rPr>
        <w:t>izpildīti abi ieņēmumu atzīšanas</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kritēriji:</w:t>
      </w:r>
    </w:p>
    <w:p w14:paraId="73A09AB6" w14:textId="77777777" w:rsidR="00F1523B" w:rsidRPr="00F1523B" w:rsidRDefault="00F1523B" w:rsidP="00CD363C">
      <w:pPr>
        <w:pStyle w:val="Sarakstarindkopa"/>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1523B">
        <w:rPr>
          <w:rFonts w:ascii="Times New Roman" w:hAnsi="Times New Roman" w:cs="Times New Roman"/>
          <w:sz w:val="24"/>
          <w:szCs w:val="24"/>
        </w:rPr>
        <w:t>ir ticams, ka budžeta iestāde saņems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resursus;</w:t>
      </w:r>
    </w:p>
    <w:p w14:paraId="735C1F4A" w14:textId="77777777" w:rsidR="00F1523B" w:rsidRPr="00F1523B" w:rsidRDefault="00F1523B" w:rsidP="00CD363C">
      <w:pPr>
        <w:pStyle w:val="Sarakstarindkopa"/>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1523B">
        <w:rPr>
          <w:rFonts w:ascii="Times New Roman" w:hAnsi="Times New Roman" w:cs="Times New Roman"/>
          <w:sz w:val="24"/>
          <w:szCs w:val="24"/>
        </w:rPr>
        <w:t>ieņēmumu summu var ticami</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novērtēt.</w:t>
      </w:r>
    </w:p>
    <w:p w14:paraId="30295EBB" w14:textId="77777777" w:rsidR="00F1523B" w:rsidRPr="00F1523B" w:rsidRDefault="00F1523B" w:rsidP="00CD363C">
      <w:pPr>
        <w:widowControl w:val="0"/>
        <w:tabs>
          <w:tab w:val="left" w:pos="1472"/>
        </w:tabs>
        <w:autoSpaceDE w:val="0"/>
        <w:autoSpaceDN w:val="0"/>
        <w:spacing w:after="0" w:line="240" w:lineRule="auto"/>
        <w:ind w:right="425"/>
        <w:jc w:val="both"/>
        <w:rPr>
          <w:rFonts w:ascii="Times New Roman" w:hAnsi="Times New Roman" w:cs="Times New Roman"/>
          <w:sz w:val="24"/>
          <w:szCs w:val="24"/>
        </w:rPr>
      </w:pPr>
      <w:r w:rsidRPr="00F1523B">
        <w:rPr>
          <w:rFonts w:ascii="Times New Roman" w:hAnsi="Times New Roman" w:cs="Times New Roman"/>
          <w:sz w:val="24"/>
          <w:szCs w:val="24"/>
        </w:rPr>
        <w:t>1095.  Gadījumos, kad trešās personas izmanto budžeta iestādes aktīvus, budžeta iestādei var rasties šāda veida</w:t>
      </w:r>
      <w:r w:rsidRPr="00F1523B">
        <w:rPr>
          <w:rFonts w:ascii="Times New Roman" w:hAnsi="Times New Roman" w:cs="Times New Roman"/>
          <w:spacing w:val="-1"/>
          <w:sz w:val="24"/>
          <w:szCs w:val="24"/>
        </w:rPr>
        <w:t xml:space="preserve"> </w:t>
      </w:r>
      <w:r w:rsidRPr="00F1523B">
        <w:rPr>
          <w:rFonts w:ascii="Times New Roman" w:hAnsi="Times New Roman" w:cs="Times New Roman"/>
          <w:sz w:val="24"/>
          <w:szCs w:val="24"/>
        </w:rPr>
        <w:t>ieņēmumi:</w:t>
      </w:r>
    </w:p>
    <w:p w14:paraId="3E2407B9" w14:textId="77777777" w:rsidR="00F1523B" w:rsidRPr="00F1523B" w:rsidRDefault="00F1523B" w:rsidP="00CD363C">
      <w:pPr>
        <w:pStyle w:val="Sarakstarindkopa"/>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1523B">
        <w:rPr>
          <w:rFonts w:ascii="Times New Roman" w:hAnsi="Times New Roman" w:cs="Times New Roman"/>
          <w:b/>
          <w:sz w:val="24"/>
          <w:szCs w:val="24"/>
        </w:rPr>
        <w:t xml:space="preserve">procentu ieņēmumi </w:t>
      </w:r>
      <w:r w:rsidRPr="00F1523B">
        <w:rPr>
          <w:rFonts w:ascii="Times New Roman" w:hAnsi="Times New Roman" w:cs="Times New Roman"/>
          <w:sz w:val="24"/>
          <w:szCs w:val="24"/>
        </w:rPr>
        <w:t>– maksas par naudas vai naudas ekvivalentu izmantošanu, vai budžeta iestādei pienākošās summas saskaņā ar līgumiem</w:t>
      </w:r>
      <w:r w:rsidRPr="00F1523B">
        <w:rPr>
          <w:rFonts w:ascii="Times New Roman" w:hAnsi="Times New Roman" w:cs="Times New Roman"/>
          <w:i/>
          <w:sz w:val="24"/>
          <w:szCs w:val="24"/>
        </w:rPr>
        <w:t>. Piemēram, procentu ieņēmumi par izsniegtajiem noguldījumiem vai procentu ieņēmumi, kas atzīti atlikto maksājumu</w:t>
      </w:r>
      <w:r w:rsidRPr="00F1523B">
        <w:rPr>
          <w:rFonts w:ascii="Times New Roman" w:hAnsi="Times New Roman" w:cs="Times New Roman"/>
          <w:i/>
          <w:spacing w:val="-19"/>
          <w:sz w:val="24"/>
          <w:szCs w:val="24"/>
        </w:rPr>
        <w:t xml:space="preserve"> </w:t>
      </w:r>
      <w:r w:rsidRPr="00F1523B">
        <w:rPr>
          <w:rFonts w:ascii="Times New Roman" w:hAnsi="Times New Roman" w:cs="Times New Roman"/>
          <w:i/>
          <w:sz w:val="24"/>
          <w:szCs w:val="24"/>
        </w:rPr>
        <w:t>ietvaros;</w:t>
      </w:r>
    </w:p>
    <w:p w14:paraId="07490B3E" w14:textId="77777777" w:rsidR="00F1523B" w:rsidRPr="00F1523B" w:rsidRDefault="00F1523B" w:rsidP="00CD363C">
      <w:pPr>
        <w:pStyle w:val="Sarakstarindkopa"/>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1523B">
        <w:rPr>
          <w:rFonts w:ascii="Times New Roman" w:hAnsi="Times New Roman" w:cs="Times New Roman"/>
          <w:b/>
          <w:sz w:val="24"/>
          <w:szCs w:val="24"/>
        </w:rPr>
        <w:t xml:space="preserve">autoratlīdzības ieņēmumi </w:t>
      </w:r>
      <w:r w:rsidRPr="00F1523B">
        <w:rPr>
          <w:rFonts w:ascii="Times New Roman" w:hAnsi="Times New Roman" w:cs="Times New Roman"/>
          <w:sz w:val="24"/>
          <w:szCs w:val="24"/>
        </w:rPr>
        <w:t>– maksas par budžeta iestādes ilgtermiņa aktīvu izmantošanu</w:t>
      </w:r>
      <w:r w:rsidRPr="00F1523B">
        <w:rPr>
          <w:rFonts w:ascii="Times New Roman" w:hAnsi="Times New Roman" w:cs="Times New Roman"/>
          <w:i/>
          <w:sz w:val="24"/>
          <w:szCs w:val="24"/>
        </w:rPr>
        <w:t>, piemēram, patentu, preču zīmju, autortiesību un datoru</w:t>
      </w:r>
      <w:r w:rsidRPr="00F1523B">
        <w:rPr>
          <w:rFonts w:ascii="Times New Roman" w:hAnsi="Times New Roman" w:cs="Times New Roman"/>
          <w:i/>
          <w:spacing w:val="-6"/>
          <w:sz w:val="24"/>
          <w:szCs w:val="24"/>
        </w:rPr>
        <w:t xml:space="preserve"> </w:t>
      </w:r>
      <w:r w:rsidRPr="00F1523B">
        <w:rPr>
          <w:rFonts w:ascii="Times New Roman" w:hAnsi="Times New Roman" w:cs="Times New Roman"/>
          <w:i/>
          <w:sz w:val="24"/>
          <w:szCs w:val="24"/>
        </w:rPr>
        <w:t>programmatūru;</w:t>
      </w:r>
    </w:p>
    <w:p w14:paraId="1841047F" w14:textId="77777777" w:rsidR="00F1523B" w:rsidRPr="00F1523B" w:rsidRDefault="00F1523B" w:rsidP="00CD363C">
      <w:pPr>
        <w:pStyle w:val="Sarakstarindkopa"/>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1523B">
        <w:rPr>
          <w:rFonts w:ascii="Times New Roman" w:hAnsi="Times New Roman" w:cs="Times New Roman"/>
          <w:b/>
          <w:sz w:val="24"/>
          <w:szCs w:val="24"/>
        </w:rPr>
        <w:t xml:space="preserve">dividendes vai tamlīdzīgi maksājumi </w:t>
      </w:r>
      <w:r w:rsidRPr="00F1523B">
        <w:rPr>
          <w:rFonts w:ascii="Times New Roman" w:hAnsi="Times New Roman" w:cs="Times New Roman"/>
          <w:sz w:val="24"/>
          <w:szCs w:val="24"/>
        </w:rPr>
        <w:t xml:space="preserve">– pārpalikuma sadale kapitāla daļu turētājiem proporcionāli viņu balsstiesību īpatsvaram attiecīgās kapitālsabiedrības kapitālā, </w:t>
      </w:r>
      <w:r w:rsidRPr="00F1523B">
        <w:rPr>
          <w:rFonts w:ascii="Times New Roman" w:hAnsi="Times New Roman" w:cs="Times New Roman"/>
          <w:i/>
          <w:sz w:val="24"/>
          <w:szCs w:val="24"/>
        </w:rPr>
        <w:t>piemēram, budžeta</w:t>
      </w:r>
      <w:r w:rsidRPr="00F1523B">
        <w:rPr>
          <w:rFonts w:ascii="Times New Roman" w:hAnsi="Times New Roman" w:cs="Times New Roman"/>
          <w:i/>
          <w:spacing w:val="-11"/>
          <w:sz w:val="24"/>
          <w:szCs w:val="24"/>
        </w:rPr>
        <w:t xml:space="preserve"> </w:t>
      </w:r>
      <w:r w:rsidRPr="00F1523B">
        <w:rPr>
          <w:rFonts w:ascii="Times New Roman" w:hAnsi="Times New Roman" w:cs="Times New Roman"/>
          <w:i/>
          <w:sz w:val="24"/>
          <w:szCs w:val="24"/>
        </w:rPr>
        <w:t>iestādes</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kā</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kapitāla</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daļu</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turētāja</w:t>
      </w:r>
      <w:r w:rsidRPr="00F1523B">
        <w:rPr>
          <w:rFonts w:ascii="Times New Roman" w:hAnsi="Times New Roman" w:cs="Times New Roman"/>
          <w:i/>
          <w:spacing w:val="-12"/>
          <w:sz w:val="24"/>
          <w:szCs w:val="24"/>
        </w:rPr>
        <w:t xml:space="preserve"> </w:t>
      </w:r>
      <w:r w:rsidRPr="00F1523B">
        <w:rPr>
          <w:rFonts w:ascii="Times New Roman" w:hAnsi="Times New Roman" w:cs="Times New Roman"/>
          <w:i/>
          <w:sz w:val="24"/>
          <w:szCs w:val="24"/>
        </w:rPr>
        <w:t>tiesības</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saņemt</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maksājumus</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(dividendes),</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kas</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 xml:space="preserve">attiecas uz ieguldījumu kapitālsabiedrībā (līdz 20%). </w:t>
      </w:r>
      <w:r w:rsidRPr="00F1523B">
        <w:rPr>
          <w:rFonts w:ascii="Times New Roman" w:hAnsi="Times New Roman" w:cs="Times New Roman"/>
          <w:sz w:val="24"/>
          <w:szCs w:val="24"/>
        </w:rPr>
        <w:t>Gadījumā, ja ieguldījumu kapitālsabiedrībā uzskaita saskaņā ar pašu kapitāla metodi, ieņēmumus no dividendēm uzskaita atbilstoši Grāmatvedības uzskaites kārtības sadaļā</w:t>
      </w:r>
      <w:r w:rsidRPr="00F1523B">
        <w:rPr>
          <w:rFonts w:ascii="Times New Roman" w:hAnsi="Times New Roman" w:cs="Times New Roman"/>
          <w:color w:val="0462C1"/>
          <w:sz w:val="24"/>
          <w:szCs w:val="24"/>
        </w:rPr>
        <w:t xml:space="preserve"> </w:t>
      </w:r>
      <w:r w:rsidRPr="00F1523B">
        <w:rPr>
          <w:rFonts w:ascii="Times New Roman" w:hAnsi="Times New Roman" w:cs="Times New Roman"/>
          <w:color w:val="0462C1"/>
          <w:sz w:val="24"/>
          <w:szCs w:val="24"/>
          <w:u w:val="single" w:color="0462C1"/>
        </w:rPr>
        <w:t>“</w:t>
      </w:r>
      <w:hyperlink w:anchor="_bookmark129" w:history="1">
        <w:r w:rsidRPr="00F1523B">
          <w:rPr>
            <w:rFonts w:ascii="Times New Roman" w:hAnsi="Times New Roman" w:cs="Times New Roman"/>
            <w:color w:val="0462C1"/>
            <w:sz w:val="24"/>
            <w:szCs w:val="24"/>
            <w:u w:val="single" w:color="0462C1"/>
          </w:rPr>
          <w:t>Līdzdalības radniecīgajās un asociētajās kapitālsabiedrībās uzskaite</w:t>
        </w:r>
      </w:hyperlink>
      <w:r w:rsidRPr="00F1523B">
        <w:rPr>
          <w:rFonts w:ascii="Times New Roman" w:hAnsi="Times New Roman" w:cs="Times New Roman"/>
          <w:color w:val="0462C1"/>
          <w:sz w:val="24"/>
          <w:szCs w:val="24"/>
          <w:u w:val="single" w:color="0462C1"/>
        </w:rPr>
        <w:t>”</w:t>
      </w:r>
      <w:r w:rsidRPr="00F1523B">
        <w:rPr>
          <w:rFonts w:ascii="Times New Roman" w:hAnsi="Times New Roman" w:cs="Times New Roman"/>
          <w:sz w:val="24"/>
          <w:szCs w:val="24"/>
        </w:rPr>
        <w:t xml:space="preserve"> noteiktajiem uzskaites</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principiem.</w:t>
      </w:r>
    </w:p>
    <w:p w14:paraId="11562DBE" w14:textId="77777777" w:rsidR="00F1523B" w:rsidRDefault="00F1523B" w:rsidP="00CD363C">
      <w:pPr>
        <w:spacing w:after="0" w:line="240" w:lineRule="auto"/>
        <w:ind w:right="425"/>
        <w:jc w:val="both"/>
        <w:rPr>
          <w:rFonts w:ascii="Times New Roman" w:hAnsi="Times New Roman" w:cs="Times New Roman"/>
          <w:b/>
          <w:bCs/>
          <w:sz w:val="24"/>
          <w:szCs w:val="24"/>
        </w:rPr>
      </w:pPr>
    </w:p>
    <w:p w14:paraId="32258EF1" w14:textId="77777777" w:rsidR="005D1D45" w:rsidRPr="00F1523B" w:rsidRDefault="00F1523B" w:rsidP="00CD363C">
      <w:pPr>
        <w:spacing w:after="0" w:line="240" w:lineRule="auto"/>
        <w:ind w:right="425"/>
        <w:jc w:val="both"/>
        <w:rPr>
          <w:rFonts w:ascii="Times New Roman" w:hAnsi="Times New Roman" w:cs="Times New Roman"/>
          <w:b/>
          <w:bCs/>
          <w:sz w:val="24"/>
          <w:szCs w:val="24"/>
        </w:rPr>
      </w:pPr>
      <w:r w:rsidRPr="00F1523B">
        <w:rPr>
          <w:rFonts w:ascii="Times New Roman" w:hAnsi="Times New Roman" w:cs="Times New Roman"/>
          <w:b/>
          <w:bCs/>
          <w:sz w:val="24"/>
          <w:szCs w:val="24"/>
        </w:rPr>
        <w:t>23.4.1. Procentu ieņēmumi</w:t>
      </w:r>
    </w:p>
    <w:p w14:paraId="65E980E0" w14:textId="77777777" w:rsidR="00F1523B" w:rsidRPr="00207C3D" w:rsidRDefault="00F1523B"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1096.   Procentu ieņēmumus budžeta iestāde atzīst proporcionāli termiņam, ņemot vērā aktīvu faktisko ienesīgumu. Aktīva faktiskais ienesīgums ir procentu likme, kas nepieciešama nākotnes</w:t>
      </w:r>
      <w:r w:rsidRPr="00207C3D">
        <w:rPr>
          <w:rFonts w:ascii="Times New Roman" w:hAnsi="Times New Roman" w:cs="Times New Roman"/>
          <w:spacing w:val="-8"/>
          <w:sz w:val="24"/>
          <w:szCs w:val="24"/>
        </w:rPr>
        <w:t xml:space="preserve"> </w:t>
      </w:r>
      <w:r w:rsidRPr="00207C3D">
        <w:rPr>
          <w:rFonts w:ascii="Times New Roman" w:hAnsi="Times New Roman" w:cs="Times New Roman"/>
          <w:sz w:val="24"/>
          <w:szCs w:val="24"/>
        </w:rPr>
        <w:t>naudas</w:t>
      </w:r>
      <w:r w:rsidR="00207C3D">
        <w:rPr>
          <w:rFonts w:ascii="Times New Roman" w:hAnsi="Times New Roman" w:cs="Times New Roman"/>
          <w:sz w:val="24"/>
          <w:szCs w:val="24"/>
        </w:rPr>
        <w:t xml:space="preserve"> </w:t>
      </w:r>
      <w:r w:rsidRPr="00207C3D">
        <w:rPr>
          <w:rFonts w:ascii="Times New Roman" w:hAnsi="Times New Roman" w:cs="Times New Roman"/>
          <w:sz w:val="24"/>
          <w:szCs w:val="24"/>
        </w:rPr>
        <w:t>plūsmas diskontēšanai, ko iecerēts saņemt aktīva pastāvēšanas laikā, lai to pielīdzinātu sākotnējai uzskaites vērtībai.</w:t>
      </w:r>
    </w:p>
    <w:p w14:paraId="4A01FC99" w14:textId="77777777" w:rsidR="00F1523B" w:rsidRPr="00207C3D" w:rsidRDefault="00207C3D"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 xml:space="preserve">1097.    </w:t>
      </w:r>
      <w:r w:rsidR="00F1523B" w:rsidRPr="00207C3D">
        <w:rPr>
          <w:rFonts w:ascii="Times New Roman" w:hAnsi="Times New Roman" w:cs="Times New Roman"/>
          <w:sz w:val="24"/>
          <w:szCs w:val="24"/>
        </w:rPr>
        <w:t>Procentu ieņēmumi ietver diskonta vai prēmijas amortizāciju vai citas starpības starp parāda vērtspapīra sākotnējo vērtību un tā summu dzēšanas</w:t>
      </w:r>
      <w:r w:rsidR="00F1523B" w:rsidRPr="00207C3D">
        <w:rPr>
          <w:rFonts w:ascii="Times New Roman" w:hAnsi="Times New Roman" w:cs="Times New Roman"/>
          <w:spacing w:val="-4"/>
          <w:sz w:val="24"/>
          <w:szCs w:val="24"/>
        </w:rPr>
        <w:t xml:space="preserve"> </w:t>
      </w:r>
      <w:r w:rsidR="00F1523B" w:rsidRPr="00207C3D">
        <w:rPr>
          <w:rFonts w:ascii="Times New Roman" w:hAnsi="Times New Roman" w:cs="Times New Roman"/>
          <w:sz w:val="24"/>
          <w:szCs w:val="24"/>
        </w:rPr>
        <w:t>dienā.</w:t>
      </w:r>
    </w:p>
    <w:p w14:paraId="494450A6" w14:textId="77777777" w:rsidR="00F1523B" w:rsidRPr="00207C3D" w:rsidRDefault="00207C3D"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 xml:space="preserve">1098.   </w:t>
      </w:r>
      <w:r w:rsidR="00F1523B" w:rsidRPr="00207C3D">
        <w:rPr>
          <w:rFonts w:ascii="Times New Roman" w:hAnsi="Times New Roman" w:cs="Times New Roman"/>
          <w:sz w:val="24"/>
          <w:szCs w:val="24"/>
        </w:rPr>
        <w:t>Procentu ieņēmumus atzīst pārskata periodā, kad tie nopelnīti, veicot attiecīgu</w:t>
      </w:r>
      <w:r w:rsidR="00F1523B" w:rsidRPr="00207C3D">
        <w:rPr>
          <w:rFonts w:ascii="Times New Roman" w:hAnsi="Times New Roman" w:cs="Times New Roman"/>
          <w:spacing w:val="-11"/>
          <w:sz w:val="24"/>
          <w:szCs w:val="24"/>
        </w:rPr>
        <w:t xml:space="preserve"> </w:t>
      </w:r>
      <w:r w:rsidR="00F1523B" w:rsidRPr="00207C3D">
        <w:rPr>
          <w:rFonts w:ascii="Times New Roman" w:hAnsi="Times New Roman" w:cs="Times New Roman"/>
          <w:sz w:val="24"/>
          <w:szCs w:val="24"/>
        </w:rPr>
        <w:t>grāmatojumu:</w:t>
      </w:r>
    </w:p>
    <w:p w14:paraId="5CD6CCB1" w14:textId="77777777" w:rsidR="00207C3D" w:rsidRDefault="00207C3D" w:rsidP="00CD363C">
      <w:pPr>
        <w:spacing w:after="0" w:line="240" w:lineRule="auto"/>
        <w:ind w:right="425"/>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37777AB8" w14:textId="77777777" w:rsidR="006162DC" w:rsidRPr="00207C3D" w:rsidRDefault="00207C3D"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color w:val="FF0000"/>
          <w:sz w:val="24"/>
          <w:szCs w:val="24"/>
        </w:rPr>
        <w:t xml:space="preserve">    </w:t>
      </w:r>
      <w:r w:rsidRPr="00207C3D">
        <w:rPr>
          <w:rFonts w:ascii="Times New Roman" w:hAnsi="Times New Roman" w:cs="Times New Roman"/>
          <w:b/>
          <w:bCs/>
          <w:sz w:val="24"/>
          <w:szCs w:val="24"/>
        </w:rPr>
        <w:t>D    2317   Prasības par % un citiem maksājumiem</w:t>
      </w:r>
    </w:p>
    <w:p w14:paraId="7DABA534"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2535   Prasības par % un citiem maksājumiem par aizdevumiem</w:t>
      </w:r>
    </w:p>
    <w:p w14:paraId="3CEDBD38"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2545   Prasības par %  un citiem  maksājumiem par finanšu ieguldījumiem vērtspapīros</w:t>
      </w:r>
    </w:p>
    <w:p w14:paraId="0780D49B"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2555   Prasības par % un citiem maksājumiem par pārējiem finanšu ieguldījumiem</w:t>
      </w:r>
    </w:p>
    <w:p w14:paraId="7468E7D1"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2565   Prasības par 5 un citiem maksājumiem par noguldījumiem</w:t>
      </w:r>
    </w:p>
    <w:p w14:paraId="77922EE3"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K    8120   Procentu ieņēmumi    </w:t>
      </w:r>
    </w:p>
    <w:p w14:paraId="3E1DC54F" w14:textId="77777777" w:rsidR="00207C3D" w:rsidRPr="00207C3D" w:rsidRDefault="00207C3D"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1099.  </w:t>
      </w:r>
      <w:r w:rsidRPr="00207C3D">
        <w:rPr>
          <w:rFonts w:ascii="Times New Roman" w:hAnsi="Times New Roman" w:cs="Times New Roman"/>
          <w:sz w:val="24"/>
          <w:szCs w:val="24"/>
        </w:rPr>
        <w:t>Pārskata perioda beigās budžeta iestāde aprēķina un uzskaita tos uzkrātos procentu ieņēmumus, kas attiecas uz pārskata periodu, bet kuru saņemšanas termiņš ir vēlāk nekā gadu pēc bilances datuma un/vai līdz pārskata perioda beigām nav sagatavots maksāšanai paredzētais attaisnojuma dokuments. Uzkrātos procentu ieņēmumus grāmato:</w:t>
      </w:r>
    </w:p>
    <w:p w14:paraId="17273182"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1333</w:t>
      </w:r>
      <w:r w:rsidRPr="00207C3D">
        <w:rPr>
          <w:rFonts w:ascii="Times New Roman" w:hAnsi="Times New Roman" w:cs="Times New Roman"/>
          <w:b/>
          <w:bCs/>
          <w:sz w:val="24"/>
          <w:szCs w:val="24"/>
        </w:rPr>
        <w:tab/>
        <w:t>Ilgtermiņa uzkrātie ieņēmumi par aizdevumiem</w:t>
      </w:r>
    </w:p>
    <w:p w14:paraId="55A2F87B"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2361</w:t>
      </w:r>
      <w:r w:rsidRPr="00207C3D">
        <w:rPr>
          <w:rFonts w:ascii="Times New Roman" w:hAnsi="Times New Roman" w:cs="Times New Roman"/>
          <w:b/>
          <w:bCs/>
          <w:sz w:val="24"/>
          <w:szCs w:val="24"/>
        </w:rPr>
        <w:tab/>
        <w:t>Uzkrātie procentu ieņēmumi par noguldījumiem un kontu atlikumiem</w:t>
      </w:r>
    </w:p>
    <w:p w14:paraId="68235F9F"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2546</w:t>
      </w:r>
      <w:r w:rsidRPr="00207C3D">
        <w:rPr>
          <w:rFonts w:ascii="Times New Roman" w:hAnsi="Times New Roman" w:cs="Times New Roman"/>
          <w:b/>
          <w:bCs/>
          <w:sz w:val="24"/>
          <w:szCs w:val="24"/>
        </w:rPr>
        <w:tab/>
        <w:t>Uzkrātie ieņēmumi par procentu un citiem maksājumiem par finanšu ieguldījumiem vērtspapīros</w:t>
      </w:r>
    </w:p>
    <w:p w14:paraId="301847E8"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2566</w:t>
      </w:r>
      <w:r w:rsidRPr="00207C3D">
        <w:rPr>
          <w:rFonts w:ascii="Times New Roman" w:hAnsi="Times New Roman" w:cs="Times New Roman"/>
          <w:b/>
          <w:bCs/>
          <w:sz w:val="24"/>
          <w:szCs w:val="24"/>
        </w:rPr>
        <w:tab/>
        <w:t>Uzkrātie ieņēmumi par procentu un citiem maksājumiem par noguldījumiem</w:t>
      </w:r>
    </w:p>
    <w:p w14:paraId="2E8B4D66"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K</w:t>
      </w:r>
      <w:r w:rsidRPr="00207C3D">
        <w:rPr>
          <w:rFonts w:ascii="Times New Roman" w:hAnsi="Times New Roman" w:cs="Times New Roman"/>
          <w:b/>
          <w:bCs/>
          <w:sz w:val="24"/>
          <w:szCs w:val="24"/>
        </w:rPr>
        <w:tab/>
        <w:t>8120</w:t>
      </w:r>
      <w:r w:rsidRPr="00207C3D">
        <w:rPr>
          <w:rFonts w:ascii="Times New Roman" w:hAnsi="Times New Roman" w:cs="Times New Roman"/>
          <w:b/>
          <w:bCs/>
          <w:sz w:val="24"/>
          <w:szCs w:val="24"/>
        </w:rPr>
        <w:tab/>
        <w:t xml:space="preserve">Procentu ieņēmumi   </w:t>
      </w:r>
    </w:p>
    <w:p w14:paraId="31250BC9" w14:textId="77777777" w:rsidR="00207C3D" w:rsidRPr="00207C3D" w:rsidRDefault="00207C3D"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1100.   </w:t>
      </w:r>
      <w:r w:rsidRPr="00207C3D">
        <w:rPr>
          <w:rFonts w:ascii="Times New Roman" w:hAnsi="Times New Roman" w:cs="Times New Roman"/>
          <w:sz w:val="24"/>
          <w:szCs w:val="24"/>
        </w:rPr>
        <w:t>Ja pirms procentus pelnoša ieguldījuma iegādes tam ir uzkrāti nesamaksāti procenti, turpmāko procentu saņemšanu sadala, attiecinot uz periodu pirms iegādes un periodu pēc iegādes. Budžeta iestāde atzīst tikai tos procentu ieņēmumus, kas attiecas uz periodu pēc iegādes. Iegādājoties finanšu ieguldījumu, kuram ir uzkrāti nesamaksāti procenti, budžeta iestāde darījuma dienā veic sekojošu grāmatojumu:</w:t>
      </w:r>
    </w:p>
    <w:p w14:paraId="7541EDAA"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07C3D">
        <w:rPr>
          <w:rFonts w:ascii="Times New Roman" w:hAnsi="Times New Roman" w:cs="Times New Roman"/>
          <w:b/>
          <w:bCs/>
          <w:sz w:val="24"/>
          <w:szCs w:val="24"/>
        </w:rPr>
        <w:t>D</w:t>
      </w:r>
      <w:r w:rsidRPr="00207C3D">
        <w:rPr>
          <w:rFonts w:ascii="Times New Roman" w:hAnsi="Times New Roman" w:cs="Times New Roman"/>
          <w:b/>
          <w:bCs/>
          <w:sz w:val="24"/>
          <w:szCs w:val="24"/>
        </w:rPr>
        <w:tab/>
        <w:t>1369</w:t>
      </w:r>
      <w:r w:rsidRPr="00207C3D">
        <w:rPr>
          <w:rFonts w:ascii="Times New Roman" w:hAnsi="Times New Roman" w:cs="Times New Roman"/>
          <w:b/>
          <w:bCs/>
          <w:sz w:val="24"/>
          <w:szCs w:val="24"/>
        </w:rPr>
        <w:tab/>
        <w:t>Ilgtermiņa noguldījumi</w:t>
      </w:r>
    </w:p>
    <w:p w14:paraId="7D47962E"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8290*</w:t>
      </w:r>
      <w:r w:rsidRPr="00207C3D">
        <w:rPr>
          <w:rFonts w:ascii="Times New Roman" w:hAnsi="Times New Roman" w:cs="Times New Roman"/>
          <w:b/>
          <w:bCs/>
          <w:sz w:val="24"/>
          <w:szCs w:val="24"/>
        </w:rPr>
        <w:tab/>
        <w:t>Pārējie finanšu izdevumi</w:t>
      </w:r>
    </w:p>
    <w:p w14:paraId="3E5953A1"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K</w:t>
      </w:r>
      <w:r w:rsidRPr="00207C3D">
        <w:rPr>
          <w:rFonts w:ascii="Times New Roman" w:hAnsi="Times New Roman" w:cs="Times New Roman"/>
          <w:b/>
          <w:bCs/>
          <w:sz w:val="24"/>
          <w:szCs w:val="24"/>
        </w:rPr>
        <w:tab/>
        <w:t>2600</w:t>
      </w:r>
      <w:r w:rsidRPr="00207C3D">
        <w:rPr>
          <w:rFonts w:ascii="Times New Roman" w:hAnsi="Times New Roman" w:cs="Times New Roman"/>
          <w:b/>
          <w:bCs/>
          <w:sz w:val="24"/>
          <w:szCs w:val="24"/>
        </w:rPr>
        <w:tab/>
        <w:t>Naudas līdzekļi</w:t>
      </w:r>
    </w:p>
    <w:p w14:paraId="03EA1724" w14:textId="77777777" w:rsidR="006162DC" w:rsidRPr="00207C3D" w:rsidRDefault="00207C3D" w:rsidP="00CD363C">
      <w:pPr>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*iestāde, kas iegādājas finanšu aktīvu, izdevumos atzīst finanšu aktīva uzkrātos procentu ieņēmumus līdz iegādes dienai</w:t>
      </w:r>
    </w:p>
    <w:p w14:paraId="468676C7" w14:textId="77777777" w:rsidR="006162DC" w:rsidRPr="00A60C14" w:rsidRDefault="00207C3D" w:rsidP="00CD363C">
      <w:pPr>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1101.</w:t>
      </w:r>
      <w:r>
        <w:rPr>
          <w:rFonts w:ascii="Times New Roman" w:hAnsi="Times New Roman" w:cs="Times New Roman"/>
          <w:color w:val="FF0000"/>
          <w:sz w:val="24"/>
          <w:szCs w:val="24"/>
        </w:rPr>
        <w:t xml:space="preserve"> </w:t>
      </w:r>
      <w:r w:rsidR="00A60C14" w:rsidRPr="00A60C14">
        <w:rPr>
          <w:rFonts w:ascii="Times New Roman" w:hAnsi="Times New Roman" w:cs="Times New Roman"/>
          <w:sz w:val="24"/>
          <w:szCs w:val="24"/>
        </w:rPr>
        <w:t>23.6</w:t>
      </w:r>
      <w:r w:rsidRPr="00A60C14">
        <w:rPr>
          <w:rFonts w:ascii="Times New Roman" w:hAnsi="Times New Roman" w:cs="Times New Roman"/>
          <w:sz w:val="24"/>
          <w:szCs w:val="24"/>
        </w:rPr>
        <w:t xml:space="preserve"> apakšnodaļā “</w:t>
      </w:r>
      <w:r w:rsidR="00A60C14" w:rsidRPr="00A60C14">
        <w:rPr>
          <w:rFonts w:ascii="Times New Roman" w:hAnsi="Times New Roman" w:cs="Times New Roman"/>
          <w:sz w:val="24"/>
          <w:szCs w:val="24"/>
        </w:rPr>
        <w:t>23.6.1</w:t>
      </w:r>
      <w:r w:rsidRPr="00A60C14">
        <w:rPr>
          <w:rFonts w:ascii="Times New Roman" w:hAnsi="Times New Roman" w:cs="Times New Roman"/>
          <w:sz w:val="24"/>
          <w:szCs w:val="24"/>
        </w:rPr>
        <w:t>. Piemērs – ieņēmumu un procentu ieņēmumu atzīšana atliktā maksājuma gadījumā.” sniegts ilustratīvs piemērs procentu ieņēmumu uzskaitei.</w:t>
      </w:r>
    </w:p>
    <w:p w14:paraId="2F877AB3" w14:textId="77777777" w:rsidR="002804B9" w:rsidRDefault="002804B9" w:rsidP="00CD363C">
      <w:pPr>
        <w:spacing w:after="0" w:line="240" w:lineRule="auto"/>
        <w:ind w:right="425"/>
        <w:jc w:val="both"/>
        <w:rPr>
          <w:rFonts w:ascii="Times New Roman" w:hAnsi="Times New Roman" w:cs="Times New Roman"/>
          <w:b/>
          <w:bCs/>
          <w:sz w:val="24"/>
          <w:szCs w:val="24"/>
        </w:rPr>
      </w:pPr>
    </w:p>
    <w:p w14:paraId="7B7AE6A9" w14:textId="77777777" w:rsidR="006162DC"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23.4.2. Autoratlīdzības ieņēmumi</w:t>
      </w:r>
    </w:p>
    <w:p w14:paraId="34EFE618" w14:textId="77777777" w:rsidR="002804B9" w:rsidRPr="002804B9" w:rsidRDefault="002804B9" w:rsidP="00CD363C">
      <w:pPr>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1102.  Autoratlīdzības ieņēmumus budžeta iestāde atzīst, kad tie nopelnīti saskaņā ar attiecīgā līguma būtību un nosacījumiem, vai lineāri līguma darbības laikā, veicot sekojošu grāmatojumu:</w:t>
      </w:r>
    </w:p>
    <w:p w14:paraId="725AF491"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D</w:t>
      </w:r>
      <w:r w:rsidRPr="002804B9">
        <w:rPr>
          <w:rFonts w:ascii="Times New Roman" w:hAnsi="Times New Roman" w:cs="Times New Roman"/>
          <w:b/>
          <w:bCs/>
          <w:sz w:val="24"/>
          <w:szCs w:val="24"/>
        </w:rPr>
        <w:tab/>
        <w:t>2300</w:t>
      </w:r>
      <w:r w:rsidRPr="002804B9">
        <w:rPr>
          <w:rFonts w:ascii="Times New Roman" w:hAnsi="Times New Roman" w:cs="Times New Roman"/>
          <w:b/>
          <w:bCs/>
          <w:sz w:val="24"/>
          <w:szCs w:val="24"/>
        </w:rPr>
        <w:tab/>
        <w:t>Īstermiņa prasības</w:t>
      </w:r>
    </w:p>
    <w:p w14:paraId="26655451"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D</w:t>
      </w:r>
      <w:r w:rsidRPr="002804B9">
        <w:rPr>
          <w:rFonts w:ascii="Times New Roman" w:hAnsi="Times New Roman" w:cs="Times New Roman"/>
          <w:b/>
          <w:bCs/>
          <w:sz w:val="24"/>
          <w:szCs w:val="24"/>
        </w:rPr>
        <w:tab/>
        <w:t>2360</w:t>
      </w:r>
      <w:r w:rsidRPr="002804B9">
        <w:rPr>
          <w:rFonts w:ascii="Times New Roman" w:hAnsi="Times New Roman" w:cs="Times New Roman"/>
          <w:b/>
          <w:bCs/>
          <w:sz w:val="24"/>
          <w:szCs w:val="24"/>
        </w:rPr>
        <w:tab/>
        <w:t>Uzkrātie ieņēmumi</w:t>
      </w:r>
    </w:p>
    <w:p w14:paraId="186061CC" w14:textId="77777777" w:rsidR="006162DC"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K</w:t>
      </w:r>
      <w:r w:rsidRPr="002804B9">
        <w:rPr>
          <w:rFonts w:ascii="Times New Roman" w:hAnsi="Times New Roman" w:cs="Times New Roman"/>
          <w:b/>
          <w:bCs/>
          <w:sz w:val="24"/>
          <w:szCs w:val="24"/>
        </w:rPr>
        <w:tab/>
        <w:t>6000</w:t>
      </w:r>
      <w:r w:rsidRPr="002804B9">
        <w:rPr>
          <w:rFonts w:ascii="Times New Roman" w:hAnsi="Times New Roman" w:cs="Times New Roman"/>
          <w:b/>
          <w:bCs/>
          <w:sz w:val="24"/>
          <w:szCs w:val="24"/>
        </w:rPr>
        <w:tab/>
        <w:t>Pamatdarbības ieņēmumi</w:t>
      </w:r>
    </w:p>
    <w:p w14:paraId="449495B1" w14:textId="77777777" w:rsidR="006162DC"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23.4.3. Dividendes vai tamlīdzīgi maksājumi</w:t>
      </w:r>
    </w:p>
    <w:p w14:paraId="133F8530" w14:textId="77777777" w:rsidR="002804B9" w:rsidRPr="002804B9" w:rsidRDefault="002804B9" w:rsidP="00CD363C">
      <w:pPr>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1103. Ieņēmumus no dividendēm un tamlīdzīgiem maksājumiem atzīst dienā, kad ir noteiktas kapitāla daļu turētāja tiesības saņemt maksājumus, izņemot, ja atbilstošo ilgtermiņa finanšu ieguldījumu uzskaita saskaņā ar pašu kapitāla metodi, tas ir, ja attiecīgais finanšu ieguldījums ir klasificēts kā ieguldījums asociētā vai radniecīgā līdzdalībā.</w:t>
      </w:r>
    </w:p>
    <w:p w14:paraId="06E54CC5"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sz w:val="24"/>
          <w:szCs w:val="24"/>
        </w:rPr>
        <w:t xml:space="preserve">    </w:t>
      </w:r>
      <w:r w:rsidRPr="002804B9">
        <w:rPr>
          <w:rFonts w:ascii="Times New Roman" w:hAnsi="Times New Roman" w:cs="Times New Roman"/>
          <w:b/>
          <w:bCs/>
          <w:sz w:val="24"/>
          <w:szCs w:val="24"/>
        </w:rPr>
        <w:t>D    2390  Pārējās prasības</w:t>
      </w:r>
    </w:p>
    <w:p w14:paraId="25BEDC3D"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K   8190  Pārējie finanšu ieņēmumi</w:t>
      </w:r>
    </w:p>
    <w:p w14:paraId="2613CC41" w14:textId="77777777" w:rsidR="006162DC" w:rsidRDefault="002804B9" w:rsidP="00CD363C">
      <w:pPr>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 xml:space="preserve">1104. Gadījumā, ja ieguldījumu kapitālsabiedrībā uzskaita saskaņā ar pašu kapitāla metodi, ieņēmumus no dividendēm uzskaita atbilstoši </w:t>
      </w:r>
      <w:r>
        <w:rPr>
          <w:rFonts w:ascii="Times New Roman" w:hAnsi="Times New Roman" w:cs="Times New Roman"/>
          <w:sz w:val="24"/>
          <w:szCs w:val="24"/>
        </w:rPr>
        <w:t>Grāmatvedības uzskaites kārtībā</w:t>
      </w:r>
      <w:r w:rsidRPr="002804B9">
        <w:rPr>
          <w:rFonts w:ascii="Times New Roman" w:hAnsi="Times New Roman" w:cs="Times New Roman"/>
          <w:sz w:val="24"/>
          <w:szCs w:val="24"/>
        </w:rPr>
        <w:t xml:space="preserve"> sadaļā “Līdzdalības radniecīgajās un asociētajās kapitālsabiedrībās uzskaite” noteiktajiem uzskaites principiem.</w:t>
      </w:r>
    </w:p>
    <w:p w14:paraId="608FA703" w14:textId="77777777" w:rsid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23.4.4.Ieņēmumi no aktīvu atsavināšanas</w:t>
      </w:r>
    </w:p>
    <w:p w14:paraId="02071049" w14:textId="77777777" w:rsidR="002804B9" w:rsidRPr="002804B9" w:rsidRDefault="002804B9"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1105.   Ieņēmumus no aktīva atsavināšanas atzīst, ievērojot šādus</w:t>
      </w:r>
      <w:r w:rsidRPr="002804B9">
        <w:rPr>
          <w:rFonts w:ascii="Times New Roman" w:hAnsi="Times New Roman" w:cs="Times New Roman"/>
          <w:spacing w:val="-9"/>
          <w:sz w:val="24"/>
          <w:szCs w:val="24"/>
        </w:rPr>
        <w:t xml:space="preserve"> </w:t>
      </w:r>
      <w:r w:rsidRPr="002804B9">
        <w:rPr>
          <w:rFonts w:ascii="Times New Roman" w:hAnsi="Times New Roman" w:cs="Times New Roman"/>
          <w:sz w:val="24"/>
          <w:szCs w:val="24"/>
        </w:rPr>
        <w:t>nosacījumus:</w:t>
      </w:r>
    </w:p>
    <w:p w14:paraId="64086D1A" w14:textId="77777777" w:rsidR="002804B9" w:rsidRPr="002804B9" w:rsidRDefault="002804B9" w:rsidP="00CD363C">
      <w:pPr>
        <w:pStyle w:val="Sarakstarindkopa"/>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budžeta iestāde ir nodevusi pircējam nozīmīgus ar aktīva īpašuma tiesībām saistītus riskus un atlīdzības;</w:t>
      </w:r>
    </w:p>
    <w:p w14:paraId="324E5B36" w14:textId="77777777" w:rsidR="002804B9" w:rsidRPr="002804B9" w:rsidRDefault="002804B9" w:rsidP="00CD363C">
      <w:pPr>
        <w:pStyle w:val="Sarakstarindkopa"/>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budžeta</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iestāde</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nesaglabā</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turpmākās</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pārvaldīšanas</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tiesības</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tādā</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apjomā,</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ko</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parasti</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dod</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īpašuma tiesības, un kontroli pār pārdotajiem</w:t>
      </w:r>
      <w:r w:rsidRPr="002804B9">
        <w:rPr>
          <w:rFonts w:ascii="Times New Roman" w:hAnsi="Times New Roman" w:cs="Times New Roman"/>
          <w:spacing w:val="-8"/>
          <w:sz w:val="24"/>
          <w:szCs w:val="24"/>
        </w:rPr>
        <w:t xml:space="preserve"> </w:t>
      </w:r>
      <w:r w:rsidRPr="002804B9">
        <w:rPr>
          <w:rFonts w:ascii="Times New Roman" w:hAnsi="Times New Roman" w:cs="Times New Roman"/>
          <w:sz w:val="24"/>
          <w:szCs w:val="24"/>
        </w:rPr>
        <w:t>aktīviem;</w:t>
      </w:r>
    </w:p>
    <w:p w14:paraId="030DEC28" w14:textId="77777777" w:rsidR="002804B9" w:rsidRPr="002804B9" w:rsidRDefault="002804B9" w:rsidP="00CD363C">
      <w:pPr>
        <w:pStyle w:val="Sarakstarindkopa"/>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ieņēmumu summu var ticami</w:t>
      </w:r>
      <w:r w:rsidRPr="002804B9">
        <w:rPr>
          <w:rFonts w:ascii="Times New Roman" w:hAnsi="Times New Roman" w:cs="Times New Roman"/>
          <w:spacing w:val="3"/>
          <w:sz w:val="24"/>
          <w:szCs w:val="24"/>
        </w:rPr>
        <w:t xml:space="preserve"> </w:t>
      </w:r>
      <w:r w:rsidRPr="002804B9">
        <w:rPr>
          <w:rFonts w:ascii="Times New Roman" w:hAnsi="Times New Roman" w:cs="Times New Roman"/>
          <w:sz w:val="24"/>
          <w:szCs w:val="24"/>
        </w:rPr>
        <w:t>novērtēt;</w:t>
      </w:r>
    </w:p>
    <w:p w14:paraId="48295D39" w14:textId="77777777" w:rsidR="002804B9" w:rsidRPr="002804B9" w:rsidRDefault="002804B9" w:rsidP="00CD363C">
      <w:pPr>
        <w:pStyle w:val="Sarakstarindkopa"/>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ir ticams, ka budžeta iestāde saņems atlīdzību par atsavināto</w:t>
      </w:r>
      <w:r w:rsidRPr="002804B9">
        <w:rPr>
          <w:rFonts w:ascii="Times New Roman" w:hAnsi="Times New Roman" w:cs="Times New Roman"/>
          <w:spacing w:val="-3"/>
          <w:sz w:val="24"/>
          <w:szCs w:val="24"/>
        </w:rPr>
        <w:t xml:space="preserve"> </w:t>
      </w:r>
      <w:r w:rsidRPr="002804B9">
        <w:rPr>
          <w:rFonts w:ascii="Times New Roman" w:hAnsi="Times New Roman" w:cs="Times New Roman"/>
          <w:sz w:val="24"/>
          <w:szCs w:val="24"/>
        </w:rPr>
        <w:t>aktīvu;</w:t>
      </w:r>
    </w:p>
    <w:p w14:paraId="75EA315E" w14:textId="77777777" w:rsidR="002804B9" w:rsidRPr="002804B9" w:rsidRDefault="002804B9"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1106.    Ieņēmumus no aktīvu atsavināšanas sākotnēji atzīst atlīdzības patiesajā vērtībā. Atliktā maksājuma (virs 12 mēnešiem) gadījumā ieņēmumus atzīst maksājumu pašreizējā vērtībā (naudas vērtība laikā). Atliktā maksājuma (virs 12 mēnešiem) gadījumā prasību uzskaite veicama saskaņā ar finanšu instrumentu uzskaites principiem, kas sniegti Grāmatvedības uzskaites kārtības sadaļā</w:t>
      </w:r>
      <w:r w:rsidRPr="002804B9">
        <w:rPr>
          <w:rFonts w:ascii="Times New Roman" w:hAnsi="Times New Roman" w:cs="Times New Roman"/>
          <w:color w:val="0462C1"/>
          <w:sz w:val="24"/>
          <w:szCs w:val="24"/>
        </w:rPr>
        <w:t xml:space="preserve"> </w:t>
      </w:r>
      <w:r w:rsidRPr="002804B9">
        <w:rPr>
          <w:rFonts w:ascii="Times New Roman" w:hAnsi="Times New Roman" w:cs="Times New Roman"/>
          <w:color w:val="0462C1"/>
          <w:sz w:val="24"/>
          <w:szCs w:val="24"/>
          <w:u w:val="single" w:color="0462C1"/>
        </w:rPr>
        <w:t>“</w:t>
      </w:r>
      <w:hyperlink w:anchor="_bookmark333" w:history="1">
        <w:r w:rsidRPr="002804B9">
          <w:rPr>
            <w:rFonts w:ascii="Times New Roman" w:hAnsi="Times New Roman" w:cs="Times New Roman"/>
            <w:color w:val="0462C1"/>
            <w:sz w:val="24"/>
            <w:szCs w:val="24"/>
            <w:u w:val="single" w:color="0462C1"/>
          </w:rPr>
          <w:t>Finanšu instrumentu</w:t>
        </w:r>
        <w:r w:rsidRPr="002804B9">
          <w:rPr>
            <w:rFonts w:ascii="Times New Roman" w:hAnsi="Times New Roman" w:cs="Times New Roman"/>
            <w:color w:val="0462C1"/>
            <w:spacing w:val="-25"/>
            <w:sz w:val="24"/>
            <w:szCs w:val="24"/>
            <w:u w:val="single" w:color="0462C1"/>
          </w:rPr>
          <w:t xml:space="preserve"> </w:t>
        </w:r>
        <w:r w:rsidRPr="002804B9">
          <w:rPr>
            <w:rFonts w:ascii="Times New Roman" w:hAnsi="Times New Roman" w:cs="Times New Roman"/>
            <w:color w:val="0462C1"/>
            <w:sz w:val="24"/>
            <w:szCs w:val="24"/>
            <w:u w:val="single" w:color="0462C1"/>
          </w:rPr>
          <w:t>uzskaite</w:t>
        </w:r>
      </w:hyperlink>
      <w:r w:rsidRPr="002804B9">
        <w:rPr>
          <w:rFonts w:ascii="Times New Roman" w:hAnsi="Times New Roman" w:cs="Times New Roman"/>
          <w:color w:val="0462C1"/>
          <w:sz w:val="24"/>
          <w:szCs w:val="24"/>
          <w:u w:val="single" w:color="0462C1"/>
        </w:rPr>
        <w:t>”</w:t>
      </w:r>
      <w:r w:rsidRPr="002804B9">
        <w:rPr>
          <w:rFonts w:ascii="Times New Roman" w:hAnsi="Times New Roman" w:cs="Times New Roman"/>
          <w:sz w:val="24"/>
          <w:szCs w:val="24"/>
        </w:rPr>
        <w:t>.</w:t>
      </w:r>
    </w:p>
    <w:p w14:paraId="3474D5F1" w14:textId="77777777" w:rsidR="002804B9" w:rsidRPr="002804B9" w:rsidRDefault="002804B9"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1107.   Kompensāciju no trešajām pusēm par ilgtermiņa ieguldījumu vērtības samazināšanos, zaudētiem vai atdotiem ilgtermiņa ieguldījumiem (piemēram apdrošināšanas atlīdzību) atzīst pārskata perioda pamatdarbības</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ieņēmumos,</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kad</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kompensācijas</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saņemšana</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ir</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droši</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ticama</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(gūti</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ticami</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pierādījumi,</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ka kompensācija tiks</w:t>
      </w:r>
      <w:r w:rsidRPr="002804B9">
        <w:rPr>
          <w:rFonts w:ascii="Times New Roman" w:hAnsi="Times New Roman" w:cs="Times New Roman"/>
          <w:spacing w:val="-3"/>
          <w:sz w:val="24"/>
          <w:szCs w:val="24"/>
        </w:rPr>
        <w:t xml:space="preserve"> </w:t>
      </w:r>
      <w:r w:rsidRPr="002804B9">
        <w:rPr>
          <w:rFonts w:ascii="Times New Roman" w:hAnsi="Times New Roman" w:cs="Times New Roman"/>
          <w:sz w:val="24"/>
          <w:szCs w:val="24"/>
        </w:rPr>
        <w:t>saņemta).</w:t>
      </w:r>
    </w:p>
    <w:p w14:paraId="01403C85" w14:textId="77777777" w:rsidR="002804B9" w:rsidRDefault="002804B9"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23.5. Līgumsodi</w:t>
      </w:r>
    </w:p>
    <w:p w14:paraId="185E761D"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1108.   </w:t>
      </w:r>
      <w:r w:rsidRPr="004E0EA7">
        <w:rPr>
          <w:rFonts w:ascii="Times New Roman" w:hAnsi="Times New Roman" w:cs="Times New Roman"/>
          <w:sz w:val="24"/>
          <w:szCs w:val="24"/>
        </w:rPr>
        <w:t>Budžeta iestāde atzīst ieņēmumus no līgumsodiem, ja saņemamā summa atbilst aktīva definīcijai un aktīva atzīšanas kritērijiem.</w:t>
      </w:r>
    </w:p>
    <w:p w14:paraId="7AE5E810"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1109.   </w:t>
      </w:r>
      <w:r w:rsidRPr="004E0EA7">
        <w:rPr>
          <w:rFonts w:ascii="Times New Roman" w:hAnsi="Times New Roman" w:cs="Times New Roman"/>
          <w:sz w:val="24"/>
          <w:szCs w:val="24"/>
        </w:rPr>
        <w:t>Budžeta iestāde līgumsodus uzskaita zembilancē no dienas, kad tai rodas likumīgas tiesības iekasēt attiecīgo līgumsodu, bet bilancē – no dienas, kad līgumsoda saņemšana ir droši ticama.</w:t>
      </w:r>
    </w:p>
    <w:p w14:paraId="610495A0"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1110. </w:t>
      </w:r>
      <w:r w:rsidRPr="004E0EA7">
        <w:rPr>
          <w:rFonts w:ascii="Times New Roman" w:hAnsi="Times New Roman" w:cs="Times New Roman"/>
          <w:sz w:val="24"/>
          <w:szCs w:val="24"/>
        </w:rPr>
        <w:t>Ja līgumsoda saņemšana ir droši ticama, budžeta iestāde novērtē pamatdarbības ieņēmumus no līgumsoda atbilstoši resursu visticamākajai aplēsei un atzīst dienā, kad tai rodas tiesības saņemt attiecīgo līgumsodu. Kad līgumsoda saņemšana ir droši ticama, budžeta iestāde atzīst prasību par saņemamo līgumsodu un ieņēmumus, veicot šādu grāmatojumu:</w:t>
      </w:r>
    </w:p>
    <w:p w14:paraId="07ECFB43"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sidRPr="004E0EA7">
        <w:rPr>
          <w:rFonts w:ascii="Times New Roman" w:hAnsi="Times New Roman" w:cs="Times New Roman"/>
          <w:b/>
          <w:bCs/>
          <w:sz w:val="24"/>
          <w:szCs w:val="24"/>
        </w:rPr>
        <w:t xml:space="preserve">    D</w:t>
      </w:r>
      <w:r w:rsidRPr="004E0EA7">
        <w:rPr>
          <w:rFonts w:ascii="Times New Roman" w:hAnsi="Times New Roman" w:cs="Times New Roman"/>
          <w:b/>
          <w:bCs/>
          <w:sz w:val="24"/>
          <w:szCs w:val="24"/>
        </w:rPr>
        <w:tab/>
        <w:t>2300</w:t>
      </w:r>
      <w:r w:rsidRPr="004E0EA7">
        <w:rPr>
          <w:rFonts w:ascii="Times New Roman" w:hAnsi="Times New Roman" w:cs="Times New Roman"/>
          <w:b/>
          <w:bCs/>
          <w:sz w:val="24"/>
          <w:szCs w:val="24"/>
        </w:rPr>
        <w:tab/>
        <w:t>Īstermiņa prasības*</w:t>
      </w:r>
    </w:p>
    <w:p w14:paraId="296FEE8A"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sidRPr="004E0EA7">
        <w:rPr>
          <w:rFonts w:ascii="Times New Roman" w:hAnsi="Times New Roman" w:cs="Times New Roman"/>
          <w:b/>
          <w:bCs/>
          <w:sz w:val="24"/>
          <w:szCs w:val="24"/>
        </w:rPr>
        <w:t xml:space="preserve">    K</w:t>
      </w:r>
      <w:r w:rsidRPr="004E0EA7">
        <w:rPr>
          <w:rFonts w:ascii="Times New Roman" w:hAnsi="Times New Roman" w:cs="Times New Roman"/>
          <w:b/>
          <w:bCs/>
          <w:sz w:val="24"/>
          <w:szCs w:val="24"/>
        </w:rPr>
        <w:tab/>
        <w:t>6000</w:t>
      </w:r>
      <w:r w:rsidRPr="004E0EA7">
        <w:rPr>
          <w:rFonts w:ascii="Times New Roman" w:hAnsi="Times New Roman" w:cs="Times New Roman"/>
          <w:b/>
          <w:bCs/>
          <w:sz w:val="24"/>
          <w:szCs w:val="24"/>
        </w:rPr>
        <w:tab/>
        <w:t>Pamatdarbības ieņēmumi</w:t>
      </w:r>
    </w:p>
    <w:p w14:paraId="461EFCA0" w14:textId="77777777" w:rsidR="004E0EA7" w:rsidRPr="004E0EA7" w:rsidRDefault="004E0EA7" w:rsidP="00CD363C">
      <w:pPr>
        <w:spacing w:after="0" w:line="240" w:lineRule="auto"/>
        <w:ind w:right="425"/>
        <w:jc w:val="both"/>
        <w:rPr>
          <w:rFonts w:ascii="Times New Roman" w:hAnsi="Times New Roman" w:cs="Times New Roman"/>
          <w:sz w:val="24"/>
          <w:szCs w:val="24"/>
        </w:rPr>
      </w:pPr>
      <w:r w:rsidRPr="004E0EA7">
        <w:rPr>
          <w:rFonts w:ascii="Times New Roman" w:hAnsi="Times New Roman" w:cs="Times New Roman"/>
          <w:sz w:val="24"/>
          <w:szCs w:val="24"/>
        </w:rPr>
        <w:t>*</w:t>
      </w:r>
      <w:r w:rsidRPr="004E0EA7">
        <w:rPr>
          <w:rFonts w:ascii="Times New Roman" w:hAnsi="Times New Roman" w:cs="Times New Roman"/>
          <w:sz w:val="24"/>
          <w:szCs w:val="24"/>
        </w:rPr>
        <w:tab/>
        <w:t>ja līgumsods nav atzīstams par droši ticamu pilnā apmērā, to daļu (apmēru), kas nav atzīstama par droši ticamu, uzskaita zembilancē.</w:t>
      </w:r>
    </w:p>
    <w:p w14:paraId="2DCE4D75"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1111.    </w:t>
      </w:r>
      <w:r w:rsidRPr="004E0EA7">
        <w:rPr>
          <w:rFonts w:ascii="Times New Roman" w:hAnsi="Times New Roman" w:cs="Times New Roman"/>
          <w:sz w:val="24"/>
          <w:szCs w:val="24"/>
        </w:rPr>
        <w:t>Līgumsoda saņemšanas dienā budžeta iestāde palielina naudas līdzekļus un samazina iepriekš atzītās prasības, veicot šādu grāmatojumu:</w:t>
      </w:r>
    </w:p>
    <w:p w14:paraId="5E7E5858"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4E0EA7">
        <w:rPr>
          <w:rFonts w:ascii="Times New Roman" w:hAnsi="Times New Roman" w:cs="Times New Roman"/>
          <w:b/>
          <w:bCs/>
          <w:sz w:val="24"/>
          <w:szCs w:val="24"/>
        </w:rPr>
        <w:t>D</w:t>
      </w:r>
      <w:r w:rsidRPr="004E0EA7">
        <w:rPr>
          <w:rFonts w:ascii="Times New Roman" w:hAnsi="Times New Roman" w:cs="Times New Roman"/>
          <w:b/>
          <w:bCs/>
          <w:sz w:val="24"/>
          <w:szCs w:val="24"/>
        </w:rPr>
        <w:tab/>
        <w:t>2600</w:t>
      </w:r>
      <w:r w:rsidRPr="004E0EA7">
        <w:rPr>
          <w:rFonts w:ascii="Times New Roman" w:hAnsi="Times New Roman" w:cs="Times New Roman"/>
          <w:b/>
          <w:bCs/>
          <w:sz w:val="24"/>
          <w:szCs w:val="24"/>
        </w:rPr>
        <w:tab/>
        <w:t>Naudas līdzekļi</w:t>
      </w:r>
    </w:p>
    <w:p w14:paraId="301015D1"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sidRPr="004E0EA7">
        <w:rPr>
          <w:rFonts w:ascii="Times New Roman" w:hAnsi="Times New Roman" w:cs="Times New Roman"/>
          <w:b/>
          <w:bCs/>
          <w:sz w:val="24"/>
          <w:szCs w:val="24"/>
        </w:rPr>
        <w:t xml:space="preserve">    K</w:t>
      </w:r>
      <w:r w:rsidRPr="004E0EA7">
        <w:rPr>
          <w:rFonts w:ascii="Times New Roman" w:hAnsi="Times New Roman" w:cs="Times New Roman"/>
          <w:b/>
          <w:bCs/>
          <w:sz w:val="24"/>
          <w:szCs w:val="24"/>
        </w:rPr>
        <w:tab/>
        <w:t>2300</w:t>
      </w:r>
      <w:r w:rsidRPr="004E0EA7">
        <w:rPr>
          <w:rFonts w:ascii="Times New Roman" w:hAnsi="Times New Roman" w:cs="Times New Roman"/>
          <w:b/>
          <w:bCs/>
          <w:sz w:val="24"/>
          <w:szCs w:val="24"/>
        </w:rPr>
        <w:tab/>
        <w:t>Īstermiņa prasības</w:t>
      </w:r>
    </w:p>
    <w:p w14:paraId="7421B157"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1112.  </w:t>
      </w:r>
      <w:r w:rsidR="004E0EA7" w:rsidRPr="004E0EA7">
        <w:rPr>
          <w:rFonts w:ascii="Times New Roman" w:hAnsi="Times New Roman" w:cs="Times New Roman"/>
          <w:sz w:val="24"/>
          <w:szCs w:val="24"/>
        </w:rPr>
        <w:t>Ja līgumsoda saņemšana nav droši ticama, pamatdarbības ieņēmumus atzīst naudas līdzekļu saņemšanas dienā. Informāciju par aprēķinātajiem līgumsodiem līdz atbilstošā aktīva (prasību vai naudas līdzekļu) atzīšanai uzskaita zembilancē.</w:t>
      </w:r>
    </w:p>
    <w:p w14:paraId="4B9D3C35"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1113.   </w:t>
      </w:r>
      <w:r w:rsidR="004E0EA7" w:rsidRPr="004E0EA7">
        <w:rPr>
          <w:rFonts w:ascii="Times New Roman" w:hAnsi="Times New Roman" w:cs="Times New Roman"/>
          <w:sz w:val="24"/>
          <w:szCs w:val="24"/>
        </w:rPr>
        <w:t>Budžeta iestāde līgumsodu uzskaita zembilancē, sākot ar līgumsoda aprēķina vai piemērošanas dienu, pamatojoties uz līgumsoda aprēķinu vai citu attaisnojuma dokumentu, veicot šādu grāmatojumu:</w:t>
      </w:r>
    </w:p>
    <w:p w14:paraId="6A1BA2C8"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D</w:t>
      </w:r>
      <w:r w:rsidR="004E0EA7" w:rsidRPr="00325D10">
        <w:rPr>
          <w:rFonts w:ascii="Times New Roman" w:hAnsi="Times New Roman" w:cs="Times New Roman"/>
          <w:b/>
          <w:bCs/>
          <w:sz w:val="24"/>
          <w:szCs w:val="24"/>
        </w:rPr>
        <w:tab/>
        <w:t>9130</w:t>
      </w:r>
      <w:r w:rsidR="004E0EA7" w:rsidRPr="00325D10">
        <w:rPr>
          <w:rFonts w:ascii="Times New Roman" w:hAnsi="Times New Roman" w:cs="Times New Roman"/>
          <w:b/>
          <w:bCs/>
          <w:sz w:val="24"/>
          <w:szCs w:val="24"/>
        </w:rPr>
        <w:tab/>
        <w:t>Aprēķinātie līgumsodi, naudas sodi, soda naudas un kavējuma naudas</w:t>
      </w:r>
    </w:p>
    <w:p w14:paraId="4140B137"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K</w:t>
      </w:r>
      <w:r w:rsidR="004E0EA7" w:rsidRPr="00325D10">
        <w:rPr>
          <w:rFonts w:ascii="Times New Roman" w:hAnsi="Times New Roman" w:cs="Times New Roman"/>
          <w:b/>
          <w:bCs/>
          <w:sz w:val="24"/>
          <w:szCs w:val="24"/>
        </w:rPr>
        <w:tab/>
        <w:t>9XXX</w:t>
      </w:r>
      <w:r w:rsidR="004E0EA7" w:rsidRPr="00325D10">
        <w:rPr>
          <w:rFonts w:ascii="Times New Roman" w:hAnsi="Times New Roman" w:cs="Times New Roman"/>
          <w:b/>
          <w:bCs/>
          <w:sz w:val="24"/>
          <w:szCs w:val="24"/>
        </w:rPr>
        <w:tab/>
        <w:t>Zembilances pretkonts*</w:t>
      </w:r>
    </w:p>
    <w:p w14:paraId="69DB6DA9" w14:textId="77777777" w:rsidR="004E0EA7" w:rsidRPr="004E0EA7" w:rsidRDefault="004E0EA7" w:rsidP="00CD363C">
      <w:pPr>
        <w:spacing w:after="0" w:line="240" w:lineRule="auto"/>
        <w:ind w:right="425"/>
        <w:jc w:val="both"/>
        <w:rPr>
          <w:rFonts w:ascii="Times New Roman" w:hAnsi="Times New Roman" w:cs="Times New Roman"/>
          <w:sz w:val="24"/>
          <w:szCs w:val="24"/>
        </w:rPr>
      </w:pPr>
      <w:r w:rsidRPr="004E0EA7">
        <w:rPr>
          <w:rFonts w:ascii="Times New Roman" w:hAnsi="Times New Roman" w:cs="Times New Roman"/>
          <w:sz w:val="24"/>
          <w:szCs w:val="24"/>
        </w:rPr>
        <w:t>*</w:t>
      </w:r>
      <w:r w:rsidRPr="004E0EA7">
        <w:rPr>
          <w:rFonts w:ascii="Times New Roman" w:hAnsi="Times New Roman" w:cs="Times New Roman"/>
          <w:sz w:val="24"/>
          <w:szCs w:val="24"/>
        </w:rPr>
        <w:tab/>
        <w:t>zembilances pretkonts ir tehniskais konts, kurš nodrošina grāmatvedības uzskaites sistēmās zembilances uzskaiti pēc divkārša ieraksta principa. Budžeta iestāde var izvēlēties arī citu tehniskā konta lietošanu zembilances darījuma uzskaitei.</w:t>
      </w:r>
    </w:p>
    <w:p w14:paraId="220ACEB4"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1114.  </w:t>
      </w:r>
      <w:r w:rsidR="004E0EA7" w:rsidRPr="004E0EA7">
        <w:rPr>
          <w:rFonts w:ascii="Times New Roman" w:hAnsi="Times New Roman" w:cs="Times New Roman"/>
          <w:sz w:val="24"/>
          <w:szCs w:val="24"/>
        </w:rPr>
        <w:t>Ja budžeta iestāde saņem līgumsoda maksājumu, kura saņemšana iepriekš nav bijusi ticama un tas ir uzskaitīts zembilancē, līgumsoda saņemšanas dienā palielina prasības un atzīst ieņēmumus, veicot šādu grāmatojumu:</w:t>
      </w:r>
    </w:p>
    <w:p w14:paraId="13A88EDC"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D</w:t>
      </w:r>
      <w:r w:rsidR="004E0EA7" w:rsidRPr="00325D10">
        <w:rPr>
          <w:rFonts w:ascii="Times New Roman" w:hAnsi="Times New Roman" w:cs="Times New Roman"/>
          <w:b/>
          <w:bCs/>
          <w:sz w:val="24"/>
          <w:szCs w:val="24"/>
        </w:rPr>
        <w:tab/>
        <w:t>2300</w:t>
      </w:r>
      <w:r w:rsidR="004E0EA7" w:rsidRPr="00325D10">
        <w:rPr>
          <w:rFonts w:ascii="Times New Roman" w:hAnsi="Times New Roman" w:cs="Times New Roman"/>
          <w:b/>
          <w:bCs/>
          <w:sz w:val="24"/>
          <w:szCs w:val="24"/>
        </w:rPr>
        <w:tab/>
        <w:t>Īstermiņa prasības</w:t>
      </w:r>
    </w:p>
    <w:p w14:paraId="447D3BA1"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K</w:t>
      </w:r>
      <w:r w:rsidR="004E0EA7" w:rsidRPr="00325D10">
        <w:rPr>
          <w:rFonts w:ascii="Times New Roman" w:hAnsi="Times New Roman" w:cs="Times New Roman"/>
          <w:b/>
          <w:bCs/>
          <w:sz w:val="24"/>
          <w:szCs w:val="24"/>
        </w:rPr>
        <w:tab/>
        <w:t>6000</w:t>
      </w:r>
      <w:r w:rsidR="004E0EA7" w:rsidRPr="00325D10">
        <w:rPr>
          <w:rFonts w:ascii="Times New Roman" w:hAnsi="Times New Roman" w:cs="Times New Roman"/>
          <w:b/>
          <w:bCs/>
          <w:sz w:val="24"/>
          <w:szCs w:val="24"/>
        </w:rPr>
        <w:tab/>
        <w:t>Pamatdarbības ieņēmumi</w:t>
      </w:r>
    </w:p>
    <w:p w14:paraId="136561B0" w14:textId="77777777" w:rsidR="004E0EA7" w:rsidRPr="00325D10" w:rsidRDefault="00325D10" w:rsidP="00CD363C">
      <w:pPr>
        <w:spacing w:after="0" w:line="240" w:lineRule="auto"/>
        <w:ind w:right="425"/>
        <w:jc w:val="both"/>
        <w:rPr>
          <w:rFonts w:ascii="Times New Roman" w:hAnsi="Times New Roman" w:cs="Times New Roman"/>
          <w:sz w:val="24"/>
          <w:szCs w:val="24"/>
        </w:rPr>
      </w:pPr>
      <w:r w:rsidRPr="00325D10">
        <w:rPr>
          <w:rFonts w:ascii="Times New Roman" w:hAnsi="Times New Roman" w:cs="Times New Roman"/>
          <w:sz w:val="24"/>
          <w:szCs w:val="24"/>
        </w:rPr>
        <w:t xml:space="preserve">1115.    </w:t>
      </w:r>
      <w:r w:rsidR="004E0EA7" w:rsidRPr="00325D10">
        <w:rPr>
          <w:rFonts w:ascii="Times New Roman" w:hAnsi="Times New Roman" w:cs="Times New Roman"/>
          <w:sz w:val="24"/>
          <w:szCs w:val="24"/>
        </w:rPr>
        <w:t>Saņemot naudas maksājumu samazina iepriekš atzītās prasības saņemtās summas apmērā, veicot šādu grāmatojumu:</w:t>
      </w:r>
    </w:p>
    <w:p w14:paraId="33615A61"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004E0EA7" w:rsidRPr="00325D10">
        <w:rPr>
          <w:rFonts w:ascii="Times New Roman" w:hAnsi="Times New Roman" w:cs="Times New Roman"/>
          <w:b/>
          <w:bCs/>
          <w:sz w:val="24"/>
          <w:szCs w:val="24"/>
        </w:rPr>
        <w:t>D</w:t>
      </w:r>
      <w:r w:rsidRPr="00325D10">
        <w:rPr>
          <w:rFonts w:ascii="Times New Roman" w:hAnsi="Times New Roman" w:cs="Times New Roman"/>
          <w:b/>
          <w:bCs/>
          <w:sz w:val="24"/>
          <w:szCs w:val="24"/>
        </w:rPr>
        <w:t xml:space="preserve">    2600   Naudas līdzekļi</w:t>
      </w:r>
    </w:p>
    <w:p w14:paraId="38D512FB"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K</w:t>
      </w:r>
      <w:r w:rsidRPr="00325D10">
        <w:rPr>
          <w:rFonts w:ascii="Times New Roman" w:hAnsi="Times New Roman" w:cs="Times New Roman"/>
          <w:b/>
          <w:bCs/>
          <w:sz w:val="24"/>
          <w:szCs w:val="24"/>
        </w:rPr>
        <w:t xml:space="preserve">    2</w:t>
      </w:r>
      <w:r w:rsidR="004E0EA7" w:rsidRPr="00325D10">
        <w:rPr>
          <w:rFonts w:ascii="Times New Roman" w:hAnsi="Times New Roman" w:cs="Times New Roman"/>
          <w:b/>
          <w:bCs/>
          <w:sz w:val="24"/>
          <w:szCs w:val="24"/>
        </w:rPr>
        <w:t>300</w:t>
      </w: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Īstermiņa prasības</w:t>
      </w:r>
    </w:p>
    <w:p w14:paraId="6145F58F"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1116.   </w:t>
      </w:r>
      <w:r w:rsidR="004E0EA7" w:rsidRPr="004E0EA7">
        <w:rPr>
          <w:rFonts w:ascii="Times New Roman" w:hAnsi="Times New Roman" w:cs="Times New Roman"/>
          <w:sz w:val="24"/>
          <w:szCs w:val="24"/>
        </w:rPr>
        <w:t>Vienlaikus, saņemot līgumsoda maksājumu, kas iepriekš uzskaitīts zembilancē, vai gadījumā, ja līgumsoda saņemšana novērtēta kā droši ticama un atzīta prasība bilancē, budžeta iestāde samazina zembilances prasības par iepriekš zembilancē uzskaitīto līgumsodu attiecīgajā apmērā un veic šādu grāmatojumu:</w:t>
      </w:r>
    </w:p>
    <w:p w14:paraId="53EA48A3" w14:textId="77777777" w:rsidR="004E0EA7" w:rsidRDefault="004E0EA7" w:rsidP="00CD363C">
      <w:pPr>
        <w:spacing w:after="0" w:line="240" w:lineRule="auto"/>
        <w:ind w:right="425"/>
        <w:jc w:val="both"/>
        <w:rPr>
          <w:rFonts w:ascii="Times New Roman" w:hAnsi="Times New Roman" w:cs="Times New Roman"/>
          <w:sz w:val="24"/>
          <w:szCs w:val="24"/>
        </w:rPr>
      </w:pPr>
    </w:p>
    <w:p w14:paraId="5DF17F50" w14:textId="77777777" w:rsidR="004E0EA7" w:rsidRPr="002805AE" w:rsidRDefault="00325D10" w:rsidP="00CD363C">
      <w:pPr>
        <w:spacing w:after="0" w:line="240" w:lineRule="auto"/>
        <w:ind w:right="425"/>
        <w:jc w:val="both"/>
        <w:rPr>
          <w:rFonts w:ascii="Times New Roman" w:hAnsi="Times New Roman" w:cs="Times New Roman"/>
          <w:b/>
          <w:bCs/>
          <w:sz w:val="24"/>
          <w:szCs w:val="24"/>
        </w:rPr>
      </w:pP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D</w:t>
      </w: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9XXX</w:t>
      </w:r>
      <w:r w:rsidR="002805AE"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Zembilances pretkonts*</w:t>
      </w:r>
    </w:p>
    <w:p w14:paraId="14AE01B2" w14:textId="77777777" w:rsidR="004E0EA7" w:rsidRPr="002805AE" w:rsidRDefault="002805AE" w:rsidP="00CD363C">
      <w:pPr>
        <w:spacing w:after="0" w:line="240" w:lineRule="auto"/>
        <w:ind w:right="425"/>
        <w:jc w:val="both"/>
        <w:rPr>
          <w:rFonts w:ascii="Times New Roman" w:hAnsi="Times New Roman" w:cs="Times New Roman"/>
          <w:b/>
          <w:bCs/>
          <w:sz w:val="24"/>
          <w:szCs w:val="24"/>
        </w:rPr>
      </w:pP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K</w:t>
      </w: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9130</w:t>
      </w:r>
      <w:r w:rsidR="004E0EA7" w:rsidRPr="002805AE">
        <w:rPr>
          <w:rFonts w:ascii="Times New Roman" w:hAnsi="Times New Roman" w:cs="Times New Roman"/>
          <w:b/>
          <w:bCs/>
          <w:sz w:val="24"/>
          <w:szCs w:val="24"/>
        </w:rPr>
        <w:tab/>
        <w:t>Aprēķinātie līgumsodi, naudas sodi, soda naudas un kavējuma naudas</w:t>
      </w:r>
    </w:p>
    <w:p w14:paraId="7283D723" w14:textId="77777777" w:rsidR="002804B9" w:rsidRDefault="004E0EA7" w:rsidP="00CD363C">
      <w:pPr>
        <w:spacing w:after="0" w:line="240" w:lineRule="auto"/>
        <w:ind w:right="425"/>
        <w:jc w:val="both"/>
        <w:rPr>
          <w:rFonts w:ascii="Times New Roman" w:hAnsi="Times New Roman" w:cs="Times New Roman"/>
          <w:sz w:val="24"/>
          <w:szCs w:val="24"/>
        </w:rPr>
      </w:pPr>
      <w:r w:rsidRPr="004E0EA7">
        <w:rPr>
          <w:rFonts w:ascii="Times New Roman" w:hAnsi="Times New Roman" w:cs="Times New Roman"/>
          <w:sz w:val="24"/>
          <w:szCs w:val="24"/>
        </w:rPr>
        <w:t>* zembilances pretkonts ir tehniskais konts, kurš nodrošina grāmatvedības uzskaites sistēmās zembilances uzskaiti pēc divkārša ieraksta principa. Budžeta iestāde var izvēlēties arī citu tehniskā konta lietošanu zembilances darījuma uzskaitei.</w:t>
      </w:r>
    </w:p>
    <w:p w14:paraId="46E152E0" w14:textId="77777777" w:rsidR="002805AE" w:rsidRDefault="002805AE" w:rsidP="00CD363C">
      <w:pPr>
        <w:spacing w:after="0" w:line="240" w:lineRule="auto"/>
        <w:ind w:right="425"/>
        <w:jc w:val="both"/>
        <w:rPr>
          <w:rFonts w:ascii="Times New Roman" w:hAnsi="Times New Roman" w:cs="Times New Roman"/>
          <w:b/>
          <w:bCs/>
          <w:sz w:val="24"/>
          <w:szCs w:val="24"/>
        </w:rPr>
      </w:pPr>
      <w:r w:rsidRPr="002805AE">
        <w:rPr>
          <w:rFonts w:ascii="Times New Roman" w:hAnsi="Times New Roman" w:cs="Times New Roman"/>
          <w:b/>
          <w:bCs/>
          <w:sz w:val="24"/>
          <w:szCs w:val="24"/>
        </w:rPr>
        <w:t>23.6. Praktiski piemēri un informācijas atklāšanas paraugi</w:t>
      </w:r>
    </w:p>
    <w:p w14:paraId="4D352A46" w14:textId="77777777" w:rsidR="00943ED6" w:rsidRDefault="00943ED6" w:rsidP="00CD363C">
      <w:pPr>
        <w:pStyle w:val="Virsraksts4"/>
        <w:tabs>
          <w:tab w:val="left" w:pos="879"/>
        </w:tabs>
        <w:spacing w:before="0"/>
        <w:ind w:left="338" w:right="425"/>
        <w:jc w:val="both"/>
      </w:pPr>
      <w:r>
        <w:rPr>
          <w:color w:val="002069"/>
        </w:rPr>
        <w:t>23.6.1.Piemērs – ieņēmumu un procentu ieņēmumu atzīšana atliktā maksājuma</w:t>
      </w:r>
      <w:r>
        <w:rPr>
          <w:color w:val="002069"/>
          <w:spacing w:val="-8"/>
        </w:rPr>
        <w:t xml:space="preserve"> </w:t>
      </w:r>
      <w:r>
        <w:rPr>
          <w:color w:val="002069"/>
        </w:rPr>
        <w:t>gadījumā.</w:t>
      </w:r>
    </w:p>
    <w:p w14:paraId="0BA3A38A" w14:textId="77777777" w:rsidR="00943ED6" w:rsidRDefault="00976CEC" w:rsidP="00CD363C">
      <w:pPr>
        <w:pStyle w:val="Pamatteksts"/>
        <w:ind w:left="338" w:right="425"/>
        <w:jc w:val="both"/>
      </w:pPr>
      <w:r>
        <w:t xml:space="preserve">1117.   </w:t>
      </w:r>
      <w:r w:rsidR="00943ED6">
        <w:t>Budžeta iestāde 2019. gada 24. janvārī pieņem lēmumu atsavināt budžeta iestādei piederošu ilgtermiņa ieguldījumu</w:t>
      </w:r>
      <w:r w:rsidR="00943ED6">
        <w:rPr>
          <w:spacing w:val="-5"/>
        </w:rPr>
        <w:t xml:space="preserve"> </w:t>
      </w:r>
      <w:r w:rsidR="00943ED6">
        <w:t>(ēku)</w:t>
      </w:r>
      <w:r w:rsidR="00943ED6">
        <w:rPr>
          <w:spacing w:val="-4"/>
        </w:rPr>
        <w:t xml:space="preserve"> </w:t>
      </w:r>
      <w:r w:rsidR="00943ED6">
        <w:t>publiskās</w:t>
      </w:r>
      <w:r w:rsidR="00943ED6">
        <w:rPr>
          <w:spacing w:val="-4"/>
        </w:rPr>
        <w:t xml:space="preserve"> </w:t>
      </w:r>
      <w:r w:rsidR="00943ED6">
        <w:t>izsoles</w:t>
      </w:r>
      <w:r w:rsidR="00943ED6">
        <w:rPr>
          <w:spacing w:val="-6"/>
        </w:rPr>
        <w:t xml:space="preserve"> </w:t>
      </w:r>
      <w:r w:rsidR="00943ED6">
        <w:t>ceļā.</w:t>
      </w:r>
      <w:r w:rsidR="00943ED6">
        <w:rPr>
          <w:spacing w:val="-4"/>
        </w:rPr>
        <w:t xml:space="preserve"> </w:t>
      </w:r>
      <w:r w:rsidR="00943ED6">
        <w:t>Izsoles</w:t>
      </w:r>
      <w:r w:rsidR="00943ED6">
        <w:rPr>
          <w:spacing w:val="-4"/>
        </w:rPr>
        <w:t xml:space="preserve"> </w:t>
      </w:r>
      <w:r w:rsidR="00943ED6">
        <w:t>rezultātā</w:t>
      </w:r>
      <w:r w:rsidR="00943ED6">
        <w:rPr>
          <w:spacing w:val="-7"/>
        </w:rPr>
        <w:t xml:space="preserve"> </w:t>
      </w:r>
      <w:r w:rsidR="00943ED6">
        <w:t>2019.</w:t>
      </w:r>
      <w:r w:rsidR="00943ED6">
        <w:rPr>
          <w:spacing w:val="-2"/>
        </w:rPr>
        <w:t xml:space="preserve"> </w:t>
      </w:r>
      <w:r w:rsidR="00943ED6">
        <w:t>gada</w:t>
      </w:r>
      <w:r w:rsidR="00943ED6">
        <w:rPr>
          <w:spacing w:val="-7"/>
        </w:rPr>
        <w:t xml:space="preserve"> </w:t>
      </w:r>
      <w:r w:rsidR="00943ED6">
        <w:t>31.</w:t>
      </w:r>
      <w:r w:rsidR="00943ED6">
        <w:rPr>
          <w:spacing w:val="-1"/>
        </w:rPr>
        <w:t xml:space="preserve"> </w:t>
      </w:r>
      <w:r w:rsidR="00943ED6">
        <w:t>maijā</w:t>
      </w:r>
      <w:r w:rsidR="00943ED6">
        <w:rPr>
          <w:spacing w:val="-6"/>
        </w:rPr>
        <w:t xml:space="preserve"> </w:t>
      </w:r>
      <w:r w:rsidR="00943ED6">
        <w:t>noslēgts</w:t>
      </w:r>
      <w:r w:rsidR="00943ED6">
        <w:rPr>
          <w:spacing w:val="-7"/>
        </w:rPr>
        <w:t xml:space="preserve"> </w:t>
      </w:r>
      <w:r w:rsidR="00943ED6">
        <w:t>līgums</w:t>
      </w:r>
      <w:r w:rsidR="00943ED6">
        <w:rPr>
          <w:spacing w:val="-4"/>
        </w:rPr>
        <w:t xml:space="preserve"> </w:t>
      </w:r>
      <w:r w:rsidR="00943ED6">
        <w:t>ar</w:t>
      </w:r>
      <w:r w:rsidR="00943ED6">
        <w:rPr>
          <w:spacing w:val="-4"/>
        </w:rPr>
        <w:t xml:space="preserve"> </w:t>
      </w:r>
      <w:r w:rsidR="00943ED6">
        <w:t>pircēju</w:t>
      </w:r>
      <w:r w:rsidR="00943ED6">
        <w:rPr>
          <w:spacing w:val="-5"/>
        </w:rPr>
        <w:t xml:space="preserve"> </w:t>
      </w:r>
      <w:r w:rsidR="00943ED6">
        <w:t>par ēkas pārdošanu. Ēkas īpašumtiesības tiek nodotas līguma parakstīšanas dienā. Līguma noteikumi paredz atlikto maksājumu uz 2 gadiem. Kopējā līguma summa 195 000,00</w:t>
      </w:r>
      <w:r w:rsidR="00943ED6">
        <w:rPr>
          <w:spacing w:val="-3"/>
        </w:rPr>
        <w:t xml:space="preserve"> </w:t>
      </w:r>
      <w:r w:rsidR="00943ED6">
        <w:t>EUR.</w:t>
      </w:r>
    </w:p>
    <w:p w14:paraId="1FC58C06" w14:textId="77777777" w:rsidR="00943ED6" w:rsidRDefault="00943ED6" w:rsidP="00CD363C">
      <w:pPr>
        <w:pStyle w:val="Pamatteksts"/>
        <w:ind w:left="338" w:right="425"/>
        <w:jc w:val="both"/>
      </w:pPr>
      <w:r>
        <w:t>Budžeta iestāde nav PVN maksātāja.</w:t>
      </w:r>
    </w:p>
    <w:p w14:paraId="78998011" w14:textId="77777777" w:rsidR="00943ED6" w:rsidRDefault="00943ED6" w:rsidP="00CD363C">
      <w:pPr>
        <w:pStyle w:val="Pamatteksts"/>
        <w:ind w:right="425"/>
        <w:jc w:val="both"/>
        <w:rPr>
          <w:sz w:val="20"/>
        </w:rPr>
      </w:pPr>
    </w:p>
    <w:p w14:paraId="33D30DBA" w14:textId="77777777" w:rsidR="00943ED6" w:rsidRDefault="00943ED6" w:rsidP="00CD363C">
      <w:pPr>
        <w:spacing w:after="0" w:line="240" w:lineRule="auto"/>
        <w:ind w:left="338" w:right="425"/>
        <w:jc w:val="both"/>
        <w:rPr>
          <w:i/>
        </w:rPr>
      </w:pPr>
      <w:r>
        <w:rPr>
          <w:i/>
        </w:rPr>
        <w:t>Uz piemēru attiecināma sekojoša informācija:</w:t>
      </w:r>
    </w:p>
    <w:p w14:paraId="42C274A8" w14:textId="77777777" w:rsidR="00943ED6" w:rsidRDefault="00943ED6" w:rsidP="00CD363C">
      <w:pPr>
        <w:pStyle w:val="Pamatteksts"/>
        <w:ind w:right="425"/>
        <w:jc w:val="both"/>
        <w:rPr>
          <w:i/>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5526"/>
        <w:gridCol w:w="2773"/>
      </w:tblGrid>
      <w:tr w:rsidR="00943ED6" w14:paraId="28D7E5BC" w14:textId="77777777" w:rsidTr="00976CEC">
        <w:trPr>
          <w:trHeight w:val="230"/>
        </w:trPr>
        <w:tc>
          <w:tcPr>
            <w:tcW w:w="5526" w:type="dxa"/>
          </w:tcPr>
          <w:p w14:paraId="390233F0" w14:textId="77777777" w:rsidR="00943ED6" w:rsidRDefault="00943ED6" w:rsidP="00CD363C">
            <w:pPr>
              <w:pStyle w:val="TableParagraph"/>
              <w:ind w:left="107" w:right="425"/>
              <w:jc w:val="both"/>
              <w:rPr>
                <w:sz w:val="20"/>
              </w:rPr>
            </w:pPr>
            <w:r>
              <w:rPr>
                <w:sz w:val="20"/>
              </w:rPr>
              <w:t>Vadības lēmuma pieņemšanas datums</w:t>
            </w:r>
          </w:p>
        </w:tc>
        <w:tc>
          <w:tcPr>
            <w:tcW w:w="2773" w:type="dxa"/>
          </w:tcPr>
          <w:p w14:paraId="248F4F0A" w14:textId="77777777" w:rsidR="00943ED6" w:rsidRDefault="00943ED6" w:rsidP="00CD363C">
            <w:pPr>
              <w:pStyle w:val="TableParagraph"/>
              <w:ind w:left="107" w:right="425"/>
              <w:jc w:val="both"/>
              <w:rPr>
                <w:sz w:val="20"/>
              </w:rPr>
            </w:pPr>
            <w:r>
              <w:rPr>
                <w:sz w:val="20"/>
              </w:rPr>
              <w:t>2019.gada 24.janvāris</w:t>
            </w:r>
          </w:p>
        </w:tc>
      </w:tr>
      <w:tr w:rsidR="00943ED6" w14:paraId="36C10922" w14:textId="77777777" w:rsidTr="00976CEC">
        <w:trPr>
          <w:trHeight w:val="230"/>
        </w:trPr>
        <w:tc>
          <w:tcPr>
            <w:tcW w:w="5526" w:type="dxa"/>
          </w:tcPr>
          <w:p w14:paraId="7D95327D" w14:textId="77777777" w:rsidR="00943ED6" w:rsidRDefault="00943ED6" w:rsidP="00CD363C">
            <w:pPr>
              <w:pStyle w:val="TableParagraph"/>
              <w:ind w:left="107" w:right="425"/>
              <w:jc w:val="both"/>
              <w:rPr>
                <w:sz w:val="20"/>
              </w:rPr>
            </w:pPr>
            <w:r>
              <w:rPr>
                <w:sz w:val="20"/>
              </w:rPr>
              <w:t>Publiskās izsoles publiskās izsludināšanas datums</w:t>
            </w:r>
          </w:p>
        </w:tc>
        <w:tc>
          <w:tcPr>
            <w:tcW w:w="2773" w:type="dxa"/>
          </w:tcPr>
          <w:p w14:paraId="5FBED367" w14:textId="77777777" w:rsidR="00943ED6" w:rsidRDefault="00943ED6" w:rsidP="00CD363C">
            <w:pPr>
              <w:pStyle w:val="TableParagraph"/>
              <w:ind w:left="107" w:right="425"/>
              <w:jc w:val="both"/>
              <w:rPr>
                <w:sz w:val="20"/>
              </w:rPr>
            </w:pPr>
            <w:r>
              <w:rPr>
                <w:sz w:val="20"/>
              </w:rPr>
              <w:t>2019.gada 8.marts</w:t>
            </w:r>
          </w:p>
        </w:tc>
      </w:tr>
      <w:tr w:rsidR="00943ED6" w14:paraId="09038036" w14:textId="77777777" w:rsidTr="00976CEC">
        <w:trPr>
          <w:trHeight w:val="230"/>
        </w:trPr>
        <w:tc>
          <w:tcPr>
            <w:tcW w:w="5526" w:type="dxa"/>
          </w:tcPr>
          <w:p w14:paraId="26883AB7" w14:textId="77777777" w:rsidR="00943ED6" w:rsidRDefault="00943ED6" w:rsidP="00CD363C">
            <w:pPr>
              <w:pStyle w:val="TableParagraph"/>
              <w:ind w:left="107" w:right="425"/>
              <w:jc w:val="both"/>
              <w:rPr>
                <w:sz w:val="20"/>
              </w:rPr>
            </w:pPr>
            <w:r>
              <w:rPr>
                <w:sz w:val="20"/>
              </w:rPr>
              <w:t>Publiskās izsoles datums</w:t>
            </w:r>
          </w:p>
        </w:tc>
        <w:tc>
          <w:tcPr>
            <w:tcW w:w="2773" w:type="dxa"/>
          </w:tcPr>
          <w:p w14:paraId="53413E65" w14:textId="77777777" w:rsidR="00943ED6" w:rsidRDefault="00943ED6" w:rsidP="00CD363C">
            <w:pPr>
              <w:pStyle w:val="TableParagraph"/>
              <w:ind w:left="107" w:right="425"/>
              <w:jc w:val="both"/>
              <w:rPr>
                <w:sz w:val="20"/>
              </w:rPr>
            </w:pPr>
            <w:r>
              <w:rPr>
                <w:sz w:val="20"/>
              </w:rPr>
              <w:t>2019.gada 29.aprīlis</w:t>
            </w:r>
          </w:p>
        </w:tc>
      </w:tr>
      <w:tr w:rsidR="00943ED6" w14:paraId="511351F8" w14:textId="77777777" w:rsidTr="00976CEC">
        <w:trPr>
          <w:trHeight w:val="227"/>
        </w:trPr>
        <w:tc>
          <w:tcPr>
            <w:tcW w:w="5526" w:type="dxa"/>
            <w:tcBorders>
              <w:bottom w:val="single" w:sz="6" w:space="0" w:color="C3C4C5"/>
            </w:tcBorders>
          </w:tcPr>
          <w:p w14:paraId="665A5116" w14:textId="77777777" w:rsidR="00943ED6" w:rsidRDefault="00943ED6" w:rsidP="00CD363C">
            <w:pPr>
              <w:pStyle w:val="TableParagraph"/>
              <w:ind w:left="107" w:right="425"/>
              <w:jc w:val="both"/>
              <w:rPr>
                <w:sz w:val="20"/>
              </w:rPr>
            </w:pPr>
            <w:r>
              <w:rPr>
                <w:sz w:val="20"/>
              </w:rPr>
              <w:t>Pirkšanas - pārdošanas līguma parakstīšanas datums</w:t>
            </w:r>
          </w:p>
        </w:tc>
        <w:tc>
          <w:tcPr>
            <w:tcW w:w="2773" w:type="dxa"/>
            <w:tcBorders>
              <w:bottom w:val="single" w:sz="6" w:space="0" w:color="C3C4C5"/>
            </w:tcBorders>
          </w:tcPr>
          <w:p w14:paraId="31E59F0C" w14:textId="77777777" w:rsidR="00943ED6" w:rsidRDefault="00943ED6" w:rsidP="00CD363C">
            <w:pPr>
              <w:pStyle w:val="TableParagraph"/>
              <w:ind w:left="107" w:right="425"/>
              <w:jc w:val="both"/>
              <w:rPr>
                <w:sz w:val="20"/>
              </w:rPr>
            </w:pPr>
            <w:r>
              <w:rPr>
                <w:sz w:val="20"/>
              </w:rPr>
              <w:t>2019.gada 31.maijs</w:t>
            </w:r>
          </w:p>
        </w:tc>
      </w:tr>
      <w:tr w:rsidR="00943ED6" w14:paraId="305E02D1" w14:textId="77777777" w:rsidTr="00976CEC">
        <w:trPr>
          <w:trHeight w:val="227"/>
        </w:trPr>
        <w:tc>
          <w:tcPr>
            <w:tcW w:w="5526" w:type="dxa"/>
            <w:tcBorders>
              <w:top w:val="single" w:sz="6" w:space="0" w:color="C3C4C5"/>
            </w:tcBorders>
          </w:tcPr>
          <w:p w14:paraId="6D3C834A" w14:textId="77777777" w:rsidR="00943ED6" w:rsidRDefault="00943ED6" w:rsidP="00CD363C">
            <w:pPr>
              <w:pStyle w:val="TableParagraph"/>
              <w:ind w:left="107" w:right="425"/>
              <w:jc w:val="both"/>
              <w:rPr>
                <w:sz w:val="20"/>
              </w:rPr>
            </w:pPr>
            <w:r>
              <w:rPr>
                <w:sz w:val="20"/>
              </w:rPr>
              <w:t>Ēkas sākotnējās atzīšanas datums</w:t>
            </w:r>
          </w:p>
        </w:tc>
        <w:tc>
          <w:tcPr>
            <w:tcW w:w="2773" w:type="dxa"/>
            <w:tcBorders>
              <w:top w:val="single" w:sz="6" w:space="0" w:color="C3C4C5"/>
            </w:tcBorders>
          </w:tcPr>
          <w:p w14:paraId="458592D0" w14:textId="77777777" w:rsidR="00943ED6" w:rsidRDefault="00943ED6" w:rsidP="00CD363C">
            <w:pPr>
              <w:pStyle w:val="TableParagraph"/>
              <w:ind w:left="107" w:right="425"/>
              <w:jc w:val="both"/>
              <w:rPr>
                <w:sz w:val="20"/>
              </w:rPr>
            </w:pPr>
            <w:r>
              <w:rPr>
                <w:sz w:val="20"/>
              </w:rPr>
              <w:t>2000.gada 17.decembris</w:t>
            </w:r>
          </w:p>
        </w:tc>
      </w:tr>
      <w:tr w:rsidR="00943ED6" w14:paraId="1FDC5E8D" w14:textId="77777777" w:rsidTr="00976CEC">
        <w:trPr>
          <w:trHeight w:val="230"/>
        </w:trPr>
        <w:tc>
          <w:tcPr>
            <w:tcW w:w="5526" w:type="dxa"/>
          </w:tcPr>
          <w:p w14:paraId="219EC9D2" w14:textId="77777777" w:rsidR="00943ED6" w:rsidRDefault="00943ED6" w:rsidP="00CD363C">
            <w:pPr>
              <w:pStyle w:val="TableParagraph"/>
              <w:ind w:left="107" w:right="425"/>
              <w:jc w:val="both"/>
              <w:rPr>
                <w:sz w:val="20"/>
              </w:rPr>
            </w:pPr>
            <w:r>
              <w:rPr>
                <w:sz w:val="20"/>
              </w:rPr>
              <w:t>Ēkas sākotnējā vērtība</w:t>
            </w:r>
          </w:p>
        </w:tc>
        <w:tc>
          <w:tcPr>
            <w:tcW w:w="2773" w:type="dxa"/>
          </w:tcPr>
          <w:p w14:paraId="63B1321D" w14:textId="77777777" w:rsidR="00943ED6" w:rsidRDefault="00943ED6" w:rsidP="00CD363C">
            <w:pPr>
              <w:pStyle w:val="TableParagraph"/>
              <w:ind w:left="107" w:right="425"/>
              <w:jc w:val="both"/>
              <w:rPr>
                <w:sz w:val="20"/>
              </w:rPr>
            </w:pPr>
            <w:r>
              <w:rPr>
                <w:sz w:val="20"/>
              </w:rPr>
              <w:t>96 000,00 EUR</w:t>
            </w:r>
          </w:p>
        </w:tc>
      </w:tr>
      <w:tr w:rsidR="00943ED6" w14:paraId="206B1F5C" w14:textId="77777777" w:rsidTr="00976CEC">
        <w:trPr>
          <w:trHeight w:val="230"/>
        </w:trPr>
        <w:tc>
          <w:tcPr>
            <w:tcW w:w="5526" w:type="dxa"/>
          </w:tcPr>
          <w:p w14:paraId="6423FCCB" w14:textId="77777777" w:rsidR="00943ED6" w:rsidRDefault="00943ED6" w:rsidP="00CD363C">
            <w:pPr>
              <w:pStyle w:val="TableParagraph"/>
              <w:ind w:left="107" w:right="425"/>
              <w:jc w:val="both"/>
              <w:rPr>
                <w:sz w:val="20"/>
              </w:rPr>
            </w:pPr>
            <w:r>
              <w:rPr>
                <w:sz w:val="20"/>
              </w:rPr>
              <w:t>Ēkas lietderīgās lietošanas laiks</w:t>
            </w:r>
          </w:p>
        </w:tc>
        <w:tc>
          <w:tcPr>
            <w:tcW w:w="2773" w:type="dxa"/>
          </w:tcPr>
          <w:p w14:paraId="53A5F314" w14:textId="77777777" w:rsidR="00943ED6" w:rsidRDefault="00943ED6" w:rsidP="00CD363C">
            <w:pPr>
              <w:pStyle w:val="TableParagraph"/>
              <w:ind w:left="107" w:right="425"/>
              <w:jc w:val="both"/>
              <w:rPr>
                <w:sz w:val="20"/>
              </w:rPr>
            </w:pPr>
            <w:r>
              <w:rPr>
                <w:sz w:val="20"/>
              </w:rPr>
              <w:t>30 gadi</w:t>
            </w:r>
          </w:p>
        </w:tc>
      </w:tr>
      <w:tr w:rsidR="00943ED6" w14:paraId="429FD21A" w14:textId="77777777" w:rsidTr="00976CEC">
        <w:trPr>
          <w:trHeight w:val="230"/>
        </w:trPr>
        <w:tc>
          <w:tcPr>
            <w:tcW w:w="5526" w:type="dxa"/>
          </w:tcPr>
          <w:p w14:paraId="489EBEC6" w14:textId="77777777" w:rsidR="00943ED6" w:rsidRDefault="00943ED6" w:rsidP="00CD363C">
            <w:pPr>
              <w:pStyle w:val="TableParagraph"/>
              <w:ind w:left="107" w:right="425"/>
              <w:jc w:val="both"/>
              <w:rPr>
                <w:sz w:val="20"/>
              </w:rPr>
            </w:pPr>
            <w:r>
              <w:rPr>
                <w:sz w:val="20"/>
              </w:rPr>
              <w:t>Uzkrātais nolietojums 2019.gada 1.maijs</w:t>
            </w:r>
          </w:p>
        </w:tc>
        <w:tc>
          <w:tcPr>
            <w:tcW w:w="2773" w:type="dxa"/>
          </w:tcPr>
          <w:p w14:paraId="0D098E2B" w14:textId="77777777" w:rsidR="00943ED6" w:rsidRDefault="00943ED6" w:rsidP="00CD363C">
            <w:pPr>
              <w:pStyle w:val="TableParagraph"/>
              <w:ind w:left="107" w:right="425"/>
              <w:jc w:val="both"/>
              <w:rPr>
                <w:sz w:val="20"/>
              </w:rPr>
            </w:pPr>
            <w:r>
              <w:rPr>
                <w:sz w:val="20"/>
              </w:rPr>
              <w:t>29 066,67 EUR</w:t>
            </w:r>
          </w:p>
        </w:tc>
      </w:tr>
      <w:tr w:rsidR="00943ED6" w14:paraId="43969956" w14:textId="77777777" w:rsidTr="00976CEC">
        <w:trPr>
          <w:trHeight w:val="230"/>
        </w:trPr>
        <w:tc>
          <w:tcPr>
            <w:tcW w:w="5526" w:type="dxa"/>
          </w:tcPr>
          <w:p w14:paraId="084BF80E" w14:textId="77777777" w:rsidR="00943ED6" w:rsidRDefault="00943ED6" w:rsidP="00CD363C">
            <w:pPr>
              <w:pStyle w:val="TableParagraph"/>
              <w:ind w:left="107" w:right="425"/>
              <w:jc w:val="both"/>
              <w:rPr>
                <w:sz w:val="20"/>
              </w:rPr>
            </w:pPr>
            <w:r>
              <w:rPr>
                <w:sz w:val="20"/>
              </w:rPr>
              <w:t>Ēkas uzskaites vērtība 2019.gada 1.maijs</w:t>
            </w:r>
          </w:p>
        </w:tc>
        <w:tc>
          <w:tcPr>
            <w:tcW w:w="2773" w:type="dxa"/>
          </w:tcPr>
          <w:p w14:paraId="6577E4EF" w14:textId="77777777" w:rsidR="00943ED6" w:rsidRDefault="00943ED6" w:rsidP="00CD363C">
            <w:pPr>
              <w:pStyle w:val="TableParagraph"/>
              <w:ind w:left="107" w:right="425"/>
              <w:jc w:val="both"/>
              <w:rPr>
                <w:sz w:val="20"/>
              </w:rPr>
            </w:pPr>
            <w:r>
              <w:rPr>
                <w:sz w:val="20"/>
              </w:rPr>
              <w:t>66 933,33 EUR</w:t>
            </w:r>
          </w:p>
        </w:tc>
      </w:tr>
      <w:tr w:rsidR="00943ED6" w14:paraId="2F500D1B" w14:textId="77777777" w:rsidTr="00976CEC">
        <w:trPr>
          <w:trHeight w:val="230"/>
        </w:trPr>
        <w:tc>
          <w:tcPr>
            <w:tcW w:w="5526" w:type="dxa"/>
          </w:tcPr>
          <w:p w14:paraId="03856365" w14:textId="77777777" w:rsidR="00943ED6" w:rsidRDefault="00943ED6" w:rsidP="00CD363C">
            <w:pPr>
              <w:pStyle w:val="TableParagraph"/>
              <w:ind w:left="107" w:right="425"/>
              <w:jc w:val="both"/>
              <w:rPr>
                <w:sz w:val="20"/>
              </w:rPr>
            </w:pPr>
            <w:r>
              <w:rPr>
                <w:sz w:val="20"/>
              </w:rPr>
              <w:t>Ēkas pārdošanas līguma summa</w:t>
            </w:r>
          </w:p>
        </w:tc>
        <w:tc>
          <w:tcPr>
            <w:tcW w:w="2773" w:type="dxa"/>
          </w:tcPr>
          <w:p w14:paraId="2F42C36E" w14:textId="77777777" w:rsidR="00943ED6" w:rsidRDefault="00943ED6" w:rsidP="00CD363C">
            <w:pPr>
              <w:pStyle w:val="TableParagraph"/>
              <w:ind w:left="107" w:right="425"/>
              <w:jc w:val="both"/>
              <w:rPr>
                <w:sz w:val="20"/>
              </w:rPr>
            </w:pPr>
            <w:r>
              <w:rPr>
                <w:sz w:val="20"/>
              </w:rPr>
              <w:t>195 000,00 EUR</w:t>
            </w:r>
          </w:p>
        </w:tc>
      </w:tr>
      <w:tr w:rsidR="00943ED6" w14:paraId="7B9CBDD5" w14:textId="77777777" w:rsidTr="00976CEC">
        <w:trPr>
          <w:trHeight w:val="230"/>
        </w:trPr>
        <w:tc>
          <w:tcPr>
            <w:tcW w:w="5526" w:type="dxa"/>
          </w:tcPr>
          <w:p w14:paraId="2D139CDA" w14:textId="77777777" w:rsidR="00943ED6" w:rsidRDefault="00943ED6" w:rsidP="00CD363C">
            <w:pPr>
              <w:pStyle w:val="TableParagraph"/>
              <w:ind w:left="107" w:right="425"/>
              <w:jc w:val="both"/>
              <w:rPr>
                <w:sz w:val="20"/>
              </w:rPr>
            </w:pPr>
            <w:r>
              <w:rPr>
                <w:sz w:val="20"/>
              </w:rPr>
              <w:t>Diskonta likme</w:t>
            </w:r>
          </w:p>
        </w:tc>
        <w:tc>
          <w:tcPr>
            <w:tcW w:w="2773" w:type="dxa"/>
          </w:tcPr>
          <w:p w14:paraId="64751B14" w14:textId="77777777" w:rsidR="00943ED6" w:rsidRDefault="00943ED6" w:rsidP="00CD363C">
            <w:pPr>
              <w:pStyle w:val="TableParagraph"/>
              <w:ind w:left="107" w:right="425"/>
              <w:jc w:val="both"/>
              <w:rPr>
                <w:sz w:val="20"/>
              </w:rPr>
            </w:pPr>
            <w:r>
              <w:rPr>
                <w:sz w:val="20"/>
              </w:rPr>
              <w:t>3%</w:t>
            </w:r>
          </w:p>
        </w:tc>
      </w:tr>
    </w:tbl>
    <w:p w14:paraId="472B7FFA" w14:textId="77777777" w:rsidR="00943ED6" w:rsidRDefault="00943ED6" w:rsidP="00CD363C">
      <w:pPr>
        <w:spacing w:after="0" w:line="240" w:lineRule="auto"/>
        <w:ind w:right="425"/>
        <w:jc w:val="both"/>
        <w:rPr>
          <w:sz w:val="20"/>
        </w:rPr>
        <w:sectPr w:rsidR="00943ED6">
          <w:pgSz w:w="11910" w:h="16840"/>
          <w:pgMar w:top="740" w:right="540" w:bottom="1200" w:left="1080" w:header="0" w:footer="959" w:gutter="0"/>
          <w:cols w:space="720"/>
        </w:sectPr>
      </w:pPr>
    </w:p>
    <w:p w14:paraId="6AD96D5D" w14:textId="77777777" w:rsidR="00943ED6" w:rsidRDefault="00943ED6" w:rsidP="00CD363C">
      <w:pPr>
        <w:pStyle w:val="Pamatteksts"/>
        <w:ind w:left="338" w:right="425"/>
        <w:jc w:val="both"/>
      </w:pPr>
      <w:r>
        <w:t>Līgums paredz atlikto maksājumu, tas ir, samaksa par ēku tiks saņemta pēc 2 gadiem, sākot ar darījuma datumu. Tas nozīmē, ka līguma summas pašreizējā vērtība būs mazāka nekā faktiskā saņemamā nauda, un vienošanās pēc būtības ietver sevī finansēšanas darījumu.</w:t>
      </w:r>
    </w:p>
    <w:p w14:paraId="324576EE" w14:textId="77777777" w:rsidR="00943ED6" w:rsidRDefault="00943ED6" w:rsidP="00CD363C">
      <w:pPr>
        <w:pStyle w:val="Pamatteksts"/>
        <w:ind w:left="338" w:right="425"/>
        <w:jc w:val="both"/>
      </w:pPr>
      <w:r>
        <w:t>Šādā gadījumā, kad līgums sevī ietver finansēšanas darījumu, tas ir, kad maksājums par precēm tiek atlikts vairāk kā 12 mēnešus, prasību novērtē maksājumu pašreizējā vērtībā, diskontējot nākotnes saņemamo maksājumu ar domāto procentu (diskonta) likmi saskaņā ar Valsts kases interneta vietnē publicēto informāciju. Atšķirību starp maksājumu pašreizējo vērtību un nominālvērtību (faktiskā nauda, kas būtu saņemama) atzīst kā procentu ieņēmumus.</w:t>
      </w:r>
    </w:p>
    <w:p w14:paraId="2DF062E7" w14:textId="77777777" w:rsidR="00943ED6" w:rsidRDefault="00943ED6" w:rsidP="00CD363C">
      <w:pPr>
        <w:pStyle w:val="Pamatteksts"/>
        <w:ind w:left="338" w:right="425"/>
        <w:jc w:val="both"/>
      </w:pPr>
      <w:r>
        <w:t>Saskaņā</w:t>
      </w:r>
      <w:r>
        <w:rPr>
          <w:spacing w:val="-14"/>
        </w:rPr>
        <w:t xml:space="preserve"> </w:t>
      </w:r>
      <w:r>
        <w:t>ar</w:t>
      </w:r>
      <w:r>
        <w:rPr>
          <w:spacing w:val="-13"/>
        </w:rPr>
        <w:t xml:space="preserve"> </w:t>
      </w:r>
      <w:r>
        <w:t>Valsts</w:t>
      </w:r>
      <w:r>
        <w:rPr>
          <w:spacing w:val="-16"/>
        </w:rPr>
        <w:t xml:space="preserve"> </w:t>
      </w:r>
      <w:r>
        <w:t>kases</w:t>
      </w:r>
      <w:r>
        <w:rPr>
          <w:spacing w:val="-15"/>
        </w:rPr>
        <w:t xml:space="preserve"> </w:t>
      </w:r>
      <w:r>
        <w:t>tīmekļa</w:t>
      </w:r>
      <w:r>
        <w:rPr>
          <w:spacing w:val="-14"/>
        </w:rPr>
        <w:t xml:space="preserve"> </w:t>
      </w:r>
      <w:r>
        <w:t>vietnē</w:t>
      </w:r>
      <w:r>
        <w:rPr>
          <w:spacing w:val="-15"/>
        </w:rPr>
        <w:t xml:space="preserve"> </w:t>
      </w:r>
      <w:r>
        <w:t>publicēto</w:t>
      </w:r>
      <w:r>
        <w:rPr>
          <w:spacing w:val="-17"/>
        </w:rPr>
        <w:t xml:space="preserve"> </w:t>
      </w:r>
      <w:r>
        <w:t>informāciju</w:t>
      </w:r>
      <w:r>
        <w:rPr>
          <w:spacing w:val="-13"/>
        </w:rPr>
        <w:t xml:space="preserve"> </w:t>
      </w:r>
      <w:r>
        <w:t>diskonta</w:t>
      </w:r>
      <w:r>
        <w:rPr>
          <w:spacing w:val="-15"/>
        </w:rPr>
        <w:t xml:space="preserve"> </w:t>
      </w:r>
      <w:r>
        <w:t>likme</w:t>
      </w:r>
      <w:r>
        <w:rPr>
          <w:spacing w:val="-9"/>
        </w:rPr>
        <w:t xml:space="preserve"> </w:t>
      </w:r>
      <w:r>
        <w:t>ir</w:t>
      </w:r>
      <w:r>
        <w:rPr>
          <w:spacing w:val="-14"/>
        </w:rPr>
        <w:t xml:space="preserve"> </w:t>
      </w:r>
      <w:r>
        <w:t>3</w:t>
      </w:r>
      <w:r>
        <w:rPr>
          <w:spacing w:val="-3"/>
        </w:rPr>
        <w:t xml:space="preserve"> </w:t>
      </w:r>
      <w:r>
        <w:t>%</w:t>
      </w:r>
      <w:r>
        <w:rPr>
          <w:spacing w:val="-16"/>
        </w:rPr>
        <w:t xml:space="preserve"> </w:t>
      </w:r>
      <w:r>
        <w:t>gadā.</w:t>
      </w:r>
      <w:r>
        <w:rPr>
          <w:spacing w:val="-13"/>
        </w:rPr>
        <w:t xml:space="preserve"> </w:t>
      </w:r>
      <w:r>
        <w:t>Tā</w:t>
      </w:r>
      <w:r>
        <w:rPr>
          <w:spacing w:val="-16"/>
        </w:rPr>
        <w:t xml:space="preserve"> </w:t>
      </w:r>
      <w:r>
        <w:t>kā</w:t>
      </w:r>
      <w:r>
        <w:rPr>
          <w:spacing w:val="-13"/>
        </w:rPr>
        <w:t xml:space="preserve"> </w:t>
      </w:r>
      <w:r>
        <w:t>budžeta</w:t>
      </w:r>
      <w:r>
        <w:rPr>
          <w:spacing w:val="-16"/>
        </w:rPr>
        <w:t xml:space="preserve"> </w:t>
      </w:r>
      <w:r>
        <w:t>iestāde maksājumu saņems tikai pēc 2 gadiem, tā sākotnēji atzīst prasību un ieņēmumus no aktīvu atsavināšanas maksājumu</w:t>
      </w:r>
      <w:r>
        <w:rPr>
          <w:spacing w:val="-10"/>
        </w:rPr>
        <w:t xml:space="preserve"> </w:t>
      </w:r>
      <w:r>
        <w:t>pašreizējā</w:t>
      </w:r>
      <w:r>
        <w:rPr>
          <w:spacing w:val="-9"/>
        </w:rPr>
        <w:t xml:space="preserve"> </w:t>
      </w:r>
      <w:r>
        <w:t>vērtībā,</w:t>
      </w:r>
      <w:r>
        <w:rPr>
          <w:spacing w:val="-9"/>
        </w:rPr>
        <w:t xml:space="preserve"> </w:t>
      </w:r>
      <w:r>
        <w:t>kas</w:t>
      </w:r>
      <w:r>
        <w:rPr>
          <w:spacing w:val="-9"/>
        </w:rPr>
        <w:t xml:space="preserve"> </w:t>
      </w:r>
      <w:r>
        <w:t>atliktā</w:t>
      </w:r>
      <w:r>
        <w:rPr>
          <w:spacing w:val="-9"/>
        </w:rPr>
        <w:t xml:space="preserve"> </w:t>
      </w:r>
      <w:r>
        <w:t>maksājuma</w:t>
      </w:r>
      <w:r>
        <w:rPr>
          <w:spacing w:val="-9"/>
        </w:rPr>
        <w:t xml:space="preserve"> </w:t>
      </w:r>
      <w:r>
        <w:t>gadījumā</w:t>
      </w:r>
      <w:r>
        <w:rPr>
          <w:spacing w:val="-9"/>
        </w:rPr>
        <w:t xml:space="preserve"> </w:t>
      </w:r>
      <w:r>
        <w:t>ir</w:t>
      </w:r>
      <w:r>
        <w:rPr>
          <w:spacing w:val="-5"/>
        </w:rPr>
        <w:t xml:space="preserve"> </w:t>
      </w:r>
      <w:r>
        <w:t>zemāka</w:t>
      </w:r>
      <w:r>
        <w:rPr>
          <w:spacing w:val="-9"/>
        </w:rPr>
        <w:t xml:space="preserve"> </w:t>
      </w:r>
      <w:r>
        <w:t>par</w:t>
      </w:r>
      <w:r>
        <w:rPr>
          <w:spacing w:val="-8"/>
        </w:rPr>
        <w:t xml:space="preserve"> </w:t>
      </w:r>
      <w:r>
        <w:t>195</w:t>
      </w:r>
      <w:r>
        <w:rPr>
          <w:spacing w:val="-4"/>
        </w:rPr>
        <w:t xml:space="preserve"> </w:t>
      </w:r>
      <w:r>
        <w:t>000,00</w:t>
      </w:r>
      <w:r>
        <w:rPr>
          <w:spacing w:val="-10"/>
        </w:rPr>
        <w:t xml:space="preserve"> </w:t>
      </w:r>
      <w:r>
        <w:t>EUR.</w:t>
      </w:r>
      <w:r>
        <w:rPr>
          <w:spacing w:val="-9"/>
        </w:rPr>
        <w:t xml:space="preserve"> </w:t>
      </w:r>
      <w:r>
        <w:t>Starpība</w:t>
      </w:r>
      <w:r>
        <w:rPr>
          <w:spacing w:val="-9"/>
        </w:rPr>
        <w:t xml:space="preserve"> </w:t>
      </w:r>
      <w:r>
        <w:t>starp maksājumu nominālvērtību (195 000,00 EUR) un maksājumu pašreizējo vērtību atzīst kā procentu ieņēmumus maksājuma termiņa</w:t>
      </w:r>
      <w:r>
        <w:rPr>
          <w:spacing w:val="2"/>
        </w:rPr>
        <w:t xml:space="preserve"> </w:t>
      </w:r>
      <w:r>
        <w:t>laikā.</w:t>
      </w:r>
    </w:p>
    <w:p w14:paraId="7A0EF49B" w14:textId="77777777" w:rsidR="00943ED6" w:rsidRDefault="00943ED6" w:rsidP="00CD363C">
      <w:pPr>
        <w:pStyle w:val="Pamatteksts"/>
        <w:ind w:right="425"/>
        <w:jc w:val="both"/>
        <w:rPr>
          <w:sz w:val="9"/>
        </w:rPr>
      </w:pPr>
    </w:p>
    <w:p w14:paraId="2ACAE375" w14:textId="77777777" w:rsidR="00943ED6" w:rsidRDefault="00943ED6" w:rsidP="00CD363C">
      <w:pPr>
        <w:spacing w:after="0" w:line="240" w:lineRule="auto"/>
        <w:ind w:right="425"/>
        <w:jc w:val="both"/>
        <w:rPr>
          <w:sz w:val="9"/>
        </w:rPr>
        <w:sectPr w:rsidR="00943ED6">
          <w:pgSz w:w="11910" w:h="16840"/>
          <w:pgMar w:top="760" w:right="540" w:bottom="1200" w:left="1080" w:header="0" w:footer="959" w:gutter="0"/>
          <w:cols w:space="720"/>
        </w:sectPr>
      </w:pPr>
    </w:p>
    <w:p w14:paraId="4484D0CD" w14:textId="77777777" w:rsidR="00943ED6" w:rsidRDefault="00943ED6" w:rsidP="00CD363C">
      <w:pPr>
        <w:pStyle w:val="Virsraksts6"/>
        <w:ind w:right="425"/>
        <w:jc w:val="both"/>
      </w:pPr>
      <w:r>
        <w:rPr>
          <w:u w:val="thick"/>
        </w:rPr>
        <w:t>Aprēķini:</w:t>
      </w:r>
    </w:p>
    <w:p w14:paraId="364B2562" w14:textId="77777777" w:rsidR="00943ED6" w:rsidRDefault="00943ED6" w:rsidP="00CD363C">
      <w:pPr>
        <w:pStyle w:val="Pamatteksts"/>
        <w:ind w:right="425"/>
        <w:jc w:val="both"/>
        <w:rPr>
          <w:b/>
          <w:sz w:val="24"/>
        </w:rPr>
      </w:pPr>
      <w:r>
        <w:br w:type="column"/>
      </w:r>
    </w:p>
    <w:p w14:paraId="7BE6036E" w14:textId="77777777" w:rsidR="00943ED6" w:rsidRDefault="00943ED6" w:rsidP="00CD363C">
      <w:pPr>
        <w:pStyle w:val="Sarakstarindkopa"/>
        <w:widowControl w:val="0"/>
        <w:numPr>
          <w:ilvl w:val="0"/>
          <w:numId w:val="78"/>
        </w:numPr>
        <w:tabs>
          <w:tab w:val="left" w:pos="483"/>
        </w:tabs>
        <w:autoSpaceDE w:val="0"/>
        <w:autoSpaceDN w:val="0"/>
        <w:spacing w:after="0" w:line="240" w:lineRule="auto"/>
        <w:ind w:right="425"/>
        <w:contextualSpacing w:val="0"/>
        <w:jc w:val="both"/>
      </w:pPr>
      <w:r>
        <w:t xml:space="preserve">Budžeta iestāde aprēķina </w:t>
      </w:r>
      <w:r>
        <w:rPr>
          <w:b/>
        </w:rPr>
        <w:t>maksājumu pašreizējo vērtību</w:t>
      </w:r>
      <w:r>
        <w:t>, diskontējot nākotnē saņemamo maksājumu ar diskonta (procentu) likmi (3 %</w:t>
      </w:r>
      <w:r>
        <w:rPr>
          <w:spacing w:val="1"/>
        </w:rPr>
        <w:t xml:space="preserve"> </w:t>
      </w:r>
      <w:r>
        <w:t>gadā):</w:t>
      </w:r>
    </w:p>
    <w:p w14:paraId="421E8334" w14:textId="77777777" w:rsidR="00943ED6" w:rsidRDefault="00943ED6" w:rsidP="00CD363C">
      <w:pPr>
        <w:spacing w:after="0" w:line="240" w:lineRule="auto"/>
        <w:ind w:left="1452" w:right="425"/>
        <w:jc w:val="both"/>
        <w:rPr>
          <w:i/>
        </w:rPr>
      </w:pPr>
      <w:r>
        <w:rPr>
          <w:i/>
        </w:rPr>
        <w:t>195 000,00/(1+0,03)2 = 183 806,20 EUR</w:t>
      </w:r>
    </w:p>
    <w:p w14:paraId="279C3FA1" w14:textId="77777777" w:rsidR="00943ED6" w:rsidRDefault="00943ED6" w:rsidP="00CD363C">
      <w:pPr>
        <w:pStyle w:val="Pamatteksts"/>
        <w:ind w:right="425"/>
        <w:jc w:val="both"/>
        <w:rPr>
          <w:i/>
          <w:sz w:val="20"/>
        </w:rPr>
      </w:pPr>
    </w:p>
    <w:p w14:paraId="3041BFE2" w14:textId="77777777" w:rsidR="00943ED6" w:rsidRDefault="00943ED6" w:rsidP="00CD363C">
      <w:pPr>
        <w:pStyle w:val="Sarakstarindkopa"/>
        <w:widowControl w:val="0"/>
        <w:numPr>
          <w:ilvl w:val="0"/>
          <w:numId w:val="78"/>
        </w:numPr>
        <w:tabs>
          <w:tab w:val="left" w:pos="483"/>
        </w:tabs>
        <w:autoSpaceDE w:val="0"/>
        <w:autoSpaceDN w:val="0"/>
        <w:spacing w:after="0" w:line="240" w:lineRule="auto"/>
        <w:ind w:right="425"/>
        <w:contextualSpacing w:val="0"/>
        <w:jc w:val="both"/>
      </w:pPr>
      <w:r>
        <w:t>Budžeta iestāde nosaka procentu ieņēmumus – starpība starp nominālo atlīdzības summu un maksājumu pašreizējo</w:t>
      </w:r>
      <w:r>
        <w:rPr>
          <w:spacing w:val="-1"/>
        </w:rPr>
        <w:t xml:space="preserve"> </w:t>
      </w:r>
      <w:r>
        <w:t>vērtību.</w:t>
      </w:r>
    </w:p>
    <w:p w14:paraId="656B0403" w14:textId="77777777" w:rsidR="00943ED6" w:rsidRDefault="00943ED6" w:rsidP="00CD363C">
      <w:pPr>
        <w:spacing w:after="0" w:line="240" w:lineRule="auto"/>
        <w:ind w:left="1452" w:right="425"/>
        <w:jc w:val="both"/>
        <w:rPr>
          <w:i/>
        </w:rPr>
      </w:pPr>
      <w:r>
        <w:rPr>
          <w:i/>
        </w:rPr>
        <w:t>195 000,00 EUR – 183 806,20 EUR = 11 193,80 EUR</w:t>
      </w:r>
    </w:p>
    <w:p w14:paraId="5585C8CC" w14:textId="77777777" w:rsidR="00943ED6" w:rsidRDefault="00943ED6" w:rsidP="00CD363C">
      <w:pPr>
        <w:pStyle w:val="Sarakstarindkopa"/>
        <w:widowControl w:val="0"/>
        <w:numPr>
          <w:ilvl w:val="0"/>
          <w:numId w:val="78"/>
        </w:numPr>
        <w:tabs>
          <w:tab w:val="left" w:pos="483"/>
        </w:tabs>
        <w:autoSpaceDE w:val="0"/>
        <w:autoSpaceDN w:val="0"/>
        <w:spacing w:after="0" w:line="240" w:lineRule="auto"/>
        <w:ind w:right="425"/>
        <w:contextualSpacing w:val="0"/>
        <w:jc w:val="both"/>
      </w:pPr>
      <w:r>
        <w:t>Starpību</w:t>
      </w:r>
      <w:r>
        <w:rPr>
          <w:spacing w:val="6"/>
        </w:rPr>
        <w:t xml:space="preserve"> </w:t>
      </w:r>
      <w:r>
        <w:t>starp</w:t>
      </w:r>
      <w:r>
        <w:rPr>
          <w:spacing w:val="10"/>
        </w:rPr>
        <w:t xml:space="preserve"> </w:t>
      </w:r>
      <w:r>
        <w:t>nominālo</w:t>
      </w:r>
      <w:r>
        <w:rPr>
          <w:spacing w:val="7"/>
        </w:rPr>
        <w:t xml:space="preserve"> </w:t>
      </w:r>
      <w:r>
        <w:t>atlīdzības</w:t>
      </w:r>
      <w:r>
        <w:rPr>
          <w:spacing w:val="10"/>
        </w:rPr>
        <w:t xml:space="preserve"> </w:t>
      </w:r>
      <w:r>
        <w:t>summu</w:t>
      </w:r>
      <w:r>
        <w:rPr>
          <w:spacing w:val="10"/>
        </w:rPr>
        <w:t xml:space="preserve"> </w:t>
      </w:r>
      <w:r>
        <w:t>un</w:t>
      </w:r>
      <w:r>
        <w:rPr>
          <w:spacing w:val="12"/>
        </w:rPr>
        <w:t xml:space="preserve"> </w:t>
      </w:r>
      <w:r>
        <w:t>maksājumu</w:t>
      </w:r>
      <w:r>
        <w:rPr>
          <w:spacing w:val="10"/>
        </w:rPr>
        <w:t xml:space="preserve"> </w:t>
      </w:r>
      <w:r>
        <w:t>pašreizējo</w:t>
      </w:r>
      <w:r>
        <w:rPr>
          <w:spacing w:val="10"/>
        </w:rPr>
        <w:t xml:space="preserve"> </w:t>
      </w:r>
      <w:r>
        <w:t>vērtību</w:t>
      </w:r>
      <w:r>
        <w:rPr>
          <w:spacing w:val="10"/>
        </w:rPr>
        <w:t xml:space="preserve"> </w:t>
      </w:r>
      <w:r>
        <w:t>atzīst</w:t>
      </w:r>
      <w:r>
        <w:rPr>
          <w:spacing w:val="11"/>
        </w:rPr>
        <w:t xml:space="preserve"> </w:t>
      </w:r>
      <w:r>
        <w:t>kā</w:t>
      </w:r>
    </w:p>
    <w:p w14:paraId="08750E8F" w14:textId="77777777" w:rsidR="00943ED6" w:rsidRDefault="00943ED6" w:rsidP="00CD363C">
      <w:pPr>
        <w:spacing w:after="0" w:line="240" w:lineRule="auto"/>
        <w:ind w:left="482" w:right="425"/>
        <w:jc w:val="both"/>
      </w:pPr>
      <w:r>
        <w:rPr>
          <w:b/>
        </w:rPr>
        <w:t xml:space="preserve">procentu ieņēmumus </w:t>
      </w:r>
      <w:r>
        <w:t>tajā termiņā, kad paredzēts saņemt maksājumus (24 mēneši).</w:t>
      </w:r>
    </w:p>
    <w:p w14:paraId="0DBC2C44" w14:textId="77777777" w:rsidR="00943ED6" w:rsidRDefault="00943ED6" w:rsidP="00CD363C">
      <w:pPr>
        <w:pStyle w:val="Pamatteksts"/>
        <w:ind w:right="425"/>
        <w:jc w:val="both"/>
      </w:pPr>
    </w:p>
    <w:p w14:paraId="06FAD58B" w14:textId="77777777" w:rsidR="00943ED6" w:rsidRDefault="00943ED6" w:rsidP="00CD363C">
      <w:pPr>
        <w:pStyle w:val="Sarakstarindkopa"/>
        <w:widowControl w:val="0"/>
        <w:numPr>
          <w:ilvl w:val="0"/>
          <w:numId w:val="78"/>
        </w:numPr>
        <w:tabs>
          <w:tab w:val="left" w:pos="483"/>
        </w:tabs>
        <w:autoSpaceDE w:val="0"/>
        <w:autoSpaceDN w:val="0"/>
        <w:spacing w:after="0" w:line="240" w:lineRule="auto"/>
        <w:ind w:right="425"/>
        <w:contextualSpacing w:val="0"/>
        <w:jc w:val="both"/>
      </w:pPr>
      <w:r>
        <w:t>Katru gadu budžeta iestāde aprēķina un uzskaita procentu ieņēmumus atbilstoši 1.tabulā norādītajam</w:t>
      </w:r>
      <w:r>
        <w:rPr>
          <w:spacing w:val="-5"/>
        </w:rPr>
        <w:t xml:space="preserve"> </w:t>
      </w:r>
      <w:r>
        <w:t>aprēķinam:</w:t>
      </w:r>
    </w:p>
    <w:p w14:paraId="5FDEE8BF" w14:textId="77777777" w:rsidR="00943ED6" w:rsidRDefault="00943ED6" w:rsidP="00CD363C">
      <w:pPr>
        <w:spacing w:after="0" w:line="240" w:lineRule="auto"/>
        <w:ind w:right="425"/>
        <w:jc w:val="both"/>
        <w:sectPr w:rsidR="00943ED6">
          <w:type w:val="continuous"/>
          <w:pgSz w:w="11910" w:h="16840"/>
          <w:pgMar w:top="840" w:right="540" w:bottom="740" w:left="1080" w:header="720" w:footer="720" w:gutter="0"/>
          <w:cols w:num="2" w:space="720" w:equalWidth="0">
            <w:col w:w="1257" w:space="40"/>
            <w:col w:w="8993"/>
          </w:cols>
        </w:sectPr>
      </w:pPr>
    </w:p>
    <w:p w14:paraId="0593CA85" w14:textId="77777777" w:rsidR="00943ED6" w:rsidRDefault="00943ED6" w:rsidP="00CD363C">
      <w:pPr>
        <w:pStyle w:val="Pamatteksts"/>
        <w:ind w:right="425"/>
        <w:jc w:val="both"/>
        <w:rPr>
          <w:sz w:val="9"/>
        </w:rPr>
      </w:pPr>
    </w:p>
    <w:p w14:paraId="11CD0FB5" w14:textId="77777777" w:rsidR="00943ED6" w:rsidRDefault="00943ED6" w:rsidP="00CD363C">
      <w:pPr>
        <w:pStyle w:val="Sarakstarindkopa"/>
        <w:widowControl w:val="0"/>
        <w:numPr>
          <w:ilvl w:val="1"/>
          <w:numId w:val="78"/>
        </w:numPr>
        <w:tabs>
          <w:tab w:val="left" w:pos="6679"/>
        </w:tabs>
        <w:autoSpaceDE w:val="0"/>
        <w:autoSpaceDN w:val="0"/>
        <w:spacing w:after="0" w:line="240" w:lineRule="auto"/>
        <w:ind w:right="425" w:hanging="151"/>
        <w:contextualSpacing w:val="0"/>
        <w:jc w:val="both"/>
        <w:rPr>
          <w:i/>
          <w:sz w:val="20"/>
        </w:rPr>
      </w:pPr>
      <w:r>
        <w:rPr>
          <w:i/>
          <w:sz w:val="20"/>
        </w:rPr>
        <w:t>tabula. Atliktā maksājuma</w:t>
      </w:r>
      <w:r>
        <w:rPr>
          <w:i/>
          <w:spacing w:val="-5"/>
          <w:sz w:val="20"/>
        </w:rPr>
        <w:t xml:space="preserve"> </w:t>
      </w:r>
      <w:r>
        <w:rPr>
          <w:i/>
          <w:sz w:val="20"/>
        </w:rPr>
        <w:t>aprēķināšana</w:t>
      </w:r>
    </w:p>
    <w:p w14:paraId="02E05FDC" w14:textId="77777777" w:rsidR="00943ED6" w:rsidRDefault="00943ED6" w:rsidP="00CD363C">
      <w:pPr>
        <w:pStyle w:val="Pamatteksts"/>
        <w:ind w:right="425"/>
        <w:jc w:val="both"/>
        <w:rPr>
          <w:i/>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9"/>
        <w:gridCol w:w="1983"/>
        <w:gridCol w:w="2837"/>
        <w:gridCol w:w="3826"/>
      </w:tblGrid>
      <w:tr w:rsidR="00943ED6" w14:paraId="7CB78AC3" w14:textId="77777777" w:rsidTr="00976CEC">
        <w:trPr>
          <w:trHeight w:val="688"/>
        </w:trPr>
        <w:tc>
          <w:tcPr>
            <w:tcW w:w="989" w:type="dxa"/>
            <w:shd w:val="clear" w:color="auto" w:fill="F1F1F1"/>
          </w:tcPr>
          <w:p w14:paraId="74CA2AE0" w14:textId="77777777" w:rsidR="00943ED6" w:rsidRDefault="00943ED6" w:rsidP="00CD363C">
            <w:pPr>
              <w:pStyle w:val="TableParagraph"/>
              <w:ind w:right="425"/>
              <w:jc w:val="both"/>
              <w:rPr>
                <w:i/>
                <w:sz w:val="20"/>
              </w:rPr>
            </w:pPr>
          </w:p>
          <w:p w14:paraId="0ADBB6D0" w14:textId="77777777" w:rsidR="00943ED6" w:rsidRDefault="00943ED6" w:rsidP="00CD363C">
            <w:pPr>
              <w:pStyle w:val="TableParagraph"/>
              <w:ind w:left="254" w:right="425"/>
              <w:jc w:val="both"/>
              <w:rPr>
                <w:b/>
                <w:sz w:val="20"/>
              </w:rPr>
            </w:pPr>
            <w:r>
              <w:rPr>
                <w:b/>
                <w:sz w:val="20"/>
              </w:rPr>
              <w:t>Gadi</w:t>
            </w:r>
          </w:p>
        </w:tc>
        <w:tc>
          <w:tcPr>
            <w:tcW w:w="1983" w:type="dxa"/>
            <w:shd w:val="clear" w:color="auto" w:fill="F1F1F1"/>
          </w:tcPr>
          <w:p w14:paraId="2A00EF1A" w14:textId="77777777" w:rsidR="00943ED6" w:rsidRDefault="00943ED6" w:rsidP="00CD363C">
            <w:pPr>
              <w:pStyle w:val="TableParagraph"/>
              <w:ind w:left="277" w:right="425" w:hanging="22"/>
              <w:jc w:val="both"/>
              <w:rPr>
                <w:b/>
                <w:sz w:val="20"/>
              </w:rPr>
            </w:pPr>
            <w:r>
              <w:rPr>
                <w:b/>
                <w:sz w:val="20"/>
              </w:rPr>
              <w:t>Prasības apmērs</w:t>
            </w:r>
          </w:p>
          <w:p w14:paraId="00E1925D" w14:textId="77777777" w:rsidR="00943ED6" w:rsidRDefault="00943ED6" w:rsidP="00CD363C">
            <w:pPr>
              <w:pStyle w:val="TableParagraph"/>
              <w:ind w:left="685" w:right="425" w:hanging="408"/>
              <w:jc w:val="both"/>
              <w:rPr>
                <w:b/>
                <w:sz w:val="20"/>
              </w:rPr>
            </w:pPr>
            <w:r>
              <w:rPr>
                <w:b/>
                <w:sz w:val="20"/>
              </w:rPr>
              <w:t>perioda sākumā (EUR)</w:t>
            </w:r>
          </w:p>
        </w:tc>
        <w:tc>
          <w:tcPr>
            <w:tcW w:w="2837" w:type="dxa"/>
            <w:shd w:val="clear" w:color="auto" w:fill="F1F1F1"/>
          </w:tcPr>
          <w:p w14:paraId="68B8AC0F" w14:textId="77777777" w:rsidR="00943ED6" w:rsidRDefault="00943ED6" w:rsidP="00CD363C">
            <w:pPr>
              <w:pStyle w:val="TableParagraph"/>
              <w:ind w:right="425"/>
              <w:jc w:val="both"/>
              <w:rPr>
                <w:i/>
                <w:sz w:val="20"/>
              </w:rPr>
            </w:pPr>
          </w:p>
          <w:p w14:paraId="0FADB716" w14:textId="77777777" w:rsidR="00943ED6" w:rsidRDefault="00943ED6" w:rsidP="00CD363C">
            <w:pPr>
              <w:pStyle w:val="TableParagraph"/>
              <w:ind w:left="198" w:right="425"/>
              <w:jc w:val="both"/>
              <w:rPr>
                <w:b/>
                <w:sz w:val="20"/>
              </w:rPr>
            </w:pPr>
            <w:r>
              <w:rPr>
                <w:b/>
                <w:sz w:val="20"/>
              </w:rPr>
              <w:t>Procentu ieņēmumi (EUR)*</w:t>
            </w:r>
          </w:p>
        </w:tc>
        <w:tc>
          <w:tcPr>
            <w:tcW w:w="3826" w:type="dxa"/>
            <w:shd w:val="clear" w:color="auto" w:fill="F1F1F1"/>
          </w:tcPr>
          <w:p w14:paraId="16557AB2" w14:textId="77777777" w:rsidR="00943ED6" w:rsidRDefault="00943ED6" w:rsidP="00CD363C">
            <w:pPr>
              <w:pStyle w:val="TableParagraph"/>
              <w:ind w:right="425"/>
              <w:jc w:val="both"/>
              <w:rPr>
                <w:i/>
                <w:sz w:val="20"/>
              </w:rPr>
            </w:pPr>
          </w:p>
          <w:p w14:paraId="6850BEE0" w14:textId="77777777" w:rsidR="00943ED6" w:rsidRDefault="00943ED6" w:rsidP="00CD363C">
            <w:pPr>
              <w:pStyle w:val="TableParagraph"/>
              <w:ind w:right="425"/>
              <w:jc w:val="both"/>
              <w:rPr>
                <w:b/>
                <w:sz w:val="20"/>
              </w:rPr>
            </w:pPr>
            <w:r>
              <w:rPr>
                <w:b/>
                <w:sz w:val="20"/>
              </w:rPr>
              <w:t>Prasības apmērs perioda beigās (EUR)**</w:t>
            </w:r>
          </w:p>
        </w:tc>
      </w:tr>
      <w:tr w:rsidR="00943ED6" w14:paraId="68399838" w14:textId="77777777" w:rsidTr="00976CEC">
        <w:trPr>
          <w:trHeight w:val="246"/>
        </w:trPr>
        <w:tc>
          <w:tcPr>
            <w:tcW w:w="989" w:type="dxa"/>
          </w:tcPr>
          <w:p w14:paraId="2853508E" w14:textId="77777777" w:rsidR="00943ED6" w:rsidRDefault="00943ED6" w:rsidP="00CD363C">
            <w:pPr>
              <w:pStyle w:val="TableParagraph"/>
              <w:ind w:right="425"/>
              <w:jc w:val="both"/>
              <w:rPr>
                <w:sz w:val="20"/>
              </w:rPr>
            </w:pPr>
            <w:r>
              <w:rPr>
                <w:w w:val="99"/>
                <w:sz w:val="20"/>
              </w:rPr>
              <w:t>1</w:t>
            </w:r>
          </w:p>
        </w:tc>
        <w:tc>
          <w:tcPr>
            <w:tcW w:w="1983" w:type="dxa"/>
          </w:tcPr>
          <w:p w14:paraId="1F4618DA" w14:textId="77777777" w:rsidR="00943ED6" w:rsidRDefault="00943ED6" w:rsidP="00CD363C">
            <w:pPr>
              <w:pStyle w:val="TableParagraph"/>
              <w:ind w:right="425"/>
              <w:jc w:val="both"/>
              <w:rPr>
                <w:sz w:val="20"/>
              </w:rPr>
            </w:pPr>
            <w:r>
              <w:rPr>
                <w:sz w:val="20"/>
              </w:rPr>
              <w:t>183 806,20</w:t>
            </w:r>
          </w:p>
        </w:tc>
        <w:tc>
          <w:tcPr>
            <w:tcW w:w="2837" w:type="dxa"/>
          </w:tcPr>
          <w:p w14:paraId="5F341EB0" w14:textId="77777777" w:rsidR="00943ED6" w:rsidRDefault="00943ED6" w:rsidP="00CD363C">
            <w:pPr>
              <w:pStyle w:val="TableParagraph"/>
              <w:ind w:right="425"/>
              <w:jc w:val="both"/>
              <w:rPr>
                <w:sz w:val="20"/>
              </w:rPr>
            </w:pPr>
            <w:r>
              <w:rPr>
                <w:sz w:val="20"/>
              </w:rPr>
              <w:t>183 806,20 * 3% = 5 514,19</w:t>
            </w:r>
          </w:p>
        </w:tc>
        <w:tc>
          <w:tcPr>
            <w:tcW w:w="3826" w:type="dxa"/>
          </w:tcPr>
          <w:p w14:paraId="6D8A2851" w14:textId="77777777" w:rsidR="00943ED6" w:rsidRDefault="00943ED6" w:rsidP="00CD363C">
            <w:pPr>
              <w:pStyle w:val="TableParagraph"/>
              <w:ind w:right="425"/>
              <w:jc w:val="both"/>
              <w:rPr>
                <w:sz w:val="20"/>
              </w:rPr>
            </w:pPr>
            <w:r>
              <w:rPr>
                <w:sz w:val="20"/>
              </w:rPr>
              <w:t>183 806,20 + 5 514,19= 189 320,39</w:t>
            </w:r>
          </w:p>
        </w:tc>
      </w:tr>
      <w:tr w:rsidR="00943ED6" w14:paraId="7DC26449" w14:textId="77777777" w:rsidTr="00976CEC">
        <w:trPr>
          <w:trHeight w:val="266"/>
        </w:trPr>
        <w:tc>
          <w:tcPr>
            <w:tcW w:w="989" w:type="dxa"/>
          </w:tcPr>
          <w:p w14:paraId="049192A9" w14:textId="77777777" w:rsidR="00943ED6" w:rsidRDefault="00943ED6" w:rsidP="00CD363C">
            <w:pPr>
              <w:pStyle w:val="TableParagraph"/>
              <w:ind w:right="425"/>
              <w:jc w:val="both"/>
              <w:rPr>
                <w:sz w:val="20"/>
              </w:rPr>
            </w:pPr>
            <w:r>
              <w:rPr>
                <w:w w:val="99"/>
                <w:sz w:val="20"/>
              </w:rPr>
              <w:t>2</w:t>
            </w:r>
          </w:p>
        </w:tc>
        <w:tc>
          <w:tcPr>
            <w:tcW w:w="1983" w:type="dxa"/>
          </w:tcPr>
          <w:p w14:paraId="5FB4099A" w14:textId="77777777" w:rsidR="00943ED6" w:rsidRDefault="00943ED6" w:rsidP="00CD363C">
            <w:pPr>
              <w:pStyle w:val="TableParagraph"/>
              <w:ind w:right="425"/>
              <w:jc w:val="both"/>
              <w:rPr>
                <w:sz w:val="20"/>
              </w:rPr>
            </w:pPr>
            <w:r>
              <w:rPr>
                <w:sz w:val="20"/>
              </w:rPr>
              <w:t>189 320,39</w:t>
            </w:r>
          </w:p>
        </w:tc>
        <w:tc>
          <w:tcPr>
            <w:tcW w:w="2837" w:type="dxa"/>
          </w:tcPr>
          <w:p w14:paraId="18E1393B" w14:textId="77777777" w:rsidR="00943ED6" w:rsidRDefault="00943ED6" w:rsidP="00CD363C">
            <w:pPr>
              <w:pStyle w:val="TableParagraph"/>
              <w:ind w:right="425"/>
              <w:jc w:val="both"/>
              <w:rPr>
                <w:sz w:val="20"/>
              </w:rPr>
            </w:pPr>
            <w:r>
              <w:rPr>
                <w:sz w:val="20"/>
              </w:rPr>
              <w:t>189 320,39* 3% = 5 679,61</w:t>
            </w:r>
          </w:p>
        </w:tc>
        <w:tc>
          <w:tcPr>
            <w:tcW w:w="3826" w:type="dxa"/>
          </w:tcPr>
          <w:p w14:paraId="135D4F93" w14:textId="77777777" w:rsidR="00943ED6" w:rsidRDefault="00943ED6" w:rsidP="00CD363C">
            <w:pPr>
              <w:pStyle w:val="TableParagraph"/>
              <w:ind w:right="425"/>
              <w:jc w:val="both"/>
              <w:rPr>
                <w:sz w:val="20"/>
              </w:rPr>
            </w:pPr>
            <w:r>
              <w:rPr>
                <w:sz w:val="20"/>
              </w:rPr>
              <w:t>189 320,39 + 5 679,61 = 195 000,00</w:t>
            </w:r>
          </w:p>
        </w:tc>
      </w:tr>
      <w:tr w:rsidR="00943ED6" w14:paraId="367216B0" w14:textId="77777777" w:rsidTr="00976CEC">
        <w:trPr>
          <w:trHeight w:val="268"/>
        </w:trPr>
        <w:tc>
          <w:tcPr>
            <w:tcW w:w="989" w:type="dxa"/>
          </w:tcPr>
          <w:p w14:paraId="258E32F7" w14:textId="77777777" w:rsidR="00943ED6" w:rsidRDefault="00943ED6" w:rsidP="00CD363C">
            <w:pPr>
              <w:pStyle w:val="TableParagraph"/>
              <w:ind w:right="425"/>
              <w:jc w:val="both"/>
              <w:rPr>
                <w:b/>
              </w:rPr>
            </w:pPr>
            <w:r>
              <w:rPr>
                <w:b/>
              </w:rPr>
              <w:t>KOPĀ:</w:t>
            </w:r>
          </w:p>
        </w:tc>
        <w:tc>
          <w:tcPr>
            <w:tcW w:w="1983" w:type="dxa"/>
          </w:tcPr>
          <w:p w14:paraId="5B45FDAD" w14:textId="77777777" w:rsidR="00943ED6" w:rsidRDefault="00943ED6" w:rsidP="00CD363C">
            <w:pPr>
              <w:pStyle w:val="TableParagraph"/>
              <w:ind w:right="425"/>
              <w:jc w:val="both"/>
              <w:rPr>
                <w:sz w:val="18"/>
              </w:rPr>
            </w:pPr>
          </w:p>
        </w:tc>
        <w:tc>
          <w:tcPr>
            <w:tcW w:w="2837" w:type="dxa"/>
          </w:tcPr>
          <w:p w14:paraId="2721CEC9" w14:textId="77777777" w:rsidR="00943ED6" w:rsidRDefault="00943ED6" w:rsidP="00CD363C">
            <w:pPr>
              <w:pStyle w:val="TableParagraph"/>
              <w:ind w:right="425"/>
              <w:jc w:val="both"/>
              <w:rPr>
                <w:b/>
              </w:rPr>
            </w:pPr>
            <w:r>
              <w:rPr>
                <w:b/>
              </w:rPr>
              <w:t>11 193,80</w:t>
            </w:r>
          </w:p>
        </w:tc>
        <w:tc>
          <w:tcPr>
            <w:tcW w:w="3826" w:type="dxa"/>
          </w:tcPr>
          <w:p w14:paraId="5706AEF0" w14:textId="77777777" w:rsidR="00943ED6" w:rsidRDefault="00943ED6" w:rsidP="00CD363C">
            <w:pPr>
              <w:pStyle w:val="TableParagraph"/>
              <w:ind w:right="425"/>
              <w:jc w:val="both"/>
              <w:rPr>
                <w:sz w:val="18"/>
              </w:rPr>
            </w:pPr>
          </w:p>
        </w:tc>
      </w:tr>
    </w:tbl>
    <w:p w14:paraId="51DD2E2F" w14:textId="77777777" w:rsidR="00943ED6" w:rsidRDefault="00943ED6" w:rsidP="00CD363C">
      <w:pPr>
        <w:spacing w:after="0" w:line="240" w:lineRule="auto"/>
        <w:ind w:left="338" w:right="425"/>
        <w:jc w:val="both"/>
        <w:rPr>
          <w:i/>
          <w:sz w:val="20"/>
        </w:rPr>
      </w:pPr>
      <w:r>
        <w:rPr>
          <w:i/>
          <w:sz w:val="20"/>
        </w:rPr>
        <w:t>*procentu ieņēmumi = prasības apmērs perioda sākumā x diskonta likme / periodu skaits</w:t>
      </w:r>
    </w:p>
    <w:p w14:paraId="2D41AF85" w14:textId="77777777" w:rsidR="00943ED6" w:rsidRDefault="00943ED6" w:rsidP="00CD363C">
      <w:pPr>
        <w:spacing w:after="0" w:line="240" w:lineRule="auto"/>
        <w:ind w:left="338" w:right="425"/>
        <w:jc w:val="both"/>
        <w:rPr>
          <w:i/>
          <w:sz w:val="20"/>
        </w:rPr>
      </w:pPr>
      <w:r>
        <w:rPr>
          <w:i/>
          <w:sz w:val="20"/>
        </w:rPr>
        <w:t>**prasības apmērs perioda beigās = prasības apmērs perioda sākumā + procentu ieņēmumi attiecīgajā periodā</w:t>
      </w:r>
    </w:p>
    <w:p w14:paraId="4BF7511D" w14:textId="77777777" w:rsidR="00943ED6" w:rsidRDefault="00943ED6" w:rsidP="00CD363C">
      <w:pPr>
        <w:pStyle w:val="Pamatteksts"/>
        <w:ind w:right="425"/>
        <w:jc w:val="both"/>
        <w:rPr>
          <w:i/>
        </w:rPr>
      </w:pPr>
    </w:p>
    <w:p w14:paraId="69EFB088" w14:textId="77777777" w:rsidR="00943ED6" w:rsidRDefault="00943ED6" w:rsidP="00CD363C">
      <w:pPr>
        <w:pStyle w:val="Pamatteksts"/>
        <w:ind w:right="425"/>
        <w:jc w:val="both"/>
        <w:rPr>
          <w:i/>
          <w:sz w:val="25"/>
        </w:rPr>
      </w:pPr>
    </w:p>
    <w:p w14:paraId="2B5439EF" w14:textId="77777777" w:rsidR="00943ED6" w:rsidRDefault="00943ED6" w:rsidP="00CD363C">
      <w:pPr>
        <w:pStyle w:val="Sarakstarindkopa"/>
        <w:widowControl w:val="0"/>
        <w:numPr>
          <w:ilvl w:val="0"/>
          <w:numId w:val="78"/>
        </w:numPr>
        <w:tabs>
          <w:tab w:val="left" w:pos="1662"/>
        </w:tabs>
        <w:autoSpaceDE w:val="0"/>
        <w:autoSpaceDN w:val="0"/>
        <w:spacing w:after="0" w:line="240" w:lineRule="auto"/>
        <w:ind w:left="1471" w:right="425" w:hanging="53"/>
        <w:contextualSpacing w:val="0"/>
        <w:jc w:val="both"/>
        <w:rPr>
          <w:i/>
        </w:rPr>
      </w:pPr>
      <w:r>
        <w:t>Sākot ar 2019. gada jūniju, budžeta iestāde katru gadu atzīst un uzskaita procentu ieņēmumus un attiecīgajā apmērā atzīst prasību palielinājumu. Līdz atliktā maksājuma saņemšanai kopējais aprēķināto</w:t>
      </w:r>
      <w:r>
        <w:rPr>
          <w:spacing w:val="-10"/>
        </w:rPr>
        <w:t xml:space="preserve"> </w:t>
      </w:r>
      <w:r>
        <w:t>un</w:t>
      </w:r>
      <w:r>
        <w:rPr>
          <w:spacing w:val="-6"/>
        </w:rPr>
        <w:t xml:space="preserve"> </w:t>
      </w:r>
      <w:r>
        <w:t>atzīto</w:t>
      </w:r>
      <w:r>
        <w:rPr>
          <w:spacing w:val="-10"/>
        </w:rPr>
        <w:t xml:space="preserve"> </w:t>
      </w:r>
      <w:r>
        <w:t>procentu</w:t>
      </w:r>
      <w:r>
        <w:rPr>
          <w:spacing w:val="-6"/>
        </w:rPr>
        <w:t xml:space="preserve"> </w:t>
      </w:r>
      <w:r>
        <w:t>ieņēmumu</w:t>
      </w:r>
      <w:r>
        <w:rPr>
          <w:spacing w:val="-7"/>
        </w:rPr>
        <w:t xml:space="preserve"> </w:t>
      </w:r>
      <w:r>
        <w:t>apmērs</w:t>
      </w:r>
      <w:r>
        <w:rPr>
          <w:spacing w:val="-7"/>
        </w:rPr>
        <w:t xml:space="preserve"> </w:t>
      </w:r>
      <w:r>
        <w:t>būs</w:t>
      </w:r>
      <w:r>
        <w:rPr>
          <w:spacing w:val="-6"/>
        </w:rPr>
        <w:t xml:space="preserve"> </w:t>
      </w:r>
      <w:r>
        <w:rPr>
          <w:i/>
        </w:rPr>
        <w:t>11</w:t>
      </w:r>
      <w:r>
        <w:rPr>
          <w:i/>
          <w:spacing w:val="-5"/>
        </w:rPr>
        <w:t xml:space="preserve"> </w:t>
      </w:r>
      <w:r>
        <w:rPr>
          <w:i/>
        </w:rPr>
        <w:t>193,80</w:t>
      </w:r>
      <w:r>
        <w:rPr>
          <w:i/>
          <w:spacing w:val="-6"/>
        </w:rPr>
        <w:t xml:space="preserve"> </w:t>
      </w:r>
      <w:r>
        <w:rPr>
          <w:i/>
        </w:rPr>
        <w:t>EUR.</w:t>
      </w:r>
      <w:r>
        <w:rPr>
          <w:i/>
          <w:spacing w:val="-7"/>
        </w:rPr>
        <w:t xml:space="preserve"> </w:t>
      </w:r>
      <w:r>
        <w:t>Rezultātā</w:t>
      </w:r>
      <w:r>
        <w:rPr>
          <w:spacing w:val="-8"/>
        </w:rPr>
        <w:t xml:space="preserve"> </w:t>
      </w:r>
      <w:r>
        <w:t>prasība</w:t>
      </w:r>
      <w:r>
        <w:rPr>
          <w:spacing w:val="-9"/>
        </w:rPr>
        <w:t xml:space="preserve"> </w:t>
      </w:r>
      <w:r>
        <w:t xml:space="preserve">sākotnēji tiks atzīta tās pašreizējā vērtībā: </w:t>
      </w:r>
      <w:r>
        <w:rPr>
          <w:i/>
        </w:rPr>
        <w:t>195 000,00 EUR – 11 193,80 EUR = 183 806,20</w:t>
      </w:r>
      <w:r>
        <w:rPr>
          <w:i/>
          <w:spacing w:val="-15"/>
        </w:rPr>
        <w:t xml:space="preserve"> </w:t>
      </w:r>
      <w:r>
        <w:rPr>
          <w:i/>
        </w:rPr>
        <w:t>EUR.</w:t>
      </w:r>
    </w:p>
    <w:p w14:paraId="593F4836" w14:textId="77777777" w:rsidR="00943ED6" w:rsidRDefault="00943ED6" w:rsidP="00CD363C">
      <w:pPr>
        <w:pStyle w:val="Virsraksts6"/>
        <w:ind w:right="425"/>
        <w:jc w:val="both"/>
      </w:pPr>
      <w:r>
        <w:rPr>
          <w:u w:val="thick"/>
        </w:rPr>
        <w:t>Grāmatojumi:</w:t>
      </w:r>
    </w:p>
    <w:p w14:paraId="6BC216E8" w14:textId="77777777" w:rsidR="00943ED6" w:rsidRDefault="00943ED6" w:rsidP="00CD363C">
      <w:pPr>
        <w:spacing w:after="0" w:line="240" w:lineRule="auto"/>
        <w:ind w:left="338" w:right="425"/>
        <w:jc w:val="both"/>
        <w:rPr>
          <w:i/>
        </w:rPr>
      </w:pPr>
      <w:r>
        <w:rPr>
          <w:i/>
        </w:rPr>
        <w:t>Grāmatojums,</w:t>
      </w:r>
      <w:r>
        <w:rPr>
          <w:i/>
          <w:spacing w:val="-14"/>
        </w:rPr>
        <w:t xml:space="preserve"> </w:t>
      </w:r>
      <w:r>
        <w:rPr>
          <w:i/>
        </w:rPr>
        <w:t>izslēdzot</w:t>
      </w:r>
      <w:r>
        <w:rPr>
          <w:i/>
          <w:spacing w:val="-13"/>
        </w:rPr>
        <w:t xml:space="preserve"> </w:t>
      </w:r>
      <w:r>
        <w:rPr>
          <w:i/>
        </w:rPr>
        <w:t>ēku</w:t>
      </w:r>
      <w:r>
        <w:rPr>
          <w:i/>
          <w:spacing w:val="-17"/>
        </w:rPr>
        <w:t xml:space="preserve"> </w:t>
      </w:r>
      <w:r>
        <w:rPr>
          <w:i/>
        </w:rPr>
        <w:t>uzskaites</w:t>
      </w:r>
      <w:r>
        <w:rPr>
          <w:i/>
          <w:spacing w:val="-14"/>
        </w:rPr>
        <w:t xml:space="preserve"> </w:t>
      </w:r>
      <w:r>
        <w:rPr>
          <w:i/>
        </w:rPr>
        <w:t>vērtību</w:t>
      </w:r>
      <w:r>
        <w:rPr>
          <w:i/>
          <w:spacing w:val="-14"/>
        </w:rPr>
        <w:t xml:space="preserve"> </w:t>
      </w:r>
      <w:r>
        <w:rPr>
          <w:i/>
        </w:rPr>
        <w:t>no</w:t>
      </w:r>
      <w:r>
        <w:rPr>
          <w:i/>
          <w:spacing w:val="-14"/>
        </w:rPr>
        <w:t xml:space="preserve"> </w:t>
      </w:r>
      <w:r>
        <w:rPr>
          <w:i/>
        </w:rPr>
        <w:t>pamatlīdzekļu</w:t>
      </w:r>
      <w:r>
        <w:rPr>
          <w:i/>
          <w:spacing w:val="-14"/>
        </w:rPr>
        <w:t xml:space="preserve"> </w:t>
      </w:r>
      <w:r>
        <w:rPr>
          <w:i/>
        </w:rPr>
        <w:t>sastāva</w:t>
      </w:r>
      <w:r>
        <w:rPr>
          <w:i/>
          <w:spacing w:val="-14"/>
        </w:rPr>
        <w:t xml:space="preserve"> </w:t>
      </w:r>
      <w:r>
        <w:rPr>
          <w:i/>
        </w:rPr>
        <w:t>un</w:t>
      </w:r>
      <w:r>
        <w:rPr>
          <w:i/>
          <w:spacing w:val="-14"/>
        </w:rPr>
        <w:t xml:space="preserve"> </w:t>
      </w:r>
      <w:r>
        <w:rPr>
          <w:i/>
        </w:rPr>
        <w:t>atzīstot</w:t>
      </w:r>
      <w:r>
        <w:rPr>
          <w:i/>
          <w:spacing w:val="-12"/>
        </w:rPr>
        <w:t xml:space="preserve"> </w:t>
      </w:r>
      <w:r>
        <w:rPr>
          <w:i/>
        </w:rPr>
        <w:t>apgrozāmo</w:t>
      </w:r>
      <w:r>
        <w:rPr>
          <w:i/>
          <w:spacing w:val="-14"/>
        </w:rPr>
        <w:t xml:space="preserve"> </w:t>
      </w:r>
      <w:r>
        <w:rPr>
          <w:i/>
        </w:rPr>
        <w:t>līdzekļu</w:t>
      </w:r>
      <w:r>
        <w:rPr>
          <w:i/>
          <w:spacing w:val="-14"/>
        </w:rPr>
        <w:t xml:space="preserve"> </w:t>
      </w:r>
      <w:r>
        <w:rPr>
          <w:i/>
        </w:rPr>
        <w:t>sastāvā atlikušajā vērtībā 2019.gada</w:t>
      </w:r>
      <w:r>
        <w:rPr>
          <w:i/>
          <w:spacing w:val="-4"/>
        </w:rPr>
        <w:t xml:space="preserve"> </w:t>
      </w:r>
      <w:r>
        <w:rPr>
          <w:i/>
        </w:rPr>
        <w:t>29.aprīlī:</w:t>
      </w:r>
    </w:p>
    <w:p w14:paraId="0FF5B393" w14:textId="77777777" w:rsidR="00943ED6" w:rsidRDefault="00943ED6" w:rsidP="00CD363C">
      <w:pPr>
        <w:pStyle w:val="Pamatteksts"/>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4654"/>
        <w:gridCol w:w="1702"/>
      </w:tblGrid>
      <w:tr w:rsidR="00943ED6" w14:paraId="1622679F" w14:textId="77777777" w:rsidTr="00976CEC">
        <w:trPr>
          <w:trHeight w:val="496"/>
        </w:trPr>
        <w:tc>
          <w:tcPr>
            <w:tcW w:w="568" w:type="dxa"/>
          </w:tcPr>
          <w:p w14:paraId="5FF6DA74" w14:textId="77777777" w:rsidR="00943ED6" w:rsidRDefault="00943ED6" w:rsidP="00CD363C">
            <w:pPr>
              <w:pStyle w:val="TableParagraph"/>
              <w:ind w:right="425"/>
              <w:jc w:val="both"/>
              <w:rPr>
                <w:i/>
              </w:rPr>
            </w:pPr>
            <w:r>
              <w:rPr>
                <w:i/>
              </w:rPr>
              <w:t>D</w:t>
            </w:r>
          </w:p>
        </w:tc>
        <w:tc>
          <w:tcPr>
            <w:tcW w:w="1124" w:type="dxa"/>
          </w:tcPr>
          <w:p w14:paraId="1C277BFE" w14:textId="77777777" w:rsidR="00943ED6" w:rsidRDefault="00943ED6" w:rsidP="00CD363C">
            <w:pPr>
              <w:pStyle w:val="TableParagraph"/>
              <w:ind w:left="207" w:right="425"/>
              <w:jc w:val="both"/>
              <w:rPr>
                <w:i/>
              </w:rPr>
            </w:pPr>
            <w:r>
              <w:rPr>
                <w:i/>
              </w:rPr>
              <w:t>2132</w:t>
            </w:r>
          </w:p>
        </w:tc>
        <w:tc>
          <w:tcPr>
            <w:tcW w:w="4654" w:type="dxa"/>
          </w:tcPr>
          <w:p w14:paraId="31CC8FAC" w14:textId="77777777" w:rsidR="00943ED6" w:rsidRDefault="00943ED6" w:rsidP="00CD363C">
            <w:pPr>
              <w:pStyle w:val="TableParagraph"/>
              <w:tabs>
                <w:tab w:val="left" w:pos="1599"/>
                <w:tab w:val="left" w:pos="2208"/>
                <w:tab w:val="left" w:pos="3515"/>
              </w:tabs>
              <w:ind w:left="474" w:right="425"/>
              <w:jc w:val="both"/>
              <w:rPr>
                <w:i/>
              </w:rPr>
            </w:pPr>
            <w:r>
              <w:rPr>
                <w:i/>
              </w:rPr>
              <w:t>Krājumi</w:t>
            </w:r>
            <w:r>
              <w:rPr>
                <w:i/>
              </w:rPr>
              <w:tab/>
              <w:t>un</w:t>
            </w:r>
            <w:r>
              <w:rPr>
                <w:i/>
              </w:rPr>
              <w:tab/>
              <w:t>ilgtermiņa</w:t>
            </w:r>
            <w:r>
              <w:rPr>
                <w:i/>
              </w:rPr>
              <w:tab/>
              <w:t>ieguldījumi</w:t>
            </w:r>
          </w:p>
          <w:p w14:paraId="0FB08F81" w14:textId="77777777" w:rsidR="00943ED6" w:rsidRDefault="00943ED6" w:rsidP="00CD363C">
            <w:pPr>
              <w:pStyle w:val="TableParagraph"/>
              <w:ind w:left="474" w:right="425"/>
              <w:jc w:val="both"/>
              <w:rPr>
                <w:i/>
              </w:rPr>
            </w:pPr>
            <w:r>
              <w:rPr>
                <w:i/>
              </w:rPr>
              <w:t>atsavināšanai</w:t>
            </w:r>
          </w:p>
        </w:tc>
        <w:tc>
          <w:tcPr>
            <w:tcW w:w="1702" w:type="dxa"/>
          </w:tcPr>
          <w:p w14:paraId="037E0F6C" w14:textId="77777777" w:rsidR="00943ED6" w:rsidRDefault="00943ED6" w:rsidP="00CD363C">
            <w:pPr>
              <w:pStyle w:val="TableParagraph"/>
              <w:ind w:left="136" w:right="425"/>
              <w:jc w:val="both"/>
              <w:rPr>
                <w:i/>
              </w:rPr>
            </w:pPr>
            <w:r>
              <w:rPr>
                <w:i/>
              </w:rPr>
              <w:t>66 933,33 EUR</w:t>
            </w:r>
          </w:p>
        </w:tc>
      </w:tr>
    </w:tbl>
    <w:p w14:paraId="40EDF9E1" w14:textId="77777777" w:rsidR="00943ED6" w:rsidRDefault="00943ED6" w:rsidP="00CD363C">
      <w:pPr>
        <w:spacing w:after="0" w:line="240" w:lineRule="auto"/>
        <w:ind w:right="425"/>
        <w:jc w:val="both"/>
        <w:sectPr w:rsidR="00943ED6">
          <w:type w:val="continuous"/>
          <w:pgSz w:w="11910" w:h="16840"/>
          <w:pgMar w:top="840" w:right="540" w:bottom="740" w:left="1080" w:header="720" w:footer="720"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3860"/>
        <w:gridCol w:w="2496"/>
      </w:tblGrid>
      <w:tr w:rsidR="00943ED6" w14:paraId="1F144CF5" w14:textId="77777777" w:rsidTr="00976CEC">
        <w:trPr>
          <w:trHeight w:val="534"/>
        </w:trPr>
        <w:tc>
          <w:tcPr>
            <w:tcW w:w="568" w:type="dxa"/>
          </w:tcPr>
          <w:p w14:paraId="049812A5" w14:textId="77777777" w:rsidR="00943ED6" w:rsidRDefault="00943ED6" w:rsidP="00CD363C">
            <w:pPr>
              <w:pStyle w:val="TableParagraph"/>
              <w:ind w:right="425"/>
              <w:jc w:val="both"/>
              <w:rPr>
                <w:i/>
              </w:rPr>
            </w:pPr>
            <w:r>
              <w:rPr>
                <w:i/>
              </w:rPr>
              <w:t>D</w:t>
            </w:r>
          </w:p>
          <w:p w14:paraId="590FF89D" w14:textId="77777777" w:rsidR="00943ED6" w:rsidRDefault="00943ED6" w:rsidP="00CD363C">
            <w:pPr>
              <w:pStyle w:val="TableParagraph"/>
              <w:ind w:right="425"/>
              <w:jc w:val="both"/>
              <w:rPr>
                <w:i/>
              </w:rPr>
            </w:pPr>
            <w:r>
              <w:rPr>
                <w:i/>
              </w:rPr>
              <w:t>K</w:t>
            </w:r>
          </w:p>
        </w:tc>
        <w:tc>
          <w:tcPr>
            <w:tcW w:w="1124" w:type="dxa"/>
          </w:tcPr>
          <w:p w14:paraId="54C19379" w14:textId="77777777" w:rsidR="00943ED6" w:rsidRDefault="00943ED6" w:rsidP="00CD363C">
            <w:pPr>
              <w:pStyle w:val="TableParagraph"/>
              <w:ind w:left="207" w:right="425"/>
              <w:jc w:val="both"/>
              <w:rPr>
                <w:i/>
              </w:rPr>
            </w:pPr>
            <w:r>
              <w:rPr>
                <w:i/>
              </w:rPr>
              <w:t>1291</w:t>
            </w:r>
          </w:p>
          <w:p w14:paraId="21436D23" w14:textId="77777777" w:rsidR="00943ED6" w:rsidRDefault="00943ED6" w:rsidP="00CD363C">
            <w:pPr>
              <w:pStyle w:val="TableParagraph"/>
              <w:ind w:left="207" w:right="425"/>
              <w:jc w:val="both"/>
              <w:rPr>
                <w:i/>
              </w:rPr>
            </w:pPr>
            <w:r>
              <w:rPr>
                <w:i/>
              </w:rPr>
              <w:t>1212</w:t>
            </w:r>
          </w:p>
        </w:tc>
        <w:tc>
          <w:tcPr>
            <w:tcW w:w="3860" w:type="dxa"/>
          </w:tcPr>
          <w:p w14:paraId="32BEABEF" w14:textId="77777777" w:rsidR="00943ED6" w:rsidRDefault="00943ED6" w:rsidP="00CD363C">
            <w:pPr>
              <w:pStyle w:val="TableParagraph"/>
              <w:ind w:left="474" w:right="425"/>
              <w:jc w:val="both"/>
              <w:rPr>
                <w:i/>
              </w:rPr>
            </w:pPr>
            <w:r>
              <w:rPr>
                <w:i/>
              </w:rPr>
              <w:t>Būvju uzkrātais nolietojums</w:t>
            </w:r>
          </w:p>
          <w:p w14:paraId="57D6CFF5" w14:textId="77777777" w:rsidR="00943ED6" w:rsidRDefault="00943ED6" w:rsidP="00CD363C">
            <w:pPr>
              <w:pStyle w:val="TableParagraph"/>
              <w:ind w:left="474" w:right="425"/>
              <w:jc w:val="both"/>
              <w:rPr>
                <w:i/>
              </w:rPr>
            </w:pPr>
            <w:r>
              <w:rPr>
                <w:i/>
              </w:rPr>
              <w:t>Nedzīvojamās ēkas</w:t>
            </w:r>
          </w:p>
        </w:tc>
        <w:tc>
          <w:tcPr>
            <w:tcW w:w="2496" w:type="dxa"/>
          </w:tcPr>
          <w:p w14:paraId="66F4C590" w14:textId="77777777" w:rsidR="00943ED6" w:rsidRDefault="00943ED6" w:rsidP="00CD363C">
            <w:pPr>
              <w:pStyle w:val="TableParagraph"/>
              <w:ind w:left="930" w:right="425"/>
              <w:jc w:val="both"/>
              <w:rPr>
                <w:i/>
              </w:rPr>
            </w:pPr>
            <w:r>
              <w:rPr>
                <w:i/>
              </w:rPr>
              <w:t>29 066,67</w:t>
            </w:r>
            <w:r>
              <w:rPr>
                <w:i/>
                <w:spacing w:val="2"/>
              </w:rPr>
              <w:t xml:space="preserve"> </w:t>
            </w:r>
            <w:r>
              <w:rPr>
                <w:i/>
              </w:rPr>
              <w:t>EUR</w:t>
            </w:r>
          </w:p>
          <w:p w14:paraId="574C242A" w14:textId="77777777" w:rsidR="00943ED6" w:rsidRDefault="00943ED6" w:rsidP="00CD363C">
            <w:pPr>
              <w:pStyle w:val="TableParagraph"/>
              <w:ind w:left="930" w:right="425"/>
              <w:jc w:val="both"/>
              <w:rPr>
                <w:i/>
              </w:rPr>
            </w:pPr>
            <w:r>
              <w:rPr>
                <w:i/>
              </w:rPr>
              <w:t>96 000,00</w:t>
            </w:r>
            <w:r>
              <w:rPr>
                <w:i/>
                <w:spacing w:val="2"/>
              </w:rPr>
              <w:t xml:space="preserve"> </w:t>
            </w:r>
            <w:r>
              <w:rPr>
                <w:i/>
              </w:rPr>
              <w:t>EUR</w:t>
            </w:r>
          </w:p>
        </w:tc>
      </w:tr>
    </w:tbl>
    <w:p w14:paraId="68D9037B" w14:textId="77777777" w:rsidR="00943ED6" w:rsidRDefault="00943ED6" w:rsidP="00CD363C">
      <w:pPr>
        <w:spacing w:after="0" w:line="240" w:lineRule="auto"/>
        <w:ind w:left="338" w:right="425"/>
        <w:jc w:val="both"/>
        <w:rPr>
          <w:i/>
        </w:rPr>
      </w:pPr>
      <w:r>
        <w:rPr>
          <w:i/>
        </w:rPr>
        <w:t>Grāmatojums, atzīstot prasības par atlikto maksājumu un izslēdzot atsavinātās ēkas vērtību 2019.gada 31.maijā:</w:t>
      </w:r>
    </w:p>
    <w:p w14:paraId="68677387" w14:textId="77777777" w:rsidR="00943ED6" w:rsidRDefault="00943ED6" w:rsidP="00CD363C">
      <w:pPr>
        <w:pStyle w:val="Pamatteksts"/>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4654"/>
        <w:gridCol w:w="1810"/>
      </w:tblGrid>
      <w:tr w:rsidR="00943ED6" w14:paraId="3C6C4472" w14:textId="77777777" w:rsidTr="00976CEC">
        <w:trPr>
          <w:trHeight w:val="1881"/>
        </w:trPr>
        <w:tc>
          <w:tcPr>
            <w:tcW w:w="568" w:type="dxa"/>
          </w:tcPr>
          <w:p w14:paraId="63C7E6D2" w14:textId="77777777" w:rsidR="00943ED6" w:rsidRDefault="00943ED6" w:rsidP="00CD363C">
            <w:pPr>
              <w:pStyle w:val="TableParagraph"/>
              <w:ind w:left="200" w:right="425"/>
              <w:jc w:val="both"/>
              <w:rPr>
                <w:i/>
              </w:rPr>
            </w:pPr>
            <w:r>
              <w:rPr>
                <w:i/>
              </w:rPr>
              <w:t>D K</w:t>
            </w:r>
          </w:p>
          <w:p w14:paraId="06EEEBE5" w14:textId="77777777" w:rsidR="00943ED6" w:rsidRDefault="00943ED6" w:rsidP="00CD363C">
            <w:pPr>
              <w:pStyle w:val="TableParagraph"/>
              <w:ind w:left="200" w:right="425"/>
              <w:jc w:val="both"/>
              <w:rPr>
                <w:i/>
              </w:rPr>
            </w:pPr>
            <w:r>
              <w:rPr>
                <w:i/>
              </w:rPr>
              <w:t>D K</w:t>
            </w:r>
          </w:p>
        </w:tc>
        <w:tc>
          <w:tcPr>
            <w:tcW w:w="1124" w:type="dxa"/>
          </w:tcPr>
          <w:p w14:paraId="16DC6F5C" w14:textId="77777777" w:rsidR="00943ED6" w:rsidRDefault="00943ED6" w:rsidP="00CD363C">
            <w:pPr>
              <w:pStyle w:val="TableParagraph"/>
              <w:ind w:left="207" w:right="425"/>
              <w:jc w:val="both"/>
              <w:rPr>
                <w:i/>
              </w:rPr>
            </w:pPr>
            <w:r>
              <w:rPr>
                <w:i/>
              </w:rPr>
              <w:t>1428</w:t>
            </w:r>
          </w:p>
          <w:p w14:paraId="21A8D49F" w14:textId="77777777" w:rsidR="00943ED6" w:rsidRDefault="00943ED6" w:rsidP="00CD363C">
            <w:pPr>
              <w:pStyle w:val="TableParagraph"/>
              <w:ind w:right="425"/>
              <w:jc w:val="both"/>
              <w:rPr>
                <w:i/>
                <w:sz w:val="28"/>
              </w:rPr>
            </w:pPr>
          </w:p>
          <w:p w14:paraId="64F19414" w14:textId="77777777" w:rsidR="00943ED6" w:rsidRDefault="00943ED6" w:rsidP="00CD363C">
            <w:pPr>
              <w:pStyle w:val="TableParagraph"/>
              <w:ind w:left="207" w:right="425"/>
              <w:jc w:val="both"/>
              <w:rPr>
                <w:i/>
              </w:rPr>
            </w:pPr>
            <w:r>
              <w:rPr>
                <w:i/>
              </w:rPr>
              <w:t>8510</w:t>
            </w:r>
          </w:p>
          <w:p w14:paraId="22CAA593" w14:textId="77777777" w:rsidR="00943ED6" w:rsidRDefault="00943ED6" w:rsidP="00CD363C">
            <w:pPr>
              <w:pStyle w:val="TableParagraph"/>
              <w:ind w:right="425"/>
              <w:jc w:val="both"/>
              <w:rPr>
                <w:i/>
                <w:sz w:val="29"/>
              </w:rPr>
            </w:pPr>
          </w:p>
          <w:p w14:paraId="533EB7DE" w14:textId="77777777" w:rsidR="00943ED6" w:rsidRDefault="00943ED6" w:rsidP="00CD363C">
            <w:pPr>
              <w:pStyle w:val="TableParagraph"/>
              <w:ind w:left="207" w:right="425"/>
              <w:jc w:val="both"/>
              <w:rPr>
                <w:i/>
              </w:rPr>
            </w:pPr>
            <w:r>
              <w:rPr>
                <w:i/>
              </w:rPr>
              <w:t>8612</w:t>
            </w:r>
          </w:p>
          <w:p w14:paraId="282093B8" w14:textId="77777777" w:rsidR="00943ED6" w:rsidRDefault="00943ED6" w:rsidP="00CD363C">
            <w:pPr>
              <w:pStyle w:val="TableParagraph"/>
              <w:ind w:left="207" w:right="425"/>
              <w:jc w:val="both"/>
              <w:rPr>
                <w:i/>
              </w:rPr>
            </w:pPr>
            <w:r>
              <w:rPr>
                <w:i/>
              </w:rPr>
              <w:t>2132</w:t>
            </w:r>
          </w:p>
        </w:tc>
        <w:tc>
          <w:tcPr>
            <w:tcW w:w="4654" w:type="dxa"/>
          </w:tcPr>
          <w:p w14:paraId="04CFCC0B" w14:textId="77777777" w:rsidR="00943ED6" w:rsidRDefault="00943ED6" w:rsidP="00CD363C">
            <w:pPr>
              <w:pStyle w:val="TableParagraph"/>
              <w:ind w:left="474" w:right="425"/>
              <w:jc w:val="both"/>
              <w:rPr>
                <w:i/>
              </w:rPr>
            </w:pPr>
            <w:r>
              <w:rPr>
                <w:i/>
              </w:rPr>
              <w:t>Pārējās iepriekš nekvalificētās ilgtermiņa prasības</w:t>
            </w:r>
          </w:p>
          <w:p w14:paraId="32D37F70" w14:textId="77777777" w:rsidR="00943ED6" w:rsidRDefault="00943ED6" w:rsidP="00CD363C">
            <w:pPr>
              <w:pStyle w:val="TableParagraph"/>
              <w:tabs>
                <w:tab w:val="left" w:pos="1629"/>
                <w:tab w:val="left" w:pos="2138"/>
                <w:tab w:val="left" w:pos="3651"/>
              </w:tabs>
              <w:ind w:left="474" w:right="425"/>
              <w:jc w:val="both"/>
              <w:rPr>
                <w:i/>
              </w:rPr>
            </w:pPr>
            <w:r>
              <w:rPr>
                <w:i/>
              </w:rPr>
              <w:t>Ieņēmumi</w:t>
            </w:r>
            <w:r>
              <w:rPr>
                <w:i/>
              </w:rPr>
              <w:tab/>
              <w:t>no</w:t>
            </w:r>
            <w:r>
              <w:rPr>
                <w:i/>
              </w:rPr>
              <w:tab/>
              <w:t>atsavināšanai</w:t>
            </w:r>
            <w:r>
              <w:rPr>
                <w:i/>
              </w:rPr>
              <w:tab/>
            </w:r>
            <w:r>
              <w:rPr>
                <w:i/>
                <w:spacing w:val="-1"/>
              </w:rPr>
              <w:t xml:space="preserve">paredzēto </w:t>
            </w:r>
            <w:r>
              <w:rPr>
                <w:i/>
              </w:rPr>
              <w:t>nefinanšu aktīvu</w:t>
            </w:r>
            <w:r>
              <w:rPr>
                <w:i/>
                <w:spacing w:val="-1"/>
              </w:rPr>
              <w:t xml:space="preserve"> </w:t>
            </w:r>
            <w:r>
              <w:rPr>
                <w:i/>
              </w:rPr>
              <w:t>pārdošanas</w:t>
            </w:r>
          </w:p>
          <w:p w14:paraId="76CCC36D" w14:textId="77777777" w:rsidR="00943ED6" w:rsidRDefault="00943ED6" w:rsidP="00CD363C">
            <w:pPr>
              <w:pStyle w:val="TableParagraph"/>
              <w:tabs>
                <w:tab w:val="left" w:pos="1599"/>
                <w:tab w:val="left" w:pos="2208"/>
                <w:tab w:val="left" w:pos="3515"/>
              </w:tabs>
              <w:ind w:left="474" w:right="425"/>
              <w:jc w:val="both"/>
              <w:rPr>
                <w:i/>
              </w:rPr>
            </w:pPr>
            <w:r>
              <w:rPr>
                <w:i/>
              </w:rPr>
              <w:t>Izdevumi no nefinanšu aktīvu atsavināšanas Krājumi</w:t>
            </w:r>
            <w:r>
              <w:rPr>
                <w:i/>
              </w:rPr>
              <w:tab/>
              <w:t>un</w:t>
            </w:r>
            <w:r>
              <w:rPr>
                <w:i/>
              </w:rPr>
              <w:tab/>
              <w:t>ilgtermiņa</w:t>
            </w:r>
            <w:r>
              <w:rPr>
                <w:i/>
              </w:rPr>
              <w:tab/>
            </w:r>
            <w:r>
              <w:rPr>
                <w:i/>
                <w:spacing w:val="-1"/>
              </w:rPr>
              <w:t>ieguldījumi</w:t>
            </w:r>
          </w:p>
          <w:p w14:paraId="28722156" w14:textId="77777777" w:rsidR="00943ED6" w:rsidRDefault="00943ED6" w:rsidP="00CD363C">
            <w:pPr>
              <w:pStyle w:val="TableParagraph"/>
              <w:ind w:left="474" w:right="425"/>
              <w:jc w:val="both"/>
            </w:pPr>
            <w:r>
              <w:t>atsavināšanai</w:t>
            </w:r>
          </w:p>
        </w:tc>
        <w:tc>
          <w:tcPr>
            <w:tcW w:w="1810" w:type="dxa"/>
          </w:tcPr>
          <w:p w14:paraId="3D75BA15" w14:textId="77777777" w:rsidR="00943ED6" w:rsidRDefault="00943ED6" w:rsidP="00CD363C">
            <w:pPr>
              <w:pStyle w:val="TableParagraph"/>
              <w:ind w:left="136" w:right="425"/>
              <w:jc w:val="both"/>
              <w:rPr>
                <w:i/>
              </w:rPr>
            </w:pPr>
            <w:r>
              <w:rPr>
                <w:i/>
              </w:rPr>
              <w:t>183 806,20</w:t>
            </w:r>
            <w:r>
              <w:rPr>
                <w:i/>
                <w:spacing w:val="-1"/>
              </w:rPr>
              <w:t xml:space="preserve"> </w:t>
            </w:r>
            <w:r>
              <w:rPr>
                <w:i/>
              </w:rPr>
              <w:t>EUR</w:t>
            </w:r>
          </w:p>
          <w:p w14:paraId="6870894C" w14:textId="77777777" w:rsidR="00943ED6" w:rsidRDefault="00943ED6" w:rsidP="00CD363C">
            <w:pPr>
              <w:pStyle w:val="TableParagraph"/>
              <w:ind w:right="425"/>
              <w:jc w:val="both"/>
              <w:rPr>
                <w:i/>
                <w:sz w:val="28"/>
              </w:rPr>
            </w:pPr>
          </w:p>
          <w:p w14:paraId="4050285D" w14:textId="77777777" w:rsidR="00943ED6" w:rsidRDefault="00943ED6" w:rsidP="00CD363C">
            <w:pPr>
              <w:pStyle w:val="TableParagraph"/>
              <w:ind w:left="136" w:right="425"/>
              <w:jc w:val="both"/>
              <w:rPr>
                <w:i/>
              </w:rPr>
            </w:pPr>
            <w:r>
              <w:rPr>
                <w:i/>
              </w:rPr>
              <w:t>183 806,20</w:t>
            </w:r>
            <w:r>
              <w:rPr>
                <w:i/>
                <w:spacing w:val="-1"/>
              </w:rPr>
              <w:t xml:space="preserve"> </w:t>
            </w:r>
            <w:r>
              <w:rPr>
                <w:i/>
              </w:rPr>
              <w:t>EUR</w:t>
            </w:r>
          </w:p>
          <w:p w14:paraId="5E294602" w14:textId="77777777" w:rsidR="00943ED6" w:rsidRDefault="00943ED6" w:rsidP="00CD363C">
            <w:pPr>
              <w:pStyle w:val="TableParagraph"/>
              <w:ind w:right="425"/>
              <w:jc w:val="both"/>
              <w:rPr>
                <w:i/>
                <w:sz w:val="29"/>
              </w:rPr>
            </w:pPr>
          </w:p>
          <w:p w14:paraId="706FACD7" w14:textId="77777777" w:rsidR="00943ED6" w:rsidRDefault="00943ED6" w:rsidP="00CD363C">
            <w:pPr>
              <w:pStyle w:val="TableParagraph"/>
              <w:ind w:left="136" w:right="425"/>
              <w:jc w:val="both"/>
              <w:rPr>
                <w:i/>
              </w:rPr>
            </w:pPr>
            <w:r>
              <w:rPr>
                <w:i/>
              </w:rPr>
              <w:t>66 933,33</w:t>
            </w:r>
            <w:r>
              <w:rPr>
                <w:i/>
                <w:spacing w:val="2"/>
              </w:rPr>
              <w:t xml:space="preserve"> </w:t>
            </w:r>
            <w:r>
              <w:rPr>
                <w:i/>
              </w:rPr>
              <w:t>EUR</w:t>
            </w:r>
          </w:p>
          <w:p w14:paraId="0746A673" w14:textId="77777777" w:rsidR="00943ED6" w:rsidRDefault="00943ED6" w:rsidP="00CD363C">
            <w:pPr>
              <w:pStyle w:val="TableParagraph"/>
              <w:ind w:left="136" w:right="425"/>
              <w:jc w:val="both"/>
              <w:rPr>
                <w:i/>
              </w:rPr>
            </w:pPr>
            <w:r>
              <w:rPr>
                <w:i/>
              </w:rPr>
              <w:t>66 933,33</w:t>
            </w:r>
            <w:r>
              <w:rPr>
                <w:i/>
                <w:spacing w:val="2"/>
              </w:rPr>
              <w:t xml:space="preserve"> </w:t>
            </w:r>
            <w:r>
              <w:rPr>
                <w:i/>
              </w:rPr>
              <w:t>EUR</w:t>
            </w:r>
          </w:p>
        </w:tc>
      </w:tr>
    </w:tbl>
    <w:p w14:paraId="208AABDF" w14:textId="77777777" w:rsidR="00943ED6" w:rsidRDefault="00943ED6" w:rsidP="00CD363C">
      <w:pPr>
        <w:pStyle w:val="Pamatteksts"/>
        <w:ind w:right="425"/>
        <w:jc w:val="both"/>
        <w:rPr>
          <w:i/>
          <w:sz w:val="24"/>
        </w:rPr>
      </w:pPr>
    </w:p>
    <w:p w14:paraId="02F0576B" w14:textId="77777777" w:rsidR="00943ED6" w:rsidRDefault="00943ED6" w:rsidP="00CD363C">
      <w:pPr>
        <w:spacing w:after="0" w:line="240" w:lineRule="auto"/>
        <w:ind w:left="338" w:right="425"/>
        <w:jc w:val="both"/>
        <w:rPr>
          <w:i/>
        </w:rPr>
      </w:pPr>
      <w:r>
        <w:rPr>
          <w:i/>
        </w:rPr>
        <w:t>Budžeta iestāde 2019. gada 31. decembrī atzīst procentu ieņēmumus, kas attiecināmi uz attiecīgo periodu (7 mēneši 2019. gadā), veicot sekojošu aprēķinu un grāmatojumu:</w:t>
      </w:r>
    </w:p>
    <w:p w14:paraId="59564956" w14:textId="77777777" w:rsidR="00943ED6" w:rsidRDefault="00943ED6" w:rsidP="00CD363C">
      <w:pPr>
        <w:spacing w:after="0" w:line="240" w:lineRule="auto"/>
        <w:ind w:left="338" w:right="425"/>
        <w:jc w:val="both"/>
        <w:rPr>
          <w:i/>
        </w:rPr>
      </w:pPr>
      <w:r>
        <w:rPr>
          <w:i/>
        </w:rPr>
        <w:t>Aprēķins: (5 514,19/12 * 7) = 3 216,61 EUR</w:t>
      </w:r>
    </w:p>
    <w:p w14:paraId="5E483B30" w14:textId="77777777" w:rsidR="00943ED6" w:rsidRDefault="00943ED6" w:rsidP="00CD363C">
      <w:pPr>
        <w:pStyle w:val="Pamatteksts"/>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4654"/>
        <w:gridCol w:w="1591"/>
      </w:tblGrid>
      <w:tr w:rsidR="00943ED6" w14:paraId="6430C955" w14:textId="77777777" w:rsidTr="00976CEC">
        <w:trPr>
          <w:trHeight w:val="541"/>
        </w:trPr>
        <w:tc>
          <w:tcPr>
            <w:tcW w:w="568" w:type="dxa"/>
          </w:tcPr>
          <w:p w14:paraId="14139434" w14:textId="77777777" w:rsidR="00943ED6" w:rsidRDefault="00943ED6" w:rsidP="00CD363C">
            <w:pPr>
              <w:pStyle w:val="TableParagraph"/>
              <w:ind w:left="200" w:right="425"/>
              <w:jc w:val="both"/>
              <w:rPr>
                <w:i/>
              </w:rPr>
            </w:pPr>
            <w:r>
              <w:rPr>
                <w:i/>
              </w:rPr>
              <w:t>D</w:t>
            </w:r>
          </w:p>
        </w:tc>
        <w:tc>
          <w:tcPr>
            <w:tcW w:w="1124" w:type="dxa"/>
          </w:tcPr>
          <w:p w14:paraId="4E295AB8" w14:textId="77777777" w:rsidR="00943ED6" w:rsidRDefault="00943ED6" w:rsidP="00CD363C">
            <w:pPr>
              <w:pStyle w:val="TableParagraph"/>
              <w:ind w:left="207" w:right="425"/>
              <w:jc w:val="both"/>
              <w:rPr>
                <w:i/>
              </w:rPr>
            </w:pPr>
            <w:r>
              <w:rPr>
                <w:i/>
              </w:rPr>
              <w:t>1428</w:t>
            </w:r>
          </w:p>
        </w:tc>
        <w:tc>
          <w:tcPr>
            <w:tcW w:w="4654" w:type="dxa"/>
          </w:tcPr>
          <w:p w14:paraId="238A17CB" w14:textId="77777777" w:rsidR="00943ED6" w:rsidRDefault="00943ED6" w:rsidP="00CD363C">
            <w:pPr>
              <w:pStyle w:val="TableParagraph"/>
              <w:ind w:left="474" w:right="425"/>
              <w:jc w:val="both"/>
              <w:rPr>
                <w:i/>
              </w:rPr>
            </w:pPr>
            <w:r>
              <w:rPr>
                <w:i/>
              </w:rPr>
              <w:t>Pārējās iepriekš nekvalificētās ilgtermiņa prasības</w:t>
            </w:r>
          </w:p>
        </w:tc>
        <w:tc>
          <w:tcPr>
            <w:tcW w:w="1591" w:type="dxa"/>
          </w:tcPr>
          <w:p w14:paraId="03BF7D26" w14:textId="77777777" w:rsidR="00943ED6" w:rsidRDefault="00943ED6" w:rsidP="00CD363C">
            <w:pPr>
              <w:pStyle w:val="TableParagraph"/>
              <w:ind w:left="136" w:right="425"/>
              <w:jc w:val="both"/>
              <w:rPr>
                <w:i/>
              </w:rPr>
            </w:pPr>
            <w:r>
              <w:rPr>
                <w:i/>
              </w:rPr>
              <w:t>3 216,61 EUR</w:t>
            </w:r>
          </w:p>
        </w:tc>
      </w:tr>
      <w:tr w:rsidR="00943ED6" w14:paraId="489A8DE9" w14:textId="77777777" w:rsidTr="00976CEC">
        <w:trPr>
          <w:trHeight w:val="289"/>
        </w:trPr>
        <w:tc>
          <w:tcPr>
            <w:tcW w:w="568" w:type="dxa"/>
          </w:tcPr>
          <w:p w14:paraId="3EA8BA5D" w14:textId="77777777" w:rsidR="00943ED6" w:rsidRDefault="00943ED6" w:rsidP="00CD363C">
            <w:pPr>
              <w:pStyle w:val="TableParagraph"/>
              <w:ind w:left="200" w:right="425"/>
              <w:jc w:val="both"/>
              <w:rPr>
                <w:i/>
              </w:rPr>
            </w:pPr>
            <w:r>
              <w:rPr>
                <w:i/>
              </w:rPr>
              <w:t>K</w:t>
            </w:r>
          </w:p>
        </w:tc>
        <w:tc>
          <w:tcPr>
            <w:tcW w:w="1124" w:type="dxa"/>
          </w:tcPr>
          <w:p w14:paraId="6A025E9E" w14:textId="77777777" w:rsidR="00943ED6" w:rsidRDefault="00943ED6" w:rsidP="00CD363C">
            <w:pPr>
              <w:pStyle w:val="TableParagraph"/>
              <w:ind w:left="207" w:right="425"/>
              <w:jc w:val="both"/>
              <w:rPr>
                <w:i/>
              </w:rPr>
            </w:pPr>
            <w:r>
              <w:rPr>
                <w:i/>
              </w:rPr>
              <w:t>8120</w:t>
            </w:r>
          </w:p>
        </w:tc>
        <w:tc>
          <w:tcPr>
            <w:tcW w:w="4654" w:type="dxa"/>
          </w:tcPr>
          <w:p w14:paraId="77F4D59F" w14:textId="77777777" w:rsidR="00943ED6" w:rsidRDefault="00943ED6" w:rsidP="00CD363C">
            <w:pPr>
              <w:pStyle w:val="TableParagraph"/>
              <w:ind w:left="474" w:right="425"/>
              <w:jc w:val="both"/>
              <w:rPr>
                <w:i/>
              </w:rPr>
            </w:pPr>
            <w:r>
              <w:rPr>
                <w:i/>
              </w:rPr>
              <w:t>Procentu ieņēmumi</w:t>
            </w:r>
          </w:p>
        </w:tc>
        <w:tc>
          <w:tcPr>
            <w:tcW w:w="1591" w:type="dxa"/>
          </w:tcPr>
          <w:p w14:paraId="06B42921" w14:textId="77777777" w:rsidR="00943ED6" w:rsidRDefault="00943ED6" w:rsidP="00CD363C">
            <w:pPr>
              <w:pStyle w:val="TableParagraph"/>
              <w:ind w:left="136" w:right="425"/>
              <w:jc w:val="both"/>
              <w:rPr>
                <w:i/>
              </w:rPr>
            </w:pPr>
            <w:r>
              <w:rPr>
                <w:i/>
              </w:rPr>
              <w:t>3 216,61 EUR</w:t>
            </w:r>
          </w:p>
        </w:tc>
      </w:tr>
    </w:tbl>
    <w:p w14:paraId="6C4302F3" w14:textId="77777777" w:rsidR="00943ED6" w:rsidRDefault="00943ED6" w:rsidP="00CD363C">
      <w:pPr>
        <w:spacing w:after="0" w:line="240" w:lineRule="auto"/>
        <w:ind w:left="338" w:right="425"/>
        <w:jc w:val="both"/>
        <w:rPr>
          <w:i/>
        </w:rPr>
      </w:pPr>
      <w:r>
        <w:rPr>
          <w:i/>
        </w:rPr>
        <w:t>Budžeta iestāde 2020. gada 31. decembrī atzīst procentu ieņēmumus, kas attiecināmi uz attiecīgo periodu (12 mēneši 2020. gadā), veicot sekojošu aprēķinu un grāmatojumu:</w:t>
      </w:r>
    </w:p>
    <w:p w14:paraId="61D52647" w14:textId="77777777" w:rsidR="00943ED6" w:rsidRDefault="00943ED6" w:rsidP="00CD363C">
      <w:pPr>
        <w:spacing w:after="0" w:line="240" w:lineRule="auto"/>
        <w:ind w:left="338" w:right="425"/>
        <w:jc w:val="both"/>
        <w:rPr>
          <w:i/>
        </w:rPr>
      </w:pPr>
      <w:r>
        <w:rPr>
          <w:i/>
        </w:rPr>
        <w:t>Aprēķins: (5 514,19/12 * 5) + (5 679,61/12 * 7) = 5 610,69 EUR</w:t>
      </w:r>
    </w:p>
    <w:p w14:paraId="492A5154" w14:textId="77777777" w:rsidR="00943ED6" w:rsidRDefault="00943ED6" w:rsidP="00CD363C">
      <w:pPr>
        <w:pStyle w:val="Pamatteksts"/>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686"/>
        <w:gridCol w:w="1593"/>
      </w:tblGrid>
      <w:tr w:rsidR="00943ED6" w14:paraId="1FCD38C3" w14:textId="77777777" w:rsidTr="00976CEC">
        <w:trPr>
          <w:trHeight w:val="543"/>
        </w:trPr>
        <w:tc>
          <w:tcPr>
            <w:tcW w:w="569" w:type="dxa"/>
          </w:tcPr>
          <w:p w14:paraId="777ECDB1" w14:textId="77777777" w:rsidR="00943ED6" w:rsidRDefault="00943ED6" w:rsidP="00CD363C">
            <w:pPr>
              <w:pStyle w:val="TableParagraph"/>
              <w:ind w:left="200" w:right="425"/>
              <w:jc w:val="both"/>
              <w:rPr>
                <w:i/>
              </w:rPr>
            </w:pPr>
            <w:r>
              <w:rPr>
                <w:i/>
              </w:rPr>
              <w:t>D</w:t>
            </w:r>
          </w:p>
        </w:tc>
        <w:tc>
          <w:tcPr>
            <w:tcW w:w="1129" w:type="dxa"/>
          </w:tcPr>
          <w:p w14:paraId="56A5F8C2" w14:textId="77777777" w:rsidR="00943ED6" w:rsidRDefault="00943ED6" w:rsidP="00CD363C">
            <w:pPr>
              <w:pStyle w:val="TableParagraph"/>
              <w:ind w:left="209" w:right="425"/>
              <w:jc w:val="both"/>
              <w:rPr>
                <w:i/>
              </w:rPr>
            </w:pPr>
            <w:r>
              <w:rPr>
                <w:i/>
              </w:rPr>
              <w:t>1428</w:t>
            </w:r>
          </w:p>
        </w:tc>
        <w:tc>
          <w:tcPr>
            <w:tcW w:w="4686" w:type="dxa"/>
          </w:tcPr>
          <w:p w14:paraId="38451540" w14:textId="77777777" w:rsidR="00943ED6" w:rsidRDefault="00943ED6" w:rsidP="00CD363C">
            <w:pPr>
              <w:pStyle w:val="TableParagraph"/>
              <w:ind w:left="477" w:right="425"/>
              <w:jc w:val="both"/>
              <w:rPr>
                <w:i/>
              </w:rPr>
            </w:pPr>
            <w:r>
              <w:rPr>
                <w:i/>
              </w:rPr>
              <w:t>Pārējās iepriekš nekvalificētās ilgtermiņa prasības</w:t>
            </w:r>
          </w:p>
        </w:tc>
        <w:tc>
          <w:tcPr>
            <w:tcW w:w="1593" w:type="dxa"/>
          </w:tcPr>
          <w:p w14:paraId="4D4D0BDF" w14:textId="77777777" w:rsidR="00943ED6" w:rsidRDefault="00943ED6" w:rsidP="00CD363C">
            <w:pPr>
              <w:pStyle w:val="TableParagraph"/>
              <w:ind w:left="117" w:right="425"/>
              <w:jc w:val="both"/>
              <w:rPr>
                <w:i/>
              </w:rPr>
            </w:pPr>
            <w:r>
              <w:rPr>
                <w:i/>
              </w:rPr>
              <w:t>5 610,69 EUR</w:t>
            </w:r>
          </w:p>
        </w:tc>
      </w:tr>
      <w:tr w:rsidR="00943ED6" w14:paraId="29452FAC" w14:textId="77777777" w:rsidTr="00976CEC">
        <w:trPr>
          <w:trHeight w:val="289"/>
        </w:trPr>
        <w:tc>
          <w:tcPr>
            <w:tcW w:w="569" w:type="dxa"/>
          </w:tcPr>
          <w:p w14:paraId="1F076702" w14:textId="77777777" w:rsidR="00943ED6" w:rsidRDefault="00943ED6" w:rsidP="00CD363C">
            <w:pPr>
              <w:pStyle w:val="TableParagraph"/>
              <w:ind w:left="200" w:right="425"/>
              <w:jc w:val="both"/>
              <w:rPr>
                <w:i/>
              </w:rPr>
            </w:pPr>
            <w:r>
              <w:rPr>
                <w:i/>
              </w:rPr>
              <w:t>K</w:t>
            </w:r>
          </w:p>
        </w:tc>
        <w:tc>
          <w:tcPr>
            <w:tcW w:w="1129" w:type="dxa"/>
          </w:tcPr>
          <w:p w14:paraId="7A078D37" w14:textId="77777777" w:rsidR="00943ED6" w:rsidRDefault="00943ED6" w:rsidP="00CD363C">
            <w:pPr>
              <w:pStyle w:val="TableParagraph"/>
              <w:ind w:left="209" w:right="425"/>
              <w:jc w:val="both"/>
              <w:rPr>
                <w:i/>
              </w:rPr>
            </w:pPr>
            <w:r>
              <w:rPr>
                <w:i/>
              </w:rPr>
              <w:t>8120</w:t>
            </w:r>
          </w:p>
        </w:tc>
        <w:tc>
          <w:tcPr>
            <w:tcW w:w="4686" w:type="dxa"/>
          </w:tcPr>
          <w:p w14:paraId="0EC180DA" w14:textId="77777777" w:rsidR="00943ED6" w:rsidRDefault="00943ED6" w:rsidP="00CD363C">
            <w:pPr>
              <w:pStyle w:val="TableParagraph"/>
              <w:ind w:left="477" w:right="425"/>
              <w:jc w:val="both"/>
              <w:rPr>
                <w:i/>
              </w:rPr>
            </w:pPr>
            <w:r>
              <w:rPr>
                <w:i/>
              </w:rPr>
              <w:t>Procentu ieņēmumi</w:t>
            </w:r>
          </w:p>
        </w:tc>
        <w:tc>
          <w:tcPr>
            <w:tcW w:w="1593" w:type="dxa"/>
          </w:tcPr>
          <w:p w14:paraId="3078E710" w14:textId="77777777" w:rsidR="00943ED6" w:rsidRDefault="00943ED6" w:rsidP="00CD363C">
            <w:pPr>
              <w:pStyle w:val="TableParagraph"/>
              <w:ind w:left="117" w:right="425"/>
              <w:jc w:val="both"/>
              <w:rPr>
                <w:i/>
              </w:rPr>
            </w:pPr>
            <w:r>
              <w:rPr>
                <w:i/>
              </w:rPr>
              <w:t>5 610,69 EUR</w:t>
            </w:r>
          </w:p>
        </w:tc>
      </w:tr>
    </w:tbl>
    <w:p w14:paraId="5E42B1AC" w14:textId="77777777" w:rsidR="00943ED6" w:rsidRDefault="00943ED6" w:rsidP="00CD363C">
      <w:pPr>
        <w:spacing w:after="0" w:line="240" w:lineRule="auto"/>
        <w:ind w:left="338" w:right="425"/>
        <w:jc w:val="both"/>
        <w:rPr>
          <w:i/>
        </w:rPr>
      </w:pPr>
      <w:r>
        <w:rPr>
          <w:i/>
        </w:rPr>
        <w:t>Budžeta iestāde 2020. gada 31. decembrī veic ilgtermiņa prasību pārklasifikāciju uz īstermiņa prasībām:</w:t>
      </w:r>
    </w:p>
    <w:p w14:paraId="3FA70BAB" w14:textId="77777777" w:rsidR="00943ED6" w:rsidRDefault="00943ED6" w:rsidP="00CD363C">
      <w:pPr>
        <w:pStyle w:val="Pamatteksts"/>
        <w:ind w:right="425"/>
        <w:jc w:val="both"/>
        <w:rPr>
          <w:i/>
          <w:sz w:val="25"/>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683"/>
        <w:gridCol w:w="1810"/>
      </w:tblGrid>
      <w:tr w:rsidR="00943ED6" w14:paraId="4C6077F4" w14:textId="77777777" w:rsidTr="00976CEC">
        <w:trPr>
          <w:trHeight w:val="287"/>
        </w:trPr>
        <w:tc>
          <w:tcPr>
            <w:tcW w:w="569" w:type="dxa"/>
          </w:tcPr>
          <w:p w14:paraId="06778673" w14:textId="77777777" w:rsidR="00943ED6" w:rsidRDefault="00943ED6" w:rsidP="00CD363C">
            <w:pPr>
              <w:pStyle w:val="TableParagraph"/>
              <w:ind w:left="200" w:right="425"/>
              <w:jc w:val="both"/>
              <w:rPr>
                <w:i/>
              </w:rPr>
            </w:pPr>
            <w:r>
              <w:rPr>
                <w:i/>
              </w:rPr>
              <w:t>D</w:t>
            </w:r>
          </w:p>
        </w:tc>
        <w:tc>
          <w:tcPr>
            <w:tcW w:w="1129" w:type="dxa"/>
          </w:tcPr>
          <w:p w14:paraId="326DAFC3" w14:textId="77777777" w:rsidR="00943ED6" w:rsidRDefault="00943ED6" w:rsidP="00CD363C">
            <w:pPr>
              <w:pStyle w:val="TableParagraph"/>
              <w:ind w:left="209" w:right="425"/>
              <w:jc w:val="both"/>
              <w:rPr>
                <w:i/>
              </w:rPr>
            </w:pPr>
            <w:r>
              <w:rPr>
                <w:i/>
              </w:rPr>
              <w:t>2310</w:t>
            </w:r>
          </w:p>
        </w:tc>
        <w:tc>
          <w:tcPr>
            <w:tcW w:w="4683" w:type="dxa"/>
          </w:tcPr>
          <w:p w14:paraId="34FC9858" w14:textId="77777777" w:rsidR="00943ED6" w:rsidRDefault="00943ED6" w:rsidP="00CD363C">
            <w:pPr>
              <w:pStyle w:val="TableParagraph"/>
              <w:ind w:left="477" w:right="425"/>
              <w:jc w:val="both"/>
              <w:rPr>
                <w:i/>
              </w:rPr>
            </w:pPr>
            <w:r>
              <w:rPr>
                <w:i/>
              </w:rPr>
              <w:t>Prasības pret pircējiem un pasūtītājiem</w:t>
            </w:r>
          </w:p>
        </w:tc>
        <w:tc>
          <w:tcPr>
            <w:tcW w:w="1810" w:type="dxa"/>
          </w:tcPr>
          <w:p w14:paraId="596D2CE7" w14:textId="77777777" w:rsidR="00943ED6" w:rsidRDefault="00943ED6" w:rsidP="00CD363C">
            <w:pPr>
              <w:pStyle w:val="TableParagraph"/>
              <w:ind w:left="134" w:right="425"/>
              <w:jc w:val="both"/>
              <w:rPr>
                <w:i/>
              </w:rPr>
            </w:pPr>
            <w:r>
              <w:rPr>
                <w:i/>
              </w:rPr>
              <w:t>192 633,50 EUR</w:t>
            </w:r>
          </w:p>
        </w:tc>
      </w:tr>
      <w:tr w:rsidR="00943ED6" w14:paraId="2DE43A5E" w14:textId="77777777" w:rsidTr="00976CEC">
        <w:trPr>
          <w:trHeight w:val="539"/>
        </w:trPr>
        <w:tc>
          <w:tcPr>
            <w:tcW w:w="569" w:type="dxa"/>
          </w:tcPr>
          <w:p w14:paraId="2BE6A3E8" w14:textId="77777777" w:rsidR="00943ED6" w:rsidRDefault="00943ED6" w:rsidP="00CD363C">
            <w:pPr>
              <w:pStyle w:val="TableParagraph"/>
              <w:ind w:left="200" w:right="425"/>
              <w:jc w:val="both"/>
              <w:rPr>
                <w:i/>
              </w:rPr>
            </w:pPr>
            <w:r>
              <w:rPr>
                <w:i/>
              </w:rPr>
              <w:t>K</w:t>
            </w:r>
          </w:p>
        </w:tc>
        <w:tc>
          <w:tcPr>
            <w:tcW w:w="1129" w:type="dxa"/>
          </w:tcPr>
          <w:p w14:paraId="4A2AD412" w14:textId="77777777" w:rsidR="00943ED6" w:rsidRDefault="00943ED6" w:rsidP="00CD363C">
            <w:pPr>
              <w:pStyle w:val="TableParagraph"/>
              <w:ind w:left="209" w:right="425"/>
              <w:jc w:val="both"/>
              <w:rPr>
                <w:i/>
              </w:rPr>
            </w:pPr>
            <w:r>
              <w:rPr>
                <w:i/>
              </w:rPr>
              <w:t>1428</w:t>
            </w:r>
          </w:p>
        </w:tc>
        <w:tc>
          <w:tcPr>
            <w:tcW w:w="4683" w:type="dxa"/>
          </w:tcPr>
          <w:p w14:paraId="681699BE" w14:textId="77777777" w:rsidR="00943ED6" w:rsidRDefault="00943ED6" w:rsidP="00CD363C">
            <w:pPr>
              <w:pStyle w:val="TableParagraph"/>
              <w:ind w:left="477" w:right="425"/>
              <w:jc w:val="both"/>
              <w:rPr>
                <w:i/>
              </w:rPr>
            </w:pPr>
            <w:r>
              <w:rPr>
                <w:i/>
              </w:rPr>
              <w:t>Pārējās iepriekš nekvalificētās ilgtermiņa prasības</w:t>
            </w:r>
          </w:p>
        </w:tc>
        <w:tc>
          <w:tcPr>
            <w:tcW w:w="1810" w:type="dxa"/>
          </w:tcPr>
          <w:p w14:paraId="4614FABF" w14:textId="77777777" w:rsidR="00943ED6" w:rsidRDefault="00943ED6" w:rsidP="00CD363C">
            <w:pPr>
              <w:pStyle w:val="TableParagraph"/>
              <w:ind w:left="134" w:right="425"/>
              <w:jc w:val="both"/>
              <w:rPr>
                <w:i/>
              </w:rPr>
            </w:pPr>
            <w:r>
              <w:rPr>
                <w:i/>
              </w:rPr>
              <w:t>192 633,50 EUR</w:t>
            </w:r>
          </w:p>
        </w:tc>
      </w:tr>
    </w:tbl>
    <w:p w14:paraId="279FFED8" w14:textId="77777777" w:rsidR="00943ED6" w:rsidRDefault="00943ED6" w:rsidP="00CD363C">
      <w:pPr>
        <w:spacing w:after="0" w:line="240" w:lineRule="auto"/>
        <w:ind w:left="338" w:right="425"/>
        <w:jc w:val="both"/>
        <w:rPr>
          <w:i/>
        </w:rPr>
      </w:pPr>
      <w:r>
        <w:rPr>
          <w:i/>
        </w:rPr>
        <w:t>Budžeta iestāde 2021. gada 31. maijā atzīst procentu ieņēmumus, kas attiecināmi uz attiecīgo periodu (5 mēneši 2021. gadā), veicot sekojošu aprēķinu un grāmatojumu:</w:t>
      </w:r>
    </w:p>
    <w:p w14:paraId="40005E04" w14:textId="77777777" w:rsidR="00943ED6" w:rsidRDefault="00943ED6" w:rsidP="00CD363C">
      <w:pPr>
        <w:spacing w:after="0" w:line="240" w:lineRule="auto"/>
        <w:ind w:left="338" w:right="425"/>
        <w:jc w:val="both"/>
        <w:rPr>
          <w:i/>
        </w:rPr>
      </w:pPr>
      <w:r>
        <w:rPr>
          <w:i/>
        </w:rPr>
        <w:t>Aprēķins: (5 679,61/12*5) = 2 366,50 EUR</w:t>
      </w:r>
    </w:p>
    <w:p w14:paraId="6923861C" w14:textId="77777777" w:rsidR="00943ED6" w:rsidRDefault="00943ED6" w:rsidP="00CD363C">
      <w:pPr>
        <w:pStyle w:val="Pamatteksts"/>
        <w:ind w:right="425"/>
        <w:jc w:val="both"/>
        <w:rPr>
          <w:i/>
          <w:sz w:val="24"/>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397"/>
        <w:gridCol w:w="1877"/>
      </w:tblGrid>
      <w:tr w:rsidR="00943ED6" w14:paraId="2D9B0B64" w14:textId="77777777" w:rsidTr="00976CEC">
        <w:trPr>
          <w:trHeight w:val="289"/>
        </w:trPr>
        <w:tc>
          <w:tcPr>
            <w:tcW w:w="569" w:type="dxa"/>
          </w:tcPr>
          <w:p w14:paraId="12DCC507" w14:textId="77777777" w:rsidR="00943ED6" w:rsidRDefault="00943ED6" w:rsidP="00CD363C">
            <w:pPr>
              <w:pStyle w:val="TableParagraph"/>
              <w:ind w:left="200" w:right="425"/>
              <w:jc w:val="both"/>
              <w:rPr>
                <w:i/>
              </w:rPr>
            </w:pPr>
            <w:r>
              <w:rPr>
                <w:i/>
              </w:rPr>
              <w:t>D</w:t>
            </w:r>
          </w:p>
        </w:tc>
        <w:tc>
          <w:tcPr>
            <w:tcW w:w="1129" w:type="dxa"/>
          </w:tcPr>
          <w:p w14:paraId="3A7F63C0" w14:textId="77777777" w:rsidR="00943ED6" w:rsidRDefault="00943ED6" w:rsidP="00CD363C">
            <w:pPr>
              <w:pStyle w:val="TableParagraph"/>
              <w:ind w:left="209" w:right="425"/>
              <w:jc w:val="both"/>
              <w:rPr>
                <w:i/>
              </w:rPr>
            </w:pPr>
            <w:r>
              <w:rPr>
                <w:i/>
              </w:rPr>
              <w:t>2310</w:t>
            </w:r>
          </w:p>
        </w:tc>
        <w:tc>
          <w:tcPr>
            <w:tcW w:w="4397" w:type="dxa"/>
          </w:tcPr>
          <w:p w14:paraId="44229E28" w14:textId="77777777" w:rsidR="00943ED6" w:rsidRDefault="00943ED6" w:rsidP="00CD363C">
            <w:pPr>
              <w:pStyle w:val="TableParagraph"/>
              <w:ind w:left="477" w:right="425"/>
              <w:jc w:val="both"/>
              <w:rPr>
                <w:i/>
              </w:rPr>
            </w:pPr>
            <w:r>
              <w:rPr>
                <w:i/>
              </w:rPr>
              <w:t>Prasības pret pircējiem un pasūtītājiem</w:t>
            </w:r>
          </w:p>
        </w:tc>
        <w:tc>
          <w:tcPr>
            <w:tcW w:w="1877" w:type="dxa"/>
          </w:tcPr>
          <w:p w14:paraId="7F1A4376" w14:textId="77777777" w:rsidR="00943ED6" w:rsidRDefault="00943ED6" w:rsidP="00CD363C">
            <w:pPr>
              <w:pStyle w:val="TableParagraph"/>
              <w:ind w:right="425"/>
              <w:jc w:val="both"/>
              <w:rPr>
                <w:i/>
              </w:rPr>
            </w:pPr>
            <w:r>
              <w:rPr>
                <w:i/>
              </w:rPr>
              <w:t>2 366,50 EUR</w:t>
            </w:r>
          </w:p>
        </w:tc>
      </w:tr>
      <w:tr w:rsidR="00943ED6" w14:paraId="423008C4" w14:textId="77777777" w:rsidTr="00976CEC">
        <w:trPr>
          <w:trHeight w:val="289"/>
        </w:trPr>
        <w:tc>
          <w:tcPr>
            <w:tcW w:w="569" w:type="dxa"/>
          </w:tcPr>
          <w:p w14:paraId="3010C92E" w14:textId="77777777" w:rsidR="00943ED6" w:rsidRDefault="00943ED6" w:rsidP="00CD363C">
            <w:pPr>
              <w:pStyle w:val="TableParagraph"/>
              <w:ind w:left="200" w:right="425"/>
              <w:jc w:val="both"/>
              <w:rPr>
                <w:i/>
              </w:rPr>
            </w:pPr>
            <w:r>
              <w:rPr>
                <w:i/>
              </w:rPr>
              <w:t>K</w:t>
            </w:r>
          </w:p>
        </w:tc>
        <w:tc>
          <w:tcPr>
            <w:tcW w:w="1129" w:type="dxa"/>
          </w:tcPr>
          <w:p w14:paraId="0F02B8FD" w14:textId="77777777" w:rsidR="00943ED6" w:rsidRDefault="00943ED6" w:rsidP="00CD363C">
            <w:pPr>
              <w:pStyle w:val="TableParagraph"/>
              <w:ind w:left="209" w:right="425"/>
              <w:jc w:val="both"/>
              <w:rPr>
                <w:i/>
              </w:rPr>
            </w:pPr>
            <w:r>
              <w:rPr>
                <w:i/>
              </w:rPr>
              <w:t>8120</w:t>
            </w:r>
          </w:p>
        </w:tc>
        <w:tc>
          <w:tcPr>
            <w:tcW w:w="4397" w:type="dxa"/>
          </w:tcPr>
          <w:p w14:paraId="767F7C20" w14:textId="77777777" w:rsidR="00943ED6" w:rsidRDefault="00943ED6" w:rsidP="00CD363C">
            <w:pPr>
              <w:pStyle w:val="TableParagraph"/>
              <w:ind w:left="477" w:right="425"/>
              <w:jc w:val="both"/>
              <w:rPr>
                <w:i/>
              </w:rPr>
            </w:pPr>
            <w:r>
              <w:rPr>
                <w:i/>
              </w:rPr>
              <w:t>Procentu ieņēmumi</w:t>
            </w:r>
          </w:p>
        </w:tc>
        <w:tc>
          <w:tcPr>
            <w:tcW w:w="1877" w:type="dxa"/>
          </w:tcPr>
          <w:p w14:paraId="13C9DD00" w14:textId="77777777" w:rsidR="00943ED6" w:rsidRDefault="00943ED6" w:rsidP="00CD363C">
            <w:pPr>
              <w:pStyle w:val="TableParagraph"/>
              <w:ind w:right="425"/>
              <w:jc w:val="both"/>
              <w:rPr>
                <w:i/>
              </w:rPr>
            </w:pPr>
            <w:r>
              <w:rPr>
                <w:i/>
              </w:rPr>
              <w:t>2 366,50 EUR</w:t>
            </w:r>
          </w:p>
        </w:tc>
      </w:tr>
    </w:tbl>
    <w:p w14:paraId="47CD10C8" w14:textId="77777777" w:rsidR="00943ED6" w:rsidRDefault="00943ED6" w:rsidP="00CD363C">
      <w:pPr>
        <w:pStyle w:val="Pamatteksts"/>
        <w:ind w:right="425"/>
        <w:jc w:val="both"/>
        <w:rPr>
          <w:i/>
          <w:sz w:val="24"/>
        </w:rPr>
      </w:pPr>
    </w:p>
    <w:p w14:paraId="2109B0BC" w14:textId="77777777" w:rsidR="00943ED6" w:rsidRDefault="00943ED6" w:rsidP="00CD363C">
      <w:pPr>
        <w:spacing w:after="0" w:line="240" w:lineRule="auto"/>
        <w:ind w:left="338" w:right="425"/>
        <w:jc w:val="both"/>
        <w:rPr>
          <w:i/>
        </w:rPr>
      </w:pPr>
      <w:r>
        <w:rPr>
          <w:i/>
        </w:rPr>
        <w:t>Budžeta iestāde 2021. gada 4. jūnijā saņem maksājumu no pircēja un dzēš prasību, veicot sekojošu grāmatojumu:</w:t>
      </w:r>
    </w:p>
    <w:p w14:paraId="0BCDDB3D" w14:textId="77777777" w:rsidR="00943ED6" w:rsidRDefault="00943ED6" w:rsidP="00CD363C">
      <w:pPr>
        <w:pStyle w:val="Pamatteksts"/>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624"/>
        <w:gridCol w:w="1867"/>
      </w:tblGrid>
      <w:tr w:rsidR="00943ED6" w14:paraId="0FB987C8" w14:textId="77777777" w:rsidTr="00976CEC">
        <w:trPr>
          <w:trHeight w:val="289"/>
        </w:trPr>
        <w:tc>
          <w:tcPr>
            <w:tcW w:w="569" w:type="dxa"/>
          </w:tcPr>
          <w:p w14:paraId="73607CD0" w14:textId="77777777" w:rsidR="00943ED6" w:rsidRDefault="00943ED6" w:rsidP="00CD363C">
            <w:pPr>
              <w:pStyle w:val="TableParagraph"/>
              <w:ind w:left="200" w:right="425"/>
              <w:jc w:val="both"/>
              <w:rPr>
                <w:i/>
              </w:rPr>
            </w:pPr>
            <w:r>
              <w:rPr>
                <w:i/>
              </w:rPr>
              <w:t>D</w:t>
            </w:r>
          </w:p>
        </w:tc>
        <w:tc>
          <w:tcPr>
            <w:tcW w:w="1129" w:type="dxa"/>
          </w:tcPr>
          <w:p w14:paraId="57A1269B" w14:textId="77777777" w:rsidR="00943ED6" w:rsidRDefault="00943ED6" w:rsidP="00CD363C">
            <w:pPr>
              <w:pStyle w:val="TableParagraph"/>
              <w:ind w:left="209" w:right="425"/>
              <w:jc w:val="both"/>
              <w:rPr>
                <w:i/>
              </w:rPr>
            </w:pPr>
            <w:r>
              <w:rPr>
                <w:i/>
              </w:rPr>
              <w:t>2620</w:t>
            </w:r>
          </w:p>
        </w:tc>
        <w:tc>
          <w:tcPr>
            <w:tcW w:w="4624" w:type="dxa"/>
          </w:tcPr>
          <w:p w14:paraId="5C52E9A4" w14:textId="77777777" w:rsidR="00943ED6" w:rsidRDefault="00943ED6" w:rsidP="00CD363C">
            <w:pPr>
              <w:pStyle w:val="TableParagraph"/>
              <w:ind w:left="477" w:right="425"/>
              <w:jc w:val="both"/>
              <w:rPr>
                <w:i/>
              </w:rPr>
            </w:pPr>
            <w:r>
              <w:rPr>
                <w:i/>
              </w:rPr>
              <w:t>Norēķinu konti Valsts kasē vai kredītiestādēs</w:t>
            </w:r>
          </w:p>
        </w:tc>
        <w:tc>
          <w:tcPr>
            <w:tcW w:w="1867" w:type="dxa"/>
          </w:tcPr>
          <w:p w14:paraId="73DA108B" w14:textId="77777777" w:rsidR="00943ED6" w:rsidRDefault="00943ED6" w:rsidP="00CD363C">
            <w:pPr>
              <w:pStyle w:val="TableParagraph"/>
              <w:ind w:left="193" w:right="425"/>
              <w:jc w:val="both"/>
              <w:rPr>
                <w:i/>
              </w:rPr>
            </w:pPr>
            <w:r>
              <w:rPr>
                <w:i/>
              </w:rPr>
              <w:t>195 000,00 EUR</w:t>
            </w:r>
          </w:p>
        </w:tc>
      </w:tr>
      <w:tr w:rsidR="00943ED6" w14:paraId="0246D835" w14:textId="77777777" w:rsidTr="00976CEC">
        <w:trPr>
          <w:trHeight w:val="289"/>
        </w:trPr>
        <w:tc>
          <w:tcPr>
            <w:tcW w:w="569" w:type="dxa"/>
          </w:tcPr>
          <w:p w14:paraId="5B9AAAB1" w14:textId="77777777" w:rsidR="00943ED6" w:rsidRDefault="00943ED6" w:rsidP="00CD363C">
            <w:pPr>
              <w:pStyle w:val="TableParagraph"/>
              <w:ind w:left="200" w:right="425"/>
              <w:jc w:val="both"/>
              <w:rPr>
                <w:i/>
              </w:rPr>
            </w:pPr>
            <w:r>
              <w:rPr>
                <w:i/>
              </w:rPr>
              <w:t>K</w:t>
            </w:r>
          </w:p>
        </w:tc>
        <w:tc>
          <w:tcPr>
            <w:tcW w:w="1129" w:type="dxa"/>
          </w:tcPr>
          <w:p w14:paraId="57933A7E" w14:textId="77777777" w:rsidR="00943ED6" w:rsidRDefault="00943ED6" w:rsidP="00CD363C">
            <w:pPr>
              <w:pStyle w:val="TableParagraph"/>
              <w:ind w:left="209" w:right="425"/>
              <w:jc w:val="both"/>
              <w:rPr>
                <w:i/>
              </w:rPr>
            </w:pPr>
            <w:r>
              <w:rPr>
                <w:i/>
              </w:rPr>
              <w:t>2310</w:t>
            </w:r>
          </w:p>
        </w:tc>
        <w:tc>
          <w:tcPr>
            <w:tcW w:w="4624" w:type="dxa"/>
          </w:tcPr>
          <w:p w14:paraId="4637C6B8" w14:textId="77777777" w:rsidR="00943ED6" w:rsidRDefault="00943ED6" w:rsidP="00CD363C">
            <w:pPr>
              <w:pStyle w:val="TableParagraph"/>
              <w:ind w:left="477" w:right="425"/>
              <w:jc w:val="both"/>
              <w:rPr>
                <w:i/>
              </w:rPr>
            </w:pPr>
            <w:r>
              <w:rPr>
                <w:i/>
              </w:rPr>
              <w:t>Prasības pret pircējiem un pasūtītājiem</w:t>
            </w:r>
          </w:p>
        </w:tc>
        <w:tc>
          <w:tcPr>
            <w:tcW w:w="1867" w:type="dxa"/>
          </w:tcPr>
          <w:p w14:paraId="64CF5D9A" w14:textId="77777777" w:rsidR="00943ED6" w:rsidRDefault="00943ED6" w:rsidP="00CD363C">
            <w:pPr>
              <w:pStyle w:val="TableParagraph"/>
              <w:numPr>
                <w:ilvl w:val="0"/>
                <w:numId w:val="80"/>
              </w:numPr>
              <w:ind w:right="425"/>
              <w:jc w:val="both"/>
              <w:rPr>
                <w:i/>
              </w:rPr>
            </w:pPr>
            <w:r>
              <w:rPr>
                <w:i/>
              </w:rPr>
              <w:t>0</w:t>
            </w:r>
            <w:r w:rsidR="00A60C14">
              <w:rPr>
                <w:i/>
              </w:rPr>
              <w:t>00</w:t>
            </w:r>
            <w:r>
              <w:rPr>
                <w:i/>
              </w:rPr>
              <w:t>,00 EUR</w:t>
            </w:r>
          </w:p>
        </w:tc>
      </w:tr>
    </w:tbl>
    <w:p w14:paraId="72E11502" w14:textId="77777777" w:rsidR="002805AE" w:rsidRDefault="002805AE" w:rsidP="00CD363C">
      <w:pPr>
        <w:spacing w:after="0" w:line="240" w:lineRule="auto"/>
        <w:ind w:right="425"/>
        <w:jc w:val="both"/>
        <w:rPr>
          <w:rFonts w:ascii="Times New Roman" w:hAnsi="Times New Roman" w:cs="Times New Roman"/>
          <w:sz w:val="24"/>
          <w:szCs w:val="24"/>
        </w:rPr>
      </w:pPr>
    </w:p>
    <w:p w14:paraId="3FEFF0EE" w14:textId="77777777" w:rsidR="00A60C14" w:rsidRDefault="00A60C14" w:rsidP="00CD363C">
      <w:pPr>
        <w:pStyle w:val="Virsraksts4"/>
        <w:tabs>
          <w:tab w:val="left" w:pos="879"/>
        </w:tabs>
        <w:spacing w:before="0"/>
        <w:ind w:left="338" w:right="425"/>
        <w:jc w:val="both"/>
      </w:pPr>
      <w:r>
        <w:rPr>
          <w:color w:val="002069"/>
        </w:rPr>
        <w:t>23.6.2.Piemērs – ieņēmumu atzīšana viena darījuma atsevišķi identificējamām</w:t>
      </w:r>
      <w:r>
        <w:rPr>
          <w:color w:val="002069"/>
          <w:spacing w:val="-6"/>
        </w:rPr>
        <w:t xml:space="preserve"> </w:t>
      </w:r>
      <w:r>
        <w:rPr>
          <w:color w:val="002069"/>
        </w:rPr>
        <w:t>sastāvdaļām.</w:t>
      </w:r>
    </w:p>
    <w:p w14:paraId="72FAA6F6" w14:textId="77777777" w:rsidR="00A60C14" w:rsidRDefault="00976CEC" w:rsidP="00CD363C">
      <w:pPr>
        <w:pStyle w:val="Pamatteksts"/>
        <w:ind w:left="338" w:right="425"/>
        <w:jc w:val="both"/>
      </w:pPr>
      <w:r>
        <w:t xml:space="preserve">1118.   </w:t>
      </w:r>
      <w:r w:rsidR="00A60C14">
        <w:t>Budžeta</w:t>
      </w:r>
      <w:r w:rsidR="00A60C14">
        <w:rPr>
          <w:spacing w:val="-10"/>
        </w:rPr>
        <w:t xml:space="preserve"> </w:t>
      </w:r>
      <w:r w:rsidR="00A60C14">
        <w:t>iestāde</w:t>
      </w:r>
      <w:r w:rsidR="00A60C14">
        <w:rPr>
          <w:spacing w:val="-9"/>
        </w:rPr>
        <w:t xml:space="preserve"> </w:t>
      </w:r>
      <w:r w:rsidR="00A60C14">
        <w:t>noslēdz</w:t>
      </w:r>
      <w:r w:rsidR="00A60C14">
        <w:rPr>
          <w:spacing w:val="-11"/>
        </w:rPr>
        <w:t xml:space="preserve"> </w:t>
      </w:r>
      <w:r w:rsidR="00A60C14">
        <w:t>līgumu</w:t>
      </w:r>
      <w:r w:rsidR="00A60C14">
        <w:rPr>
          <w:spacing w:val="-10"/>
        </w:rPr>
        <w:t xml:space="preserve"> </w:t>
      </w:r>
      <w:r w:rsidR="00A60C14">
        <w:t>par</w:t>
      </w:r>
      <w:r w:rsidR="00A60C14">
        <w:rPr>
          <w:spacing w:val="-8"/>
        </w:rPr>
        <w:t xml:space="preserve"> </w:t>
      </w:r>
      <w:r w:rsidR="00A60C14">
        <w:t>tehnoloģiskās</w:t>
      </w:r>
      <w:r w:rsidR="00A60C14">
        <w:rPr>
          <w:spacing w:val="-9"/>
        </w:rPr>
        <w:t xml:space="preserve"> </w:t>
      </w:r>
      <w:r w:rsidR="00A60C14">
        <w:t>iekārtas</w:t>
      </w:r>
      <w:r w:rsidR="00A60C14">
        <w:rPr>
          <w:spacing w:val="-9"/>
        </w:rPr>
        <w:t xml:space="preserve"> </w:t>
      </w:r>
      <w:r w:rsidR="00A60C14">
        <w:t>pārdošanu</w:t>
      </w:r>
      <w:r w:rsidR="00A60C14">
        <w:rPr>
          <w:spacing w:val="-10"/>
        </w:rPr>
        <w:t xml:space="preserve"> </w:t>
      </w:r>
      <w:r w:rsidR="00A60C14">
        <w:t>slimnīcai.</w:t>
      </w:r>
      <w:r w:rsidR="00A60C14">
        <w:rPr>
          <w:spacing w:val="-10"/>
        </w:rPr>
        <w:t xml:space="preserve"> </w:t>
      </w:r>
      <w:r w:rsidR="00A60C14">
        <w:t>Tehnoloģiskā</w:t>
      </w:r>
      <w:r w:rsidR="00A60C14">
        <w:rPr>
          <w:spacing w:val="-10"/>
        </w:rPr>
        <w:t xml:space="preserve"> </w:t>
      </w:r>
      <w:r w:rsidR="00A60C14">
        <w:t>iekārta</w:t>
      </w:r>
      <w:r w:rsidR="00A60C14">
        <w:rPr>
          <w:spacing w:val="-9"/>
        </w:rPr>
        <w:t xml:space="preserve"> </w:t>
      </w:r>
      <w:r w:rsidR="00A60C14">
        <w:t>budžeta iestādei ir uzskaitīta pamatlīdzekļu sastāvā. Līguma summa ir 5 000,00 EUR. Vienlaikus līgums paredz divu gadu iekārtas apkalpošanu. Budžeta iestādes pārdošanas cenu veido: 4 520,00 EUR par tehnoloģisko iekārtu un 480,00 EUR par divu gadu apkalpošanas maksu. Līguma parakstīšanas un iekārtas pārdošanas datums ir 2019. gada 3.</w:t>
      </w:r>
      <w:r w:rsidR="00A60C14">
        <w:rPr>
          <w:spacing w:val="-1"/>
        </w:rPr>
        <w:t xml:space="preserve"> </w:t>
      </w:r>
      <w:r w:rsidR="00A60C14">
        <w:t>oktobris.</w:t>
      </w:r>
    </w:p>
    <w:p w14:paraId="14E416AB" w14:textId="77777777" w:rsidR="00A60C14" w:rsidRDefault="00A60C14" w:rsidP="00CD363C">
      <w:pPr>
        <w:pStyle w:val="Pamatteksts"/>
        <w:ind w:left="338" w:right="425"/>
        <w:jc w:val="both"/>
      </w:pPr>
      <w:r>
        <w:t>Šajā gadījumā vienā darījumā ir divas atsevišķi identificējamas sastāvdaļas:</w:t>
      </w:r>
    </w:p>
    <w:p w14:paraId="0D4655CC" w14:textId="77777777" w:rsidR="00A60C14" w:rsidRDefault="00A60C14" w:rsidP="00CD363C">
      <w:pPr>
        <w:pStyle w:val="Pamatteksts"/>
        <w:ind w:right="425"/>
        <w:jc w:val="both"/>
        <w:rPr>
          <w:sz w:val="20"/>
        </w:rPr>
      </w:pPr>
    </w:p>
    <w:p w14:paraId="5E562503" w14:textId="77777777" w:rsidR="00A60C14" w:rsidRDefault="00A60C14" w:rsidP="00CD363C">
      <w:pPr>
        <w:pStyle w:val="Sarakstarindkopa"/>
        <w:widowControl w:val="0"/>
        <w:numPr>
          <w:ilvl w:val="2"/>
          <w:numId w:val="79"/>
        </w:numPr>
        <w:tabs>
          <w:tab w:val="left" w:pos="1472"/>
        </w:tabs>
        <w:autoSpaceDE w:val="0"/>
        <w:autoSpaceDN w:val="0"/>
        <w:spacing w:after="0" w:line="240" w:lineRule="auto"/>
        <w:ind w:right="425" w:hanging="283"/>
        <w:contextualSpacing w:val="0"/>
        <w:jc w:val="both"/>
      </w:pPr>
      <w:r>
        <w:t>iekārtas pārdošana 4 520,00 EUR</w:t>
      </w:r>
      <w:r>
        <w:rPr>
          <w:spacing w:val="-10"/>
        </w:rPr>
        <w:t xml:space="preserve"> </w:t>
      </w:r>
      <w:r>
        <w:t>apmērā;</w:t>
      </w:r>
    </w:p>
    <w:p w14:paraId="29D6BCE2" w14:textId="77777777" w:rsidR="00A60C14" w:rsidRDefault="00A60C14" w:rsidP="00CD363C">
      <w:pPr>
        <w:pStyle w:val="Sarakstarindkopa"/>
        <w:widowControl w:val="0"/>
        <w:numPr>
          <w:ilvl w:val="2"/>
          <w:numId w:val="79"/>
        </w:numPr>
        <w:tabs>
          <w:tab w:val="left" w:pos="1472"/>
        </w:tabs>
        <w:autoSpaceDE w:val="0"/>
        <w:autoSpaceDN w:val="0"/>
        <w:spacing w:after="0" w:line="240" w:lineRule="auto"/>
        <w:ind w:right="425" w:hanging="283"/>
        <w:contextualSpacing w:val="0"/>
        <w:jc w:val="both"/>
      </w:pPr>
      <w:r>
        <w:t>apkalpošanas maksa 480,00 EUR</w:t>
      </w:r>
      <w:r>
        <w:rPr>
          <w:spacing w:val="-7"/>
        </w:rPr>
        <w:t xml:space="preserve"> </w:t>
      </w:r>
      <w:r>
        <w:t>apmērā.</w:t>
      </w:r>
    </w:p>
    <w:p w14:paraId="2E18E6F2" w14:textId="77777777" w:rsidR="00A60C14" w:rsidRDefault="00A60C14" w:rsidP="00CD363C">
      <w:pPr>
        <w:pStyle w:val="Pamatteksts"/>
        <w:ind w:left="338" w:right="425"/>
        <w:jc w:val="both"/>
      </w:pPr>
      <w:r>
        <w:t>Budžeta iestāde atzīst šīs sastāvdaļas atsevišķi: iekārtas pārdošanas ieņēmumi ir jāatzīst, kad ir veikta pārdošana, savukārt ieņēmumi no apkalpošanas maksas jāatzīst periodā, kādā tiks sniegti apkalpošanas pakalpojumi.</w:t>
      </w:r>
    </w:p>
    <w:p w14:paraId="0C609846" w14:textId="77777777" w:rsidR="00A60C14" w:rsidRDefault="00A60C14" w:rsidP="00CD363C">
      <w:pPr>
        <w:pStyle w:val="Pamatteksts"/>
        <w:ind w:left="338" w:right="425"/>
        <w:jc w:val="both"/>
      </w:pPr>
      <w:r>
        <w:t>Budžeta iestāde nav PVN maksātājs.</w:t>
      </w:r>
    </w:p>
    <w:p w14:paraId="70BE7E68" w14:textId="77777777" w:rsidR="00A60C14" w:rsidRDefault="00A60C14" w:rsidP="00CD363C">
      <w:pPr>
        <w:pStyle w:val="Pamatteksts"/>
        <w:ind w:right="425"/>
        <w:jc w:val="both"/>
        <w:rPr>
          <w:sz w:val="20"/>
        </w:rPr>
      </w:pPr>
    </w:p>
    <w:p w14:paraId="570458D6" w14:textId="77777777" w:rsidR="00A60C14" w:rsidRDefault="00A60C14" w:rsidP="00CD363C">
      <w:pPr>
        <w:pStyle w:val="Pamatteksts"/>
        <w:ind w:left="338" w:right="425"/>
        <w:jc w:val="both"/>
      </w:pPr>
      <w:r>
        <w:t>Dienā, kad budžeta iestādei ir ticams, ka tehnoloģiskā iekārta tiks atsavināta, budžeta iestāde pārklasificē pamatlīdzekli īstermiņa aktīvu sastāvā, pārtraucot nolietojuma aprēķinu un līdz iekārtas atsavināšanai to uzskaita apgrozāmo līdzekļu sastāvā, veicot sekojošus grāmatojumus:</w:t>
      </w:r>
    </w:p>
    <w:p w14:paraId="5CD0E9B9" w14:textId="77777777" w:rsidR="00A60C14" w:rsidRDefault="00A60C14" w:rsidP="00CD363C">
      <w:pPr>
        <w:spacing w:after="0" w:line="240" w:lineRule="auto"/>
        <w:ind w:left="338" w:right="425"/>
        <w:jc w:val="both"/>
        <w:rPr>
          <w:i/>
        </w:rPr>
      </w:pPr>
      <w:r>
        <w:rPr>
          <w:i/>
        </w:rPr>
        <w:t>Grāmatojums, pārtraucot rēķināt nolietojumu:</w:t>
      </w:r>
    </w:p>
    <w:p w14:paraId="55A35232" w14:textId="77777777" w:rsidR="00A60C14" w:rsidRDefault="00A60C14" w:rsidP="00CD363C">
      <w:pPr>
        <w:pStyle w:val="Pamatteksts"/>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5561"/>
      </w:tblGrid>
      <w:tr w:rsidR="00A60C14" w14:paraId="66ED4017" w14:textId="77777777" w:rsidTr="00976CEC">
        <w:trPr>
          <w:trHeight w:val="289"/>
        </w:trPr>
        <w:tc>
          <w:tcPr>
            <w:tcW w:w="569" w:type="dxa"/>
          </w:tcPr>
          <w:p w14:paraId="759528E5" w14:textId="77777777" w:rsidR="00A60C14" w:rsidRDefault="00A60C14" w:rsidP="00CD363C">
            <w:pPr>
              <w:pStyle w:val="TableParagraph"/>
              <w:ind w:left="200" w:right="425"/>
              <w:jc w:val="both"/>
              <w:rPr>
                <w:i/>
              </w:rPr>
            </w:pPr>
            <w:r>
              <w:rPr>
                <w:i/>
              </w:rPr>
              <w:t>D</w:t>
            </w:r>
          </w:p>
        </w:tc>
        <w:tc>
          <w:tcPr>
            <w:tcW w:w="1129" w:type="dxa"/>
          </w:tcPr>
          <w:p w14:paraId="764EC622" w14:textId="77777777" w:rsidR="00A60C14" w:rsidRDefault="00A60C14" w:rsidP="00CD363C">
            <w:pPr>
              <w:pStyle w:val="TableParagraph"/>
              <w:ind w:left="209" w:right="425"/>
              <w:jc w:val="both"/>
              <w:rPr>
                <w:i/>
              </w:rPr>
            </w:pPr>
            <w:r>
              <w:rPr>
                <w:i/>
              </w:rPr>
              <w:t>1292</w:t>
            </w:r>
          </w:p>
        </w:tc>
        <w:tc>
          <w:tcPr>
            <w:tcW w:w="5561" w:type="dxa"/>
          </w:tcPr>
          <w:p w14:paraId="47140AC0" w14:textId="77777777" w:rsidR="00A60C14" w:rsidRDefault="00A60C14" w:rsidP="00CD363C">
            <w:pPr>
              <w:pStyle w:val="TableParagraph"/>
              <w:ind w:left="477" w:right="425"/>
              <w:jc w:val="both"/>
            </w:pPr>
            <w:r>
              <w:rPr>
                <w:i/>
              </w:rPr>
              <w:t>Tehnoloģisko iekārtu un mašīnu uzkrātais nolietojums</w:t>
            </w:r>
            <w:r>
              <w:t>*</w:t>
            </w:r>
          </w:p>
        </w:tc>
      </w:tr>
      <w:tr w:rsidR="00A60C14" w14:paraId="3F39C898" w14:textId="77777777" w:rsidTr="00976CEC">
        <w:trPr>
          <w:trHeight w:val="289"/>
        </w:trPr>
        <w:tc>
          <w:tcPr>
            <w:tcW w:w="569" w:type="dxa"/>
          </w:tcPr>
          <w:p w14:paraId="36C0921D" w14:textId="77777777" w:rsidR="00A60C14" w:rsidRDefault="00A60C14" w:rsidP="00CD363C">
            <w:pPr>
              <w:pStyle w:val="TableParagraph"/>
              <w:ind w:left="200" w:right="425"/>
              <w:jc w:val="both"/>
              <w:rPr>
                <w:i/>
              </w:rPr>
            </w:pPr>
            <w:r>
              <w:rPr>
                <w:i/>
              </w:rPr>
              <w:t>K</w:t>
            </w:r>
          </w:p>
        </w:tc>
        <w:tc>
          <w:tcPr>
            <w:tcW w:w="1129" w:type="dxa"/>
          </w:tcPr>
          <w:p w14:paraId="14B2419F" w14:textId="77777777" w:rsidR="00A60C14" w:rsidRDefault="00A60C14" w:rsidP="00CD363C">
            <w:pPr>
              <w:pStyle w:val="TableParagraph"/>
              <w:ind w:left="209" w:right="425"/>
              <w:jc w:val="both"/>
              <w:rPr>
                <w:i/>
              </w:rPr>
            </w:pPr>
            <w:r>
              <w:rPr>
                <w:i/>
              </w:rPr>
              <w:t>1220</w:t>
            </w:r>
          </w:p>
        </w:tc>
        <w:tc>
          <w:tcPr>
            <w:tcW w:w="5561" w:type="dxa"/>
          </w:tcPr>
          <w:p w14:paraId="158C377F" w14:textId="77777777" w:rsidR="00A60C14" w:rsidRDefault="00A60C14" w:rsidP="00CD363C">
            <w:pPr>
              <w:pStyle w:val="TableParagraph"/>
              <w:ind w:left="477" w:right="425"/>
              <w:jc w:val="both"/>
              <w:rPr>
                <w:i/>
              </w:rPr>
            </w:pPr>
            <w:r>
              <w:rPr>
                <w:i/>
              </w:rPr>
              <w:t>Tehnoloģiskās iekārtas un mašīnas</w:t>
            </w:r>
          </w:p>
        </w:tc>
      </w:tr>
    </w:tbl>
    <w:p w14:paraId="26D157AC" w14:textId="77777777" w:rsidR="00A60C14" w:rsidRDefault="00A60C14" w:rsidP="00CD363C">
      <w:pPr>
        <w:spacing w:after="0" w:line="240" w:lineRule="auto"/>
        <w:ind w:left="338" w:right="425"/>
        <w:jc w:val="both"/>
        <w:rPr>
          <w:i/>
          <w:sz w:val="20"/>
        </w:rPr>
      </w:pPr>
      <w:r>
        <w:rPr>
          <w:i/>
          <w:sz w:val="20"/>
        </w:rPr>
        <w:t>*tehnoloģiskās iekārtas uzkrātā nolietojuma summa</w:t>
      </w:r>
    </w:p>
    <w:p w14:paraId="481D1CE7" w14:textId="77777777" w:rsidR="00A60C14" w:rsidRDefault="00A60C14" w:rsidP="00CD363C">
      <w:pPr>
        <w:spacing w:after="0" w:line="240" w:lineRule="auto"/>
        <w:ind w:left="338" w:right="425"/>
        <w:jc w:val="both"/>
        <w:rPr>
          <w:i/>
        </w:rPr>
      </w:pPr>
      <w:r>
        <w:rPr>
          <w:i/>
        </w:rPr>
        <w:t>Grāmatojums, atzīstot iekārtu apgrozāmo līdzekļu sastāvā:</w:t>
      </w:r>
    </w:p>
    <w:p w14:paraId="1FEAA555" w14:textId="77777777" w:rsidR="00A60C14" w:rsidRDefault="00A60C14" w:rsidP="00CD363C">
      <w:pPr>
        <w:pStyle w:val="Pamatteksts"/>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5651"/>
      </w:tblGrid>
      <w:tr w:rsidR="00A60C14" w14:paraId="2B38B8D5" w14:textId="77777777" w:rsidTr="00976CEC">
        <w:trPr>
          <w:trHeight w:val="289"/>
        </w:trPr>
        <w:tc>
          <w:tcPr>
            <w:tcW w:w="569" w:type="dxa"/>
          </w:tcPr>
          <w:p w14:paraId="07D57870" w14:textId="77777777" w:rsidR="00A60C14" w:rsidRDefault="00A60C14" w:rsidP="00CD363C">
            <w:pPr>
              <w:pStyle w:val="TableParagraph"/>
              <w:ind w:left="200" w:right="425"/>
              <w:jc w:val="both"/>
              <w:rPr>
                <w:i/>
              </w:rPr>
            </w:pPr>
            <w:r>
              <w:rPr>
                <w:i/>
              </w:rPr>
              <w:t>D</w:t>
            </w:r>
          </w:p>
        </w:tc>
        <w:tc>
          <w:tcPr>
            <w:tcW w:w="1129" w:type="dxa"/>
          </w:tcPr>
          <w:p w14:paraId="237A09E6" w14:textId="77777777" w:rsidR="00A60C14" w:rsidRDefault="00A60C14" w:rsidP="00CD363C">
            <w:pPr>
              <w:pStyle w:val="TableParagraph"/>
              <w:ind w:left="209" w:right="425"/>
              <w:jc w:val="both"/>
              <w:rPr>
                <w:i/>
              </w:rPr>
            </w:pPr>
            <w:r>
              <w:rPr>
                <w:i/>
              </w:rPr>
              <w:t>2130</w:t>
            </w:r>
          </w:p>
        </w:tc>
        <w:tc>
          <w:tcPr>
            <w:tcW w:w="5651" w:type="dxa"/>
          </w:tcPr>
          <w:p w14:paraId="1BDA92A6" w14:textId="77777777" w:rsidR="00A60C14" w:rsidRDefault="00A60C14" w:rsidP="00CD363C">
            <w:pPr>
              <w:pStyle w:val="TableParagraph"/>
              <w:ind w:left="477" w:right="425"/>
              <w:jc w:val="both"/>
              <w:rPr>
                <w:i/>
              </w:rPr>
            </w:pPr>
            <w:r>
              <w:rPr>
                <w:i/>
              </w:rPr>
              <w:t>Gatavie ražojumi, pasūtījumi un krājumi atsavināšanai*</w:t>
            </w:r>
          </w:p>
        </w:tc>
      </w:tr>
      <w:tr w:rsidR="00A60C14" w14:paraId="66D84B2F" w14:textId="77777777" w:rsidTr="00976CEC">
        <w:trPr>
          <w:trHeight w:val="289"/>
        </w:trPr>
        <w:tc>
          <w:tcPr>
            <w:tcW w:w="569" w:type="dxa"/>
          </w:tcPr>
          <w:p w14:paraId="3A1784A4" w14:textId="77777777" w:rsidR="00A60C14" w:rsidRDefault="00A60C14" w:rsidP="00CD363C">
            <w:pPr>
              <w:pStyle w:val="TableParagraph"/>
              <w:ind w:left="200" w:right="425"/>
              <w:jc w:val="both"/>
              <w:rPr>
                <w:i/>
              </w:rPr>
            </w:pPr>
            <w:r>
              <w:rPr>
                <w:i/>
              </w:rPr>
              <w:t>K</w:t>
            </w:r>
          </w:p>
        </w:tc>
        <w:tc>
          <w:tcPr>
            <w:tcW w:w="1129" w:type="dxa"/>
          </w:tcPr>
          <w:p w14:paraId="33486970" w14:textId="77777777" w:rsidR="00A60C14" w:rsidRDefault="00A60C14" w:rsidP="00CD363C">
            <w:pPr>
              <w:pStyle w:val="TableParagraph"/>
              <w:ind w:left="209" w:right="425"/>
              <w:jc w:val="both"/>
              <w:rPr>
                <w:i/>
              </w:rPr>
            </w:pPr>
            <w:r>
              <w:rPr>
                <w:i/>
              </w:rPr>
              <w:t>1220</w:t>
            </w:r>
          </w:p>
        </w:tc>
        <w:tc>
          <w:tcPr>
            <w:tcW w:w="5651" w:type="dxa"/>
          </w:tcPr>
          <w:p w14:paraId="7C01A9B4" w14:textId="77777777" w:rsidR="00A60C14" w:rsidRDefault="00A60C14" w:rsidP="00CD363C">
            <w:pPr>
              <w:pStyle w:val="TableParagraph"/>
              <w:ind w:left="477" w:right="425"/>
              <w:jc w:val="both"/>
            </w:pPr>
            <w:r>
              <w:rPr>
                <w:i/>
              </w:rPr>
              <w:t>Tehnoloģiskās iekārtas un mašīnas</w:t>
            </w:r>
            <w:r>
              <w:t>*</w:t>
            </w:r>
          </w:p>
        </w:tc>
      </w:tr>
    </w:tbl>
    <w:p w14:paraId="12C94064" w14:textId="77777777" w:rsidR="00A60C14" w:rsidRDefault="00A60C14" w:rsidP="00CD363C">
      <w:pPr>
        <w:spacing w:after="0" w:line="240" w:lineRule="auto"/>
        <w:ind w:left="338" w:right="425"/>
        <w:jc w:val="both"/>
        <w:rPr>
          <w:i/>
          <w:sz w:val="20"/>
        </w:rPr>
      </w:pPr>
      <w:r>
        <w:rPr>
          <w:i/>
          <w:sz w:val="20"/>
        </w:rPr>
        <w:t>*tehnoloģiskās iekārtas atlikusī uzskaites vērtība</w:t>
      </w:r>
    </w:p>
    <w:p w14:paraId="4DB7E889" w14:textId="77777777" w:rsidR="00A60C14" w:rsidRDefault="00A60C14" w:rsidP="00CD363C">
      <w:pPr>
        <w:pStyle w:val="Pamatteksts"/>
        <w:ind w:right="425"/>
        <w:jc w:val="both"/>
        <w:rPr>
          <w:i/>
        </w:rPr>
      </w:pPr>
    </w:p>
    <w:p w14:paraId="2360B00E" w14:textId="77777777" w:rsidR="00A60C14" w:rsidRDefault="00A60C14" w:rsidP="00CD363C">
      <w:pPr>
        <w:pStyle w:val="Pamatteksts"/>
        <w:ind w:right="425"/>
        <w:jc w:val="both"/>
        <w:rPr>
          <w:i/>
          <w:sz w:val="21"/>
        </w:rPr>
      </w:pPr>
    </w:p>
    <w:p w14:paraId="4F4ECC39" w14:textId="77777777" w:rsidR="00A60C14" w:rsidRDefault="00A60C14" w:rsidP="00CD363C">
      <w:pPr>
        <w:pStyle w:val="Virsraksts6"/>
        <w:ind w:right="425"/>
        <w:jc w:val="both"/>
      </w:pPr>
      <w:r>
        <w:rPr>
          <w:u w:val="thick"/>
        </w:rPr>
        <w:t>Grāmatojumi, ja rēķini izrakstīti atsevišķi pārdošanas un apkalpošanas darījumiem</w:t>
      </w:r>
    </w:p>
    <w:p w14:paraId="1CFD76F5" w14:textId="77777777" w:rsidR="00A60C14" w:rsidRDefault="00A60C14" w:rsidP="00CD363C">
      <w:pPr>
        <w:spacing w:after="0" w:line="240" w:lineRule="auto"/>
        <w:ind w:left="338" w:right="425"/>
        <w:jc w:val="both"/>
        <w:rPr>
          <w:i/>
        </w:rPr>
      </w:pPr>
      <w:r>
        <w:rPr>
          <w:i/>
        </w:rPr>
        <w:t>Budžeta iestāde uzskaita iekārtas pārdošanas darījumu:</w:t>
      </w:r>
    </w:p>
    <w:p w14:paraId="42C95D16" w14:textId="77777777" w:rsidR="00A60C14" w:rsidRDefault="00A60C14" w:rsidP="00CD363C">
      <w:pPr>
        <w:pStyle w:val="Pamatteksts"/>
        <w:ind w:right="425"/>
        <w:jc w:val="both"/>
        <w:rPr>
          <w:i/>
          <w:sz w:val="17"/>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4066"/>
        <w:gridCol w:w="1591"/>
      </w:tblGrid>
      <w:tr w:rsidR="00A60C14" w14:paraId="4762424C" w14:textId="77777777" w:rsidTr="00976CEC">
        <w:trPr>
          <w:trHeight w:val="289"/>
        </w:trPr>
        <w:tc>
          <w:tcPr>
            <w:tcW w:w="659" w:type="dxa"/>
          </w:tcPr>
          <w:p w14:paraId="4204E4CB" w14:textId="77777777" w:rsidR="00A60C14" w:rsidRDefault="00A60C14" w:rsidP="00CD363C">
            <w:pPr>
              <w:pStyle w:val="TableParagraph"/>
              <w:ind w:left="200" w:right="425"/>
              <w:jc w:val="both"/>
              <w:rPr>
                <w:i/>
              </w:rPr>
            </w:pPr>
            <w:r>
              <w:rPr>
                <w:i/>
              </w:rPr>
              <w:t>D</w:t>
            </w:r>
          </w:p>
        </w:tc>
        <w:tc>
          <w:tcPr>
            <w:tcW w:w="1436" w:type="dxa"/>
          </w:tcPr>
          <w:p w14:paraId="50CA0461" w14:textId="77777777" w:rsidR="00A60C14" w:rsidRDefault="00A60C14" w:rsidP="00CD363C">
            <w:pPr>
              <w:pStyle w:val="TableParagraph"/>
              <w:ind w:left="299" w:right="425"/>
              <w:jc w:val="both"/>
              <w:rPr>
                <w:i/>
              </w:rPr>
            </w:pPr>
            <w:r>
              <w:rPr>
                <w:i/>
              </w:rPr>
              <w:t>2300</w:t>
            </w:r>
          </w:p>
        </w:tc>
        <w:tc>
          <w:tcPr>
            <w:tcW w:w="4066" w:type="dxa"/>
          </w:tcPr>
          <w:p w14:paraId="7116E5C3" w14:textId="77777777" w:rsidR="00A60C14" w:rsidRDefault="00A60C14" w:rsidP="00CD363C">
            <w:pPr>
              <w:pStyle w:val="TableParagraph"/>
              <w:ind w:left="695" w:right="425"/>
              <w:jc w:val="both"/>
              <w:rPr>
                <w:i/>
              </w:rPr>
            </w:pPr>
            <w:r>
              <w:rPr>
                <w:i/>
              </w:rPr>
              <w:t>Īstermiņa prasības</w:t>
            </w:r>
          </w:p>
        </w:tc>
        <w:tc>
          <w:tcPr>
            <w:tcW w:w="1591" w:type="dxa"/>
          </w:tcPr>
          <w:p w14:paraId="16795298" w14:textId="77777777" w:rsidR="00A60C14" w:rsidRDefault="00A60C14" w:rsidP="00CD363C">
            <w:pPr>
              <w:pStyle w:val="TableParagraph"/>
              <w:ind w:left="135" w:right="425"/>
              <w:jc w:val="both"/>
              <w:rPr>
                <w:i/>
              </w:rPr>
            </w:pPr>
            <w:r>
              <w:rPr>
                <w:i/>
              </w:rPr>
              <w:t>4 520,00 EUR</w:t>
            </w:r>
          </w:p>
        </w:tc>
      </w:tr>
      <w:tr w:rsidR="00A60C14" w14:paraId="221E58B0" w14:textId="77777777" w:rsidTr="00976CEC">
        <w:trPr>
          <w:trHeight w:val="795"/>
        </w:trPr>
        <w:tc>
          <w:tcPr>
            <w:tcW w:w="659" w:type="dxa"/>
          </w:tcPr>
          <w:p w14:paraId="1F96367A" w14:textId="77777777" w:rsidR="00A60C14" w:rsidRDefault="00A60C14" w:rsidP="00CD363C">
            <w:pPr>
              <w:pStyle w:val="TableParagraph"/>
              <w:ind w:left="200" w:right="425"/>
              <w:jc w:val="both"/>
              <w:rPr>
                <w:i/>
              </w:rPr>
            </w:pPr>
            <w:r>
              <w:rPr>
                <w:i/>
              </w:rPr>
              <w:t>K</w:t>
            </w:r>
          </w:p>
        </w:tc>
        <w:tc>
          <w:tcPr>
            <w:tcW w:w="1436" w:type="dxa"/>
          </w:tcPr>
          <w:p w14:paraId="60B4AA21" w14:textId="77777777" w:rsidR="00A60C14" w:rsidRDefault="00A60C14" w:rsidP="00CD363C">
            <w:pPr>
              <w:pStyle w:val="TableParagraph"/>
              <w:ind w:left="299" w:right="425"/>
              <w:jc w:val="both"/>
              <w:rPr>
                <w:i/>
              </w:rPr>
            </w:pPr>
            <w:r>
              <w:rPr>
                <w:i/>
              </w:rPr>
              <w:t>8510</w:t>
            </w:r>
          </w:p>
        </w:tc>
        <w:tc>
          <w:tcPr>
            <w:tcW w:w="4066" w:type="dxa"/>
          </w:tcPr>
          <w:p w14:paraId="0DEF9C97" w14:textId="77777777" w:rsidR="00A60C14" w:rsidRDefault="00A60C14" w:rsidP="00CD363C">
            <w:pPr>
              <w:pStyle w:val="TableParagraph"/>
              <w:tabs>
                <w:tab w:val="left" w:pos="2023"/>
                <w:tab w:val="left" w:pos="2705"/>
                <w:tab w:val="left" w:pos="3391"/>
              </w:tabs>
              <w:ind w:left="695" w:right="425"/>
              <w:jc w:val="both"/>
              <w:rPr>
                <w:i/>
              </w:rPr>
            </w:pPr>
            <w:r>
              <w:rPr>
                <w:i/>
              </w:rPr>
              <w:t>Ieņēmumi</w:t>
            </w:r>
            <w:r>
              <w:rPr>
                <w:i/>
              </w:rPr>
              <w:tab/>
              <w:t>no</w:t>
            </w:r>
            <w:r>
              <w:rPr>
                <w:i/>
              </w:rPr>
              <w:tab/>
            </w:r>
            <w:r>
              <w:rPr>
                <w:i/>
                <w:spacing w:val="-1"/>
              </w:rPr>
              <w:t xml:space="preserve">atsavināšanai </w:t>
            </w:r>
            <w:r>
              <w:rPr>
                <w:i/>
              </w:rPr>
              <w:t>paredzēto</w:t>
            </w:r>
            <w:r>
              <w:rPr>
                <w:i/>
              </w:rPr>
              <w:tab/>
              <w:t>nefinanšu</w:t>
            </w:r>
            <w:r>
              <w:rPr>
                <w:i/>
              </w:rPr>
              <w:tab/>
              <w:t>aktīvu</w:t>
            </w:r>
          </w:p>
          <w:p w14:paraId="3C571636" w14:textId="77777777" w:rsidR="00A60C14" w:rsidRDefault="00A60C14" w:rsidP="00CD363C">
            <w:pPr>
              <w:pStyle w:val="TableParagraph"/>
              <w:ind w:left="695" w:right="425"/>
              <w:jc w:val="both"/>
              <w:rPr>
                <w:i/>
              </w:rPr>
            </w:pPr>
            <w:r>
              <w:rPr>
                <w:i/>
              </w:rPr>
              <w:t>pārdošanas</w:t>
            </w:r>
          </w:p>
        </w:tc>
        <w:tc>
          <w:tcPr>
            <w:tcW w:w="1591" w:type="dxa"/>
          </w:tcPr>
          <w:p w14:paraId="73FBE8C9" w14:textId="77777777" w:rsidR="00A60C14" w:rsidRDefault="00A60C14" w:rsidP="00CD363C">
            <w:pPr>
              <w:pStyle w:val="TableParagraph"/>
              <w:ind w:left="135" w:right="425"/>
              <w:jc w:val="both"/>
              <w:rPr>
                <w:i/>
              </w:rPr>
            </w:pPr>
            <w:r>
              <w:rPr>
                <w:i/>
              </w:rPr>
              <w:t>4 520,00 EUR</w:t>
            </w:r>
          </w:p>
        </w:tc>
      </w:tr>
    </w:tbl>
    <w:p w14:paraId="013D208C" w14:textId="77777777" w:rsidR="00A60C14" w:rsidRDefault="00A60C14" w:rsidP="00CD363C">
      <w:pPr>
        <w:spacing w:after="0" w:line="240" w:lineRule="auto"/>
        <w:ind w:left="338" w:right="425"/>
        <w:jc w:val="both"/>
        <w:rPr>
          <w:i/>
        </w:rPr>
      </w:pPr>
      <w:r>
        <w:rPr>
          <w:i/>
        </w:rPr>
        <w:t>Pārdodot iekārtu, budžeta iestāde to izslēdz no apgrozāmo līdzekļu sastāva:</w:t>
      </w:r>
    </w:p>
    <w:p w14:paraId="21164EB6" w14:textId="77777777" w:rsidR="00A60C14" w:rsidRDefault="00A60C14" w:rsidP="00CD363C">
      <w:pPr>
        <w:pStyle w:val="Pamatteksts"/>
        <w:ind w:right="425"/>
        <w:jc w:val="both"/>
        <w:rPr>
          <w:i/>
          <w:sz w:val="18"/>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3987"/>
      </w:tblGrid>
      <w:tr w:rsidR="00A60C14" w14:paraId="632CFFE7" w14:textId="77777777" w:rsidTr="00976CEC">
        <w:trPr>
          <w:trHeight w:val="541"/>
        </w:trPr>
        <w:tc>
          <w:tcPr>
            <w:tcW w:w="659" w:type="dxa"/>
          </w:tcPr>
          <w:p w14:paraId="6FD66A44" w14:textId="77777777" w:rsidR="00A60C14" w:rsidRDefault="00A60C14" w:rsidP="00CD363C">
            <w:pPr>
              <w:pStyle w:val="TableParagraph"/>
              <w:ind w:left="200" w:right="425"/>
              <w:jc w:val="both"/>
              <w:rPr>
                <w:i/>
              </w:rPr>
            </w:pPr>
            <w:r>
              <w:rPr>
                <w:i/>
              </w:rPr>
              <w:t>D</w:t>
            </w:r>
          </w:p>
        </w:tc>
        <w:tc>
          <w:tcPr>
            <w:tcW w:w="1436" w:type="dxa"/>
          </w:tcPr>
          <w:p w14:paraId="0FB7A95B" w14:textId="77777777" w:rsidR="00A60C14" w:rsidRDefault="00A60C14" w:rsidP="00CD363C">
            <w:pPr>
              <w:pStyle w:val="TableParagraph"/>
              <w:ind w:left="299" w:right="425"/>
              <w:jc w:val="both"/>
              <w:rPr>
                <w:i/>
              </w:rPr>
            </w:pPr>
            <w:r>
              <w:rPr>
                <w:i/>
              </w:rPr>
              <w:t>8610</w:t>
            </w:r>
          </w:p>
        </w:tc>
        <w:tc>
          <w:tcPr>
            <w:tcW w:w="3987" w:type="dxa"/>
          </w:tcPr>
          <w:p w14:paraId="13E8C07C" w14:textId="77777777" w:rsidR="00A60C14" w:rsidRDefault="00A60C14" w:rsidP="00CD363C">
            <w:pPr>
              <w:pStyle w:val="TableParagraph"/>
              <w:tabs>
                <w:tab w:val="left" w:pos="1714"/>
                <w:tab w:val="left" w:pos="2158"/>
                <w:tab w:val="left" w:pos="3237"/>
              </w:tabs>
              <w:ind w:left="695" w:right="425"/>
              <w:jc w:val="both"/>
            </w:pPr>
            <w:r>
              <w:rPr>
                <w:i/>
              </w:rPr>
              <w:t>Izdevumi</w:t>
            </w:r>
            <w:r>
              <w:rPr>
                <w:i/>
              </w:rPr>
              <w:tab/>
              <w:t>no</w:t>
            </w:r>
            <w:r>
              <w:rPr>
                <w:i/>
              </w:rPr>
              <w:tab/>
              <w:t>nefinanšu</w:t>
            </w:r>
            <w:r>
              <w:rPr>
                <w:i/>
              </w:rPr>
              <w:tab/>
            </w:r>
            <w:r>
              <w:rPr>
                <w:spacing w:val="-1"/>
              </w:rPr>
              <w:t xml:space="preserve">aktīvu </w:t>
            </w:r>
            <w:r>
              <w:t>izslēgšanas*</w:t>
            </w:r>
          </w:p>
        </w:tc>
      </w:tr>
      <w:tr w:rsidR="00A60C14" w14:paraId="20056EAA" w14:textId="77777777" w:rsidTr="00976CEC">
        <w:trPr>
          <w:trHeight w:val="541"/>
        </w:trPr>
        <w:tc>
          <w:tcPr>
            <w:tcW w:w="659" w:type="dxa"/>
          </w:tcPr>
          <w:p w14:paraId="50623D39" w14:textId="77777777" w:rsidR="00A60C14" w:rsidRDefault="00A60C14" w:rsidP="00CD363C">
            <w:pPr>
              <w:pStyle w:val="TableParagraph"/>
              <w:ind w:left="200" w:right="425"/>
              <w:jc w:val="both"/>
              <w:rPr>
                <w:i/>
              </w:rPr>
            </w:pPr>
            <w:r>
              <w:rPr>
                <w:i/>
              </w:rPr>
              <w:t>K</w:t>
            </w:r>
          </w:p>
        </w:tc>
        <w:tc>
          <w:tcPr>
            <w:tcW w:w="1436" w:type="dxa"/>
          </w:tcPr>
          <w:p w14:paraId="63D39AA8" w14:textId="77777777" w:rsidR="00A60C14" w:rsidRDefault="00A60C14" w:rsidP="00CD363C">
            <w:pPr>
              <w:pStyle w:val="TableParagraph"/>
              <w:ind w:left="299" w:right="425"/>
              <w:jc w:val="both"/>
              <w:rPr>
                <w:i/>
              </w:rPr>
            </w:pPr>
            <w:r>
              <w:rPr>
                <w:i/>
              </w:rPr>
              <w:t>2130</w:t>
            </w:r>
          </w:p>
        </w:tc>
        <w:tc>
          <w:tcPr>
            <w:tcW w:w="3987" w:type="dxa"/>
          </w:tcPr>
          <w:p w14:paraId="47E10EE6" w14:textId="77777777" w:rsidR="00A60C14" w:rsidRDefault="00A60C14" w:rsidP="00CD363C">
            <w:pPr>
              <w:pStyle w:val="TableParagraph"/>
              <w:ind w:left="695" w:right="425"/>
              <w:jc w:val="both"/>
              <w:rPr>
                <w:i/>
              </w:rPr>
            </w:pPr>
            <w:r>
              <w:rPr>
                <w:i/>
              </w:rPr>
              <w:t>Gatavie ražojumi, pasūtījumi un krājumi atsavināšanai*</w:t>
            </w:r>
          </w:p>
        </w:tc>
      </w:tr>
    </w:tbl>
    <w:p w14:paraId="0B7332D2" w14:textId="77777777" w:rsidR="00A60C14" w:rsidRDefault="00A60C14" w:rsidP="00CD363C">
      <w:pPr>
        <w:spacing w:after="0" w:line="240" w:lineRule="auto"/>
        <w:ind w:left="338" w:right="425"/>
        <w:jc w:val="both"/>
        <w:rPr>
          <w:i/>
          <w:sz w:val="20"/>
        </w:rPr>
      </w:pPr>
      <w:r>
        <w:rPr>
          <w:i/>
          <w:sz w:val="20"/>
        </w:rPr>
        <w:t>*tehnoloģiskās iekārtas uzskaites vērtība</w:t>
      </w:r>
    </w:p>
    <w:p w14:paraId="5D716B91" w14:textId="77777777" w:rsidR="00A60C14" w:rsidRDefault="00A60C14" w:rsidP="00CD363C">
      <w:pPr>
        <w:spacing w:after="0" w:line="240" w:lineRule="auto"/>
        <w:ind w:left="338" w:right="425"/>
        <w:jc w:val="both"/>
        <w:rPr>
          <w:i/>
        </w:rPr>
      </w:pPr>
      <w:r>
        <w:rPr>
          <w:i/>
        </w:rPr>
        <w:t>Budžeta iestāde ieņēmumus un prasību par līgumā paredzēto apkalpošanu atzīst tajā periodā, kad apkalpošanas pakalpojums tiek sniegts. 2019.gada 31.decembrī budžeta iestāde veic sekojošu grāmatojumu par periodu no 2019.gada oktobra līdz 2019.gada decembrim (3 mēneši):</w:t>
      </w:r>
    </w:p>
    <w:p w14:paraId="63388C3D" w14:textId="77777777" w:rsidR="00A60C14" w:rsidRDefault="00A60C14" w:rsidP="00CD363C">
      <w:pPr>
        <w:spacing w:after="0" w:line="240" w:lineRule="auto"/>
        <w:ind w:right="425"/>
        <w:jc w:val="both"/>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3583"/>
        <w:gridCol w:w="1799"/>
      </w:tblGrid>
      <w:tr w:rsidR="00A60C14" w14:paraId="08FE1556" w14:textId="77777777" w:rsidTr="00976CEC">
        <w:trPr>
          <w:trHeight w:val="287"/>
        </w:trPr>
        <w:tc>
          <w:tcPr>
            <w:tcW w:w="659" w:type="dxa"/>
          </w:tcPr>
          <w:p w14:paraId="0B68F5F3" w14:textId="77777777" w:rsidR="00A60C14" w:rsidRDefault="00A60C14" w:rsidP="00CD363C">
            <w:pPr>
              <w:pStyle w:val="TableParagraph"/>
              <w:ind w:left="200" w:right="425"/>
              <w:jc w:val="both"/>
              <w:rPr>
                <w:i/>
              </w:rPr>
            </w:pPr>
            <w:r>
              <w:rPr>
                <w:i/>
              </w:rPr>
              <w:t>D</w:t>
            </w:r>
          </w:p>
        </w:tc>
        <w:tc>
          <w:tcPr>
            <w:tcW w:w="1436" w:type="dxa"/>
          </w:tcPr>
          <w:p w14:paraId="54B0336F" w14:textId="77777777" w:rsidR="00A60C14" w:rsidRDefault="00A60C14" w:rsidP="00CD363C">
            <w:pPr>
              <w:pStyle w:val="TableParagraph"/>
              <w:ind w:left="299" w:right="425"/>
              <w:jc w:val="both"/>
              <w:rPr>
                <w:i/>
              </w:rPr>
            </w:pPr>
            <w:r>
              <w:rPr>
                <w:i/>
              </w:rPr>
              <w:t>2300</w:t>
            </w:r>
          </w:p>
        </w:tc>
        <w:tc>
          <w:tcPr>
            <w:tcW w:w="3583" w:type="dxa"/>
          </w:tcPr>
          <w:p w14:paraId="06B20018" w14:textId="77777777" w:rsidR="00A60C14" w:rsidRDefault="00A60C14" w:rsidP="00CD363C">
            <w:pPr>
              <w:pStyle w:val="TableParagraph"/>
              <w:ind w:left="695" w:right="425"/>
              <w:jc w:val="both"/>
              <w:rPr>
                <w:i/>
              </w:rPr>
            </w:pPr>
            <w:r>
              <w:rPr>
                <w:i/>
              </w:rPr>
              <w:t>Īstermiņa prasības</w:t>
            </w:r>
          </w:p>
        </w:tc>
        <w:tc>
          <w:tcPr>
            <w:tcW w:w="1799" w:type="dxa"/>
          </w:tcPr>
          <w:p w14:paraId="75BA593B" w14:textId="77777777" w:rsidR="00A60C14" w:rsidRDefault="00A60C14" w:rsidP="00CD363C">
            <w:pPr>
              <w:pStyle w:val="TableParagraph"/>
              <w:ind w:right="425"/>
              <w:jc w:val="both"/>
              <w:rPr>
                <w:i/>
              </w:rPr>
            </w:pPr>
            <w:r>
              <w:rPr>
                <w:i/>
              </w:rPr>
              <w:t>60,00 EUR</w:t>
            </w:r>
          </w:p>
        </w:tc>
      </w:tr>
      <w:tr w:rsidR="00A60C14" w14:paraId="1F01B402" w14:textId="77777777" w:rsidTr="00976CEC">
        <w:trPr>
          <w:trHeight w:val="287"/>
        </w:trPr>
        <w:tc>
          <w:tcPr>
            <w:tcW w:w="659" w:type="dxa"/>
          </w:tcPr>
          <w:p w14:paraId="1685431C" w14:textId="77777777" w:rsidR="00A60C14" w:rsidRDefault="00A60C14" w:rsidP="00CD363C">
            <w:pPr>
              <w:pStyle w:val="TableParagraph"/>
              <w:ind w:left="200" w:right="425"/>
              <w:jc w:val="both"/>
              <w:rPr>
                <w:i/>
              </w:rPr>
            </w:pPr>
            <w:r>
              <w:rPr>
                <w:i/>
              </w:rPr>
              <w:t>K</w:t>
            </w:r>
          </w:p>
        </w:tc>
        <w:tc>
          <w:tcPr>
            <w:tcW w:w="1436" w:type="dxa"/>
          </w:tcPr>
          <w:p w14:paraId="116C4BDC" w14:textId="77777777" w:rsidR="00A60C14" w:rsidRDefault="00A60C14" w:rsidP="00CD363C">
            <w:pPr>
              <w:pStyle w:val="TableParagraph"/>
              <w:ind w:left="299" w:right="425"/>
              <w:jc w:val="both"/>
              <w:rPr>
                <w:i/>
              </w:rPr>
            </w:pPr>
            <w:r>
              <w:rPr>
                <w:i/>
              </w:rPr>
              <w:t>6000</w:t>
            </w:r>
          </w:p>
        </w:tc>
        <w:tc>
          <w:tcPr>
            <w:tcW w:w="3583" w:type="dxa"/>
          </w:tcPr>
          <w:p w14:paraId="02A703BA" w14:textId="77777777" w:rsidR="00A60C14" w:rsidRDefault="00A60C14" w:rsidP="00CD363C">
            <w:pPr>
              <w:pStyle w:val="TableParagraph"/>
              <w:ind w:left="695" w:right="425"/>
              <w:jc w:val="both"/>
              <w:rPr>
                <w:i/>
              </w:rPr>
            </w:pPr>
            <w:r>
              <w:rPr>
                <w:i/>
              </w:rPr>
              <w:t>Pamatdarbības ieņēmumi</w:t>
            </w:r>
          </w:p>
        </w:tc>
        <w:tc>
          <w:tcPr>
            <w:tcW w:w="1799" w:type="dxa"/>
          </w:tcPr>
          <w:p w14:paraId="5C46B103" w14:textId="77777777" w:rsidR="00A60C14" w:rsidRDefault="00A60C14" w:rsidP="00CD363C">
            <w:pPr>
              <w:pStyle w:val="TableParagraph"/>
              <w:ind w:right="425"/>
              <w:jc w:val="both"/>
              <w:rPr>
                <w:i/>
              </w:rPr>
            </w:pPr>
            <w:r>
              <w:rPr>
                <w:i/>
              </w:rPr>
              <w:t>60,00 EUR</w:t>
            </w:r>
          </w:p>
        </w:tc>
      </w:tr>
    </w:tbl>
    <w:p w14:paraId="1F637B22" w14:textId="77777777" w:rsidR="00A60C14" w:rsidRDefault="00A60C14" w:rsidP="00CD363C">
      <w:pPr>
        <w:pStyle w:val="Pamatteksts"/>
        <w:ind w:right="425"/>
        <w:jc w:val="both"/>
        <w:rPr>
          <w:i/>
          <w:sz w:val="20"/>
        </w:rPr>
      </w:pPr>
    </w:p>
    <w:p w14:paraId="467788FD" w14:textId="77777777" w:rsidR="00A60C14" w:rsidRDefault="00A60C14" w:rsidP="00CD363C">
      <w:pPr>
        <w:pStyle w:val="Virsraksts4"/>
        <w:tabs>
          <w:tab w:val="left" w:pos="879"/>
        </w:tabs>
        <w:spacing w:before="0"/>
        <w:ind w:left="338" w:right="425"/>
        <w:jc w:val="both"/>
      </w:pPr>
      <w:bookmarkStart w:id="94" w:name="12.3._Piemērs_–_ieņēmumu_novērtēšana_un_"/>
      <w:bookmarkStart w:id="95" w:name="_bookmark423"/>
      <w:bookmarkEnd w:id="94"/>
      <w:bookmarkEnd w:id="95"/>
      <w:r>
        <w:rPr>
          <w:color w:val="002069"/>
        </w:rPr>
        <w:t>23.6.3.Piemērs – ieņēmumu novērtēšana un atzīšana, ņemot vērā piešķirtās</w:t>
      </w:r>
      <w:r>
        <w:rPr>
          <w:color w:val="002069"/>
          <w:spacing w:val="-7"/>
        </w:rPr>
        <w:t xml:space="preserve"> </w:t>
      </w:r>
      <w:r>
        <w:rPr>
          <w:color w:val="002069"/>
        </w:rPr>
        <w:t>atlaides.</w:t>
      </w:r>
    </w:p>
    <w:p w14:paraId="72CF303E" w14:textId="77777777" w:rsidR="00A60C14" w:rsidRDefault="00976CEC" w:rsidP="00CD363C">
      <w:pPr>
        <w:pStyle w:val="Pamatteksts"/>
        <w:ind w:left="338" w:right="425"/>
        <w:jc w:val="both"/>
      </w:pPr>
      <w:r>
        <w:t xml:space="preserve">1119.  </w:t>
      </w:r>
      <w:r w:rsidR="00A60C14">
        <w:t>Budžeta</w:t>
      </w:r>
      <w:r w:rsidR="00A60C14">
        <w:rPr>
          <w:spacing w:val="-8"/>
        </w:rPr>
        <w:t xml:space="preserve"> </w:t>
      </w:r>
      <w:r w:rsidR="00A60C14">
        <w:t>iestāde</w:t>
      </w:r>
      <w:r w:rsidR="00A60C14">
        <w:rPr>
          <w:spacing w:val="-8"/>
        </w:rPr>
        <w:t xml:space="preserve"> </w:t>
      </w:r>
      <w:r w:rsidR="00A60C14">
        <w:t>A</w:t>
      </w:r>
      <w:r w:rsidR="00A60C14">
        <w:rPr>
          <w:spacing w:val="-9"/>
        </w:rPr>
        <w:t xml:space="preserve"> </w:t>
      </w:r>
      <w:r w:rsidR="00A60C14">
        <w:t>no</w:t>
      </w:r>
      <w:r w:rsidR="00A60C14">
        <w:rPr>
          <w:spacing w:val="-9"/>
        </w:rPr>
        <w:t xml:space="preserve"> </w:t>
      </w:r>
      <w:r w:rsidR="00A60C14">
        <w:t>budžeta</w:t>
      </w:r>
      <w:r w:rsidR="00A60C14">
        <w:rPr>
          <w:spacing w:val="-7"/>
        </w:rPr>
        <w:t xml:space="preserve"> </w:t>
      </w:r>
      <w:r w:rsidR="00A60C14">
        <w:t>iestādes</w:t>
      </w:r>
      <w:r w:rsidR="00A60C14">
        <w:rPr>
          <w:spacing w:val="-8"/>
        </w:rPr>
        <w:t xml:space="preserve"> </w:t>
      </w:r>
      <w:r w:rsidR="00A60C14">
        <w:t>B</w:t>
      </w:r>
      <w:r w:rsidR="00A60C14">
        <w:rPr>
          <w:spacing w:val="-8"/>
        </w:rPr>
        <w:t xml:space="preserve"> </w:t>
      </w:r>
      <w:r w:rsidR="00A60C14">
        <w:t>iegādājas</w:t>
      </w:r>
      <w:r w:rsidR="00A60C14">
        <w:rPr>
          <w:spacing w:val="-8"/>
        </w:rPr>
        <w:t xml:space="preserve"> </w:t>
      </w:r>
      <w:r w:rsidR="00A60C14">
        <w:t>5</w:t>
      </w:r>
      <w:r w:rsidR="00A60C14">
        <w:rPr>
          <w:spacing w:val="2"/>
        </w:rPr>
        <w:t xml:space="preserve"> </w:t>
      </w:r>
      <w:r w:rsidR="00A60C14">
        <w:t>000</w:t>
      </w:r>
      <w:r w:rsidR="00A60C14">
        <w:rPr>
          <w:spacing w:val="-9"/>
        </w:rPr>
        <w:t xml:space="preserve"> </w:t>
      </w:r>
      <w:r w:rsidR="00A60C14">
        <w:t>gab.</w:t>
      </w:r>
      <w:r w:rsidR="00A60C14">
        <w:rPr>
          <w:spacing w:val="-5"/>
        </w:rPr>
        <w:t xml:space="preserve"> </w:t>
      </w:r>
      <w:r w:rsidR="00A60C14">
        <w:t>mācību</w:t>
      </w:r>
      <w:r w:rsidR="00A60C14">
        <w:rPr>
          <w:spacing w:val="-9"/>
        </w:rPr>
        <w:t xml:space="preserve"> </w:t>
      </w:r>
      <w:r w:rsidR="00A60C14">
        <w:t>materiālu.</w:t>
      </w:r>
      <w:r w:rsidR="00A60C14">
        <w:rPr>
          <w:spacing w:val="-11"/>
        </w:rPr>
        <w:t xml:space="preserve"> </w:t>
      </w:r>
      <w:r w:rsidR="00A60C14">
        <w:t>Viena</w:t>
      </w:r>
      <w:r w:rsidR="00A60C14">
        <w:rPr>
          <w:spacing w:val="-7"/>
        </w:rPr>
        <w:t xml:space="preserve"> </w:t>
      </w:r>
      <w:r w:rsidR="00A60C14">
        <w:t>mācību</w:t>
      </w:r>
      <w:r w:rsidR="00A60C14">
        <w:rPr>
          <w:spacing w:val="-9"/>
        </w:rPr>
        <w:t xml:space="preserve"> </w:t>
      </w:r>
      <w:r w:rsidR="00A60C14">
        <w:t>materiāla</w:t>
      </w:r>
      <w:r w:rsidR="00A60C14">
        <w:rPr>
          <w:spacing w:val="-9"/>
        </w:rPr>
        <w:t xml:space="preserve"> </w:t>
      </w:r>
      <w:r w:rsidR="00A60C14">
        <w:t>cena 3,00 EUR. Ņemot vērā lielo iegādes apjomu, budžeta iestāde B piešķir 10% atlaidi. Piemērā paredzēts, ka budžeta iestādes nav PVN</w:t>
      </w:r>
      <w:r w:rsidR="00A60C14">
        <w:rPr>
          <w:spacing w:val="-9"/>
        </w:rPr>
        <w:t xml:space="preserve"> </w:t>
      </w:r>
      <w:r w:rsidR="00A60C14">
        <w:t>maksātājas.</w:t>
      </w:r>
    </w:p>
    <w:p w14:paraId="117AAEAA" w14:textId="77777777" w:rsidR="00A60C14" w:rsidRDefault="00A60C14" w:rsidP="00CD363C">
      <w:pPr>
        <w:spacing w:after="0" w:line="240" w:lineRule="auto"/>
        <w:ind w:left="338" w:right="425"/>
        <w:jc w:val="both"/>
        <w:rPr>
          <w:i/>
        </w:rPr>
      </w:pPr>
      <w:r>
        <w:t xml:space="preserve">Budžeta iestādes B ieņēmumi, neņemot vērā atlaidi, būtu </w:t>
      </w:r>
      <w:r>
        <w:rPr>
          <w:i/>
        </w:rPr>
        <w:t xml:space="preserve">15 000,00 EUR (5000 gab.*3,00 EUR/gab.). </w:t>
      </w:r>
      <w:r>
        <w:t xml:space="preserve">Atlaides aprēķins: </w:t>
      </w:r>
      <w:r>
        <w:rPr>
          <w:i/>
        </w:rPr>
        <w:t xml:space="preserve">1 500,00 EUR (5000 gab.*(3,00 EUR*10%)). </w:t>
      </w:r>
      <w:r>
        <w:t xml:space="preserve">Ņemot vērā to, ka ieņēmumi jāatzīst saņemtās atlīdzības vai prasības patiesajā vērtībā, atskaitot budžeta iestādes piešķirtās atlaides un atvieglojumus, budžeta iestāde atzīst ieņēmumus </w:t>
      </w:r>
      <w:r>
        <w:rPr>
          <w:i/>
        </w:rPr>
        <w:t>13 500,00 EUR apmērā (15 000,00 EUR – 1 500,00 EUR).</w:t>
      </w:r>
    </w:p>
    <w:p w14:paraId="2A8B7837" w14:textId="77777777" w:rsidR="00A60C14" w:rsidRDefault="00A60C14" w:rsidP="00CD363C">
      <w:pPr>
        <w:pStyle w:val="Pamatteksts"/>
        <w:ind w:left="338" w:right="425"/>
        <w:jc w:val="both"/>
      </w:pPr>
      <w:r>
        <w:t>Budžeta iestāde nodrošina piešķirto atlaižu analītisku uzskaiti. Atsavināšanai paredzēto krājumu vērtība – 10 000,00 EUR.</w:t>
      </w:r>
    </w:p>
    <w:p w14:paraId="438FA242" w14:textId="77777777" w:rsidR="00A60C14" w:rsidRDefault="00A60C14" w:rsidP="00CD363C">
      <w:pPr>
        <w:pStyle w:val="Pamatteksts"/>
        <w:ind w:left="338" w:right="425"/>
        <w:jc w:val="both"/>
      </w:pPr>
      <w:r>
        <w:t>Budžeta iestāde B uzskaita darījumu, veicot sekojošus grāmatojumus:</w:t>
      </w:r>
    </w:p>
    <w:p w14:paraId="7850945E" w14:textId="77777777" w:rsidR="00A60C14" w:rsidRDefault="00A60C14" w:rsidP="00CD363C">
      <w:pPr>
        <w:pStyle w:val="Pamatteksts"/>
        <w:ind w:right="425"/>
        <w:jc w:val="both"/>
        <w:rPr>
          <w:sz w:val="20"/>
        </w:rPr>
      </w:pPr>
    </w:p>
    <w:p w14:paraId="4658C48C" w14:textId="77777777" w:rsidR="00A60C14" w:rsidRDefault="00A60C14" w:rsidP="00CD363C">
      <w:pPr>
        <w:spacing w:after="0" w:line="240" w:lineRule="auto"/>
        <w:ind w:left="338" w:right="425"/>
        <w:jc w:val="both"/>
        <w:rPr>
          <w:i/>
        </w:rPr>
      </w:pPr>
      <w:r>
        <w:rPr>
          <w:i/>
        </w:rPr>
        <w:t>Grāmatojums, atzīstot prasību:</w:t>
      </w:r>
    </w:p>
    <w:p w14:paraId="56790600" w14:textId="77777777" w:rsidR="00A60C14" w:rsidRDefault="00A60C14" w:rsidP="00CD363C">
      <w:pPr>
        <w:pStyle w:val="Pamatteksts"/>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4349"/>
        <w:gridCol w:w="1703"/>
      </w:tblGrid>
      <w:tr w:rsidR="00A60C14" w14:paraId="6A5B77FA" w14:textId="77777777" w:rsidTr="00976CEC">
        <w:trPr>
          <w:trHeight w:val="289"/>
        </w:trPr>
        <w:tc>
          <w:tcPr>
            <w:tcW w:w="659" w:type="dxa"/>
          </w:tcPr>
          <w:p w14:paraId="7BE8115A" w14:textId="77777777" w:rsidR="00A60C14" w:rsidRDefault="00A60C14" w:rsidP="00CD363C">
            <w:pPr>
              <w:pStyle w:val="TableParagraph"/>
              <w:ind w:left="200" w:right="425"/>
              <w:jc w:val="both"/>
              <w:rPr>
                <w:i/>
              </w:rPr>
            </w:pPr>
            <w:r>
              <w:rPr>
                <w:i/>
              </w:rPr>
              <w:t>D</w:t>
            </w:r>
          </w:p>
        </w:tc>
        <w:tc>
          <w:tcPr>
            <w:tcW w:w="1436" w:type="dxa"/>
          </w:tcPr>
          <w:p w14:paraId="10EEA45B" w14:textId="77777777" w:rsidR="00A60C14" w:rsidRDefault="00A60C14" w:rsidP="00CD363C">
            <w:pPr>
              <w:pStyle w:val="TableParagraph"/>
              <w:ind w:left="299" w:right="425"/>
              <w:jc w:val="both"/>
              <w:rPr>
                <w:i/>
              </w:rPr>
            </w:pPr>
            <w:r>
              <w:rPr>
                <w:i/>
              </w:rPr>
              <w:t>2310</w:t>
            </w:r>
          </w:p>
        </w:tc>
        <w:tc>
          <w:tcPr>
            <w:tcW w:w="4349" w:type="dxa"/>
          </w:tcPr>
          <w:p w14:paraId="2E23F7DF" w14:textId="77777777" w:rsidR="00A60C14" w:rsidRDefault="00A60C14" w:rsidP="00CD363C">
            <w:pPr>
              <w:pStyle w:val="TableParagraph"/>
              <w:ind w:left="695" w:right="425"/>
              <w:jc w:val="both"/>
              <w:rPr>
                <w:i/>
              </w:rPr>
            </w:pPr>
            <w:r>
              <w:rPr>
                <w:i/>
              </w:rPr>
              <w:t>Prasības pret pircējiem un pasūtītājiem</w:t>
            </w:r>
          </w:p>
        </w:tc>
        <w:tc>
          <w:tcPr>
            <w:tcW w:w="1703" w:type="dxa"/>
          </w:tcPr>
          <w:p w14:paraId="34E9046C" w14:textId="77777777" w:rsidR="00A60C14" w:rsidRDefault="00A60C14" w:rsidP="00CD363C">
            <w:pPr>
              <w:pStyle w:val="TableParagraph"/>
              <w:ind w:left="118" w:right="425"/>
              <w:jc w:val="both"/>
              <w:rPr>
                <w:i/>
              </w:rPr>
            </w:pPr>
            <w:r>
              <w:rPr>
                <w:i/>
              </w:rPr>
              <w:t>15 000,00 EUR</w:t>
            </w:r>
          </w:p>
        </w:tc>
      </w:tr>
      <w:tr w:rsidR="00A60C14" w14:paraId="1EA8EE09" w14:textId="77777777" w:rsidTr="00976CEC">
        <w:trPr>
          <w:trHeight w:val="585"/>
        </w:trPr>
        <w:tc>
          <w:tcPr>
            <w:tcW w:w="659" w:type="dxa"/>
          </w:tcPr>
          <w:p w14:paraId="52169C5E" w14:textId="77777777" w:rsidR="00A60C14" w:rsidRDefault="00A60C14" w:rsidP="00CD363C">
            <w:pPr>
              <w:pStyle w:val="TableParagraph"/>
              <w:ind w:left="200" w:right="425"/>
              <w:jc w:val="both"/>
              <w:rPr>
                <w:i/>
              </w:rPr>
            </w:pPr>
            <w:r>
              <w:rPr>
                <w:i/>
              </w:rPr>
              <w:t>K</w:t>
            </w:r>
          </w:p>
        </w:tc>
        <w:tc>
          <w:tcPr>
            <w:tcW w:w="1436" w:type="dxa"/>
          </w:tcPr>
          <w:p w14:paraId="4879A73A" w14:textId="77777777" w:rsidR="00A60C14" w:rsidRDefault="00A60C14" w:rsidP="00CD363C">
            <w:pPr>
              <w:pStyle w:val="TableParagraph"/>
              <w:ind w:left="299" w:right="425"/>
              <w:jc w:val="both"/>
              <w:rPr>
                <w:i/>
              </w:rPr>
            </w:pPr>
            <w:r>
              <w:rPr>
                <w:i/>
              </w:rPr>
              <w:t>8510</w:t>
            </w:r>
          </w:p>
        </w:tc>
        <w:tc>
          <w:tcPr>
            <w:tcW w:w="4349" w:type="dxa"/>
          </w:tcPr>
          <w:p w14:paraId="7E11372E" w14:textId="77777777" w:rsidR="00A60C14" w:rsidRDefault="00A60C14" w:rsidP="00CD363C">
            <w:pPr>
              <w:pStyle w:val="TableParagraph"/>
              <w:ind w:left="695" w:right="425"/>
              <w:jc w:val="both"/>
              <w:rPr>
                <w:i/>
              </w:rPr>
            </w:pPr>
            <w:r>
              <w:rPr>
                <w:i/>
              </w:rPr>
              <w:t>Ieņēmumi no atsavināšanai paredzēto nefinanšu aktīvu pārdošanas</w:t>
            </w:r>
          </w:p>
        </w:tc>
        <w:tc>
          <w:tcPr>
            <w:tcW w:w="1703" w:type="dxa"/>
          </w:tcPr>
          <w:p w14:paraId="757EDB1D" w14:textId="77777777" w:rsidR="00A60C14" w:rsidRDefault="00A60C14" w:rsidP="00CD363C">
            <w:pPr>
              <w:pStyle w:val="TableParagraph"/>
              <w:ind w:left="118" w:right="425"/>
              <w:jc w:val="both"/>
              <w:rPr>
                <w:i/>
              </w:rPr>
            </w:pPr>
            <w:r>
              <w:rPr>
                <w:i/>
              </w:rPr>
              <w:t>15 000,00 EUR</w:t>
            </w:r>
          </w:p>
        </w:tc>
      </w:tr>
      <w:tr w:rsidR="00A60C14" w14:paraId="118E167E" w14:textId="77777777" w:rsidTr="00976CEC">
        <w:trPr>
          <w:trHeight w:val="364"/>
        </w:trPr>
        <w:tc>
          <w:tcPr>
            <w:tcW w:w="659" w:type="dxa"/>
          </w:tcPr>
          <w:p w14:paraId="51C0848B" w14:textId="77777777" w:rsidR="00A60C14" w:rsidRDefault="00A60C14" w:rsidP="00CD363C">
            <w:pPr>
              <w:pStyle w:val="TableParagraph"/>
              <w:ind w:right="425"/>
              <w:jc w:val="both"/>
            </w:pPr>
          </w:p>
        </w:tc>
        <w:tc>
          <w:tcPr>
            <w:tcW w:w="1436" w:type="dxa"/>
          </w:tcPr>
          <w:p w14:paraId="61A9A7F4" w14:textId="77777777" w:rsidR="00A60C14" w:rsidRDefault="00A60C14" w:rsidP="00CD363C">
            <w:pPr>
              <w:pStyle w:val="TableParagraph"/>
              <w:ind w:left="260" w:right="425"/>
              <w:jc w:val="both"/>
              <w:rPr>
                <w:i/>
              </w:rPr>
            </w:pPr>
            <w:r>
              <w:rPr>
                <w:i/>
              </w:rPr>
              <w:t>vai</w:t>
            </w:r>
          </w:p>
        </w:tc>
        <w:tc>
          <w:tcPr>
            <w:tcW w:w="4349" w:type="dxa"/>
          </w:tcPr>
          <w:p w14:paraId="449D2537" w14:textId="77777777" w:rsidR="00A60C14" w:rsidRDefault="00A60C14" w:rsidP="00CD363C">
            <w:pPr>
              <w:pStyle w:val="TableParagraph"/>
              <w:ind w:right="425"/>
              <w:jc w:val="both"/>
            </w:pPr>
          </w:p>
        </w:tc>
        <w:tc>
          <w:tcPr>
            <w:tcW w:w="1703" w:type="dxa"/>
          </w:tcPr>
          <w:p w14:paraId="5BA98632" w14:textId="77777777" w:rsidR="00A60C14" w:rsidRDefault="00A60C14" w:rsidP="00CD363C">
            <w:pPr>
              <w:pStyle w:val="TableParagraph"/>
              <w:ind w:right="425"/>
              <w:jc w:val="both"/>
            </w:pPr>
          </w:p>
        </w:tc>
      </w:tr>
      <w:tr w:rsidR="00A60C14" w14:paraId="77CFBF6B" w14:textId="77777777" w:rsidTr="00976CEC">
        <w:trPr>
          <w:trHeight w:val="320"/>
        </w:trPr>
        <w:tc>
          <w:tcPr>
            <w:tcW w:w="659" w:type="dxa"/>
          </w:tcPr>
          <w:p w14:paraId="13018996" w14:textId="77777777" w:rsidR="00A60C14" w:rsidRDefault="00A60C14" w:rsidP="00CD363C">
            <w:pPr>
              <w:pStyle w:val="TableParagraph"/>
              <w:ind w:left="200" w:right="425"/>
              <w:jc w:val="both"/>
              <w:rPr>
                <w:i/>
              </w:rPr>
            </w:pPr>
            <w:r>
              <w:rPr>
                <w:i/>
              </w:rPr>
              <w:t>K</w:t>
            </w:r>
          </w:p>
        </w:tc>
        <w:tc>
          <w:tcPr>
            <w:tcW w:w="1436" w:type="dxa"/>
          </w:tcPr>
          <w:p w14:paraId="3D08009B" w14:textId="77777777" w:rsidR="00A60C14" w:rsidRDefault="00A60C14" w:rsidP="00CD363C">
            <w:pPr>
              <w:pStyle w:val="TableParagraph"/>
              <w:ind w:left="299" w:right="425"/>
              <w:jc w:val="both"/>
              <w:rPr>
                <w:i/>
              </w:rPr>
            </w:pPr>
            <w:r>
              <w:rPr>
                <w:i/>
              </w:rPr>
              <w:t>6000</w:t>
            </w:r>
          </w:p>
        </w:tc>
        <w:tc>
          <w:tcPr>
            <w:tcW w:w="4349" w:type="dxa"/>
          </w:tcPr>
          <w:p w14:paraId="770C0E3A" w14:textId="77777777" w:rsidR="00A60C14" w:rsidRDefault="00A60C14" w:rsidP="00CD363C">
            <w:pPr>
              <w:pStyle w:val="TableParagraph"/>
              <w:ind w:left="695" w:right="425"/>
              <w:jc w:val="both"/>
              <w:rPr>
                <w:i/>
              </w:rPr>
            </w:pPr>
            <w:r>
              <w:rPr>
                <w:i/>
              </w:rPr>
              <w:t>Pamatdarbības ieņēmumi</w:t>
            </w:r>
          </w:p>
        </w:tc>
        <w:tc>
          <w:tcPr>
            <w:tcW w:w="1703" w:type="dxa"/>
          </w:tcPr>
          <w:p w14:paraId="248AB1B2" w14:textId="77777777" w:rsidR="00A60C14" w:rsidRDefault="00A60C14" w:rsidP="00CD363C">
            <w:pPr>
              <w:pStyle w:val="TableParagraph"/>
              <w:ind w:left="118" w:right="425"/>
              <w:jc w:val="both"/>
              <w:rPr>
                <w:i/>
              </w:rPr>
            </w:pPr>
            <w:r>
              <w:rPr>
                <w:i/>
              </w:rPr>
              <w:t>15 000,00 EUR</w:t>
            </w:r>
          </w:p>
        </w:tc>
      </w:tr>
    </w:tbl>
    <w:p w14:paraId="77EF7031" w14:textId="77777777" w:rsidR="00A60C14" w:rsidRDefault="00A60C14" w:rsidP="00CD363C">
      <w:pPr>
        <w:spacing w:after="0" w:line="240" w:lineRule="auto"/>
        <w:ind w:left="338" w:right="425"/>
        <w:jc w:val="both"/>
        <w:rPr>
          <w:i/>
        </w:rPr>
      </w:pPr>
      <w:r>
        <w:rPr>
          <w:i/>
        </w:rPr>
        <w:t>Grāmatojums, atzīstot prasības samazinājumu par piešķirto atlaidi:</w:t>
      </w:r>
    </w:p>
    <w:p w14:paraId="37AFFF9D" w14:textId="77777777" w:rsidR="00A60C14" w:rsidRDefault="00A60C14" w:rsidP="00CD363C">
      <w:pPr>
        <w:pStyle w:val="Pamatteksts"/>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91"/>
        <w:gridCol w:w="4576"/>
        <w:gridCol w:w="1592"/>
      </w:tblGrid>
      <w:tr w:rsidR="00A60C14" w14:paraId="19527F90" w14:textId="77777777" w:rsidTr="00976CEC">
        <w:trPr>
          <w:trHeight w:val="289"/>
        </w:trPr>
        <w:tc>
          <w:tcPr>
            <w:tcW w:w="659" w:type="dxa"/>
          </w:tcPr>
          <w:p w14:paraId="75EDEE97" w14:textId="77777777" w:rsidR="00A60C14" w:rsidRDefault="00A60C14" w:rsidP="00CD363C">
            <w:pPr>
              <w:pStyle w:val="TableParagraph"/>
              <w:ind w:left="200" w:right="425"/>
              <w:jc w:val="both"/>
              <w:rPr>
                <w:i/>
              </w:rPr>
            </w:pPr>
            <w:r>
              <w:rPr>
                <w:i/>
              </w:rPr>
              <w:t>D</w:t>
            </w:r>
          </w:p>
        </w:tc>
        <w:tc>
          <w:tcPr>
            <w:tcW w:w="1491" w:type="dxa"/>
          </w:tcPr>
          <w:p w14:paraId="43E71EC7" w14:textId="77777777" w:rsidR="00A60C14" w:rsidRDefault="00A60C14" w:rsidP="00CD363C">
            <w:pPr>
              <w:pStyle w:val="TableParagraph"/>
              <w:ind w:left="299" w:right="425"/>
              <w:jc w:val="both"/>
              <w:rPr>
                <w:i/>
              </w:rPr>
            </w:pPr>
            <w:r>
              <w:rPr>
                <w:i/>
              </w:rPr>
              <w:t>6000*</w:t>
            </w:r>
          </w:p>
        </w:tc>
        <w:tc>
          <w:tcPr>
            <w:tcW w:w="4576" w:type="dxa"/>
          </w:tcPr>
          <w:p w14:paraId="14947EF4" w14:textId="77777777" w:rsidR="00A60C14" w:rsidRDefault="00A60C14" w:rsidP="00CD363C">
            <w:pPr>
              <w:pStyle w:val="TableParagraph"/>
              <w:ind w:left="640" w:right="425"/>
              <w:jc w:val="both"/>
              <w:rPr>
                <w:i/>
              </w:rPr>
            </w:pPr>
            <w:r>
              <w:rPr>
                <w:i/>
              </w:rPr>
              <w:t>Pamatdarbības ieņēmumi</w:t>
            </w:r>
          </w:p>
        </w:tc>
        <w:tc>
          <w:tcPr>
            <w:tcW w:w="1592" w:type="dxa"/>
          </w:tcPr>
          <w:p w14:paraId="1FD71522" w14:textId="77777777" w:rsidR="00A60C14" w:rsidRDefault="00A60C14" w:rsidP="00CD363C">
            <w:pPr>
              <w:pStyle w:val="TableParagraph"/>
              <w:ind w:left="137" w:right="425"/>
              <w:jc w:val="both"/>
              <w:rPr>
                <w:i/>
              </w:rPr>
            </w:pPr>
            <w:r>
              <w:rPr>
                <w:i/>
              </w:rPr>
              <w:t>1 500,00 EUR</w:t>
            </w:r>
          </w:p>
        </w:tc>
      </w:tr>
      <w:tr w:rsidR="00A60C14" w14:paraId="568BBBE1" w14:textId="77777777" w:rsidTr="00976CEC">
        <w:trPr>
          <w:trHeight w:val="333"/>
        </w:trPr>
        <w:tc>
          <w:tcPr>
            <w:tcW w:w="659" w:type="dxa"/>
          </w:tcPr>
          <w:p w14:paraId="0CF4725C" w14:textId="77777777" w:rsidR="00A60C14" w:rsidRDefault="00A60C14" w:rsidP="00CD363C">
            <w:pPr>
              <w:pStyle w:val="TableParagraph"/>
              <w:ind w:right="425"/>
              <w:jc w:val="both"/>
            </w:pPr>
          </w:p>
        </w:tc>
        <w:tc>
          <w:tcPr>
            <w:tcW w:w="1491" w:type="dxa"/>
          </w:tcPr>
          <w:p w14:paraId="18D3EBFF" w14:textId="77777777" w:rsidR="00A60C14" w:rsidRDefault="00A60C14" w:rsidP="00CD363C">
            <w:pPr>
              <w:pStyle w:val="TableParagraph"/>
              <w:ind w:left="260" w:right="425"/>
              <w:jc w:val="both"/>
              <w:rPr>
                <w:i/>
              </w:rPr>
            </w:pPr>
            <w:r>
              <w:rPr>
                <w:i/>
              </w:rPr>
              <w:t>vai</w:t>
            </w:r>
          </w:p>
        </w:tc>
        <w:tc>
          <w:tcPr>
            <w:tcW w:w="4576" w:type="dxa"/>
          </w:tcPr>
          <w:p w14:paraId="15114E6F" w14:textId="77777777" w:rsidR="00A60C14" w:rsidRDefault="00A60C14" w:rsidP="00CD363C">
            <w:pPr>
              <w:pStyle w:val="TableParagraph"/>
              <w:ind w:right="425"/>
              <w:jc w:val="both"/>
            </w:pPr>
          </w:p>
        </w:tc>
        <w:tc>
          <w:tcPr>
            <w:tcW w:w="1592" w:type="dxa"/>
          </w:tcPr>
          <w:p w14:paraId="53FAC606" w14:textId="77777777" w:rsidR="00A60C14" w:rsidRDefault="00A60C14" w:rsidP="00CD363C">
            <w:pPr>
              <w:pStyle w:val="TableParagraph"/>
              <w:ind w:right="425"/>
              <w:jc w:val="both"/>
            </w:pPr>
          </w:p>
        </w:tc>
      </w:tr>
      <w:tr w:rsidR="00A60C14" w14:paraId="6EC41553" w14:textId="77777777" w:rsidTr="00976CEC">
        <w:trPr>
          <w:trHeight w:val="585"/>
        </w:trPr>
        <w:tc>
          <w:tcPr>
            <w:tcW w:w="659" w:type="dxa"/>
          </w:tcPr>
          <w:p w14:paraId="49B38F90" w14:textId="77777777" w:rsidR="00A60C14" w:rsidRDefault="00A60C14" w:rsidP="00CD363C">
            <w:pPr>
              <w:pStyle w:val="TableParagraph"/>
              <w:ind w:left="200" w:right="425"/>
              <w:jc w:val="both"/>
              <w:rPr>
                <w:i/>
              </w:rPr>
            </w:pPr>
            <w:r>
              <w:rPr>
                <w:i/>
              </w:rPr>
              <w:t>D</w:t>
            </w:r>
          </w:p>
        </w:tc>
        <w:tc>
          <w:tcPr>
            <w:tcW w:w="1491" w:type="dxa"/>
          </w:tcPr>
          <w:p w14:paraId="08976593" w14:textId="77777777" w:rsidR="00A60C14" w:rsidRDefault="00A60C14" w:rsidP="00CD363C">
            <w:pPr>
              <w:pStyle w:val="TableParagraph"/>
              <w:ind w:left="299" w:right="425"/>
              <w:jc w:val="both"/>
              <w:rPr>
                <w:i/>
              </w:rPr>
            </w:pPr>
            <w:r>
              <w:rPr>
                <w:i/>
              </w:rPr>
              <w:t>8510*</w:t>
            </w:r>
          </w:p>
        </w:tc>
        <w:tc>
          <w:tcPr>
            <w:tcW w:w="4576" w:type="dxa"/>
          </w:tcPr>
          <w:p w14:paraId="33207F36" w14:textId="77777777" w:rsidR="00A60C14" w:rsidRDefault="00A60C14" w:rsidP="00CD363C">
            <w:pPr>
              <w:pStyle w:val="TableParagraph"/>
              <w:tabs>
                <w:tab w:val="left" w:pos="1716"/>
                <w:tab w:val="left" w:pos="2143"/>
                <w:tab w:val="left" w:pos="3571"/>
              </w:tabs>
              <w:ind w:left="640" w:right="425"/>
              <w:jc w:val="both"/>
              <w:rPr>
                <w:i/>
              </w:rPr>
            </w:pPr>
            <w:r>
              <w:rPr>
                <w:i/>
              </w:rPr>
              <w:t>Ieņēmumi</w:t>
            </w:r>
            <w:r>
              <w:rPr>
                <w:i/>
              </w:rPr>
              <w:tab/>
              <w:t>no</w:t>
            </w:r>
            <w:r>
              <w:rPr>
                <w:i/>
              </w:rPr>
              <w:tab/>
              <w:t>atsavināšanai</w:t>
            </w:r>
            <w:r>
              <w:rPr>
                <w:i/>
              </w:rPr>
              <w:tab/>
            </w:r>
            <w:r>
              <w:rPr>
                <w:i/>
                <w:spacing w:val="-1"/>
              </w:rPr>
              <w:t xml:space="preserve">paredzēto </w:t>
            </w:r>
            <w:r>
              <w:rPr>
                <w:i/>
              </w:rPr>
              <w:t>nefinanšu aktīvu</w:t>
            </w:r>
            <w:r>
              <w:rPr>
                <w:i/>
                <w:spacing w:val="-1"/>
              </w:rPr>
              <w:t xml:space="preserve"> </w:t>
            </w:r>
            <w:r>
              <w:rPr>
                <w:i/>
              </w:rPr>
              <w:t>pārdošanas</w:t>
            </w:r>
          </w:p>
        </w:tc>
        <w:tc>
          <w:tcPr>
            <w:tcW w:w="1592" w:type="dxa"/>
          </w:tcPr>
          <w:p w14:paraId="00BD070C" w14:textId="77777777" w:rsidR="00A60C14" w:rsidRDefault="00A60C14" w:rsidP="00CD363C">
            <w:pPr>
              <w:pStyle w:val="TableParagraph"/>
              <w:ind w:left="137" w:right="425"/>
              <w:jc w:val="both"/>
              <w:rPr>
                <w:i/>
              </w:rPr>
            </w:pPr>
            <w:r>
              <w:rPr>
                <w:i/>
              </w:rPr>
              <w:t>1 500,00 EUR</w:t>
            </w:r>
          </w:p>
        </w:tc>
      </w:tr>
      <w:tr w:rsidR="00A60C14" w14:paraId="165E654B" w14:textId="77777777" w:rsidTr="00976CEC">
        <w:trPr>
          <w:trHeight w:val="289"/>
        </w:trPr>
        <w:tc>
          <w:tcPr>
            <w:tcW w:w="659" w:type="dxa"/>
          </w:tcPr>
          <w:p w14:paraId="7372F34F" w14:textId="77777777" w:rsidR="00A60C14" w:rsidRDefault="00A60C14" w:rsidP="00CD363C">
            <w:pPr>
              <w:pStyle w:val="TableParagraph"/>
              <w:ind w:left="200" w:right="425"/>
              <w:jc w:val="both"/>
              <w:rPr>
                <w:i/>
              </w:rPr>
            </w:pPr>
            <w:r>
              <w:rPr>
                <w:i/>
              </w:rPr>
              <w:t>K</w:t>
            </w:r>
          </w:p>
        </w:tc>
        <w:tc>
          <w:tcPr>
            <w:tcW w:w="1491" w:type="dxa"/>
          </w:tcPr>
          <w:p w14:paraId="1BED0122" w14:textId="77777777" w:rsidR="00A60C14" w:rsidRDefault="00A60C14" w:rsidP="00CD363C">
            <w:pPr>
              <w:pStyle w:val="TableParagraph"/>
              <w:ind w:left="299" w:right="425"/>
              <w:jc w:val="both"/>
              <w:rPr>
                <w:i/>
              </w:rPr>
            </w:pPr>
            <w:r>
              <w:rPr>
                <w:i/>
              </w:rPr>
              <w:t>2310</w:t>
            </w:r>
          </w:p>
        </w:tc>
        <w:tc>
          <w:tcPr>
            <w:tcW w:w="4576" w:type="dxa"/>
          </w:tcPr>
          <w:p w14:paraId="6E512A53" w14:textId="77777777" w:rsidR="00A60C14" w:rsidRDefault="00A60C14" w:rsidP="00CD363C">
            <w:pPr>
              <w:pStyle w:val="TableParagraph"/>
              <w:ind w:left="640" w:right="425"/>
              <w:jc w:val="both"/>
              <w:rPr>
                <w:i/>
              </w:rPr>
            </w:pPr>
            <w:r>
              <w:rPr>
                <w:i/>
              </w:rPr>
              <w:t>Prasības pret pircējiem un pasūtītājiem</w:t>
            </w:r>
          </w:p>
        </w:tc>
        <w:tc>
          <w:tcPr>
            <w:tcW w:w="1592" w:type="dxa"/>
          </w:tcPr>
          <w:p w14:paraId="3AD19C1A" w14:textId="77777777" w:rsidR="00A60C14" w:rsidRDefault="00A60C14" w:rsidP="00CD363C">
            <w:pPr>
              <w:pStyle w:val="TableParagraph"/>
              <w:ind w:left="137" w:right="425"/>
              <w:jc w:val="both"/>
              <w:rPr>
                <w:i/>
              </w:rPr>
            </w:pPr>
            <w:r>
              <w:rPr>
                <w:i/>
              </w:rPr>
              <w:t>1 500,00 EUR</w:t>
            </w:r>
          </w:p>
        </w:tc>
      </w:tr>
    </w:tbl>
    <w:p w14:paraId="3E60AB8A" w14:textId="77777777" w:rsidR="00A60C14" w:rsidRDefault="00A60C14" w:rsidP="00CD363C">
      <w:pPr>
        <w:spacing w:after="0" w:line="240" w:lineRule="auto"/>
        <w:ind w:left="338" w:right="425"/>
        <w:jc w:val="both"/>
        <w:rPr>
          <w:i/>
          <w:sz w:val="20"/>
        </w:rPr>
      </w:pPr>
      <w:r>
        <w:rPr>
          <w:i/>
          <w:sz w:val="20"/>
        </w:rPr>
        <w:t>*budžeta iestāde izveido analītiskos kontus atlaižu uzskaitei</w:t>
      </w:r>
    </w:p>
    <w:p w14:paraId="1DA196F1" w14:textId="77777777" w:rsidR="00A60C14" w:rsidRDefault="00A60C14" w:rsidP="00CD363C">
      <w:pPr>
        <w:pStyle w:val="Pamatteksts"/>
        <w:ind w:right="425"/>
        <w:jc w:val="both"/>
        <w:rPr>
          <w:i/>
        </w:rPr>
      </w:pPr>
    </w:p>
    <w:p w14:paraId="5B284BCE" w14:textId="77777777" w:rsidR="00A60C14" w:rsidRDefault="00A60C14" w:rsidP="00CD363C">
      <w:pPr>
        <w:pStyle w:val="Pamatteksts"/>
        <w:ind w:right="425"/>
        <w:jc w:val="both"/>
        <w:rPr>
          <w:i/>
          <w:sz w:val="20"/>
        </w:rPr>
      </w:pPr>
    </w:p>
    <w:p w14:paraId="33F0F6C7" w14:textId="77777777" w:rsidR="00A60C14" w:rsidRDefault="00A60C14" w:rsidP="00CD363C">
      <w:pPr>
        <w:spacing w:after="0" w:line="240" w:lineRule="auto"/>
        <w:ind w:left="338" w:right="425"/>
        <w:jc w:val="both"/>
        <w:rPr>
          <w:i/>
        </w:rPr>
      </w:pPr>
      <w:r>
        <w:rPr>
          <w:i/>
        </w:rPr>
        <w:t>Grāmatojums, izslēdzot krājumus atsavināšanai:</w:t>
      </w:r>
    </w:p>
    <w:p w14:paraId="3E37FB12" w14:textId="77777777" w:rsidR="00A60C14" w:rsidRDefault="00A60C14" w:rsidP="00CD363C">
      <w:pPr>
        <w:pStyle w:val="Pamatteksts"/>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4490"/>
        <w:gridCol w:w="1704"/>
      </w:tblGrid>
      <w:tr w:rsidR="00A60C14" w14:paraId="4B7FC649" w14:textId="77777777" w:rsidTr="00976CEC">
        <w:trPr>
          <w:trHeight w:val="289"/>
        </w:trPr>
        <w:tc>
          <w:tcPr>
            <w:tcW w:w="659" w:type="dxa"/>
          </w:tcPr>
          <w:p w14:paraId="04A7C606" w14:textId="77777777" w:rsidR="00A60C14" w:rsidRDefault="00A60C14" w:rsidP="00CD363C">
            <w:pPr>
              <w:pStyle w:val="TableParagraph"/>
              <w:ind w:left="200" w:right="425"/>
              <w:jc w:val="both"/>
              <w:rPr>
                <w:i/>
              </w:rPr>
            </w:pPr>
            <w:r>
              <w:rPr>
                <w:i/>
              </w:rPr>
              <w:t>D</w:t>
            </w:r>
          </w:p>
        </w:tc>
        <w:tc>
          <w:tcPr>
            <w:tcW w:w="1436" w:type="dxa"/>
          </w:tcPr>
          <w:p w14:paraId="3364778C" w14:textId="77777777" w:rsidR="00A60C14" w:rsidRDefault="00A60C14" w:rsidP="00CD363C">
            <w:pPr>
              <w:pStyle w:val="TableParagraph"/>
              <w:ind w:left="299" w:right="425"/>
              <w:jc w:val="both"/>
              <w:rPr>
                <w:i/>
              </w:rPr>
            </w:pPr>
            <w:r>
              <w:rPr>
                <w:i/>
              </w:rPr>
              <w:t>8610</w:t>
            </w:r>
          </w:p>
        </w:tc>
        <w:tc>
          <w:tcPr>
            <w:tcW w:w="4490" w:type="dxa"/>
          </w:tcPr>
          <w:p w14:paraId="304B0582" w14:textId="77777777" w:rsidR="00A60C14" w:rsidRDefault="00A60C14" w:rsidP="00CD363C">
            <w:pPr>
              <w:pStyle w:val="TableParagraph"/>
              <w:ind w:left="695" w:right="425"/>
              <w:jc w:val="both"/>
              <w:rPr>
                <w:i/>
              </w:rPr>
            </w:pPr>
            <w:r>
              <w:rPr>
                <w:i/>
              </w:rPr>
              <w:t>Izdevumi no nefinanšu aktīvu izslēgšanas</w:t>
            </w:r>
          </w:p>
        </w:tc>
        <w:tc>
          <w:tcPr>
            <w:tcW w:w="1704" w:type="dxa"/>
          </w:tcPr>
          <w:p w14:paraId="491F294A" w14:textId="77777777" w:rsidR="00A60C14" w:rsidRDefault="00A60C14" w:rsidP="00CD363C">
            <w:pPr>
              <w:pStyle w:val="TableParagraph"/>
              <w:ind w:left="118" w:right="425"/>
              <w:jc w:val="both"/>
              <w:rPr>
                <w:i/>
              </w:rPr>
            </w:pPr>
            <w:r>
              <w:rPr>
                <w:i/>
              </w:rPr>
              <w:t>10 000,00 EUR</w:t>
            </w:r>
          </w:p>
        </w:tc>
      </w:tr>
      <w:tr w:rsidR="00A60C14" w14:paraId="0C634071" w14:textId="77777777" w:rsidTr="00976CEC">
        <w:trPr>
          <w:trHeight w:val="541"/>
        </w:trPr>
        <w:tc>
          <w:tcPr>
            <w:tcW w:w="659" w:type="dxa"/>
          </w:tcPr>
          <w:p w14:paraId="7FE6C684" w14:textId="77777777" w:rsidR="00A60C14" w:rsidRDefault="00A60C14" w:rsidP="00CD363C">
            <w:pPr>
              <w:pStyle w:val="TableParagraph"/>
              <w:ind w:left="200" w:right="425"/>
              <w:jc w:val="both"/>
              <w:rPr>
                <w:i/>
              </w:rPr>
            </w:pPr>
            <w:r>
              <w:rPr>
                <w:i/>
              </w:rPr>
              <w:t>K</w:t>
            </w:r>
          </w:p>
        </w:tc>
        <w:tc>
          <w:tcPr>
            <w:tcW w:w="1436" w:type="dxa"/>
          </w:tcPr>
          <w:p w14:paraId="535ABAA6" w14:textId="77777777" w:rsidR="00A60C14" w:rsidRDefault="00A60C14" w:rsidP="00CD363C">
            <w:pPr>
              <w:pStyle w:val="TableParagraph"/>
              <w:ind w:left="299" w:right="425"/>
              <w:jc w:val="both"/>
              <w:rPr>
                <w:i/>
              </w:rPr>
            </w:pPr>
            <w:r>
              <w:rPr>
                <w:i/>
              </w:rPr>
              <w:t>2132</w:t>
            </w:r>
          </w:p>
        </w:tc>
        <w:tc>
          <w:tcPr>
            <w:tcW w:w="4490" w:type="dxa"/>
          </w:tcPr>
          <w:p w14:paraId="5AB76684" w14:textId="77777777" w:rsidR="00A60C14" w:rsidRDefault="00A60C14" w:rsidP="00CD363C">
            <w:pPr>
              <w:pStyle w:val="TableParagraph"/>
              <w:tabs>
                <w:tab w:val="left" w:pos="1692"/>
                <w:tab w:val="left" w:pos="2172"/>
                <w:tab w:val="left" w:pos="3350"/>
              </w:tabs>
              <w:ind w:left="695" w:right="425"/>
              <w:jc w:val="both"/>
              <w:rPr>
                <w:i/>
              </w:rPr>
            </w:pPr>
            <w:r>
              <w:rPr>
                <w:i/>
              </w:rPr>
              <w:t>Krājumi</w:t>
            </w:r>
            <w:r>
              <w:rPr>
                <w:i/>
              </w:rPr>
              <w:tab/>
              <w:t>un</w:t>
            </w:r>
            <w:r>
              <w:rPr>
                <w:i/>
              </w:rPr>
              <w:tab/>
              <w:t>ilgtermiņa</w:t>
            </w:r>
            <w:r>
              <w:rPr>
                <w:i/>
              </w:rPr>
              <w:tab/>
            </w:r>
            <w:r>
              <w:rPr>
                <w:i/>
                <w:spacing w:val="-1"/>
              </w:rPr>
              <w:t xml:space="preserve">ieguldījumi </w:t>
            </w:r>
            <w:r>
              <w:rPr>
                <w:i/>
              </w:rPr>
              <w:t>atsavināšanai</w:t>
            </w:r>
          </w:p>
        </w:tc>
        <w:tc>
          <w:tcPr>
            <w:tcW w:w="1704" w:type="dxa"/>
          </w:tcPr>
          <w:p w14:paraId="48E4CB97" w14:textId="77777777" w:rsidR="00A60C14" w:rsidRDefault="00A60C14" w:rsidP="00CD363C">
            <w:pPr>
              <w:pStyle w:val="TableParagraph"/>
              <w:ind w:left="118" w:right="425"/>
              <w:jc w:val="both"/>
              <w:rPr>
                <w:i/>
              </w:rPr>
            </w:pPr>
            <w:r>
              <w:rPr>
                <w:i/>
              </w:rPr>
              <w:t>10 000,00 EUR</w:t>
            </w:r>
          </w:p>
        </w:tc>
      </w:tr>
    </w:tbl>
    <w:p w14:paraId="56ABE7B2" w14:textId="77777777" w:rsidR="00976CEC" w:rsidRPr="00DA2D0D" w:rsidRDefault="00976CEC" w:rsidP="00CD363C">
      <w:pPr>
        <w:spacing w:after="0" w:line="240" w:lineRule="auto"/>
        <w:ind w:right="425"/>
        <w:jc w:val="center"/>
        <w:rPr>
          <w:rFonts w:ascii="Times New Roman" w:hAnsi="Times New Roman" w:cs="Times New Roman"/>
          <w:sz w:val="28"/>
          <w:szCs w:val="28"/>
        </w:rPr>
      </w:pPr>
    </w:p>
    <w:p w14:paraId="1BE47DCB" w14:textId="77777777" w:rsidR="00943ED6" w:rsidRPr="00DA2D0D" w:rsidRDefault="00976CEC" w:rsidP="00CD363C">
      <w:pPr>
        <w:pStyle w:val="Sarakstarindkopa"/>
        <w:numPr>
          <w:ilvl w:val="0"/>
          <w:numId w:val="73"/>
        </w:numPr>
        <w:spacing w:after="0" w:line="240" w:lineRule="auto"/>
        <w:ind w:right="425"/>
        <w:jc w:val="center"/>
        <w:rPr>
          <w:rFonts w:ascii="Times New Roman" w:hAnsi="Times New Roman" w:cs="Times New Roman"/>
          <w:b/>
          <w:bCs/>
          <w:sz w:val="28"/>
          <w:szCs w:val="28"/>
        </w:rPr>
      </w:pPr>
      <w:r w:rsidRPr="00DA2D0D">
        <w:rPr>
          <w:rFonts w:ascii="Times New Roman" w:hAnsi="Times New Roman" w:cs="Times New Roman"/>
          <w:b/>
          <w:bCs/>
          <w:sz w:val="28"/>
          <w:szCs w:val="28"/>
        </w:rPr>
        <w:t>Izdevumu uzskaite</w:t>
      </w:r>
    </w:p>
    <w:p w14:paraId="27BA9E54" w14:textId="77777777" w:rsidR="00976CEC" w:rsidRPr="007F4970" w:rsidRDefault="00976CEC" w:rsidP="00CD363C">
      <w:pPr>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1120.     Izdevumi ir   saimniecisko labumu samazinājums, kas rodas no aktīvu izlietojuma, atsavināšanas, vērtības samazinājuma vai saistību rašanās vai palielinājuma rezultātā un, kas samazina pašu kapitālu.</w:t>
      </w:r>
    </w:p>
    <w:p w14:paraId="3D58BE3A"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1121.    Budžeta iestādes izdevumus atzīst un uzskaita pēc uzkrāšanas principa, izdevumus atzīstot periodā, kad tie radušies, neatkarīgi no naudas līdzekļu</w:t>
      </w:r>
      <w:r w:rsidRPr="007F4970">
        <w:rPr>
          <w:rFonts w:ascii="Times New Roman" w:hAnsi="Times New Roman" w:cs="Times New Roman"/>
          <w:spacing w:val="-3"/>
          <w:sz w:val="24"/>
          <w:szCs w:val="24"/>
        </w:rPr>
        <w:t xml:space="preserve"> </w:t>
      </w:r>
      <w:r w:rsidRPr="007F4970">
        <w:rPr>
          <w:rFonts w:ascii="Times New Roman" w:hAnsi="Times New Roman" w:cs="Times New Roman"/>
          <w:sz w:val="24"/>
          <w:szCs w:val="24"/>
        </w:rPr>
        <w:t>samaksas.</w:t>
      </w:r>
    </w:p>
    <w:p w14:paraId="10869C60"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1122.    Budžeta iestādes izdevumus uzskaita atbilstoši to ekonomiskajām kategorijām saskaņā ar normatīvajos aktos noteikto budžetu izdevumu</w:t>
      </w:r>
      <w:r w:rsidRPr="007F4970">
        <w:rPr>
          <w:rFonts w:ascii="Times New Roman" w:hAnsi="Times New Roman" w:cs="Times New Roman"/>
          <w:spacing w:val="-6"/>
          <w:sz w:val="24"/>
          <w:szCs w:val="24"/>
        </w:rPr>
        <w:t xml:space="preserve"> </w:t>
      </w:r>
      <w:r w:rsidRPr="007F4970">
        <w:rPr>
          <w:rFonts w:ascii="Times New Roman" w:hAnsi="Times New Roman" w:cs="Times New Roman"/>
          <w:sz w:val="24"/>
          <w:szCs w:val="24"/>
        </w:rPr>
        <w:t>klasifikāciju.</w:t>
      </w:r>
    </w:p>
    <w:p w14:paraId="1729D888"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24.1. Pamatdarbības izdevumu uzskaite</w:t>
      </w:r>
    </w:p>
    <w:p w14:paraId="3B64A216"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1123.  Pamatdarbības izdevumu uzskaite paredzēta kontu grupā “7000 Pamatdarbības izdevumi”. Budžeta iestāde grāmatvedības uzskaites kārtībā nosaka analītisku izdevumu uzskaiti, veidojot izdevumu kontus</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atbilstoši</w:t>
      </w:r>
      <w:r w:rsidRPr="007F4970">
        <w:rPr>
          <w:rFonts w:ascii="Times New Roman" w:hAnsi="Times New Roman" w:cs="Times New Roman"/>
          <w:spacing w:val="-14"/>
          <w:sz w:val="24"/>
          <w:szCs w:val="24"/>
        </w:rPr>
        <w:t xml:space="preserve"> </w:t>
      </w:r>
      <w:r w:rsidRPr="007F4970">
        <w:rPr>
          <w:rFonts w:ascii="Times New Roman" w:hAnsi="Times New Roman" w:cs="Times New Roman"/>
          <w:sz w:val="24"/>
          <w:szCs w:val="24"/>
        </w:rPr>
        <w:t>to</w:t>
      </w:r>
      <w:r w:rsidRPr="007F4970">
        <w:rPr>
          <w:rFonts w:ascii="Times New Roman" w:hAnsi="Times New Roman" w:cs="Times New Roman"/>
          <w:spacing w:val="-13"/>
          <w:sz w:val="24"/>
          <w:szCs w:val="24"/>
        </w:rPr>
        <w:t xml:space="preserve"> </w:t>
      </w:r>
      <w:r w:rsidRPr="007F4970">
        <w:rPr>
          <w:rFonts w:ascii="Times New Roman" w:hAnsi="Times New Roman" w:cs="Times New Roman"/>
          <w:sz w:val="24"/>
          <w:szCs w:val="24"/>
        </w:rPr>
        <w:t>ekonomiskai</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būtībai</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un</w:t>
      </w:r>
      <w:r w:rsidRPr="007F4970">
        <w:rPr>
          <w:rFonts w:ascii="Times New Roman" w:hAnsi="Times New Roman" w:cs="Times New Roman"/>
          <w:spacing w:val="-15"/>
          <w:sz w:val="24"/>
          <w:szCs w:val="24"/>
        </w:rPr>
        <w:t xml:space="preserve"> </w:t>
      </w:r>
      <w:r w:rsidRPr="007F4970">
        <w:rPr>
          <w:rFonts w:ascii="Times New Roman" w:hAnsi="Times New Roman" w:cs="Times New Roman"/>
          <w:sz w:val="24"/>
          <w:szCs w:val="24"/>
        </w:rPr>
        <w:t>iestādes</w:t>
      </w:r>
      <w:r w:rsidRPr="007F4970">
        <w:rPr>
          <w:rFonts w:ascii="Times New Roman" w:hAnsi="Times New Roman" w:cs="Times New Roman"/>
          <w:spacing w:val="-14"/>
          <w:sz w:val="24"/>
          <w:szCs w:val="24"/>
        </w:rPr>
        <w:t xml:space="preserve"> </w:t>
      </w:r>
      <w:r w:rsidRPr="007F4970">
        <w:rPr>
          <w:rFonts w:ascii="Times New Roman" w:hAnsi="Times New Roman" w:cs="Times New Roman"/>
          <w:sz w:val="24"/>
          <w:szCs w:val="24"/>
        </w:rPr>
        <w:t>vajadzībām,</w:t>
      </w:r>
      <w:r w:rsidRPr="007F4970">
        <w:rPr>
          <w:rFonts w:ascii="Times New Roman" w:hAnsi="Times New Roman" w:cs="Times New Roman"/>
          <w:spacing w:val="-13"/>
          <w:sz w:val="24"/>
          <w:szCs w:val="24"/>
        </w:rPr>
        <w:t xml:space="preserve"> </w:t>
      </w:r>
      <w:r w:rsidRPr="007F4970">
        <w:rPr>
          <w:rFonts w:ascii="Times New Roman" w:hAnsi="Times New Roman" w:cs="Times New Roman"/>
          <w:sz w:val="24"/>
          <w:szCs w:val="24"/>
        </w:rPr>
        <w:t>piemēram,</w:t>
      </w:r>
      <w:r w:rsidRPr="007F4970">
        <w:rPr>
          <w:rFonts w:ascii="Times New Roman" w:hAnsi="Times New Roman" w:cs="Times New Roman"/>
          <w:spacing w:val="-13"/>
          <w:sz w:val="24"/>
          <w:szCs w:val="24"/>
        </w:rPr>
        <w:t xml:space="preserve"> </w:t>
      </w:r>
      <w:r w:rsidRPr="007F4970">
        <w:rPr>
          <w:rFonts w:ascii="Times New Roman" w:hAnsi="Times New Roman" w:cs="Times New Roman"/>
          <w:sz w:val="24"/>
          <w:szCs w:val="24"/>
        </w:rPr>
        <w:t>attiecībā</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uz</w:t>
      </w:r>
      <w:r w:rsidRPr="007F4970">
        <w:rPr>
          <w:rFonts w:ascii="Times New Roman" w:hAnsi="Times New Roman" w:cs="Times New Roman"/>
          <w:spacing w:val="-15"/>
          <w:sz w:val="24"/>
          <w:szCs w:val="24"/>
        </w:rPr>
        <w:t xml:space="preserve"> </w:t>
      </w:r>
      <w:r w:rsidRPr="007F4970">
        <w:rPr>
          <w:rFonts w:ascii="Times New Roman" w:hAnsi="Times New Roman" w:cs="Times New Roman"/>
          <w:sz w:val="24"/>
          <w:szCs w:val="24"/>
        </w:rPr>
        <w:t>pamatlīdzekļu nolietojumu, darba samaksu u.c.</w:t>
      </w:r>
      <w:r w:rsidRPr="007F4970">
        <w:rPr>
          <w:rFonts w:ascii="Times New Roman" w:hAnsi="Times New Roman" w:cs="Times New Roman"/>
          <w:spacing w:val="-1"/>
          <w:sz w:val="24"/>
          <w:szCs w:val="24"/>
        </w:rPr>
        <w:t xml:space="preserve"> </w:t>
      </w:r>
      <w:r w:rsidRPr="007F4970">
        <w:rPr>
          <w:rFonts w:ascii="Times New Roman" w:hAnsi="Times New Roman" w:cs="Times New Roman"/>
          <w:sz w:val="24"/>
          <w:szCs w:val="24"/>
        </w:rPr>
        <w:t>gadījumiem.</w:t>
      </w:r>
    </w:p>
    <w:p w14:paraId="1EAB072D"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 xml:space="preserve"> 1124.    1.tabulā sniegti tipiskāko pamatdarbības izdevumu</w:t>
      </w:r>
      <w:r w:rsidRPr="007F4970">
        <w:rPr>
          <w:rFonts w:ascii="Times New Roman" w:hAnsi="Times New Roman" w:cs="Times New Roman"/>
          <w:spacing w:val="-4"/>
          <w:sz w:val="24"/>
          <w:szCs w:val="24"/>
        </w:rPr>
        <w:t xml:space="preserve"> </w:t>
      </w:r>
      <w:r w:rsidRPr="007F4970">
        <w:rPr>
          <w:rFonts w:ascii="Times New Roman" w:hAnsi="Times New Roman" w:cs="Times New Roman"/>
          <w:sz w:val="24"/>
          <w:szCs w:val="24"/>
        </w:rPr>
        <w:t>piemēri:</w:t>
      </w:r>
    </w:p>
    <w:p w14:paraId="223F1361" w14:textId="77777777" w:rsidR="00976CEC" w:rsidRPr="007F4970" w:rsidRDefault="00976CEC" w:rsidP="00CD363C">
      <w:pPr>
        <w:pStyle w:val="Sarakstarindkopa"/>
        <w:widowControl w:val="0"/>
        <w:numPr>
          <w:ilvl w:val="2"/>
          <w:numId w:val="81"/>
        </w:numPr>
        <w:tabs>
          <w:tab w:val="left" w:pos="4984"/>
        </w:tabs>
        <w:autoSpaceDE w:val="0"/>
        <w:autoSpaceDN w:val="0"/>
        <w:spacing w:after="0" w:line="240" w:lineRule="auto"/>
        <w:ind w:right="425"/>
        <w:contextualSpacing w:val="0"/>
        <w:jc w:val="both"/>
        <w:rPr>
          <w:rFonts w:ascii="Times New Roman" w:hAnsi="Times New Roman" w:cs="Times New Roman"/>
          <w:i/>
          <w:sz w:val="24"/>
          <w:szCs w:val="24"/>
        </w:rPr>
      </w:pPr>
      <w:r w:rsidRPr="007F4970">
        <w:rPr>
          <w:rFonts w:ascii="Times New Roman" w:hAnsi="Times New Roman" w:cs="Times New Roman"/>
          <w:i/>
          <w:sz w:val="24"/>
          <w:szCs w:val="24"/>
        </w:rPr>
        <w:t>tabula. Tipiskāko pamatdarbības izdevumu uzskaites</w:t>
      </w:r>
      <w:r w:rsidRPr="007F4970">
        <w:rPr>
          <w:rFonts w:ascii="Times New Roman" w:hAnsi="Times New Roman" w:cs="Times New Roman"/>
          <w:i/>
          <w:spacing w:val="-7"/>
          <w:sz w:val="24"/>
          <w:szCs w:val="24"/>
        </w:rPr>
        <w:t xml:space="preserve"> </w:t>
      </w:r>
      <w:r w:rsidRPr="007F4970">
        <w:rPr>
          <w:rFonts w:ascii="Times New Roman" w:hAnsi="Times New Roman" w:cs="Times New Roman"/>
          <w:i/>
          <w:sz w:val="24"/>
          <w:szCs w:val="24"/>
        </w:rPr>
        <w:t>piemēri.</w:t>
      </w:r>
    </w:p>
    <w:p w14:paraId="68D73565" w14:textId="77777777" w:rsidR="00976CEC" w:rsidRPr="007F4970" w:rsidRDefault="00976CEC" w:rsidP="00CD363C">
      <w:pPr>
        <w:pStyle w:val="Pamatteksts"/>
        <w:ind w:right="425"/>
        <w:jc w:val="both"/>
        <w:rPr>
          <w:i/>
          <w:sz w:val="24"/>
          <w:szCs w:val="24"/>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669"/>
        <w:gridCol w:w="4273"/>
        <w:gridCol w:w="2468"/>
      </w:tblGrid>
      <w:tr w:rsidR="00976CEC" w:rsidRPr="007F4970" w14:paraId="666A1757" w14:textId="77777777" w:rsidTr="00976CEC">
        <w:trPr>
          <w:trHeight w:val="719"/>
        </w:trPr>
        <w:tc>
          <w:tcPr>
            <w:tcW w:w="2669" w:type="dxa"/>
            <w:shd w:val="clear" w:color="auto" w:fill="F1F1F1"/>
          </w:tcPr>
          <w:p w14:paraId="232856A2" w14:textId="77777777" w:rsidR="00976CEC" w:rsidRPr="007F4970" w:rsidRDefault="00976CEC" w:rsidP="00CD363C">
            <w:pPr>
              <w:pStyle w:val="TableParagraph"/>
              <w:ind w:left="916" w:right="425" w:hanging="632"/>
              <w:jc w:val="both"/>
              <w:rPr>
                <w:b/>
                <w:sz w:val="24"/>
                <w:szCs w:val="24"/>
              </w:rPr>
            </w:pPr>
            <w:r w:rsidRPr="007F4970">
              <w:rPr>
                <w:b/>
                <w:sz w:val="24"/>
                <w:szCs w:val="24"/>
              </w:rPr>
              <w:t>Tipiskie pamatdarbības izdevumi</w:t>
            </w:r>
          </w:p>
        </w:tc>
        <w:tc>
          <w:tcPr>
            <w:tcW w:w="4273" w:type="dxa"/>
            <w:shd w:val="clear" w:color="auto" w:fill="F1F1F1"/>
          </w:tcPr>
          <w:p w14:paraId="5D9050C1" w14:textId="77777777" w:rsidR="00976CEC" w:rsidRPr="007F4970" w:rsidRDefault="00976CEC" w:rsidP="00CD363C">
            <w:pPr>
              <w:pStyle w:val="TableParagraph"/>
              <w:ind w:right="425"/>
              <w:jc w:val="both"/>
              <w:rPr>
                <w:i/>
                <w:sz w:val="24"/>
                <w:szCs w:val="24"/>
              </w:rPr>
            </w:pPr>
          </w:p>
          <w:p w14:paraId="0476D608" w14:textId="77777777" w:rsidR="00976CEC" w:rsidRPr="007F4970" w:rsidRDefault="00976CEC" w:rsidP="00CD363C">
            <w:pPr>
              <w:pStyle w:val="TableParagraph"/>
              <w:ind w:left="1603" w:right="425"/>
              <w:jc w:val="both"/>
              <w:rPr>
                <w:b/>
                <w:sz w:val="24"/>
                <w:szCs w:val="24"/>
              </w:rPr>
            </w:pPr>
            <w:r w:rsidRPr="007F4970">
              <w:rPr>
                <w:b/>
                <w:sz w:val="24"/>
                <w:szCs w:val="24"/>
              </w:rPr>
              <w:t>Kad atzīst?</w:t>
            </w:r>
          </w:p>
        </w:tc>
        <w:tc>
          <w:tcPr>
            <w:tcW w:w="2468" w:type="dxa"/>
            <w:shd w:val="clear" w:color="auto" w:fill="F1F1F1"/>
          </w:tcPr>
          <w:p w14:paraId="5DFDA32E" w14:textId="77777777" w:rsidR="00976CEC" w:rsidRPr="007F4970" w:rsidRDefault="00976CEC" w:rsidP="00CD363C">
            <w:pPr>
              <w:pStyle w:val="TableParagraph"/>
              <w:ind w:left="732" w:right="425" w:hanging="111"/>
              <w:jc w:val="both"/>
              <w:rPr>
                <w:b/>
                <w:sz w:val="24"/>
                <w:szCs w:val="24"/>
              </w:rPr>
            </w:pPr>
            <w:r w:rsidRPr="007F4970">
              <w:rPr>
                <w:b/>
                <w:w w:val="95"/>
                <w:sz w:val="24"/>
                <w:szCs w:val="24"/>
              </w:rPr>
              <w:t xml:space="preserve">Attaisnojuma </w:t>
            </w:r>
            <w:r w:rsidRPr="007F4970">
              <w:rPr>
                <w:b/>
                <w:sz w:val="24"/>
                <w:szCs w:val="24"/>
              </w:rPr>
              <w:t>dokuments</w:t>
            </w:r>
          </w:p>
        </w:tc>
      </w:tr>
      <w:tr w:rsidR="00976CEC" w:rsidRPr="007F4970" w14:paraId="68124D12" w14:textId="77777777" w:rsidTr="00976CEC">
        <w:trPr>
          <w:trHeight w:val="1293"/>
        </w:trPr>
        <w:tc>
          <w:tcPr>
            <w:tcW w:w="2669" w:type="dxa"/>
          </w:tcPr>
          <w:p w14:paraId="0F0E5992" w14:textId="77777777" w:rsidR="00976CEC" w:rsidRPr="007F4970" w:rsidRDefault="00976CEC" w:rsidP="00CD363C">
            <w:pPr>
              <w:pStyle w:val="TableParagraph"/>
              <w:ind w:right="425"/>
              <w:jc w:val="both"/>
              <w:rPr>
                <w:i/>
                <w:sz w:val="24"/>
                <w:szCs w:val="24"/>
              </w:rPr>
            </w:pPr>
          </w:p>
          <w:p w14:paraId="348EFE45" w14:textId="77777777" w:rsidR="00976CEC" w:rsidRPr="007F4970" w:rsidRDefault="00976CEC" w:rsidP="00CD363C">
            <w:pPr>
              <w:pStyle w:val="TableParagraph"/>
              <w:ind w:left="143" w:right="425"/>
              <w:jc w:val="both"/>
              <w:rPr>
                <w:b/>
                <w:sz w:val="24"/>
                <w:szCs w:val="24"/>
              </w:rPr>
            </w:pPr>
            <w:r w:rsidRPr="007F4970">
              <w:rPr>
                <w:b/>
                <w:sz w:val="24"/>
                <w:szCs w:val="24"/>
              </w:rPr>
              <w:t>Ilgtermiņa ieguldījumu nolietojums</w:t>
            </w:r>
          </w:p>
        </w:tc>
        <w:tc>
          <w:tcPr>
            <w:tcW w:w="4273" w:type="dxa"/>
          </w:tcPr>
          <w:p w14:paraId="6CBD7ACD" w14:textId="77777777" w:rsidR="00976CEC" w:rsidRPr="007F4970" w:rsidRDefault="00976CEC" w:rsidP="00CD363C">
            <w:pPr>
              <w:pStyle w:val="TableParagraph"/>
              <w:ind w:left="144" w:right="425"/>
              <w:jc w:val="both"/>
              <w:rPr>
                <w:sz w:val="24"/>
                <w:szCs w:val="24"/>
              </w:rPr>
            </w:pPr>
            <w:r w:rsidRPr="007F4970">
              <w:rPr>
                <w:sz w:val="24"/>
                <w:szCs w:val="24"/>
              </w:rPr>
              <w:t>Saskaņā ar grāmatvedības uzskaites kārtību (periodiski)</w:t>
            </w:r>
          </w:p>
          <w:p w14:paraId="3C1CED3B" w14:textId="77777777" w:rsidR="00976CEC" w:rsidRPr="007F4970" w:rsidRDefault="00976CEC" w:rsidP="00CD363C">
            <w:pPr>
              <w:pStyle w:val="TableParagraph"/>
              <w:ind w:left="144" w:right="425"/>
              <w:jc w:val="both"/>
              <w:rPr>
                <w:sz w:val="24"/>
                <w:szCs w:val="24"/>
              </w:rPr>
            </w:pPr>
            <w:r w:rsidRPr="007F4970">
              <w:rPr>
                <w:sz w:val="24"/>
                <w:szCs w:val="24"/>
              </w:rPr>
              <w:t>(skat. Rokasgrāmatas sadaļas “Nemateriālo ieguldījumu uzskaite”, “Pamatlīdzekļu uzskaite”, “Ieguldījuma īpašumu uzskaite”)</w:t>
            </w:r>
          </w:p>
        </w:tc>
        <w:tc>
          <w:tcPr>
            <w:tcW w:w="2468" w:type="dxa"/>
          </w:tcPr>
          <w:p w14:paraId="3CC5B37F" w14:textId="77777777" w:rsidR="00976CEC" w:rsidRPr="007F4970" w:rsidRDefault="00976CEC" w:rsidP="00CD363C">
            <w:pPr>
              <w:pStyle w:val="TableParagraph"/>
              <w:ind w:right="425"/>
              <w:jc w:val="both"/>
              <w:rPr>
                <w:i/>
                <w:sz w:val="24"/>
                <w:szCs w:val="24"/>
              </w:rPr>
            </w:pPr>
          </w:p>
          <w:p w14:paraId="0783D86C" w14:textId="77777777" w:rsidR="00976CEC" w:rsidRPr="007F4970" w:rsidRDefault="00976CEC" w:rsidP="00CD363C">
            <w:pPr>
              <w:pStyle w:val="TableParagraph"/>
              <w:ind w:left="144" w:right="425"/>
              <w:jc w:val="both"/>
              <w:rPr>
                <w:sz w:val="24"/>
                <w:szCs w:val="24"/>
              </w:rPr>
            </w:pPr>
            <w:r w:rsidRPr="007F4970">
              <w:rPr>
                <w:w w:val="95"/>
                <w:sz w:val="24"/>
                <w:szCs w:val="24"/>
              </w:rPr>
              <w:t xml:space="preserve">Nolietojuma/amortizācijas </w:t>
            </w:r>
            <w:r w:rsidRPr="007F4970">
              <w:rPr>
                <w:sz w:val="24"/>
                <w:szCs w:val="24"/>
              </w:rPr>
              <w:t>aprēķins</w:t>
            </w:r>
          </w:p>
        </w:tc>
      </w:tr>
      <w:tr w:rsidR="00976CEC" w:rsidRPr="007F4970" w14:paraId="43ABFBB0" w14:textId="77777777" w:rsidTr="00976CEC">
        <w:trPr>
          <w:trHeight w:val="1065"/>
        </w:trPr>
        <w:tc>
          <w:tcPr>
            <w:tcW w:w="2669" w:type="dxa"/>
          </w:tcPr>
          <w:p w14:paraId="2123A154" w14:textId="77777777" w:rsidR="00976CEC" w:rsidRPr="007F4970" w:rsidRDefault="00976CEC" w:rsidP="00CD363C">
            <w:pPr>
              <w:pStyle w:val="TableParagraph"/>
              <w:ind w:right="425"/>
              <w:jc w:val="both"/>
              <w:rPr>
                <w:i/>
                <w:sz w:val="24"/>
                <w:szCs w:val="24"/>
              </w:rPr>
            </w:pPr>
          </w:p>
          <w:p w14:paraId="6EF0DBAB" w14:textId="77777777" w:rsidR="00976CEC" w:rsidRPr="007F4970" w:rsidRDefault="00976CEC" w:rsidP="00CD363C">
            <w:pPr>
              <w:pStyle w:val="TableParagraph"/>
              <w:ind w:left="143" w:right="425"/>
              <w:jc w:val="both"/>
              <w:rPr>
                <w:b/>
                <w:sz w:val="24"/>
                <w:szCs w:val="24"/>
              </w:rPr>
            </w:pPr>
            <w:r w:rsidRPr="007F4970">
              <w:rPr>
                <w:b/>
                <w:sz w:val="24"/>
                <w:szCs w:val="24"/>
              </w:rPr>
              <w:t>Darba samaksas izmaksas</w:t>
            </w:r>
          </w:p>
        </w:tc>
        <w:tc>
          <w:tcPr>
            <w:tcW w:w="4273" w:type="dxa"/>
          </w:tcPr>
          <w:p w14:paraId="29282C41" w14:textId="77777777" w:rsidR="00976CEC" w:rsidRPr="007F4970" w:rsidRDefault="00976CEC" w:rsidP="00CD363C">
            <w:pPr>
              <w:pStyle w:val="TableParagraph"/>
              <w:ind w:left="144" w:right="425"/>
              <w:jc w:val="both"/>
              <w:rPr>
                <w:sz w:val="24"/>
                <w:szCs w:val="24"/>
              </w:rPr>
            </w:pPr>
            <w:r w:rsidRPr="007F4970">
              <w:rPr>
                <w:sz w:val="24"/>
                <w:szCs w:val="24"/>
              </w:rPr>
              <w:t>Aprēķina dienā un attiecina uz periodu, uz kuru izmaksas attiecināmas (par kuru veikts aprēķins) (skat. Rokasgrāmatas sadaļa “Saistību pret darbiniekiem par darba samaksu uzskaite”)</w:t>
            </w:r>
          </w:p>
        </w:tc>
        <w:tc>
          <w:tcPr>
            <w:tcW w:w="2468" w:type="dxa"/>
          </w:tcPr>
          <w:p w14:paraId="05367A48" w14:textId="77777777" w:rsidR="00976CEC" w:rsidRPr="007F4970" w:rsidRDefault="00976CEC" w:rsidP="00CD363C">
            <w:pPr>
              <w:pStyle w:val="TableParagraph"/>
              <w:ind w:right="425"/>
              <w:jc w:val="both"/>
              <w:rPr>
                <w:i/>
                <w:sz w:val="24"/>
                <w:szCs w:val="24"/>
              </w:rPr>
            </w:pPr>
          </w:p>
          <w:p w14:paraId="15FDC645" w14:textId="77777777" w:rsidR="00976CEC" w:rsidRPr="007F4970" w:rsidRDefault="00976CEC" w:rsidP="00CD363C">
            <w:pPr>
              <w:pStyle w:val="TableParagraph"/>
              <w:ind w:left="144" w:right="425"/>
              <w:jc w:val="both"/>
              <w:rPr>
                <w:sz w:val="24"/>
                <w:szCs w:val="24"/>
              </w:rPr>
            </w:pPr>
            <w:r w:rsidRPr="007F4970">
              <w:rPr>
                <w:sz w:val="24"/>
                <w:szCs w:val="24"/>
              </w:rPr>
              <w:t>Darba samaksas aprēķins</w:t>
            </w:r>
          </w:p>
        </w:tc>
      </w:tr>
      <w:tr w:rsidR="00976CEC" w:rsidRPr="007F4970" w14:paraId="56C45F8E" w14:textId="77777777" w:rsidTr="00976CEC">
        <w:trPr>
          <w:trHeight w:val="1132"/>
        </w:trPr>
        <w:tc>
          <w:tcPr>
            <w:tcW w:w="2669" w:type="dxa"/>
          </w:tcPr>
          <w:p w14:paraId="37E378BD" w14:textId="77777777" w:rsidR="00976CEC" w:rsidRPr="007F4970" w:rsidRDefault="00976CEC" w:rsidP="00CD363C">
            <w:pPr>
              <w:pStyle w:val="TableParagraph"/>
              <w:ind w:right="425"/>
              <w:jc w:val="both"/>
              <w:rPr>
                <w:i/>
                <w:sz w:val="24"/>
                <w:szCs w:val="24"/>
              </w:rPr>
            </w:pPr>
          </w:p>
          <w:p w14:paraId="2C9BB06B" w14:textId="77777777" w:rsidR="00976CEC" w:rsidRPr="007F4970" w:rsidRDefault="00976CEC" w:rsidP="00CD363C">
            <w:pPr>
              <w:pStyle w:val="TableParagraph"/>
              <w:ind w:right="425"/>
              <w:jc w:val="both"/>
              <w:rPr>
                <w:i/>
                <w:sz w:val="24"/>
                <w:szCs w:val="24"/>
              </w:rPr>
            </w:pPr>
          </w:p>
          <w:p w14:paraId="6BCBD6D4" w14:textId="77777777" w:rsidR="00976CEC" w:rsidRPr="007F4970" w:rsidRDefault="00976CEC" w:rsidP="00CD363C">
            <w:pPr>
              <w:pStyle w:val="TableParagraph"/>
              <w:ind w:left="143" w:right="425"/>
              <w:jc w:val="both"/>
              <w:rPr>
                <w:b/>
                <w:sz w:val="24"/>
                <w:szCs w:val="24"/>
              </w:rPr>
            </w:pPr>
            <w:r w:rsidRPr="007F4970">
              <w:rPr>
                <w:b/>
                <w:sz w:val="24"/>
                <w:szCs w:val="24"/>
              </w:rPr>
              <w:t>Pakalpojumu izmaksas</w:t>
            </w:r>
          </w:p>
        </w:tc>
        <w:tc>
          <w:tcPr>
            <w:tcW w:w="4273" w:type="dxa"/>
          </w:tcPr>
          <w:p w14:paraId="05FD7AAE" w14:textId="77777777" w:rsidR="00976CEC" w:rsidRPr="007F4970" w:rsidRDefault="00976CEC" w:rsidP="00CD363C">
            <w:pPr>
              <w:pStyle w:val="TableParagraph"/>
              <w:ind w:right="425"/>
              <w:jc w:val="both"/>
              <w:rPr>
                <w:i/>
                <w:sz w:val="24"/>
                <w:szCs w:val="24"/>
              </w:rPr>
            </w:pPr>
          </w:p>
          <w:p w14:paraId="68581BD5" w14:textId="77777777" w:rsidR="00976CEC" w:rsidRPr="007F4970" w:rsidRDefault="00976CEC" w:rsidP="00CD363C">
            <w:pPr>
              <w:pStyle w:val="TableParagraph"/>
              <w:ind w:left="144" w:right="425"/>
              <w:jc w:val="both"/>
              <w:rPr>
                <w:sz w:val="24"/>
                <w:szCs w:val="24"/>
              </w:rPr>
            </w:pPr>
            <w:r w:rsidRPr="007F4970">
              <w:rPr>
                <w:sz w:val="24"/>
                <w:szCs w:val="24"/>
              </w:rPr>
              <w:t>Dienā, kad saņemts pakalpojums vai saskaņā ar līguma nosacījumiem</w:t>
            </w:r>
          </w:p>
        </w:tc>
        <w:tc>
          <w:tcPr>
            <w:tcW w:w="2468" w:type="dxa"/>
          </w:tcPr>
          <w:p w14:paraId="1730A42E" w14:textId="77777777" w:rsidR="00976CEC" w:rsidRPr="007F4970" w:rsidRDefault="00976CEC" w:rsidP="00CD363C">
            <w:pPr>
              <w:pStyle w:val="TableParagraph"/>
              <w:ind w:right="425"/>
              <w:jc w:val="both"/>
              <w:rPr>
                <w:i/>
                <w:sz w:val="24"/>
                <w:szCs w:val="24"/>
              </w:rPr>
            </w:pPr>
          </w:p>
          <w:p w14:paraId="40173E78" w14:textId="77777777" w:rsidR="00976CEC" w:rsidRPr="007F4970" w:rsidRDefault="00976CEC" w:rsidP="00CD363C">
            <w:pPr>
              <w:pStyle w:val="TableParagraph"/>
              <w:ind w:left="144" w:right="425"/>
              <w:jc w:val="both"/>
              <w:rPr>
                <w:sz w:val="24"/>
                <w:szCs w:val="24"/>
              </w:rPr>
            </w:pPr>
            <w:r w:rsidRPr="007F4970">
              <w:rPr>
                <w:sz w:val="24"/>
                <w:szCs w:val="24"/>
              </w:rPr>
              <w:t>Rēķins, pieņemšanas – nodošanas akts u.c.</w:t>
            </w:r>
          </w:p>
        </w:tc>
      </w:tr>
      <w:tr w:rsidR="00976CEC" w:rsidRPr="007F4970" w14:paraId="4CEA6B78" w14:textId="77777777" w:rsidTr="00976CEC">
        <w:trPr>
          <w:trHeight w:val="1293"/>
        </w:trPr>
        <w:tc>
          <w:tcPr>
            <w:tcW w:w="2669" w:type="dxa"/>
          </w:tcPr>
          <w:p w14:paraId="46929BE2" w14:textId="77777777" w:rsidR="00976CEC" w:rsidRPr="007F4970" w:rsidRDefault="00976CEC" w:rsidP="00CD363C">
            <w:pPr>
              <w:pStyle w:val="TableParagraph"/>
              <w:ind w:right="425"/>
              <w:jc w:val="both"/>
              <w:rPr>
                <w:i/>
                <w:sz w:val="24"/>
                <w:szCs w:val="24"/>
              </w:rPr>
            </w:pPr>
          </w:p>
          <w:p w14:paraId="01730A04" w14:textId="77777777" w:rsidR="00976CEC" w:rsidRPr="007F4970" w:rsidRDefault="00976CEC" w:rsidP="00CD363C">
            <w:pPr>
              <w:pStyle w:val="TableParagraph"/>
              <w:ind w:right="425"/>
              <w:jc w:val="both"/>
              <w:rPr>
                <w:i/>
                <w:sz w:val="24"/>
                <w:szCs w:val="24"/>
              </w:rPr>
            </w:pPr>
          </w:p>
          <w:p w14:paraId="3553F7EC" w14:textId="77777777" w:rsidR="00976CEC" w:rsidRPr="007F4970" w:rsidRDefault="00976CEC" w:rsidP="00CD363C">
            <w:pPr>
              <w:pStyle w:val="TableParagraph"/>
              <w:ind w:left="143" w:right="425"/>
              <w:jc w:val="both"/>
              <w:rPr>
                <w:b/>
                <w:sz w:val="24"/>
                <w:szCs w:val="24"/>
              </w:rPr>
            </w:pPr>
            <w:r w:rsidRPr="007F4970">
              <w:rPr>
                <w:b/>
                <w:sz w:val="24"/>
                <w:szCs w:val="24"/>
              </w:rPr>
              <w:t>Transferti</w:t>
            </w:r>
          </w:p>
        </w:tc>
        <w:tc>
          <w:tcPr>
            <w:tcW w:w="4273" w:type="dxa"/>
          </w:tcPr>
          <w:p w14:paraId="715AE29D" w14:textId="77777777" w:rsidR="00976CEC" w:rsidRPr="007F4970" w:rsidRDefault="00976CEC" w:rsidP="00CD363C">
            <w:pPr>
              <w:pStyle w:val="TableParagraph"/>
              <w:ind w:left="144" w:right="425"/>
              <w:jc w:val="both"/>
              <w:rPr>
                <w:sz w:val="24"/>
                <w:szCs w:val="24"/>
              </w:rPr>
            </w:pPr>
            <w:r w:rsidRPr="007F4970">
              <w:rPr>
                <w:sz w:val="24"/>
                <w:szCs w:val="24"/>
              </w:rPr>
              <w:t>Atkarībā no transferta veida</w:t>
            </w:r>
          </w:p>
          <w:p w14:paraId="46B48A1F" w14:textId="77777777" w:rsidR="00976CEC" w:rsidRPr="007F4970" w:rsidRDefault="00976CEC" w:rsidP="00CD363C">
            <w:pPr>
              <w:pStyle w:val="TableParagraph"/>
              <w:ind w:left="144" w:right="425"/>
              <w:jc w:val="both"/>
              <w:rPr>
                <w:sz w:val="24"/>
                <w:szCs w:val="24"/>
              </w:rPr>
            </w:pPr>
            <w:r w:rsidRPr="007F4970">
              <w:rPr>
                <w:sz w:val="24"/>
                <w:szCs w:val="24"/>
              </w:rPr>
              <w:t>(izlietojuma apstiprinājuma saņemšanas dienā) (ieņēmumu uzskaites prasības noteiktas Rokasgrāmatas sadaļā “Ieņēmumu uzskaite darījumos bez atlīdzības”)</w:t>
            </w:r>
          </w:p>
        </w:tc>
        <w:tc>
          <w:tcPr>
            <w:tcW w:w="2468" w:type="dxa"/>
          </w:tcPr>
          <w:p w14:paraId="1723AAD8" w14:textId="77777777" w:rsidR="00976CEC" w:rsidRPr="007F4970" w:rsidRDefault="00976CEC" w:rsidP="00CD363C">
            <w:pPr>
              <w:pStyle w:val="TableParagraph"/>
              <w:ind w:right="425"/>
              <w:jc w:val="both"/>
              <w:rPr>
                <w:i/>
                <w:sz w:val="24"/>
                <w:szCs w:val="24"/>
              </w:rPr>
            </w:pPr>
          </w:p>
          <w:p w14:paraId="4E5DE34E" w14:textId="77777777" w:rsidR="00976CEC" w:rsidRPr="007F4970" w:rsidRDefault="00976CEC" w:rsidP="00CD363C">
            <w:pPr>
              <w:pStyle w:val="TableParagraph"/>
              <w:ind w:right="425"/>
              <w:jc w:val="both"/>
              <w:rPr>
                <w:i/>
                <w:sz w:val="24"/>
                <w:szCs w:val="24"/>
              </w:rPr>
            </w:pPr>
          </w:p>
          <w:p w14:paraId="02E60214" w14:textId="77777777" w:rsidR="00976CEC" w:rsidRPr="007F4970" w:rsidRDefault="00976CEC" w:rsidP="00CD363C">
            <w:pPr>
              <w:pStyle w:val="TableParagraph"/>
              <w:ind w:left="144" w:right="425"/>
              <w:jc w:val="both"/>
              <w:rPr>
                <w:sz w:val="24"/>
                <w:szCs w:val="24"/>
              </w:rPr>
            </w:pPr>
            <w:r w:rsidRPr="007F4970">
              <w:rPr>
                <w:sz w:val="24"/>
                <w:szCs w:val="24"/>
              </w:rPr>
              <w:t>Atskaite u.c.</w:t>
            </w:r>
          </w:p>
        </w:tc>
      </w:tr>
      <w:tr w:rsidR="00976CEC" w:rsidRPr="007F4970" w14:paraId="180408C3" w14:textId="77777777" w:rsidTr="00976CEC">
        <w:trPr>
          <w:trHeight w:val="1418"/>
        </w:trPr>
        <w:tc>
          <w:tcPr>
            <w:tcW w:w="2669" w:type="dxa"/>
          </w:tcPr>
          <w:p w14:paraId="5829A8E5" w14:textId="77777777" w:rsidR="00976CEC" w:rsidRPr="007F4970" w:rsidRDefault="00976CEC" w:rsidP="00CD363C">
            <w:pPr>
              <w:pStyle w:val="TableParagraph"/>
              <w:ind w:right="425"/>
              <w:jc w:val="both"/>
              <w:rPr>
                <w:i/>
                <w:sz w:val="24"/>
                <w:szCs w:val="24"/>
              </w:rPr>
            </w:pPr>
          </w:p>
          <w:p w14:paraId="514142EA" w14:textId="77777777" w:rsidR="00976CEC" w:rsidRPr="007F4970" w:rsidRDefault="00976CEC" w:rsidP="00CD363C">
            <w:pPr>
              <w:pStyle w:val="TableParagraph"/>
              <w:ind w:left="143" w:right="425"/>
              <w:jc w:val="both"/>
              <w:rPr>
                <w:b/>
                <w:sz w:val="24"/>
                <w:szCs w:val="24"/>
              </w:rPr>
            </w:pPr>
            <w:r w:rsidRPr="007F4970">
              <w:rPr>
                <w:b/>
                <w:sz w:val="24"/>
                <w:szCs w:val="24"/>
              </w:rPr>
              <w:t>Finanšu instrumentu darījumu izmaksas (komisijas maksas u.c.)</w:t>
            </w:r>
          </w:p>
        </w:tc>
        <w:tc>
          <w:tcPr>
            <w:tcW w:w="4273" w:type="dxa"/>
          </w:tcPr>
          <w:p w14:paraId="4FB0F029" w14:textId="77777777" w:rsidR="00976CEC" w:rsidRPr="007F4970" w:rsidRDefault="00976CEC" w:rsidP="00CD363C">
            <w:pPr>
              <w:pStyle w:val="TableParagraph"/>
              <w:ind w:right="425"/>
              <w:jc w:val="both"/>
              <w:rPr>
                <w:i/>
                <w:sz w:val="24"/>
                <w:szCs w:val="24"/>
              </w:rPr>
            </w:pPr>
          </w:p>
          <w:p w14:paraId="51FA36FA" w14:textId="77777777" w:rsidR="00976CEC" w:rsidRPr="007F4970" w:rsidRDefault="00976CEC" w:rsidP="00CD363C">
            <w:pPr>
              <w:pStyle w:val="TableParagraph"/>
              <w:ind w:left="144" w:right="425"/>
              <w:jc w:val="both"/>
              <w:rPr>
                <w:sz w:val="24"/>
                <w:szCs w:val="24"/>
              </w:rPr>
            </w:pPr>
            <w:r w:rsidRPr="007F4970">
              <w:rPr>
                <w:sz w:val="24"/>
                <w:szCs w:val="24"/>
              </w:rPr>
              <w:t>Dienā, kad saņemts pakalpojums vai saskaņā ar līguma nosacījumiem</w:t>
            </w:r>
          </w:p>
          <w:p w14:paraId="071BE5BF" w14:textId="77777777" w:rsidR="00976CEC" w:rsidRPr="007F4970" w:rsidRDefault="00976CEC" w:rsidP="00CD363C">
            <w:pPr>
              <w:pStyle w:val="TableParagraph"/>
              <w:ind w:left="144" w:right="425"/>
              <w:jc w:val="both"/>
              <w:rPr>
                <w:sz w:val="24"/>
                <w:szCs w:val="24"/>
              </w:rPr>
            </w:pPr>
            <w:r w:rsidRPr="007F4970">
              <w:rPr>
                <w:sz w:val="24"/>
                <w:szCs w:val="24"/>
              </w:rPr>
              <w:t>(skat. Rokasgrāmatas sadaļa “Finanšu instrumentu uzskaite”)</w:t>
            </w:r>
          </w:p>
        </w:tc>
        <w:tc>
          <w:tcPr>
            <w:tcW w:w="2468" w:type="dxa"/>
          </w:tcPr>
          <w:p w14:paraId="54498A75" w14:textId="77777777" w:rsidR="00976CEC" w:rsidRPr="007F4970" w:rsidRDefault="00976CEC" w:rsidP="00CD363C">
            <w:pPr>
              <w:pStyle w:val="TableParagraph"/>
              <w:ind w:right="425"/>
              <w:jc w:val="both"/>
              <w:rPr>
                <w:i/>
                <w:sz w:val="24"/>
                <w:szCs w:val="24"/>
              </w:rPr>
            </w:pPr>
          </w:p>
          <w:p w14:paraId="24517B94" w14:textId="77777777" w:rsidR="00976CEC" w:rsidRPr="007F4970" w:rsidRDefault="00976CEC" w:rsidP="00CD363C">
            <w:pPr>
              <w:pStyle w:val="TableParagraph"/>
              <w:ind w:right="425"/>
              <w:jc w:val="both"/>
              <w:rPr>
                <w:i/>
                <w:sz w:val="24"/>
                <w:szCs w:val="24"/>
              </w:rPr>
            </w:pPr>
          </w:p>
          <w:p w14:paraId="64FEA4C5" w14:textId="77777777" w:rsidR="00976CEC" w:rsidRPr="007F4970" w:rsidRDefault="00976CEC" w:rsidP="00CD363C">
            <w:pPr>
              <w:pStyle w:val="TableParagraph"/>
              <w:ind w:left="144" w:right="425"/>
              <w:jc w:val="both"/>
              <w:rPr>
                <w:sz w:val="24"/>
                <w:szCs w:val="24"/>
              </w:rPr>
            </w:pPr>
            <w:r w:rsidRPr="007F4970">
              <w:rPr>
                <w:sz w:val="24"/>
                <w:szCs w:val="24"/>
              </w:rPr>
              <w:t>Rēķins, pieņemšanas – nodošanas akts u.c.</w:t>
            </w:r>
          </w:p>
        </w:tc>
      </w:tr>
    </w:tbl>
    <w:p w14:paraId="6DD0E998" w14:textId="77777777" w:rsidR="00976CEC" w:rsidRPr="007F4970" w:rsidRDefault="00976CEC" w:rsidP="00CD363C">
      <w:pPr>
        <w:pStyle w:val="Pamatteksts"/>
        <w:ind w:right="425"/>
        <w:jc w:val="both"/>
        <w:rPr>
          <w:i/>
          <w:sz w:val="24"/>
          <w:szCs w:val="24"/>
        </w:rPr>
      </w:pPr>
    </w:p>
    <w:p w14:paraId="029E5460"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1125. Attaisnojuma dokumenta (par saņemtajiem pakalpojumiem vai cita veida darījumiem) saņemšanas dienā budžeta iestāde izvērtē, vai izdevumi attiecināmi uz pārskata periodu un par attiecīgajiem izdevumiem nav atzītas uzkrātās saistības. Budžeta iestāde atzīst izdevumus par pārskata periodu un saistības, veicot sekojošu</w:t>
      </w:r>
      <w:r w:rsidRPr="007F4970">
        <w:rPr>
          <w:rFonts w:ascii="Times New Roman" w:hAnsi="Times New Roman" w:cs="Times New Roman"/>
          <w:spacing w:val="-3"/>
          <w:sz w:val="24"/>
          <w:szCs w:val="24"/>
        </w:rPr>
        <w:t xml:space="preserve"> </w:t>
      </w:r>
      <w:r w:rsidRPr="007F4970">
        <w:rPr>
          <w:rFonts w:ascii="Times New Roman" w:hAnsi="Times New Roman" w:cs="Times New Roman"/>
          <w:sz w:val="24"/>
          <w:szCs w:val="24"/>
        </w:rPr>
        <w:t>grāmatojumu:</w:t>
      </w:r>
    </w:p>
    <w:p w14:paraId="0F178693"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sz w:val="24"/>
          <w:szCs w:val="24"/>
        </w:rPr>
        <w:t xml:space="preserve">    </w:t>
      </w:r>
      <w:r w:rsidRPr="007F4970">
        <w:rPr>
          <w:rFonts w:ascii="Times New Roman" w:hAnsi="Times New Roman" w:cs="Times New Roman"/>
          <w:b/>
          <w:bCs/>
          <w:sz w:val="24"/>
          <w:szCs w:val="24"/>
        </w:rPr>
        <w:t>D    7000   Pamatdarbības izdevumi</w:t>
      </w:r>
    </w:p>
    <w:p w14:paraId="14926284"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D*  5723  Pievienotās vērtības nodoklis</w:t>
      </w:r>
    </w:p>
    <w:p w14:paraId="4EDA1368"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K    5311   Saistības ar piegādātājiem un darbuzņēmējiem  </w:t>
      </w:r>
    </w:p>
    <w:p w14:paraId="1F275220" w14:textId="77777777" w:rsid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*gadījumā, ja budžeta iestāde ir PVN maksātāja</w:t>
      </w:r>
    </w:p>
    <w:p w14:paraId="42866B31"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1126.   Pārskata datumā budžeta iestāde atzīst uzkrātās saistības attiecībā uz tādiem budžeta iestādes izdevumiem, kas saskaņā ar noslēgtajiem līgumiem vai citiem attaisnojuma dokumentiem attiecas uz pārskata periodu, bet attiecībā uz kuriem līdz pārskata perioda beigām nav saņemts norēķinu attaisnojuma dokuments. Budžeta iestāde atzīst uzkrātās saistības, veicot sekojošus</w:t>
      </w:r>
      <w:r w:rsidRPr="007F4970">
        <w:rPr>
          <w:rFonts w:ascii="Times New Roman" w:hAnsi="Times New Roman" w:cs="Times New Roman"/>
          <w:spacing w:val="-22"/>
          <w:sz w:val="24"/>
          <w:szCs w:val="24"/>
        </w:rPr>
        <w:t xml:space="preserve"> </w:t>
      </w:r>
      <w:r w:rsidRPr="007F4970">
        <w:rPr>
          <w:rFonts w:ascii="Times New Roman" w:hAnsi="Times New Roman" w:cs="Times New Roman"/>
          <w:sz w:val="24"/>
          <w:szCs w:val="24"/>
        </w:rPr>
        <w:t>grāmatojumus:</w:t>
      </w:r>
    </w:p>
    <w:p w14:paraId="39CB2146"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D    7000*   Pamatdarbības izdevumi</w:t>
      </w:r>
    </w:p>
    <w:p w14:paraId="40C8588A"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K    5420    Īstermiņa uzkrātās saistības</w:t>
      </w:r>
    </w:p>
    <w:p w14:paraId="60F9855D" w14:textId="77777777" w:rsidR="007F4970" w:rsidRPr="007F4970" w:rsidRDefault="007F4970" w:rsidP="00CD363C">
      <w:pPr>
        <w:spacing w:after="0" w:line="240" w:lineRule="auto"/>
        <w:ind w:left="1471" w:right="425"/>
        <w:jc w:val="both"/>
        <w:rPr>
          <w:rFonts w:ascii="Times New Roman" w:hAnsi="Times New Roman" w:cs="Times New Roman"/>
          <w:i/>
          <w:sz w:val="24"/>
          <w:szCs w:val="24"/>
        </w:rPr>
      </w:pPr>
      <w:r w:rsidRPr="007F4970">
        <w:rPr>
          <w:rFonts w:ascii="Times New Roman" w:hAnsi="Times New Roman" w:cs="Times New Roman"/>
          <w:i/>
          <w:sz w:val="24"/>
          <w:szCs w:val="24"/>
        </w:rPr>
        <w:t>* budžeta iestāde izstrādā kontu plānu pamatdarbības izdevumu uzskaitei atbilstoši budžeta izdevumu ekonomisko kategoriju klasifikācijai</w:t>
      </w:r>
    </w:p>
    <w:p w14:paraId="5F7E3BD1"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1127.   Gadījumā, ja par izdevumiem iepriekš ir atzītas uzkrātās saistības, saņemot norēķinu attaisnojuma dokumentu,</w:t>
      </w:r>
      <w:r w:rsidRPr="007F4970">
        <w:rPr>
          <w:rFonts w:ascii="Times New Roman" w:hAnsi="Times New Roman" w:cs="Times New Roman"/>
          <w:spacing w:val="-6"/>
          <w:sz w:val="24"/>
          <w:szCs w:val="24"/>
        </w:rPr>
        <w:t xml:space="preserve"> </w:t>
      </w:r>
      <w:r w:rsidRPr="007F4970">
        <w:rPr>
          <w:rFonts w:ascii="Times New Roman" w:hAnsi="Times New Roman" w:cs="Times New Roman"/>
          <w:sz w:val="24"/>
          <w:szCs w:val="24"/>
        </w:rPr>
        <w:t>dzēš</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uzkrātās</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saistības</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un</w:t>
      </w:r>
      <w:r w:rsidRPr="007F4970">
        <w:rPr>
          <w:rFonts w:ascii="Times New Roman" w:hAnsi="Times New Roman" w:cs="Times New Roman"/>
          <w:spacing w:val="-6"/>
          <w:sz w:val="24"/>
          <w:szCs w:val="24"/>
        </w:rPr>
        <w:t xml:space="preserve"> </w:t>
      </w:r>
      <w:r w:rsidRPr="007F4970">
        <w:rPr>
          <w:rFonts w:ascii="Times New Roman" w:hAnsi="Times New Roman" w:cs="Times New Roman"/>
          <w:sz w:val="24"/>
          <w:szCs w:val="24"/>
        </w:rPr>
        <w:t>atzīst</w:t>
      </w:r>
      <w:r w:rsidRPr="007F4970">
        <w:rPr>
          <w:rFonts w:ascii="Times New Roman" w:hAnsi="Times New Roman" w:cs="Times New Roman"/>
          <w:spacing w:val="-7"/>
          <w:sz w:val="24"/>
          <w:szCs w:val="24"/>
        </w:rPr>
        <w:t xml:space="preserve"> </w:t>
      </w:r>
      <w:r w:rsidRPr="007F4970">
        <w:rPr>
          <w:rFonts w:ascii="Times New Roman" w:hAnsi="Times New Roman" w:cs="Times New Roman"/>
          <w:sz w:val="24"/>
          <w:szCs w:val="24"/>
        </w:rPr>
        <w:t>saistības</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pret</w:t>
      </w:r>
      <w:r w:rsidRPr="007F4970">
        <w:rPr>
          <w:rFonts w:ascii="Times New Roman" w:hAnsi="Times New Roman" w:cs="Times New Roman"/>
          <w:spacing w:val="-7"/>
          <w:sz w:val="24"/>
          <w:szCs w:val="24"/>
        </w:rPr>
        <w:t xml:space="preserve"> </w:t>
      </w:r>
      <w:r w:rsidRPr="007F4970">
        <w:rPr>
          <w:rFonts w:ascii="Times New Roman" w:hAnsi="Times New Roman" w:cs="Times New Roman"/>
          <w:sz w:val="24"/>
          <w:szCs w:val="24"/>
        </w:rPr>
        <w:t>attiecīgo</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darījuma</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partneri,</w:t>
      </w:r>
      <w:r w:rsidRPr="007F4970">
        <w:rPr>
          <w:rFonts w:ascii="Times New Roman" w:hAnsi="Times New Roman" w:cs="Times New Roman"/>
          <w:spacing w:val="-8"/>
          <w:sz w:val="24"/>
          <w:szCs w:val="24"/>
        </w:rPr>
        <w:t xml:space="preserve"> </w:t>
      </w:r>
      <w:r w:rsidRPr="007F4970">
        <w:rPr>
          <w:rFonts w:ascii="Times New Roman" w:hAnsi="Times New Roman" w:cs="Times New Roman"/>
          <w:sz w:val="24"/>
          <w:szCs w:val="24"/>
        </w:rPr>
        <w:t>veicot</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sekojošu grāmatojumu:</w:t>
      </w:r>
    </w:p>
    <w:p w14:paraId="08C9A482"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b/>
          <w:bCs/>
          <w:iCs/>
          <w:sz w:val="24"/>
          <w:szCs w:val="24"/>
        </w:rPr>
        <w:t xml:space="preserve">    D    5420         Īstermiņa uzkrātās saistības</w:t>
      </w:r>
    </w:p>
    <w:p w14:paraId="3AB8D210"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b/>
          <w:bCs/>
          <w:iCs/>
          <w:sz w:val="24"/>
          <w:szCs w:val="24"/>
        </w:rPr>
        <w:t xml:space="preserve">    D*   5723**   Pievienotās vērtības nodoklis</w:t>
      </w:r>
    </w:p>
    <w:p w14:paraId="5F5F8A8D"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b/>
          <w:bCs/>
          <w:iCs/>
          <w:sz w:val="24"/>
          <w:szCs w:val="24"/>
        </w:rPr>
        <w:t xml:space="preserve">    D    7000***  Pamatdarbības izdevumi</w:t>
      </w:r>
    </w:p>
    <w:p w14:paraId="6F531BC9"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iCs/>
          <w:sz w:val="24"/>
          <w:szCs w:val="24"/>
        </w:rPr>
        <w:t xml:space="preserve">    </w:t>
      </w:r>
      <w:r w:rsidRPr="007F4970">
        <w:rPr>
          <w:rFonts w:ascii="Times New Roman" w:hAnsi="Times New Roman" w:cs="Times New Roman"/>
          <w:b/>
          <w:bCs/>
          <w:iCs/>
          <w:sz w:val="24"/>
          <w:szCs w:val="24"/>
        </w:rPr>
        <w:t>K    5311    Īstermiņa saistības pret piegādātājiem un darbuzņēmējiem</w:t>
      </w:r>
    </w:p>
    <w:p w14:paraId="625DE2AE" w14:textId="77777777" w:rsidR="007F4970" w:rsidRDefault="007F4970" w:rsidP="00CD363C">
      <w:pPr>
        <w:spacing w:after="0" w:line="240" w:lineRule="auto"/>
        <w:ind w:left="1332" w:right="425"/>
        <w:jc w:val="both"/>
        <w:rPr>
          <w:i/>
          <w:sz w:val="20"/>
        </w:rPr>
      </w:pPr>
      <w:r>
        <w:rPr>
          <w:i/>
          <w:sz w:val="20"/>
        </w:rPr>
        <w:t>*gadījumā, ja budžeta iestāde ir PVN maksātāja</w:t>
      </w:r>
    </w:p>
    <w:p w14:paraId="46CE265F" w14:textId="77777777" w:rsidR="007F4970" w:rsidRDefault="007F4970" w:rsidP="00CD363C">
      <w:pPr>
        <w:spacing w:after="0" w:line="240" w:lineRule="auto"/>
        <w:ind w:left="1332" w:right="425"/>
        <w:jc w:val="both"/>
        <w:rPr>
          <w:i/>
          <w:sz w:val="20"/>
        </w:rPr>
      </w:pPr>
      <w:r>
        <w:rPr>
          <w:i/>
          <w:sz w:val="20"/>
        </w:rPr>
        <w:t>**budžeta iestāde grāmatvedības uzskaites kārtībā var noteikt detalizētu PVN uzskaites kontu pielietojumu.</w:t>
      </w:r>
    </w:p>
    <w:p w14:paraId="6DA2D955" w14:textId="77777777" w:rsidR="007F4970" w:rsidRDefault="007F4970" w:rsidP="00CD363C">
      <w:pPr>
        <w:spacing w:after="0" w:line="240" w:lineRule="auto"/>
        <w:ind w:left="1332" w:right="425"/>
        <w:jc w:val="both"/>
        <w:rPr>
          <w:i/>
          <w:sz w:val="20"/>
        </w:rPr>
      </w:pPr>
      <w:r>
        <w:rPr>
          <w:i/>
          <w:sz w:val="20"/>
        </w:rPr>
        <w:t>*** ja maksājuma dokumentā uzrādīta summa, kas lielāka par pārskata perioda beigās atzīto uzkrāto saistību summu</w:t>
      </w:r>
    </w:p>
    <w:p w14:paraId="1B789561" w14:textId="77777777" w:rsidR="007F4970" w:rsidRPr="00C75EAB" w:rsidRDefault="007F4970" w:rsidP="00CD363C">
      <w:pPr>
        <w:spacing w:after="0" w:line="240" w:lineRule="auto"/>
        <w:ind w:right="425"/>
        <w:jc w:val="both"/>
        <w:rPr>
          <w:rFonts w:ascii="Times New Roman" w:hAnsi="Times New Roman" w:cs="Times New Roman"/>
          <w:iCs/>
          <w:sz w:val="24"/>
          <w:szCs w:val="24"/>
        </w:rPr>
      </w:pPr>
      <w:r w:rsidRPr="00C75EAB">
        <w:rPr>
          <w:rFonts w:ascii="Times New Roman" w:hAnsi="Times New Roman" w:cs="Times New Roman"/>
          <w:iCs/>
          <w:sz w:val="24"/>
          <w:szCs w:val="24"/>
        </w:rPr>
        <w:t>1128.   Budžeta iestāde, saskaņā ar grāmatvedības uzskaites kārtībā noteikto, aprēķina un atzīst pamatlīdzekļu un ieguldījuma īpašumu nolietojumu vai nemateriālo ieguldījumu amortizāciju un pārskata perioda pamatdarbības izdevumus, veicot sekojošu grāmatojumu:</w:t>
      </w:r>
    </w:p>
    <w:p w14:paraId="7C077BAF"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iCs/>
          <w:sz w:val="24"/>
          <w:szCs w:val="24"/>
        </w:rPr>
        <w:t xml:space="preserve">    </w:t>
      </w:r>
      <w:r w:rsidR="007F4970" w:rsidRPr="00C75EAB">
        <w:rPr>
          <w:rFonts w:ascii="Times New Roman" w:hAnsi="Times New Roman" w:cs="Times New Roman"/>
          <w:b/>
          <w:bCs/>
          <w:iCs/>
          <w:sz w:val="24"/>
          <w:szCs w:val="24"/>
        </w:rPr>
        <w:t>D</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7000*</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Pamatdarbības izdevumi</w:t>
      </w:r>
    </w:p>
    <w:p w14:paraId="4620D36C"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K</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1290</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Pamatlīdzekļu uzkrātais nolietojums un vērtības samazinājums</w:t>
      </w:r>
    </w:p>
    <w:p w14:paraId="745BB0F8"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K</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1190</w:t>
      </w:r>
      <w:r w:rsidRPr="00C75EAB">
        <w:rPr>
          <w:rFonts w:ascii="Times New Roman" w:hAnsi="Times New Roman" w:cs="Times New Roman"/>
          <w:b/>
          <w:bCs/>
          <w:iCs/>
          <w:sz w:val="24"/>
          <w:szCs w:val="24"/>
        </w:rPr>
        <w:t xml:space="preserve">    </w:t>
      </w:r>
      <w:r w:rsidRPr="00C75EAB">
        <w:rPr>
          <w:rFonts w:ascii="Times New Roman" w:hAnsi="Times New Roman" w:cs="Times New Roman"/>
          <w:b/>
          <w:bCs/>
          <w:sz w:val="24"/>
          <w:szCs w:val="24"/>
        </w:rPr>
        <w:t xml:space="preserve"> </w:t>
      </w:r>
      <w:r w:rsidRPr="00C75EAB">
        <w:rPr>
          <w:rFonts w:ascii="Times New Roman" w:hAnsi="Times New Roman" w:cs="Times New Roman"/>
          <w:b/>
          <w:bCs/>
          <w:iCs/>
          <w:sz w:val="24"/>
          <w:szCs w:val="24"/>
        </w:rPr>
        <w:t>Nemateriālo ieguldījumu amortizācija un vērtības samazinājums</w:t>
      </w:r>
    </w:p>
    <w:p w14:paraId="7CA11905"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b/>
          <w:bCs/>
          <w:iCs/>
          <w:sz w:val="24"/>
          <w:szCs w:val="24"/>
        </w:rPr>
        <w:t xml:space="preserve">    K    </w:t>
      </w:r>
      <w:r w:rsidR="007F4970" w:rsidRPr="00C75EAB">
        <w:rPr>
          <w:rFonts w:ascii="Times New Roman" w:hAnsi="Times New Roman" w:cs="Times New Roman"/>
          <w:b/>
          <w:bCs/>
          <w:iCs/>
          <w:sz w:val="24"/>
          <w:szCs w:val="24"/>
        </w:rPr>
        <w:t>1590</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Ieguldījumu īpašuma nolietojums un vērtības samazinājums</w:t>
      </w:r>
    </w:p>
    <w:p w14:paraId="4B49C9A1" w14:textId="77777777" w:rsidR="007F4970" w:rsidRPr="00C75EAB" w:rsidRDefault="007F4970" w:rsidP="00CD363C">
      <w:pPr>
        <w:spacing w:after="0" w:line="240" w:lineRule="auto"/>
        <w:ind w:right="425"/>
        <w:jc w:val="both"/>
        <w:rPr>
          <w:rFonts w:ascii="Times New Roman" w:hAnsi="Times New Roman" w:cs="Times New Roman"/>
          <w:iCs/>
          <w:sz w:val="24"/>
          <w:szCs w:val="24"/>
        </w:rPr>
      </w:pPr>
      <w:r w:rsidRPr="00C75EAB">
        <w:rPr>
          <w:rFonts w:ascii="Times New Roman" w:hAnsi="Times New Roman" w:cs="Times New Roman"/>
          <w:iCs/>
          <w:sz w:val="24"/>
          <w:szCs w:val="24"/>
        </w:rPr>
        <w:t>* budžeta iestāde izstrādā kontu plānu pamatdarbības izdevumu uzskaitei atbilstoši budžeta izdevumu ekonomisko kategoriju klasifikācijai</w:t>
      </w:r>
    </w:p>
    <w:p w14:paraId="68C90638"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1129.   </w:t>
      </w:r>
      <w:r w:rsidRPr="00C75EAB">
        <w:rPr>
          <w:rFonts w:ascii="Times New Roman" w:hAnsi="Times New Roman" w:cs="Times New Roman"/>
          <w:sz w:val="24"/>
          <w:szCs w:val="24"/>
        </w:rPr>
        <w:t>Aprēķinot darba samaksu budžeta iestādes darbiniekiem pārskata periodā, budžeta iestāde atzīst saistības un izdevumus, veicot sekojošu grāmatojumu:</w:t>
      </w:r>
    </w:p>
    <w:p w14:paraId="03007F4B"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D    7000*</w:t>
      </w:r>
      <w:r w:rsidRPr="00C75EAB">
        <w:rPr>
          <w:rFonts w:ascii="Times New Roman" w:hAnsi="Times New Roman" w:cs="Times New Roman"/>
          <w:b/>
          <w:bCs/>
          <w:sz w:val="24"/>
          <w:szCs w:val="24"/>
        </w:rPr>
        <w:tab/>
        <w:t>Pamatdarbības izdevumi</w:t>
      </w:r>
    </w:p>
    <w:p w14:paraId="452017C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5610    Norēķini par darba samaksu</w:t>
      </w:r>
    </w:p>
    <w:p w14:paraId="7B3CAAE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5722</w:t>
      </w:r>
      <w:r w:rsidRPr="00C75EAB">
        <w:rPr>
          <w:b/>
          <w:bCs/>
        </w:rPr>
        <w:t xml:space="preserve">    </w:t>
      </w:r>
      <w:r w:rsidRPr="00C75EAB">
        <w:rPr>
          <w:rFonts w:ascii="Times New Roman" w:hAnsi="Times New Roman" w:cs="Times New Roman"/>
          <w:b/>
          <w:bCs/>
          <w:sz w:val="24"/>
          <w:szCs w:val="24"/>
        </w:rPr>
        <w:t>Valsts sociālās apdrošināšanas obligātās iemaksas</w:t>
      </w:r>
    </w:p>
    <w:p w14:paraId="61750B3A" w14:textId="77777777" w:rsidR="007F4970"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5721    Iedzīvotāju ienākuma nodoklis</w:t>
      </w:r>
    </w:p>
    <w:p w14:paraId="623C899C" w14:textId="77777777" w:rsidR="00C75EAB" w:rsidRDefault="00C75EAB" w:rsidP="00CD363C">
      <w:pPr>
        <w:spacing w:after="0" w:line="240" w:lineRule="auto"/>
        <w:ind w:left="1471" w:right="425"/>
        <w:jc w:val="both"/>
        <w:rPr>
          <w:i/>
          <w:sz w:val="20"/>
        </w:rPr>
      </w:pPr>
      <w:r>
        <w:rPr>
          <w:i/>
          <w:sz w:val="20"/>
        </w:rPr>
        <w:t>* budžeta iestāde izstrādā kontu plānu pamatdarbības izdevumu uzskaitei atbilstoši budžeta izdevumu ekonomisko kategoriju klasifikācijai</w:t>
      </w:r>
    </w:p>
    <w:p w14:paraId="477801D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1130.   </w:t>
      </w:r>
      <w:r w:rsidRPr="00C75EAB">
        <w:rPr>
          <w:rFonts w:ascii="Times New Roman" w:hAnsi="Times New Roman" w:cs="Times New Roman"/>
          <w:sz w:val="24"/>
          <w:szCs w:val="24"/>
        </w:rPr>
        <w:t>Kad budžeta iestāde izsniedz krājumus lietošanā, budžeta iestāde izslēdz krājumu vērtību un atzīst izdevumus, veicot sekojošu grāmatojumu (inventāra uzskaiti nodrošina daudzuma vienībās arī pēc atzīšanas izdevumos līdz tā izslēgšanai no uzskaites):</w:t>
      </w:r>
    </w:p>
    <w:p w14:paraId="61EB3240"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16F3B458"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75EAB">
        <w:rPr>
          <w:rFonts w:ascii="Times New Roman" w:hAnsi="Times New Roman" w:cs="Times New Roman"/>
          <w:b/>
          <w:bCs/>
          <w:sz w:val="24"/>
          <w:szCs w:val="24"/>
        </w:rPr>
        <w:t>D    7000*</w:t>
      </w:r>
      <w:r w:rsidRPr="00C75EAB">
        <w:rPr>
          <w:rFonts w:ascii="Times New Roman" w:hAnsi="Times New Roman" w:cs="Times New Roman"/>
          <w:b/>
          <w:bCs/>
          <w:sz w:val="24"/>
          <w:szCs w:val="24"/>
        </w:rPr>
        <w:tab/>
        <w:t xml:space="preserve">  Pamatdarbības izdevumi</w:t>
      </w:r>
    </w:p>
    <w:p w14:paraId="1E5A4772"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2160**</w:t>
      </w:r>
      <w:r w:rsidRPr="00C75EAB">
        <w:rPr>
          <w:rFonts w:ascii="Times New Roman" w:hAnsi="Times New Roman" w:cs="Times New Roman"/>
          <w:b/>
          <w:bCs/>
          <w:sz w:val="24"/>
          <w:szCs w:val="24"/>
        </w:rPr>
        <w:tab/>
        <w:t xml:space="preserve">  Inventārs</w:t>
      </w:r>
    </w:p>
    <w:p w14:paraId="0873B217"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rPr>
      </w:pPr>
      <w:r w:rsidRPr="00C75EAB">
        <w:rPr>
          <w:rFonts w:ascii="Times New Roman" w:hAnsi="Times New Roman" w:cs="Times New Roman"/>
          <w:i/>
          <w:iCs/>
        </w:rPr>
        <w:t>* budžeta iestāde izstrādā kontu plānu pamatdarbības izdevumu uzskaitei atbilstoši budžeta izdevumu ekonomisko kategoriju klasifikācijai</w:t>
      </w:r>
    </w:p>
    <w:p w14:paraId="5983CF61" w14:textId="77777777" w:rsidR="00976CEC"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rPr>
      </w:pPr>
      <w:r w:rsidRPr="00C75EAB">
        <w:rPr>
          <w:rFonts w:ascii="Times New Roman" w:hAnsi="Times New Roman" w:cs="Times New Roman"/>
          <w:i/>
          <w:iCs/>
        </w:rPr>
        <w:t xml:space="preserve">**ja 2161 kontā uzskaitītajam ilgstoši lietojamam inventāram iepriekš atzīts vērtības samazinājums, tad noraksta iepriekš atzīto vērtības samazinājumu. Detalizēti uzskaites principi sniegti </w:t>
      </w:r>
      <w:r>
        <w:rPr>
          <w:rFonts w:ascii="Times New Roman" w:hAnsi="Times New Roman" w:cs="Times New Roman"/>
          <w:i/>
          <w:iCs/>
        </w:rPr>
        <w:t>Grāmatvedības uzskaites kārtības</w:t>
      </w:r>
      <w:r w:rsidRPr="00C75EAB">
        <w:rPr>
          <w:rFonts w:ascii="Times New Roman" w:hAnsi="Times New Roman" w:cs="Times New Roman"/>
          <w:i/>
          <w:iCs/>
        </w:rPr>
        <w:t xml:space="preserve"> sadaļā “Krājumu uzskaite”.</w:t>
      </w:r>
    </w:p>
    <w:p w14:paraId="30B7B0D4" w14:textId="77777777" w:rsid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rPr>
      </w:pPr>
    </w:p>
    <w:p w14:paraId="120780C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C75EAB">
        <w:rPr>
          <w:rFonts w:ascii="Times New Roman" w:hAnsi="Times New Roman" w:cs="Times New Roman"/>
          <w:sz w:val="24"/>
          <w:szCs w:val="24"/>
        </w:rPr>
        <w:t>1131. Ja pārskata periodā budžeta iestādei ir radušies izdevumi, kas saistīti ar budžeta iestādes administratīvajiem un tēla veidošanas pasākumu nodrošināšanas izdevumiem (piemēram, priekšmetu, kas satur budžeta iestādes logo vai citu attiecināmu simboliku vai informāciju, izgatavošana un iegāde), tad pamatojoties uz reprezentācijas izdevumu aktu, tā atzīst izdevumus un saistību palielinājumu, veicot sekojošu grāmatojumu:</w:t>
      </w:r>
    </w:p>
    <w:p w14:paraId="44E3D18B"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D    7000*</w:t>
      </w:r>
      <w:r w:rsidRPr="00C75EAB">
        <w:rPr>
          <w:rFonts w:ascii="Times New Roman" w:hAnsi="Times New Roman" w:cs="Times New Roman"/>
          <w:b/>
          <w:bCs/>
          <w:sz w:val="24"/>
          <w:szCs w:val="24"/>
        </w:rPr>
        <w:tab/>
        <w:t>Pamatdarbības izdevumi</w:t>
      </w:r>
    </w:p>
    <w:p w14:paraId="72EAA260"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5311</w:t>
      </w:r>
      <w:r w:rsidRPr="00C75EAB">
        <w:rPr>
          <w:rFonts w:ascii="Times New Roman" w:hAnsi="Times New Roman" w:cs="Times New Roman"/>
          <w:b/>
          <w:bCs/>
          <w:sz w:val="24"/>
          <w:szCs w:val="24"/>
        </w:rPr>
        <w:tab/>
        <w:t>Saistības pret piegādātājiem un darbuzņēmējiem</w:t>
      </w:r>
    </w:p>
    <w:p w14:paraId="2E6437C2" w14:textId="77777777" w:rsid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r w:rsidRPr="00C75EAB">
        <w:rPr>
          <w:rFonts w:ascii="Times New Roman" w:hAnsi="Times New Roman" w:cs="Times New Roman"/>
          <w:i/>
          <w:iCs/>
          <w:sz w:val="20"/>
          <w:szCs w:val="20"/>
        </w:rPr>
        <w:t>* budžeta iestāde izstrādā kontu plānu pamatdarbības izdevumu uzskaitei atbilstoši budžeta izdevumu ekonomisko kategoriju klasifikācijai</w:t>
      </w:r>
    </w:p>
    <w:p w14:paraId="55BBE31E"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p>
    <w:p w14:paraId="2404E75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C04D6A">
        <w:rPr>
          <w:rFonts w:ascii="Times New Roman" w:hAnsi="Times New Roman" w:cs="Times New Roman"/>
          <w:sz w:val="24"/>
          <w:szCs w:val="24"/>
        </w:rPr>
        <w:t>1132.    Līgumsodu un naudas sodu uzskaita kā budžeta iestādes izdevumus dienā, kad darījuma otrai pusei radušās likumīgas tiesības iekasēt līgumsodu vai naudas sodu. Budžeta iestāde atzīst pamatdarbības izdevumus un saistības, grāmatojot:</w:t>
      </w:r>
    </w:p>
    <w:p w14:paraId="6B2BCE9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04D6A">
        <w:rPr>
          <w:rFonts w:ascii="Times New Roman" w:hAnsi="Times New Roman" w:cs="Times New Roman"/>
          <w:b/>
          <w:bCs/>
          <w:sz w:val="24"/>
          <w:szCs w:val="24"/>
        </w:rPr>
        <w:t>D    7000*</w:t>
      </w:r>
      <w:r w:rsidRPr="00C04D6A">
        <w:rPr>
          <w:rFonts w:ascii="Times New Roman" w:hAnsi="Times New Roman" w:cs="Times New Roman"/>
          <w:b/>
          <w:bCs/>
          <w:sz w:val="24"/>
          <w:szCs w:val="24"/>
        </w:rPr>
        <w:tab/>
        <w:t>Pamatdarbības izdevumi</w:t>
      </w:r>
    </w:p>
    <w:p w14:paraId="0AA17CD5"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5311</w:t>
      </w:r>
      <w:r w:rsidRPr="00C04D6A">
        <w:rPr>
          <w:rFonts w:ascii="Times New Roman" w:hAnsi="Times New Roman" w:cs="Times New Roman"/>
          <w:b/>
          <w:bCs/>
          <w:sz w:val="24"/>
          <w:szCs w:val="24"/>
        </w:rPr>
        <w:tab/>
        <w:t>Saistības pret piegādātājiem un darbuzņēmējiem</w:t>
      </w:r>
    </w:p>
    <w:p w14:paraId="703EA229"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i/>
          <w:iCs/>
          <w:sz w:val="24"/>
          <w:szCs w:val="24"/>
        </w:rPr>
      </w:pPr>
      <w:r w:rsidRPr="00C04D6A">
        <w:rPr>
          <w:rFonts w:ascii="Times New Roman" w:hAnsi="Times New Roman" w:cs="Times New Roman"/>
          <w:i/>
          <w:iCs/>
          <w:sz w:val="20"/>
          <w:szCs w:val="20"/>
        </w:rPr>
        <w:t xml:space="preserve">* budžeta iestāde izstrādā kontu plānu pamatdarbības izdevumu uzskaitei atbilstoši budžeta izdevumu ekonomisko </w:t>
      </w:r>
      <w:r w:rsidRPr="00C04D6A">
        <w:rPr>
          <w:rFonts w:ascii="Times New Roman" w:hAnsi="Times New Roman" w:cs="Times New Roman"/>
          <w:b/>
          <w:bCs/>
          <w:i/>
          <w:iCs/>
          <w:sz w:val="24"/>
          <w:szCs w:val="24"/>
        </w:rPr>
        <w:t>kategoriju klasifikācijai</w:t>
      </w:r>
    </w:p>
    <w:p w14:paraId="2DDFF43C"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C04D6A">
        <w:rPr>
          <w:rFonts w:ascii="Times New Roman" w:hAnsi="Times New Roman" w:cs="Times New Roman"/>
          <w:sz w:val="24"/>
          <w:szCs w:val="24"/>
        </w:rPr>
        <w:t>1133. Aizņēmumu un citu finanšu instrumentu izmaksas (komisijas izmaksas, juridiskās izmaksas) uzskaita izdevumos dienā, kad saņemts pakalpojums saskaņā ar līguma nosacījumiem:</w:t>
      </w:r>
    </w:p>
    <w:p w14:paraId="03A966A9"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14D4121A"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7000*</w:t>
      </w:r>
      <w:r w:rsidRPr="00C04D6A">
        <w:rPr>
          <w:rFonts w:ascii="Times New Roman" w:hAnsi="Times New Roman" w:cs="Times New Roman"/>
          <w:b/>
          <w:bCs/>
          <w:sz w:val="24"/>
          <w:szCs w:val="24"/>
        </w:rPr>
        <w:tab/>
        <w:t>Pamatdarbības izdevumi</w:t>
      </w:r>
    </w:p>
    <w:p w14:paraId="26C7257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5215**</w:t>
      </w:r>
      <w:r w:rsidRPr="00C04D6A">
        <w:rPr>
          <w:rFonts w:ascii="Times New Roman" w:hAnsi="Times New Roman" w:cs="Times New Roman"/>
          <w:b/>
          <w:bCs/>
          <w:sz w:val="24"/>
          <w:szCs w:val="24"/>
        </w:rPr>
        <w:tab/>
        <w:t>Saistības par procentu un citiem maksājumiem par aizņēmumiem</w:t>
      </w:r>
    </w:p>
    <w:p w14:paraId="40F54502"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r w:rsidRPr="00C04D6A">
        <w:rPr>
          <w:rFonts w:ascii="Times New Roman" w:hAnsi="Times New Roman" w:cs="Times New Roman"/>
          <w:i/>
          <w:iCs/>
          <w:sz w:val="20"/>
          <w:szCs w:val="20"/>
        </w:rPr>
        <w:t>* budžeta iestāde izstrādā kontu plānu pamatdarbības izdevumu uzskaitei atbilstoši budžeta izdevumu ekonomisko kategoriju klasifikācijai</w:t>
      </w:r>
    </w:p>
    <w:p w14:paraId="1C654475"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r w:rsidRPr="00C04D6A">
        <w:rPr>
          <w:rFonts w:ascii="Times New Roman" w:hAnsi="Times New Roman" w:cs="Times New Roman"/>
          <w:i/>
          <w:iCs/>
          <w:sz w:val="20"/>
          <w:szCs w:val="20"/>
        </w:rPr>
        <w:t>** citiem finanšu instrumentiem kontu nosaka saskaņā ar budžeta iestādes grāmatvedības uzskaites kārtību</w:t>
      </w:r>
    </w:p>
    <w:p w14:paraId="73FFF11A"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0"/>
          <w:szCs w:val="20"/>
        </w:rPr>
      </w:pPr>
    </w:p>
    <w:p w14:paraId="3CD15FEB"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24.2. Transferta izdevumu uzskaite</w:t>
      </w:r>
    </w:p>
    <w:p w14:paraId="47597C62" w14:textId="77777777" w:rsidR="00C04D6A" w:rsidRPr="00C04D6A" w:rsidRDefault="00C04D6A"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C04D6A">
        <w:rPr>
          <w:rFonts w:ascii="Times New Roman" w:hAnsi="Times New Roman" w:cs="Times New Roman"/>
          <w:sz w:val="24"/>
          <w:szCs w:val="24"/>
        </w:rPr>
        <w:t>1134.   Budžeta iestāžu veiktie transferta maksājumi iedalās divās</w:t>
      </w:r>
      <w:r w:rsidRPr="00C04D6A">
        <w:rPr>
          <w:rFonts w:ascii="Times New Roman" w:hAnsi="Times New Roman" w:cs="Times New Roman"/>
          <w:spacing w:val="-4"/>
          <w:sz w:val="24"/>
          <w:szCs w:val="24"/>
        </w:rPr>
        <w:t xml:space="preserve"> </w:t>
      </w:r>
      <w:r w:rsidRPr="00C04D6A">
        <w:rPr>
          <w:rFonts w:ascii="Times New Roman" w:hAnsi="Times New Roman" w:cs="Times New Roman"/>
          <w:sz w:val="24"/>
          <w:szCs w:val="24"/>
        </w:rPr>
        <w:t>grupās:</w:t>
      </w:r>
    </w:p>
    <w:p w14:paraId="4F05966A" w14:textId="77777777" w:rsidR="00C04D6A" w:rsidRPr="00C04D6A" w:rsidRDefault="00C04D6A" w:rsidP="00CD363C">
      <w:pPr>
        <w:pStyle w:val="Sarakstarindkopa"/>
        <w:widowControl w:val="0"/>
        <w:numPr>
          <w:ilvl w:val="0"/>
          <w:numId w:val="8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C04D6A">
        <w:rPr>
          <w:rFonts w:ascii="Times New Roman" w:hAnsi="Times New Roman" w:cs="Times New Roman"/>
          <w:sz w:val="24"/>
          <w:szCs w:val="24"/>
        </w:rPr>
        <w:t>avansā veiktie</w:t>
      </w:r>
      <w:r w:rsidRPr="00C04D6A">
        <w:rPr>
          <w:rFonts w:ascii="Times New Roman" w:hAnsi="Times New Roman" w:cs="Times New Roman"/>
          <w:spacing w:val="-3"/>
          <w:sz w:val="24"/>
          <w:szCs w:val="24"/>
        </w:rPr>
        <w:t xml:space="preserve"> </w:t>
      </w:r>
      <w:r w:rsidRPr="00C04D6A">
        <w:rPr>
          <w:rFonts w:ascii="Times New Roman" w:hAnsi="Times New Roman" w:cs="Times New Roman"/>
          <w:sz w:val="24"/>
          <w:szCs w:val="24"/>
        </w:rPr>
        <w:t>transferti;</w:t>
      </w:r>
    </w:p>
    <w:p w14:paraId="2468400B" w14:textId="77777777" w:rsidR="00C04D6A" w:rsidRPr="00C04D6A" w:rsidRDefault="00C04D6A" w:rsidP="00CD363C">
      <w:pPr>
        <w:pStyle w:val="Sarakstarindkopa"/>
        <w:widowControl w:val="0"/>
        <w:numPr>
          <w:ilvl w:val="0"/>
          <w:numId w:val="8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C04D6A">
        <w:rPr>
          <w:rFonts w:ascii="Times New Roman" w:hAnsi="Times New Roman" w:cs="Times New Roman"/>
          <w:sz w:val="24"/>
          <w:szCs w:val="24"/>
        </w:rPr>
        <w:t>transferti ar</w:t>
      </w:r>
      <w:r w:rsidRPr="00C04D6A">
        <w:rPr>
          <w:rFonts w:ascii="Times New Roman" w:hAnsi="Times New Roman" w:cs="Times New Roman"/>
          <w:spacing w:val="-2"/>
          <w:sz w:val="24"/>
          <w:szCs w:val="24"/>
        </w:rPr>
        <w:t xml:space="preserve"> </w:t>
      </w:r>
      <w:r w:rsidRPr="00C04D6A">
        <w:rPr>
          <w:rFonts w:ascii="Times New Roman" w:hAnsi="Times New Roman" w:cs="Times New Roman"/>
          <w:sz w:val="24"/>
          <w:szCs w:val="24"/>
        </w:rPr>
        <w:t>pēcapmaksu.</w:t>
      </w:r>
    </w:p>
    <w:p w14:paraId="4E6DB02D"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10C8171"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1135.   </w:t>
      </w:r>
      <w:r w:rsidRPr="00C04D6A">
        <w:rPr>
          <w:rFonts w:ascii="Times New Roman" w:hAnsi="Times New Roman" w:cs="Times New Roman"/>
          <w:sz w:val="24"/>
          <w:szCs w:val="24"/>
        </w:rPr>
        <w:t>Gadījumā, ja budžeta iestāde transferta pārskaitījumu veic avansā (pirms transferta izlietojuma), tā naudas līdzekļu pārskaitījuma dienā atzīst prasības par avansā pārskaitīto transfertu, veicot sekojošu grāmatojumu:</w:t>
      </w:r>
    </w:p>
    <w:p w14:paraId="37CEB6C0"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1045B06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2430</w:t>
      </w:r>
      <w:r w:rsidRPr="00C04D6A">
        <w:rPr>
          <w:rFonts w:ascii="Times New Roman" w:hAnsi="Times New Roman" w:cs="Times New Roman"/>
          <w:b/>
          <w:bCs/>
          <w:sz w:val="24"/>
          <w:szCs w:val="24"/>
        </w:rPr>
        <w:tab/>
        <w:t>Avansā pārskaitītie transferti</w:t>
      </w:r>
    </w:p>
    <w:p w14:paraId="5C8D324A"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2620</w:t>
      </w:r>
      <w:r w:rsidRPr="00C04D6A">
        <w:rPr>
          <w:rFonts w:ascii="Times New Roman" w:hAnsi="Times New Roman" w:cs="Times New Roman"/>
          <w:b/>
          <w:bCs/>
          <w:sz w:val="24"/>
          <w:szCs w:val="24"/>
        </w:rPr>
        <w:tab/>
        <w:t>Norēķinu konti Valsts kasē, kredītiestādēs vai citās institūcijās</w:t>
      </w:r>
    </w:p>
    <w:p w14:paraId="2FCF16AD"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36A5C3DD"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1136.   </w:t>
      </w:r>
      <w:r w:rsidRPr="00C04D6A">
        <w:rPr>
          <w:rFonts w:ascii="Times New Roman" w:hAnsi="Times New Roman" w:cs="Times New Roman"/>
          <w:sz w:val="24"/>
          <w:szCs w:val="24"/>
        </w:rPr>
        <w:t>Pārskata perioda laikā, atbilstoši saņemtajiem attaisnojuma dokumentiem par attaisnotajiem (atzītajiem) izdevumiem, atzīst transferta izdevumus un samazina prasības par avansā pārskaitīto transfertu, veicot šādu grāmatojumu:</w:t>
      </w:r>
    </w:p>
    <w:p w14:paraId="1057C709"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127B5E44"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7000*</w:t>
      </w:r>
      <w:r w:rsidRPr="00C04D6A">
        <w:rPr>
          <w:rFonts w:ascii="Times New Roman" w:hAnsi="Times New Roman" w:cs="Times New Roman"/>
          <w:b/>
          <w:bCs/>
          <w:sz w:val="24"/>
          <w:szCs w:val="24"/>
        </w:rPr>
        <w:tab/>
        <w:t>Pamatdarbības izdevumi</w:t>
      </w:r>
    </w:p>
    <w:p w14:paraId="21DC20CF"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2430</w:t>
      </w:r>
      <w:r w:rsidRPr="00C04D6A">
        <w:rPr>
          <w:rFonts w:ascii="Times New Roman" w:hAnsi="Times New Roman" w:cs="Times New Roman"/>
          <w:b/>
          <w:bCs/>
          <w:sz w:val="24"/>
          <w:szCs w:val="24"/>
        </w:rPr>
        <w:tab/>
        <w:t>Avansā pārskaitītie transferti</w:t>
      </w:r>
    </w:p>
    <w:p w14:paraId="14E37154"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C04D6A">
        <w:rPr>
          <w:rFonts w:ascii="Times New Roman" w:hAnsi="Times New Roman" w:cs="Times New Roman"/>
          <w:i/>
          <w:iCs/>
          <w:sz w:val="24"/>
          <w:szCs w:val="24"/>
        </w:rPr>
        <w:t>*budžeta iestāde izstrādā kontu plānu pamatdarbības izdevumu uzskaitei atbilstoši budžeta izdevumu ekonomisko kategoriju klasifikācijai</w:t>
      </w:r>
    </w:p>
    <w:p w14:paraId="747F6BF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1137.   </w:t>
      </w:r>
      <w:r w:rsidRPr="00C04D6A">
        <w:rPr>
          <w:rFonts w:ascii="Times New Roman" w:hAnsi="Times New Roman" w:cs="Times New Roman"/>
          <w:sz w:val="24"/>
          <w:szCs w:val="24"/>
        </w:rPr>
        <w:t>Budžeta iestāde atzīst transferta izdevumus par avansā pārskaitīto transfertu pārskata gadā, kurā veikti attiecīgie izdevumi, ja izdevumi apstiprināti (uzturēšanas izdevumi – saskaņā ar uzkrāšanas principu, pamatkapitāla veidošana – saskaņā ar naudas plūsmas principu) pārskata gadā vai līdz nākamā pārskata gada 31.janvārim (ieskaitot).</w:t>
      </w:r>
    </w:p>
    <w:p w14:paraId="575DFBBC"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1138.   </w:t>
      </w:r>
      <w:r w:rsidRPr="00C04D6A">
        <w:rPr>
          <w:rFonts w:ascii="Times New Roman" w:hAnsi="Times New Roman" w:cs="Times New Roman"/>
          <w:sz w:val="24"/>
          <w:szCs w:val="24"/>
        </w:rPr>
        <w:t>Ja pārskata gadā veiktie transferta izdevumi apstiprināti pēc nākamā pārskata gada 31.janvāra, budžeta iestāde atzīst transferta izdevumus kā transferta izdevumus, kas attiecas uz iepriekšējiem pārskata gadiem, tajā pārskata gadā, kurā apstiprināti attiecīgie izdevumi un samazina prasības, veicot sekojošu grāmatojumu:</w:t>
      </w:r>
    </w:p>
    <w:p w14:paraId="4B8F31D7"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8763</w:t>
      </w:r>
      <w:r w:rsidRPr="00C04D6A">
        <w:rPr>
          <w:rFonts w:ascii="Times New Roman" w:hAnsi="Times New Roman" w:cs="Times New Roman"/>
          <w:b/>
          <w:bCs/>
          <w:sz w:val="24"/>
          <w:szCs w:val="24"/>
        </w:rPr>
        <w:tab/>
        <w:t>Transfertu izdevumi, kas attiecas uz iepriekšējiem pārskata gadiem</w:t>
      </w:r>
    </w:p>
    <w:p w14:paraId="4F77D714"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2430</w:t>
      </w:r>
      <w:r w:rsidRPr="00C04D6A">
        <w:rPr>
          <w:rFonts w:ascii="Times New Roman" w:hAnsi="Times New Roman" w:cs="Times New Roman"/>
          <w:b/>
          <w:bCs/>
          <w:sz w:val="24"/>
          <w:szCs w:val="24"/>
        </w:rPr>
        <w:tab/>
        <w:t>Avansā pārskaitītie transferti</w:t>
      </w:r>
    </w:p>
    <w:p w14:paraId="4382E92A" w14:textId="77777777" w:rsidR="00C04D6A" w:rsidRPr="00C04D6A"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1139.   </w:t>
      </w:r>
      <w:r w:rsidR="00C04D6A" w:rsidRPr="00BC323B">
        <w:rPr>
          <w:rFonts w:ascii="Times New Roman" w:hAnsi="Times New Roman" w:cs="Times New Roman"/>
          <w:b/>
          <w:bCs/>
          <w:sz w:val="24"/>
          <w:szCs w:val="24"/>
        </w:rPr>
        <w:t>Transferta ar pēcapmaksu gadījumā</w:t>
      </w:r>
      <w:r w:rsidR="00C04D6A" w:rsidRPr="00C04D6A">
        <w:rPr>
          <w:rFonts w:ascii="Times New Roman" w:hAnsi="Times New Roman" w:cs="Times New Roman"/>
          <w:sz w:val="24"/>
          <w:szCs w:val="24"/>
        </w:rPr>
        <w:t xml:space="preserve"> - ja citas budžeta iestādes pārskata gadā veiktos izdevumus apstiprina līdz pārskata gada 31. decembrim un budžeta iestāde transferta pārskaitījumu līdz pārskata gada beigām vēl nav veikusi, budžeta iestāde veic sekojošu grāmatojumu:</w:t>
      </w:r>
    </w:p>
    <w:p w14:paraId="1037D45E" w14:textId="77777777" w:rsidR="00C04D6A"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D</w:t>
      </w: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7000*</w:t>
      </w:r>
      <w:r w:rsidR="00C04D6A" w:rsidRPr="00BC323B">
        <w:rPr>
          <w:rFonts w:ascii="Times New Roman" w:hAnsi="Times New Roman" w:cs="Times New Roman"/>
          <w:b/>
          <w:bCs/>
          <w:sz w:val="24"/>
          <w:szCs w:val="24"/>
        </w:rPr>
        <w:tab/>
        <w:t>Pamatdarbības izdevumi</w:t>
      </w:r>
    </w:p>
    <w:p w14:paraId="48DAC109" w14:textId="77777777" w:rsidR="00C04D6A"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K</w:t>
      </w: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5819</w:t>
      </w:r>
      <w:r w:rsidR="00C04D6A" w:rsidRPr="00BC323B">
        <w:rPr>
          <w:rFonts w:ascii="Times New Roman" w:hAnsi="Times New Roman" w:cs="Times New Roman"/>
          <w:b/>
          <w:bCs/>
          <w:sz w:val="24"/>
          <w:szCs w:val="24"/>
        </w:rPr>
        <w:tab/>
        <w:t>Pārējās īstermiņa saistības</w:t>
      </w:r>
    </w:p>
    <w:p w14:paraId="0B2C5A87"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BC323B">
        <w:rPr>
          <w:rFonts w:ascii="Times New Roman" w:hAnsi="Times New Roman" w:cs="Times New Roman"/>
          <w:i/>
          <w:iCs/>
          <w:sz w:val="24"/>
          <w:szCs w:val="24"/>
        </w:rPr>
        <w:t>* budžeta iestāde izstrādā kontu plānu pamatdarbības izdevumu uzskaitei atbilstoši budžeta izdevumu ekonomisko kategoriju klasifikācijai</w:t>
      </w:r>
    </w:p>
    <w:p w14:paraId="3F99A1DE"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1140.    </w:t>
      </w:r>
      <w:r w:rsidRPr="00BC323B">
        <w:rPr>
          <w:rFonts w:ascii="Times New Roman" w:hAnsi="Times New Roman" w:cs="Times New Roman"/>
          <w:sz w:val="24"/>
          <w:szCs w:val="24"/>
        </w:rPr>
        <w:t>Ja citas budžeta iestādes pārskata gadā veiktos izdevumus apstiprina līdz nākamā pārskata gada</w:t>
      </w:r>
    </w:p>
    <w:p w14:paraId="03E39DAA"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BC323B">
        <w:rPr>
          <w:rFonts w:ascii="Times New Roman" w:hAnsi="Times New Roman" w:cs="Times New Roman"/>
          <w:sz w:val="24"/>
          <w:szCs w:val="24"/>
        </w:rPr>
        <w:t>31. janvārim (ieskaitot), un budžeta iestāde transferta pārskaitījumu vēl nav veikusi, budžeta iestāde pārskata gada beigās atzīst uzkrātās saistības un transferta izdevumus, veicot sekojošu grāmatojumu:</w:t>
      </w:r>
    </w:p>
    <w:p w14:paraId="4E243855"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5E91E9D9"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D    7000*</w:t>
      </w:r>
      <w:r w:rsidRPr="00BC323B">
        <w:rPr>
          <w:rFonts w:ascii="Times New Roman" w:hAnsi="Times New Roman" w:cs="Times New Roman"/>
          <w:b/>
          <w:bCs/>
          <w:sz w:val="24"/>
          <w:szCs w:val="24"/>
        </w:rPr>
        <w:tab/>
        <w:t>Pamatdarbības izdevumi</w:t>
      </w:r>
    </w:p>
    <w:p w14:paraId="1EC502ED"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K    5420</w:t>
      </w:r>
      <w:r w:rsidRPr="00BC323B">
        <w:rPr>
          <w:rFonts w:ascii="Times New Roman" w:hAnsi="Times New Roman" w:cs="Times New Roman"/>
          <w:b/>
          <w:bCs/>
          <w:sz w:val="24"/>
          <w:szCs w:val="24"/>
        </w:rPr>
        <w:tab/>
        <w:t>Īstermiņa uzkrātās saistības</w:t>
      </w:r>
    </w:p>
    <w:p w14:paraId="070DF074"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BC323B">
        <w:rPr>
          <w:rFonts w:ascii="Times New Roman" w:hAnsi="Times New Roman" w:cs="Times New Roman"/>
          <w:i/>
          <w:iCs/>
          <w:sz w:val="24"/>
          <w:szCs w:val="24"/>
        </w:rPr>
        <w:t>* budžeta iestāde izstrādā kontu plānu pamatdarbības izdevumu uzskaitei atbilstoši budžeta izdevumu ekonomisko kategoriju klasifikācijai</w:t>
      </w:r>
    </w:p>
    <w:p w14:paraId="3CCE4804"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1141.    </w:t>
      </w:r>
      <w:r w:rsidRPr="00BC323B">
        <w:rPr>
          <w:rFonts w:ascii="Times New Roman" w:hAnsi="Times New Roman" w:cs="Times New Roman"/>
          <w:sz w:val="24"/>
          <w:szCs w:val="24"/>
        </w:rPr>
        <w:t>Apstiprinājuma dienā budžeta iestāde samazina iepriekš atzītās uzkrātās saistības un atzīst saistības par transferta maksājumu:</w:t>
      </w:r>
    </w:p>
    <w:p w14:paraId="50AD8BEE"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2CDE186E"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D    5420</w:t>
      </w:r>
      <w:r w:rsidRPr="00BC323B">
        <w:rPr>
          <w:rFonts w:ascii="Times New Roman" w:hAnsi="Times New Roman" w:cs="Times New Roman"/>
          <w:b/>
          <w:bCs/>
          <w:sz w:val="24"/>
          <w:szCs w:val="24"/>
        </w:rPr>
        <w:tab/>
        <w:t>Īstermiņa uzkrātās saistības</w:t>
      </w:r>
    </w:p>
    <w:p w14:paraId="5F5C0E2C"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w:t>
      </w:r>
      <w:r w:rsidRPr="00BC323B">
        <w:rPr>
          <w:rFonts w:ascii="Times New Roman" w:hAnsi="Times New Roman" w:cs="Times New Roman"/>
          <w:sz w:val="24"/>
          <w:szCs w:val="24"/>
        </w:rPr>
        <w:t>K</w:t>
      </w:r>
      <w:r>
        <w:rPr>
          <w:rFonts w:ascii="Times New Roman" w:hAnsi="Times New Roman" w:cs="Times New Roman"/>
          <w:sz w:val="24"/>
          <w:szCs w:val="24"/>
        </w:rPr>
        <w:t xml:space="preserve">    </w:t>
      </w:r>
      <w:r w:rsidRPr="00BC323B">
        <w:rPr>
          <w:rFonts w:ascii="Times New Roman" w:hAnsi="Times New Roman" w:cs="Times New Roman"/>
          <w:sz w:val="24"/>
          <w:szCs w:val="24"/>
        </w:rPr>
        <w:t>5819</w:t>
      </w:r>
      <w:r w:rsidRPr="00BC323B">
        <w:rPr>
          <w:rFonts w:ascii="Times New Roman" w:hAnsi="Times New Roman" w:cs="Times New Roman"/>
          <w:sz w:val="24"/>
          <w:szCs w:val="24"/>
        </w:rPr>
        <w:tab/>
        <w:t>Pārējās īstermiņa saistības</w:t>
      </w:r>
    </w:p>
    <w:p w14:paraId="6998A27F"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1142.    </w:t>
      </w:r>
      <w:r w:rsidRPr="00BC323B">
        <w:rPr>
          <w:rFonts w:ascii="Times New Roman" w:hAnsi="Times New Roman" w:cs="Times New Roman"/>
          <w:sz w:val="24"/>
          <w:szCs w:val="24"/>
        </w:rPr>
        <w:t>Naudas līdzekļu pārskaitījuma dienā budžeta iestāde attiecīgi samazina atzītās saistības, veicot sekojošu grāmatojumu:</w:t>
      </w:r>
    </w:p>
    <w:p w14:paraId="1F9ECD49" w14:textId="77777777" w:rsid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w:t>
      </w:r>
    </w:p>
    <w:p w14:paraId="2A36399F"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D    5819</w:t>
      </w:r>
      <w:r w:rsidRPr="00BC323B">
        <w:rPr>
          <w:rFonts w:ascii="Times New Roman" w:hAnsi="Times New Roman" w:cs="Times New Roman"/>
          <w:b/>
          <w:bCs/>
          <w:sz w:val="24"/>
          <w:szCs w:val="24"/>
        </w:rPr>
        <w:tab/>
        <w:t>Pārējās īstermiņa saistības</w:t>
      </w:r>
    </w:p>
    <w:p w14:paraId="7D4D42E7"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K    2620</w:t>
      </w:r>
      <w:r w:rsidRPr="00BC323B">
        <w:rPr>
          <w:rFonts w:ascii="Times New Roman" w:hAnsi="Times New Roman" w:cs="Times New Roman"/>
          <w:b/>
          <w:bCs/>
          <w:sz w:val="24"/>
          <w:szCs w:val="24"/>
        </w:rPr>
        <w:tab/>
        <w:t>Norēķinu konti Valsts kasē, kredītiestādēs vai citās institūcijās</w:t>
      </w:r>
    </w:p>
    <w:p w14:paraId="180C9653"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1143.  </w:t>
      </w:r>
      <w:r w:rsidRPr="00BC323B">
        <w:rPr>
          <w:rFonts w:ascii="Times New Roman" w:hAnsi="Times New Roman" w:cs="Times New Roman"/>
          <w:sz w:val="24"/>
          <w:szCs w:val="24"/>
        </w:rPr>
        <w:t>Ja citas budžeta iestādes pārskata gadā veiktos izdevumus apstiprina pēc nākamā gada 31. janvāra, un transferta pārskaitījums vēl nav veikts, budžeta iestāde atzīst transferta izdevumus kā pārējos iepriekšējo gadu izdevumus pārskata gadā, kurā apstiprināti attiecīgie izdevumi, un atzīst saistības, veicot sekojošu grāmatojumu:</w:t>
      </w:r>
    </w:p>
    <w:p w14:paraId="35EFB21D"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4790D2B5"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BC323B">
        <w:rPr>
          <w:rFonts w:ascii="Times New Roman" w:hAnsi="Times New Roman" w:cs="Times New Roman"/>
          <w:b/>
          <w:bCs/>
          <w:sz w:val="24"/>
          <w:szCs w:val="24"/>
        </w:rPr>
        <w:t>D    8763</w:t>
      </w:r>
      <w:r w:rsidRPr="00BC323B">
        <w:rPr>
          <w:rFonts w:ascii="Times New Roman" w:hAnsi="Times New Roman" w:cs="Times New Roman"/>
          <w:b/>
          <w:bCs/>
          <w:sz w:val="24"/>
          <w:szCs w:val="24"/>
        </w:rPr>
        <w:tab/>
        <w:t>Transfertu izdevumi, kas attiecas uz iepriekšējiem pārskata gadiem</w:t>
      </w:r>
    </w:p>
    <w:p w14:paraId="19F0513C" w14:textId="77777777" w:rsid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K    5819</w:t>
      </w:r>
      <w:r w:rsidRPr="00BC323B">
        <w:rPr>
          <w:rFonts w:ascii="Times New Roman" w:hAnsi="Times New Roman" w:cs="Times New Roman"/>
          <w:b/>
          <w:bCs/>
          <w:sz w:val="24"/>
          <w:szCs w:val="24"/>
        </w:rPr>
        <w:tab/>
        <w:t>Pārējās īstermiņa saistības</w:t>
      </w:r>
    </w:p>
    <w:p w14:paraId="3369185B" w14:textId="77777777" w:rsidR="00BC323B"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Pr>
          <w:rFonts w:ascii="Times New Roman" w:hAnsi="Times New Roman" w:cs="Times New Roman"/>
          <w:sz w:val="24"/>
          <w:szCs w:val="24"/>
        </w:rPr>
        <w:t xml:space="preserve">1144.    </w:t>
      </w:r>
      <w:r w:rsidRPr="00252675">
        <w:rPr>
          <w:rFonts w:ascii="Times New Roman" w:hAnsi="Times New Roman" w:cs="Times New Roman"/>
          <w:sz w:val="24"/>
          <w:szCs w:val="24"/>
        </w:rPr>
        <w:t xml:space="preserve">Pārskata gada beigās zembilancē uzrāda pārskata gada izdevumu kopsummu, balstoties uz kuru transferta izdevumi atzīstami nākamajos pārskata gados. </w:t>
      </w:r>
      <w:r w:rsidRPr="00252675">
        <w:rPr>
          <w:rFonts w:ascii="Times New Roman" w:hAnsi="Times New Roman" w:cs="Times New Roman"/>
          <w:i/>
          <w:iCs/>
          <w:sz w:val="24"/>
          <w:szCs w:val="24"/>
        </w:rPr>
        <w:t>Piemēram, citas budžeta iestādes 2019. gadā veiktie izdevumi 12 000,00 EUR apmērā tiek apstiprināti 2020. gada 3. februārī un budžeta iestāde pārskata gadā (2019. gadā) nav veikusi transferta pārskaitījumu. Budžeta iestāde uzrāda informāciju</w:t>
      </w:r>
      <w:r>
        <w:rPr>
          <w:rFonts w:ascii="Times New Roman" w:hAnsi="Times New Roman" w:cs="Times New Roman"/>
          <w:i/>
          <w:iCs/>
          <w:sz w:val="24"/>
          <w:szCs w:val="24"/>
        </w:rPr>
        <w:t xml:space="preserve"> </w:t>
      </w:r>
      <w:r w:rsidRPr="00252675">
        <w:rPr>
          <w:rFonts w:ascii="Times New Roman" w:hAnsi="Times New Roman" w:cs="Times New Roman"/>
          <w:i/>
          <w:iCs/>
          <w:sz w:val="24"/>
          <w:szCs w:val="24"/>
        </w:rPr>
        <w:t>2019. gada finanšu pārskata zembilances kodā 9590 “Citas zembilances saistības” par transferta izdevumu kopsummu 12 000,00 EUR apmērā, kas tiks uzrādīti 2020. gada izdevumos.</w:t>
      </w:r>
    </w:p>
    <w:p w14:paraId="61D81F51"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24.3. Pārējo izdevumu uzskaite</w:t>
      </w:r>
    </w:p>
    <w:p w14:paraId="3B365279"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2E06C2F3"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1145.   </w:t>
      </w:r>
      <w:r w:rsidRPr="00252675">
        <w:rPr>
          <w:rFonts w:ascii="Times New Roman" w:hAnsi="Times New Roman" w:cs="Times New Roman"/>
          <w:sz w:val="24"/>
          <w:szCs w:val="24"/>
        </w:rPr>
        <w:t>Budžeta iestāde kā pārskata perioda finanšu izdevumus uzskaita valūtas kursa svārstības, kas radušās, norēķinoties par monetāriem posteņiem (piemēram, saistības pret piegādātājiem vai aizņēmumi) vai pārskata perioda beigās pārrēķinot monetāros posteņus pēc valūtas kursa, kas atšķiras no tā, pēc kura monetārais postenis sākotnēji atzīts vai pārrēķināts iepriekšējā pārskata perioda beigās, veicot sekojošu grāmatojumu:</w:t>
      </w:r>
    </w:p>
    <w:p w14:paraId="5471B9B2"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29EDBE34"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D    8210</w:t>
      </w:r>
      <w:r w:rsidRPr="00252675">
        <w:rPr>
          <w:rFonts w:ascii="Times New Roman" w:hAnsi="Times New Roman" w:cs="Times New Roman"/>
          <w:b/>
          <w:bCs/>
          <w:sz w:val="24"/>
          <w:szCs w:val="24"/>
        </w:rPr>
        <w:tab/>
        <w:t>Izdevumi no valūtas kursa svārstībām</w:t>
      </w:r>
    </w:p>
    <w:p w14:paraId="20A690E2"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2300</w:t>
      </w:r>
      <w:r w:rsidRPr="00252675">
        <w:rPr>
          <w:rFonts w:ascii="Times New Roman" w:hAnsi="Times New Roman" w:cs="Times New Roman"/>
          <w:b/>
          <w:bCs/>
          <w:sz w:val="24"/>
          <w:szCs w:val="24"/>
        </w:rPr>
        <w:tab/>
        <w:t>Īstermiņa prasības</w:t>
      </w:r>
      <w:r w:rsidRPr="00252675">
        <w:rPr>
          <w:rFonts w:ascii="Times New Roman" w:hAnsi="Times New Roman" w:cs="Times New Roman"/>
          <w:b/>
          <w:bCs/>
          <w:sz w:val="24"/>
          <w:szCs w:val="24"/>
        </w:rPr>
        <w:tab/>
      </w:r>
      <w:r w:rsidRPr="00252675">
        <w:rPr>
          <w:rFonts w:ascii="Times New Roman" w:hAnsi="Times New Roman" w:cs="Times New Roman"/>
          <w:b/>
          <w:bCs/>
          <w:sz w:val="24"/>
          <w:szCs w:val="24"/>
        </w:rPr>
        <w:tab/>
      </w:r>
    </w:p>
    <w:p w14:paraId="3110E639"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2600</w:t>
      </w:r>
      <w:r w:rsidRPr="00252675">
        <w:rPr>
          <w:rFonts w:ascii="Times New Roman" w:hAnsi="Times New Roman" w:cs="Times New Roman"/>
          <w:b/>
          <w:bCs/>
          <w:sz w:val="24"/>
          <w:szCs w:val="24"/>
        </w:rPr>
        <w:tab/>
        <w:t>Naudas līdzekļi</w:t>
      </w:r>
      <w:r w:rsidRPr="00252675">
        <w:rPr>
          <w:rFonts w:ascii="Times New Roman" w:hAnsi="Times New Roman" w:cs="Times New Roman"/>
          <w:b/>
          <w:bCs/>
          <w:sz w:val="24"/>
          <w:szCs w:val="24"/>
        </w:rPr>
        <w:tab/>
      </w:r>
      <w:r w:rsidRPr="00252675">
        <w:rPr>
          <w:rFonts w:ascii="Times New Roman" w:hAnsi="Times New Roman" w:cs="Times New Roman"/>
          <w:b/>
          <w:bCs/>
          <w:sz w:val="24"/>
          <w:szCs w:val="24"/>
        </w:rPr>
        <w:tab/>
      </w:r>
    </w:p>
    <w:p w14:paraId="705CF46B"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5000</w:t>
      </w:r>
      <w:r w:rsidRPr="00252675">
        <w:rPr>
          <w:rFonts w:ascii="Times New Roman" w:hAnsi="Times New Roman" w:cs="Times New Roman"/>
          <w:b/>
          <w:bCs/>
          <w:sz w:val="24"/>
          <w:szCs w:val="24"/>
        </w:rPr>
        <w:tab/>
        <w:t>Saistības</w:t>
      </w:r>
    </w:p>
    <w:p w14:paraId="3919934C"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1146.  </w:t>
      </w:r>
      <w:r w:rsidRPr="00252675">
        <w:rPr>
          <w:rFonts w:ascii="Times New Roman" w:hAnsi="Times New Roman" w:cs="Times New Roman"/>
          <w:sz w:val="24"/>
          <w:szCs w:val="24"/>
        </w:rPr>
        <w:t>Subsīdijas un dotācijas komersantiem, biedrībām un nodibinājumiem saskaņā ar uzkrāšanas principu atzīst nākamo periodu izdevumos, subsīdijas un dotācijas izmaksājot avansā, vai pamatdarbības izdevumos atbilstoši budžeta iestādē apstiprinātajiem komersanta, biedrības vai nodibinājuma iesniegtajiem attaisnojuma dokumentiem. Budžeta iestāde izstrādā un apstiprina iekšēju kārtību par subsīdiju un dotāciju komersantiem, biedrībām un nodibinājumiem uzskaiti.</w:t>
      </w:r>
    </w:p>
    <w:p w14:paraId="2534B024"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52675">
        <w:rPr>
          <w:rFonts w:ascii="Times New Roman" w:hAnsi="Times New Roman" w:cs="Times New Roman"/>
          <w:sz w:val="24"/>
          <w:szCs w:val="24"/>
        </w:rPr>
        <w:t>Grāmatojums, atzīstot nākamo periodu izdevumus, subsīdijas un dotācijas izmaksājot avansā:</w:t>
      </w:r>
    </w:p>
    <w:p w14:paraId="71560D46"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0D48191D"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52675">
        <w:rPr>
          <w:rFonts w:ascii="Times New Roman" w:hAnsi="Times New Roman" w:cs="Times New Roman"/>
          <w:b/>
          <w:bCs/>
          <w:sz w:val="24"/>
          <w:szCs w:val="24"/>
        </w:rPr>
        <w:t>D    2400</w:t>
      </w:r>
      <w:r w:rsidRPr="00252675">
        <w:rPr>
          <w:rFonts w:ascii="Times New Roman" w:hAnsi="Times New Roman" w:cs="Times New Roman"/>
          <w:b/>
          <w:bCs/>
          <w:sz w:val="24"/>
          <w:szCs w:val="24"/>
        </w:rPr>
        <w:tab/>
        <w:t>Nākamo</w:t>
      </w:r>
      <w:r w:rsidRPr="00252675">
        <w:rPr>
          <w:rFonts w:ascii="Times New Roman" w:hAnsi="Times New Roman" w:cs="Times New Roman"/>
          <w:b/>
          <w:bCs/>
          <w:sz w:val="24"/>
          <w:szCs w:val="24"/>
        </w:rPr>
        <w:tab/>
        <w:t>periodu</w:t>
      </w:r>
      <w:r w:rsidRPr="00252675">
        <w:rPr>
          <w:rFonts w:ascii="Times New Roman" w:hAnsi="Times New Roman" w:cs="Times New Roman"/>
          <w:b/>
          <w:bCs/>
          <w:sz w:val="24"/>
          <w:szCs w:val="24"/>
        </w:rPr>
        <w:tab/>
        <w:t>izdevumi</w:t>
      </w:r>
      <w:r w:rsidRPr="00252675">
        <w:rPr>
          <w:rFonts w:ascii="Times New Roman" w:hAnsi="Times New Roman" w:cs="Times New Roman"/>
          <w:b/>
          <w:bCs/>
          <w:sz w:val="24"/>
          <w:szCs w:val="24"/>
        </w:rPr>
        <w:tab/>
        <w:t>un</w:t>
      </w:r>
      <w:r w:rsidRPr="00252675">
        <w:rPr>
          <w:rFonts w:ascii="Times New Roman" w:hAnsi="Times New Roman" w:cs="Times New Roman"/>
          <w:b/>
          <w:bCs/>
          <w:sz w:val="24"/>
          <w:szCs w:val="24"/>
        </w:rPr>
        <w:tab/>
        <w:t>avansa</w:t>
      </w:r>
      <w:r w:rsidRPr="00252675">
        <w:rPr>
          <w:rFonts w:ascii="Times New Roman" w:hAnsi="Times New Roman" w:cs="Times New Roman"/>
          <w:b/>
          <w:bCs/>
          <w:sz w:val="24"/>
          <w:szCs w:val="24"/>
        </w:rPr>
        <w:tab/>
        <w:t>maksājumi</w:t>
      </w:r>
      <w:r w:rsidRPr="00252675">
        <w:rPr>
          <w:rFonts w:ascii="Times New Roman" w:hAnsi="Times New Roman" w:cs="Times New Roman"/>
          <w:b/>
          <w:bCs/>
          <w:sz w:val="24"/>
          <w:szCs w:val="24"/>
        </w:rPr>
        <w:tab/>
        <w:t>par pakalpojumiem un projektiem</w:t>
      </w:r>
    </w:p>
    <w:p w14:paraId="21F8298E"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2620</w:t>
      </w:r>
      <w:r w:rsidRPr="00252675">
        <w:rPr>
          <w:rFonts w:ascii="Times New Roman" w:hAnsi="Times New Roman" w:cs="Times New Roman"/>
          <w:b/>
          <w:bCs/>
          <w:sz w:val="24"/>
          <w:szCs w:val="24"/>
        </w:rPr>
        <w:tab/>
        <w:t>Norēķinu konti Valsts kasē, kredītiestādēs vai citās institūcijās</w:t>
      </w:r>
    </w:p>
    <w:p w14:paraId="485EF305"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7D9DD6C3"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52675">
        <w:rPr>
          <w:rFonts w:ascii="Times New Roman" w:hAnsi="Times New Roman" w:cs="Times New Roman"/>
          <w:sz w:val="24"/>
          <w:szCs w:val="24"/>
        </w:rPr>
        <w:t>Grāmatojums,    atzīstot    pamatdarbības    izdevumus,    atbilstoši budžeta   iestādē</w:t>
      </w:r>
      <w:r>
        <w:rPr>
          <w:rFonts w:ascii="Times New Roman" w:hAnsi="Times New Roman" w:cs="Times New Roman"/>
          <w:sz w:val="24"/>
          <w:szCs w:val="24"/>
        </w:rPr>
        <w:t xml:space="preserve"> </w:t>
      </w:r>
      <w:r w:rsidRPr="00252675">
        <w:rPr>
          <w:rFonts w:ascii="Times New Roman" w:hAnsi="Times New Roman" w:cs="Times New Roman"/>
          <w:sz w:val="24"/>
          <w:szCs w:val="24"/>
        </w:rPr>
        <w:t>apstiprinātajiem komersanta, biedrības vai nodibinājuma iesniegtajiem attaisnojuma dokumentiem:</w:t>
      </w:r>
    </w:p>
    <w:p w14:paraId="2B44EFC7"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52675">
        <w:rPr>
          <w:rFonts w:ascii="Times New Roman" w:hAnsi="Times New Roman" w:cs="Times New Roman"/>
          <w:b/>
          <w:bCs/>
          <w:sz w:val="24"/>
          <w:szCs w:val="24"/>
        </w:rPr>
        <w:t xml:space="preserve">D    7000  </w:t>
      </w:r>
      <w:r w:rsidRPr="00252675">
        <w:rPr>
          <w:b/>
          <w:bCs/>
        </w:rPr>
        <w:t xml:space="preserve"> </w:t>
      </w:r>
      <w:r w:rsidRPr="00252675">
        <w:rPr>
          <w:rFonts w:ascii="Times New Roman" w:hAnsi="Times New Roman" w:cs="Times New Roman"/>
          <w:b/>
          <w:bCs/>
          <w:sz w:val="24"/>
          <w:szCs w:val="24"/>
        </w:rPr>
        <w:t>Pamatdarbības izdevumi</w:t>
      </w:r>
    </w:p>
    <w:p w14:paraId="0EAF5F5E"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2400   Nākamo</w:t>
      </w:r>
      <w:r w:rsidRPr="00252675">
        <w:rPr>
          <w:rFonts w:ascii="Times New Roman" w:hAnsi="Times New Roman" w:cs="Times New Roman"/>
          <w:b/>
          <w:bCs/>
          <w:sz w:val="24"/>
          <w:szCs w:val="24"/>
        </w:rPr>
        <w:tab/>
        <w:t>periodu</w:t>
      </w:r>
      <w:r w:rsidRPr="00252675">
        <w:rPr>
          <w:rFonts w:ascii="Times New Roman" w:hAnsi="Times New Roman" w:cs="Times New Roman"/>
          <w:b/>
          <w:bCs/>
          <w:sz w:val="24"/>
          <w:szCs w:val="24"/>
        </w:rPr>
        <w:tab/>
        <w:t>izdevumi</w:t>
      </w:r>
      <w:r w:rsidRPr="00252675">
        <w:rPr>
          <w:rFonts w:ascii="Times New Roman" w:hAnsi="Times New Roman" w:cs="Times New Roman"/>
          <w:b/>
          <w:bCs/>
          <w:sz w:val="24"/>
          <w:szCs w:val="24"/>
        </w:rPr>
        <w:tab/>
        <w:t>un</w:t>
      </w:r>
      <w:r w:rsidRPr="00252675">
        <w:rPr>
          <w:rFonts w:ascii="Times New Roman" w:hAnsi="Times New Roman" w:cs="Times New Roman"/>
          <w:b/>
          <w:bCs/>
          <w:sz w:val="24"/>
          <w:szCs w:val="24"/>
        </w:rPr>
        <w:tab/>
        <w:t>avansa</w:t>
      </w:r>
      <w:r w:rsidRPr="00252675">
        <w:rPr>
          <w:rFonts w:ascii="Times New Roman" w:hAnsi="Times New Roman" w:cs="Times New Roman"/>
          <w:b/>
          <w:bCs/>
          <w:sz w:val="24"/>
          <w:szCs w:val="24"/>
        </w:rPr>
        <w:tab/>
        <w:t>maksājumi</w:t>
      </w:r>
      <w:r w:rsidRPr="00252675">
        <w:rPr>
          <w:rFonts w:ascii="Times New Roman" w:hAnsi="Times New Roman" w:cs="Times New Roman"/>
          <w:b/>
          <w:bCs/>
          <w:sz w:val="24"/>
          <w:szCs w:val="24"/>
        </w:rPr>
        <w:tab/>
        <w:t>par pakalpojumiem un projektiem</w:t>
      </w:r>
      <w:r>
        <w:rPr>
          <w:rFonts w:ascii="Times New Roman" w:hAnsi="Times New Roman" w:cs="Times New Roman"/>
          <w:b/>
          <w:bCs/>
          <w:sz w:val="24"/>
          <w:szCs w:val="24"/>
        </w:rPr>
        <w:t xml:space="preserve"> </w:t>
      </w:r>
    </w:p>
    <w:p w14:paraId="78EA43DB"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4E3A16ED"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1147.  </w:t>
      </w:r>
      <w:r w:rsidRPr="00252675">
        <w:rPr>
          <w:rFonts w:ascii="Times New Roman" w:hAnsi="Times New Roman" w:cs="Times New Roman"/>
          <w:sz w:val="24"/>
          <w:szCs w:val="24"/>
        </w:rPr>
        <w:t>Budžeta iestāde procentu izdevumus atzīst kā finanšu izdevumus periodā, kad tie radušies, neatkarīgi no tā, vai nauda ir samaksāta, veicot sekojošu grāmatojumu:</w:t>
      </w:r>
    </w:p>
    <w:p w14:paraId="258E715E"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49FF2DF" w14:textId="77777777" w:rsidR="00252675" w:rsidRPr="00E84C62"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8220</w:t>
      </w:r>
      <w:r w:rsidR="00E84C62" w:rsidRPr="00E84C62">
        <w:rPr>
          <w:rFonts w:ascii="Times New Roman" w:hAnsi="Times New Roman" w:cs="Times New Roman"/>
          <w:b/>
          <w:bCs/>
          <w:sz w:val="24"/>
          <w:szCs w:val="24"/>
        </w:rPr>
        <w:t xml:space="preserve">   </w:t>
      </w:r>
      <w:r w:rsidRPr="00E84C62">
        <w:rPr>
          <w:rFonts w:ascii="Times New Roman" w:hAnsi="Times New Roman" w:cs="Times New Roman"/>
          <w:b/>
          <w:bCs/>
          <w:sz w:val="24"/>
          <w:szCs w:val="24"/>
        </w:rPr>
        <w:t>Procentu izdevumi</w:t>
      </w:r>
    </w:p>
    <w:p w14:paraId="6735390A" w14:textId="77777777" w:rsidR="00252675" w:rsidRPr="00E84C62"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5315   Īstermiņa saistības par finanšu nomu  </w:t>
      </w:r>
    </w:p>
    <w:p w14:paraId="7FDA2146" w14:textId="77777777" w:rsidR="00252675"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w:t>
      </w:r>
      <w:r w:rsidR="00252675" w:rsidRPr="00E84C62">
        <w:rPr>
          <w:rFonts w:ascii="Times New Roman" w:hAnsi="Times New Roman" w:cs="Times New Roman"/>
          <w:b/>
          <w:bCs/>
          <w:sz w:val="24"/>
          <w:szCs w:val="24"/>
        </w:rPr>
        <w:t xml:space="preserve"> K   </w:t>
      </w:r>
      <w:r w:rsidRPr="00E84C62">
        <w:rPr>
          <w:rFonts w:ascii="Times New Roman" w:hAnsi="Times New Roman" w:cs="Times New Roman"/>
          <w:b/>
          <w:bCs/>
          <w:sz w:val="24"/>
          <w:szCs w:val="24"/>
        </w:rPr>
        <w:t xml:space="preserve"> </w:t>
      </w:r>
      <w:r w:rsidR="00252675" w:rsidRPr="00E84C62">
        <w:rPr>
          <w:rFonts w:ascii="Times New Roman" w:hAnsi="Times New Roman" w:cs="Times New Roman"/>
          <w:b/>
          <w:bCs/>
          <w:sz w:val="24"/>
          <w:szCs w:val="24"/>
        </w:rPr>
        <w:t>5317</w:t>
      </w:r>
      <w:r w:rsidR="00252675" w:rsidRPr="00E84C62">
        <w:rPr>
          <w:b/>
          <w:bCs/>
        </w:rPr>
        <w:t xml:space="preserve"> </w:t>
      </w:r>
      <w:r w:rsidRPr="00E84C62">
        <w:rPr>
          <w:b/>
          <w:bCs/>
        </w:rPr>
        <w:t xml:space="preserve">  </w:t>
      </w:r>
      <w:r w:rsidR="00252675" w:rsidRPr="00E84C62">
        <w:rPr>
          <w:rFonts w:ascii="Times New Roman" w:hAnsi="Times New Roman" w:cs="Times New Roman"/>
          <w:b/>
          <w:bCs/>
          <w:sz w:val="24"/>
          <w:szCs w:val="24"/>
        </w:rPr>
        <w:t>Saistības par procentu un citiem maksājumiem</w:t>
      </w:r>
    </w:p>
    <w:p w14:paraId="6E3B892A" w14:textId="77777777" w:rsidR="00252675"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w:t>
      </w:r>
      <w:r w:rsidR="00252675" w:rsidRPr="00E84C62">
        <w:rPr>
          <w:rFonts w:ascii="Times New Roman" w:hAnsi="Times New Roman" w:cs="Times New Roman"/>
          <w:b/>
          <w:bCs/>
          <w:sz w:val="24"/>
          <w:szCs w:val="24"/>
        </w:rPr>
        <w:t>5215</w:t>
      </w:r>
      <w:r w:rsidR="00252675" w:rsidRPr="00E84C62">
        <w:rPr>
          <w:b/>
          <w:bCs/>
        </w:rPr>
        <w:t xml:space="preserve"> </w:t>
      </w:r>
      <w:r w:rsidRPr="00E84C62">
        <w:rPr>
          <w:b/>
          <w:bCs/>
        </w:rPr>
        <w:t xml:space="preserve">  </w:t>
      </w:r>
      <w:r w:rsidR="00252675" w:rsidRPr="00E84C62">
        <w:rPr>
          <w:rFonts w:ascii="Times New Roman" w:hAnsi="Times New Roman" w:cs="Times New Roman"/>
          <w:b/>
          <w:bCs/>
          <w:sz w:val="24"/>
          <w:szCs w:val="24"/>
        </w:rPr>
        <w:t>Saistības par procentu un citiem maksājumiem par aizņēmumiem</w:t>
      </w:r>
    </w:p>
    <w:p w14:paraId="7D0A1181"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w:t>
      </w:r>
      <w:r w:rsidR="00252675" w:rsidRPr="00E84C62">
        <w:rPr>
          <w:rFonts w:ascii="Times New Roman" w:hAnsi="Times New Roman" w:cs="Times New Roman"/>
          <w:b/>
          <w:bCs/>
          <w:sz w:val="24"/>
          <w:szCs w:val="24"/>
        </w:rPr>
        <w:t>5216</w:t>
      </w:r>
      <w:r w:rsidRPr="00E84C62">
        <w:rPr>
          <w:rFonts w:ascii="Times New Roman" w:hAnsi="Times New Roman" w:cs="Times New Roman"/>
          <w:b/>
          <w:bCs/>
          <w:sz w:val="24"/>
          <w:szCs w:val="24"/>
        </w:rPr>
        <w:t xml:space="preserve">   </w:t>
      </w:r>
      <w:r w:rsidR="00252675" w:rsidRPr="00E84C62">
        <w:rPr>
          <w:rFonts w:ascii="Times New Roman" w:hAnsi="Times New Roman" w:cs="Times New Roman"/>
          <w:b/>
          <w:bCs/>
          <w:sz w:val="24"/>
          <w:szCs w:val="24"/>
        </w:rPr>
        <w:t>Uzkrātās saistības par procentu un citiem maksājumiem par aizņēmumiem</w:t>
      </w:r>
    </w:p>
    <w:p w14:paraId="064E8ECF"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0EC941F1"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sz w:val="24"/>
          <w:szCs w:val="24"/>
        </w:rPr>
        <w:t>1148.</w:t>
      </w:r>
      <w:r>
        <w:rPr>
          <w:rFonts w:ascii="Times New Roman" w:hAnsi="Times New Roman" w:cs="Times New Roman"/>
          <w:b/>
          <w:bCs/>
          <w:sz w:val="24"/>
          <w:szCs w:val="24"/>
        </w:rPr>
        <w:t xml:space="preserve">    </w:t>
      </w:r>
      <w:r w:rsidRPr="00E84C62">
        <w:rPr>
          <w:rFonts w:ascii="Times New Roman" w:hAnsi="Times New Roman" w:cs="Times New Roman"/>
          <w:sz w:val="24"/>
          <w:szCs w:val="24"/>
        </w:rPr>
        <w:t>Ja budžeta iestāde inventarizācijas rezultātā konstatē nefinanšu aktīva iztrūkumu, tad, pamatojoties uz iestādes vadītāja apstiprinātu kārtību, attiecīgo nefinanšu aktīvu izslēdz no uzskaites, veicot sekojošu grāmatojumu:</w:t>
      </w:r>
    </w:p>
    <w:p w14:paraId="59F36A81"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A49BA4A"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84C62">
        <w:rPr>
          <w:rFonts w:ascii="Times New Roman" w:hAnsi="Times New Roman" w:cs="Times New Roman"/>
          <w:b/>
          <w:bCs/>
          <w:sz w:val="24"/>
          <w:szCs w:val="24"/>
        </w:rPr>
        <w:t>D    8611</w:t>
      </w:r>
      <w:r w:rsidRPr="00E84C62">
        <w:rPr>
          <w:rFonts w:ascii="Times New Roman" w:hAnsi="Times New Roman" w:cs="Times New Roman"/>
          <w:b/>
          <w:bCs/>
          <w:sz w:val="24"/>
          <w:szCs w:val="24"/>
        </w:rPr>
        <w:tab/>
        <w:t>Izdevumi no nefinanšu aktīvu norakstīšanas un likvidēšanas</w:t>
      </w:r>
    </w:p>
    <w:p w14:paraId="297CAA83"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2100</w:t>
      </w:r>
      <w:r w:rsidRPr="00E84C62">
        <w:rPr>
          <w:rFonts w:ascii="Times New Roman" w:hAnsi="Times New Roman" w:cs="Times New Roman"/>
          <w:b/>
          <w:bCs/>
          <w:sz w:val="24"/>
          <w:szCs w:val="24"/>
        </w:rPr>
        <w:tab/>
        <w:t>Krājumi</w:t>
      </w:r>
    </w:p>
    <w:p w14:paraId="2EA62035"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362E6912"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1149.  </w:t>
      </w:r>
      <w:r w:rsidRPr="00E84C62">
        <w:rPr>
          <w:rFonts w:ascii="Times New Roman" w:hAnsi="Times New Roman" w:cs="Times New Roman"/>
          <w:sz w:val="24"/>
          <w:szCs w:val="24"/>
        </w:rPr>
        <w:t>Budžeta iestāde pēc prasību novērtēšanas, pamatojoties uz veiktajiem aprēķiniem, atzīst vērtības samazinājumu nedrošām prasībām un veiktajiem avansu maksājumiem, veicot sekojošu grāmatojumu:</w:t>
      </w:r>
    </w:p>
    <w:p w14:paraId="2D81ACE2"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2D22FAB" w14:textId="77777777" w:rsidR="00E84C62" w:rsidRPr="00E84C62" w:rsidRDefault="00E84C62" w:rsidP="00CD363C">
      <w:pPr>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8651   Izdevumi no vērtības samazinājuma avansa maksājumiem par nefinanšu aktīviem</w:t>
      </w:r>
    </w:p>
    <w:p w14:paraId="347B9D98"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8655   Izdevumi no vērtības samazinājuma prasībām un avansiem par pakalpojumiem</w:t>
      </w:r>
    </w:p>
    <w:p w14:paraId="0559AE55"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2318  </w:t>
      </w:r>
      <w:r w:rsidRPr="00E84C62">
        <w:rPr>
          <w:b/>
          <w:bCs/>
        </w:rPr>
        <w:t xml:space="preserve"> </w:t>
      </w:r>
      <w:r w:rsidRPr="00E84C62">
        <w:rPr>
          <w:rFonts w:ascii="Times New Roman" w:hAnsi="Times New Roman" w:cs="Times New Roman"/>
          <w:b/>
          <w:bCs/>
          <w:sz w:val="24"/>
          <w:szCs w:val="24"/>
        </w:rPr>
        <w:t>Vērtības samazinājums prasībām pret pircējiem un pasūtītājiem</w:t>
      </w:r>
    </w:p>
    <w:p w14:paraId="5C81ABC0"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1187  </w:t>
      </w:r>
      <w:r w:rsidRPr="00E84C62">
        <w:rPr>
          <w:b/>
          <w:bCs/>
        </w:rPr>
        <w:t xml:space="preserve"> </w:t>
      </w:r>
      <w:r w:rsidRPr="00E84C62">
        <w:rPr>
          <w:rFonts w:ascii="Times New Roman" w:hAnsi="Times New Roman" w:cs="Times New Roman"/>
          <w:b/>
          <w:bCs/>
          <w:sz w:val="24"/>
          <w:szCs w:val="24"/>
        </w:rPr>
        <w:t>Vērtības</w:t>
      </w:r>
      <w:r w:rsidRPr="00E84C62">
        <w:rPr>
          <w:rFonts w:ascii="Times New Roman" w:hAnsi="Times New Roman" w:cs="Times New Roman"/>
          <w:b/>
          <w:bCs/>
          <w:sz w:val="24"/>
          <w:szCs w:val="24"/>
        </w:rPr>
        <w:tab/>
        <w:t>samazinājums</w:t>
      </w:r>
      <w:r w:rsidRPr="00E84C62">
        <w:rPr>
          <w:rFonts w:ascii="Times New Roman" w:hAnsi="Times New Roman" w:cs="Times New Roman"/>
          <w:b/>
          <w:bCs/>
          <w:sz w:val="24"/>
          <w:szCs w:val="24"/>
        </w:rPr>
        <w:tab/>
        <w:t>avansa</w:t>
      </w:r>
      <w:r w:rsidRPr="00E84C62">
        <w:rPr>
          <w:rFonts w:ascii="Times New Roman" w:hAnsi="Times New Roman" w:cs="Times New Roman"/>
          <w:b/>
          <w:bCs/>
          <w:sz w:val="24"/>
          <w:szCs w:val="24"/>
        </w:rPr>
        <w:tab/>
        <w:t>maksājumiem</w:t>
      </w:r>
      <w:r w:rsidRPr="00E84C62">
        <w:rPr>
          <w:rFonts w:ascii="Times New Roman" w:hAnsi="Times New Roman" w:cs="Times New Roman"/>
          <w:b/>
          <w:bCs/>
          <w:sz w:val="24"/>
          <w:szCs w:val="24"/>
        </w:rPr>
        <w:tab/>
        <w:t>par nemateriālajiem ieguldījumiem</w:t>
      </w:r>
    </w:p>
    <w:p w14:paraId="75A6B96B"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1287   Vērtības</w:t>
      </w:r>
      <w:r w:rsidRPr="00E84C62">
        <w:rPr>
          <w:rFonts w:ascii="Times New Roman" w:hAnsi="Times New Roman" w:cs="Times New Roman"/>
          <w:b/>
          <w:bCs/>
          <w:sz w:val="24"/>
          <w:szCs w:val="24"/>
        </w:rPr>
        <w:tab/>
        <w:t>samazinājums</w:t>
      </w:r>
      <w:r w:rsidRPr="00E84C62">
        <w:rPr>
          <w:rFonts w:ascii="Times New Roman" w:hAnsi="Times New Roman" w:cs="Times New Roman"/>
          <w:b/>
          <w:bCs/>
          <w:sz w:val="24"/>
          <w:szCs w:val="24"/>
        </w:rPr>
        <w:tab/>
        <w:t>avansa</w:t>
      </w:r>
      <w:r w:rsidRPr="00E84C62">
        <w:rPr>
          <w:rFonts w:ascii="Times New Roman" w:hAnsi="Times New Roman" w:cs="Times New Roman"/>
          <w:b/>
          <w:bCs/>
          <w:sz w:val="24"/>
          <w:szCs w:val="24"/>
        </w:rPr>
        <w:tab/>
        <w:t>maksājumiem</w:t>
      </w:r>
      <w:r w:rsidRPr="00E84C62">
        <w:rPr>
          <w:rFonts w:ascii="Times New Roman" w:hAnsi="Times New Roman" w:cs="Times New Roman"/>
          <w:b/>
          <w:bCs/>
          <w:sz w:val="24"/>
          <w:szCs w:val="24"/>
        </w:rPr>
        <w:tab/>
        <w:t>par pamatlīdzekļiem</w:t>
      </w:r>
    </w:p>
    <w:p w14:paraId="18242174"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2427   Vērtības</w:t>
      </w:r>
      <w:r w:rsidRPr="00E84C62">
        <w:rPr>
          <w:rFonts w:ascii="Times New Roman" w:hAnsi="Times New Roman" w:cs="Times New Roman"/>
          <w:b/>
          <w:bCs/>
          <w:sz w:val="24"/>
          <w:szCs w:val="24"/>
        </w:rPr>
        <w:tab/>
        <w:t>samazinājums</w:t>
      </w:r>
      <w:r w:rsidRPr="00E84C62">
        <w:rPr>
          <w:rFonts w:ascii="Times New Roman" w:hAnsi="Times New Roman" w:cs="Times New Roman"/>
          <w:b/>
          <w:bCs/>
          <w:sz w:val="24"/>
          <w:szCs w:val="24"/>
        </w:rPr>
        <w:tab/>
        <w:t>avansa</w:t>
      </w:r>
      <w:r w:rsidRPr="00E84C62">
        <w:rPr>
          <w:rFonts w:ascii="Times New Roman" w:hAnsi="Times New Roman" w:cs="Times New Roman"/>
          <w:b/>
          <w:bCs/>
          <w:sz w:val="24"/>
          <w:szCs w:val="24"/>
        </w:rPr>
        <w:tab/>
        <w:t>maksājumiem</w:t>
      </w:r>
      <w:r w:rsidRPr="00E84C62">
        <w:rPr>
          <w:rFonts w:ascii="Times New Roman" w:hAnsi="Times New Roman" w:cs="Times New Roman"/>
          <w:b/>
          <w:bCs/>
          <w:sz w:val="24"/>
          <w:szCs w:val="24"/>
        </w:rPr>
        <w:tab/>
        <w:t>par pakalpojumiem</w:t>
      </w:r>
    </w:p>
    <w:p w14:paraId="3D24220D"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1150.   </w:t>
      </w:r>
      <w:r w:rsidRPr="00E84C62">
        <w:rPr>
          <w:rFonts w:ascii="Times New Roman" w:hAnsi="Times New Roman" w:cs="Times New Roman"/>
          <w:sz w:val="24"/>
          <w:szCs w:val="24"/>
        </w:rPr>
        <w:t>Ja prasību, kuras piedziņa nav iespējama saskaņā ar tiesību normām un kurai iepriekš nav bijis atzīts vērtības samazinājums, budžeta iestāde izslēdz no uzskaites, veicot sekojošu grāmatojumu:</w:t>
      </w:r>
    </w:p>
    <w:p w14:paraId="2E3B2E6E"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8630</w:t>
      </w:r>
      <w:r w:rsidRPr="00E84C62">
        <w:rPr>
          <w:rFonts w:ascii="Times New Roman" w:hAnsi="Times New Roman" w:cs="Times New Roman"/>
          <w:b/>
          <w:bCs/>
          <w:sz w:val="24"/>
          <w:szCs w:val="24"/>
        </w:rPr>
        <w:tab/>
        <w:t>Izdevumi no prasību norakstīšanas un naudas līdzekļu vai to ekvivalentu iztrūkuma</w:t>
      </w:r>
    </w:p>
    <w:p w14:paraId="2F710668"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2311</w:t>
      </w:r>
      <w:r w:rsidRPr="00E84C62">
        <w:rPr>
          <w:rFonts w:ascii="Times New Roman" w:hAnsi="Times New Roman" w:cs="Times New Roman"/>
          <w:b/>
          <w:bCs/>
          <w:sz w:val="24"/>
          <w:szCs w:val="24"/>
        </w:rPr>
        <w:tab/>
        <w:t>Prasības pret pircējiem un pasūtītājiem</w:t>
      </w:r>
    </w:p>
    <w:p w14:paraId="1E0F9275" w14:textId="77777777" w:rsid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567261B4" w14:textId="77777777" w:rsidR="00E84C62" w:rsidRPr="00E84C62"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24.4. Praktiski piemēri un informācijas atklāšana</w:t>
      </w:r>
    </w:p>
    <w:p w14:paraId="7D1B1000" w14:textId="77777777" w:rsidR="00B46BBF" w:rsidRP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1151.  </w:t>
      </w:r>
      <w:r w:rsidRPr="00B46BBF">
        <w:rPr>
          <w:rFonts w:ascii="Times New Roman" w:hAnsi="Times New Roman" w:cs="Times New Roman"/>
          <w:sz w:val="24"/>
          <w:szCs w:val="24"/>
        </w:rPr>
        <w:t>Praktisks piemērs par pamatdarbības izdevumu atzīšanu</w:t>
      </w:r>
    </w:p>
    <w:p w14:paraId="1241D97F" w14:textId="77777777" w:rsidR="00B46BBF" w:rsidRP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B46BBF">
        <w:rPr>
          <w:rFonts w:ascii="Times New Roman" w:hAnsi="Times New Roman" w:cs="Times New Roman"/>
          <w:sz w:val="24"/>
          <w:szCs w:val="24"/>
        </w:rPr>
        <w:t>Budžeta iestāde ir noslēgusi līgumu ar IT pakalpojumu sniedzēju, kas paredz nodrošināt IT palīdzības dienesta un konsultācijas pakalpojumus 4 mēnešu garumā.</w:t>
      </w:r>
    </w:p>
    <w:p w14:paraId="03419C9B" w14:textId="77777777" w:rsidR="00B46BBF" w:rsidRP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B46BBF">
        <w:rPr>
          <w:rFonts w:ascii="Times New Roman" w:hAnsi="Times New Roman" w:cs="Times New Roman"/>
          <w:sz w:val="24"/>
          <w:szCs w:val="24"/>
        </w:rPr>
        <w:t>Līguma  darbības  laiks  no  2019.  gada  1.  decembra  līdz  2020.  gada  31.  martam.  Līguma  summa     10 000,00 EUR.</w:t>
      </w:r>
    </w:p>
    <w:p w14:paraId="07219405"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Līgums nosaka, ka pakalpojuma sniedzējs par katru mēnesi līdz nākošā mēneša 15. datumam izsniedz rēķinu. Uz 31.12.2019. budžeta iestāde nav saņēmusi rēķinu.</w:t>
      </w:r>
    </w:p>
    <w:p w14:paraId="2E382FA7"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xml:space="preserve">     Budžeta iestāde atzīst uzkrātās saistības par izdevumiem, kas attiecināmi uz 2018. gada decembri. Mēneša maksa: 10 000, 00 EUR / 4 = 2 500,00 EUR. Uz 31.12.2019. atzītās</w:t>
      </w:r>
    </w:p>
    <w:p w14:paraId="3C88EE1A"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uzkrātās saistības: 2 500,00 EUR.</w:t>
      </w:r>
    </w:p>
    <w:p w14:paraId="6C23413C"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31.12.2019. budžeta iestāde veic sekojošu grāmatojumu:</w:t>
      </w:r>
    </w:p>
    <w:p w14:paraId="1F8A7E9B"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7000*</w:t>
      </w:r>
      <w:r w:rsidRPr="00B46BBF">
        <w:rPr>
          <w:rFonts w:ascii="Times New Roman" w:hAnsi="Times New Roman" w:cs="Times New Roman"/>
          <w:sz w:val="24"/>
          <w:szCs w:val="24"/>
        </w:rPr>
        <w:tab/>
        <w:t>Pamatdarbības izdevumi</w:t>
      </w:r>
      <w:r w:rsidRPr="00B46BBF">
        <w:rPr>
          <w:rFonts w:ascii="Times New Roman" w:hAnsi="Times New Roman" w:cs="Times New Roman"/>
          <w:sz w:val="24"/>
          <w:szCs w:val="24"/>
        </w:rPr>
        <w:tab/>
        <w:t>2 500,00 EUR</w:t>
      </w:r>
    </w:p>
    <w:p w14:paraId="1F27B1B0"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5420</w:t>
      </w:r>
      <w:r w:rsidRPr="00B46BBF">
        <w:rPr>
          <w:rFonts w:ascii="Times New Roman" w:hAnsi="Times New Roman" w:cs="Times New Roman"/>
          <w:sz w:val="24"/>
          <w:szCs w:val="24"/>
        </w:rPr>
        <w:tab/>
        <w:t>Īstermiņa uzkrātās saistības</w:t>
      </w:r>
      <w:r w:rsidRPr="00B46BBF">
        <w:rPr>
          <w:rFonts w:ascii="Times New Roman" w:hAnsi="Times New Roman" w:cs="Times New Roman"/>
          <w:sz w:val="24"/>
          <w:szCs w:val="24"/>
        </w:rPr>
        <w:tab/>
        <w:t>2 500,00 EUR</w:t>
      </w:r>
    </w:p>
    <w:p w14:paraId="50D87B50"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budžeta iestāde izstrādā kontu plānu pamatdarbības izdevumu uzskaitei atbilstoši budžeta izdevumu ekonomisko kategoriju klasifikācijai</w:t>
      </w:r>
    </w:p>
    <w:p w14:paraId="1BFF85C1"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Saņemot rēķinu, nākamajā pārskata gadā, budžeta iestāde dzēš iepriekš atzītās uzkrātās saistības un atzīst saistības pret piegādātāju saskaņā ar rēķinu.</w:t>
      </w:r>
    </w:p>
    <w:p w14:paraId="34BB00D9"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1152.   </w:t>
      </w:r>
      <w:r w:rsidRPr="00B46BBF">
        <w:rPr>
          <w:rFonts w:ascii="Times New Roman" w:hAnsi="Times New Roman" w:cs="Times New Roman"/>
          <w:sz w:val="24"/>
          <w:szCs w:val="24"/>
        </w:rPr>
        <w:t>Praktisks piemērs par izdevumu atzīšanu pabalstam garantētā minimālā ienākumu līmeņa nodrošināšanai</w:t>
      </w:r>
    </w:p>
    <w:p w14:paraId="051C6678"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Pašvaldības sociālais dienests, izvērtējot fiziskas personas iesniegtos dokumentus, ir pieņēmis lēmumu piešķirt ģimenei pabalstu garantētā minimālā ienākumu līmeņa nodrošināšanai, nosakot pabalsta mēneša apmēru 135,70 EUR, pielietojot normatīvajos aktos noteikto aprēķina formulu.</w:t>
      </w:r>
    </w:p>
    <w:p w14:paraId="2D93B0B5"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Sociālais dienests noteicis ģimenei trūcīgās statusu laika periodam no 01.12.2019. līdz 30.06.2020. Dienests veic pabalsta maksājumu ģimenei (personai) katru mēnesi visa noteiktā termiņa laikā, sākot no mēneša, kad</w:t>
      </w:r>
      <w:r>
        <w:rPr>
          <w:rFonts w:ascii="Times New Roman" w:hAnsi="Times New Roman" w:cs="Times New Roman"/>
          <w:sz w:val="24"/>
          <w:szCs w:val="24"/>
        </w:rPr>
        <w:t xml:space="preserve"> </w:t>
      </w:r>
      <w:r w:rsidRPr="00B46BBF">
        <w:rPr>
          <w:rFonts w:ascii="Times New Roman" w:hAnsi="Times New Roman" w:cs="Times New Roman"/>
          <w:sz w:val="24"/>
          <w:szCs w:val="24"/>
        </w:rPr>
        <w:t>ģimenei piešķirts trūcīgās statuss. Pēc termiņa beigām dienests pārtrauc pabalsta maksājumu. Sociālais dienests pabalsta izmaksu veic līdz katra nākamā mēneša 10. datumam.</w:t>
      </w:r>
    </w:p>
    <w:p w14:paraId="15EEE28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1)</w:t>
      </w:r>
      <w:r w:rsidRPr="00B46BBF">
        <w:rPr>
          <w:rFonts w:ascii="Times New Roman" w:hAnsi="Times New Roman" w:cs="Times New Roman"/>
          <w:sz w:val="24"/>
          <w:szCs w:val="24"/>
        </w:rPr>
        <w:tab/>
        <w:t>Datumā, kad Sociālā dienesta lēmums stājas spēkā un ir nepārsūdzams, budžeta iestāde atzīst izdevumus par 2019. gada decembrī maksājamo pabalstu un saistības pret personu par 2019. gada decembra pabalstu, veicot sekojošu grāmatojumu:</w:t>
      </w:r>
    </w:p>
    <w:p w14:paraId="08760A0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7000*</w:t>
      </w:r>
      <w:r w:rsidRPr="00B46BBF">
        <w:rPr>
          <w:rFonts w:ascii="Times New Roman" w:hAnsi="Times New Roman" w:cs="Times New Roman"/>
          <w:sz w:val="24"/>
          <w:szCs w:val="24"/>
        </w:rPr>
        <w:tab/>
        <w:t>Pamatdarbības izdevumi</w:t>
      </w:r>
      <w:r w:rsidRPr="00B46BBF">
        <w:rPr>
          <w:rFonts w:ascii="Times New Roman" w:hAnsi="Times New Roman" w:cs="Times New Roman"/>
          <w:sz w:val="24"/>
          <w:szCs w:val="24"/>
        </w:rPr>
        <w:tab/>
        <w:t>135,70 EUR</w:t>
      </w:r>
    </w:p>
    <w:p w14:paraId="336C4B7F"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5C99188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budžeta iestāde izstrādā kontu plānu pamatdarbības izdevumu uzskaitei atbilstoši budžeta izdevumu ekonomisko kategoriju klasifikācijai</w:t>
      </w:r>
    </w:p>
    <w:p w14:paraId="784E171A"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2)</w:t>
      </w:r>
      <w:r w:rsidRPr="00B46BBF">
        <w:rPr>
          <w:rFonts w:ascii="Times New Roman" w:hAnsi="Times New Roman" w:cs="Times New Roman"/>
          <w:sz w:val="24"/>
          <w:szCs w:val="24"/>
        </w:rPr>
        <w:tab/>
        <w:t>Sociālais dienests 08.01.2020. veic pabalsta pārskaitījumu par 2019.gada decembri personai uz norēķinu kontu, samazinot saistības un naudas līdzekļus:</w:t>
      </w:r>
    </w:p>
    <w:p w14:paraId="66D94584"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384CC99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2620</w:t>
      </w:r>
      <w:r w:rsidRPr="00B46BBF">
        <w:rPr>
          <w:rFonts w:ascii="Times New Roman" w:hAnsi="Times New Roman" w:cs="Times New Roman"/>
          <w:sz w:val="24"/>
          <w:szCs w:val="24"/>
        </w:rPr>
        <w:tab/>
        <w:t>Norēķinu konti Valsts kasē, kredītiestādēs vai citās institūcijās</w:t>
      </w:r>
      <w:r w:rsidRPr="00B46BBF">
        <w:rPr>
          <w:rFonts w:ascii="Times New Roman" w:hAnsi="Times New Roman" w:cs="Times New Roman"/>
          <w:sz w:val="24"/>
          <w:szCs w:val="24"/>
        </w:rPr>
        <w:tab/>
        <w:t>135,70 EUR</w:t>
      </w:r>
    </w:p>
    <w:p w14:paraId="74DDC01A"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3)</w:t>
      </w:r>
      <w:r w:rsidRPr="00B46BBF">
        <w:rPr>
          <w:rFonts w:ascii="Times New Roman" w:hAnsi="Times New Roman" w:cs="Times New Roman"/>
          <w:sz w:val="24"/>
          <w:szCs w:val="24"/>
        </w:rPr>
        <w:tab/>
        <w:t>Sociālais dienests turpmākos mēnešos katra mēneša beigās atzīst saistības un izdevumus par attiecīgo mēnesi, veicot sekojošu grāmatojumu:</w:t>
      </w:r>
    </w:p>
    <w:p w14:paraId="7A1F8C05"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7000*</w:t>
      </w:r>
      <w:r w:rsidRPr="00B46BBF">
        <w:rPr>
          <w:rFonts w:ascii="Times New Roman" w:hAnsi="Times New Roman" w:cs="Times New Roman"/>
          <w:sz w:val="24"/>
          <w:szCs w:val="24"/>
        </w:rPr>
        <w:tab/>
        <w:t>Pamatdarbības izdevumi</w:t>
      </w:r>
      <w:r w:rsidRPr="00B46BBF">
        <w:rPr>
          <w:rFonts w:ascii="Times New Roman" w:hAnsi="Times New Roman" w:cs="Times New Roman"/>
          <w:sz w:val="24"/>
          <w:szCs w:val="24"/>
        </w:rPr>
        <w:tab/>
        <w:t>135,70 EUR</w:t>
      </w:r>
    </w:p>
    <w:p w14:paraId="274B8F48"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18C4938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budžeta iestāde izstrādā kontu plānu pamatdarbības izdevumu uzskaitei atbilstoši budžeta izdevumu ekonomisko kategoriju klasifikācijai</w:t>
      </w:r>
    </w:p>
    <w:p w14:paraId="485D4C4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4)</w:t>
      </w:r>
      <w:r w:rsidRPr="00B46BBF">
        <w:rPr>
          <w:rFonts w:ascii="Times New Roman" w:hAnsi="Times New Roman" w:cs="Times New Roman"/>
          <w:sz w:val="24"/>
          <w:szCs w:val="24"/>
        </w:rPr>
        <w:tab/>
        <w:t>Sociālais dienests katru mēnesi, veicot pabalsta pārskaitījumu par iepriekšējo mēnesi, samazina iepriekš atzītās saistības un naudas līdzekļus:</w:t>
      </w:r>
    </w:p>
    <w:p w14:paraId="3E43571E"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3871FD41" w14:textId="77777777" w:rsidR="00C04D6A"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2620</w:t>
      </w:r>
      <w:r w:rsidRPr="00B46BBF">
        <w:rPr>
          <w:rFonts w:ascii="Times New Roman" w:hAnsi="Times New Roman" w:cs="Times New Roman"/>
          <w:sz w:val="24"/>
          <w:szCs w:val="24"/>
        </w:rPr>
        <w:tab/>
        <w:t>Norēķinu konti Valsts kasē, kredītiestādēs vai citās institūcijās</w:t>
      </w:r>
      <w:r w:rsidRPr="00B46BBF">
        <w:rPr>
          <w:rFonts w:ascii="Times New Roman" w:hAnsi="Times New Roman" w:cs="Times New Roman"/>
          <w:sz w:val="24"/>
          <w:szCs w:val="24"/>
        </w:rPr>
        <w:tab/>
        <w:t>135,70 EUR</w:t>
      </w:r>
    </w:p>
    <w:p w14:paraId="080D7AE9" w14:textId="77777777" w:rsidR="00A84D5C" w:rsidRDefault="00A84D5C"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p>
    <w:p w14:paraId="0830FD63" w14:textId="77777777" w:rsidR="00B46BBF" w:rsidRDefault="00B46BBF" w:rsidP="00CD363C">
      <w:pPr>
        <w:widowControl w:val="0"/>
        <w:tabs>
          <w:tab w:val="left" w:pos="1018"/>
        </w:tabs>
        <w:autoSpaceDE w:val="0"/>
        <w:autoSpaceDN w:val="0"/>
        <w:spacing w:after="0" w:line="240" w:lineRule="auto"/>
        <w:ind w:right="-142"/>
        <w:jc w:val="center"/>
        <w:rPr>
          <w:rFonts w:ascii="Times New Roman" w:hAnsi="Times New Roman" w:cs="Times New Roman"/>
          <w:b/>
          <w:bCs/>
          <w:sz w:val="24"/>
          <w:szCs w:val="24"/>
        </w:rPr>
      </w:pPr>
      <w:r w:rsidRPr="00B46BBF">
        <w:rPr>
          <w:rFonts w:ascii="Times New Roman" w:hAnsi="Times New Roman" w:cs="Times New Roman"/>
          <w:b/>
          <w:bCs/>
          <w:sz w:val="24"/>
          <w:szCs w:val="24"/>
        </w:rPr>
        <w:t>25. Darījumi ārvalstu valūtā</w:t>
      </w:r>
    </w:p>
    <w:p w14:paraId="5A75700B"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1153.  </w:t>
      </w:r>
      <w:r w:rsidRPr="00B46BBF">
        <w:rPr>
          <w:rFonts w:ascii="Times New Roman" w:hAnsi="Times New Roman" w:cs="Times New Roman"/>
          <w:sz w:val="24"/>
          <w:szCs w:val="24"/>
        </w:rPr>
        <w:t>Ārvalstu valūta</w:t>
      </w:r>
      <w:r w:rsidRPr="00B46BBF">
        <w:rPr>
          <w:rFonts w:ascii="Times New Roman" w:hAnsi="Times New Roman" w:cs="Times New Roman"/>
          <w:sz w:val="24"/>
          <w:szCs w:val="24"/>
        </w:rPr>
        <w:tab/>
      </w:r>
      <w:r>
        <w:rPr>
          <w:rFonts w:ascii="Times New Roman" w:hAnsi="Times New Roman" w:cs="Times New Roman"/>
          <w:sz w:val="24"/>
          <w:szCs w:val="24"/>
        </w:rPr>
        <w:t xml:space="preserve">  ir </w:t>
      </w:r>
      <w:r w:rsidRPr="00B46BBF">
        <w:rPr>
          <w:rFonts w:ascii="Times New Roman" w:hAnsi="Times New Roman" w:cs="Times New Roman"/>
          <w:sz w:val="24"/>
          <w:szCs w:val="24"/>
        </w:rPr>
        <w:t>valūta, kas nav euro.</w:t>
      </w:r>
    </w:p>
    <w:p w14:paraId="66582EDC"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1154.  G</w:t>
      </w:r>
      <w:r w:rsidRPr="00B46BBF">
        <w:rPr>
          <w:rFonts w:ascii="Times New Roman" w:hAnsi="Times New Roman" w:cs="Times New Roman"/>
          <w:sz w:val="24"/>
          <w:szCs w:val="24"/>
        </w:rPr>
        <w:t>rāmatvedības uzskaitē izmantojamais ārvalstu valūtas kurss ir Eiropas Centrālās bankas publicētais euro atsauces kurss, bet, ja konkrētai ārvalstu valūtai nav Eiropas Centrālās bankas publicētā atsauces kursa, izmanto pasaules finanšu tirgus atzīta finanšu informācijas sniedzēja periodiskajā izdevumā vai tā tīmekļa vietnē publicēto valūtas tirgus kursu attiecībā pret euro.</w:t>
      </w:r>
    </w:p>
    <w:p w14:paraId="600A9818"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1155.  </w:t>
      </w:r>
      <w:r w:rsidRPr="00B46BBF">
        <w:rPr>
          <w:rFonts w:ascii="Times New Roman" w:hAnsi="Times New Roman" w:cs="Times New Roman"/>
          <w:sz w:val="24"/>
          <w:szCs w:val="24"/>
        </w:rPr>
        <w:t>Beigu kurss</w:t>
      </w:r>
      <w:r>
        <w:rPr>
          <w:rFonts w:ascii="Times New Roman" w:hAnsi="Times New Roman" w:cs="Times New Roman"/>
          <w:sz w:val="24"/>
          <w:szCs w:val="24"/>
        </w:rPr>
        <w:t xml:space="preserve">  ir</w:t>
      </w:r>
      <w:r w:rsidRPr="00B46BBF">
        <w:rPr>
          <w:rFonts w:ascii="Times New Roman" w:hAnsi="Times New Roman" w:cs="Times New Roman"/>
          <w:sz w:val="24"/>
          <w:szCs w:val="24"/>
        </w:rPr>
        <w:tab/>
        <w:t>valūtas kurss, kas ir spēkā pārskata perioda pēdējā dienā.</w:t>
      </w:r>
    </w:p>
    <w:p w14:paraId="1179B95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1156.  </w:t>
      </w:r>
      <w:r w:rsidRPr="00B46BBF">
        <w:rPr>
          <w:rFonts w:ascii="Times New Roman" w:hAnsi="Times New Roman" w:cs="Times New Roman"/>
          <w:sz w:val="24"/>
          <w:szCs w:val="24"/>
        </w:rPr>
        <w:t>Monetārie posteņi</w:t>
      </w:r>
      <w:r>
        <w:rPr>
          <w:rFonts w:ascii="Times New Roman" w:hAnsi="Times New Roman" w:cs="Times New Roman"/>
          <w:sz w:val="24"/>
          <w:szCs w:val="24"/>
        </w:rPr>
        <w:t xml:space="preserve">  ir </w:t>
      </w:r>
      <w:r w:rsidRPr="00B46BBF">
        <w:rPr>
          <w:rFonts w:ascii="Times New Roman" w:hAnsi="Times New Roman" w:cs="Times New Roman"/>
          <w:sz w:val="24"/>
          <w:szCs w:val="24"/>
        </w:rPr>
        <w:t>visas ārvalstu valūtās izteiktās aktīvu un saistību summas, kas saņemamas vai maksājamas ārvalstu valūtā (ārvalstu valūtas naudas atlikumi un ārvalstu valūtās maksājamās prasības un saistības).</w:t>
      </w:r>
    </w:p>
    <w:p w14:paraId="05C74826"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1157.  </w:t>
      </w:r>
      <w:r w:rsidRPr="00B46BBF">
        <w:rPr>
          <w:rFonts w:ascii="Times New Roman" w:hAnsi="Times New Roman" w:cs="Times New Roman"/>
          <w:sz w:val="24"/>
          <w:szCs w:val="24"/>
        </w:rPr>
        <w:t>Pašreizējais valūtas kurss</w:t>
      </w:r>
      <w:r>
        <w:rPr>
          <w:rFonts w:ascii="Times New Roman" w:hAnsi="Times New Roman" w:cs="Times New Roman"/>
          <w:sz w:val="24"/>
          <w:szCs w:val="24"/>
        </w:rPr>
        <w:t xml:space="preserve"> ir </w:t>
      </w:r>
      <w:r w:rsidRPr="00B46BBF">
        <w:rPr>
          <w:rFonts w:ascii="Times New Roman" w:hAnsi="Times New Roman" w:cs="Times New Roman"/>
          <w:sz w:val="24"/>
          <w:szCs w:val="24"/>
        </w:rPr>
        <w:t>valūtas kurss tūlītēju norēķinu veikšanai.</w:t>
      </w:r>
    </w:p>
    <w:p w14:paraId="4927869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1158. </w:t>
      </w:r>
      <w:r w:rsidRPr="00B46BBF">
        <w:rPr>
          <w:rFonts w:ascii="Times New Roman" w:hAnsi="Times New Roman" w:cs="Times New Roman"/>
          <w:sz w:val="24"/>
          <w:szCs w:val="24"/>
        </w:rPr>
        <w:t>Valūtas kursa starpība</w:t>
      </w:r>
      <w:r>
        <w:rPr>
          <w:rFonts w:ascii="Times New Roman" w:hAnsi="Times New Roman" w:cs="Times New Roman"/>
          <w:sz w:val="24"/>
          <w:szCs w:val="24"/>
        </w:rPr>
        <w:t xml:space="preserve"> ir </w:t>
      </w:r>
      <w:r w:rsidRPr="00B46BBF">
        <w:rPr>
          <w:rFonts w:ascii="Times New Roman" w:hAnsi="Times New Roman" w:cs="Times New Roman"/>
          <w:sz w:val="24"/>
          <w:szCs w:val="24"/>
        </w:rPr>
        <w:t>starpība, kas rodas, pārrēķinot noteiktu vienas valūtas vienību skaitu uz citu valūtu pēc atšķirīgiem valūtas kursiem.</w:t>
      </w:r>
    </w:p>
    <w:p w14:paraId="0C640057" w14:textId="77777777" w:rsid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1159.  </w:t>
      </w:r>
      <w:r w:rsidRPr="00B46BBF">
        <w:rPr>
          <w:rFonts w:ascii="Times New Roman" w:hAnsi="Times New Roman" w:cs="Times New Roman"/>
          <w:sz w:val="24"/>
          <w:szCs w:val="24"/>
        </w:rPr>
        <w:t>Valūtas kurss</w:t>
      </w:r>
      <w:r>
        <w:rPr>
          <w:rFonts w:ascii="Times New Roman" w:hAnsi="Times New Roman" w:cs="Times New Roman"/>
          <w:sz w:val="24"/>
          <w:szCs w:val="24"/>
        </w:rPr>
        <w:t xml:space="preserve"> ir </w:t>
      </w:r>
      <w:r w:rsidRPr="00B46BBF">
        <w:rPr>
          <w:rFonts w:ascii="Times New Roman" w:hAnsi="Times New Roman" w:cs="Times New Roman"/>
          <w:sz w:val="24"/>
          <w:szCs w:val="24"/>
        </w:rPr>
        <w:t>divu valūtu maiņas attiecība.</w:t>
      </w:r>
    </w:p>
    <w:p w14:paraId="736DD222" w14:textId="77777777" w:rsid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B46BBF">
        <w:rPr>
          <w:rFonts w:ascii="Times New Roman" w:hAnsi="Times New Roman" w:cs="Times New Roman"/>
          <w:b/>
          <w:bCs/>
          <w:sz w:val="24"/>
          <w:szCs w:val="24"/>
        </w:rPr>
        <w:t>25.1. Darījumu ārvalstu valūtā sākotnējā atzīšana</w:t>
      </w:r>
    </w:p>
    <w:p w14:paraId="57235BF6"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1160.   </w:t>
      </w:r>
      <w:r w:rsidRPr="00156BF7">
        <w:rPr>
          <w:rFonts w:ascii="Times New Roman" w:hAnsi="Times New Roman" w:cs="Times New Roman"/>
          <w:sz w:val="24"/>
          <w:szCs w:val="24"/>
        </w:rPr>
        <w:t>Darījumi ārvalstu valūtā ir darījumi, kuri ir izteikti vai par kuriem budžeta iestāde norēķinās ārvalstu valūtā.</w:t>
      </w:r>
    </w:p>
    <w:p w14:paraId="028BBEB8"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1161.  </w:t>
      </w:r>
      <w:r w:rsidRPr="00156BF7">
        <w:rPr>
          <w:rFonts w:ascii="Times New Roman" w:hAnsi="Times New Roman" w:cs="Times New Roman"/>
          <w:sz w:val="24"/>
          <w:szCs w:val="24"/>
        </w:rPr>
        <w:t>Darījumi ārvalstu valūtā parasti rodas, ja budžeta iestāde:</w:t>
      </w:r>
    </w:p>
    <w:p w14:paraId="46203DD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pērk vai pārdod preces vai pakalpojumus, kuru saņemamās vai maksājamās summas ir izteiktas ārvalstu valūtā;</w:t>
      </w:r>
    </w:p>
    <w:p w14:paraId="5DF1F06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aizņemas vai aizdod līdzekļus, kuru maksājamās vai saņemamās summas izteiktas ārvalstu valūtā;</w:t>
      </w:r>
    </w:p>
    <w:p w14:paraId="25A1455D"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citādā veidā iegādājas vai atsavina aktīvus, vai uzņemas saistības, vai norēķinās par saistībām, kuras izteiktas ārvalstu valūtā.</w:t>
      </w:r>
    </w:p>
    <w:p w14:paraId="36EECA5E"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1162.  </w:t>
      </w:r>
      <w:r w:rsidRPr="00156BF7">
        <w:rPr>
          <w:rFonts w:ascii="Times New Roman" w:hAnsi="Times New Roman" w:cs="Times New Roman"/>
          <w:sz w:val="24"/>
          <w:szCs w:val="24"/>
        </w:rPr>
        <w:t>Par darījuma dienu uzskata naudas saņemšanas vai maksāšanas dienu, preču vai pakalpojumu pirkšanas vai pārdošanas dienu, kā arī jebkuru citu dienu, kurā faktiski notikušas pārmaiņas budžeta iestādes mantas stāvoklī.</w:t>
      </w:r>
    </w:p>
    <w:p w14:paraId="01D639DD"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1163.  </w:t>
      </w:r>
      <w:r w:rsidRPr="00156BF7">
        <w:rPr>
          <w:rFonts w:ascii="Times New Roman" w:hAnsi="Times New Roman" w:cs="Times New Roman"/>
          <w:sz w:val="24"/>
          <w:szCs w:val="24"/>
        </w:rPr>
        <w:t>Ja attaisnojuma dokumenta vērtības mērs ir ārvalstu valūta, budžeta iestāde tajā norādītās summas ierakstiem grāmatvedības reģistros pārrēķina euro saskaņā ar grāmatvedībā izmantojamo ārvalstu valūtas kursu, kas ir spēkā saimnieciskā darījuma dienas sākumā.</w:t>
      </w:r>
    </w:p>
    <w:p w14:paraId="1276923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1164.  </w:t>
      </w:r>
      <w:r w:rsidRPr="00156BF7">
        <w:rPr>
          <w:rFonts w:ascii="Times New Roman" w:hAnsi="Times New Roman" w:cs="Times New Roman"/>
          <w:sz w:val="24"/>
          <w:szCs w:val="24"/>
        </w:rPr>
        <w:t>Budžeta iestāde analītiskās uzskaites nodrošināšanai darījumus var uzskaitīt darījuma valūtā, ja darījuma valūta nav euro.</w:t>
      </w:r>
    </w:p>
    <w:p w14:paraId="69D484B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1165. </w:t>
      </w:r>
      <w:r w:rsidRPr="00156BF7">
        <w:rPr>
          <w:rFonts w:ascii="Times New Roman" w:hAnsi="Times New Roman" w:cs="Times New Roman"/>
          <w:sz w:val="24"/>
          <w:szCs w:val="24"/>
        </w:rPr>
        <w:t>Komandējumu un darba braucienu izdevumi, kas radušies ārvalstu valūtā, grāmatvedības uzskaitē tiek atzīti euro.</w:t>
      </w:r>
    </w:p>
    <w:p w14:paraId="18F4B34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1166.   </w:t>
      </w:r>
      <w:r w:rsidRPr="00156BF7">
        <w:rPr>
          <w:rFonts w:ascii="Times New Roman" w:hAnsi="Times New Roman" w:cs="Times New Roman"/>
          <w:sz w:val="24"/>
          <w:szCs w:val="24"/>
        </w:rPr>
        <w:t>Ja darbiniekam komandējuma vai darba braucienu izdevumiem ir ticis izsniegts avanss, tad:</w:t>
      </w:r>
    </w:p>
    <w:p w14:paraId="7E8D9CB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ja komandējuma vai darba braucienu izdevumi atbilst normatīvajos aktos noteiktajām normām, bet pārsniedz avansā saņemto summu, budžeta iestāde darbiniekam pārtēriņa summu atlīdzina euro vai pēc darbinieka izvēles konvertējamā valūtā saskaņā ar valūtas maiņas attaisnojuma dokumentos norādīto valūtas kursu vai, ja šāda attaisnojuma dokumenta nav, saskaņā ar grāmatvedībā izmantojamo ārvalstu valūtas kursu dienā, kad darbinieks veic norēķinus ar budžeta iestādi par komandējuma vai darba brauciena izdevumiem;</w:t>
      </w:r>
    </w:p>
    <w:p w14:paraId="19C27CCA" w14:textId="77777777" w:rsidR="00B46BBF"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ja saskaņā ar noteiktajām normām aprēķinātā un darbiniekam izsniegtā avansa summa pārsniedz komandējuma izdevumus, darbiniekam jāatmaksā avansa atlikuma summa euro vai attiecīgajā konvertējamā valūtā. Atmaksājamām naudas summām un avansa norēķiniem par komandējumu piemēro valūtas maiņas attaisnojuma dokumentā norādīto valūtas kursu vai, ja šāda attaisnojuma dokumenta nav, grāmatvedībā izmantojamo ārvalstu valūtas kursu dienā, kad darbinieks veic norēķinus ar budžeta iestādi par komandējuma vai darba brauciena izdevumiem</w:t>
      </w:r>
      <w:r>
        <w:rPr>
          <w:rFonts w:ascii="Times New Roman" w:hAnsi="Times New Roman" w:cs="Times New Roman"/>
          <w:sz w:val="24"/>
          <w:szCs w:val="24"/>
        </w:rPr>
        <w:t>.</w:t>
      </w:r>
    </w:p>
    <w:p w14:paraId="553A168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25.2. </w:t>
      </w:r>
      <w:r>
        <w:rPr>
          <w:rFonts w:ascii="Times New Roman" w:hAnsi="Times New Roman" w:cs="Times New Roman"/>
          <w:b/>
          <w:bCs/>
          <w:sz w:val="24"/>
          <w:szCs w:val="24"/>
        </w:rPr>
        <w:t>D</w:t>
      </w:r>
      <w:r w:rsidRPr="00156BF7">
        <w:rPr>
          <w:rFonts w:ascii="Times New Roman" w:hAnsi="Times New Roman" w:cs="Times New Roman"/>
          <w:b/>
          <w:bCs/>
          <w:sz w:val="24"/>
          <w:szCs w:val="24"/>
        </w:rPr>
        <w:t>arījumu ārvalstu valūtā turpmākā novērtēšana</w:t>
      </w:r>
    </w:p>
    <w:p w14:paraId="307F9F13"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1167.  </w:t>
      </w:r>
      <w:r w:rsidRPr="00156BF7">
        <w:rPr>
          <w:rFonts w:ascii="Times New Roman" w:hAnsi="Times New Roman" w:cs="Times New Roman"/>
          <w:sz w:val="24"/>
          <w:szCs w:val="24"/>
        </w:rPr>
        <w:t>Budžeta iestāde veic sekojošus pārrēķinus:</w:t>
      </w:r>
    </w:p>
    <w:p w14:paraId="729CA9DB" w14:textId="77777777" w:rsidR="00614DA8"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156BF7">
        <w:rPr>
          <w:rFonts w:ascii="Times New Roman" w:hAnsi="Times New Roman" w:cs="Times New Roman"/>
          <w:b/>
          <w:bCs/>
          <w:sz w:val="24"/>
          <w:szCs w:val="24"/>
        </w:rPr>
        <w:t>katra pārskata perioda beigās</w:t>
      </w:r>
      <w:r w:rsidRPr="00156BF7">
        <w:rPr>
          <w:rFonts w:ascii="Times New Roman" w:hAnsi="Times New Roman" w:cs="Times New Roman"/>
          <w:sz w:val="24"/>
          <w:szCs w:val="24"/>
        </w:rPr>
        <w:t xml:space="preserve"> (izņemot pārskata gada beigās</w:t>
      </w:r>
      <w:r w:rsidR="00614DA8">
        <w:rPr>
          <w:rFonts w:ascii="Times New Roman" w:hAnsi="Times New Roman" w:cs="Times New Roman"/>
          <w:sz w:val="24"/>
          <w:szCs w:val="24"/>
        </w:rPr>
        <w:t>)</w:t>
      </w:r>
      <w:r w:rsidR="00614DA8" w:rsidRPr="00614DA8">
        <w:t xml:space="preserve"> </w:t>
      </w:r>
      <w:r w:rsidR="00614DA8" w:rsidRPr="00614DA8">
        <w:rPr>
          <w:rFonts w:ascii="Times New Roman" w:hAnsi="Times New Roman" w:cs="Times New Roman"/>
          <w:sz w:val="24"/>
          <w:szCs w:val="24"/>
        </w:rPr>
        <w:t>pārrēķinu euro veic atbilstoši likumā "Grāmatvedības likums" noteiktajam grāmatvedībā izmantojamam ārvalstu valūtas kursam, kurš ir spēkā pārskata perioda pēdējās dienas sākumā</w:t>
      </w:r>
    </w:p>
    <w:p w14:paraId="2FC923C0" w14:textId="70A76986" w:rsidR="00156BF7" w:rsidRPr="00156BF7" w:rsidRDefault="00614DA8"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b/>
          <w:bCs/>
          <w:sz w:val="24"/>
          <w:szCs w:val="24"/>
        </w:rPr>
        <w:t xml:space="preserve"> </w:t>
      </w:r>
      <w:r w:rsidR="00156BF7">
        <w:rPr>
          <w:rFonts w:ascii="Times New Roman" w:hAnsi="Times New Roman" w:cs="Times New Roman"/>
          <w:b/>
          <w:bCs/>
          <w:sz w:val="24"/>
          <w:szCs w:val="24"/>
        </w:rPr>
        <w:t xml:space="preserve">-   </w:t>
      </w:r>
      <w:r w:rsidR="00156BF7" w:rsidRPr="00156BF7">
        <w:rPr>
          <w:rFonts w:ascii="Times New Roman" w:hAnsi="Times New Roman" w:cs="Times New Roman"/>
          <w:b/>
          <w:bCs/>
          <w:sz w:val="24"/>
          <w:szCs w:val="24"/>
        </w:rPr>
        <w:t>pārskata gada beigās pārrēķinu</w:t>
      </w:r>
      <w:r w:rsidR="00156BF7" w:rsidRPr="00156BF7">
        <w:rPr>
          <w:rFonts w:ascii="Times New Roman" w:hAnsi="Times New Roman" w:cs="Times New Roman"/>
          <w:sz w:val="24"/>
          <w:szCs w:val="24"/>
        </w:rPr>
        <w:t xml:space="preserve"> euro veic atbilstoši likumā "</w:t>
      </w:r>
      <w:r>
        <w:rPr>
          <w:rFonts w:ascii="Times New Roman" w:hAnsi="Times New Roman" w:cs="Times New Roman"/>
          <w:sz w:val="24"/>
          <w:szCs w:val="24"/>
        </w:rPr>
        <w:t>Grāmatvedības likums</w:t>
      </w:r>
      <w:r w:rsidR="00156BF7" w:rsidRPr="00156BF7">
        <w:rPr>
          <w:rFonts w:ascii="Times New Roman" w:hAnsi="Times New Roman" w:cs="Times New Roman"/>
          <w:sz w:val="24"/>
          <w:szCs w:val="24"/>
        </w:rPr>
        <w:t>" noteiktajam grāmatvedībā izmantojamam ārvalstu valūtas kursam, kas ir spēkā pārskata gada pēdējās dienas beigās.</w:t>
      </w:r>
    </w:p>
    <w:p w14:paraId="526D5564"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1168.  </w:t>
      </w:r>
      <w:r w:rsidRPr="00156BF7">
        <w:rPr>
          <w:rFonts w:ascii="Times New Roman" w:hAnsi="Times New Roman" w:cs="Times New Roman"/>
          <w:sz w:val="24"/>
          <w:szCs w:val="24"/>
        </w:rPr>
        <w:t>Budžeta iestāde veic pārrēķinus tādiem monetāriem posteņiem kā ārvalstu valūtās turētie naudas līdzekļi, ārvalstu valūtās izteikti avansi, aizdevumi vai aizņēmumi, kā arī citiem ārvalstu valūtās izteikto prasību vai saistību atlikumiem.</w:t>
      </w:r>
    </w:p>
    <w:p w14:paraId="4771B299"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1169.  </w:t>
      </w:r>
      <w:r w:rsidRPr="00156BF7">
        <w:rPr>
          <w:rFonts w:ascii="Times New Roman" w:hAnsi="Times New Roman" w:cs="Times New Roman"/>
          <w:sz w:val="24"/>
          <w:szCs w:val="24"/>
        </w:rPr>
        <w:t>Budžeta iestāde atzīst pārskata perioda pārējos ieņēmumus vai izdevumus no valūtas kursu svārstībām, veicot sekojošus grāmatojumus:</w:t>
      </w:r>
    </w:p>
    <w:p w14:paraId="6FDD662E"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156BF7">
        <w:rPr>
          <w:rFonts w:ascii="Times New Roman" w:hAnsi="Times New Roman" w:cs="Times New Roman"/>
          <w:i/>
          <w:iCs/>
          <w:sz w:val="24"/>
          <w:szCs w:val="24"/>
        </w:rPr>
        <w:t>Grāmatojums, atzīstot ieņēmumus no valūtas kursu svārstībām; grāmatojums ietver tipiskākos finanšu aktīvu vai finanšu saistību posteņus:</w:t>
      </w:r>
    </w:p>
    <w:p w14:paraId="1BA5E14F"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Pr>
          <w:rFonts w:ascii="Times New Roman" w:hAnsi="Times New Roman" w:cs="Times New Roman"/>
          <w:sz w:val="24"/>
          <w:szCs w:val="24"/>
        </w:rPr>
        <w:t xml:space="preserve">    </w:t>
      </w:r>
      <w:r w:rsidRPr="00156BF7">
        <w:rPr>
          <w:rFonts w:ascii="Times New Roman" w:hAnsi="Times New Roman" w:cs="Times New Roman"/>
          <w:b/>
          <w:bCs/>
          <w:sz w:val="24"/>
          <w:szCs w:val="24"/>
        </w:rPr>
        <w:t>D    2300</w:t>
      </w:r>
      <w:r w:rsidRPr="00156BF7">
        <w:rPr>
          <w:rFonts w:ascii="Times New Roman" w:hAnsi="Times New Roman" w:cs="Times New Roman"/>
          <w:b/>
          <w:bCs/>
          <w:sz w:val="24"/>
          <w:szCs w:val="24"/>
        </w:rPr>
        <w:tab/>
        <w:t>Īstermiņa prasības</w:t>
      </w:r>
    </w:p>
    <w:p w14:paraId="45C14B1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2369D44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D    2600</w:t>
      </w:r>
      <w:r w:rsidRPr="00156BF7">
        <w:rPr>
          <w:rFonts w:ascii="Times New Roman" w:hAnsi="Times New Roman" w:cs="Times New Roman"/>
          <w:b/>
          <w:bCs/>
          <w:sz w:val="24"/>
          <w:szCs w:val="24"/>
        </w:rPr>
        <w:tab/>
        <w:t>Naudas līdzekļi</w:t>
      </w:r>
    </w:p>
    <w:p w14:paraId="2E022A86"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24261206"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D    5300</w:t>
      </w:r>
      <w:r w:rsidRPr="00156BF7">
        <w:rPr>
          <w:rFonts w:ascii="Times New Roman" w:hAnsi="Times New Roman" w:cs="Times New Roman"/>
          <w:b/>
          <w:bCs/>
          <w:sz w:val="24"/>
          <w:szCs w:val="24"/>
        </w:rPr>
        <w:tab/>
        <w:t>Īstermiņa</w:t>
      </w:r>
      <w:r w:rsidRPr="00156BF7">
        <w:rPr>
          <w:rFonts w:ascii="Times New Roman" w:hAnsi="Times New Roman" w:cs="Times New Roman"/>
          <w:b/>
          <w:bCs/>
          <w:sz w:val="24"/>
          <w:szCs w:val="24"/>
        </w:rPr>
        <w:tab/>
        <w:t>saistības</w:t>
      </w:r>
      <w:r w:rsidRPr="00156BF7">
        <w:rPr>
          <w:rFonts w:ascii="Times New Roman" w:hAnsi="Times New Roman" w:cs="Times New Roman"/>
          <w:b/>
          <w:bCs/>
          <w:sz w:val="24"/>
          <w:szCs w:val="24"/>
        </w:rPr>
        <w:tab/>
        <w:t>pret</w:t>
      </w:r>
      <w:r w:rsidRPr="00156BF7">
        <w:rPr>
          <w:rFonts w:ascii="Times New Roman" w:hAnsi="Times New Roman" w:cs="Times New Roman"/>
          <w:b/>
          <w:bCs/>
          <w:sz w:val="24"/>
          <w:szCs w:val="24"/>
        </w:rPr>
        <w:tab/>
        <w:t>piegādātājiem</w:t>
      </w:r>
      <w:r w:rsidRPr="00156BF7">
        <w:rPr>
          <w:rFonts w:ascii="Times New Roman" w:hAnsi="Times New Roman" w:cs="Times New Roman"/>
          <w:b/>
          <w:bCs/>
          <w:sz w:val="24"/>
          <w:szCs w:val="24"/>
        </w:rPr>
        <w:tab/>
        <w:t>un darbuzņēmējiem</w:t>
      </w:r>
    </w:p>
    <w:p w14:paraId="638E449F"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8110</w:t>
      </w:r>
      <w:r w:rsidRPr="00156BF7">
        <w:rPr>
          <w:rFonts w:ascii="Times New Roman" w:hAnsi="Times New Roman" w:cs="Times New Roman"/>
          <w:b/>
          <w:bCs/>
          <w:sz w:val="24"/>
          <w:szCs w:val="24"/>
        </w:rPr>
        <w:tab/>
        <w:t>Ieņēmumi no valūtas kursu svārstībām</w:t>
      </w:r>
    </w:p>
    <w:p w14:paraId="63EB7CC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156BF7">
        <w:rPr>
          <w:rFonts w:ascii="Times New Roman" w:hAnsi="Times New Roman" w:cs="Times New Roman"/>
          <w:i/>
          <w:iCs/>
          <w:sz w:val="24"/>
          <w:szCs w:val="24"/>
        </w:rPr>
        <w:t>Grāmatojums, atzīstot izdevumus no valūtas kursu svārstībām; grāmatojums ietver tipiskākos finanšu aktīvu vai finanšu saistību posteņus:</w:t>
      </w:r>
    </w:p>
    <w:p w14:paraId="5C1F93A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p>
    <w:p w14:paraId="42710719"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D    8210</w:t>
      </w:r>
      <w:r w:rsidRPr="00156BF7">
        <w:rPr>
          <w:rFonts w:ascii="Times New Roman" w:hAnsi="Times New Roman" w:cs="Times New Roman"/>
          <w:b/>
          <w:bCs/>
          <w:sz w:val="24"/>
          <w:szCs w:val="24"/>
        </w:rPr>
        <w:tab/>
        <w:t>Izdevumi no valūtas kursu svārstībām</w:t>
      </w:r>
    </w:p>
    <w:p w14:paraId="052A2D37"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2300</w:t>
      </w:r>
      <w:r w:rsidRPr="00156BF7">
        <w:rPr>
          <w:rFonts w:ascii="Times New Roman" w:hAnsi="Times New Roman" w:cs="Times New Roman"/>
          <w:b/>
          <w:bCs/>
          <w:sz w:val="24"/>
          <w:szCs w:val="24"/>
        </w:rPr>
        <w:tab/>
        <w:t>Īstermiņa prasības</w:t>
      </w:r>
    </w:p>
    <w:p w14:paraId="3E15565F"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539F479D"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2600</w:t>
      </w:r>
      <w:r w:rsidRPr="00156BF7">
        <w:rPr>
          <w:rFonts w:ascii="Times New Roman" w:hAnsi="Times New Roman" w:cs="Times New Roman"/>
          <w:b/>
          <w:bCs/>
          <w:sz w:val="24"/>
          <w:szCs w:val="24"/>
        </w:rPr>
        <w:tab/>
        <w:t>Naudas līdzekļi</w:t>
      </w:r>
    </w:p>
    <w:p w14:paraId="208B285B"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1597E821"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5300</w:t>
      </w:r>
      <w:r w:rsidRPr="00156BF7">
        <w:rPr>
          <w:rFonts w:ascii="Times New Roman" w:hAnsi="Times New Roman" w:cs="Times New Roman"/>
          <w:b/>
          <w:bCs/>
          <w:sz w:val="24"/>
          <w:szCs w:val="24"/>
        </w:rPr>
        <w:tab/>
        <w:t>Īstermiņa</w:t>
      </w:r>
      <w:r w:rsidRPr="00156BF7">
        <w:rPr>
          <w:rFonts w:ascii="Times New Roman" w:hAnsi="Times New Roman" w:cs="Times New Roman"/>
          <w:b/>
          <w:bCs/>
          <w:sz w:val="24"/>
          <w:szCs w:val="24"/>
        </w:rPr>
        <w:tab/>
        <w:t>saistības</w:t>
      </w:r>
      <w:r w:rsidRPr="00156BF7">
        <w:rPr>
          <w:rFonts w:ascii="Times New Roman" w:hAnsi="Times New Roman" w:cs="Times New Roman"/>
          <w:b/>
          <w:bCs/>
          <w:sz w:val="24"/>
          <w:szCs w:val="24"/>
        </w:rPr>
        <w:tab/>
        <w:t>pret</w:t>
      </w:r>
      <w:r w:rsidRPr="00156BF7">
        <w:rPr>
          <w:rFonts w:ascii="Times New Roman" w:hAnsi="Times New Roman" w:cs="Times New Roman"/>
          <w:b/>
          <w:bCs/>
          <w:sz w:val="24"/>
          <w:szCs w:val="24"/>
        </w:rPr>
        <w:tab/>
        <w:t>piegādātājiem</w:t>
      </w:r>
      <w:r w:rsidRPr="00156BF7">
        <w:rPr>
          <w:rFonts w:ascii="Times New Roman" w:hAnsi="Times New Roman" w:cs="Times New Roman"/>
          <w:b/>
          <w:bCs/>
          <w:sz w:val="24"/>
          <w:szCs w:val="24"/>
        </w:rPr>
        <w:tab/>
        <w:t>un darbuzņēmējiem</w:t>
      </w:r>
    </w:p>
    <w:p w14:paraId="7FB0EEE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1170.  </w:t>
      </w:r>
      <w:r w:rsidRPr="00156BF7">
        <w:rPr>
          <w:rFonts w:ascii="Times New Roman" w:hAnsi="Times New Roman" w:cs="Times New Roman"/>
          <w:sz w:val="24"/>
          <w:szCs w:val="24"/>
        </w:rPr>
        <w:t>Budžeta iestāde atzīst pārskata perioda pārējos ieņēmumus vai izdevumus no valūtas kursu svārstībām, norēķinoties par monetāriem posteņiem, veicot sekojošus grāmatojumus:</w:t>
      </w:r>
    </w:p>
    <w:p w14:paraId="41C95D7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156BF7">
        <w:rPr>
          <w:rFonts w:ascii="Times New Roman" w:hAnsi="Times New Roman" w:cs="Times New Roman"/>
          <w:i/>
          <w:iCs/>
          <w:sz w:val="24"/>
          <w:szCs w:val="24"/>
        </w:rPr>
        <w:t>Grāmatojums, atzīstot ieņēmumus vai izdevumus no valūtas kursu svārstībām, veicot maksājumu:</w:t>
      </w:r>
    </w:p>
    <w:p w14:paraId="6512B64E"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D*    8210</w:t>
      </w:r>
      <w:r w:rsidRPr="00427382">
        <w:rPr>
          <w:rFonts w:ascii="Times New Roman" w:hAnsi="Times New Roman" w:cs="Times New Roman"/>
          <w:b/>
          <w:bCs/>
          <w:sz w:val="24"/>
          <w:szCs w:val="24"/>
        </w:rPr>
        <w:tab/>
        <w:t>Izdevumi no valūtas kursu svārstībām</w:t>
      </w:r>
    </w:p>
    <w:p w14:paraId="19E8AAA6"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D     5300</w:t>
      </w:r>
      <w:r w:rsidRPr="00427382">
        <w:rPr>
          <w:rFonts w:ascii="Times New Roman" w:hAnsi="Times New Roman" w:cs="Times New Roman"/>
          <w:b/>
          <w:bCs/>
          <w:sz w:val="24"/>
          <w:szCs w:val="24"/>
        </w:rPr>
        <w:tab/>
        <w:t>Īstermiņa</w:t>
      </w:r>
      <w:r w:rsidRPr="00427382">
        <w:rPr>
          <w:rFonts w:ascii="Times New Roman" w:hAnsi="Times New Roman" w:cs="Times New Roman"/>
          <w:b/>
          <w:bCs/>
          <w:sz w:val="24"/>
          <w:szCs w:val="24"/>
        </w:rPr>
        <w:tab/>
        <w:t>saistības</w:t>
      </w:r>
      <w:r w:rsidRPr="00427382">
        <w:rPr>
          <w:rFonts w:ascii="Times New Roman" w:hAnsi="Times New Roman" w:cs="Times New Roman"/>
          <w:b/>
          <w:bCs/>
          <w:sz w:val="24"/>
          <w:szCs w:val="24"/>
        </w:rPr>
        <w:tab/>
        <w:t>pret</w:t>
      </w:r>
      <w:r w:rsidRPr="00427382">
        <w:rPr>
          <w:rFonts w:ascii="Times New Roman" w:hAnsi="Times New Roman" w:cs="Times New Roman"/>
          <w:b/>
          <w:bCs/>
          <w:sz w:val="24"/>
          <w:szCs w:val="24"/>
        </w:rPr>
        <w:tab/>
        <w:t>piegādātājiem</w:t>
      </w:r>
      <w:r w:rsidRPr="00427382">
        <w:rPr>
          <w:rFonts w:ascii="Times New Roman" w:hAnsi="Times New Roman" w:cs="Times New Roman"/>
          <w:b/>
          <w:bCs/>
          <w:sz w:val="24"/>
          <w:szCs w:val="24"/>
        </w:rPr>
        <w:tab/>
        <w:t>un darbuzņēmējiem</w:t>
      </w:r>
    </w:p>
    <w:p w14:paraId="0DE773C1"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K     2600</w:t>
      </w:r>
      <w:r w:rsidRPr="00427382">
        <w:rPr>
          <w:rFonts w:ascii="Times New Roman" w:hAnsi="Times New Roman" w:cs="Times New Roman"/>
          <w:b/>
          <w:bCs/>
          <w:sz w:val="24"/>
          <w:szCs w:val="24"/>
        </w:rPr>
        <w:tab/>
        <w:t>Naudas līdzekļi</w:t>
      </w:r>
    </w:p>
    <w:p w14:paraId="0350779A"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K*</w:t>
      </w:r>
      <w:r w:rsidR="00427382" w:rsidRPr="00427382">
        <w:rPr>
          <w:rFonts w:ascii="Times New Roman" w:hAnsi="Times New Roman" w:cs="Times New Roman"/>
          <w:b/>
          <w:bCs/>
          <w:sz w:val="24"/>
          <w:szCs w:val="24"/>
        </w:rPr>
        <w:t xml:space="preserve">    </w:t>
      </w:r>
      <w:r w:rsidRPr="00427382">
        <w:rPr>
          <w:rFonts w:ascii="Times New Roman" w:hAnsi="Times New Roman" w:cs="Times New Roman"/>
          <w:b/>
          <w:bCs/>
          <w:sz w:val="24"/>
          <w:szCs w:val="24"/>
        </w:rPr>
        <w:t>8110</w:t>
      </w:r>
      <w:r w:rsidRPr="00427382">
        <w:rPr>
          <w:rFonts w:ascii="Times New Roman" w:hAnsi="Times New Roman" w:cs="Times New Roman"/>
          <w:b/>
          <w:bCs/>
          <w:sz w:val="24"/>
          <w:szCs w:val="24"/>
        </w:rPr>
        <w:tab/>
        <w:t>Ieņēmumi no valūtas kursu svārstībām</w:t>
      </w:r>
    </w:p>
    <w:p w14:paraId="4109032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156BF7">
        <w:rPr>
          <w:rFonts w:ascii="Times New Roman" w:hAnsi="Times New Roman" w:cs="Times New Roman"/>
          <w:sz w:val="24"/>
          <w:szCs w:val="24"/>
        </w:rPr>
        <w:t>*budžeta iestāde atzīst ieņēmumus vai izdevumus</w:t>
      </w:r>
    </w:p>
    <w:p w14:paraId="11CB799E"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427382">
        <w:rPr>
          <w:rFonts w:ascii="Times New Roman" w:hAnsi="Times New Roman" w:cs="Times New Roman"/>
          <w:i/>
          <w:iCs/>
          <w:sz w:val="24"/>
          <w:szCs w:val="24"/>
        </w:rPr>
        <w:t>Grāmatojums, atzīstot ieņēmumus vai izdevumus no valūtas kursu svārstībām, saņemot maksājumu:</w:t>
      </w:r>
    </w:p>
    <w:p w14:paraId="46056995"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Pr>
          <w:rFonts w:ascii="Times New Roman" w:hAnsi="Times New Roman" w:cs="Times New Roman"/>
          <w:sz w:val="24"/>
          <w:szCs w:val="24"/>
        </w:rPr>
        <w:t xml:space="preserve">    </w:t>
      </w:r>
      <w:r w:rsidR="00156BF7" w:rsidRPr="00427382">
        <w:rPr>
          <w:rFonts w:ascii="Times New Roman" w:hAnsi="Times New Roman" w:cs="Times New Roman"/>
          <w:b/>
          <w:bCs/>
          <w:sz w:val="24"/>
          <w:szCs w:val="24"/>
        </w:rPr>
        <w:t>D*</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8210</w:t>
      </w:r>
      <w:r w:rsidR="00156BF7" w:rsidRPr="00427382">
        <w:rPr>
          <w:rFonts w:ascii="Times New Roman" w:hAnsi="Times New Roman" w:cs="Times New Roman"/>
          <w:b/>
          <w:bCs/>
          <w:sz w:val="24"/>
          <w:szCs w:val="24"/>
        </w:rPr>
        <w:tab/>
        <w:t>Izdevumi no valūtas kursu svārstībām</w:t>
      </w:r>
    </w:p>
    <w:p w14:paraId="58B04208"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D</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2600</w:t>
      </w:r>
      <w:r w:rsidR="00156BF7" w:rsidRPr="00427382">
        <w:rPr>
          <w:rFonts w:ascii="Times New Roman" w:hAnsi="Times New Roman" w:cs="Times New Roman"/>
          <w:b/>
          <w:bCs/>
          <w:sz w:val="24"/>
          <w:szCs w:val="24"/>
        </w:rPr>
        <w:tab/>
        <w:t>Naudas līdzekļi</w:t>
      </w:r>
    </w:p>
    <w:p w14:paraId="7CE222FD"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K</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2300</w:t>
      </w:r>
      <w:r w:rsidR="00156BF7" w:rsidRPr="00427382">
        <w:rPr>
          <w:rFonts w:ascii="Times New Roman" w:hAnsi="Times New Roman" w:cs="Times New Roman"/>
          <w:b/>
          <w:bCs/>
          <w:sz w:val="24"/>
          <w:szCs w:val="24"/>
        </w:rPr>
        <w:tab/>
        <w:t>Īstermiņa prasības</w:t>
      </w:r>
    </w:p>
    <w:p w14:paraId="0A654E4E"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K*</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8110</w:t>
      </w:r>
      <w:r w:rsidR="00156BF7" w:rsidRPr="00427382">
        <w:rPr>
          <w:rFonts w:ascii="Times New Roman" w:hAnsi="Times New Roman" w:cs="Times New Roman"/>
          <w:b/>
          <w:bCs/>
          <w:sz w:val="24"/>
          <w:szCs w:val="24"/>
        </w:rPr>
        <w:tab/>
        <w:t>Ieņēmumi no valūtas kursu svārstībām</w:t>
      </w:r>
    </w:p>
    <w:p w14:paraId="6B79CCB1" w14:textId="77777777" w:rsidR="00B46BBF"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156BF7">
        <w:rPr>
          <w:rFonts w:ascii="Times New Roman" w:hAnsi="Times New Roman" w:cs="Times New Roman"/>
          <w:sz w:val="24"/>
          <w:szCs w:val="24"/>
        </w:rPr>
        <w:t>*budžeta iestāde atzīst ieņēmumus vai izdevumus</w:t>
      </w:r>
    </w:p>
    <w:p w14:paraId="3AAE91A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1171.  </w:t>
      </w:r>
      <w:r w:rsidRPr="00427382">
        <w:rPr>
          <w:rFonts w:ascii="Times New Roman" w:hAnsi="Times New Roman" w:cs="Times New Roman"/>
          <w:sz w:val="24"/>
          <w:szCs w:val="24"/>
        </w:rPr>
        <w:t>Ja monetārie posteņi rodas no ārvalstu valūtas darījuma un valūtas kurss mainās laikā starp darījuma datumu un norēķinu datumu, rodas valūtas kursa svārstības.</w:t>
      </w:r>
    </w:p>
    <w:p w14:paraId="56163DC8"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1172.  </w:t>
      </w:r>
      <w:r w:rsidRPr="00427382">
        <w:rPr>
          <w:rFonts w:ascii="Times New Roman" w:hAnsi="Times New Roman" w:cs="Times New Roman"/>
          <w:sz w:val="24"/>
          <w:szCs w:val="24"/>
        </w:rPr>
        <w:t>Ja par darījumu norēķinās tajā pašā pārskata periodā, kad darījums noticis, visas valūtas kursa svārstības atzīst šajā periodā. Gadījumā, ja budžeta iestāde par darījumu norēķinās nākamajā pārskata periodā, valūtas kursa svārstības aprēķina un atzīst katra pārskata perioda beigās līdz maksājums tiek veikts (līdz norēķina datumam).</w:t>
      </w:r>
    </w:p>
    <w:p w14:paraId="2E4D0F81"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25.3. Praktiski piemēri</w:t>
      </w:r>
    </w:p>
    <w:p w14:paraId="5D588647"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1173. </w:t>
      </w:r>
      <w:r w:rsidRPr="00427382">
        <w:rPr>
          <w:rFonts w:ascii="Times New Roman" w:hAnsi="Times New Roman" w:cs="Times New Roman"/>
          <w:b/>
          <w:bCs/>
          <w:sz w:val="24"/>
          <w:szCs w:val="24"/>
        </w:rPr>
        <w:t xml:space="preserve">Piemērs </w:t>
      </w:r>
      <w:r w:rsidRPr="00427382">
        <w:rPr>
          <w:rFonts w:ascii="Times New Roman" w:hAnsi="Times New Roman" w:cs="Times New Roman"/>
          <w:sz w:val="24"/>
          <w:szCs w:val="24"/>
        </w:rPr>
        <w:t>– darījuma ārvalstu valūtā sākotnējā atzīšana</w:t>
      </w:r>
    </w:p>
    <w:p w14:paraId="2824376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 2019. gada 30.augustā saņem no ārvalstu komersanta kancelejas preces. Preču iegādes vērtība saskaņā ar attaisnojuma dokumentiem ir 1 250,00 GBP. Darījuma diena saskaņā ar līguma/vienošanās noteikumiem – 30.08.2019. Budžeta iestādei darījums jāuzskaita EUR valūtā. Atzīstot darījumu grāmatvedības uzskaitē, budžeta iestāde darījuma summu pārrēķina euro un iegrāmato, izmantojot valūtas kursu uz 30.08.2019. Piemērā tiek pieņemts, ka budžeta iestāde nav PVN maksātāja.</w:t>
      </w:r>
    </w:p>
    <w:p w14:paraId="106E0339"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Aprēķins un grāmatojumi:</w:t>
      </w:r>
    </w:p>
    <w:p w14:paraId="677E59E7"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w:t>
      </w:r>
      <w:r w:rsidRPr="00427382">
        <w:rPr>
          <w:rFonts w:ascii="Times New Roman" w:hAnsi="Times New Roman" w:cs="Times New Roman"/>
          <w:sz w:val="24"/>
          <w:szCs w:val="24"/>
        </w:rPr>
        <w:tab/>
        <w:t>Budžeta iestāde iegūst informāciju par valūtas maiņas kursu (GBP/EUR) 30.08.2019. saskaņā ar Latvijas bankas mājas lapā publicētajiem datiem (https://www.bank.lv/statistika/valutu- kursi/aktualie ):</w:t>
      </w:r>
    </w:p>
    <w:p w14:paraId="754BD59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EUR = 0,91973 GBP*</w:t>
      </w:r>
    </w:p>
    <w:p w14:paraId="794E30E3"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47B65A4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2)</w:t>
      </w:r>
      <w:r w:rsidRPr="00427382">
        <w:rPr>
          <w:rFonts w:ascii="Times New Roman" w:hAnsi="Times New Roman" w:cs="Times New Roman"/>
          <w:sz w:val="24"/>
          <w:szCs w:val="24"/>
        </w:rPr>
        <w:tab/>
        <w:t>Darījuma vērtības pārrēķins no ārvalstu valūtas (GBP) uz euro: 1 250,00 GBP = 1250,00 GBP/ 0,91973 = 1 359,09 EUR</w:t>
      </w:r>
    </w:p>
    <w:p w14:paraId="39B2C36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3)</w:t>
      </w:r>
      <w:r w:rsidRPr="00427382">
        <w:rPr>
          <w:rFonts w:ascii="Times New Roman" w:hAnsi="Times New Roman" w:cs="Times New Roman"/>
          <w:sz w:val="24"/>
          <w:szCs w:val="24"/>
        </w:rPr>
        <w:tab/>
        <w:t>Pēc aprēķinu veikšanas budžeta iestāde, atzīst darījumu, veicot sekojošu grāmatojumu:</w:t>
      </w:r>
    </w:p>
    <w:p w14:paraId="19FEAC7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2114</w:t>
      </w:r>
      <w:r w:rsidRPr="00427382">
        <w:rPr>
          <w:rFonts w:ascii="Times New Roman" w:hAnsi="Times New Roman" w:cs="Times New Roman"/>
          <w:sz w:val="24"/>
          <w:szCs w:val="24"/>
        </w:rPr>
        <w:tab/>
        <w:t>Saimniecības materiāli un kancelejas piederumi</w:t>
      </w:r>
      <w:r w:rsidRPr="00427382">
        <w:rPr>
          <w:rFonts w:ascii="Times New Roman" w:hAnsi="Times New Roman" w:cs="Times New Roman"/>
          <w:sz w:val="24"/>
          <w:szCs w:val="24"/>
        </w:rPr>
        <w:tab/>
        <w:t>1 359,09 EUR</w:t>
      </w:r>
    </w:p>
    <w:p w14:paraId="5A2C3D7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1 359,09 EUR</w:t>
      </w:r>
    </w:p>
    <w:p w14:paraId="6E3E899E"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1174.  </w:t>
      </w:r>
      <w:r w:rsidRPr="00427382">
        <w:rPr>
          <w:rFonts w:ascii="Times New Roman" w:hAnsi="Times New Roman" w:cs="Times New Roman"/>
          <w:b/>
          <w:bCs/>
          <w:sz w:val="24"/>
          <w:szCs w:val="24"/>
        </w:rPr>
        <w:t>Piemērs -</w:t>
      </w:r>
      <w:r w:rsidRPr="00427382">
        <w:rPr>
          <w:rFonts w:ascii="Times New Roman" w:hAnsi="Times New Roman" w:cs="Times New Roman"/>
          <w:sz w:val="24"/>
          <w:szCs w:val="24"/>
        </w:rPr>
        <w:t xml:space="preserve"> ārvalstu valūtas norēķinu konta atlikuma uzrādīšana euro pārskata perioda beigās</w:t>
      </w:r>
    </w:p>
    <w:p w14:paraId="7032639D"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iestādei ir aktīvs norēķinu konts darījumiem Polijas (naudas vienības – zlots) (PLN) valūtā. Saskaņā ar salīdzināšanās aktiem ar kredītiestādi norēķinu konta atlikums 31.12.2019. ir 12 564,98 PLN.</w:t>
      </w:r>
    </w:p>
    <w:p w14:paraId="5824698E"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Lai pareizi uzrādītu konta atlikumu pārskata perioda beigās finanšu pārskatā, budžeta iestāde konta atlikumu pārrēķina EUR atbilstoši grāmatvedībā izmantojamam ārvalstu valūtas kursam pārskata perioda pēdējās dienas beigās – 31.12.2019.</w:t>
      </w:r>
    </w:p>
    <w:p w14:paraId="07F25F9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Aprēķins:</w:t>
      </w:r>
    </w:p>
    <w:p w14:paraId="784A69D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w:t>
      </w:r>
      <w:r w:rsidRPr="00427382">
        <w:rPr>
          <w:rFonts w:ascii="Times New Roman" w:hAnsi="Times New Roman" w:cs="Times New Roman"/>
          <w:sz w:val="24"/>
          <w:szCs w:val="24"/>
        </w:rPr>
        <w:tab/>
        <w:t>Budžeta iestāde iegūst informāciju par valūtas maiņas kursu (EUR/PLN) 31.12.2019. saskaņā ar Latvijas bankas mājas lapā publicētajiem datiem (https://www.bank.lv/statistika/valutu- kursi/aktualie ):</w:t>
      </w:r>
    </w:p>
    <w:p w14:paraId="59CA4CB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 EUR = 4,41030 PLN*</w:t>
      </w:r>
    </w:p>
    <w:p w14:paraId="40EE07E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06B3348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2)</w:t>
      </w:r>
      <w:r w:rsidRPr="00427382">
        <w:rPr>
          <w:rFonts w:ascii="Times New Roman" w:hAnsi="Times New Roman" w:cs="Times New Roman"/>
          <w:sz w:val="24"/>
          <w:szCs w:val="24"/>
        </w:rPr>
        <w:tab/>
        <w:t>Norēķinu konta atlikuma pārrēķins no ārvalstu valūtas (PLN) uz euro:</w:t>
      </w:r>
    </w:p>
    <w:p w14:paraId="23F36E5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12 564,98 PLN/ 4,41030 = 2 849,01 EUR</w:t>
      </w:r>
    </w:p>
    <w:p w14:paraId="4CDDFCFD"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3)</w:t>
      </w:r>
      <w:r w:rsidRPr="00427382">
        <w:rPr>
          <w:rFonts w:ascii="Times New Roman" w:hAnsi="Times New Roman" w:cs="Times New Roman"/>
          <w:sz w:val="24"/>
          <w:szCs w:val="24"/>
        </w:rPr>
        <w:tab/>
        <w:t>Budžeta iestādei grāmatvedības uzskaitē uzrādītais norēķinu konta atlikums pirms pārvērtēšanas ir 2 987,10 EUR.</w:t>
      </w:r>
    </w:p>
    <w:p w14:paraId="7B3F64E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4)</w:t>
      </w:r>
      <w:r w:rsidRPr="00427382">
        <w:rPr>
          <w:rFonts w:ascii="Times New Roman" w:hAnsi="Times New Roman" w:cs="Times New Roman"/>
          <w:sz w:val="24"/>
          <w:szCs w:val="24"/>
        </w:rPr>
        <w:tab/>
        <w:t>Budžeta  iestāde  finanšu  pārskatā  attiecīgajā   norēķinu   kontā  uzrāda  naudas  līdzekļus  2 849,01 EUR vērtībā un atzīst pārskata perioda finanšu izdevumus no valūtas kursu svārstībām 138,09 EUR apmērā, veicot sekojošu grāmatojumu:</w:t>
      </w:r>
    </w:p>
    <w:p w14:paraId="4A0DE5F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8210</w:t>
      </w:r>
      <w:r w:rsidRPr="00427382">
        <w:rPr>
          <w:rFonts w:ascii="Times New Roman" w:hAnsi="Times New Roman" w:cs="Times New Roman"/>
          <w:sz w:val="24"/>
          <w:szCs w:val="24"/>
        </w:rPr>
        <w:tab/>
        <w:t>Izdevumi no valūtas kursu svārstībām</w:t>
      </w:r>
      <w:r w:rsidRPr="00427382">
        <w:rPr>
          <w:rFonts w:ascii="Times New Roman" w:hAnsi="Times New Roman" w:cs="Times New Roman"/>
          <w:sz w:val="24"/>
          <w:szCs w:val="24"/>
        </w:rPr>
        <w:tab/>
        <w:t>138,09 EUR</w:t>
      </w:r>
    </w:p>
    <w:p w14:paraId="123B8FC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2620</w:t>
      </w:r>
      <w:r w:rsidRPr="00427382">
        <w:rPr>
          <w:rFonts w:ascii="Times New Roman" w:hAnsi="Times New Roman" w:cs="Times New Roman"/>
          <w:sz w:val="24"/>
          <w:szCs w:val="24"/>
        </w:rPr>
        <w:tab/>
        <w:t>Norēķinu konti Valsts kasē, kredītiestādēs vai citās institūcijās</w:t>
      </w:r>
      <w:r w:rsidRPr="00427382">
        <w:rPr>
          <w:rFonts w:ascii="Times New Roman" w:hAnsi="Times New Roman" w:cs="Times New Roman"/>
          <w:sz w:val="24"/>
          <w:szCs w:val="24"/>
        </w:rPr>
        <w:tab/>
        <w:t>138,09 EUR</w:t>
      </w:r>
    </w:p>
    <w:p w14:paraId="12082389"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1175</w:t>
      </w:r>
      <w:r w:rsidRPr="00427382">
        <w:rPr>
          <w:rFonts w:ascii="Times New Roman" w:hAnsi="Times New Roman" w:cs="Times New Roman"/>
          <w:b/>
          <w:bCs/>
          <w:sz w:val="24"/>
          <w:szCs w:val="24"/>
        </w:rPr>
        <w:t>. Piemērs</w:t>
      </w:r>
      <w:r w:rsidRPr="00427382">
        <w:rPr>
          <w:rFonts w:ascii="Times New Roman" w:hAnsi="Times New Roman" w:cs="Times New Roman"/>
          <w:sz w:val="24"/>
          <w:szCs w:val="24"/>
        </w:rPr>
        <w:t xml:space="preserve"> - valūtas kursa svārstību atzīšana pārskata perioda ieņēmumos vai izdevumos</w:t>
      </w:r>
    </w:p>
    <w:p w14:paraId="5D47E88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 2019. gada 1. decembrī saņem rēķinu no Lielbritānijas uzņēmuma par iegādātiem pamatlīdzekļiem 1 000,00 GBP vērtībā. Darījuma diena saskaņā ar līguma/vienošanās noteikumiem – 01.12.2019. Budžeta iestāde grāmatvedības uzskaitē atzīst saistības attiecībā pret piegādātājiem saskaņā ar</w:t>
      </w:r>
      <w:r>
        <w:rPr>
          <w:rFonts w:ascii="Times New Roman" w:hAnsi="Times New Roman" w:cs="Times New Roman"/>
          <w:sz w:val="24"/>
          <w:szCs w:val="24"/>
        </w:rPr>
        <w:t xml:space="preserve"> </w:t>
      </w:r>
      <w:r w:rsidRPr="00427382">
        <w:rPr>
          <w:rFonts w:ascii="Times New Roman" w:hAnsi="Times New Roman" w:cs="Times New Roman"/>
          <w:sz w:val="24"/>
          <w:szCs w:val="24"/>
        </w:rPr>
        <w:t>valūtas kursu (GBP/EUR) 01.12.2019. Līdz pārskata datumam (31.12.2019.) budžeta iestāde nav norēķinājusies ar attiecīgo kreditoru. Pārskata datumā budžeta iestāde pārrēķina saistību atlikumu, tāpēc pārskata datumā atlikums GBP valūtā tiek pārrēķināts EUR valūtā pēc 2019. gada 31. decembra valūtas kursa un valūtas kursa svārstības, kas radušās šajā periodā, uzskaita budžeta iestādes ieņēmumu vai izdevumu kontā.</w:t>
      </w:r>
    </w:p>
    <w:p w14:paraId="2AAF7D5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Piemērā tiek pieņemts, ka budžeta iestāde nav PVN maksātāja.</w:t>
      </w:r>
    </w:p>
    <w:p w14:paraId="29697D8E"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Aprēķins:</w:t>
      </w:r>
    </w:p>
    <w:p w14:paraId="4F02747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427382">
        <w:rPr>
          <w:rFonts w:ascii="Times New Roman" w:hAnsi="Times New Roman" w:cs="Times New Roman"/>
          <w:sz w:val="24"/>
          <w:szCs w:val="24"/>
        </w:rPr>
        <w:t>Budžeta iestāde iegūst informāciju par valūtas maiņas kursu (GBP/EUR) 01.12.2019. saskaņā ar Latvijas bankas mājas lapā publicētajiem datiem (https://www.bank.lv/statistika/valutu- kursi/aktualie ):</w:t>
      </w:r>
    </w:p>
    <w:p w14:paraId="2C3B0F2A"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 EUR = 0,84098 GBP*</w:t>
      </w:r>
    </w:p>
    <w:p w14:paraId="70C1837D"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4ADE4C5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2)</w:t>
      </w:r>
      <w:r w:rsidRPr="00427382">
        <w:rPr>
          <w:rFonts w:ascii="Times New Roman" w:hAnsi="Times New Roman" w:cs="Times New Roman"/>
          <w:sz w:val="24"/>
          <w:szCs w:val="24"/>
        </w:rPr>
        <w:tab/>
        <w:t>Darījuma pārrēķins no ārvalstu valūtas (GBP) uz euro:</w:t>
      </w:r>
    </w:p>
    <w:p w14:paraId="4D22ADA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1 000,00 GBP /0,84098 = 1 189,09 EUR</w:t>
      </w:r>
    </w:p>
    <w:p w14:paraId="466C7433"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3)</w:t>
      </w:r>
      <w:r>
        <w:rPr>
          <w:rFonts w:ascii="Times New Roman" w:hAnsi="Times New Roman" w:cs="Times New Roman"/>
          <w:sz w:val="24"/>
          <w:szCs w:val="24"/>
        </w:rPr>
        <w:t xml:space="preserve">   </w:t>
      </w:r>
      <w:r w:rsidRPr="00427382">
        <w:rPr>
          <w:rFonts w:ascii="Times New Roman" w:hAnsi="Times New Roman" w:cs="Times New Roman"/>
          <w:sz w:val="24"/>
          <w:szCs w:val="24"/>
        </w:rPr>
        <w:t>Pēc aprēķina, budžeta iestāde 2019. gada 1.decembrī atzīst pamatlīdzekļa iegādi un saistības, veicot sekojošu grāmatojumu:</w:t>
      </w:r>
    </w:p>
    <w:p w14:paraId="49B2998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1230</w:t>
      </w:r>
      <w:r w:rsidRPr="00427382">
        <w:rPr>
          <w:rFonts w:ascii="Times New Roman" w:hAnsi="Times New Roman" w:cs="Times New Roman"/>
          <w:sz w:val="24"/>
          <w:szCs w:val="24"/>
        </w:rPr>
        <w:tab/>
        <w:t>Pārējie pamatlīdzekļi</w:t>
      </w:r>
      <w:r w:rsidRPr="00427382">
        <w:rPr>
          <w:rFonts w:ascii="Times New Roman" w:hAnsi="Times New Roman" w:cs="Times New Roman"/>
          <w:sz w:val="24"/>
          <w:szCs w:val="24"/>
        </w:rPr>
        <w:tab/>
        <w:t>1 189,09 EUR</w:t>
      </w:r>
    </w:p>
    <w:p w14:paraId="63B8911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1 189,09 EUR</w:t>
      </w:r>
    </w:p>
    <w:p w14:paraId="3AA29F9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4)</w:t>
      </w:r>
      <w:r>
        <w:rPr>
          <w:rFonts w:ascii="Times New Roman" w:hAnsi="Times New Roman" w:cs="Times New Roman"/>
          <w:sz w:val="24"/>
          <w:szCs w:val="24"/>
        </w:rPr>
        <w:t xml:space="preserve">   </w:t>
      </w:r>
      <w:r w:rsidRPr="00427382">
        <w:rPr>
          <w:rFonts w:ascii="Times New Roman" w:hAnsi="Times New Roman" w:cs="Times New Roman"/>
          <w:sz w:val="24"/>
          <w:szCs w:val="24"/>
        </w:rPr>
        <w:t>Pārskata datumā 31.12.2019. budžeta iestāde iegūst informāciju par valūtas maiņas kursu (GBP/EUR) saskaņā ar Latvijas bankas mājas lapā publicētajiem datiem (https://www.bank.lv/statistika/valutu-kursi/aktualie ):</w:t>
      </w:r>
    </w:p>
    <w:p w14:paraId="0BD0DF83"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EUR = 0,85618 GBP*</w:t>
      </w:r>
    </w:p>
    <w:p w14:paraId="671B69E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21BA7712"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5)</w:t>
      </w:r>
      <w:r>
        <w:rPr>
          <w:rFonts w:ascii="Times New Roman" w:hAnsi="Times New Roman" w:cs="Times New Roman"/>
          <w:sz w:val="24"/>
          <w:szCs w:val="24"/>
        </w:rPr>
        <w:t xml:space="preserve">   </w:t>
      </w:r>
      <w:r w:rsidRPr="00427382">
        <w:rPr>
          <w:rFonts w:ascii="Times New Roman" w:hAnsi="Times New Roman" w:cs="Times New Roman"/>
          <w:sz w:val="24"/>
          <w:szCs w:val="24"/>
        </w:rPr>
        <w:t>Saistību atlikuma ārvalstu valūtā pārrēķins uz euro saskaņā ar valūtas kursu pārskata datumā 31.12.2019:</w:t>
      </w:r>
    </w:p>
    <w:p w14:paraId="0976B13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1 000,00 GBP/0,85618 = 1 167,98 EUR</w:t>
      </w:r>
    </w:p>
    <w:p w14:paraId="2978CC3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6)</w:t>
      </w:r>
      <w:r w:rsidRPr="00427382">
        <w:rPr>
          <w:rFonts w:ascii="Times New Roman" w:hAnsi="Times New Roman" w:cs="Times New Roman"/>
          <w:sz w:val="24"/>
          <w:szCs w:val="24"/>
        </w:rPr>
        <w:tab/>
        <w:t>Valūtas kursa svārstību aprēķins sākotnējai atzītajai vērtībai pret vērtību pārskata datumā:</w:t>
      </w:r>
    </w:p>
    <w:p w14:paraId="1A3E456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1 189,09 EUR – 1 167,98 EUR = 21,11 EUR</w:t>
      </w:r>
    </w:p>
    <w:p w14:paraId="61F92C79"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7)</w:t>
      </w:r>
      <w:r w:rsidRPr="00427382">
        <w:rPr>
          <w:rFonts w:ascii="Times New Roman" w:hAnsi="Times New Roman" w:cs="Times New Roman"/>
          <w:sz w:val="24"/>
          <w:szCs w:val="24"/>
        </w:rPr>
        <w:tab/>
        <w:t>Budžeta iestāde pārskata datumā koriģē īstermiņa saistību pret piegādātājiem un darbuzņēmējiem konta atlikumu un atzīst ieņēmumus no valūtas kursu svārstībām, veicot sekojošu grāmatojumu:</w:t>
      </w:r>
    </w:p>
    <w:p w14:paraId="2F2C16A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21,11 EUR</w:t>
      </w:r>
    </w:p>
    <w:p w14:paraId="496E698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8110</w:t>
      </w:r>
      <w:r w:rsidRPr="00427382">
        <w:rPr>
          <w:rFonts w:ascii="Times New Roman" w:hAnsi="Times New Roman" w:cs="Times New Roman"/>
          <w:sz w:val="24"/>
          <w:szCs w:val="24"/>
        </w:rPr>
        <w:tab/>
        <w:t>Ieņēmumi no valūtas kursu svārstībām</w:t>
      </w:r>
      <w:r w:rsidRPr="00427382">
        <w:rPr>
          <w:rFonts w:ascii="Times New Roman" w:hAnsi="Times New Roman" w:cs="Times New Roman"/>
          <w:sz w:val="24"/>
          <w:szCs w:val="24"/>
        </w:rPr>
        <w:tab/>
        <w:t>21,11 EUR</w:t>
      </w:r>
    </w:p>
    <w:p w14:paraId="2BD2230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8)</w:t>
      </w:r>
      <w:r w:rsidRPr="00427382">
        <w:rPr>
          <w:rFonts w:ascii="Times New Roman" w:hAnsi="Times New Roman" w:cs="Times New Roman"/>
          <w:sz w:val="24"/>
          <w:szCs w:val="24"/>
        </w:rPr>
        <w:tab/>
        <w:t>09.01.2020. budžeta iestāde norēķinās par saistībām ar Lielbritānijas uzņēmumu saskaņā ar rēķinu (1 000,00 GBP). Darījuma dienas valūtas maiņas kurss (GBP/EUR) saskaņā ar Latvijas bankas mājas lapā publicētajiem datiem:</w:t>
      </w:r>
    </w:p>
    <w:p w14:paraId="3795862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EUR = 0,85140 GBP*.</w:t>
      </w:r>
    </w:p>
    <w:p w14:paraId="7E474C4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1045DA52"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Darījuma pārrēķins no ārvalstu valūtas (GBP) uz euro: 1 000,00 GBP/0,85140 = 1 174,54 EUR.</w:t>
      </w:r>
    </w:p>
    <w:p w14:paraId="62D53AF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 svārstību rezultātā radušies izdevumi:</w:t>
      </w:r>
    </w:p>
    <w:p w14:paraId="2943813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1 167,98 EUR (saistību atlikums uz 31.12.2019.) – 1 174,54 EUR = 6,56 EUR</w:t>
      </w:r>
    </w:p>
    <w:p w14:paraId="1DC0643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 veic maksājumu, atzīst saistību un naudas līdzekļu samazinājumu, un izdevumus no valūtas kursu svārstībām, veicot sekojošu grāmatojumu:</w:t>
      </w:r>
    </w:p>
    <w:p w14:paraId="78D1278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8210</w:t>
      </w:r>
      <w:r w:rsidRPr="00427382">
        <w:rPr>
          <w:rFonts w:ascii="Times New Roman" w:hAnsi="Times New Roman" w:cs="Times New Roman"/>
          <w:sz w:val="24"/>
          <w:szCs w:val="24"/>
        </w:rPr>
        <w:tab/>
        <w:t>Izdevumi no valūtas kursu svārstībām</w:t>
      </w:r>
      <w:r w:rsidRPr="00427382">
        <w:rPr>
          <w:rFonts w:ascii="Times New Roman" w:hAnsi="Times New Roman" w:cs="Times New Roman"/>
          <w:sz w:val="24"/>
          <w:szCs w:val="24"/>
        </w:rPr>
        <w:tab/>
        <w:t>6,56 EUR</w:t>
      </w:r>
    </w:p>
    <w:p w14:paraId="0AE77EC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1 167,98 EUR</w:t>
      </w:r>
    </w:p>
    <w:p w14:paraId="6DF76C6F"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2620</w:t>
      </w:r>
      <w:r w:rsidRPr="00427382">
        <w:rPr>
          <w:rFonts w:ascii="Times New Roman" w:hAnsi="Times New Roman" w:cs="Times New Roman"/>
          <w:sz w:val="24"/>
          <w:szCs w:val="24"/>
        </w:rPr>
        <w:tab/>
        <w:t>Norēķinu konti Valsts kasē, kredītiestādēs vai citās institūcijās</w:t>
      </w:r>
      <w:r w:rsidRPr="00427382">
        <w:rPr>
          <w:rFonts w:ascii="Times New Roman" w:hAnsi="Times New Roman" w:cs="Times New Roman"/>
          <w:sz w:val="24"/>
          <w:szCs w:val="24"/>
        </w:rPr>
        <w:tab/>
        <w:t>1 174,54 EUR</w:t>
      </w:r>
    </w:p>
    <w:p w14:paraId="4807DDDA"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p>
    <w:p w14:paraId="70D6D407" w14:textId="77777777" w:rsidR="00427382" w:rsidRDefault="00427382" w:rsidP="00CD363C">
      <w:pPr>
        <w:widowControl w:val="0"/>
        <w:tabs>
          <w:tab w:val="left" w:pos="1018"/>
        </w:tabs>
        <w:autoSpaceDE w:val="0"/>
        <w:autoSpaceDN w:val="0"/>
        <w:spacing w:after="0" w:line="240" w:lineRule="auto"/>
        <w:ind w:right="-142"/>
        <w:jc w:val="center"/>
        <w:rPr>
          <w:rFonts w:ascii="Times New Roman" w:hAnsi="Times New Roman" w:cs="Times New Roman"/>
          <w:b/>
          <w:bCs/>
          <w:sz w:val="24"/>
          <w:szCs w:val="24"/>
        </w:rPr>
      </w:pPr>
      <w:r w:rsidRPr="00427382">
        <w:rPr>
          <w:rFonts w:ascii="Times New Roman" w:hAnsi="Times New Roman" w:cs="Times New Roman"/>
          <w:b/>
          <w:bCs/>
          <w:sz w:val="24"/>
          <w:szCs w:val="24"/>
        </w:rPr>
        <w:t>26.Izmaiņas grāmatvedības uzskaites kārtībā, aplēšu maiņa un kļūdu labošana</w:t>
      </w:r>
    </w:p>
    <w:p w14:paraId="7C90F69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1176.  </w:t>
      </w:r>
      <w:r w:rsidRPr="00427382">
        <w:rPr>
          <w:rFonts w:ascii="Times New Roman" w:hAnsi="Times New Roman" w:cs="Times New Roman"/>
          <w:sz w:val="24"/>
          <w:szCs w:val="24"/>
        </w:rPr>
        <w:t>Šīs sadaļas mērķis ir noteikt uzskaites un informācijas uzrādīšanas principus, kas piemērojami sekojošos gadījumos:</w:t>
      </w:r>
    </w:p>
    <w:p w14:paraId="60510E57"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w:t>
      </w:r>
      <w:r w:rsidRPr="00427382">
        <w:rPr>
          <w:rFonts w:ascii="Times New Roman" w:hAnsi="Times New Roman" w:cs="Times New Roman"/>
          <w:sz w:val="24"/>
          <w:szCs w:val="24"/>
        </w:rPr>
        <w:tab/>
        <w:t>grāmatvedības uzskaites principu maiņa;</w:t>
      </w:r>
    </w:p>
    <w:p w14:paraId="20A019D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w:t>
      </w:r>
      <w:r w:rsidRPr="00427382">
        <w:rPr>
          <w:rFonts w:ascii="Times New Roman" w:hAnsi="Times New Roman" w:cs="Times New Roman"/>
          <w:sz w:val="24"/>
          <w:szCs w:val="24"/>
        </w:rPr>
        <w:tab/>
        <w:t>izmaiņas grāmatvedības aplēsēs;</w:t>
      </w:r>
    </w:p>
    <w:p w14:paraId="390B2438"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w:t>
      </w:r>
      <w:r w:rsidRPr="00427382">
        <w:rPr>
          <w:rFonts w:ascii="Times New Roman" w:hAnsi="Times New Roman" w:cs="Times New Roman"/>
          <w:sz w:val="24"/>
          <w:szCs w:val="24"/>
        </w:rPr>
        <w:tab/>
        <w:t>kļūdu labošana.</w:t>
      </w:r>
    </w:p>
    <w:p w14:paraId="7B794225" w14:textId="77777777" w:rsidR="00427382"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1177.  </w:t>
      </w:r>
      <w:r w:rsidRPr="00A16DF9">
        <w:rPr>
          <w:rFonts w:ascii="Times New Roman" w:hAnsi="Times New Roman" w:cs="Times New Roman"/>
          <w:sz w:val="24"/>
          <w:szCs w:val="24"/>
        </w:rPr>
        <w:t>Šī sadaļa nosaka grāmatvedības uzskaites principu piemērošanu, izmaiņu grāmatvedības uzskaites principos un grāmatvedības aplēsēs, iepriekšējo periodu kļūdu labojumu uzskaiti un ar to saistītos grāmatojumus, kā arī sniedz atsauces uz uzskaiti reglamentējošiem normatīvajiem aktiem, praktiskus piemērus un informācijas atklāšanas paraugus.</w:t>
      </w:r>
    </w:p>
    <w:p w14:paraId="75EB826B"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1178.  Aplēse ir a</w:t>
      </w:r>
      <w:r w:rsidRPr="00A16DF9">
        <w:rPr>
          <w:rFonts w:ascii="Times New Roman" w:hAnsi="Times New Roman" w:cs="Times New Roman"/>
          <w:sz w:val="24"/>
          <w:szCs w:val="24"/>
        </w:rPr>
        <w:t>ktīvu vai saistību uzskaites vērtība vai periodiska aktīvu patēriņa (piemēram, aktīvu nolietojuma un amortizācijas) summa, kas rodas aktīvu un saistību pašreizējā stāvokļa un ar tiem saistīto sagaidāmo nākotnes labumu un pienākumu novērtējuma rezultātā.</w:t>
      </w:r>
    </w:p>
    <w:p w14:paraId="66F7422C" w14:textId="77777777" w:rsidR="00A16DF9" w:rsidRPr="00427382"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1179. Aplēses maiņa ir </w:t>
      </w:r>
      <w:r w:rsidRPr="00A16DF9">
        <w:rPr>
          <w:rFonts w:ascii="Times New Roman" w:hAnsi="Times New Roman" w:cs="Times New Roman"/>
          <w:sz w:val="24"/>
          <w:szCs w:val="24"/>
        </w:rPr>
        <w:t>aktīvu vai saistību uzskaites vērtības korekcija vai periodiska aktīvu patēriņa (nolietojuma un amortizācijas) summas korekcija, kas rodas aktīvu un saistību pašreizējā stāvokļa un ar tiem saistīto sagaidāmo nākotnes labumu un pienākumu novērtējuma rezultātā. Izmaiņas grāmatvedības aplēsēs rodas jaunas informācijas iegūšanas rezultātā un līdz ar to nav uzskatāmas par kļūdu korekciju.</w:t>
      </w:r>
    </w:p>
    <w:p w14:paraId="36B28334" w14:textId="77777777" w:rsidR="00427382"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1180. Grāmatvedības uzskaites principi ir  </w:t>
      </w:r>
      <w:r w:rsidRPr="00A16DF9">
        <w:rPr>
          <w:rFonts w:ascii="Times New Roman" w:hAnsi="Times New Roman" w:cs="Times New Roman"/>
          <w:sz w:val="24"/>
          <w:szCs w:val="24"/>
        </w:rPr>
        <w:t>normatīvajos aktos noteikti konkrēti principi, nostādnes, metodes, pieņēmumi, noteikumi un prakse, ko budžeta iestāde piemēro saimniecisko darījumu novērtēšanai un uzskaitei.</w:t>
      </w:r>
    </w:p>
    <w:p w14:paraId="796026F9"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1181.  Grāmatvedības uzskaites kārtība ir b</w:t>
      </w:r>
      <w:r w:rsidRPr="00A16DF9">
        <w:rPr>
          <w:rFonts w:ascii="Times New Roman" w:hAnsi="Times New Roman" w:cs="Times New Roman"/>
          <w:sz w:val="24"/>
          <w:szCs w:val="24"/>
        </w:rPr>
        <w:t>udžeta iestādes iekšējais normatīvais akts, kas ietver grāmatvedības kontu plānu, grāmatvedības uzskaites principu aprakstu, darījumu grāmatojumus, būtiskuma līmeni un citu nepieciešamo informāciju, ko budžeta iestāde lieto, veicot grāmatvedības uzskaiti un sagatavojot finanšu pārskatus.</w:t>
      </w:r>
    </w:p>
    <w:p w14:paraId="78C40A6D"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1182.   </w:t>
      </w:r>
      <w:r w:rsidRPr="00A16DF9">
        <w:rPr>
          <w:rFonts w:ascii="Times New Roman" w:hAnsi="Times New Roman" w:cs="Times New Roman"/>
          <w:sz w:val="24"/>
          <w:szCs w:val="24"/>
        </w:rPr>
        <w:t>Iepriekšējo periodu kļūdas</w:t>
      </w:r>
      <w:r>
        <w:rPr>
          <w:rFonts w:ascii="Times New Roman" w:hAnsi="Times New Roman" w:cs="Times New Roman"/>
          <w:sz w:val="24"/>
          <w:szCs w:val="24"/>
        </w:rPr>
        <w:t xml:space="preserve"> ir</w:t>
      </w:r>
      <w:r w:rsidRPr="00A16DF9">
        <w:rPr>
          <w:rFonts w:ascii="Times New Roman" w:hAnsi="Times New Roman" w:cs="Times New Roman"/>
          <w:sz w:val="24"/>
          <w:szCs w:val="24"/>
        </w:rPr>
        <w:tab/>
        <w:t>informācijas neuzrādīšana vai nepareiza uzrādīšana budžeta iestādes finanšu pārskatos vienā vai vairākos iepriekšējos periodos, kas rodas, neizmantojot vai nepareizi izmantojot ticamu informāciju,</w:t>
      </w:r>
    </w:p>
    <w:p w14:paraId="13D0EE10"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A16DF9">
        <w:rPr>
          <w:rFonts w:ascii="Times New Roman" w:hAnsi="Times New Roman" w:cs="Times New Roman"/>
          <w:sz w:val="24"/>
          <w:szCs w:val="24"/>
        </w:rPr>
        <w:t xml:space="preserve">kas: </w:t>
      </w:r>
    </w:p>
    <w:p w14:paraId="51499608"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A16DF9">
        <w:rPr>
          <w:rFonts w:ascii="Times New Roman" w:hAnsi="Times New Roman" w:cs="Times New Roman"/>
          <w:sz w:val="24"/>
          <w:szCs w:val="24"/>
        </w:rPr>
        <w:tab/>
        <w:t>•</w:t>
      </w:r>
      <w:r w:rsidRPr="00A16DF9">
        <w:rPr>
          <w:rFonts w:ascii="Times New Roman" w:hAnsi="Times New Roman" w:cs="Times New Roman"/>
          <w:sz w:val="24"/>
          <w:szCs w:val="24"/>
        </w:rPr>
        <w:tab/>
        <w:t>bija pieejama, kad šo periodu finanšu pārskati tika apstiprināti publiskošanai;</w:t>
      </w:r>
    </w:p>
    <w:p w14:paraId="0F0D8FEB"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pamatoti tiek uzskatīta par pieejamu un vērā ņemamu, sagatavojot finanšu pārskatus.</w:t>
      </w:r>
    </w:p>
    <w:p w14:paraId="1656EA23"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A16DF9">
        <w:rPr>
          <w:rFonts w:ascii="Times New Roman" w:hAnsi="Times New Roman" w:cs="Times New Roman"/>
          <w:sz w:val="24"/>
          <w:szCs w:val="24"/>
        </w:rPr>
        <w:t>Šādas kļūdas ietver matemātiskas kļūdas, kļūdas grāmatvedības uzskaites principu piemērošanā (piemēram, kļūdaini nav saņemts un iegrāmatots attaisnojuma dokuments) vai faktu nepareizu interpretāciju un krāpšanos.</w:t>
      </w:r>
    </w:p>
    <w:p w14:paraId="1F610A4C"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A16DF9">
        <w:rPr>
          <w:rFonts w:ascii="Times New Roman" w:hAnsi="Times New Roman" w:cs="Times New Roman"/>
          <w:b/>
          <w:bCs/>
          <w:sz w:val="24"/>
          <w:szCs w:val="24"/>
        </w:rPr>
        <w:t>26.1. Grāmatvedības uzskaites principi, to piemērošana</w:t>
      </w:r>
    </w:p>
    <w:p w14:paraId="68D4C752"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1183.  </w:t>
      </w:r>
      <w:r w:rsidRPr="00A16DF9">
        <w:rPr>
          <w:rFonts w:ascii="Times New Roman" w:hAnsi="Times New Roman" w:cs="Times New Roman"/>
          <w:sz w:val="24"/>
          <w:szCs w:val="24"/>
        </w:rPr>
        <w:t>Ministru kabineta 13.02.2018. noteikumi Nr. 87 “Grāmatvedības uzskaites kārtība budžeta iestādēs” nosaka grāmatvedības uzskaites principus budžeta iestādēm, kas atbilstoši konkrētiem darījumu veidiem aprakstīti Rokasgrāmatas sadaļās. Pamatojoties uz minētajiem grāmatvedības uzskaites principiem, budžeta iestāde sagatavo finanšu pārskatus, kas satur skaidru un patiesu informāciju par darījumiem, citiem notikumiem un apstākļiem, uz kuriem pārskatā norādītā informācija attiecas.</w:t>
      </w:r>
    </w:p>
    <w:p w14:paraId="45EF7A18"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1184.  </w:t>
      </w:r>
      <w:r w:rsidRPr="00A16DF9">
        <w:rPr>
          <w:rFonts w:ascii="Times New Roman" w:hAnsi="Times New Roman" w:cs="Times New Roman"/>
          <w:sz w:val="24"/>
          <w:szCs w:val="24"/>
        </w:rPr>
        <w:t>Ja Rokasgrāmatā sniegtie uzskaites principi nav attiecināmi uz kādu īpašu darījumu, notikumu vai apstākli, budžeta iestādes vadība pieņem lēmumu, šim darījumam izstrādā un piemēro grāmatvedības uzskaites principus, kuru rezultātā tiek iegūta informācija, kas atbilst sekojošiem kritērijiem:</w:t>
      </w:r>
    </w:p>
    <w:p w14:paraId="0F2BB460"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ir svarīga lietotāju lēmumu pieņemšanas vajadzībām; un</w:t>
      </w:r>
    </w:p>
    <w:p w14:paraId="1AB38F8F"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 xml:space="preserve"> ir ticama un nodrošina, ka finanšu pārskati:</w:t>
      </w:r>
    </w:p>
    <w:p w14:paraId="75971BC4"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patiesi uzrāda budžeta iestādes finansiālo stāvokli, finansiālo rezultātu un naudas plūsmas;</w:t>
      </w:r>
    </w:p>
    <w:p w14:paraId="41111E99"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uzrāda darījumu, citu notikumu un apstākļu saimniecisko būtību, ne tikai to juridisko formu;</w:t>
      </w:r>
    </w:p>
    <w:p w14:paraId="48CF98BE"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ir neitrāli, un - objektīvi;</w:t>
      </w:r>
    </w:p>
    <w:p w14:paraId="5F237D99"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ir piesardzīgi; un</w:t>
      </w:r>
    </w:p>
    <w:p w14:paraId="6F9648D8"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ir pilnīgi visos būtiskajos aspektos.</w:t>
      </w:r>
    </w:p>
    <w:p w14:paraId="737586BE" w14:textId="77777777" w:rsidR="00A16DF9" w:rsidRP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1185.  </w:t>
      </w:r>
      <w:r w:rsidR="00A16DF9">
        <w:rPr>
          <w:rFonts w:ascii="Times New Roman" w:hAnsi="Times New Roman" w:cs="Times New Roman"/>
          <w:sz w:val="24"/>
          <w:szCs w:val="24"/>
        </w:rPr>
        <w:t>Grāmatvedības uzskaites kārtības</w:t>
      </w:r>
      <w:r w:rsidR="00A16DF9" w:rsidRPr="00A16DF9">
        <w:rPr>
          <w:rFonts w:ascii="Times New Roman" w:hAnsi="Times New Roman" w:cs="Times New Roman"/>
          <w:sz w:val="24"/>
          <w:szCs w:val="24"/>
        </w:rPr>
        <w:t xml:space="preserve"> sadaļā “Pārskata perioda slēgšana un finanšu pārskatu sagatavošana” ir sniegti finanšu pārskatus raksturojošie kvalitatīvie kritēriji.</w:t>
      </w:r>
    </w:p>
    <w:p w14:paraId="7EBF2606" w14:textId="77777777" w:rsidR="00A16DF9" w:rsidRP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1186.  </w:t>
      </w:r>
      <w:r w:rsidR="00A16DF9" w:rsidRPr="00A16DF9">
        <w:rPr>
          <w:rFonts w:ascii="Times New Roman" w:hAnsi="Times New Roman" w:cs="Times New Roman"/>
          <w:sz w:val="24"/>
          <w:szCs w:val="24"/>
        </w:rPr>
        <w:t>Pieņemot lēmumu, budžeta iestādes vadība ņem vērā tiesību aktos noteiktās prasības attiecībā uz līdzīgiem vai saistītiem jautājumiem, kā arī aktīvu, saistību, ieņēmumu un izdevumu definīcijas un atzīšanas un novērtēšanas kritērijus.</w:t>
      </w:r>
    </w:p>
    <w:p w14:paraId="0622AFE4" w14:textId="77777777" w:rsidR="00A16DF9" w:rsidRP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1187.  </w:t>
      </w:r>
      <w:r w:rsidR="00A16DF9" w:rsidRPr="00A16DF9">
        <w:rPr>
          <w:rFonts w:ascii="Times New Roman" w:hAnsi="Times New Roman" w:cs="Times New Roman"/>
          <w:sz w:val="24"/>
          <w:szCs w:val="24"/>
        </w:rPr>
        <w:t>Budžeta iestāde izstrādā un apstiprina normatīvajiem aktiem un darbības jomai atbilstošu vienotu grāmatvedības uzskaites kārtību, kas nosaka konkrētus principus, nostādnes, metodes, pieņēmumus, noteikumus un praksi, tai skaitā uzskaites pamatprincipus, kontu plānu un darījumu grāmatojumus, būtiskuma līmeni, ko budžeta iestāde lieto, veicot grāmatvedības uzskaiti un sagatavojot finanšu pārskatus.</w:t>
      </w:r>
    </w:p>
    <w:p w14:paraId="7BC26D1B" w14:textId="77777777" w:rsid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1188.  </w:t>
      </w:r>
      <w:r w:rsidR="00A16DF9" w:rsidRPr="00A16DF9">
        <w:rPr>
          <w:rFonts w:ascii="Times New Roman" w:hAnsi="Times New Roman" w:cs="Times New Roman"/>
          <w:sz w:val="24"/>
          <w:szCs w:val="24"/>
        </w:rPr>
        <w:t>Vienotajā grāmatvedības uzskaites kārtībā noteiktos grāmatvedības uzskaites principus piemēro līdzīgiem darījumiem (piemēram, vienas kategorijas pamatlīdzekļu uzskaite), citiem notikumiem un apstākļiem un tos ievēro visas finanšu pārskatu konsolidācijā iesaistītās budžeta iestādes.</w:t>
      </w:r>
    </w:p>
    <w:p w14:paraId="6CE0963F"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EC3DEE">
        <w:rPr>
          <w:rFonts w:ascii="Times New Roman" w:hAnsi="Times New Roman" w:cs="Times New Roman"/>
          <w:b/>
          <w:bCs/>
          <w:sz w:val="24"/>
          <w:szCs w:val="24"/>
        </w:rPr>
        <w:t>26.2.Grāmatvedības uzskaites principu maiņa</w:t>
      </w:r>
    </w:p>
    <w:p w14:paraId="7EF0EF63"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EC3DEE">
        <w:rPr>
          <w:rFonts w:ascii="Times New Roman" w:hAnsi="Times New Roman" w:cs="Times New Roman"/>
          <w:sz w:val="24"/>
          <w:szCs w:val="24"/>
        </w:rPr>
        <w:t>1189.</w:t>
      </w:r>
      <w:r>
        <w:rPr>
          <w:rFonts w:ascii="Times New Roman" w:hAnsi="Times New Roman" w:cs="Times New Roman"/>
          <w:b/>
          <w:bCs/>
          <w:sz w:val="24"/>
          <w:szCs w:val="24"/>
        </w:rPr>
        <w:t xml:space="preserve">  </w:t>
      </w:r>
      <w:r w:rsidRPr="00EC3DEE">
        <w:rPr>
          <w:rFonts w:ascii="Times New Roman" w:hAnsi="Times New Roman" w:cs="Times New Roman"/>
          <w:sz w:val="24"/>
          <w:szCs w:val="24"/>
        </w:rPr>
        <w:t>Grāmatvedības uzskaites principu maiņa ir vienu grāmatvedības principu aizstāšana ar citiem grāmatvedības uzskaites principiem.</w:t>
      </w:r>
    </w:p>
    <w:p w14:paraId="7C1C9695"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1190.  </w:t>
      </w:r>
      <w:r w:rsidRPr="00EC3DEE">
        <w:rPr>
          <w:rFonts w:ascii="Times New Roman" w:hAnsi="Times New Roman" w:cs="Times New Roman"/>
          <w:sz w:val="24"/>
          <w:szCs w:val="24"/>
        </w:rPr>
        <w:t>Budžeta iestāde maina grāmatvedības uzskaites principus tikai tad, ja izmaiņu nepieciešamību nosaka tiesību akti.</w:t>
      </w:r>
    </w:p>
    <w:p w14:paraId="6FC9C870"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1191.  </w:t>
      </w:r>
      <w:r w:rsidRPr="00EC3DEE">
        <w:rPr>
          <w:rFonts w:ascii="Times New Roman" w:hAnsi="Times New Roman" w:cs="Times New Roman"/>
          <w:sz w:val="24"/>
          <w:szCs w:val="24"/>
        </w:rPr>
        <w:t xml:space="preserve">Lai nodrošinātu iespēju finanšu pārskatu lietotājiem salīdzināt budžeta iestādes finanšu pārskatus laika gaitā un noteikt finansiālā stāvokļa, finansiālā rezultāta un naudas plūsmu tendences, budžeta iestāde katrā pārskata periodā piemēro tādus pašus grāmatvedības uzskaites principus, izņemot </w:t>
      </w:r>
      <w:r>
        <w:rPr>
          <w:rFonts w:ascii="Times New Roman" w:hAnsi="Times New Roman" w:cs="Times New Roman"/>
          <w:sz w:val="24"/>
          <w:szCs w:val="24"/>
        </w:rPr>
        <w:t>1190</w:t>
      </w:r>
      <w:r w:rsidRPr="00EC3DEE">
        <w:rPr>
          <w:rFonts w:ascii="Times New Roman" w:hAnsi="Times New Roman" w:cs="Times New Roman"/>
          <w:sz w:val="24"/>
          <w:szCs w:val="24"/>
        </w:rPr>
        <w:t>. apakšpunktā minētos gadījumus.</w:t>
      </w:r>
    </w:p>
    <w:p w14:paraId="2B1B69B3"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1192.  </w:t>
      </w:r>
      <w:r w:rsidRPr="00EC3DEE">
        <w:rPr>
          <w:rFonts w:ascii="Times New Roman" w:hAnsi="Times New Roman" w:cs="Times New Roman"/>
          <w:sz w:val="24"/>
          <w:szCs w:val="24"/>
        </w:rPr>
        <w:t>Par grāmatvedības uzskaites principu maiņu nav uzskatāms:</w:t>
      </w:r>
    </w:p>
    <w:p w14:paraId="55B2B8FD"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grāmatvedības uzskaites principu piemērošana darījumiem, citiem notikumiem vai apstākļiem, kas pēc būtības atšķiras no tiem, kas pastāvējuši iepriekš, t.i. pēc būtības jauns darījums.</w:t>
      </w:r>
    </w:p>
    <w:p w14:paraId="446FAE42"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EC3DEE">
        <w:rPr>
          <w:rFonts w:ascii="Times New Roman" w:hAnsi="Times New Roman" w:cs="Times New Roman"/>
          <w:i/>
          <w:iCs/>
          <w:sz w:val="24"/>
          <w:szCs w:val="24"/>
        </w:rPr>
        <w:t>Piemēram, budžeta iestāde operatīvās nomas ietvaros nomā aprīkojumu. Nomas līguma beigās iestādes vadība pieņem lēmumu veikt grozījumus līgumā ar iznomātāju. Jaunais nomas līgums pēc būtības ir uzskatāms kā finanšu noma. Darījums pēc būtības atšķiras no iepriekšējā</w:t>
      </w:r>
    </w:p>
    <w:p w14:paraId="0B7CE67B"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EC3DEE">
        <w:rPr>
          <w:rFonts w:ascii="Times New Roman" w:hAnsi="Times New Roman" w:cs="Times New Roman"/>
          <w:i/>
          <w:iCs/>
          <w:sz w:val="24"/>
          <w:szCs w:val="24"/>
        </w:rPr>
        <w:t>darījuma, tāpēc uzskaitē tagad tiks piemēroti finanšu nomas uzskaites principi. Šāda veida izmaiņas nerada izmaiņas grāmatvedības uzskaites principos.</w:t>
      </w:r>
    </w:p>
    <w:p w14:paraId="51A2C19E"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jaunu grāmatvedības uzskaites principu piemērošana darījumiem, citiem notikumiem vai apstākļiem, kas iepriekš nav notikuši vai kas bija nebūtiski.</w:t>
      </w:r>
    </w:p>
    <w:p w14:paraId="6BEAA86E"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EC3DEE">
        <w:rPr>
          <w:rFonts w:ascii="Times New Roman" w:hAnsi="Times New Roman" w:cs="Times New Roman"/>
          <w:i/>
          <w:iCs/>
          <w:sz w:val="24"/>
          <w:szCs w:val="24"/>
        </w:rPr>
        <w:t>Piemēram, budžeta iestāde iegādājas ēku, kas atbilstoši ieguldījuma īpašuma atzīšanas kritērijiem grāmatvedības uzskaitē tiek atzīta kā ieguldījuma īpašums. Budžeta iestādei iepriekš nekad nav bijis ieguldījuma īpašumu. Citas budžeta iestādei piederošas ēkas un zeme ir uzskatāmas par pamatlīdzekļiem, un to uzskaite tiek veikta saskaņā ar pamatlīdzekļu uzskaites principiem. Iepriekš budžeta iestādē nepastāvēja ieguldījuma īpašumu uzskaite, tādēļ šī situācija atbilst jaunu grāmatvedības uzskaites principu piemērošanai darījumiem, kas iepriekš nav notikuši, nevis grāmatvedības uzskaites principu maiņai.</w:t>
      </w:r>
    </w:p>
    <w:p w14:paraId="244C8297" w14:textId="77777777" w:rsidR="00EC3DEE" w:rsidRPr="008E1524"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8E1524">
        <w:rPr>
          <w:rFonts w:ascii="Times New Roman" w:hAnsi="Times New Roman" w:cs="Times New Roman"/>
          <w:b/>
          <w:bCs/>
          <w:sz w:val="24"/>
          <w:szCs w:val="24"/>
        </w:rPr>
        <w:t>26.3. Grāmatvedības aplēses</w:t>
      </w:r>
    </w:p>
    <w:p w14:paraId="263AB3CC"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1193.   </w:t>
      </w:r>
      <w:r w:rsidRPr="00EC3DEE">
        <w:rPr>
          <w:rFonts w:ascii="Times New Roman" w:hAnsi="Times New Roman" w:cs="Times New Roman"/>
          <w:sz w:val="24"/>
          <w:szCs w:val="24"/>
        </w:rPr>
        <w:t>Pakalpojumu sniegšanai, darījumu veikšanai vai citām darbībām piemītošo nenoteiktību rezultātā daudzus finanšu pārskatu posteņus nevar novērtēt precīzi, bet var tikai aplēst. Aplēšu veikšana ietver lēmuma pieņemšanu, kas balstīti uz pēdējo pieejamo ticamo informāciju.</w:t>
      </w:r>
    </w:p>
    <w:p w14:paraId="351063E4"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EC3DEE">
        <w:rPr>
          <w:rFonts w:ascii="Times New Roman" w:hAnsi="Times New Roman" w:cs="Times New Roman"/>
          <w:sz w:val="24"/>
          <w:szCs w:val="24"/>
        </w:rPr>
        <w:t>Piemēram, aplēses ir nepieciešamas vai var būt pielietotas sekojošos gadījumos:</w:t>
      </w:r>
    </w:p>
    <w:p w14:paraId="50D4DFF1"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nemateriālo ieguldījumu lietderīgās lietošanas laika noteikšanai;</w:t>
      </w:r>
    </w:p>
    <w:p w14:paraId="11A010A6"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Pr>
          <w:rFonts w:ascii="Times New Roman" w:hAnsi="Times New Roman" w:cs="Times New Roman"/>
          <w:sz w:val="24"/>
          <w:szCs w:val="24"/>
        </w:rPr>
        <w:t xml:space="preserve"> </w:t>
      </w:r>
      <w:r w:rsidRPr="00EC3DEE">
        <w:rPr>
          <w:rFonts w:ascii="Times New Roman" w:hAnsi="Times New Roman" w:cs="Times New Roman"/>
          <w:sz w:val="24"/>
          <w:szCs w:val="24"/>
        </w:rPr>
        <w:tab/>
        <w:t>aktīvu vērtības samazinājuma aprēķināšanai;</w:t>
      </w:r>
    </w:p>
    <w:p w14:paraId="44AB5997"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saistību izpildei paredzēto uzkrājumu aprēķināšanai;</w:t>
      </w:r>
    </w:p>
    <w:p w14:paraId="7C98D2EA"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valsts budžeta ieņēmumu noteikšanai;</w:t>
      </w:r>
    </w:p>
    <w:p w14:paraId="0DE04BC7"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prasību par prettiesiski atsavinātiem aktīviem noteikšanai;</w:t>
      </w:r>
    </w:p>
    <w:p w14:paraId="70C7D301"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finanšu garantiju saistību apmēra noteikšanai.</w:t>
      </w:r>
    </w:p>
    <w:p w14:paraId="3CF6B2AB"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1194.  </w:t>
      </w:r>
      <w:r w:rsidRPr="00EC3DEE">
        <w:rPr>
          <w:rFonts w:ascii="Times New Roman" w:hAnsi="Times New Roman" w:cs="Times New Roman"/>
          <w:sz w:val="24"/>
          <w:szCs w:val="24"/>
        </w:rPr>
        <w:t>Budžeta iestāde veic grāmatvedības aplēsi, ja darījumu veikšanai vai citām darbībām piemītošo nenoteiktību rezultātā aktīvu vai pasīvu posteņus nevar novērtēt precīzi.</w:t>
      </w:r>
    </w:p>
    <w:p w14:paraId="5F3113C6"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1195.  </w:t>
      </w:r>
      <w:r w:rsidRPr="00EC3DEE">
        <w:rPr>
          <w:rFonts w:ascii="Times New Roman" w:hAnsi="Times New Roman" w:cs="Times New Roman"/>
          <w:sz w:val="24"/>
          <w:szCs w:val="24"/>
        </w:rPr>
        <w:t>Pamatotu aplēšu lietošana ir svarīga finanšu pārskatu sagatavošanas daļa un nemazina to ticamību.</w:t>
      </w:r>
    </w:p>
    <w:p w14:paraId="78D081F8"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1196.  </w:t>
      </w:r>
      <w:r w:rsidRPr="00EC3DEE">
        <w:rPr>
          <w:rFonts w:ascii="Times New Roman" w:hAnsi="Times New Roman" w:cs="Times New Roman"/>
          <w:sz w:val="24"/>
          <w:szCs w:val="24"/>
        </w:rPr>
        <w:t>Aplēsi pārskata, ja mainās apstākļi, uz kuriem aplēse ir balstīta, vai arī, ja ir iegūta jauna informācija, kas ietekmē aplēses sagatavošanu. Aplēses pārskatīšana neattiecas uz iepriekšējiem periodiem un tā nav uzskatāma par kļūdas labojumu. Piemēram, pēc finanšu pārskatu sagatavošanas budžeta iestāde saņem informāciju par kāda budžeta iestādes debitora maksātnespēju un pastāv šaubas par iepriekšējā perioda finanšu pārskatā uzrādīto prasību atgūšanu. Tā kā iepriekšējā perioda finanšu pārskata sagatavošanas laikā budžeta iestādes rīcībā nebija informācijas par debitora maksātspējas grūtībām un nepastāvēja šaubas par prasības atgūšanu, fakts, ka prasībām netika novērtēts vērtības samazinājums, netiek uzskatīts par kļūdu. Saņemot informāciju par debitora maksātnespēju, budžeta iestāde atzīst vērtības samazinājumu prasībām un uzskaita to kā izmaiņu grāmatvedības aplēsēs.</w:t>
      </w:r>
    </w:p>
    <w:p w14:paraId="72170EA3"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1197.  </w:t>
      </w:r>
      <w:r w:rsidRPr="00EC3DEE">
        <w:rPr>
          <w:rFonts w:ascii="Times New Roman" w:hAnsi="Times New Roman" w:cs="Times New Roman"/>
          <w:sz w:val="24"/>
          <w:szCs w:val="24"/>
        </w:rPr>
        <w:t>Aktīvu un saistību novērtēšanas principu maiņa ir grāmatvedības uzskaites principu maiņa, un tā nav grāmatvedības aplēses maiņa. Ja pastāv grūtības nošķirt grāmatvedības uzskaites principu maiņu no grāmatvedības aplēses maiņas, tā tiek uzskatīta par grāmatvedības aplēses maiņu.</w:t>
      </w:r>
    </w:p>
    <w:p w14:paraId="799973AE"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1198.   </w:t>
      </w:r>
      <w:r w:rsidRPr="00EC3DEE">
        <w:rPr>
          <w:rFonts w:ascii="Times New Roman" w:hAnsi="Times New Roman" w:cs="Times New Roman"/>
          <w:sz w:val="24"/>
          <w:szCs w:val="24"/>
        </w:rPr>
        <w:t>1.attēlā sniegts ilustratīvs lēmuma pieņemšanas process, vērtējot izmaiņas grāmatvedības aplēsē ar pieņēmumu, ka nepastāv grūtības nošķirt grāmatvedības uzskaites principu maiņu no grāmatvedības aplēses maiņas.</w:t>
      </w:r>
    </w:p>
    <w:p w14:paraId="0EF7CCC8"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EC3DEE">
        <w:rPr>
          <w:noProof/>
        </w:rPr>
        <w:drawing>
          <wp:inline distT="0" distB="0" distL="0" distR="0" wp14:anchorId="0A47B242" wp14:editId="7B8E3CA8">
            <wp:extent cx="7029099" cy="3675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49044" cy="3686315"/>
                    </a:xfrm>
                    <a:prstGeom prst="rect">
                      <a:avLst/>
                    </a:prstGeom>
                    <a:noFill/>
                    <a:ln>
                      <a:noFill/>
                    </a:ln>
                  </pic:spPr>
                </pic:pic>
              </a:graphicData>
            </a:graphic>
          </wp:inline>
        </w:drawing>
      </w:r>
    </w:p>
    <w:tbl>
      <w:tblPr>
        <w:tblW w:w="0" w:type="auto"/>
        <w:tblInd w:w="1240" w:type="dxa"/>
        <w:tblLayout w:type="fixed"/>
        <w:tblCellMar>
          <w:left w:w="0" w:type="dxa"/>
          <w:right w:w="0" w:type="dxa"/>
        </w:tblCellMar>
        <w:tblLook w:val="01E0" w:firstRow="1" w:lastRow="1" w:firstColumn="1" w:lastColumn="1" w:noHBand="0" w:noVBand="0"/>
      </w:tblPr>
      <w:tblGrid>
        <w:gridCol w:w="610"/>
        <w:gridCol w:w="977"/>
        <w:gridCol w:w="4675"/>
        <w:gridCol w:w="4675"/>
      </w:tblGrid>
      <w:tr w:rsidR="00C04D6A" w:rsidRPr="00EC3DEE" w14:paraId="29304789" w14:textId="77777777" w:rsidTr="00C04D6A">
        <w:trPr>
          <w:trHeight w:val="332"/>
        </w:trPr>
        <w:tc>
          <w:tcPr>
            <w:tcW w:w="610" w:type="dxa"/>
          </w:tcPr>
          <w:p w14:paraId="5377BDCB" w14:textId="77777777" w:rsidR="00C04D6A" w:rsidRPr="00EC3DEE" w:rsidRDefault="00C04D6A" w:rsidP="00CD363C">
            <w:pPr>
              <w:spacing w:after="0" w:line="240" w:lineRule="auto"/>
              <w:ind w:left="-1103" w:right="-142"/>
              <w:jc w:val="both"/>
              <w:rPr>
                <w:i/>
                <w:iCs/>
              </w:rPr>
            </w:pPr>
          </w:p>
        </w:tc>
        <w:tc>
          <w:tcPr>
            <w:tcW w:w="977" w:type="dxa"/>
          </w:tcPr>
          <w:p w14:paraId="33B8E3DF" w14:textId="77777777" w:rsidR="00C04D6A" w:rsidRPr="00EC3DEE" w:rsidRDefault="00C04D6A" w:rsidP="00CD363C">
            <w:pPr>
              <w:pStyle w:val="TableParagraph"/>
              <w:ind w:right="-142"/>
              <w:jc w:val="both"/>
              <w:rPr>
                <w:i/>
                <w:iCs/>
              </w:rPr>
            </w:pPr>
          </w:p>
        </w:tc>
        <w:tc>
          <w:tcPr>
            <w:tcW w:w="4675" w:type="dxa"/>
          </w:tcPr>
          <w:p w14:paraId="570AB4A8" w14:textId="77777777" w:rsidR="00C04D6A" w:rsidRPr="00EC3DEE" w:rsidRDefault="00C04D6A" w:rsidP="00CD363C">
            <w:pPr>
              <w:pStyle w:val="TableParagraph"/>
              <w:ind w:left="171" w:right="-142"/>
              <w:jc w:val="both"/>
              <w:rPr>
                <w:i/>
                <w:iCs/>
              </w:rPr>
            </w:pPr>
          </w:p>
        </w:tc>
        <w:tc>
          <w:tcPr>
            <w:tcW w:w="4675" w:type="dxa"/>
          </w:tcPr>
          <w:p w14:paraId="50C17848" w14:textId="77777777" w:rsidR="00C04D6A" w:rsidRPr="00EC3DEE" w:rsidRDefault="00C04D6A" w:rsidP="00CD363C">
            <w:pPr>
              <w:pStyle w:val="TableParagraph"/>
              <w:ind w:left="171" w:right="-142"/>
              <w:jc w:val="both"/>
              <w:rPr>
                <w:i/>
                <w:iCs/>
              </w:rPr>
            </w:pPr>
          </w:p>
        </w:tc>
      </w:tr>
      <w:tr w:rsidR="00C04D6A" w:rsidRPr="00B46BBF" w14:paraId="7EE903AB" w14:textId="77777777" w:rsidTr="00C04D6A">
        <w:trPr>
          <w:trHeight w:val="289"/>
        </w:trPr>
        <w:tc>
          <w:tcPr>
            <w:tcW w:w="610" w:type="dxa"/>
          </w:tcPr>
          <w:p w14:paraId="3C352365" w14:textId="77777777" w:rsidR="00C04D6A" w:rsidRPr="00857DC8" w:rsidRDefault="00C04D6A" w:rsidP="00CD363C">
            <w:pPr>
              <w:pStyle w:val="TableParagraph"/>
              <w:ind w:right="-142"/>
              <w:jc w:val="both"/>
              <w:rPr>
                <w:iCs/>
              </w:rPr>
            </w:pPr>
          </w:p>
        </w:tc>
        <w:tc>
          <w:tcPr>
            <w:tcW w:w="977" w:type="dxa"/>
          </w:tcPr>
          <w:p w14:paraId="5D9B9E40" w14:textId="77777777" w:rsidR="00C04D6A" w:rsidRPr="00B46BBF" w:rsidRDefault="00C04D6A" w:rsidP="00CD363C">
            <w:pPr>
              <w:pStyle w:val="TableParagraph"/>
              <w:ind w:left="142" w:right="-142"/>
              <w:jc w:val="both"/>
              <w:rPr>
                <w:i/>
              </w:rPr>
            </w:pPr>
          </w:p>
        </w:tc>
        <w:tc>
          <w:tcPr>
            <w:tcW w:w="4675" w:type="dxa"/>
          </w:tcPr>
          <w:p w14:paraId="3612DECF" w14:textId="77777777" w:rsidR="00C04D6A" w:rsidRPr="00B46BBF" w:rsidRDefault="00C04D6A" w:rsidP="00CD363C">
            <w:pPr>
              <w:pStyle w:val="TableParagraph"/>
              <w:ind w:left="171" w:right="-142"/>
              <w:jc w:val="both"/>
              <w:rPr>
                <w:i/>
              </w:rPr>
            </w:pPr>
          </w:p>
        </w:tc>
        <w:tc>
          <w:tcPr>
            <w:tcW w:w="4675" w:type="dxa"/>
          </w:tcPr>
          <w:p w14:paraId="0CFA71B6" w14:textId="77777777" w:rsidR="00C04D6A" w:rsidRPr="00B46BBF" w:rsidRDefault="00C04D6A" w:rsidP="00CD363C">
            <w:pPr>
              <w:pStyle w:val="TableParagraph"/>
              <w:ind w:left="171" w:right="-142"/>
              <w:jc w:val="both"/>
              <w:rPr>
                <w:i/>
              </w:rPr>
            </w:pPr>
          </w:p>
        </w:tc>
      </w:tr>
    </w:tbl>
    <w:p w14:paraId="4C3EABEF"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1199.  </w:t>
      </w:r>
      <w:r w:rsidRPr="00857DC8">
        <w:rPr>
          <w:rFonts w:ascii="Times New Roman" w:hAnsi="Times New Roman" w:cs="Times New Roman"/>
          <w:sz w:val="24"/>
          <w:szCs w:val="24"/>
        </w:rPr>
        <w:t>Budžeta iestāde atzīst grāmatvedības aplēses maiņas ietekmi perspektīvi, tas nozīmē, ka izmaiņas ir piemērojamas darījumiem, citiem notikumiem un apstākļiem, sākot ar aplēses izmaiņas datumu. Grāmatvedības aplēses maiņa var ietekmēt tikai pārskata perioda budžeta izpildes rezultātu, vai budžeta izpildes rezultātu gan par pārskata periodu, gan nākamajiem periodiem.</w:t>
      </w:r>
    </w:p>
    <w:p w14:paraId="1B56D08F"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1200.  </w:t>
      </w:r>
      <w:r w:rsidRPr="00857DC8">
        <w:rPr>
          <w:rFonts w:ascii="Times New Roman" w:hAnsi="Times New Roman" w:cs="Times New Roman"/>
          <w:sz w:val="24"/>
          <w:szCs w:val="24"/>
        </w:rPr>
        <w:t>Budžeta iestāde atzīst grāmatvedības aplēses izmaiņas perspektīvi, atzīstot ieņēmumus vai izdevumus un iekļaujot to pārskatā par darbības finansiālajiem rezultātiem:</w:t>
      </w:r>
    </w:p>
    <w:p w14:paraId="6C8BC487"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pārskata periodā, kurā notikusi grāmatvedības aplēses maiņa, ja maiņa ietekmē tikai pārskata periodu. Piemēram, aplēses izmaiņa attiecībā uz vērtības samazinājumu prasībām ietekmē tikai pārskata perioda budžeta izpildes rezultātu, tādēļ to uzrāda pārskata periodā;</w:t>
      </w:r>
    </w:p>
    <w:p w14:paraId="48FF734B"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pārskata periodā, kurā notikusi grāmatvedības aplēses maiņa, kā arī nākamajos periodos. Piemēram, izmaiņas nolietojamā aktīva aplēstajā lietderīgās lietošanas laikā ietekmē nolietojuma izmaksas pārskata periodā un katrā nākamajā periodā visā aktīva atlikušajā lietderīgās lietošanas laikā.</w:t>
      </w:r>
    </w:p>
    <w:p w14:paraId="0AF6CEA7"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1201.  </w:t>
      </w:r>
      <w:r w:rsidRPr="00857DC8">
        <w:rPr>
          <w:rFonts w:ascii="Times New Roman" w:hAnsi="Times New Roman" w:cs="Times New Roman"/>
          <w:sz w:val="24"/>
          <w:szCs w:val="24"/>
        </w:rPr>
        <w:t>Budžeta iestāde grāmatvedības aplēses izmaiņu ietekmi, kas attiecas uz pārskata periodu, atzīst kā pārskata perioda ieņēmumus vai izdevumus. Ietekme uz nākamajiem pārskata periodiem, ja tāda ir, tiek atzīta nākamajos pārskata periodos.</w:t>
      </w:r>
    </w:p>
    <w:p w14:paraId="39629E4E"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1202.  </w:t>
      </w:r>
      <w:r w:rsidRPr="00857DC8">
        <w:rPr>
          <w:rFonts w:ascii="Times New Roman" w:hAnsi="Times New Roman" w:cs="Times New Roman"/>
          <w:sz w:val="24"/>
          <w:szCs w:val="24"/>
        </w:rPr>
        <w:t>Ja grāmatvedības aplēses maiņa pārskata periodā rada izmaiņas aktīvu, saistību postenī vai attiecas uz kādu pašu kapitāla posteni, budžeta iestāde koriģē attiecīgā aktīva, saistību vai pašu kapitāla posteņa uzskaites vērtību tajā pārskata periodā, kurā notikusi aplēses maiņa.</w:t>
      </w:r>
    </w:p>
    <w:p w14:paraId="175FF4AC" w14:textId="77777777" w:rsidR="00976CEC" w:rsidRPr="008E1524"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1203</w:t>
      </w:r>
      <w:r w:rsidRPr="008E1524">
        <w:rPr>
          <w:rFonts w:ascii="Times New Roman" w:hAnsi="Times New Roman" w:cs="Times New Roman"/>
          <w:sz w:val="24"/>
          <w:szCs w:val="24"/>
        </w:rPr>
        <w:t xml:space="preserve">.   </w:t>
      </w:r>
      <w:r w:rsidR="008E1524" w:rsidRPr="008E1524">
        <w:rPr>
          <w:rFonts w:ascii="Times New Roman" w:hAnsi="Times New Roman" w:cs="Times New Roman"/>
          <w:sz w:val="24"/>
          <w:szCs w:val="24"/>
        </w:rPr>
        <w:t>26.5.</w:t>
      </w:r>
      <w:r w:rsidRPr="008E1524">
        <w:rPr>
          <w:rFonts w:ascii="Times New Roman" w:hAnsi="Times New Roman" w:cs="Times New Roman"/>
          <w:sz w:val="24"/>
          <w:szCs w:val="24"/>
        </w:rPr>
        <w:t xml:space="preserve"> apakšnodaļā “</w:t>
      </w:r>
      <w:r w:rsidR="008E1524" w:rsidRPr="008E1524">
        <w:rPr>
          <w:rFonts w:ascii="Times New Roman" w:hAnsi="Times New Roman" w:cs="Times New Roman"/>
          <w:sz w:val="24"/>
          <w:szCs w:val="24"/>
        </w:rPr>
        <w:t>1216</w:t>
      </w:r>
      <w:r w:rsidRPr="008E1524">
        <w:rPr>
          <w:rFonts w:ascii="Times New Roman" w:hAnsi="Times New Roman" w:cs="Times New Roman"/>
          <w:sz w:val="24"/>
          <w:szCs w:val="24"/>
        </w:rPr>
        <w:t>. Piemērs – izmaiņas grāmatvedības aplēsē” sniegts ilustratīvs piemērs grāmatvedības aplēses izmaiņu uzskaitei.</w:t>
      </w:r>
    </w:p>
    <w:p w14:paraId="573A3842" w14:textId="77777777" w:rsidR="00857DC8" w:rsidRDefault="00857DC8" w:rsidP="00CD363C">
      <w:pPr>
        <w:spacing w:after="0" w:line="240" w:lineRule="auto"/>
        <w:ind w:right="-142"/>
        <w:jc w:val="both"/>
        <w:rPr>
          <w:rFonts w:ascii="Times New Roman" w:hAnsi="Times New Roman" w:cs="Times New Roman"/>
          <w:b/>
          <w:bCs/>
          <w:sz w:val="24"/>
          <w:szCs w:val="24"/>
        </w:rPr>
      </w:pPr>
      <w:r w:rsidRPr="00857DC8">
        <w:rPr>
          <w:rFonts w:ascii="Times New Roman" w:hAnsi="Times New Roman" w:cs="Times New Roman"/>
          <w:b/>
          <w:bCs/>
          <w:sz w:val="24"/>
          <w:szCs w:val="24"/>
        </w:rPr>
        <w:t>26.4. Kļūdas</w:t>
      </w:r>
    </w:p>
    <w:p w14:paraId="6F8D2AA5" w14:textId="77777777" w:rsid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1204.  </w:t>
      </w:r>
      <w:r w:rsidRPr="00857DC8">
        <w:rPr>
          <w:rFonts w:ascii="Times New Roman" w:hAnsi="Times New Roman" w:cs="Times New Roman"/>
          <w:sz w:val="24"/>
          <w:szCs w:val="24"/>
        </w:rPr>
        <w:t>Budžeta iestādei kļūdas var rasties attiecībā uz finanšu pārskatu sastāvdaļu atzīšanu, novērtēšanu, informācijas sniegšanu vai atklāšanu.</w:t>
      </w:r>
    </w:p>
    <w:p w14:paraId="15A9E0A6"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1205.  </w:t>
      </w:r>
      <w:r w:rsidRPr="00857DC8">
        <w:rPr>
          <w:rFonts w:ascii="Times New Roman" w:hAnsi="Times New Roman" w:cs="Times New Roman"/>
          <w:sz w:val="24"/>
          <w:szCs w:val="24"/>
        </w:rPr>
        <w:t>Pārskata periodā atklātās kļūdas tiek izlabotas pirms finanšu pārskati tiek apstiprināti publiskošanai. Tomēr dažreiz būtiskas kļūdas netiek atklātas līdz pat nākamajam pārskata periodam. Tad šīs iepriekšējo pārskata periodu kļūdas tiek labotas nākamajos pārskata periodos, veicot attiecīgus labojumus grāmatvedības uzskaitē un uzrādot attiecīgu informāciju finanšu pārskatā atkarībā no tā, vai iepriekšējā pārskata perioda kļūda ir bijusi būtiska vai nē.</w:t>
      </w:r>
    </w:p>
    <w:p w14:paraId="311BF894"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1206.  </w:t>
      </w:r>
      <w:r w:rsidRPr="00857DC8">
        <w:rPr>
          <w:rFonts w:ascii="Times New Roman" w:hAnsi="Times New Roman" w:cs="Times New Roman"/>
          <w:sz w:val="24"/>
          <w:szCs w:val="24"/>
        </w:rPr>
        <w:t>Iepriekšējo periodu kļūdas ir informācijas neuzrādīšana vai nepareiza uzrādīšana budžeta iestādes finanšu pārskatos vienā vai vairākos iepriekšējos periodos, kas rodas, neizmantojot vai nepareizi izmantojot ticamu informāciju, kas:</w:t>
      </w:r>
    </w:p>
    <w:p w14:paraId="191C090E" w14:textId="77777777" w:rsidR="00857DC8" w:rsidRPr="00857DC8" w:rsidRDefault="00857DC8" w:rsidP="00CD363C">
      <w:pPr>
        <w:spacing w:after="0" w:line="240" w:lineRule="auto"/>
        <w:ind w:right="-142"/>
        <w:jc w:val="both"/>
        <w:rPr>
          <w:rFonts w:ascii="Times New Roman" w:hAnsi="Times New Roman" w:cs="Times New Roman"/>
          <w:sz w:val="24"/>
          <w:szCs w:val="24"/>
        </w:rPr>
      </w:pPr>
      <w:r w:rsidRPr="00857DC8">
        <w:rPr>
          <w:rFonts w:ascii="Times New Roman" w:hAnsi="Times New Roman" w:cs="Times New Roman"/>
          <w:sz w:val="24"/>
          <w:szCs w:val="24"/>
        </w:rPr>
        <w:t>•</w:t>
      </w:r>
      <w:r w:rsidRPr="00857DC8">
        <w:rPr>
          <w:rFonts w:ascii="Times New Roman" w:hAnsi="Times New Roman" w:cs="Times New Roman"/>
          <w:sz w:val="24"/>
          <w:szCs w:val="24"/>
        </w:rPr>
        <w:tab/>
        <w:t>bija pieejama, kad šo periodu finanšu pārskati tika apstiprināti publiskošanai;</w:t>
      </w:r>
    </w:p>
    <w:p w14:paraId="639415E8" w14:textId="77777777" w:rsidR="00857DC8" w:rsidRPr="00857DC8" w:rsidRDefault="00857DC8" w:rsidP="00CD363C">
      <w:pPr>
        <w:spacing w:after="0" w:line="240" w:lineRule="auto"/>
        <w:ind w:right="-142"/>
        <w:jc w:val="both"/>
        <w:rPr>
          <w:rFonts w:ascii="Times New Roman" w:hAnsi="Times New Roman" w:cs="Times New Roman"/>
          <w:sz w:val="24"/>
          <w:szCs w:val="24"/>
        </w:rPr>
      </w:pPr>
      <w:r w:rsidRPr="00857DC8">
        <w:rPr>
          <w:rFonts w:ascii="Times New Roman" w:hAnsi="Times New Roman" w:cs="Times New Roman"/>
          <w:sz w:val="24"/>
          <w:szCs w:val="24"/>
        </w:rPr>
        <w:t>•</w:t>
      </w:r>
      <w:r w:rsidRPr="00857DC8">
        <w:rPr>
          <w:rFonts w:ascii="Times New Roman" w:hAnsi="Times New Roman" w:cs="Times New Roman"/>
          <w:sz w:val="24"/>
          <w:szCs w:val="24"/>
        </w:rPr>
        <w:tab/>
        <w:t>pamatoti tiek uzskatīta par pieejamu un vērā ņemamu, sagatavojot šos finanšu pārskatus.</w:t>
      </w:r>
    </w:p>
    <w:p w14:paraId="43194B7C" w14:textId="77777777" w:rsidR="00857DC8" w:rsidRPr="00857DC8" w:rsidRDefault="00857DC8" w:rsidP="00CD363C">
      <w:pPr>
        <w:spacing w:after="0" w:line="240" w:lineRule="auto"/>
        <w:ind w:right="-142"/>
        <w:jc w:val="both"/>
        <w:rPr>
          <w:rFonts w:ascii="Times New Roman" w:hAnsi="Times New Roman" w:cs="Times New Roman"/>
          <w:sz w:val="24"/>
          <w:szCs w:val="24"/>
        </w:rPr>
      </w:pPr>
      <w:r w:rsidRPr="00857DC8">
        <w:rPr>
          <w:rFonts w:ascii="Times New Roman" w:hAnsi="Times New Roman" w:cs="Times New Roman"/>
          <w:sz w:val="24"/>
          <w:szCs w:val="24"/>
        </w:rPr>
        <w:t>Piemēri iepriekšējo periodu kļūdām ir: matemātiskas kļūdas, kļūdas grāmatvedības uzskaites principu piemērošanā vai faktu nepareiza interpretācija un krāpšanās.</w:t>
      </w:r>
    </w:p>
    <w:p w14:paraId="3C71A498"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1207.  </w:t>
      </w:r>
      <w:r w:rsidRPr="00857DC8">
        <w:rPr>
          <w:rFonts w:ascii="Times New Roman" w:hAnsi="Times New Roman" w:cs="Times New Roman"/>
          <w:sz w:val="24"/>
          <w:szCs w:val="24"/>
        </w:rPr>
        <w:t>Budžeta iestādes konstatētās kļūdas attiecībā uz aktīvu un pasīvu posteņu uzskaiti pārskata periodā vai iepriekšējos pārskata periodos labo pirmajā pārskata periodā, kurā tās atklātas, šādā kārtībā:</w:t>
      </w:r>
    </w:p>
    <w:p w14:paraId="6EC43F2C"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būtiskas iepriekšējo periodu kļūdas labo retrospektīvi, koriģējot finanšu pārskatā salīdzināmās summas attiecīgajos iepriekšējos pārskata periodos, kuros kļūda radusies, tādā apmērā, kas attiecas uz iepriekšējiem pārskata gadiem, izņemot gadījumus, ja tas nav iespējams. Gadījumā, ja nav iespējams retrospektīvi veikt kļūdas korekciju, budžeta iestāde veic kļūdas labojumu pārskata periodā – attiecinot uz pārskata perioda ieņēmumiem vai izdevumiem;</w:t>
      </w:r>
    </w:p>
    <w:p w14:paraId="79B860A9"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būtisku iepriekšējo periodu kļūdu labojumus virsgrāmatā attiecina uz iepriekšējo pārskata gadu budžeta izpildes rezultātu kontā 3510 “Iepriekšējo pārskata gadu budžeta izpildes rezultāts”;</w:t>
      </w:r>
    </w:p>
    <w:p w14:paraId="31611FF8"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pārējās iepriekšējo periodu kļūdas, kas nav būtiskas, budžeta iestāde virsgrāmatā uzskaita pārskata perioda pārējos ieņēmumos kontā 8751 “Iepriekšējo gadu kļūdas” vai pārskata perioda pārējos izdevumos kontā 8761 “Iepriekšējo gadu kļūdas”;</w:t>
      </w:r>
    </w:p>
    <w:p w14:paraId="76142836"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pārskata perioda kļūdas labo perspektīvi – attiecina uz pārskata perioda ieņēmumiem vai izdevumiem;</w:t>
      </w:r>
    </w:p>
    <w:p w14:paraId="7E578584"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un veic korekcijas atbilstošajā bilances aktīva vai pasīva kontā.</w:t>
      </w:r>
    </w:p>
    <w:p w14:paraId="7EAA1A5A" w14:textId="77777777" w:rsidR="00857DC8" w:rsidRPr="00857DC8"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1208.  </w:t>
      </w:r>
      <w:r w:rsidR="00857DC8" w:rsidRPr="00857DC8">
        <w:rPr>
          <w:rFonts w:ascii="Times New Roman" w:hAnsi="Times New Roman" w:cs="Times New Roman"/>
          <w:sz w:val="24"/>
          <w:szCs w:val="24"/>
        </w:rPr>
        <w:t>Būtiskuma līmeni budžeta iestādes nosaka saskaņā ar Valsts kases tīmekļvietnē publicēto informāciju kārtējam gadam.</w:t>
      </w:r>
    </w:p>
    <w:p w14:paraId="5EC1E335" w14:textId="77777777" w:rsidR="00857DC8"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1209.  1</w:t>
      </w:r>
      <w:r w:rsidR="00857DC8" w:rsidRPr="00857DC8">
        <w:rPr>
          <w:rFonts w:ascii="Times New Roman" w:hAnsi="Times New Roman" w:cs="Times New Roman"/>
          <w:sz w:val="24"/>
          <w:szCs w:val="24"/>
        </w:rPr>
        <w:t>.attēlā sniegts lēmuma pieņemšanas process, atzīstot pārskata perioda un iepriekšējo pārskata periodu kļūdu korekcijas.</w:t>
      </w:r>
    </w:p>
    <w:p w14:paraId="4F36537A" w14:textId="77777777" w:rsidR="00E23135" w:rsidRDefault="00E23135" w:rsidP="00CD363C">
      <w:pPr>
        <w:spacing w:after="0" w:line="240" w:lineRule="auto"/>
        <w:ind w:right="-142"/>
        <w:jc w:val="both"/>
        <w:rPr>
          <w:rFonts w:ascii="Times New Roman" w:hAnsi="Times New Roman" w:cs="Times New Roman"/>
          <w:sz w:val="24"/>
          <w:szCs w:val="24"/>
        </w:rPr>
      </w:pPr>
      <w:r w:rsidRPr="00E23135">
        <w:rPr>
          <w:noProof/>
        </w:rPr>
        <w:drawing>
          <wp:inline distT="0" distB="0" distL="0" distR="0" wp14:anchorId="1AB9F016" wp14:editId="6A3C384F">
            <wp:extent cx="6418460" cy="4124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25681" cy="4128965"/>
                    </a:xfrm>
                    <a:prstGeom prst="rect">
                      <a:avLst/>
                    </a:prstGeom>
                    <a:noFill/>
                    <a:ln>
                      <a:noFill/>
                    </a:ln>
                  </pic:spPr>
                </pic:pic>
              </a:graphicData>
            </a:graphic>
          </wp:inline>
        </w:drawing>
      </w:r>
    </w:p>
    <w:p w14:paraId="722D4662"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1210.  </w:t>
      </w:r>
      <w:r w:rsidRPr="00E23135">
        <w:rPr>
          <w:rFonts w:ascii="Times New Roman" w:hAnsi="Times New Roman" w:cs="Times New Roman"/>
          <w:sz w:val="24"/>
          <w:szCs w:val="24"/>
        </w:rPr>
        <w:t>Budžeta iestāde koriģē finanšu pārskatā salīdzināmās summas attiecīgajos iepriekšējos pārskata periodos, kuros kļūda radusies, un koriģē aktīvu, saistību un pašu kapitāla (neto aktīva) sākuma atlikumus agrākajam iepriekšējam pārskata periodam, ja kļūda radusies pirms agrākā iepriekšējā uzrādītā pārskata perioda.</w:t>
      </w:r>
    </w:p>
    <w:p w14:paraId="4DF2205A"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1211.  </w:t>
      </w:r>
      <w:r w:rsidRPr="00E23135">
        <w:rPr>
          <w:rFonts w:ascii="Times New Roman" w:hAnsi="Times New Roman" w:cs="Times New Roman"/>
          <w:sz w:val="24"/>
          <w:szCs w:val="24"/>
        </w:rPr>
        <w:t>Būtiskas iepriekšējā perioda kļūdas jālabo retrospektīvi, izņemot, ja nav iespējams noteikt kļūdas ietekmi uz pārskata periodu vai kļūdas kumulatīvo (uzkrājošo) ietekmi uz attiecīgo iepriekšējo pārskata periodu. Tādos gadījumos budžeta iestāde:</w:t>
      </w:r>
    </w:p>
    <w:p w14:paraId="5CCFF52F"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Pr>
          <w:rFonts w:ascii="Times New Roman" w:hAnsi="Times New Roman" w:cs="Times New Roman"/>
          <w:sz w:val="24"/>
          <w:szCs w:val="24"/>
        </w:rPr>
        <w:t xml:space="preserve">   </w:t>
      </w:r>
      <w:r w:rsidRPr="00E23135">
        <w:rPr>
          <w:rFonts w:ascii="Times New Roman" w:hAnsi="Times New Roman" w:cs="Times New Roman"/>
          <w:sz w:val="24"/>
          <w:szCs w:val="24"/>
        </w:rPr>
        <w:t>koriģē aktīvu, saistību un pašu kapitāla (neto aktīva) sākuma atlikumus agrākajam pārskata periodam, kuram iespējams piemērot retrospektīvas korekcijas (tas var būt arī pārskata periods);</w:t>
      </w:r>
    </w:p>
    <w:p w14:paraId="30FDF9C5" w14:textId="77777777" w:rsid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koriģē iepriekšējā pārskata perioda salīdzināmo informāciju, lai labotu kļūdu perspektīvi, sākot ar agrāko iespējamo datumu.</w:t>
      </w:r>
    </w:p>
    <w:p w14:paraId="1A63D169"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1212.  </w:t>
      </w:r>
      <w:r w:rsidRPr="00E23135">
        <w:rPr>
          <w:rFonts w:ascii="Times New Roman" w:hAnsi="Times New Roman" w:cs="Times New Roman"/>
          <w:sz w:val="24"/>
          <w:szCs w:val="24"/>
        </w:rPr>
        <w:t>Jebkura atklātā informācija par iepriekšējo pārskata periodu kļūdām, ieskaitot finanšu datu vēsturiskos kopsavilkumus, tiek koriģēta pārskata perioda finanšu pārskatā tik tālu atpakaļ, cik tas ir iespējams un attiecināms uz attiecīgo darījumu.</w:t>
      </w:r>
    </w:p>
    <w:p w14:paraId="026570A1"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1213.  </w:t>
      </w:r>
      <w:r w:rsidRPr="00E23135">
        <w:rPr>
          <w:rFonts w:ascii="Times New Roman" w:hAnsi="Times New Roman" w:cs="Times New Roman"/>
          <w:sz w:val="24"/>
          <w:szCs w:val="24"/>
        </w:rPr>
        <w:t>Budžeta iestāde finanšu pārskata pielikumā sniedz šādu informāciju par konstatētajām kļūdām iepriekšējos pārskata periodos un to labojumiem:</w:t>
      </w:r>
    </w:p>
    <w:p w14:paraId="089E8EE8"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kļūdas būtība, piemēram, matemātiska kļūda, neuzmanības kļūda, kļūdaina faktu interpretācija u.c.;</w:t>
      </w:r>
    </w:p>
    <w:p w14:paraId="45DD1986"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ar kļūdas labojumu saistīto korekciju summas, kas attiecas uz katru no iepriekšējiem pārskata periodiem, ja to ir iespējams noteikt;</w:t>
      </w:r>
    </w:p>
    <w:p w14:paraId="4E28FFD6" w14:textId="77777777" w:rsidR="00E23135" w:rsidRPr="00E23135" w:rsidRDefault="00E23135" w:rsidP="00CD363C">
      <w:pPr>
        <w:spacing w:after="0" w:line="240" w:lineRule="auto"/>
        <w:ind w:right="-142"/>
        <w:jc w:val="both"/>
        <w:rPr>
          <w:rFonts w:ascii="Times New Roman" w:hAnsi="Times New Roman" w:cs="Times New Roman"/>
          <w:sz w:val="24"/>
          <w:szCs w:val="24"/>
        </w:rPr>
      </w:pPr>
      <w:r w:rsidRPr="00E231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ja retrospektīvā korekcija (kļūdas ietekmes noteikšana) uz attiecīgo iepriekšējo pārskata periodu nav iespējama, – informācija par apstākļiem, kas izraisījuši šo situāciju, un apraksts par periodu, sākot ar kuru kļūda tika labota;</w:t>
      </w:r>
    </w:p>
    <w:p w14:paraId="15EBA151"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nākamo periodu finanšu pārskatos nav nepieciešams atkārtoti uzrādīt šo informāciju.</w:t>
      </w:r>
    </w:p>
    <w:p w14:paraId="0B985B79" w14:textId="77777777" w:rsid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1214</w:t>
      </w:r>
      <w:r w:rsidRPr="008E1524">
        <w:rPr>
          <w:rFonts w:ascii="Times New Roman" w:hAnsi="Times New Roman" w:cs="Times New Roman"/>
          <w:sz w:val="24"/>
          <w:szCs w:val="24"/>
        </w:rPr>
        <w:t xml:space="preserve">.   </w:t>
      </w:r>
      <w:r w:rsidR="008E1524" w:rsidRPr="008E1524">
        <w:rPr>
          <w:rFonts w:ascii="Times New Roman" w:hAnsi="Times New Roman" w:cs="Times New Roman"/>
          <w:sz w:val="24"/>
          <w:szCs w:val="24"/>
        </w:rPr>
        <w:t>26.5</w:t>
      </w:r>
      <w:r w:rsidRPr="008E1524">
        <w:rPr>
          <w:rFonts w:ascii="Times New Roman" w:hAnsi="Times New Roman" w:cs="Times New Roman"/>
          <w:sz w:val="24"/>
          <w:szCs w:val="24"/>
        </w:rPr>
        <w:t>. nodaļā “Praktiski piemēri un informācijas</w:t>
      </w:r>
      <w:r w:rsidRPr="00E23135">
        <w:rPr>
          <w:rFonts w:ascii="Times New Roman" w:hAnsi="Times New Roman" w:cs="Times New Roman"/>
          <w:sz w:val="24"/>
          <w:szCs w:val="24"/>
        </w:rPr>
        <w:t xml:space="preserve"> atklāšanas paraugi” sniegts ilustratīvs piemērs pārskata perioda un iepriekšējo pārskata periodu kļūdu korekcijai un uzskaitei.</w:t>
      </w:r>
    </w:p>
    <w:p w14:paraId="6EF9E986" w14:textId="77777777" w:rsidR="00E23135" w:rsidRDefault="00E23135" w:rsidP="00CD363C">
      <w:pPr>
        <w:spacing w:after="0" w:line="240" w:lineRule="auto"/>
        <w:ind w:right="-142"/>
        <w:jc w:val="both"/>
        <w:rPr>
          <w:rFonts w:ascii="Times New Roman" w:hAnsi="Times New Roman" w:cs="Times New Roman"/>
          <w:b/>
          <w:bCs/>
          <w:sz w:val="24"/>
          <w:szCs w:val="24"/>
        </w:rPr>
      </w:pPr>
      <w:r w:rsidRPr="00E23135">
        <w:rPr>
          <w:rFonts w:ascii="Times New Roman" w:hAnsi="Times New Roman" w:cs="Times New Roman"/>
          <w:b/>
          <w:bCs/>
          <w:sz w:val="24"/>
          <w:szCs w:val="24"/>
        </w:rPr>
        <w:t>26.5. Praktiski piemēri un informācijas atklāšanas paraugi</w:t>
      </w:r>
    </w:p>
    <w:p w14:paraId="0480BF35" w14:textId="77777777" w:rsidR="00784982" w:rsidRPr="00784982" w:rsidRDefault="0078498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1215.  </w:t>
      </w:r>
      <w:r w:rsidRPr="00EF4B40">
        <w:rPr>
          <w:rFonts w:ascii="Times New Roman" w:hAnsi="Times New Roman" w:cs="Times New Roman"/>
          <w:b/>
          <w:bCs/>
          <w:sz w:val="24"/>
          <w:szCs w:val="24"/>
        </w:rPr>
        <w:t>Piemērs –</w:t>
      </w:r>
      <w:r w:rsidRPr="00784982">
        <w:rPr>
          <w:rFonts w:ascii="Times New Roman" w:hAnsi="Times New Roman" w:cs="Times New Roman"/>
          <w:sz w:val="24"/>
          <w:szCs w:val="24"/>
        </w:rPr>
        <w:t xml:space="preserve"> izmaiņas grāmatvedības uzskaites principos</w:t>
      </w:r>
    </w:p>
    <w:p w14:paraId="5A33FBB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2019. gada sākumā izvērtē iepriekšējos periodos saņemtos un uzskaitītos ziedotos pamatlīdzekļus un konstatē, ka tās grāmatvedības uzskaitē ir transportlīdzeklis, kas saņemts dāvinājumā. Transportlīdzekļa  sākotnējā  uzskaites   vērtība  8   500,00   EUR,  uzkrātais   nolietojums   01.01.2019.  -   5 100,00 EUR, uzskaites (atlikusī) vērtība 01.01.2019. - 3 400,00 EUR. Transportlīdzeklis uzskaitīts pamatlīdzekļu un nākamo periodu ieņēmumu sastāvā. Budžeta iestāde izvērtē ziedojuma līgumā ietvertos nosacījumus un konstatē, ka līgums nesatur nekādus specifiskus nosacījumus attiecībā uz ziedojuma izlietojumu.</w:t>
      </w:r>
    </w:p>
    <w:p w14:paraId="174D774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31.12.2018. iestādes bilancē ir uzrādīts:</w:t>
      </w:r>
    </w:p>
    <w:p w14:paraId="11E67F32" w14:textId="77777777" w:rsidR="00784982" w:rsidRPr="00784982" w:rsidRDefault="00784982" w:rsidP="00CD363C">
      <w:pPr>
        <w:spacing w:after="0" w:line="240" w:lineRule="auto"/>
        <w:ind w:right="-142"/>
        <w:jc w:val="both"/>
        <w:rPr>
          <w:rFonts w:ascii="Times New Roman" w:hAnsi="Times New Roman" w:cs="Times New Roman"/>
          <w:sz w:val="24"/>
          <w:szCs w:val="24"/>
        </w:rPr>
      </w:pPr>
    </w:p>
    <w:p w14:paraId="52AA59CF"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w:t>
      </w:r>
      <w:r w:rsidRPr="00784982">
        <w:rPr>
          <w:rFonts w:ascii="Times New Roman" w:hAnsi="Times New Roman" w:cs="Times New Roman"/>
          <w:sz w:val="24"/>
          <w:szCs w:val="24"/>
        </w:rPr>
        <w:tab/>
        <w:t>Transportlīdzeklis (kontā 1220) – 3 400,00 EUR (atlikusī uzskaites vērtība)</w:t>
      </w:r>
    </w:p>
    <w:p w14:paraId="6C444053" w14:textId="77777777" w:rsidR="00E23135"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w:t>
      </w:r>
      <w:r w:rsidRPr="00784982">
        <w:rPr>
          <w:rFonts w:ascii="Times New Roman" w:hAnsi="Times New Roman" w:cs="Times New Roman"/>
          <w:sz w:val="24"/>
          <w:szCs w:val="24"/>
        </w:rPr>
        <w:tab/>
        <w:t>Nākamo periodu ieņēmumi – ilgtermiņa sastāvā (kontā 5154) – 2 550,00 EUR</w:t>
      </w:r>
    </w:p>
    <w:p w14:paraId="1164A019"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b/>
          <w:bCs/>
          <w:sz w:val="24"/>
          <w:szCs w:val="24"/>
        </w:rPr>
        <w:t>-</w:t>
      </w:r>
      <w:r w:rsidRPr="00784982">
        <w:rPr>
          <w:rFonts w:ascii="Times New Roman" w:hAnsi="Times New Roman" w:cs="Times New Roman"/>
          <w:b/>
          <w:bCs/>
          <w:sz w:val="24"/>
          <w:szCs w:val="24"/>
        </w:rPr>
        <w:tab/>
      </w:r>
      <w:r w:rsidRPr="00784982">
        <w:rPr>
          <w:rFonts w:ascii="Times New Roman" w:hAnsi="Times New Roman" w:cs="Times New Roman"/>
          <w:sz w:val="24"/>
          <w:szCs w:val="24"/>
        </w:rPr>
        <w:t>Nākamo periodu ieņēmumi – īstermiņa sastāvā (kontā 5914) – 850,00 EUR</w:t>
      </w:r>
    </w:p>
    <w:p w14:paraId="5C5EA0F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Ņemot vērā izmaiņas grāmatvedības uzskaites principos, budžeta iestāde atzīst pārskata perioda pamatdarbības ieņēmumos iepriekš atzītās saistības (nākamo periodu ieņēmumus), ja budžeta iestādei nepastāv nosacījums attiecībā uz piešķirtā finansējuma izlietojumu un atgriešanu.</w:t>
      </w:r>
    </w:p>
    <w:p w14:paraId="355130CB"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Ja gadījumā ziedojuma līgums ietver nosacījumus attiecībā uz ziedojuma izlietojumu un atgriešanu, budžeta iestāde turpina uzskaitīt aktīvu un saistības novērtē, ņemot vērā pārskata datumā nosacījuma izpildei nepieciešamo resursu summu.</w:t>
      </w:r>
    </w:p>
    <w:p w14:paraId="06C99D2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Atrisinājums:</w:t>
      </w:r>
    </w:p>
    <w:p w14:paraId="7F9EF752"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Ja ziedojuma līgums nenosaka budžeta iestādes pašreizējo pienākumu ziedojuma izlietojumam, pārskata gada sākumā budžeta iestāde veic sekojošus grāmatojumus:</w:t>
      </w:r>
    </w:p>
    <w:p w14:paraId="1083054B" w14:textId="77777777" w:rsidR="00784982" w:rsidRPr="00784982" w:rsidRDefault="00784982" w:rsidP="00CD363C">
      <w:pPr>
        <w:spacing w:after="0" w:line="240" w:lineRule="auto"/>
        <w:ind w:right="-142"/>
        <w:jc w:val="both"/>
        <w:rPr>
          <w:rFonts w:ascii="Times New Roman" w:hAnsi="Times New Roman" w:cs="Times New Roman"/>
          <w:sz w:val="24"/>
          <w:szCs w:val="24"/>
        </w:rPr>
      </w:pPr>
    </w:p>
    <w:p w14:paraId="0D6ED582"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5914</w:t>
      </w:r>
      <w:r w:rsidRPr="00784982">
        <w:rPr>
          <w:rFonts w:ascii="Times New Roman" w:hAnsi="Times New Roman" w:cs="Times New Roman"/>
          <w:sz w:val="24"/>
          <w:szCs w:val="24"/>
        </w:rPr>
        <w:tab/>
        <w:t>Nākamo periodu ieņēmumi par saņemtajiem ziedojumiem un dāvinājumiem</w:t>
      </w:r>
      <w:r w:rsidRPr="00784982">
        <w:rPr>
          <w:rFonts w:ascii="Times New Roman" w:hAnsi="Times New Roman" w:cs="Times New Roman"/>
          <w:sz w:val="24"/>
          <w:szCs w:val="24"/>
        </w:rPr>
        <w:tab/>
        <w:t>850,00 EUR</w:t>
      </w:r>
    </w:p>
    <w:p w14:paraId="700185BC"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5154</w:t>
      </w:r>
      <w:r w:rsidRPr="00784982">
        <w:rPr>
          <w:rFonts w:ascii="Times New Roman" w:hAnsi="Times New Roman" w:cs="Times New Roman"/>
          <w:sz w:val="24"/>
          <w:szCs w:val="24"/>
        </w:rPr>
        <w:tab/>
        <w:t>Ilgtermiņa</w:t>
      </w:r>
      <w:r w:rsidRPr="00784982">
        <w:rPr>
          <w:rFonts w:ascii="Times New Roman" w:hAnsi="Times New Roman" w:cs="Times New Roman"/>
          <w:sz w:val="24"/>
          <w:szCs w:val="24"/>
        </w:rPr>
        <w:tab/>
        <w:t>nākamo</w:t>
      </w:r>
      <w:r w:rsidRPr="00784982">
        <w:rPr>
          <w:rFonts w:ascii="Times New Roman" w:hAnsi="Times New Roman" w:cs="Times New Roman"/>
          <w:sz w:val="24"/>
          <w:szCs w:val="24"/>
        </w:rPr>
        <w:tab/>
        <w:t>periodu</w:t>
      </w:r>
      <w:r w:rsidRPr="00784982">
        <w:rPr>
          <w:rFonts w:ascii="Times New Roman" w:hAnsi="Times New Roman" w:cs="Times New Roman"/>
          <w:sz w:val="24"/>
          <w:szCs w:val="24"/>
        </w:rPr>
        <w:tab/>
        <w:t>ieņēmumi</w:t>
      </w:r>
      <w:r w:rsidRPr="00784982">
        <w:rPr>
          <w:rFonts w:ascii="Times New Roman" w:hAnsi="Times New Roman" w:cs="Times New Roman"/>
          <w:sz w:val="24"/>
          <w:szCs w:val="24"/>
        </w:rPr>
        <w:tab/>
        <w:t>par saņemtajiem ziedojumiem un dāvinājumiem</w:t>
      </w:r>
      <w:r w:rsidRPr="00784982">
        <w:rPr>
          <w:rFonts w:ascii="Times New Roman" w:hAnsi="Times New Roman" w:cs="Times New Roman"/>
          <w:sz w:val="24"/>
          <w:szCs w:val="24"/>
        </w:rPr>
        <w:tab/>
        <w:t>2 550,00 EUR</w:t>
      </w:r>
    </w:p>
    <w:p w14:paraId="05746F44"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K</w:t>
      </w:r>
      <w:r w:rsidRPr="00784982">
        <w:rPr>
          <w:rFonts w:ascii="Times New Roman" w:hAnsi="Times New Roman" w:cs="Times New Roman"/>
          <w:sz w:val="24"/>
          <w:szCs w:val="24"/>
        </w:rPr>
        <w:tab/>
        <w:t>6000*</w:t>
      </w:r>
      <w:r w:rsidRPr="00784982">
        <w:rPr>
          <w:rFonts w:ascii="Times New Roman" w:hAnsi="Times New Roman" w:cs="Times New Roman"/>
          <w:sz w:val="24"/>
          <w:szCs w:val="24"/>
        </w:rPr>
        <w:tab/>
        <w:t>Pamatdarbības ieņēmumi</w:t>
      </w:r>
      <w:r w:rsidRPr="00784982">
        <w:rPr>
          <w:rFonts w:ascii="Times New Roman" w:hAnsi="Times New Roman" w:cs="Times New Roman"/>
          <w:sz w:val="24"/>
          <w:szCs w:val="24"/>
        </w:rPr>
        <w:tab/>
        <w:t>3 400,00 EUR</w:t>
      </w:r>
    </w:p>
    <w:p w14:paraId="5EDD41D1" w14:textId="77777777" w:rsidR="00784982" w:rsidRPr="00784982" w:rsidRDefault="00784982" w:rsidP="00CD363C">
      <w:pPr>
        <w:spacing w:after="0" w:line="240" w:lineRule="auto"/>
        <w:ind w:right="-142"/>
        <w:jc w:val="both"/>
        <w:rPr>
          <w:rFonts w:ascii="Times New Roman" w:hAnsi="Times New Roman" w:cs="Times New Roman"/>
          <w:sz w:val="24"/>
          <w:szCs w:val="24"/>
        </w:rPr>
      </w:pPr>
    </w:p>
    <w:p w14:paraId="6932DF04" w14:textId="77777777" w:rsid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izstrādā detalizētu kontu plānu</w:t>
      </w:r>
    </w:p>
    <w:p w14:paraId="5FA29277" w14:textId="77777777" w:rsidR="00784982" w:rsidRPr="00784982" w:rsidRDefault="0078498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1216.</w:t>
      </w:r>
      <w:r w:rsidRPr="00EF4B40">
        <w:rPr>
          <w:rFonts w:ascii="Times New Roman" w:hAnsi="Times New Roman" w:cs="Times New Roman"/>
          <w:b/>
          <w:bCs/>
          <w:sz w:val="24"/>
          <w:szCs w:val="24"/>
        </w:rPr>
        <w:tab/>
        <w:t>Piemērs</w:t>
      </w:r>
      <w:r w:rsidRPr="00784982">
        <w:rPr>
          <w:rFonts w:ascii="Times New Roman" w:hAnsi="Times New Roman" w:cs="Times New Roman"/>
          <w:sz w:val="24"/>
          <w:szCs w:val="24"/>
        </w:rPr>
        <w:t xml:space="preserve"> – izmaiņas grāmatvedības aplēsē</w:t>
      </w:r>
    </w:p>
    <w:p w14:paraId="7AD9BC4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2019. gada 16. decembrī  budžeta  iestāde  iegādājas  un  atzīst  grāmatvedības  uzskaitē  datorprogrammu 20 000,00 EUR vērtībā. Budžeta iestāde nodod lietošanā datorprogrammu 2019. gada 16. decembrī, nosakot lietderīgās lietošanas laiku 10 gadi un amortizācijas likmi (10% gadā). Amortizācijas aprēķins tiek veikts, sākot ar 2020. gada janvāri.</w:t>
      </w:r>
    </w:p>
    <w:p w14:paraId="0E1953A7"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2021. gada sākumā (janvārī) budžeta iestāde iegūst informāciju, ka datorprogrammas ražotājs turpmāk neveiks datorprogrammas atjauninājumus un tās atjaunināšana pastāvēs līdz 2025. gadam. Tā rezultātā budžeta iestāde pārvērtē datorprogrammas lietderīgās izmantošanas laiku no 10 gadiem uz 5 gadiem no iegādes datuma.</w:t>
      </w:r>
    </w:p>
    <w:p w14:paraId="7CAAEF60"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Nemateriālā ieguldījuma lietderīgās lietošanas laika pārvērtēšana ir uzskatāma par izmaiņām aplēsēs. Budžeta iestāde veic pārvērtēšanu, pamatojoties uz jauno datorprogrammas ražotāja sniegto informāciju pārskata periodā, t.i., 2021. gadā.</w:t>
      </w:r>
    </w:p>
    <w:p w14:paraId="44AE418B"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Aprēķins un grāmatojumi:</w:t>
      </w:r>
    </w:p>
    <w:p w14:paraId="6C153B26"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Amortizācijas aprēķins mēnesī/gadā</w:t>
      </w:r>
      <w:r w:rsidRPr="00784982">
        <w:rPr>
          <w:rFonts w:ascii="Times New Roman" w:hAnsi="Times New Roman" w:cs="Times New Roman"/>
          <w:sz w:val="24"/>
          <w:szCs w:val="24"/>
        </w:rPr>
        <w:tab/>
        <w:t>166,7 EUR / 2 000,00 EUR</w:t>
      </w:r>
    </w:p>
    <w:p w14:paraId="058B0FD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Datorprogrammai uzkrātā amortizācija līdz</w:t>
      </w:r>
    </w:p>
    <w:p w14:paraId="42EBD92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2021. gada 31. decembrim (24 mēn.= 2 gadi)</w:t>
      </w:r>
      <w:r w:rsidRPr="00784982">
        <w:rPr>
          <w:rFonts w:ascii="Times New Roman" w:hAnsi="Times New Roman" w:cs="Times New Roman"/>
          <w:sz w:val="24"/>
          <w:szCs w:val="24"/>
        </w:rPr>
        <w:tab/>
        <w:t>2 gadi * 2 000,00 EUR = 4 000,00 EUR</w:t>
      </w:r>
    </w:p>
    <w:p w14:paraId="6CF6F839"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Datorprogrammas uzskaites (atlikusī)</w:t>
      </w:r>
    </w:p>
    <w:p w14:paraId="599D85FC"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vērtība 31.12.2021.</w:t>
      </w:r>
      <w:r w:rsidRPr="00784982">
        <w:rPr>
          <w:rFonts w:ascii="Times New Roman" w:hAnsi="Times New Roman" w:cs="Times New Roman"/>
          <w:sz w:val="24"/>
          <w:szCs w:val="24"/>
        </w:rPr>
        <w:tab/>
        <w:t>20 000,00 – 4 000,00 = 16 000,00 EUR</w:t>
      </w:r>
    </w:p>
    <w:p w14:paraId="0B2A085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Atlikušais lietderīgās lietošanas laiks, sākot</w:t>
      </w:r>
    </w:p>
    <w:p w14:paraId="668DB0E3"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ar 01.01.2021.</w:t>
      </w:r>
      <w:r w:rsidRPr="00784982">
        <w:rPr>
          <w:rFonts w:ascii="Times New Roman" w:hAnsi="Times New Roman" w:cs="Times New Roman"/>
          <w:sz w:val="24"/>
          <w:szCs w:val="24"/>
        </w:rPr>
        <w:tab/>
        <w:t>4 gadi (5 gadi – 1 gadi)</w:t>
      </w:r>
    </w:p>
    <w:p w14:paraId="64C7EDC6"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Amortizācijas aprēķins gadā, sākot ar</w:t>
      </w:r>
    </w:p>
    <w:p w14:paraId="64F9A1B0"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01.01.2021.</w:t>
      </w:r>
      <w:r w:rsidRPr="00784982">
        <w:rPr>
          <w:rFonts w:ascii="Times New Roman" w:hAnsi="Times New Roman" w:cs="Times New Roman"/>
          <w:sz w:val="24"/>
          <w:szCs w:val="24"/>
        </w:rPr>
        <w:tab/>
        <w:t>18 000 EUR /4 gadi = 4 500,00 EUR*</w:t>
      </w:r>
    </w:p>
    <w:p w14:paraId="57BCD832"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 + 2500,00 EUR no sākotnējā amortizācijas aprēķina gadā</w:t>
      </w:r>
    </w:p>
    <w:p w14:paraId="02BEC84A" w14:textId="77777777" w:rsid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atzīst izmaiņas grāmatvedības aplēsēs perspektīvi, t.i., sākot ar pārskata periodu – 2021. gadu.</w:t>
      </w:r>
    </w:p>
    <w:p w14:paraId="6C16755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2021. gada 31. decembrī budžeta iestāde atzīst pārskata perioda izdevumus attiecībā uz datorprogrammas amortizāciju pārskata periodā 4 500,00 EUR apmērā, un turpmākos pārskata periodos atzīs nolietojuma izdevumus lineāri atbilstoši jaunajam pārvērtētajam lietderīgās lietošanas laikam.</w:t>
      </w:r>
    </w:p>
    <w:p w14:paraId="34A0FFE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Pārrēķins uz 31.12.2021.:</w:t>
      </w:r>
    </w:p>
    <w:p w14:paraId="1F86E5D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Amortizācijas aprēķins mēnesī/gadā</w:t>
      </w:r>
      <w:r w:rsidRPr="00784982">
        <w:rPr>
          <w:rFonts w:ascii="Times New Roman" w:hAnsi="Times New Roman" w:cs="Times New Roman"/>
          <w:sz w:val="24"/>
          <w:szCs w:val="24"/>
        </w:rPr>
        <w:tab/>
        <w:t>375,00 EUR / 4 500,00 EUR</w:t>
      </w:r>
    </w:p>
    <w:p w14:paraId="152B37AE"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Datorprogrammas uzkrātā amortizācija līdz</w:t>
      </w:r>
    </w:p>
    <w:p w14:paraId="3603BCE4"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2020. gada 31. decembrim (12 mēneši)</w:t>
      </w:r>
      <w:r w:rsidRPr="00784982">
        <w:rPr>
          <w:rFonts w:ascii="Times New Roman" w:hAnsi="Times New Roman" w:cs="Times New Roman"/>
          <w:sz w:val="24"/>
          <w:szCs w:val="24"/>
        </w:rPr>
        <w:tab/>
      </w:r>
    </w:p>
    <w:p w14:paraId="487256E3"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2 000,00 EUR</w:t>
      </w:r>
    </w:p>
    <w:p w14:paraId="657C170F"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Datorprogrammas uzskaites vērtība 31.12.2021.</w:t>
      </w:r>
      <w:r w:rsidRPr="00784982">
        <w:rPr>
          <w:rFonts w:ascii="Times New Roman" w:hAnsi="Times New Roman" w:cs="Times New Roman"/>
          <w:sz w:val="24"/>
          <w:szCs w:val="24"/>
        </w:rPr>
        <w:tab/>
        <w:t>20 000,00 – 2 000,00 – 4 500,00 = 13 500,00</w:t>
      </w:r>
    </w:p>
    <w:p w14:paraId="648D770F"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EUR</w:t>
      </w:r>
    </w:p>
    <w:p w14:paraId="221D67C6"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Ņemot vērā aprēķinus līdz 31.12.2021., budžeta iestāde papildus atzīst datorprogrammas amortizācijas izdevumus 2 500,00 EUR:</w:t>
      </w:r>
    </w:p>
    <w:p w14:paraId="5D22CAEE"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7000</w:t>
      </w:r>
      <w:r w:rsidRPr="00784982">
        <w:rPr>
          <w:rFonts w:ascii="Times New Roman" w:hAnsi="Times New Roman" w:cs="Times New Roman"/>
          <w:sz w:val="24"/>
          <w:szCs w:val="24"/>
        </w:rPr>
        <w:tab/>
        <w:t>Pamatdarbības izdevumi</w:t>
      </w:r>
      <w:r w:rsidRPr="00784982">
        <w:rPr>
          <w:rFonts w:ascii="Times New Roman" w:hAnsi="Times New Roman" w:cs="Times New Roman"/>
          <w:sz w:val="24"/>
          <w:szCs w:val="24"/>
        </w:rPr>
        <w:tab/>
        <w:t>2 500,00 EUR</w:t>
      </w:r>
    </w:p>
    <w:p w14:paraId="1ACFE88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K</w:t>
      </w:r>
      <w:r w:rsidRPr="00784982">
        <w:rPr>
          <w:rFonts w:ascii="Times New Roman" w:hAnsi="Times New Roman" w:cs="Times New Roman"/>
          <w:sz w:val="24"/>
          <w:szCs w:val="24"/>
        </w:rPr>
        <w:tab/>
        <w:t>1190</w:t>
      </w:r>
      <w:r w:rsidRPr="00784982">
        <w:rPr>
          <w:rFonts w:ascii="Times New Roman" w:hAnsi="Times New Roman" w:cs="Times New Roman"/>
          <w:sz w:val="24"/>
          <w:szCs w:val="24"/>
        </w:rPr>
        <w:tab/>
        <w:t>Nemateriālo</w:t>
      </w:r>
      <w:r w:rsidRPr="00784982">
        <w:rPr>
          <w:rFonts w:ascii="Times New Roman" w:hAnsi="Times New Roman" w:cs="Times New Roman"/>
          <w:sz w:val="24"/>
          <w:szCs w:val="24"/>
        </w:rPr>
        <w:tab/>
        <w:t>ieguldījumu</w:t>
      </w:r>
      <w:r w:rsidRPr="00784982">
        <w:rPr>
          <w:rFonts w:ascii="Times New Roman" w:hAnsi="Times New Roman" w:cs="Times New Roman"/>
          <w:sz w:val="24"/>
          <w:szCs w:val="24"/>
        </w:rPr>
        <w:tab/>
        <w:t>amortizācija</w:t>
      </w:r>
      <w:r w:rsidRPr="00784982">
        <w:rPr>
          <w:rFonts w:ascii="Times New Roman" w:hAnsi="Times New Roman" w:cs="Times New Roman"/>
          <w:sz w:val="24"/>
          <w:szCs w:val="24"/>
        </w:rPr>
        <w:tab/>
        <w:t>un</w:t>
      </w:r>
      <w:r w:rsidRPr="00784982">
        <w:rPr>
          <w:rFonts w:ascii="Times New Roman" w:hAnsi="Times New Roman" w:cs="Times New Roman"/>
          <w:sz w:val="24"/>
          <w:szCs w:val="24"/>
        </w:rPr>
        <w:tab/>
        <w:t>vērtības samazinājums</w:t>
      </w:r>
      <w:r w:rsidRPr="00784982">
        <w:rPr>
          <w:rFonts w:ascii="Times New Roman" w:hAnsi="Times New Roman" w:cs="Times New Roman"/>
          <w:sz w:val="24"/>
          <w:szCs w:val="24"/>
        </w:rPr>
        <w:tab/>
        <w:t>2 500,00 EUR</w:t>
      </w:r>
    </w:p>
    <w:p w14:paraId="351925C4"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No 2022. – 2024. gadam budžeta iestāde katru mēnesi atzīst datorprogrammas amortizācijas izdevumus atbilstoši jaunajam amortizācijas aprēķinam:</w:t>
      </w:r>
    </w:p>
    <w:p w14:paraId="20CAA10E"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7000</w:t>
      </w:r>
      <w:r w:rsidRPr="00784982">
        <w:rPr>
          <w:rFonts w:ascii="Times New Roman" w:hAnsi="Times New Roman" w:cs="Times New Roman"/>
          <w:sz w:val="24"/>
          <w:szCs w:val="24"/>
        </w:rPr>
        <w:tab/>
        <w:t>Pamatdarbības izdevumi</w:t>
      </w:r>
      <w:r w:rsidRPr="00784982">
        <w:rPr>
          <w:rFonts w:ascii="Times New Roman" w:hAnsi="Times New Roman" w:cs="Times New Roman"/>
          <w:sz w:val="24"/>
          <w:szCs w:val="24"/>
        </w:rPr>
        <w:tab/>
        <w:t>375,00 EUR</w:t>
      </w:r>
    </w:p>
    <w:p w14:paraId="1891493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K</w:t>
      </w:r>
      <w:r w:rsidRPr="00784982">
        <w:rPr>
          <w:rFonts w:ascii="Times New Roman" w:hAnsi="Times New Roman" w:cs="Times New Roman"/>
          <w:sz w:val="24"/>
          <w:szCs w:val="24"/>
        </w:rPr>
        <w:tab/>
        <w:t>1190</w:t>
      </w:r>
      <w:r w:rsidRPr="00784982">
        <w:rPr>
          <w:rFonts w:ascii="Times New Roman" w:hAnsi="Times New Roman" w:cs="Times New Roman"/>
          <w:sz w:val="24"/>
          <w:szCs w:val="24"/>
        </w:rPr>
        <w:tab/>
        <w:t>Nemateriālo</w:t>
      </w:r>
      <w:r w:rsidRPr="00784982">
        <w:rPr>
          <w:rFonts w:ascii="Times New Roman" w:hAnsi="Times New Roman" w:cs="Times New Roman"/>
          <w:sz w:val="24"/>
          <w:szCs w:val="24"/>
        </w:rPr>
        <w:tab/>
        <w:t>ieguldījumu</w:t>
      </w:r>
      <w:r w:rsidRPr="00784982">
        <w:rPr>
          <w:rFonts w:ascii="Times New Roman" w:hAnsi="Times New Roman" w:cs="Times New Roman"/>
          <w:sz w:val="24"/>
          <w:szCs w:val="24"/>
        </w:rPr>
        <w:tab/>
        <w:t>amortizācija</w:t>
      </w:r>
      <w:r w:rsidRPr="00784982">
        <w:rPr>
          <w:rFonts w:ascii="Times New Roman" w:hAnsi="Times New Roman" w:cs="Times New Roman"/>
          <w:sz w:val="24"/>
          <w:szCs w:val="24"/>
        </w:rPr>
        <w:tab/>
        <w:t>un</w:t>
      </w:r>
      <w:r w:rsidRPr="00784982">
        <w:rPr>
          <w:rFonts w:ascii="Times New Roman" w:hAnsi="Times New Roman" w:cs="Times New Roman"/>
          <w:sz w:val="24"/>
          <w:szCs w:val="24"/>
        </w:rPr>
        <w:tab/>
        <w:t>vērtības samazinājums</w:t>
      </w:r>
      <w:r w:rsidRPr="00784982">
        <w:rPr>
          <w:rFonts w:ascii="Times New Roman" w:hAnsi="Times New Roman" w:cs="Times New Roman"/>
          <w:sz w:val="24"/>
          <w:szCs w:val="24"/>
        </w:rPr>
        <w:tab/>
        <w:t>375,00 EUR</w:t>
      </w:r>
    </w:p>
    <w:p w14:paraId="18B18BA2" w14:textId="77777777" w:rsid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finanšu pārskata pielikumā uzrāda informāciju par grāmatvedības aplēses maiņu V12.piezīmē.</w:t>
      </w:r>
    </w:p>
    <w:p w14:paraId="6E468D7B" w14:textId="77777777" w:rsidR="00784982" w:rsidRDefault="00784982" w:rsidP="00CD363C">
      <w:pPr>
        <w:spacing w:after="0" w:line="240" w:lineRule="auto"/>
        <w:ind w:right="-142"/>
        <w:jc w:val="both"/>
      </w:pPr>
      <w:r w:rsidRPr="00784982">
        <w:rPr>
          <w:noProof/>
        </w:rPr>
        <w:drawing>
          <wp:inline distT="0" distB="0" distL="0" distR="0" wp14:anchorId="23491102" wp14:editId="451E3931">
            <wp:extent cx="8162925" cy="348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72850" cy="3484386"/>
                    </a:xfrm>
                    <a:prstGeom prst="rect">
                      <a:avLst/>
                    </a:prstGeom>
                    <a:noFill/>
                    <a:ln>
                      <a:noFill/>
                    </a:ln>
                  </pic:spPr>
                </pic:pic>
              </a:graphicData>
            </a:graphic>
          </wp:inline>
        </w:drawing>
      </w:r>
    </w:p>
    <w:p w14:paraId="23AE9A67"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C66187D"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3C660A7"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1C76E09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 xml:space="preserve">1217. </w:t>
      </w:r>
      <w:r w:rsidRPr="00EF4B40">
        <w:rPr>
          <w:rFonts w:ascii="Times New Roman" w:hAnsi="Times New Roman" w:cs="Times New Roman"/>
          <w:b/>
          <w:bCs/>
          <w:sz w:val="24"/>
          <w:szCs w:val="24"/>
        </w:rPr>
        <w:t xml:space="preserve">Piemēri </w:t>
      </w:r>
      <w:r w:rsidRPr="00EF4B40">
        <w:rPr>
          <w:rFonts w:ascii="Times New Roman" w:hAnsi="Times New Roman" w:cs="Times New Roman"/>
          <w:sz w:val="24"/>
          <w:szCs w:val="24"/>
        </w:rPr>
        <w:t>– kļūdas un to labošana</w:t>
      </w:r>
    </w:p>
    <w:p w14:paraId="179255A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1217.1.</w:t>
      </w:r>
      <w:r w:rsidRPr="00EF4B40">
        <w:rPr>
          <w:rFonts w:ascii="Times New Roman" w:hAnsi="Times New Roman" w:cs="Times New Roman"/>
          <w:sz w:val="24"/>
          <w:szCs w:val="24"/>
        </w:rPr>
        <w:tab/>
        <w:t>Piemērs</w:t>
      </w:r>
    </w:p>
    <w:p w14:paraId="63EB960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gadā - pēc tam, kad budžeta iestādes 2019. gada finanšu pārskati tika apstiprināti un publiskoti, - budžeta iestāde atklāja matemātisku kļūdu, kuras rezultātā 2019. gada nolietojuma izdevumi bija uzrādīti par 10,80 EUR mazāki nekā būtu bijis jāatzīst.</w:t>
      </w:r>
    </w:p>
    <w:p w14:paraId="5FE70ED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3E3028F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Nolietojuma izdevumu nepietiekams (samazināts) novērtējums 10,80 EUR apmērā ir uzskatāms par iepriekšējā perioda kļūdu. Kļūda budžeta iestādes 2019. gada finanšu pārskatā radusies nepareizas grāmatošanas dēļ (matemātiskās kļūdas rezultātā), neizmantojot vai nepareizi izmantojot ticamu informāciju, kas bija pieejama un vērā ņemama, sagatavojot 2019. gada finanšu pārskatu. Budžeta iestādē novērtē kļūdas būtiskumu. Budžeta iestāde iegūst informāciju par pārskata gadā noteikto būtiskuma līmeni no Valsts kases. Budžeta iestādes 2020. gadā noteiktais būtiskuma līmenis saskaņā ar Valsts kases tīmekļa vietnē publicēto informāciju ir 15 000,00 EUR.</w:t>
      </w:r>
    </w:p>
    <w:p w14:paraId="58A058A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Tā kā kļūda nav uzskatāma par būtisku, pamatojoties uz būtiskuma līmeni, budžeta iestāde uzskaita koriģējošos grāmatojumus 2020.gadā, atzīstot pamatlīdzekļa uzkrātā nolietojuma palielinājumu un pārējos izdevumus 10,80 EUR apmērā:</w:t>
      </w:r>
    </w:p>
    <w:p w14:paraId="1A76F9F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8761</w:t>
      </w:r>
      <w:r w:rsidRPr="00EF4B40">
        <w:rPr>
          <w:rFonts w:ascii="Times New Roman" w:hAnsi="Times New Roman" w:cs="Times New Roman"/>
          <w:sz w:val="24"/>
          <w:szCs w:val="24"/>
        </w:rPr>
        <w:tab/>
        <w:t>Iepriekšējo gadu kļūdas</w:t>
      </w:r>
      <w:r w:rsidRPr="00EF4B40">
        <w:rPr>
          <w:rFonts w:ascii="Times New Roman" w:hAnsi="Times New Roman" w:cs="Times New Roman"/>
          <w:sz w:val="24"/>
          <w:szCs w:val="24"/>
        </w:rPr>
        <w:tab/>
        <w:t>10,80 EUR</w:t>
      </w:r>
    </w:p>
    <w:p w14:paraId="615FF150"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1290</w:t>
      </w:r>
      <w:r w:rsidRPr="00EF4B40">
        <w:rPr>
          <w:rFonts w:ascii="Times New Roman" w:hAnsi="Times New Roman" w:cs="Times New Roman"/>
          <w:sz w:val="24"/>
          <w:szCs w:val="24"/>
        </w:rPr>
        <w:tab/>
        <w:t>Pamatlīdzekļu</w:t>
      </w:r>
      <w:r w:rsidRPr="00EF4B40">
        <w:rPr>
          <w:rFonts w:ascii="Times New Roman" w:hAnsi="Times New Roman" w:cs="Times New Roman"/>
          <w:sz w:val="24"/>
          <w:szCs w:val="24"/>
        </w:rPr>
        <w:tab/>
        <w:t>uzkrātais</w:t>
      </w:r>
      <w:r w:rsidRPr="00EF4B40">
        <w:rPr>
          <w:rFonts w:ascii="Times New Roman" w:hAnsi="Times New Roman" w:cs="Times New Roman"/>
          <w:sz w:val="24"/>
          <w:szCs w:val="24"/>
        </w:rPr>
        <w:tab/>
        <w:t>nolietojums</w:t>
      </w:r>
      <w:r w:rsidRPr="00EF4B40">
        <w:rPr>
          <w:rFonts w:ascii="Times New Roman" w:hAnsi="Times New Roman" w:cs="Times New Roman"/>
          <w:sz w:val="24"/>
          <w:szCs w:val="24"/>
        </w:rPr>
        <w:tab/>
        <w:t>un vērtības samazinājums</w:t>
      </w:r>
      <w:r w:rsidRPr="00EF4B40">
        <w:rPr>
          <w:rFonts w:ascii="Times New Roman" w:hAnsi="Times New Roman" w:cs="Times New Roman"/>
          <w:sz w:val="24"/>
          <w:szCs w:val="24"/>
        </w:rPr>
        <w:tab/>
        <w:t>10,80 EUR</w:t>
      </w:r>
    </w:p>
    <w:p w14:paraId="38B96494"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Pr="00EF4B40">
        <w:rPr>
          <w:rFonts w:ascii="Times New Roman" w:hAnsi="Times New Roman" w:cs="Times New Roman"/>
          <w:sz w:val="24"/>
          <w:szCs w:val="24"/>
        </w:rPr>
        <w:t>.2.</w:t>
      </w:r>
      <w:r w:rsidRPr="00EF4B40">
        <w:rPr>
          <w:rFonts w:ascii="Times New Roman" w:hAnsi="Times New Roman" w:cs="Times New Roman"/>
          <w:sz w:val="24"/>
          <w:szCs w:val="24"/>
        </w:rPr>
        <w:tab/>
        <w:t>Piemērs</w:t>
      </w:r>
    </w:p>
    <w:p w14:paraId="3B54456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gadā budžeta iestāde atklāja divas matemātiskas kļūdas attiecībā uz 2019. gadu:</w:t>
      </w:r>
    </w:p>
    <w:p w14:paraId="2AF8414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2019. gada nolietojuma izdevumi tehnoloģiskām iekārtām bija uzrādīti par 36 000,00 EUR mazāki nekā būtu bijis jāatzīst;</w:t>
      </w:r>
    </w:p>
    <w:p w14:paraId="10EC78F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2019. gadā rēķins no piegādātāja par summu 42,00 EUR bija iegrāmatots 24,00 EUR vērtībā, tādējādi tika atzīti par 18,00 EUR mazāki izdevumi nekā būtu bijis jāatzīst.</w:t>
      </w:r>
    </w:p>
    <w:p w14:paraId="5AE8619B"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Laikā, kad kļūdas atklāja, budžeta iestādes 2019. gada finanšu pārskats bija jau apstiprināts un publiskots.</w:t>
      </w:r>
    </w:p>
    <w:p w14:paraId="1FF57005"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25D73B32"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Veicamās darbības 2020.gadā:</w:t>
      </w:r>
    </w:p>
    <w:p w14:paraId="4D06BCAA"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1)</w:t>
      </w:r>
      <w:r w:rsidRPr="00EF4B40">
        <w:rPr>
          <w:rFonts w:ascii="Times New Roman" w:hAnsi="Times New Roman" w:cs="Times New Roman"/>
          <w:sz w:val="24"/>
          <w:szCs w:val="24"/>
        </w:rPr>
        <w:tab/>
        <w:t>Budžeta iestāde izvērtē kļūdu būtiskumu:</w:t>
      </w:r>
    </w:p>
    <w:p w14:paraId="168094E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saskaņā ar Valsts kases tīmekļa vietnē publicēto informāciju kārtējam gadam budžeta iestādes būtiskuma līmenis ir 20 000,00 EUR.</w:t>
      </w:r>
    </w:p>
    <w:p w14:paraId="5DDC74B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kļūda par 36 000, EUR novērtēta kā būtiska, bet par 18,00 EUR – kā nebūtiska.</w:t>
      </w:r>
    </w:p>
    <w:p w14:paraId="6D77AAA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w:t>
      </w:r>
      <w:r w:rsidRPr="00EF4B40">
        <w:rPr>
          <w:rFonts w:ascii="Times New Roman" w:hAnsi="Times New Roman" w:cs="Times New Roman"/>
          <w:sz w:val="24"/>
          <w:szCs w:val="24"/>
        </w:rPr>
        <w:tab/>
        <w:t>Budžeta iestāde izvērtē, kādas darbības jāveic kļūdu labošanā:</w:t>
      </w:r>
    </w:p>
    <w:p w14:paraId="22DA1498"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kļūda par 36 000,00 EUR ir jālabo retrospektīvi, jo tā ir būtiska un informācija par korektu nolietojuma novērtējumu bija pieejama.</w:t>
      </w:r>
    </w:p>
    <w:p w14:paraId="2354DBEB"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kļūda par 18,00 EUR jālabo perspektīvi, atzīstot 2020. gada pārskata perioda pārējos izdevumos, jo tā ir nebūtiska.</w:t>
      </w:r>
    </w:p>
    <w:p w14:paraId="098591E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 veic sekojošus grāmatojumus 2020.gadā:</w:t>
      </w:r>
    </w:p>
    <w:p w14:paraId="643B01F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Grāmatojums, atzīstot būtisku iepriekšējā perioda kļūdu:</w:t>
      </w:r>
    </w:p>
    <w:p w14:paraId="46C83428"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 pārskata gadu budžeta izpildes rezultāts</w:t>
      </w:r>
      <w:r w:rsidRPr="00EF4B40">
        <w:rPr>
          <w:rFonts w:ascii="Times New Roman" w:hAnsi="Times New Roman" w:cs="Times New Roman"/>
          <w:sz w:val="24"/>
          <w:szCs w:val="24"/>
        </w:rPr>
        <w:tab/>
        <w:t>36 000,00 EUR</w:t>
      </w:r>
    </w:p>
    <w:p w14:paraId="0985B5E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1290</w:t>
      </w:r>
      <w:r w:rsidRPr="00EF4B40">
        <w:rPr>
          <w:rFonts w:ascii="Times New Roman" w:hAnsi="Times New Roman" w:cs="Times New Roman"/>
          <w:sz w:val="24"/>
          <w:szCs w:val="24"/>
        </w:rPr>
        <w:tab/>
        <w:t>Pamatlīdzekļu</w:t>
      </w:r>
      <w:r w:rsidRPr="00EF4B40">
        <w:rPr>
          <w:rFonts w:ascii="Times New Roman" w:hAnsi="Times New Roman" w:cs="Times New Roman"/>
          <w:sz w:val="24"/>
          <w:szCs w:val="24"/>
        </w:rPr>
        <w:tab/>
        <w:t>uzkrātais</w:t>
      </w:r>
      <w:r w:rsidRPr="00EF4B40">
        <w:rPr>
          <w:rFonts w:ascii="Times New Roman" w:hAnsi="Times New Roman" w:cs="Times New Roman"/>
          <w:sz w:val="24"/>
          <w:szCs w:val="24"/>
        </w:rPr>
        <w:tab/>
        <w:t>nolietojums</w:t>
      </w:r>
      <w:r w:rsidRPr="00EF4B40">
        <w:rPr>
          <w:rFonts w:ascii="Times New Roman" w:hAnsi="Times New Roman" w:cs="Times New Roman"/>
          <w:sz w:val="24"/>
          <w:szCs w:val="24"/>
        </w:rPr>
        <w:tab/>
        <w:t>un vērtības samazinājums</w:t>
      </w:r>
      <w:r w:rsidRPr="00EF4B40">
        <w:rPr>
          <w:rFonts w:ascii="Times New Roman" w:hAnsi="Times New Roman" w:cs="Times New Roman"/>
          <w:sz w:val="24"/>
          <w:szCs w:val="24"/>
        </w:rPr>
        <w:tab/>
        <w:t>36 000,00 EUR</w:t>
      </w:r>
    </w:p>
    <w:p w14:paraId="69A1254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Grāmatojums, atzīstot iepriekšējā perioda kļūdu, kas nav būtiska:</w:t>
      </w:r>
    </w:p>
    <w:p w14:paraId="662103DD"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8761</w:t>
      </w:r>
      <w:r w:rsidRPr="00EF4B40">
        <w:rPr>
          <w:rFonts w:ascii="Times New Roman" w:hAnsi="Times New Roman" w:cs="Times New Roman"/>
          <w:sz w:val="24"/>
          <w:szCs w:val="24"/>
        </w:rPr>
        <w:tab/>
        <w:t>Iepriekšējo gadu kļūdas</w:t>
      </w:r>
      <w:r w:rsidRPr="00EF4B40">
        <w:rPr>
          <w:rFonts w:ascii="Times New Roman" w:hAnsi="Times New Roman" w:cs="Times New Roman"/>
          <w:sz w:val="24"/>
          <w:szCs w:val="24"/>
        </w:rPr>
        <w:tab/>
        <w:t>18,00 EUR</w:t>
      </w:r>
    </w:p>
    <w:p w14:paraId="1B9E300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5300</w:t>
      </w:r>
      <w:r w:rsidRPr="00EF4B40">
        <w:rPr>
          <w:rFonts w:ascii="Times New Roman" w:hAnsi="Times New Roman" w:cs="Times New Roman"/>
          <w:sz w:val="24"/>
          <w:szCs w:val="24"/>
        </w:rPr>
        <w:tab/>
        <w:t>Īstermiņa saistības pret piegādātājiem un</w:t>
      </w:r>
    </w:p>
    <w:p w14:paraId="1EA4F78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darbuzņēmējiem</w:t>
      </w:r>
      <w:r w:rsidRPr="00EF4B40">
        <w:rPr>
          <w:rFonts w:ascii="Times New Roman" w:hAnsi="Times New Roman" w:cs="Times New Roman"/>
          <w:sz w:val="24"/>
          <w:szCs w:val="24"/>
        </w:rPr>
        <w:tab/>
        <w:t>18,00 EUR</w:t>
      </w:r>
    </w:p>
    <w:p w14:paraId="39B8A30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3)</w:t>
      </w:r>
      <w:r w:rsidRPr="00EF4B40">
        <w:rPr>
          <w:rFonts w:ascii="Times New Roman" w:hAnsi="Times New Roman" w:cs="Times New Roman"/>
          <w:sz w:val="24"/>
          <w:szCs w:val="24"/>
        </w:rPr>
        <w:tab/>
        <w:t>Budžeta iestāde izvērtē, kāda informācija jāuzrāda 2020. gada finanšu pārskatā:</w:t>
      </w:r>
    </w:p>
    <w:p w14:paraId="7B52103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Pārskatā par finansiālo stāvokli (bilancē) – saskaņā ar 3.tabulā uzrādīto informāciju;</w:t>
      </w:r>
    </w:p>
    <w:p w14:paraId="1645DAD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Pārskatā par finansiālās darbības rezultātiem – saskaņā ar 4.tabulā uzrādīto informāciju;</w:t>
      </w:r>
    </w:p>
    <w:p w14:paraId="10E831B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Pašu kapitāla izmaiņu pārskatā – saskaņā ar 5.tabulā uzrādīto informāciju;</w:t>
      </w:r>
    </w:p>
    <w:p w14:paraId="36C7C5EB"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Finanšu pārskata pielikuma posteņu skaidrojumā – saskaņā ar 6.tabulā uzrādīto informāciju.</w:t>
      </w:r>
    </w:p>
    <w:p w14:paraId="2900A80E" w14:textId="77777777" w:rsid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 tabula</w:t>
      </w:r>
    </w:p>
    <w:p w14:paraId="193BF934"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noProof/>
        </w:rPr>
        <w:drawing>
          <wp:inline distT="0" distB="0" distL="0" distR="0" wp14:anchorId="3384E0DF" wp14:editId="0BB39D36">
            <wp:extent cx="7372350" cy="36631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77249" cy="3665620"/>
                    </a:xfrm>
                    <a:prstGeom prst="rect">
                      <a:avLst/>
                    </a:prstGeom>
                    <a:noFill/>
                    <a:ln>
                      <a:noFill/>
                    </a:ln>
                  </pic:spPr>
                </pic:pic>
              </a:graphicData>
            </a:graphic>
          </wp:inline>
        </w:drawing>
      </w:r>
    </w:p>
    <w:p w14:paraId="2CD40AB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*nebūtiskas kļūdas labojums 18 EUR apmērā ir iekļauts pārskata gada budžeta izpildes rezultātā un īstermiņa saistībās pret piegādātājiem un darbuzņēmējiem</w:t>
      </w:r>
    </w:p>
    <w:p w14:paraId="5DAD0678"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**piemērā pieņemts, ka pirms kļūdas labojuma iepriekšējā pārskata perioda budžeta izpildes rezultāts bija 0 EUR</w:t>
      </w:r>
    </w:p>
    <w:p w14:paraId="51DE1591" w14:textId="77777777" w:rsidR="00EF4B40" w:rsidRPr="00EF4B40" w:rsidRDefault="00EF4B40" w:rsidP="00CD363C">
      <w:pPr>
        <w:spacing w:after="0" w:line="240" w:lineRule="auto"/>
        <w:ind w:left="186" w:right="-142"/>
        <w:jc w:val="both"/>
        <w:rPr>
          <w:rFonts w:ascii="Times New Roman" w:hAnsi="Times New Roman" w:cs="Times New Roman"/>
          <w:sz w:val="24"/>
          <w:szCs w:val="24"/>
        </w:rPr>
      </w:pPr>
      <w:r>
        <w:rPr>
          <w:rFonts w:ascii="Times New Roman" w:hAnsi="Times New Roman" w:cs="Times New Roman"/>
          <w:sz w:val="24"/>
          <w:szCs w:val="24"/>
        </w:rPr>
        <w:t>4.</w:t>
      </w:r>
      <w:r w:rsidRPr="00EF4B40">
        <w:rPr>
          <w:rFonts w:ascii="Times New Roman" w:hAnsi="Times New Roman" w:cs="Times New Roman"/>
          <w:sz w:val="24"/>
          <w:szCs w:val="24"/>
        </w:rPr>
        <w:t>tabula</w:t>
      </w:r>
    </w:p>
    <w:p w14:paraId="4FEE2BB3"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noProof/>
        </w:rPr>
        <w:drawing>
          <wp:inline distT="0" distB="0" distL="0" distR="0" wp14:anchorId="04A2DE10" wp14:editId="772DBD30">
            <wp:extent cx="6400800" cy="3298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07472" cy="3301673"/>
                    </a:xfrm>
                    <a:prstGeom prst="rect">
                      <a:avLst/>
                    </a:prstGeom>
                    <a:noFill/>
                    <a:ln>
                      <a:noFill/>
                    </a:ln>
                  </pic:spPr>
                </pic:pic>
              </a:graphicData>
            </a:graphic>
          </wp:inline>
        </w:drawing>
      </w:r>
    </w:p>
    <w:p w14:paraId="7F0F4B90"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Pr="00EF4B40">
        <w:rPr>
          <w:rFonts w:ascii="Times New Roman" w:hAnsi="Times New Roman" w:cs="Times New Roman"/>
          <w:sz w:val="24"/>
          <w:szCs w:val="24"/>
        </w:rPr>
        <w:t>.3.</w:t>
      </w:r>
      <w:r w:rsidRPr="00EF4B40">
        <w:rPr>
          <w:rFonts w:ascii="Times New Roman" w:hAnsi="Times New Roman" w:cs="Times New Roman"/>
          <w:sz w:val="24"/>
          <w:szCs w:val="24"/>
        </w:rPr>
        <w:tab/>
        <w:t>Piemērs</w:t>
      </w:r>
    </w:p>
    <w:p w14:paraId="08D2D5D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2019. gada 31. decembrī budžeta iestāde atzīst uzkrājumus tiesvedības izdevumiem 140 000,00 EUR apmērā. Uzkrājumi tiesvedības izdevumiem noteikti, pamatojoties uz visprecīzāko aplēsi, kas 2019. gada pārskata sagatavošanas laikā bija iestādes rīcībā. 2021. gada sākumā tiesa paziņo galīgo spriedumu, pamatojoties uz kuru budžeta iestādei jāmaksā kompensācija kopējā apmērā – 184 000,00 EUR.</w:t>
      </w:r>
    </w:p>
    <w:p w14:paraId="1B625CC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278DA5D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Gadījumā, ja sākotnējā aplēse par uzkrājumiem tiesvedības izdevumiem ir noteikta un katrā nākamajā pārskata periodā pārskatīta, pamatojoties uz korektu un ticamu informāciju, kas bija pieejama aplēses noteikšanas laikā, tad tā nav iepriekšējā pārskata perioda kļūda, bet gan grāmatvedības aplēses maiņa.</w:t>
      </w:r>
    </w:p>
    <w:p w14:paraId="0021074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 atzīst uzkrājumu tiesvedības izdevumiem palielinājumu pārskata perioda izdevumos un finanšu pārskatā uzrāda pārskata periodā veiktās grāmatvedības aplēses izmaiņas. Uzkrājumu uzskaites principi apskatīti Rokasgrāmatas sadaļā “Uzkrājumu, iespējamo saistību un iespējamo aktīvu uzskaite”.</w:t>
      </w:r>
    </w:p>
    <w:p w14:paraId="0E1FCE50"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53A7F0B"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Pr="00EF4B40">
        <w:rPr>
          <w:rFonts w:ascii="Times New Roman" w:hAnsi="Times New Roman" w:cs="Times New Roman"/>
          <w:sz w:val="24"/>
          <w:szCs w:val="24"/>
        </w:rPr>
        <w:t>4.</w:t>
      </w:r>
      <w:r w:rsidRPr="00EF4B40">
        <w:rPr>
          <w:rFonts w:ascii="Times New Roman" w:hAnsi="Times New Roman" w:cs="Times New Roman"/>
          <w:sz w:val="24"/>
          <w:szCs w:val="24"/>
        </w:rPr>
        <w:tab/>
        <w:t>Piemērs</w:t>
      </w:r>
    </w:p>
    <w:p w14:paraId="6028C91A"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17. septembrī budžeta iestāde saņem rēķinu par komunālajiem pakalpojumiem, kas izrakstīts 2020. gada 11. martā un attiecas uz 2020. gada februāri. Rēķins iepriekš netika iegrāmatots un attiecīgi izdevumi netika atzīti. Rēķina  summa  17 000,00  EUR.  Budžeta  iestādes  noteiktais  būtiskuma  līmenis 15 000,00 EUR.</w:t>
      </w:r>
    </w:p>
    <w:p w14:paraId="17B7E37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049DC06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Dotajā gadījumā kļūda ir būtiska, jo pārsniedz budžeta iestādes noteikto būtiskuma līmeni.</w:t>
      </w:r>
    </w:p>
    <w:p w14:paraId="32EAA1B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Iepriekšējo gadu būtisko kļūdu labojumus grāmato budžeta izpildes rezultātā tādā apmērā, kas attiecas uz iepriekšējiem pārskata gadiem, – kontā 3510 “Iepriekšējo pārskata gadu budžeta izpildes rezultāts” un atbilstošajā pasīvu kontā.</w:t>
      </w:r>
    </w:p>
    <w:p w14:paraId="6E4A6D6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17. septembrī budžeta iestāde veic sekojošu grāmatojumu:</w:t>
      </w:r>
    </w:p>
    <w:p w14:paraId="3852E6C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w:t>
      </w:r>
      <w:r w:rsidRPr="00EF4B40">
        <w:rPr>
          <w:rFonts w:ascii="Times New Roman" w:hAnsi="Times New Roman" w:cs="Times New Roman"/>
          <w:sz w:val="24"/>
          <w:szCs w:val="24"/>
        </w:rPr>
        <w:tab/>
        <w:t>pārskata</w:t>
      </w:r>
      <w:r w:rsidRPr="00EF4B40">
        <w:rPr>
          <w:rFonts w:ascii="Times New Roman" w:hAnsi="Times New Roman" w:cs="Times New Roman"/>
          <w:sz w:val="24"/>
          <w:szCs w:val="24"/>
        </w:rPr>
        <w:tab/>
        <w:t>gadu</w:t>
      </w:r>
      <w:r w:rsidRPr="00EF4B40">
        <w:rPr>
          <w:rFonts w:ascii="Times New Roman" w:hAnsi="Times New Roman" w:cs="Times New Roman"/>
          <w:sz w:val="24"/>
          <w:szCs w:val="24"/>
        </w:rPr>
        <w:tab/>
        <w:t>budžeta</w:t>
      </w:r>
      <w:r w:rsidRPr="00EF4B40">
        <w:rPr>
          <w:rFonts w:ascii="Times New Roman" w:hAnsi="Times New Roman" w:cs="Times New Roman"/>
          <w:sz w:val="24"/>
          <w:szCs w:val="24"/>
        </w:rPr>
        <w:tab/>
        <w:t>izpildes rezultāts</w:t>
      </w:r>
      <w:r w:rsidRPr="00EF4B40">
        <w:rPr>
          <w:rFonts w:ascii="Times New Roman" w:hAnsi="Times New Roman" w:cs="Times New Roman"/>
          <w:sz w:val="24"/>
          <w:szCs w:val="24"/>
        </w:rPr>
        <w:tab/>
        <w:t>17 000,00 EUR</w:t>
      </w:r>
    </w:p>
    <w:p w14:paraId="5F6D01B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5310</w:t>
      </w:r>
      <w:r w:rsidRPr="00EF4B40">
        <w:rPr>
          <w:rFonts w:ascii="Times New Roman" w:hAnsi="Times New Roman" w:cs="Times New Roman"/>
          <w:sz w:val="24"/>
          <w:szCs w:val="24"/>
        </w:rPr>
        <w:tab/>
        <w:t>Īstermiņa</w:t>
      </w:r>
      <w:r w:rsidRPr="00EF4B40">
        <w:rPr>
          <w:rFonts w:ascii="Times New Roman" w:hAnsi="Times New Roman" w:cs="Times New Roman"/>
          <w:sz w:val="24"/>
          <w:szCs w:val="24"/>
        </w:rPr>
        <w:tab/>
        <w:t>saistības</w:t>
      </w:r>
      <w:r w:rsidRPr="00EF4B40">
        <w:rPr>
          <w:rFonts w:ascii="Times New Roman" w:hAnsi="Times New Roman" w:cs="Times New Roman"/>
          <w:sz w:val="24"/>
          <w:szCs w:val="24"/>
        </w:rPr>
        <w:tab/>
        <w:t>pret</w:t>
      </w:r>
      <w:r w:rsidRPr="00EF4B40">
        <w:rPr>
          <w:rFonts w:ascii="Times New Roman" w:hAnsi="Times New Roman" w:cs="Times New Roman"/>
          <w:sz w:val="24"/>
          <w:szCs w:val="24"/>
        </w:rPr>
        <w:tab/>
        <w:t>piegādātājiem</w:t>
      </w:r>
      <w:r w:rsidRPr="00EF4B40">
        <w:rPr>
          <w:rFonts w:ascii="Times New Roman" w:hAnsi="Times New Roman" w:cs="Times New Roman"/>
          <w:sz w:val="24"/>
          <w:szCs w:val="24"/>
        </w:rPr>
        <w:tab/>
        <w:t>un darbuzņēmējiem</w:t>
      </w:r>
      <w:r w:rsidRPr="00EF4B40">
        <w:rPr>
          <w:rFonts w:ascii="Times New Roman" w:hAnsi="Times New Roman" w:cs="Times New Roman"/>
          <w:sz w:val="24"/>
          <w:szCs w:val="24"/>
        </w:rPr>
        <w:tab/>
        <w:t>17 000,00 EUR</w:t>
      </w:r>
    </w:p>
    <w:p w14:paraId="73E8A37F" w14:textId="77777777" w:rsidR="00EF4B40" w:rsidRP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EF4B40" w:rsidRPr="00EF4B40">
        <w:rPr>
          <w:rFonts w:ascii="Times New Roman" w:hAnsi="Times New Roman" w:cs="Times New Roman"/>
          <w:sz w:val="24"/>
          <w:szCs w:val="24"/>
        </w:rPr>
        <w:t>5.</w:t>
      </w:r>
      <w:r w:rsidR="00EF4B40" w:rsidRPr="00EF4B40">
        <w:rPr>
          <w:rFonts w:ascii="Times New Roman" w:hAnsi="Times New Roman" w:cs="Times New Roman"/>
          <w:sz w:val="24"/>
          <w:szCs w:val="24"/>
        </w:rPr>
        <w:tab/>
        <w:t>Piemērs</w:t>
      </w:r>
    </w:p>
    <w:p w14:paraId="3ED5384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saņem rēķinu par preses izdevuma abonēšanu par laika periodu 01.10.2020. – 31.12.2020. Rēķins iepriekš netika iegrāmatots un attiecīgi izdevumi netika atzīti. Rēķina summa ir 127,00 EUR. Budžeta iestādes noteiktais būtiskuma līmenis ir 15 000,00 EUR, tāpēc kļūda ir uzskatāma par nebūtisku.</w:t>
      </w:r>
    </w:p>
    <w:p w14:paraId="14DD8A8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1217815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veic sekojošu grāmatojumu:</w:t>
      </w:r>
    </w:p>
    <w:p w14:paraId="2AC96722"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8671</w:t>
      </w:r>
      <w:r w:rsidRPr="00EF4B40">
        <w:rPr>
          <w:rFonts w:ascii="Times New Roman" w:hAnsi="Times New Roman" w:cs="Times New Roman"/>
          <w:sz w:val="24"/>
          <w:szCs w:val="24"/>
        </w:rPr>
        <w:tab/>
        <w:t>Iepriekšējo gadu kļūdas (izdevumi)</w:t>
      </w:r>
      <w:r w:rsidRPr="00EF4B40">
        <w:rPr>
          <w:rFonts w:ascii="Times New Roman" w:hAnsi="Times New Roman" w:cs="Times New Roman"/>
          <w:sz w:val="24"/>
          <w:szCs w:val="24"/>
        </w:rPr>
        <w:tab/>
        <w:t>127,00 EUR</w:t>
      </w:r>
    </w:p>
    <w:p w14:paraId="0B86413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5310</w:t>
      </w:r>
      <w:r w:rsidRPr="00EF4B40">
        <w:rPr>
          <w:rFonts w:ascii="Times New Roman" w:hAnsi="Times New Roman" w:cs="Times New Roman"/>
          <w:sz w:val="24"/>
          <w:szCs w:val="24"/>
        </w:rPr>
        <w:tab/>
        <w:t>Īstermiņa</w:t>
      </w:r>
      <w:r w:rsidRPr="00EF4B40">
        <w:rPr>
          <w:rFonts w:ascii="Times New Roman" w:hAnsi="Times New Roman" w:cs="Times New Roman"/>
          <w:sz w:val="24"/>
          <w:szCs w:val="24"/>
        </w:rPr>
        <w:tab/>
        <w:t>saistības</w:t>
      </w:r>
      <w:r w:rsidRPr="00EF4B40">
        <w:rPr>
          <w:rFonts w:ascii="Times New Roman" w:hAnsi="Times New Roman" w:cs="Times New Roman"/>
          <w:sz w:val="24"/>
          <w:szCs w:val="24"/>
        </w:rPr>
        <w:tab/>
        <w:t>pret</w:t>
      </w:r>
      <w:r w:rsidRPr="00EF4B40">
        <w:rPr>
          <w:rFonts w:ascii="Times New Roman" w:hAnsi="Times New Roman" w:cs="Times New Roman"/>
          <w:sz w:val="24"/>
          <w:szCs w:val="24"/>
        </w:rPr>
        <w:tab/>
        <w:t>piegādātājiem</w:t>
      </w:r>
      <w:r w:rsidRPr="00EF4B40">
        <w:rPr>
          <w:rFonts w:ascii="Times New Roman" w:hAnsi="Times New Roman" w:cs="Times New Roman"/>
          <w:sz w:val="24"/>
          <w:szCs w:val="24"/>
        </w:rPr>
        <w:tab/>
        <w:t>un darbuzņēmējiem</w:t>
      </w:r>
      <w:r w:rsidRPr="00EF4B40">
        <w:rPr>
          <w:rFonts w:ascii="Times New Roman" w:hAnsi="Times New Roman" w:cs="Times New Roman"/>
          <w:sz w:val="24"/>
          <w:szCs w:val="24"/>
        </w:rPr>
        <w:tab/>
        <w:t>127,00 EUR</w:t>
      </w:r>
    </w:p>
    <w:p w14:paraId="3881C2B6" w14:textId="77777777" w:rsidR="00EF4B40" w:rsidRP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EF4B40" w:rsidRPr="00EF4B40">
        <w:rPr>
          <w:rFonts w:ascii="Times New Roman" w:hAnsi="Times New Roman" w:cs="Times New Roman"/>
          <w:sz w:val="24"/>
          <w:szCs w:val="24"/>
        </w:rPr>
        <w:t>.6.</w:t>
      </w:r>
      <w:r w:rsidR="00EF4B40" w:rsidRPr="00EF4B40">
        <w:rPr>
          <w:rFonts w:ascii="Times New Roman" w:hAnsi="Times New Roman" w:cs="Times New Roman"/>
          <w:sz w:val="24"/>
          <w:szCs w:val="24"/>
        </w:rPr>
        <w:tab/>
        <w:t>Piemērs</w:t>
      </w:r>
    </w:p>
    <w:p w14:paraId="65179C2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gada 13. novembrī budžeta iestāde, inventarizējot aktīvus, konstatē, ka tās uzskaitē nākamo periodu izdevumos ir uzrādīta summa par apdrošināšanas pakalpojumiem 30 000,00 EUR apmērā. Apdrošināšanas pakalpojumu saņemšanas periods ir 01.06.2019. – 31.05.2020. Budžeta iestādes noteiktais būtiskuma līmenis 15 000,00 EUR.</w:t>
      </w:r>
    </w:p>
    <w:p w14:paraId="55CD79E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46CB4E1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iestādei jānodala kļūdas apmērs, kas attiecas uz iepriekšējo gadu. Uz 2019. gadu attiecas izdevumi par 7 mēnešiem 17 500,00 EUR apmērā (30 000,00 EUR/12 mēneši x 7 mēneši). Ņemot vērā, ka kļūda ir būtiska, tās labojums jāgrāmato kontā 3510 “Iepriekšējo pārskata gadu budžeta izpildes rezultāts”:</w:t>
      </w:r>
    </w:p>
    <w:p w14:paraId="007EBB4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w:t>
      </w:r>
      <w:r w:rsidRPr="00EF4B40">
        <w:rPr>
          <w:rFonts w:ascii="Times New Roman" w:hAnsi="Times New Roman" w:cs="Times New Roman"/>
          <w:sz w:val="24"/>
          <w:szCs w:val="24"/>
        </w:rPr>
        <w:tab/>
        <w:t>pārskata</w:t>
      </w:r>
      <w:r w:rsidRPr="00EF4B40">
        <w:rPr>
          <w:rFonts w:ascii="Times New Roman" w:hAnsi="Times New Roman" w:cs="Times New Roman"/>
          <w:sz w:val="24"/>
          <w:szCs w:val="24"/>
        </w:rPr>
        <w:tab/>
        <w:t>gadu</w:t>
      </w:r>
      <w:r w:rsidRPr="00EF4B40">
        <w:rPr>
          <w:rFonts w:ascii="Times New Roman" w:hAnsi="Times New Roman" w:cs="Times New Roman"/>
          <w:sz w:val="24"/>
          <w:szCs w:val="24"/>
        </w:rPr>
        <w:tab/>
        <w:t>budžeta</w:t>
      </w:r>
      <w:r w:rsidRPr="00EF4B40">
        <w:rPr>
          <w:rFonts w:ascii="Times New Roman" w:hAnsi="Times New Roman" w:cs="Times New Roman"/>
          <w:sz w:val="24"/>
          <w:szCs w:val="24"/>
        </w:rPr>
        <w:tab/>
        <w:t>izpildes rezultāts</w:t>
      </w:r>
      <w:r w:rsidRPr="00EF4B40">
        <w:rPr>
          <w:rFonts w:ascii="Times New Roman" w:hAnsi="Times New Roman" w:cs="Times New Roman"/>
          <w:sz w:val="24"/>
          <w:szCs w:val="24"/>
        </w:rPr>
        <w:tab/>
        <w:t>17 500,00 EUR</w:t>
      </w:r>
    </w:p>
    <w:p w14:paraId="18E2F86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17 500,00 EUR</w:t>
      </w:r>
    </w:p>
    <w:p w14:paraId="5660FD1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Kļūdas labojumu, kas attiecas uz pārskata gadu, grāmato pārskata gada izdevumos 12 500,00 EUR apmērā. (30 000,00 EUR/ 12 mēneši x 5 mēneši)</w:t>
      </w:r>
    </w:p>
    <w:p w14:paraId="61DAF12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7000</w:t>
      </w:r>
      <w:r w:rsidRPr="00EF4B40">
        <w:rPr>
          <w:rFonts w:ascii="Times New Roman" w:hAnsi="Times New Roman" w:cs="Times New Roman"/>
          <w:sz w:val="24"/>
          <w:szCs w:val="24"/>
        </w:rPr>
        <w:tab/>
        <w:t>Pamatdarbības izdevumi</w:t>
      </w:r>
      <w:r w:rsidRPr="00EF4B40">
        <w:rPr>
          <w:rFonts w:ascii="Times New Roman" w:hAnsi="Times New Roman" w:cs="Times New Roman"/>
          <w:sz w:val="24"/>
          <w:szCs w:val="24"/>
        </w:rPr>
        <w:tab/>
        <w:t>12 500,00 EUR</w:t>
      </w:r>
    </w:p>
    <w:p w14:paraId="27623C6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12 500,00 EUR</w:t>
      </w:r>
    </w:p>
    <w:p w14:paraId="7EB365EC"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435A0545"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8E1524">
        <w:rPr>
          <w:rFonts w:ascii="Times New Roman" w:hAnsi="Times New Roman" w:cs="Times New Roman"/>
          <w:sz w:val="24"/>
          <w:szCs w:val="24"/>
        </w:rPr>
        <w:t>7</w:t>
      </w:r>
      <w:r w:rsidRPr="00EF4B40">
        <w:rPr>
          <w:rFonts w:ascii="Times New Roman" w:hAnsi="Times New Roman" w:cs="Times New Roman"/>
          <w:sz w:val="24"/>
          <w:szCs w:val="24"/>
        </w:rPr>
        <w:t>.</w:t>
      </w:r>
      <w:r w:rsidRPr="00EF4B40">
        <w:rPr>
          <w:rFonts w:ascii="Times New Roman" w:hAnsi="Times New Roman" w:cs="Times New Roman"/>
          <w:sz w:val="24"/>
          <w:szCs w:val="24"/>
        </w:rPr>
        <w:tab/>
        <w:t>Piemērs</w:t>
      </w:r>
    </w:p>
    <w:p w14:paraId="6F890FB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saņem rēķinu par preses izdevuma abonēšanu par laika periodu 01.10.2020. – 31.12.2020. Rēķins iepriekš netika iegrāmatots un attiecīgi izdevumi netika atzīti. Rēķina summa ir 127,00 EUR. Budžeta iestādes noteiktais būtiskuma līmenis ir 15 000,00 EUR, tāpēc kļūda ir uzskatāma par nebūtisku.</w:t>
      </w:r>
    </w:p>
    <w:p w14:paraId="782BDB2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4583701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veic sekojošu grāmatojumu:</w:t>
      </w:r>
    </w:p>
    <w:p w14:paraId="5E6EEA41"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601DB4A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8671</w:t>
      </w:r>
      <w:r w:rsidRPr="00EF4B40">
        <w:rPr>
          <w:rFonts w:ascii="Times New Roman" w:hAnsi="Times New Roman" w:cs="Times New Roman"/>
          <w:sz w:val="24"/>
          <w:szCs w:val="24"/>
        </w:rPr>
        <w:tab/>
        <w:t>Iepriekšējo gadu kļūdas (izdevumi)</w:t>
      </w:r>
      <w:r w:rsidRPr="00EF4B40">
        <w:rPr>
          <w:rFonts w:ascii="Times New Roman" w:hAnsi="Times New Roman" w:cs="Times New Roman"/>
          <w:sz w:val="24"/>
          <w:szCs w:val="24"/>
        </w:rPr>
        <w:tab/>
        <w:t>127,00 EUR</w:t>
      </w:r>
    </w:p>
    <w:p w14:paraId="6EA839D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5310</w:t>
      </w:r>
      <w:r w:rsidRPr="00EF4B40">
        <w:rPr>
          <w:rFonts w:ascii="Times New Roman" w:hAnsi="Times New Roman" w:cs="Times New Roman"/>
          <w:sz w:val="24"/>
          <w:szCs w:val="24"/>
        </w:rPr>
        <w:tab/>
        <w:t>Īstermiņa</w:t>
      </w:r>
      <w:r w:rsidRPr="00EF4B40">
        <w:rPr>
          <w:rFonts w:ascii="Times New Roman" w:hAnsi="Times New Roman" w:cs="Times New Roman"/>
          <w:sz w:val="24"/>
          <w:szCs w:val="24"/>
        </w:rPr>
        <w:tab/>
        <w:t>saistības</w:t>
      </w:r>
      <w:r w:rsidRPr="00EF4B40">
        <w:rPr>
          <w:rFonts w:ascii="Times New Roman" w:hAnsi="Times New Roman" w:cs="Times New Roman"/>
          <w:sz w:val="24"/>
          <w:szCs w:val="24"/>
        </w:rPr>
        <w:tab/>
        <w:t>pret</w:t>
      </w:r>
      <w:r w:rsidRPr="00EF4B40">
        <w:rPr>
          <w:rFonts w:ascii="Times New Roman" w:hAnsi="Times New Roman" w:cs="Times New Roman"/>
          <w:sz w:val="24"/>
          <w:szCs w:val="24"/>
        </w:rPr>
        <w:tab/>
        <w:t>piegādātājiem</w:t>
      </w:r>
      <w:r w:rsidRPr="00EF4B40">
        <w:rPr>
          <w:rFonts w:ascii="Times New Roman" w:hAnsi="Times New Roman" w:cs="Times New Roman"/>
          <w:sz w:val="24"/>
          <w:szCs w:val="24"/>
        </w:rPr>
        <w:tab/>
        <w:t>un darbuzņēmējiem</w:t>
      </w:r>
      <w:r w:rsidRPr="00EF4B40">
        <w:rPr>
          <w:rFonts w:ascii="Times New Roman" w:hAnsi="Times New Roman" w:cs="Times New Roman"/>
          <w:sz w:val="24"/>
          <w:szCs w:val="24"/>
        </w:rPr>
        <w:tab/>
        <w:t>127,00 EUR</w:t>
      </w:r>
    </w:p>
    <w:p w14:paraId="46C0D343"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8E1524">
        <w:rPr>
          <w:rFonts w:ascii="Times New Roman" w:hAnsi="Times New Roman" w:cs="Times New Roman"/>
          <w:sz w:val="24"/>
          <w:szCs w:val="24"/>
        </w:rPr>
        <w:t>8</w:t>
      </w:r>
      <w:r w:rsidRPr="00EF4B40">
        <w:rPr>
          <w:rFonts w:ascii="Times New Roman" w:hAnsi="Times New Roman" w:cs="Times New Roman"/>
          <w:sz w:val="24"/>
          <w:szCs w:val="24"/>
        </w:rPr>
        <w:tab/>
        <w:t>Piemērs</w:t>
      </w:r>
    </w:p>
    <w:p w14:paraId="6E759478"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gada 13. novembrī budžeta iestāde, inventarizējot aktīvus, konstatē, ka tās uzskaitē nākamo periodu izdevumos ir uzrādīta summa par apdrošināšanas pakalpojumiem 30 000,00 EUR apmērā. Apdrošināšanas pakalpojumu saņemšanas periods ir 01.06.2019. – 31.05.2020. Budžeta iestādes noteiktais būtiskuma līmenis 15 000,00 EUR.</w:t>
      </w:r>
    </w:p>
    <w:p w14:paraId="2FCDA559"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7F4D149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iestādei jānodala kļūdas apmērs, kas attiecas uz iepriekšējo gadu. Uz 2019. gadu attiecas izdevumi par 7 mēnešiem 17 500,00 EUR apmērā (30 000,00 EUR/12 mēneši x 7 mēneši). Ņemot vērā, ka kļūda ir būtiska, tās labojums jāgrāmato kontā 3510 “Iepriekšējo pārskata gadu budžeta izpildes rezultāts”:</w:t>
      </w:r>
    </w:p>
    <w:p w14:paraId="4B1B7C62"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87F96F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w:t>
      </w:r>
      <w:r w:rsidRPr="00EF4B40">
        <w:rPr>
          <w:rFonts w:ascii="Times New Roman" w:hAnsi="Times New Roman" w:cs="Times New Roman"/>
          <w:sz w:val="24"/>
          <w:szCs w:val="24"/>
        </w:rPr>
        <w:tab/>
        <w:t>pārskata</w:t>
      </w:r>
      <w:r w:rsidRPr="00EF4B40">
        <w:rPr>
          <w:rFonts w:ascii="Times New Roman" w:hAnsi="Times New Roman" w:cs="Times New Roman"/>
          <w:sz w:val="24"/>
          <w:szCs w:val="24"/>
        </w:rPr>
        <w:tab/>
        <w:t>gadu</w:t>
      </w:r>
      <w:r w:rsidRPr="00EF4B40">
        <w:rPr>
          <w:rFonts w:ascii="Times New Roman" w:hAnsi="Times New Roman" w:cs="Times New Roman"/>
          <w:sz w:val="24"/>
          <w:szCs w:val="24"/>
        </w:rPr>
        <w:tab/>
        <w:t>budžeta</w:t>
      </w:r>
      <w:r w:rsidRPr="00EF4B40">
        <w:rPr>
          <w:rFonts w:ascii="Times New Roman" w:hAnsi="Times New Roman" w:cs="Times New Roman"/>
          <w:sz w:val="24"/>
          <w:szCs w:val="24"/>
        </w:rPr>
        <w:tab/>
        <w:t>izpildes rezultāts</w:t>
      </w:r>
      <w:r w:rsidRPr="00EF4B40">
        <w:rPr>
          <w:rFonts w:ascii="Times New Roman" w:hAnsi="Times New Roman" w:cs="Times New Roman"/>
          <w:sz w:val="24"/>
          <w:szCs w:val="24"/>
        </w:rPr>
        <w:tab/>
        <w:t>17 500,00 EUR</w:t>
      </w:r>
    </w:p>
    <w:p w14:paraId="51CE5F2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17 500,00 EUR</w:t>
      </w:r>
    </w:p>
    <w:p w14:paraId="7524958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Kļūdas labojumu, kas attiecas uz pārskata gadu, grāmato pārskata gada izdevumos 12 500,00 EUR apmērā. (30 000,00 EUR/ 12 mēneši x 5 mēneši)</w:t>
      </w:r>
    </w:p>
    <w:p w14:paraId="178A729B"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355B6E4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7000</w:t>
      </w:r>
      <w:r w:rsidRPr="00EF4B40">
        <w:rPr>
          <w:rFonts w:ascii="Times New Roman" w:hAnsi="Times New Roman" w:cs="Times New Roman"/>
          <w:sz w:val="24"/>
          <w:szCs w:val="24"/>
        </w:rPr>
        <w:tab/>
        <w:t>Pamatdarbības izdevumi</w:t>
      </w:r>
      <w:r w:rsidRPr="00EF4B40">
        <w:rPr>
          <w:rFonts w:ascii="Times New Roman" w:hAnsi="Times New Roman" w:cs="Times New Roman"/>
          <w:sz w:val="24"/>
          <w:szCs w:val="24"/>
        </w:rPr>
        <w:tab/>
        <w:t>12 500,00 EUR</w:t>
      </w:r>
    </w:p>
    <w:p w14:paraId="0FA1E4E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12 500,00 EUR</w:t>
      </w:r>
    </w:p>
    <w:p w14:paraId="50D6F5E3" w14:textId="77777777" w:rsidR="00EF4B40" w:rsidRPr="008E1524" w:rsidRDefault="00EF4B40" w:rsidP="00CD363C">
      <w:pPr>
        <w:spacing w:after="0" w:line="240" w:lineRule="auto"/>
        <w:ind w:right="-142"/>
        <w:jc w:val="both"/>
        <w:rPr>
          <w:rFonts w:ascii="Times New Roman" w:hAnsi="Times New Roman" w:cs="Times New Roman"/>
          <w:b/>
          <w:bCs/>
          <w:sz w:val="24"/>
          <w:szCs w:val="24"/>
        </w:rPr>
      </w:pPr>
    </w:p>
    <w:p w14:paraId="61A3F75B" w14:textId="77777777" w:rsidR="00EF4B40" w:rsidRPr="008E1524" w:rsidRDefault="008E1524" w:rsidP="00CD363C">
      <w:pPr>
        <w:spacing w:after="0" w:line="240" w:lineRule="auto"/>
        <w:ind w:right="-142"/>
        <w:jc w:val="center"/>
        <w:rPr>
          <w:rFonts w:ascii="Times New Roman" w:hAnsi="Times New Roman" w:cs="Times New Roman"/>
          <w:b/>
          <w:bCs/>
          <w:sz w:val="24"/>
          <w:szCs w:val="24"/>
        </w:rPr>
      </w:pPr>
      <w:r w:rsidRPr="008E1524">
        <w:rPr>
          <w:rFonts w:ascii="Times New Roman" w:hAnsi="Times New Roman" w:cs="Times New Roman"/>
          <w:b/>
          <w:bCs/>
          <w:sz w:val="24"/>
          <w:szCs w:val="24"/>
        </w:rPr>
        <w:t>27. Pārskata perioda slēgšana un finanšu pārskata sagatavošana</w:t>
      </w:r>
    </w:p>
    <w:p w14:paraId="6A553B7E" w14:textId="77777777" w:rsidR="008E1524" w:rsidRP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1218.  </w:t>
      </w:r>
      <w:r w:rsidRPr="008E1524">
        <w:rPr>
          <w:rFonts w:ascii="Times New Roman" w:hAnsi="Times New Roman" w:cs="Times New Roman"/>
          <w:sz w:val="24"/>
          <w:szCs w:val="24"/>
        </w:rPr>
        <w:t>Šī sadaļa nosaka pārskata perioda slēgšanas un finanšu pārskata sagatavošanas (tai skaitā konsolidēto un atsevišķo pārskatu) principus, kā arī sniedz atsauces uz uzskaiti reglamentējošiem normatīvajiem aktiem,  praktiskus piemērus un informācijas atklāšanas paraugus.</w:t>
      </w:r>
    </w:p>
    <w:p w14:paraId="62D83E04" w14:textId="77777777" w:rsid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1219.  Atsevišķas iestādes gada </w:t>
      </w:r>
      <w:r w:rsidRPr="008E1524">
        <w:rPr>
          <w:rFonts w:ascii="Times New Roman" w:hAnsi="Times New Roman" w:cs="Times New Roman"/>
          <w:sz w:val="24"/>
          <w:szCs w:val="24"/>
        </w:rPr>
        <w:t>pārskats</w:t>
      </w:r>
      <w:r>
        <w:rPr>
          <w:rFonts w:ascii="Times New Roman" w:hAnsi="Times New Roman" w:cs="Times New Roman"/>
          <w:sz w:val="24"/>
          <w:szCs w:val="24"/>
        </w:rPr>
        <w:t xml:space="preserve"> ir pārskats </w:t>
      </w:r>
      <w:r w:rsidRPr="008E1524">
        <w:rPr>
          <w:rFonts w:ascii="Times New Roman" w:hAnsi="Times New Roman" w:cs="Times New Roman"/>
          <w:sz w:val="24"/>
          <w:szCs w:val="24"/>
        </w:rPr>
        <w:t xml:space="preserve"> kurā uzrādīts iestādes finanšu pārskats un līdzdalība kapitālsabiedrību kapitālā atbilstoši pašu kapitāla metodei.</w:t>
      </w:r>
    </w:p>
    <w:p w14:paraId="1CD01937" w14:textId="77777777" w:rsidR="008E1524" w:rsidRP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1220.  </w:t>
      </w:r>
      <w:r w:rsidRPr="008E1524">
        <w:rPr>
          <w:rFonts w:ascii="Times New Roman" w:hAnsi="Times New Roman" w:cs="Times New Roman"/>
          <w:sz w:val="24"/>
          <w:szCs w:val="24"/>
        </w:rPr>
        <w:t>Bilances datums</w:t>
      </w:r>
      <w:r>
        <w:rPr>
          <w:rFonts w:ascii="Times New Roman" w:hAnsi="Times New Roman" w:cs="Times New Roman"/>
          <w:sz w:val="24"/>
          <w:szCs w:val="24"/>
        </w:rPr>
        <w:t xml:space="preserve"> ir  </w:t>
      </w:r>
      <w:r w:rsidRPr="008E1524">
        <w:rPr>
          <w:rFonts w:ascii="Times New Roman" w:hAnsi="Times New Roman" w:cs="Times New Roman"/>
          <w:sz w:val="24"/>
          <w:szCs w:val="24"/>
        </w:rPr>
        <w:t>pārskata gada pēdējā kalendārā diena jeb 31. decembris.</w:t>
      </w:r>
    </w:p>
    <w:p w14:paraId="76640CD2" w14:textId="77777777" w:rsid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1221. Būtiska neuzrādīšana vai nepareiza uzrādīšana ir </w:t>
      </w:r>
      <w:r w:rsidRPr="008E1524">
        <w:rPr>
          <w:rFonts w:ascii="Times New Roman" w:hAnsi="Times New Roman" w:cs="Times New Roman"/>
          <w:sz w:val="24"/>
          <w:szCs w:val="24"/>
        </w:rPr>
        <w:t>posteņu neuzrādīšana vai nepareiza uzrādīšana ir būtiska, ja atsevišķi posteņi vai kopā ar citiem posteņiem var ietekmēt finanšu pārskata lietotāju lēmumus vai spriedumus, kas pieņemti vai veikti, pamatojoties uz finanšu pārskatu. Būtiskums ir atkarīgs no neuzrādīšanas vai nepareizas uzrādīšanas apjoma un veida, kas tiek izvērtēts konkrētajos apstākļos. Noteicošais faktors ir posteņa lielums naudas izteiksmē vai veids vai abu šo faktoru kombinācija</w:t>
      </w:r>
      <w:r>
        <w:rPr>
          <w:rFonts w:ascii="Times New Roman" w:hAnsi="Times New Roman" w:cs="Times New Roman"/>
          <w:sz w:val="24"/>
          <w:szCs w:val="24"/>
        </w:rPr>
        <w:t>.</w:t>
      </w:r>
    </w:p>
    <w:p w14:paraId="774CDD2E" w14:textId="77777777" w:rsidR="008E1524" w:rsidRP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1222. Būtiskums ir </w:t>
      </w:r>
      <w:r w:rsidRPr="008E1524">
        <w:rPr>
          <w:rFonts w:ascii="Times New Roman" w:hAnsi="Times New Roman" w:cs="Times New Roman"/>
          <w:sz w:val="24"/>
          <w:szCs w:val="24"/>
        </w:rPr>
        <w:t>informācijas neuzrādīšana vai nepareizas uzrādīšanas apjoms, kas atsevišķi vai kopumā varētu ietekmēt finanšu pārskata lietotāju</w:t>
      </w:r>
    </w:p>
    <w:p w14:paraId="5ACE2884" w14:textId="77777777" w:rsidR="008E1524" w:rsidRDefault="008E1524" w:rsidP="00CD363C">
      <w:pPr>
        <w:spacing w:after="0" w:line="240" w:lineRule="auto"/>
        <w:ind w:right="-142"/>
        <w:jc w:val="both"/>
        <w:rPr>
          <w:rFonts w:ascii="Times New Roman" w:hAnsi="Times New Roman" w:cs="Times New Roman"/>
          <w:sz w:val="24"/>
          <w:szCs w:val="24"/>
        </w:rPr>
      </w:pPr>
      <w:r w:rsidRPr="008E1524">
        <w:rPr>
          <w:rFonts w:ascii="Times New Roman" w:hAnsi="Times New Roman" w:cs="Times New Roman"/>
          <w:sz w:val="24"/>
          <w:szCs w:val="24"/>
        </w:rPr>
        <w:t>pieņemtos lēmumus.</w:t>
      </w:r>
    </w:p>
    <w:p w14:paraId="31F54511" w14:textId="77777777" w:rsid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1223. Būtiskuma līmenis ir </w:t>
      </w:r>
      <w:r w:rsidRPr="008E1524">
        <w:rPr>
          <w:rFonts w:ascii="Times New Roman" w:hAnsi="Times New Roman" w:cs="Times New Roman"/>
          <w:sz w:val="24"/>
          <w:szCs w:val="24"/>
        </w:rPr>
        <w:t>absolūta vai relatīva vērtība, sākot ar kuru budžeta iestādes finanšu pārskatā sniegtā informācija var ietekmēt finanšu pārskata lietotāju viedokli un pieņemtos lēmumus par attiecīgās budžeta iestādes finansiālo darbību. Būtiskums ir atkarīgs no attiecīgā posteņa vai kļūdas lieluma un rakstura, ņemot vērā informācijas nesniegšanas vai nepareizās uzrādīšanas konkrētos apstākļus.</w:t>
      </w:r>
    </w:p>
    <w:p w14:paraId="29677358" w14:textId="77777777" w:rsid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1224. Darbības turpin</w:t>
      </w:r>
      <w:r w:rsidR="003B01B5">
        <w:rPr>
          <w:rFonts w:ascii="Times New Roman" w:hAnsi="Times New Roman" w:cs="Times New Roman"/>
          <w:sz w:val="24"/>
          <w:szCs w:val="24"/>
        </w:rPr>
        <w:t xml:space="preserve">āšanas princips ir </w:t>
      </w:r>
      <w:r w:rsidRPr="008E1524">
        <w:rPr>
          <w:rFonts w:ascii="Times New Roman" w:hAnsi="Times New Roman" w:cs="Times New Roman"/>
          <w:sz w:val="24"/>
          <w:szCs w:val="24"/>
        </w:rPr>
        <w:t>pārskata sagatavošanas princips, saskaņā ar kuru pārskatā aktīvus un saistības norāda, pieņemot, ka iestāde darbosies vai funkciju nodrošinās arī turpmāk.</w:t>
      </w:r>
    </w:p>
    <w:p w14:paraId="00C0CC77"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1225. Gada pārskats ir </w:t>
      </w:r>
      <w:r w:rsidRPr="003B01B5">
        <w:rPr>
          <w:rFonts w:ascii="Times New Roman" w:hAnsi="Times New Roman" w:cs="Times New Roman"/>
          <w:sz w:val="24"/>
          <w:szCs w:val="24"/>
        </w:rPr>
        <w:t xml:space="preserve">pārskats par </w:t>
      </w:r>
      <w:r>
        <w:rPr>
          <w:rFonts w:ascii="Times New Roman" w:hAnsi="Times New Roman" w:cs="Times New Roman"/>
          <w:sz w:val="24"/>
          <w:szCs w:val="24"/>
        </w:rPr>
        <w:t xml:space="preserve">pašvaldības </w:t>
      </w:r>
      <w:r w:rsidRPr="003B01B5">
        <w:rPr>
          <w:rFonts w:ascii="Times New Roman" w:hAnsi="Times New Roman" w:cs="Times New Roman"/>
          <w:sz w:val="24"/>
          <w:szCs w:val="24"/>
        </w:rPr>
        <w:t xml:space="preserve">budžeta finanšu uzskaiti </w:t>
      </w:r>
      <w:r>
        <w:rPr>
          <w:rFonts w:ascii="Times New Roman" w:hAnsi="Times New Roman" w:cs="Times New Roman"/>
          <w:sz w:val="24"/>
          <w:szCs w:val="24"/>
        </w:rPr>
        <w:t>.</w:t>
      </w:r>
    </w:p>
    <w:p w14:paraId="7F70AE5E"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1226. Konsolidētais gada pārskats ir </w:t>
      </w:r>
      <w:r w:rsidRPr="003B01B5">
        <w:rPr>
          <w:rFonts w:ascii="Times New Roman" w:hAnsi="Times New Roman" w:cs="Times New Roman"/>
          <w:sz w:val="24"/>
          <w:szCs w:val="24"/>
        </w:rPr>
        <w:t>gada pārskats, kas sagatavots kā vienas vienības gada pārskats, kurā apkopo informāciju par vairākām konsolidācijā iesaistītam iestādēm, izslēdzot konsolidācijā iesaistīto iestāžu savstarpējos darījumus un atlikumus</w:t>
      </w:r>
      <w:r>
        <w:rPr>
          <w:rFonts w:ascii="Times New Roman" w:hAnsi="Times New Roman" w:cs="Times New Roman"/>
          <w:sz w:val="24"/>
          <w:szCs w:val="24"/>
        </w:rPr>
        <w:t xml:space="preserve">. </w:t>
      </w:r>
    </w:p>
    <w:p w14:paraId="20DE54BF"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1227. Iestāde kas veic konsolidāciju  </w:t>
      </w:r>
      <w:r w:rsidRPr="003B01B5">
        <w:rPr>
          <w:rFonts w:ascii="Times New Roman" w:hAnsi="Times New Roman" w:cs="Times New Roman"/>
          <w:sz w:val="24"/>
          <w:szCs w:val="24"/>
        </w:rPr>
        <w:t>budžeta iestāde, kurai ir viena vai vairākas padotībā esošas (konsolidējamas) budžeta iestādes.</w:t>
      </w:r>
      <w:r>
        <w:rPr>
          <w:rFonts w:ascii="Times New Roman" w:hAnsi="Times New Roman" w:cs="Times New Roman"/>
          <w:sz w:val="24"/>
          <w:szCs w:val="24"/>
        </w:rPr>
        <w:t xml:space="preserve"> Rēzeknes novada pašvaldībā tā ir Rēzeknes novada dome.</w:t>
      </w:r>
    </w:p>
    <w:p w14:paraId="0C65E780" w14:textId="77777777" w:rsidR="003B01B5" w:rsidRDefault="003B01B5" w:rsidP="00CD363C">
      <w:pPr>
        <w:spacing w:after="0" w:line="240" w:lineRule="auto"/>
        <w:ind w:right="-142"/>
        <w:jc w:val="both"/>
        <w:rPr>
          <w:rFonts w:ascii="Times New Roman" w:hAnsi="Times New Roman" w:cs="Times New Roman"/>
          <w:sz w:val="24"/>
          <w:szCs w:val="24"/>
        </w:rPr>
      </w:pPr>
      <w:r w:rsidRPr="003B01B5">
        <w:rPr>
          <w:rFonts w:ascii="Times New Roman" w:hAnsi="Times New Roman" w:cs="Times New Roman"/>
          <w:sz w:val="24"/>
          <w:szCs w:val="24"/>
        </w:rPr>
        <w:t>1228. Konsolidācijā iesaistītā iestāde ir iestāde,</w:t>
      </w:r>
      <w:r>
        <w:rPr>
          <w:rFonts w:ascii="Times New Roman" w:hAnsi="Times New Roman" w:cs="Times New Roman"/>
          <w:sz w:val="24"/>
          <w:szCs w:val="24"/>
        </w:rPr>
        <w:t xml:space="preserve"> </w:t>
      </w:r>
      <w:r w:rsidRPr="003B01B5">
        <w:rPr>
          <w:rFonts w:ascii="Times New Roman" w:hAnsi="Times New Roman" w:cs="Times New Roman"/>
          <w:sz w:val="24"/>
          <w:szCs w:val="24"/>
        </w:rPr>
        <w:t>kuras</w:t>
      </w:r>
      <w:r>
        <w:rPr>
          <w:rFonts w:ascii="Times New Roman" w:hAnsi="Times New Roman" w:cs="Times New Roman"/>
          <w:sz w:val="24"/>
          <w:szCs w:val="24"/>
        </w:rPr>
        <w:t xml:space="preserve">  </w:t>
      </w:r>
      <w:r w:rsidRPr="003B01B5">
        <w:rPr>
          <w:rFonts w:ascii="Times New Roman" w:hAnsi="Times New Roman" w:cs="Times New Roman"/>
          <w:sz w:val="24"/>
          <w:szCs w:val="24"/>
        </w:rPr>
        <w:t>pārskatu</w:t>
      </w:r>
      <w:r>
        <w:rPr>
          <w:rFonts w:ascii="Times New Roman" w:hAnsi="Times New Roman" w:cs="Times New Roman"/>
          <w:sz w:val="24"/>
          <w:szCs w:val="24"/>
        </w:rPr>
        <w:t xml:space="preserve">  </w:t>
      </w:r>
      <w:r w:rsidRPr="003B01B5">
        <w:rPr>
          <w:rFonts w:ascii="Times New Roman" w:hAnsi="Times New Roman" w:cs="Times New Roman"/>
          <w:sz w:val="24"/>
          <w:szCs w:val="24"/>
        </w:rPr>
        <w:t>iekļauj</w:t>
      </w:r>
      <w:r>
        <w:rPr>
          <w:rFonts w:ascii="Times New Roman" w:hAnsi="Times New Roman" w:cs="Times New Roman"/>
          <w:sz w:val="24"/>
          <w:szCs w:val="24"/>
        </w:rPr>
        <w:t xml:space="preserve">  </w:t>
      </w:r>
      <w:r w:rsidRPr="003B01B5">
        <w:rPr>
          <w:rFonts w:ascii="Times New Roman" w:hAnsi="Times New Roman" w:cs="Times New Roman"/>
          <w:sz w:val="24"/>
          <w:szCs w:val="24"/>
        </w:rPr>
        <w:t>konsolidētajā</w:t>
      </w:r>
      <w:r>
        <w:rPr>
          <w:rFonts w:ascii="Times New Roman" w:hAnsi="Times New Roman" w:cs="Times New Roman"/>
          <w:sz w:val="24"/>
          <w:szCs w:val="24"/>
        </w:rPr>
        <w:t xml:space="preserve">  </w:t>
      </w:r>
      <w:r w:rsidRPr="003B01B5">
        <w:rPr>
          <w:rFonts w:ascii="Times New Roman" w:hAnsi="Times New Roman" w:cs="Times New Roman"/>
          <w:sz w:val="24"/>
          <w:szCs w:val="24"/>
        </w:rPr>
        <w:t>nozares</w:t>
      </w:r>
      <w:r>
        <w:rPr>
          <w:rFonts w:ascii="Times New Roman" w:hAnsi="Times New Roman" w:cs="Times New Roman"/>
          <w:sz w:val="24"/>
          <w:szCs w:val="24"/>
        </w:rPr>
        <w:t xml:space="preserve">  </w:t>
      </w:r>
      <w:r w:rsidRPr="003B01B5">
        <w:rPr>
          <w:rFonts w:ascii="Times New Roman" w:hAnsi="Times New Roman" w:cs="Times New Roman"/>
          <w:sz w:val="24"/>
          <w:szCs w:val="24"/>
        </w:rPr>
        <w:t>vai pašvaldības pārskatā.</w:t>
      </w:r>
      <w:r>
        <w:rPr>
          <w:rFonts w:ascii="Times New Roman" w:hAnsi="Times New Roman" w:cs="Times New Roman"/>
          <w:sz w:val="24"/>
          <w:szCs w:val="24"/>
        </w:rPr>
        <w:t xml:space="preserve"> </w:t>
      </w:r>
    </w:p>
    <w:p w14:paraId="3C6ED13F"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1229. Koriģējošs notikums pēc bilances datuma ir </w:t>
      </w:r>
      <w:r w:rsidRPr="003B01B5">
        <w:rPr>
          <w:rFonts w:ascii="Times New Roman" w:hAnsi="Times New Roman" w:cs="Times New Roman"/>
          <w:sz w:val="24"/>
          <w:szCs w:val="24"/>
        </w:rPr>
        <w:t>notikums, kas sniedz pierādījumus par apstākļiem, kas pastāvējuši bilances datumā un attiecas uz pārskata gadu.</w:t>
      </w:r>
    </w:p>
    <w:p w14:paraId="025E3D20"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1230. Nekoriģējošs notikums pēc bilances datuma ir </w:t>
      </w:r>
      <w:r w:rsidRPr="003B01B5">
        <w:rPr>
          <w:rFonts w:ascii="Times New Roman" w:hAnsi="Times New Roman" w:cs="Times New Roman"/>
          <w:sz w:val="24"/>
          <w:szCs w:val="24"/>
        </w:rPr>
        <w:t>notikums, kas liecina par apstākļiem, kas radušies pēc bilances datuma, neattiecas uz pārskata gadu, bet nākotnē varētu būtiski ietekmēt iestādes finanšu rādītājus (piemēram, aktīvus, saistības, budžeta izpildes rezultātu).</w:t>
      </w:r>
    </w:p>
    <w:p w14:paraId="745BA2EE"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1231. Pašu kapitāls ir </w:t>
      </w:r>
      <w:r w:rsidRPr="003B01B5">
        <w:rPr>
          <w:rFonts w:ascii="Times New Roman" w:hAnsi="Times New Roman" w:cs="Times New Roman"/>
          <w:sz w:val="24"/>
          <w:szCs w:val="24"/>
        </w:rPr>
        <w:t>starpība</w:t>
      </w:r>
      <w:r w:rsidRPr="003B01B5">
        <w:rPr>
          <w:rFonts w:ascii="Times New Roman" w:hAnsi="Times New Roman" w:cs="Times New Roman"/>
          <w:sz w:val="24"/>
          <w:szCs w:val="24"/>
        </w:rPr>
        <w:tab/>
        <w:t>starp</w:t>
      </w:r>
      <w:r w:rsidRPr="003B01B5">
        <w:rPr>
          <w:rFonts w:ascii="Times New Roman" w:hAnsi="Times New Roman" w:cs="Times New Roman"/>
          <w:sz w:val="24"/>
          <w:szCs w:val="24"/>
        </w:rPr>
        <w:tab/>
        <w:t>kopējiem</w:t>
      </w:r>
      <w:r w:rsidRPr="003B01B5">
        <w:rPr>
          <w:rFonts w:ascii="Times New Roman" w:hAnsi="Times New Roman" w:cs="Times New Roman"/>
          <w:sz w:val="24"/>
          <w:szCs w:val="24"/>
        </w:rPr>
        <w:tab/>
        <w:t>aktīviem,</w:t>
      </w:r>
      <w:r w:rsidRPr="003B01B5">
        <w:rPr>
          <w:rFonts w:ascii="Times New Roman" w:hAnsi="Times New Roman" w:cs="Times New Roman"/>
          <w:sz w:val="24"/>
          <w:szCs w:val="24"/>
        </w:rPr>
        <w:tab/>
        <w:t>kopējām</w:t>
      </w:r>
      <w:r w:rsidRPr="003B01B5">
        <w:rPr>
          <w:rFonts w:ascii="Times New Roman" w:hAnsi="Times New Roman" w:cs="Times New Roman"/>
          <w:sz w:val="24"/>
          <w:szCs w:val="24"/>
        </w:rPr>
        <w:tab/>
        <w:t>saistībām</w:t>
      </w:r>
      <w:r w:rsidRPr="003B01B5">
        <w:rPr>
          <w:rFonts w:ascii="Times New Roman" w:hAnsi="Times New Roman" w:cs="Times New Roman"/>
          <w:sz w:val="24"/>
          <w:szCs w:val="24"/>
        </w:rPr>
        <w:tab/>
        <w:t>un uzkrājumiem. Pašu kapitāls var būt pozitīvs vai negatīvs.</w:t>
      </w:r>
    </w:p>
    <w:p w14:paraId="7A86680A"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1232. Pašu kapitāla metode ir </w:t>
      </w:r>
      <w:r w:rsidRPr="003B01B5">
        <w:rPr>
          <w:rFonts w:ascii="Times New Roman" w:hAnsi="Times New Roman" w:cs="Times New Roman"/>
          <w:sz w:val="24"/>
          <w:szCs w:val="24"/>
        </w:rPr>
        <w:t>grāmatvedības uzskaites metode, saskaņā ar kuru līdzdalību kapitālsabiedrības kapitālā (ieguldījumu) sākotnēji atzīst izmaksu vērtībā un pēc tam koriģē, lai ņemtu vērā pēc iegādes notikušās izmaiņas budžeta iestādes daļā kapitālsabiedrības pašu kapitālā (neto aktīvā). Budžeta iestādes budžeta izpildes rezultāts ietver tās daļu kapitālsabiedrības pārskata perioda pelņā vai zaudējumos, un budžeta iestādes rezerves ietver tās daļu kapitālsabiedrības pašu kapitālā (neto aktīvos), kas nav atzīta kapitālsabiedrības pārskata perioda pelņā vai zaudējumos.</w:t>
      </w:r>
    </w:p>
    <w:p w14:paraId="115247D7"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1233. Datums kad pārskats apstiprināts publiskošanai ir </w:t>
      </w:r>
      <w:r w:rsidRPr="003B01B5">
        <w:rPr>
          <w:rFonts w:ascii="Times New Roman" w:hAnsi="Times New Roman" w:cs="Times New Roman"/>
          <w:sz w:val="24"/>
          <w:szCs w:val="24"/>
        </w:rPr>
        <w:t>datums, kurā revidents sniedz attiecīgi atzinumu vai ziņojumu par gada pārskata sagatavošanas pareizību. Ja šāda atzinuma vai ziņojuma nav, tad tas ir datums, kad iestādes vadītājs vai tā pilnvarota persona paraksta pārskatu. Šajā datumā pārskats ir uzskatāms par pabeigtu un iesniegtu.</w:t>
      </w:r>
    </w:p>
    <w:p w14:paraId="1C9AAE7E" w14:textId="77777777" w:rsid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1234. Pārskata datums ir </w:t>
      </w:r>
      <w:r w:rsidRPr="00AF31A5">
        <w:rPr>
          <w:rFonts w:ascii="Times New Roman" w:hAnsi="Times New Roman" w:cs="Times New Roman"/>
          <w:sz w:val="24"/>
          <w:szCs w:val="24"/>
        </w:rPr>
        <w:t>tā pārskata perioda pēdējā kalendārā diena, uz ko attiecas finanšu pārskats.</w:t>
      </w:r>
    </w:p>
    <w:p w14:paraId="7524D1C4" w14:textId="77777777" w:rsidR="00AF31A5" w:rsidRP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1235. Pārskata pielikums  ir </w:t>
      </w:r>
      <w:r w:rsidRPr="00AF31A5">
        <w:rPr>
          <w:rFonts w:ascii="Times New Roman" w:hAnsi="Times New Roman" w:cs="Times New Roman"/>
          <w:sz w:val="24"/>
          <w:szCs w:val="24"/>
        </w:rPr>
        <w:t>finanšu pārskata sastāvdaļa, kurā budžeta iestāde sniedz:</w:t>
      </w:r>
    </w:p>
    <w:p w14:paraId="20903CAC" w14:textId="77777777" w:rsidR="00AF31A5" w:rsidRPr="00AF31A5" w:rsidRDefault="00AF31A5" w:rsidP="00CD363C">
      <w:pPr>
        <w:spacing w:after="0" w:line="240" w:lineRule="auto"/>
        <w:ind w:right="-142"/>
        <w:jc w:val="both"/>
        <w:rPr>
          <w:rFonts w:ascii="Times New Roman" w:hAnsi="Times New Roman" w:cs="Times New Roman"/>
          <w:sz w:val="24"/>
          <w:szCs w:val="24"/>
        </w:rPr>
      </w:pPr>
    </w:p>
    <w:p w14:paraId="58745EAF" w14:textId="77777777" w:rsidR="00AF31A5" w:rsidRP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grāmatvedības uzskaites principu aprakstu,</w:t>
      </w:r>
    </w:p>
    <w:p w14:paraId="0361555E" w14:textId="77777777" w:rsidR="00AF31A5" w:rsidRP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gada pārskata sagatavošanas principu aprakstu;</w:t>
      </w:r>
    </w:p>
    <w:p w14:paraId="481498F1" w14:textId="77777777" w:rsidR="00AF31A5" w:rsidRP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finanšu instrumentu risku pārvaldīšanas aprakstu,</w:t>
      </w:r>
    </w:p>
    <w:p w14:paraId="593C2C51" w14:textId="77777777" w:rsid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skaidrojumu par pārskatos uzrādītajiem posteņiem.</w:t>
      </w:r>
    </w:p>
    <w:p w14:paraId="747D064D" w14:textId="77777777" w:rsid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1236.  </w:t>
      </w:r>
      <w:r w:rsidRPr="00AF31A5">
        <w:rPr>
          <w:rFonts w:ascii="Times New Roman" w:hAnsi="Times New Roman" w:cs="Times New Roman"/>
          <w:sz w:val="24"/>
          <w:szCs w:val="24"/>
        </w:rPr>
        <w:t>Pārskata kvalitātes pazīmes</w:t>
      </w:r>
      <w:r>
        <w:rPr>
          <w:rFonts w:ascii="Times New Roman" w:hAnsi="Times New Roman" w:cs="Times New Roman"/>
          <w:sz w:val="24"/>
          <w:szCs w:val="24"/>
        </w:rPr>
        <w:t xml:space="preserve"> ir </w:t>
      </w:r>
      <w:r w:rsidRPr="00AF31A5">
        <w:rPr>
          <w:rFonts w:ascii="Times New Roman" w:hAnsi="Times New Roman" w:cs="Times New Roman"/>
          <w:sz w:val="24"/>
          <w:szCs w:val="24"/>
        </w:rPr>
        <w:tab/>
        <w:t>īpašības, kas</w:t>
      </w:r>
      <w:r w:rsidRPr="00AF31A5">
        <w:rPr>
          <w:rFonts w:ascii="Times New Roman" w:hAnsi="Times New Roman" w:cs="Times New Roman"/>
          <w:sz w:val="24"/>
          <w:szCs w:val="24"/>
        </w:rPr>
        <w:tab/>
        <w:t>pārskatā</w:t>
      </w:r>
      <w:r w:rsidRPr="00AF31A5">
        <w:rPr>
          <w:rFonts w:ascii="Times New Roman" w:hAnsi="Times New Roman" w:cs="Times New Roman"/>
          <w:sz w:val="24"/>
          <w:szCs w:val="24"/>
        </w:rPr>
        <w:tab/>
        <w:t>sniegto</w:t>
      </w:r>
      <w:r w:rsidRPr="00AF31A5">
        <w:rPr>
          <w:rFonts w:ascii="Times New Roman" w:hAnsi="Times New Roman" w:cs="Times New Roman"/>
          <w:sz w:val="24"/>
          <w:szCs w:val="24"/>
        </w:rPr>
        <w:tab/>
        <w:t>informāciju</w:t>
      </w:r>
      <w:r w:rsidRPr="00AF31A5">
        <w:rPr>
          <w:rFonts w:ascii="Times New Roman" w:hAnsi="Times New Roman" w:cs="Times New Roman"/>
          <w:sz w:val="24"/>
          <w:szCs w:val="24"/>
        </w:rPr>
        <w:tab/>
        <w:t>padara</w:t>
      </w:r>
      <w:r>
        <w:rPr>
          <w:rFonts w:ascii="Times New Roman" w:hAnsi="Times New Roman" w:cs="Times New Roman"/>
          <w:sz w:val="24"/>
          <w:szCs w:val="24"/>
        </w:rPr>
        <w:t xml:space="preserve"> finanšu lietotājiem noderīgu.</w:t>
      </w:r>
    </w:p>
    <w:p w14:paraId="7B67A0DE" w14:textId="77777777" w:rsid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1237.  Uzkrāšanas princips ir </w:t>
      </w:r>
      <w:r w:rsidRPr="00AF31A5">
        <w:rPr>
          <w:rFonts w:ascii="Times New Roman" w:hAnsi="Times New Roman" w:cs="Times New Roman"/>
          <w:sz w:val="24"/>
          <w:szCs w:val="24"/>
        </w:rPr>
        <w:t>grāmatvedības uzskaites princips, kas nosaka, ka ieņēmumus un izdevumus norāda, ņemot vērā to rašanās laiku, nevis naudas saņemšanas vai izdošanas laiku. Uz pārskata gadu attiecināmos ieņēmumus un izdevumus norāda neatkarīgi no maksājuma vai</w:t>
      </w:r>
      <w:r>
        <w:rPr>
          <w:rFonts w:ascii="Times New Roman" w:hAnsi="Times New Roman" w:cs="Times New Roman"/>
          <w:sz w:val="24"/>
          <w:szCs w:val="24"/>
        </w:rPr>
        <w:t xml:space="preserve"> </w:t>
      </w:r>
      <w:r w:rsidRPr="00AF31A5">
        <w:rPr>
          <w:rFonts w:ascii="Times New Roman" w:hAnsi="Times New Roman" w:cs="Times New Roman"/>
          <w:sz w:val="24"/>
          <w:szCs w:val="24"/>
        </w:rPr>
        <w:t>rēķina saņemšanas datuma.</w:t>
      </w:r>
    </w:p>
    <w:p w14:paraId="5193703D" w14:textId="77777777" w:rsidR="00AF31A5" w:rsidRDefault="00CA64DE" w:rsidP="00CD363C">
      <w:pPr>
        <w:spacing w:after="0" w:line="240" w:lineRule="auto"/>
        <w:ind w:right="-142"/>
        <w:jc w:val="both"/>
        <w:rPr>
          <w:rFonts w:ascii="Times New Roman" w:hAnsi="Times New Roman" w:cs="Times New Roman"/>
          <w:b/>
          <w:bCs/>
          <w:sz w:val="24"/>
          <w:szCs w:val="24"/>
        </w:rPr>
      </w:pPr>
      <w:r w:rsidRPr="00CA64DE">
        <w:rPr>
          <w:rFonts w:ascii="Times New Roman" w:hAnsi="Times New Roman" w:cs="Times New Roman"/>
          <w:b/>
          <w:bCs/>
          <w:sz w:val="24"/>
          <w:szCs w:val="24"/>
        </w:rPr>
        <w:t>27.1. Gada pārskata sagatavošanas principi un kvalitatīvie rādītāji.</w:t>
      </w:r>
    </w:p>
    <w:p w14:paraId="2045BD49" w14:textId="77777777" w:rsidR="00CA64DE" w:rsidRP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1238.  </w:t>
      </w:r>
      <w:r w:rsidRPr="00CA64DE">
        <w:rPr>
          <w:rFonts w:ascii="Times New Roman" w:hAnsi="Times New Roman" w:cs="Times New Roman"/>
          <w:sz w:val="24"/>
          <w:szCs w:val="24"/>
        </w:rPr>
        <w:t>Gada pārskata mērķis ir sniegt informāciju par budžeta iestādes finansiālo stāvokli, darbības finansiālajiem rezultātiem, naudas plūsmu un pašu kapitāla izmaiņām, kas ir noderīga plašam lietotāju lokam, lai pieņemtu un izvērtētu lēmumus par budžeta iestādes resursu avotiem un izlietojumu, sniedzot informāciju:</w:t>
      </w:r>
    </w:p>
    <w:p w14:paraId="2E7B6D4A"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par finanšu līdzekļu avotiem, sadalījumu un izlietojumu;</w:t>
      </w:r>
    </w:p>
    <w:p w14:paraId="501C8C92"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par to, kā budžeta iestāde finansē savu darbību un nodrošina tai nepieciešamos naudas līdzekļus;</w:t>
      </w:r>
    </w:p>
    <w:p w14:paraId="72498AF6"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kas ir noderīga, lai izvērtētu budžeta iestādes spēju finansēt savu darbību un izpildīt savas saistības;</w:t>
      </w:r>
    </w:p>
    <w:p w14:paraId="0A64FBFA"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par budžeta iestādes finansiālo stāvokli un tā izmaiņām;</w:t>
      </w:r>
    </w:p>
    <w:p w14:paraId="5F235BFE"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informāciju, kas ir noderīga, izvērtējot budžeta iestādes darbību pakalpojumu izmaksu, efektivitātes un rezultativitātes ziņā.</w:t>
      </w:r>
    </w:p>
    <w:p w14:paraId="6A8D05A0" w14:textId="77777777" w:rsidR="00CA64DE" w:rsidRP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1239.  </w:t>
      </w:r>
      <w:r w:rsidRPr="00CA64DE">
        <w:rPr>
          <w:rFonts w:ascii="Times New Roman" w:hAnsi="Times New Roman" w:cs="Times New Roman"/>
          <w:sz w:val="24"/>
          <w:szCs w:val="24"/>
        </w:rPr>
        <w:t>Gada pārskatiem var būt arī prognozējoša vai perspektīva loma, sniedzot informāciju, kas ir noderīga, nosakot budžeta iestādes darbības nodrošināšanai nepieciešamo līdzekļu apmēru, to līdzekļu apmēru, kādu iespējams radīt, nodrošinot budžeta iestādes darbību, un ar to saistītos riskus un nenoteiktības. Šādi gada pārskati var sniegt lietotājiem arī informāciju, par to, vai līdzekļi ir saņemti un izlietoti saskaņā ar tiesību aktos pieņemto budžetu un vai līdzekļi ir saņemti un izlietoti saskaņā ar normatīvo aktu prasībām, tai skaitā ievērojot likumdevēja noteiktos finansiālos ierobežojumus.</w:t>
      </w:r>
    </w:p>
    <w:p w14:paraId="3F1DA99C" w14:textId="77777777" w:rsidR="00CA64DE" w:rsidRP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1240.  </w:t>
      </w:r>
      <w:r w:rsidRPr="00CA64DE">
        <w:rPr>
          <w:rFonts w:ascii="Times New Roman" w:hAnsi="Times New Roman" w:cs="Times New Roman"/>
          <w:sz w:val="24"/>
          <w:szCs w:val="24"/>
        </w:rPr>
        <w:t>Gada pārskatu sagatavo saskaņā ar:</w:t>
      </w:r>
    </w:p>
    <w:p w14:paraId="7000A162"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uzkrāšanas principu un naudas plūsmas principu;</w:t>
      </w:r>
    </w:p>
    <w:p w14:paraId="633C1307"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darbības turpināšanas principu;</w:t>
      </w:r>
    </w:p>
    <w:p w14:paraId="12B2D913"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grāmatvedības uzskaites datiem, kurus klasificē atbilstoši normatīvajiem aktiem budžeta iestāžu grāmatvedības uzskaites un budžetu klasifikācijas jomā.</w:t>
      </w:r>
    </w:p>
    <w:p w14:paraId="723E6619" w14:textId="77777777" w:rsid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1241.  </w:t>
      </w:r>
      <w:r w:rsidRPr="00CA64DE">
        <w:rPr>
          <w:rFonts w:ascii="Times New Roman" w:hAnsi="Times New Roman" w:cs="Times New Roman"/>
          <w:sz w:val="24"/>
          <w:szCs w:val="24"/>
        </w:rPr>
        <w:t>Budžeta iestāde finanšu pārskatā sniedz informāciju tādā veidā, lai tā būtu nozīmīga, ticama, salīdzināma un saprotama, un atbilstu vairākām kvalitātes pazīmēm. 1.tabulā apkopotas gada pārskatos sniegtās informācijas kvalitāti raksturojošās galvenās pazīmes un apakšpazīmes.</w:t>
      </w:r>
    </w:p>
    <w:p w14:paraId="5EDFAFC3" w14:textId="77777777" w:rsid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 tabula</w:t>
      </w:r>
    </w:p>
    <w:p w14:paraId="4666AE38" w14:textId="77777777" w:rsidR="00CA64DE" w:rsidRDefault="00CA64DE" w:rsidP="00CD363C">
      <w:pPr>
        <w:spacing w:after="0" w:line="240" w:lineRule="auto"/>
        <w:ind w:right="-142"/>
        <w:jc w:val="both"/>
      </w:pPr>
    </w:p>
    <w:p w14:paraId="6C368723"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noProof/>
        </w:rPr>
        <w:drawing>
          <wp:inline distT="0" distB="0" distL="0" distR="0" wp14:anchorId="30BFCF2D" wp14:editId="497BCB30">
            <wp:extent cx="6210382" cy="5953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12083" cy="5954756"/>
                    </a:xfrm>
                    <a:prstGeom prst="rect">
                      <a:avLst/>
                    </a:prstGeom>
                    <a:noFill/>
                    <a:ln>
                      <a:noFill/>
                    </a:ln>
                  </pic:spPr>
                </pic:pic>
              </a:graphicData>
            </a:graphic>
          </wp:inline>
        </w:drawing>
      </w:r>
      <w:r w:rsidRPr="00CA64DE">
        <w:rPr>
          <w:noProof/>
        </w:rPr>
        <w:drawing>
          <wp:inline distT="0" distB="0" distL="0" distR="0" wp14:anchorId="2D2EC21C" wp14:editId="75D9858F">
            <wp:extent cx="6938069" cy="218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40543" cy="2182003"/>
                    </a:xfrm>
                    <a:prstGeom prst="rect">
                      <a:avLst/>
                    </a:prstGeom>
                    <a:noFill/>
                    <a:ln>
                      <a:noFill/>
                    </a:ln>
                  </pic:spPr>
                </pic:pic>
              </a:graphicData>
            </a:graphic>
          </wp:inline>
        </w:drawing>
      </w:r>
    </w:p>
    <w:p w14:paraId="02EB4008" w14:textId="77777777" w:rsid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1242.  </w:t>
      </w:r>
      <w:r w:rsidRPr="00CA64DE">
        <w:rPr>
          <w:rFonts w:ascii="Times New Roman" w:hAnsi="Times New Roman" w:cs="Times New Roman"/>
          <w:sz w:val="24"/>
          <w:szCs w:val="24"/>
        </w:rPr>
        <w:t>Budžeta iestādes vadība ir atbildīga par gada pārskata sagatavošanu atbilstoši normatīvo aktu prasībām, pakļaušanu revīzijai, kā arī gada pārskata iesniegšanu augstākai iestādei, kura veic konsolidāciju, un/vai Valsts kasei.</w:t>
      </w:r>
    </w:p>
    <w:p w14:paraId="16041F31" w14:textId="77777777" w:rsidR="00CA64DE" w:rsidRPr="00CA64DE" w:rsidRDefault="00CA64DE" w:rsidP="00CD363C">
      <w:pPr>
        <w:spacing w:after="0" w:line="240" w:lineRule="auto"/>
        <w:ind w:right="-142"/>
        <w:jc w:val="both"/>
        <w:rPr>
          <w:rFonts w:ascii="Times New Roman" w:hAnsi="Times New Roman" w:cs="Times New Roman"/>
          <w:b/>
          <w:bCs/>
          <w:sz w:val="24"/>
          <w:szCs w:val="24"/>
        </w:rPr>
      </w:pPr>
      <w:r w:rsidRPr="00CA64DE">
        <w:rPr>
          <w:rFonts w:ascii="Times New Roman" w:hAnsi="Times New Roman" w:cs="Times New Roman"/>
          <w:b/>
          <w:bCs/>
          <w:sz w:val="24"/>
          <w:szCs w:val="24"/>
        </w:rPr>
        <w:t>27.2. Grāmatvedības cikls, veicamās darbības un pārbaudes gada beigās.</w:t>
      </w:r>
    </w:p>
    <w:p w14:paraId="372D5BB1"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1243.  </w:t>
      </w:r>
      <w:r w:rsidRPr="00A62FDC">
        <w:rPr>
          <w:rFonts w:ascii="Times New Roman" w:hAnsi="Times New Roman" w:cs="Times New Roman"/>
          <w:sz w:val="24"/>
          <w:szCs w:val="24"/>
        </w:rPr>
        <w:t>Grāmatvedības cikls ietver vairākus secīgus grāmatvedības darba posmus, kurus veicot iegūst finanšu pārskatu par attiecīgo pārskata periodu. Pilns grāmatvedības cikls attiecas uz pārskata gadu un tajā ir šādi grāmatvedības darba posmi:</w:t>
      </w:r>
    </w:p>
    <w:p w14:paraId="62236B51"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grāmatvedības kontu atvēršana;</w:t>
      </w:r>
    </w:p>
    <w:p w14:paraId="03D8F05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budžeta iestādes saimniecisko darījumu analīze un iegrāmatošana;</w:t>
      </w:r>
    </w:p>
    <w:p w14:paraId="34894BB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grāmatvedības kontu atlikumu aprēķināšana;</w:t>
      </w:r>
    </w:p>
    <w:p w14:paraId="122A8CF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grāmatvedības kontu apgrozījumu un atlikumu pārskata sagatavošana;</w:t>
      </w:r>
    </w:p>
    <w:p w14:paraId="056E9F46"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koriģējošo ierakstu grāmatošana;</w:t>
      </w:r>
    </w:p>
    <w:p w14:paraId="7FE0F51A"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slēguma ierakstu grāmatošana;</w:t>
      </w:r>
    </w:p>
    <w:p w14:paraId="7427DAE2"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finanšu pārskata sagatavošana.</w:t>
      </w:r>
    </w:p>
    <w:p w14:paraId="3804F46E"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1244.  </w:t>
      </w:r>
      <w:r w:rsidRPr="00A62FDC">
        <w:rPr>
          <w:rFonts w:ascii="Times New Roman" w:hAnsi="Times New Roman" w:cs="Times New Roman"/>
          <w:sz w:val="24"/>
          <w:szCs w:val="24"/>
        </w:rPr>
        <w:t>Pārskata gada sākumā budžeta iestāde iekārto grāmatvedības reģistrus un atver grāmatvedības kontus galvenajā grāmatā vai žurnālā – virsgrāmatā.</w:t>
      </w:r>
    </w:p>
    <w:p w14:paraId="31220231"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1245.  </w:t>
      </w:r>
      <w:r w:rsidRPr="00A62FDC">
        <w:rPr>
          <w:rFonts w:ascii="Times New Roman" w:hAnsi="Times New Roman" w:cs="Times New Roman"/>
          <w:sz w:val="24"/>
          <w:szCs w:val="24"/>
        </w:rPr>
        <w:t>Pārskata gada laikā budžeta iestāde, pamatojoties uz attaisnojuma dokumentiem, izdara ierakstus pārskata gada grāmatvedības reģistros, aprēķina grāmatvedības kontu datu kopsummas un ieraksta tās virsgrāmatā saskaņā ar budžeta iestādes iekšējo grāmatvedības politiku.</w:t>
      </w:r>
    </w:p>
    <w:p w14:paraId="00BAF0AA"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1246.  </w:t>
      </w:r>
      <w:r w:rsidRPr="00A62FDC">
        <w:rPr>
          <w:rFonts w:ascii="Times New Roman" w:hAnsi="Times New Roman" w:cs="Times New Roman"/>
          <w:sz w:val="24"/>
          <w:szCs w:val="24"/>
        </w:rPr>
        <w:t>Pārskata perioda beigās budžeta iestāde sagatavo grāmatvedības kontu apgrozījumu un atlikumu pārskatus saskaņā ar iekšējo un ārējo normatīvo aktu prasībām.</w:t>
      </w:r>
    </w:p>
    <w:p w14:paraId="1EAF5B96"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1247.  </w:t>
      </w:r>
      <w:r w:rsidRPr="00A62FDC">
        <w:rPr>
          <w:rFonts w:ascii="Times New Roman" w:hAnsi="Times New Roman" w:cs="Times New Roman"/>
          <w:sz w:val="24"/>
          <w:szCs w:val="24"/>
        </w:rPr>
        <w:t>Pārskata perioda beigās, pirms virsgrāmatas kontu slēgšanas, veic visu kontu (naudas līdzekļi, prasības, saistības u.c.) atlikumu inventarizāciju. Kontu atlikumus salīdzina ar darījumu partneriem vai veic citas pārbaudes (piemēram, salīdzinot bilances konta atlikumu ar attaisnojuma dokumentiem) un, ja nepieciešams, veic attiecīgās korekcijas, pamatojoties uz salīdzināšanas aktos norādīto informāciju. Ja salīdzināšanās aktos parādās atšķirīgi atlikumi, abas puses pārbauda atlikumus un veic atbilstošās korekcijas.</w:t>
      </w:r>
    </w:p>
    <w:p w14:paraId="48595B51"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1248.  </w:t>
      </w:r>
      <w:r w:rsidRPr="00A62FDC">
        <w:rPr>
          <w:rFonts w:ascii="Times New Roman" w:hAnsi="Times New Roman" w:cs="Times New Roman"/>
          <w:sz w:val="24"/>
          <w:szCs w:val="24"/>
        </w:rPr>
        <w:t>Krājumus, ieskaitot avansa maksājumus par krājumiem, norāda atlikušajā vērtībā, ko aprēķina, no sākotnējās vērtības atskaitot vērtības samazinājumu. Krājumiem nosaka neto pārdošanas vērtību vai aizstāšanas izmaksas. Ilgtermiņa ieguldījumiem, kas uzskaitīti kā atsavināšanai paredzēti, izvērtē, vai tie joprojām atbilst klasifikācijas kritērijiem. Kritēriji, saskaņā ar kuriem ilgtermiņa ieguldījuma atsavināšanu uzskata par ticamu:</w:t>
      </w:r>
    </w:p>
    <w:p w14:paraId="2710FEE4"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atsavināšana ir pamatota ar normatīvo aktu vai budžeta iestādes vadības lēmumu;</w:t>
      </w:r>
    </w:p>
    <w:p w14:paraId="520F457F"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atsavināšanas process ir uzsākts;</w:t>
      </w:r>
    </w:p>
    <w:p w14:paraId="2EE9FCB8"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ir pārliecība par atsavināšanas procesa pabeigšanu.</w:t>
      </w:r>
    </w:p>
    <w:p w14:paraId="6190E1AE"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1249.  </w:t>
      </w:r>
      <w:r w:rsidRPr="00A62FDC">
        <w:rPr>
          <w:rFonts w:ascii="Times New Roman" w:hAnsi="Times New Roman" w:cs="Times New Roman"/>
          <w:sz w:val="24"/>
          <w:szCs w:val="24"/>
        </w:rPr>
        <w:t>Pirms kontu slēgšanas budžeta iestāde veic salīdzināšanu starp vispārējās valdības sektora struktūru (izņemot šo struktūru kontrolētus un finansētus komersantus, speciālās ekonomiskās zonas, ostu un brīvostu pārvaldes) darījuma partneriem - elektroniski periodā no 1. janvāra līdz 31. janvārim. Salīdzināšanai izmanto ePārskatu sistēmu. Salīdzināšanai starp vispārējās valdības sektora partneriem izmanto Ministru kabineta noteikumos paredzētās veidlapas.</w:t>
      </w:r>
    </w:p>
    <w:p w14:paraId="0E2EAAF4"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1250.  </w:t>
      </w:r>
      <w:r w:rsidRPr="00A62FDC">
        <w:rPr>
          <w:rFonts w:ascii="Times New Roman" w:hAnsi="Times New Roman" w:cs="Times New Roman"/>
          <w:sz w:val="24"/>
          <w:szCs w:val="24"/>
        </w:rPr>
        <w:t>Pārskata perioda beigās līdz gada pārskata parakstīšanas datumam papildus pārējās Rokasgrāmatas sadaļās minētajām inventarizācijas prasībām grāmatvedībā veic šādas darbības:</w:t>
      </w:r>
    </w:p>
    <w:p w14:paraId="2F6104D8"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pārliecinās, vai ir veikti visi nepieciešamie uzkrāto saistību grāmatojumi, piemēram, uzkrātajās saistībās par darbinieku neizmantotajiem atvaļinājumiem, uzkrājumiem attiecībā uz tiesvedībām, uzkrājumiem citiem darbinieku labumiem;</w:t>
      </w:r>
    </w:p>
    <w:p w14:paraId="3803A0C5"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aprēķina un atsevišķi uzrāda saistību un prasību īstermiņa un ilgtermiņa daļas, piemēram, finanšu nomas prasībām, saņemtajiem aizņēmumiem, izsniegtajiem aizdevumiem, citām ilgtermiņa prasībām un saistībām;</w:t>
      </w:r>
    </w:p>
    <w:p w14:paraId="7E3B784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 xml:space="preserve"> •</w:t>
      </w:r>
      <w:r w:rsidRPr="00A62FDC">
        <w:rPr>
          <w:rFonts w:ascii="Times New Roman" w:hAnsi="Times New Roman" w:cs="Times New Roman"/>
          <w:sz w:val="24"/>
          <w:szCs w:val="24"/>
        </w:rPr>
        <w:tab/>
        <w:t>sagatavo</w:t>
      </w:r>
      <w:r w:rsidRPr="00A62FDC">
        <w:rPr>
          <w:rFonts w:ascii="Times New Roman" w:hAnsi="Times New Roman" w:cs="Times New Roman"/>
          <w:sz w:val="24"/>
          <w:szCs w:val="24"/>
        </w:rPr>
        <w:tab/>
        <w:t>grāmatvedības   izziņas</w:t>
      </w:r>
      <w:r w:rsidRPr="00A62FDC">
        <w:rPr>
          <w:rFonts w:ascii="Times New Roman" w:hAnsi="Times New Roman" w:cs="Times New Roman"/>
          <w:sz w:val="24"/>
          <w:szCs w:val="24"/>
        </w:rPr>
        <w:tab/>
        <w:t>un   izdara</w:t>
      </w:r>
      <w:r w:rsidRPr="00A62FDC">
        <w:rPr>
          <w:rFonts w:ascii="Times New Roman" w:hAnsi="Times New Roman" w:cs="Times New Roman"/>
          <w:sz w:val="24"/>
          <w:szCs w:val="24"/>
        </w:rPr>
        <w:tab/>
        <w:t>koriģējošus   ierakstus   hronoloģiskajos</w:t>
      </w:r>
      <w:r w:rsidRPr="00A62FDC">
        <w:rPr>
          <w:rFonts w:ascii="Times New Roman" w:hAnsi="Times New Roman" w:cs="Times New Roman"/>
          <w:sz w:val="24"/>
          <w:szCs w:val="24"/>
        </w:rPr>
        <w:tab/>
        <w:t>un sistemātiskajos reģistros (arī virsgrāmatā);</w:t>
      </w:r>
    </w:p>
    <w:p w14:paraId="4A8276BD"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citas pārskata perioda slēguma darbības saskaņā ar budžeta iestādes grāmatvedības uzskaites kārtību.</w:t>
      </w:r>
    </w:p>
    <w:p w14:paraId="0A1211FF"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Pārskata perioda beigās atbildīgā persona vai komisija izvērtē, vai nepastāv indikācijas nefinanšu aktīvu (nemateriālie ieguldījumi, pamatlīdzekļi, ieguldījuma īpašumi) vērtības samazinājumam. Ja tiek konstatētas pazīmes, veic attiecīgā aktīva atgūstamās vērtības aprēķinu. Ja atgūstamā vērtība ir zemāka par aktīva uzskaites vērtību, atzīst vērtības samazinājumu. Aktīvus bilancē norāda atlikušajā vērtībā, no sākotnējās vērtības atskaitot uzkrāto nolietojumu (amortizāciju) un vērtības samazinājumu, ja tāds ir.</w:t>
      </w:r>
    </w:p>
    <w:p w14:paraId="7249153D"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1251.  </w:t>
      </w:r>
      <w:r w:rsidRPr="00A62FDC">
        <w:rPr>
          <w:rFonts w:ascii="Times New Roman" w:hAnsi="Times New Roman" w:cs="Times New Roman"/>
          <w:sz w:val="24"/>
          <w:szCs w:val="24"/>
        </w:rPr>
        <w:t>Pirms gada slēgšanas atbildīgā persona vai komisija izvērtē, vai pastāv objektīvi pierādījumi prasību un samaksāto avansu nesaņemšanai, izvērtējot (ja tas ir iespējams) katru parādnieku un katru darījumu. Ja pastāv pierādījumi prasību vai samaksāto avansu nesaņemšanai, izdevumus vērtības samazinājumam novērtē nedrošās (apšaubāmās) summas apmērā vai procentos no prasības summas. Prasības bilancē norāda neto vērtībā, kas aprēķināta no uzskaites vērtības atskaitot atzīto vērtības samazinājumu.</w:t>
      </w:r>
    </w:p>
    <w:p w14:paraId="78C0A870"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1252.  </w:t>
      </w:r>
      <w:r w:rsidRPr="00A62FDC">
        <w:rPr>
          <w:rFonts w:ascii="Times New Roman" w:hAnsi="Times New Roman" w:cs="Times New Roman"/>
          <w:sz w:val="24"/>
          <w:szCs w:val="24"/>
        </w:rPr>
        <w:t>Pārskata perioda beigās iestāde izstrādā kārtību, kādā veidā tiks iegūti dati no kapitālsabiedrības (auditētus vai neauditētus pārskatus) līdzdalības radniecīgajās un asociētajās sabiedrības novērtēšanai. Iestāde izvērtē pēc būtības un nosaka līdzdalības (ieguldījuma) vērtības izmaiņas pārskata perioda beigās, kas radušās kapitālsabiedrības pašu kapitālā no izmaiņām peļņas vai zaudējumu aprēķinā un izmaiņām rezervēs. Papildus izvērtē vērtības samazinājuma indikācijas un, to izpildes gadījumā, veic līdzdalības atgūstamās vērtības aprēķinu.</w:t>
      </w:r>
    </w:p>
    <w:p w14:paraId="120AC474"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1253.  </w:t>
      </w:r>
      <w:r w:rsidRPr="00A62FDC">
        <w:rPr>
          <w:rFonts w:ascii="Times New Roman" w:hAnsi="Times New Roman" w:cs="Times New Roman"/>
          <w:sz w:val="24"/>
          <w:szCs w:val="24"/>
        </w:rPr>
        <w:t>Pirms gada slēgšanas atbildīgā persona vai komisija izvērtē, vai pastāv objektīvi pierādījumi prasību un samaksāto avansu nesaņemšanai, izvērtējot (ja tas ir iespējams) katru parādnieku un katru darījumu. Ja pastāv pierādījumi prasību vai samaksāto avansu nesaņemšanai, izdevumus vērtības samazinājumam novērtē nedrošās (apšaubāmās) summas apmērā vai procentos no prasības summas. Prasības bilancē norāda neto vērtībā, kas aprēķināta no uzskaites vērtības atskaitot atzīto vērtības samazinājumu.</w:t>
      </w:r>
    </w:p>
    <w:p w14:paraId="421F620B"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1254.  </w:t>
      </w:r>
      <w:r w:rsidRPr="00A62FDC">
        <w:rPr>
          <w:rFonts w:ascii="Times New Roman" w:hAnsi="Times New Roman" w:cs="Times New Roman"/>
          <w:sz w:val="24"/>
          <w:szCs w:val="24"/>
        </w:rPr>
        <w:t>Budžeta iestāde veic tās uzskaitē uzrādīto finanšu instrumentu vērtības samazinājuma izvērtējumu saskaņā ar finanšu instrumentu uzskaites prasībām.</w:t>
      </w:r>
    </w:p>
    <w:p w14:paraId="490119E9"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1255.  </w:t>
      </w:r>
      <w:r w:rsidRPr="00A62FDC">
        <w:rPr>
          <w:rFonts w:ascii="Times New Roman" w:hAnsi="Times New Roman" w:cs="Times New Roman"/>
          <w:sz w:val="24"/>
          <w:szCs w:val="24"/>
        </w:rPr>
        <w:t>Pēc kontu atlikumu salīdzināšanas, slēdz visus kārtējā pārskata gada ieņēmumu un izdevumu kontus un iegrāmato grāmatvedības kontu slēguma ierakstus.</w:t>
      </w:r>
    </w:p>
    <w:p w14:paraId="4A4BD849"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1256.  </w:t>
      </w:r>
      <w:r w:rsidRPr="00A62FDC">
        <w:rPr>
          <w:rFonts w:ascii="Times New Roman" w:hAnsi="Times New Roman" w:cs="Times New Roman"/>
          <w:sz w:val="24"/>
          <w:szCs w:val="24"/>
        </w:rPr>
        <w:t>Pamatojoties uz grāmatvedības kontu apgrozījumu un atlikumu pārskata datiem, līdz gada pārskata parakstīšanas datumam budžeta iestāde sagatavo gada pārskatus.</w:t>
      </w:r>
    </w:p>
    <w:p w14:paraId="5AB53DC9"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1257.  </w:t>
      </w:r>
      <w:r w:rsidRPr="00A62FDC">
        <w:rPr>
          <w:rFonts w:ascii="Times New Roman" w:hAnsi="Times New Roman" w:cs="Times New Roman"/>
          <w:sz w:val="24"/>
          <w:szCs w:val="24"/>
        </w:rPr>
        <w:t>Grāmatvedības kontrole ietver metodes un paņēmienus, kurus izmanto, lai kontrolētu budžeta iestādes mantas saglabāšanu, visu saimniecisko darījumu uzrādīšanu atbilstoši normatīvo aktu prasībām un grāmatvedības organizācijas dokumentos noteiktajai kārtībai, kā arī lai nodrošinātu grāmatvedības sniegtās informācijas savlaicīgumu un pareizību. Grāmatvedības kontroles ietvaros budžeta iestāde pārbauda:</w:t>
      </w:r>
    </w:p>
    <w:p w14:paraId="76103CFB"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attiecīgajos grāmatvedības dokumentos ietvertos aprēķinus un kontējumus;</w:t>
      </w:r>
    </w:p>
    <w:p w14:paraId="680057C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precizē, vai katrs saimnieciskais darījums ir iegrāmatots pareizā grāmatvedības kontā un vai grāmatojums veikts laikus;</w:t>
      </w:r>
    </w:p>
    <w:p w14:paraId="70344B0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vai norādītās summas ir pareizas;</w:t>
      </w:r>
    </w:p>
    <w:p w14:paraId="212F2E4D"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vai visi saimnieciskie darījumi, kas attiecas uz pārskata periodu, norādīti šī pārskata perioda grāmatvedības reģistros un finanšu pārskatā.</w:t>
      </w:r>
    </w:p>
    <w:p w14:paraId="2A10030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 xml:space="preserve"> </w:t>
      </w:r>
    </w:p>
    <w:p w14:paraId="4351398D"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1258.  </w:t>
      </w:r>
      <w:r w:rsidRPr="00A62FDC">
        <w:rPr>
          <w:rFonts w:ascii="Times New Roman" w:hAnsi="Times New Roman" w:cs="Times New Roman"/>
          <w:sz w:val="24"/>
          <w:szCs w:val="24"/>
        </w:rPr>
        <w:t>Lai nodrošinātu grāmatvedības uzskaites organizācijas efektīvu darbību, grāmatvedības uzskaites organizācijas iekšējās kontroles sistēmas izveidošanu, uzraudzību un uzlabošanu īsteno, paredzot noteiktu pasākumu kopumu, piemēram:</w:t>
      </w:r>
    </w:p>
    <w:p w14:paraId="1E19A26D"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izstrādāta un apstiprināta budžeta iestādes iekšējā grāmatvedības uzskaites kārtība, struktūrvienības reglamenti, darbinieku amatu apraksti un citi iekšējie normatīvie akti saskaņā ar budžeta iestādes iekšējo kārtību (minētie dokumenti regulāri tiek pārskatīti un, ja nepieciešams, aktualizēti);</w:t>
      </w:r>
    </w:p>
    <w:p w14:paraId="5878FF05"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izstrādātas un ieviestas procedūras, kuras nodrošina:</w:t>
      </w:r>
    </w:p>
    <w:p w14:paraId="34DC5156"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ka attiecīgajos grāmatvedības dokumentos ietvertie aprēķini un kontējumi tiek pārbaudīti un, ja nepieciešams, precizēti;</w:t>
      </w:r>
    </w:p>
    <w:p w14:paraId="03292703"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ka katrs saimnieciskais darījums ir iegrāmatots pareizā grāmatvedības kontā un laikus un ka norādītās summas ir pareizas;</w:t>
      </w:r>
    </w:p>
    <w:p w14:paraId="5CCA5E9A"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ka visi saimnieciskie darījumi, kas attiecas uz pārskata periodu, ir norādīti šī pārskata perioda grāmatvedības reģistros un finanšu pārskatā;</w:t>
      </w:r>
    </w:p>
    <w:p w14:paraId="5A9C22D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darba pienākumus veic kvalificēti darbinieki;</w:t>
      </w:r>
    </w:p>
    <w:p w14:paraId="32F1B4B3"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ir sadalīti darba pienākumi, nosakot katra darbinieka konkrēto uzdevumu un viņa atbildības pakāpi un tā, lai katra saimnieciskā darījuma norisi kontrolētu vairāki darbinieki.</w:t>
      </w:r>
    </w:p>
    <w:p w14:paraId="7DAE1702" w14:textId="77777777" w:rsidR="00CA64DE" w:rsidRPr="00CA64DE"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1259.  </w:t>
      </w:r>
      <w:r w:rsidRPr="00A62FDC">
        <w:rPr>
          <w:rFonts w:ascii="Times New Roman" w:hAnsi="Times New Roman" w:cs="Times New Roman"/>
          <w:sz w:val="24"/>
          <w:szCs w:val="24"/>
        </w:rPr>
        <w:t>Budžeta iestādē sistemātiski veic grāmatvedības uzskaites organizācijas iekšējās kontroles sistēmas efektivitātes pārbaudi saskaņā ar budžeta iestādes iekšējiem noteikumiem.</w:t>
      </w:r>
    </w:p>
    <w:p w14:paraId="1AB59BB8" w14:textId="77777777" w:rsidR="00CA64DE" w:rsidRDefault="00A62FDC" w:rsidP="00CD363C">
      <w:pPr>
        <w:spacing w:after="0" w:line="240" w:lineRule="auto"/>
        <w:ind w:right="-142"/>
        <w:jc w:val="both"/>
        <w:rPr>
          <w:rFonts w:ascii="Times New Roman" w:hAnsi="Times New Roman" w:cs="Times New Roman"/>
          <w:b/>
          <w:bCs/>
          <w:sz w:val="24"/>
          <w:szCs w:val="24"/>
        </w:rPr>
      </w:pPr>
      <w:r w:rsidRPr="00A62FDC">
        <w:rPr>
          <w:rFonts w:ascii="Times New Roman" w:hAnsi="Times New Roman" w:cs="Times New Roman"/>
          <w:b/>
          <w:bCs/>
          <w:sz w:val="24"/>
          <w:szCs w:val="24"/>
        </w:rPr>
        <w:t>27.3. Notikumi pēc bilances datuma.</w:t>
      </w:r>
    </w:p>
    <w:p w14:paraId="44239C37" w14:textId="77777777" w:rsidR="00A62FDC" w:rsidRPr="006F5001" w:rsidRDefault="00A62FDC" w:rsidP="00CD363C">
      <w:pPr>
        <w:spacing w:after="0" w:line="240" w:lineRule="auto"/>
        <w:ind w:right="-142"/>
        <w:jc w:val="both"/>
        <w:rPr>
          <w:rFonts w:ascii="Times New Roman" w:hAnsi="Times New Roman" w:cs="Times New Roman"/>
          <w:b/>
          <w:bCs/>
          <w:i/>
          <w:iCs/>
          <w:sz w:val="24"/>
          <w:szCs w:val="24"/>
        </w:rPr>
      </w:pPr>
      <w:r w:rsidRPr="006F5001">
        <w:rPr>
          <w:rFonts w:ascii="Times New Roman" w:hAnsi="Times New Roman" w:cs="Times New Roman"/>
          <w:b/>
          <w:bCs/>
          <w:i/>
          <w:iCs/>
          <w:sz w:val="24"/>
          <w:szCs w:val="24"/>
        </w:rPr>
        <w:t>Atsevišķais iestādes gada pārskats</w:t>
      </w:r>
    </w:p>
    <w:p w14:paraId="252CB091"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1260.  Budžeta iestāde precizē informāciju gada pārskatā līdz finanšu pārskata apstiprināšanas publiskošanai datumam, ja tā iegūst informāciju par koriģējošiem vai nekoriģējošiem notikumiem pēc bilances datuma.</w:t>
      </w:r>
    </w:p>
    <w:p w14:paraId="3E7E6233"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1261.  </w:t>
      </w:r>
      <w:r w:rsidRPr="00A62FDC">
        <w:rPr>
          <w:rFonts w:ascii="Times New Roman" w:hAnsi="Times New Roman" w:cs="Times New Roman"/>
          <w:sz w:val="24"/>
          <w:szCs w:val="24"/>
        </w:rPr>
        <w:t>Lai noteiktu, kuri notikumi atbilst notikumu pēc bilances datuma definīcijai, nepieciešams noteikt gan bilances datumu, gan finanšu pārskata apstiprināšanas publiskošanai datumu.</w:t>
      </w:r>
    </w:p>
    <w:p w14:paraId="118A08DC"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Piemēram, budžeta iestāde sagatavo finanšu pārskatu par pārskata periodu 01.01.2019. – 31.12.2019., iesniedz revidentam atzinuma sniegšanai, paraksta un apstiprina publiskošanai sekojošā kārtībā:</w:t>
      </w:r>
    </w:p>
    <w:p w14:paraId="77829A96"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 Pārskata periods - 01.01.2019. – 31.12.2019.;</w:t>
      </w:r>
    </w:p>
    <w:p w14:paraId="6871754F"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Bilances datums - 31.12.2019.;</w:t>
      </w:r>
    </w:p>
    <w:p w14:paraId="63AE4B9D"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sagatavošanas datums – 10.02.2020.;</w:t>
      </w:r>
    </w:p>
    <w:p w14:paraId="30979FCD"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iesniegšanas revidentam datums – 10.02.2020.;</w:t>
      </w:r>
    </w:p>
    <w:p w14:paraId="43DA462D"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parakstīšanas datums – 25.04.2020;</w:t>
      </w:r>
    </w:p>
    <w:p w14:paraId="27C309DC"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Zvērināta revidenta atzinuma sniegšanas datums – 25.04.2020.;</w:t>
      </w:r>
    </w:p>
    <w:p w14:paraId="005E0AC7"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apstiprināšanas publiskošanai datums - 25.04.2020.</w:t>
      </w:r>
    </w:p>
    <w:p w14:paraId="32D01D34" w14:textId="77777777" w:rsid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1262.    </w:t>
      </w:r>
      <w:r w:rsidRPr="00A62FDC">
        <w:rPr>
          <w:rFonts w:ascii="Times New Roman" w:hAnsi="Times New Roman" w:cs="Times New Roman"/>
          <w:sz w:val="24"/>
          <w:szCs w:val="24"/>
        </w:rPr>
        <w:t>1. attēlā sniegts ilustratīvs piemērs periodam starp budžeta iestādes bilances datumu un finanšu pārskata apstiprināšanas publiskošanai datumu.</w:t>
      </w:r>
    </w:p>
    <w:p w14:paraId="74FD347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b/>
          <w:bCs/>
          <w:noProof/>
        </w:rPr>
        <w:drawing>
          <wp:inline distT="0" distB="0" distL="0" distR="0" wp14:anchorId="34E5B38A" wp14:editId="6B2580E2">
            <wp:extent cx="9410508" cy="476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15165" cy="476486"/>
                    </a:xfrm>
                    <a:prstGeom prst="rect">
                      <a:avLst/>
                    </a:prstGeom>
                    <a:noFill/>
                    <a:ln>
                      <a:noFill/>
                    </a:ln>
                  </pic:spPr>
                </pic:pic>
              </a:graphicData>
            </a:graphic>
          </wp:inline>
        </w:drawing>
      </w:r>
    </w:p>
    <w:p w14:paraId="30D2F35B" w14:textId="77777777" w:rsidR="00CA64DE" w:rsidRPr="00A62FDC" w:rsidRDefault="00870ECE" w:rsidP="00CD363C">
      <w:pPr>
        <w:spacing w:after="0" w:line="240" w:lineRule="auto"/>
        <w:ind w:right="-142"/>
        <w:jc w:val="both"/>
        <w:rPr>
          <w:rFonts w:ascii="Times New Roman" w:hAnsi="Times New Roman" w:cs="Times New Roman"/>
          <w:sz w:val="24"/>
          <w:szCs w:val="24"/>
        </w:rPr>
      </w:pPr>
      <w:r>
        <w:rPr>
          <w:noProof/>
          <w:sz w:val="20"/>
        </w:rPr>
        <mc:AlternateContent>
          <mc:Choice Requires="wpg">
            <w:drawing>
              <wp:inline distT="0" distB="0" distL="0" distR="0" wp14:anchorId="18CE5072" wp14:editId="3DF0E015">
                <wp:extent cx="5540375" cy="686435"/>
                <wp:effectExtent l="0" t="6350" r="3175" b="21590"/>
                <wp:docPr id="4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375" cy="686435"/>
                          <a:chOff x="0" y="0"/>
                          <a:chExt cx="8725" cy="1081"/>
                        </a:xfrm>
                      </wpg:grpSpPr>
                      <pic:pic xmlns:pic="http://schemas.openxmlformats.org/drawingml/2006/picture">
                        <pic:nvPicPr>
                          <pic:cNvPr id="486" name="Picture 1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042" y="392"/>
                            <a:ext cx="3294" cy="360"/>
                          </a:xfrm>
                          <a:prstGeom prst="rect">
                            <a:avLst/>
                          </a:prstGeom>
                          <a:noFill/>
                          <a:extLst>
                            <a:ext uri="{909E8E84-426E-40DD-AFC4-6F175D3DCCD1}">
                              <a14:hiddenFill xmlns:a14="http://schemas.microsoft.com/office/drawing/2010/main">
                                <a:solidFill>
                                  <a:srgbClr val="FFFFFF"/>
                                </a:solidFill>
                              </a14:hiddenFill>
                            </a:ext>
                          </a:extLst>
                        </pic:spPr>
                      </pic:pic>
                      <wps:wsp>
                        <wps:cNvPr id="487" name="Freeform 145"/>
                        <wps:cNvSpPr>
                          <a:spLocks/>
                        </wps:cNvSpPr>
                        <wps:spPr bwMode="auto">
                          <a:xfrm>
                            <a:off x="0" y="631"/>
                            <a:ext cx="8725" cy="334"/>
                          </a:xfrm>
                          <a:custGeom>
                            <a:avLst/>
                            <a:gdLst>
                              <a:gd name="T0" fmla="*/ 8558 w 8725"/>
                              <a:gd name="T1" fmla="+- 0 632 632"/>
                              <a:gd name="T2" fmla="*/ 632 h 334"/>
                              <a:gd name="T3" fmla="*/ 8558 w 8725"/>
                              <a:gd name="T4" fmla="+- 0 715 632"/>
                              <a:gd name="T5" fmla="*/ 715 h 334"/>
                              <a:gd name="T6" fmla="*/ 0 w 8725"/>
                              <a:gd name="T7" fmla="+- 0 715 632"/>
                              <a:gd name="T8" fmla="*/ 715 h 334"/>
                              <a:gd name="T9" fmla="*/ 0 w 8725"/>
                              <a:gd name="T10" fmla="+- 0 882 632"/>
                              <a:gd name="T11" fmla="*/ 882 h 334"/>
                              <a:gd name="T12" fmla="*/ 8558 w 8725"/>
                              <a:gd name="T13" fmla="+- 0 882 632"/>
                              <a:gd name="T14" fmla="*/ 882 h 334"/>
                              <a:gd name="T15" fmla="*/ 8558 w 8725"/>
                              <a:gd name="T16" fmla="+- 0 965 632"/>
                              <a:gd name="T17" fmla="*/ 965 h 334"/>
                              <a:gd name="T18" fmla="*/ 8725 w 8725"/>
                              <a:gd name="T19" fmla="+- 0 798 632"/>
                              <a:gd name="T20" fmla="*/ 798 h 334"/>
                              <a:gd name="T21" fmla="*/ 8558 w 8725"/>
                              <a:gd name="T22" fmla="+- 0 632 632"/>
                              <a:gd name="T23" fmla="*/ 632 h 33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725" h="334">
                                <a:moveTo>
                                  <a:pt x="8558" y="0"/>
                                </a:moveTo>
                                <a:lnTo>
                                  <a:pt x="8558" y="83"/>
                                </a:lnTo>
                                <a:lnTo>
                                  <a:pt x="0" y="83"/>
                                </a:lnTo>
                                <a:lnTo>
                                  <a:pt x="0" y="250"/>
                                </a:lnTo>
                                <a:lnTo>
                                  <a:pt x="8558" y="250"/>
                                </a:lnTo>
                                <a:lnTo>
                                  <a:pt x="8558" y="333"/>
                                </a:lnTo>
                                <a:lnTo>
                                  <a:pt x="8725" y="166"/>
                                </a:lnTo>
                                <a:lnTo>
                                  <a:pt x="8558" y="0"/>
                                </a:lnTo>
                                <a:close/>
                              </a:path>
                            </a:pathLst>
                          </a:custGeom>
                          <a:solidFill>
                            <a:srgbClr val="C3C4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146"/>
                        <wps:cNvCnPr>
                          <a:cxnSpLocks noChangeShapeType="1"/>
                        </wps:cNvCnPr>
                        <wps:spPr bwMode="auto">
                          <a:xfrm>
                            <a:off x="816" y="1080"/>
                            <a:ext cx="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1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3" y="0"/>
                            <a:ext cx="1263" cy="516"/>
                          </a:xfrm>
                          <a:prstGeom prst="rect">
                            <a:avLst/>
                          </a:prstGeom>
                          <a:noFill/>
                          <a:extLst>
                            <a:ext uri="{909E8E84-426E-40DD-AFC4-6F175D3DCCD1}">
                              <a14:hiddenFill xmlns:a14="http://schemas.microsoft.com/office/drawing/2010/main">
                                <a:solidFill>
                                  <a:srgbClr val="FFFFFF"/>
                                </a:solidFill>
                              </a14:hiddenFill>
                            </a:ext>
                          </a:extLst>
                        </pic:spPr>
                      </pic:pic>
                      <wps:wsp>
                        <wps:cNvPr id="490" name="Line 148"/>
                        <wps:cNvCnPr>
                          <a:cxnSpLocks noChangeShapeType="1"/>
                        </wps:cNvCnPr>
                        <wps:spPr bwMode="auto">
                          <a:xfrm>
                            <a:off x="3043" y="1080"/>
                            <a:ext cx="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1" name="Picture 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68" y="0"/>
                            <a:ext cx="1364" cy="413"/>
                          </a:xfrm>
                          <a:prstGeom prst="rect">
                            <a:avLst/>
                          </a:prstGeom>
                          <a:noFill/>
                          <a:extLst>
                            <a:ext uri="{909E8E84-426E-40DD-AFC4-6F175D3DCCD1}">
                              <a14:hiddenFill xmlns:a14="http://schemas.microsoft.com/office/drawing/2010/main">
                                <a:solidFill>
                                  <a:srgbClr val="FFFFFF"/>
                                </a:solidFill>
                              </a14:hiddenFill>
                            </a:ext>
                          </a:extLst>
                        </pic:spPr>
                      </pic:pic>
                      <wps:wsp>
                        <wps:cNvPr id="492" name="Line 150"/>
                        <wps:cNvCnPr>
                          <a:cxnSpLocks noChangeShapeType="1"/>
                        </wps:cNvCnPr>
                        <wps:spPr bwMode="auto">
                          <a:xfrm>
                            <a:off x="6327" y="1080"/>
                            <a:ext cx="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1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54" y="0"/>
                            <a:ext cx="1460" cy="394"/>
                          </a:xfrm>
                          <a:prstGeom prst="rect">
                            <a:avLst/>
                          </a:prstGeom>
                          <a:noFill/>
                          <a:extLst>
                            <a:ext uri="{909E8E84-426E-40DD-AFC4-6F175D3DCCD1}">
                              <a14:hiddenFill xmlns:a14="http://schemas.microsoft.com/office/drawing/2010/main">
                                <a:solidFill>
                                  <a:srgbClr val="FFFFFF"/>
                                </a:solidFill>
                              </a14:hiddenFill>
                            </a:ext>
                          </a:extLst>
                        </pic:spPr>
                      </pic:pic>
                      <wps:wsp>
                        <wps:cNvPr id="494" name="Text Box 152"/>
                        <wps:cNvSpPr txBox="1">
                          <a:spLocks noChangeArrowheads="1"/>
                        </wps:cNvSpPr>
                        <wps:spPr bwMode="auto">
                          <a:xfrm>
                            <a:off x="144" y="103"/>
                            <a:ext cx="10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1B51" w14:textId="77777777" w:rsidR="00335490" w:rsidRDefault="00335490" w:rsidP="00A62FDC">
                              <w:pPr>
                                <w:spacing w:line="244" w:lineRule="exact"/>
                              </w:pPr>
                              <w:r>
                                <w:t>01.01.2019.</w:t>
                              </w:r>
                            </w:p>
                          </w:txbxContent>
                        </wps:txbx>
                        <wps:bodyPr rot="0" vert="horz" wrap="square" lIns="0" tIns="0" rIns="0" bIns="0" anchor="t" anchorCtr="0" upright="1">
                          <a:noAutofit/>
                        </wps:bodyPr>
                      </wps:wsp>
                      <wps:wsp>
                        <wps:cNvPr id="495" name="Text Box 153"/>
                        <wps:cNvSpPr txBox="1">
                          <a:spLocks noChangeArrowheads="1"/>
                        </wps:cNvSpPr>
                        <wps:spPr bwMode="auto">
                          <a:xfrm>
                            <a:off x="2369" y="103"/>
                            <a:ext cx="10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C057D" w14:textId="77777777" w:rsidR="00335490" w:rsidRDefault="00335490" w:rsidP="00A62FDC">
                              <w:pPr>
                                <w:spacing w:line="244" w:lineRule="exact"/>
                              </w:pPr>
                              <w:r>
                                <w:t>31.12.2019.</w:t>
                              </w:r>
                            </w:p>
                          </w:txbxContent>
                        </wps:txbx>
                        <wps:bodyPr rot="0" vert="horz" wrap="square" lIns="0" tIns="0" rIns="0" bIns="0" anchor="t" anchorCtr="0" upright="1">
                          <a:noAutofit/>
                        </wps:bodyPr>
                      </wps:wsp>
                      <wps:wsp>
                        <wps:cNvPr id="496" name="Text Box 154"/>
                        <wps:cNvSpPr txBox="1">
                          <a:spLocks noChangeArrowheads="1"/>
                        </wps:cNvSpPr>
                        <wps:spPr bwMode="auto">
                          <a:xfrm>
                            <a:off x="5656" y="103"/>
                            <a:ext cx="10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1DC7" w14:textId="77777777" w:rsidR="00335490" w:rsidRDefault="00335490" w:rsidP="00A62FDC">
                              <w:pPr>
                                <w:spacing w:line="244" w:lineRule="exact"/>
                              </w:pPr>
                              <w:r>
                                <w:t>25.04.2020.</w:t>
                              </w:r>
                            </w:p>
                          </w:txbxContent>
                        </wps:txbx>
                        <wps:bodyPr rot="0" vert="horz" wrap="square" lIns="0" tIns="0" rIns="0" bIns="0" anchor="t" anchorCtr="0" upright="1">
                          <a:noAutofit/>
                        </wps:bodyPr>
                      </wps:wsp>
                    </wpg:wgp>
                  </a:graphicData>
                </a:graphic>
              </wp:inline>
            </w:drawing>
          </mc:Choice>
          <mc:Fallback>
            <w:pict>
              <v:group w14:anchorId="18CE5072" id="Group 143" o:spid="_x0000_s1093" style="width:436.25pt;height:54.05pt;mso-position-horizontal-relative:char;mso-position-vertical-relative:line" coordsize="8725,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94" type="#_x0000_t75" style="position:absolute;left:3042;top:392;width:329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">
                  <v:imagedata r:id="rId96" o:title=""/>
                </v:shape>
                <v:shape id="Freeform 145" o:spid="_x0000_s1095" style="position:absolute;top:631;width:8725;height:334;visibility:visible;mso-wrap-style:square;v-text-anchor:top" coordsize="87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" path="m8558,r,83l,83,,250r8558,l8558,333,8725,166,8558,xe" fillcolor="#c3c4c5" stroked="f">
                  <v:path arrowok="t" o:connecttype="custom" o:connectlocs="8558,632;8558,715;0,715;0,882;8558,882;8558,965;8725,798;8558,632" o:connectangles="0,0,0,0,0,0,0,0"/>
                </v:shape>
                <v:line id="Line 146" o:spid="_x0000_s1096" style="position:absolute;visibility:visible;mso-wrap-style:square" from="816,1080" to="81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" strokecolor="gray" strokeweight="2.25pt"/>
                <v:shape id="Picture 147" o:spid="_x0000_s1097" type="#_x0000_t75" style="position:absolute;left:143;width:1263;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">
                  <v:imagedata r:id="rId97" o:title=""/>
                </v:shape>
                <v:line id="Line 148" o:spid="_x0000_s1098" style="position:absolute;visibility:visible;mso-wrap-style:square" from="3043,1080" to="3043,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" strokecolor="gray" strokeweight="2.25pt"/>
                <v:shape id="Picture 149" o:spid="_x0000_s1099" type="#_x0000_t75" style="position:absolute;left:2368;width:1364;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">
                  <v:imagedata r:id="rId98" o:title=""/>
                </v:shape>
                <v:line id="Line 150" o:spid="_x0000_s1100" style="position:absolute;visibility:visible;mso-wrap-style:square" from="6327,1080" to="6327,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" strokecolor="gray" strokeweight="2.25pt"/>
                <v:shape id="Picture 151" o:spid="_x0000_s1101" type="#_x0000_t75" style="position:absolute;left:5654;width:146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">
                  <v:imagedata r:id="rId99" o:title=""/>
                </v:shape>
                <v:shape id="Text Box 152" o:spid="_x0000_s1102" type="#_x0000_t202" style="position:absolute;left:144;top:103;width:1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7B51B51" w14:textId="77777777" w:rsidR="00335490" w:rsidRDefault="00335490" w:rsidP="00A62FDC">
                        <w:pPr>
                          <w:spacing w:line="244" w:lineRule="exact"/>
                        </w:pPr>
                        <w:r>
                          <w:t>01.01.2019.</w:t>
                        </w:r>
                      </w:p>
                    </w:txbxContent>
                  </v:textbox>
                </v:shape>
                <v:shape id="Text Box 153" o:spid="_x0000_s1103" type="#_x0000_t202" style="position:absolute;left:2369;top:103;width:1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F3C057D" w14:textId="77777777" w:rsidR="00335490" w:rsidRDefault="00335490" w:rsidP="00A62FDC">
                        <w:pPr>
                          <w:spacing w:line="244" w:lineRule="exact"/>
                        </w:pPr>
                        <w:r>
                          <w:t>31.12.2019.</w:t>
                        </w:r>
                      </w:p>
                    </w:txbxContent>
                  </v:textbox>
                </v:shape>
                <v:shape id="Text Box 154" o:spid="_x0000_s1104" type="#_x0000_t202" style="position:absolute;left:5656;top:103;width:1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5E61DC7" w14:textId="77777777" w:rsidR="00335490" w:rsidRDefault="00335490" w:rsidP="00A62FDC">
                        <w:pPr>
                          <w:spacing w:line="244" w:lineRule="exact"/>
                        </w:pPr>
                        <w:r>
                          <w:t>25.04.2020.</w:t>
                        </w:r>
                      </w:p>
                    </w:txbxContent>
                  </v:textbox>
                </v:shape>
                <w10:anchorlock/>
              </v:group>
            </w:pict>
          </mc:Fallback>
        </mc:AlternateContent>
      </w:r>
    </w:p>
    <w:p w14:paraId="27CEA507" w14:textId="77777777" w:rsidR="00A62FDC" w:rsidRDefault="00A62FDC" w:rsidP="00CD363C">
      <w:pPr>
        <w:spacing w:after="0" w:line="240" w:lineRule="auto"/>
        <w:ind w:right="-142"/>
        <w:jc w:val="both"/>
      </w:pPr>
      <w:r w:rsidRPr="00FE059B">
        <w:t>Gada pārskata</w:t>
      </w:r>
      <w:r>
        <w:t xml:space="preserve">                   Pārskata perioda                          Pārskata perioda beigu datums</w:t>
      </w:r>
    </w:p>
    <w:p w14:paraId="3D9DD582" w14:textId="77777777" w:rsidR="00A62FDC" w:rsidRDefault="00A62FDC" w:rsidP="00CD363C">
      <w:pPr>
        <w:spacing w:after="0" w:line="240" w:lineRule="auto"/>
        <w:ind w:right="-142"/>
        <w:jc w:val="both"/>
      </w:pPr>
      <w:r>
        <w:t xml:space="preserve">                                             sākuma datums    </w:t>
      </w:r>
    </w:p>
    <w:p w14:paraId="6B14BF81" w14:textId="77777777" w:rsidR="00A62FDC" w:rsidRDefault="00A62FDC" w:rsidP="00CD363C">
      <w:pPr>
        <w:spacing w:after="0" w:line="240" w:lineRule="auto"/>
        <w:ind w:right="-142"/>
        <w:jc w:val="both"/>
      </w:pPr>
      <w:r w:rsidRPr="00FE059B">
        <w:t xml:space="preserve"> apstiprināšanas</w:t>
      </w:r>
    </w:p>
    <w:p w14:paraId="1603AB8E" w14:textId="77777777" w:rsidR="00A62FDC" w:rsidRDefault="00A62FDC" w:rsidP="00CD363C">
      <w:pPr>
        <w:spacing w:after="0" w:line="240" w:lineRule="auto"/>
        <w:ind w:right="-142"/>
        <w:jc w:val="both"/>
      </w:pPr>
      <w:r w:rsidRPr="00FE059B">
        <w:t xml:space="preserve"> </w:t>
      </w:r>
      <w:r>
        <w:t xml:space="preserve">publiskošanai </w:t>
      </w:r>
    </w:p>
    <w:p w14:paraId="25D92B72" w14:textId="77777777" w:rsidR="00A62FDC" w:rsidRDefault="00A62FDC" w:rsidP="00CD363C">
      <w:pPr>
        <w:spacing w:after="0" w:line="240" w:lineRule="auto"/>
        <w:ind w:right="-142"/>
        <w:jc w:val="both"/>
      </w:pPr>
      <w:r>
        <w:t>datums</w:t>
      </w:r>
    </w:p>
    <w:p w14:paraId="17648B7C" w14:textId="77777777" w:rsidR="00CA64DE" w:rsidRDefault="00CA64DE" w:rsidP="00CD363C">
      <w:pPr>
        <w:spacing w:after="0" w:line="240" w:lineRule="auto"/>
        <w:ind w:right="-142"/>
        <w:jc w:val="both"/>
      </w:pPr>
    </w:p>
    <w:p w14:paraId="0747CA13" w14:textId="77777777" w:rsidR="00CA64DE" w:rsidRPr="00A62FDC" w:rsidRDefault="00A62FDC" w:rsidP="00CD363C">
      <w:pPr>
        <w:pStyle w:val="Sarakstarindkopa"/>
        <w:numPr>
          <w:ilvl w:val="0"/>
          <w:numId w:val="86"/>
        </w:numPr>
        <w:spacing w:after="0" w:line="240" w:lineRule="auto"/>
        <w:ind w:right="-142"/>
        <w:jc w:val="both"/>
        <w:rPr>
          <w:i/>
          <w:iCs/>
        </w:rPr>
      </w:pPr>
      <w:r w:rsidRPr="00A62FDC">
        <w:rPr>
          <w:i/>
          <w:iCs/>
        </w:rPr>
        <w:t>attēls</w:t>
      </w:r>
    </w:p>
    <w:p w14:paraId="681FECF4" w14:textId="77777777" w:rsidR="00A62FDC" w:rsidRDefault="00A62FDC" w:rsidP="00CD363C">
      <w:pPr>
        <w:spacing w:after="0" w:line="240" w:lineRule="auto"/>
        <w:ind w:left="360" w:right="-142"/>
        <w:jc w:val="both"/>
      </w:pPr>
    </w:p>
    <w:p w14:paraId="2BD2335E"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1263.  </w:t>
      </w:r>
      <w:r w:rsidRPr="006F5001">
        <w:rPr>
          <w:rFonts w:ascii="Times New Roman" w:hAnsi="Times New Roman" w:cs="Times New Roman"/>
          <w:sz w:val="24"/>
          <w:szCs w:val="24"/>
        </w:rPr>
        <w:t>Budžeta iestāde precizē informāciju gada pārskatā līdz gada pārskata apstiprināšanas publiskošanai datumam, ja tā iegūst informāciju par koriģējošiem vai nekoriģējošiem notikumiem pēc bilances datuma.</w:t>
      </w:r>
    </w:p>
    <w:p w14:paraId="3A09781D"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1264.  </w:t>
      </w:r>
      <w:r w:rsidRPr="006F5001">
        <w:rPr>
          <w:rFonts w:ascii="Times New Roman" w:hAnsi="Times New Roman" w:cs="Times New Roman"/>
          <w:sz w:val="24"/>
          <w:szCs w:val="24"/>
        </w:rPr>
        <w:t>Gada pārskata sagatavošanas un apstiprināšanas publiskošanai process dažādām budžeta iestādēm var atšķirties. Tas var būt atkarīgs no budžeta iestādes veida, vadības struktūras, normatīvajos aktos noteiktajām prasībām, kā arī finanšu pārskata sagatavošanā un pabeigšanā ievērotajām procedūrām.</w:t>
      </w:r>
    </w:p>
    <w:p w14:paraId="1851B7A5" w14:textId="77777777" w:rsid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1265. </w:t>
      </w:r>
      <w:r w:rsidRPr="006F5001">
        <w:rPr>
          <w:rFonts w:ascii="Times New Roman" w:hAnsi="Times New Roman" w:cs="Times New Roman"/>
          <w:sz w:val="24"/>
          <w:szCs w:val="24"/>
        </w:rPr>
        <w:tab/>
        <w:t>Par budžeta iestādes finanšu pārskata korektu sagatavošanu un parakstīšanu ir atbildīga attiecīgās budžeta iestādes vadība.</w:t>
      </w:r>
    </w:p>
    <w:p w14:paraId="11FEF6E2" w14:textId="77777777" w:rsidR="006F5001" w:rsidRPr="006F5001" w:rsidRDefault="006F5001" w:rsidP="00CD363C">
      <w:pPr>
        <w:spacing w:after="0" w:line="240" w:lineRule="auto"/>
        <w:ind w:right="-142"/>
        <w:jc w:val="both"/>
        <w:rPr>
          <w:rFonts w:ascii="Times New Roman" w:hAnsi="Times New Roman" w:cs="Times New Roman"/>
          <w:b/>
          <w:bCs/>
          <w:i/>
          <w:iCs/>
          <w:sz w:val="24"/>
          <w:szCs w:val="24"/>
        </w:rPr>
      </w:pPr>
      <w:r w:rsidRPr="006F5001">
        <w:rPr>
          <w:rFonts w:ascii="Times New Roman" w:hAnsi="Times New Roman" w:cs="Times New Roman"/>
          <w:b/>
          <w:bCs/>
          <w:i/>
          <w:iCs/>
          <w:sz w:val="24"/>
          <w:szCs w:val="24"/>
        </w:rPr>
        <w:t>Konsolidētais gada pārskats</w:t>
      </w:r>
    </w:p>
    <w:p w14:paraId="7D51E99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1266.  </w:t>
      </w:r>
      <w:r w:rsidRPr="006F5001">
        <w:rPr>
          <w:rFonts w:ascii="Times New Roman" w:hAnsi="Times New Roman" w:cs="Times New Roman"/>
          <w:sz w:val="24"/>
          <w:szCs w:val="24"/>
        </w:rPr>
        <w:tab/>
        <w:t>Ja koriģējošs vai nekoriģējošs notikums pēc bilances datuma ir iestājies pēc budžeta iestādes gada pārskata apstiprināšanas publiskošanai, budžeta iestāde par attiecīgo notikumu sniedz informāciju tai iestādei, kas veic konsolidāciju.</w:t>
      </w:r>
    </w:p>
    <w:p w14:paraId="4A7ADCC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1267.  </w:t>
      </w:r>
      <w:r w:rsidRPr="006F5001">
        <w:rPr>
          <w:rFonts w:ascii="Times New Roman" w:hAnsi="Times New Roman" w:cs="Times New Roman"/>
          <w:sz w:val="24"/>
          <w:szCs w:val="24"/>
        </w:rPr>
        <w:tab/>
        <w:t>Konsolidējošā iestāde būtiskus koriģējošus un būtiskus un nozīmīgus nekoriģējošus notikumus pēc bilances datuma iekļauj konsolidētajā gada pārskatā, ja tas vēl nav apstiprināts publiskošanai. Par nekoriģējošu notikumu konsolidējošā iestāde izvērtē notikuma būtiskumu (ja ir zināma aplēse) un nozīmīgumu (ja nav zināma aplēse).</w:t>
      </w:r>
    </w:p>
    <w:p w14:paraId="6674D4F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1268.  </w:t>
      </w:r>
      <w:r w:rsidRPr="006F5001">
        <w:rPr>
          <w:rFonts w:ascii="Times New Roman" w:hAnsi="Times New Roman" w:cs="Times New Roman"/>
          <w:sz w:val="24"/>
          <w:szCs w:val="24"/>
        </w:rPr>
        <w:t>Būtiskuma līmeni nosaka saskaņā ar Valsts kases tīmekļa vietnē publicēto informāciju kārtējam gadam. Būtiskuma līmeni katrai iestādei Valsts kase nosaka atsevišķi.</w:t>
      </w:r>
    </w:p>
    <w:p w14:paraId="2B1B3903" w14:textId="77777777" w:rsid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1269.  </w:t>
      </w:r>
      <w:r w:rsidRPr="006F5001">
        <w:rPr>
          <w:rFonts w:ascii="Times New Roman" w:hAnsi="Times New Roman" w:cs="Times New Roman"/>
          <w:sz w:val="24"/>
          <w:szCs w:val="24"/>
        </w:rPr>
        <w:t>Ja pēc ministrijas vai pašvaldības konsolidētā gada pārskata apstiprināšanas publiskošanai ir iestājies koriģējošs vai nekoriģējošs notikums, ministrija vai pašvaldība līdz pārskata gadam sekojošā saimnieciskā gada 10. augustam sniedz informāciju Valsts kasei par būtiskiem koriģējošiem un būtiskiem un nozīmīgiem nekoriģējošiem notikumiem pēc bilances datuma par laika periodu no pārskata apstiprināšanas publiskošanai dienas līdz pārskata gadam sekojošā gada 9. augustam.</w:t>
      </w:r>
    </w:p>
    <w:p w14:paraId="4E66F8C9" w14:textId="77777777" w:rsidR="006F5001" w:rsidRPr="006F5001" w:rsidRDefault="006F5001" w:rsidP="00CD363C">
      <w:pPr>
        <w:spacing w:after="0" w:line="240" w:lineRule="auto"/>
        <w:ind w:right="-142"/>
        <w:jc w:val="both"/>
        <w:rPr>
          <w:rFonts w:ascii="Times New Roman" w:hAnsi="Times New Roman" w:cs="Times New Roman"/>
          <w:b/>
          <w:bCs/>
          <w:i/>
          <w:iCs/>
          <w:sz w:val="24"/>
          <w:szCs w:val="24"/>
        </w:rPr>
      </w:pPr>
      <w:r w:rsidRPr="006F5001">
        <w:rPr>
          <w:rFonts w:ascii="Times New Roman" w:hAnsi="Times New Roman" w:cs="Times New Roman"/>
          <w:b/>
          <w:bCs/>
          <w:i/>
          <w:iCs/>
          <w:sz w:val="24"/>
          <w:szCs w:val="24"/>
        </w:rPr>
        <w:t>Koriģējoši notikumi pēc bilances datuma</w:t>
      </w:r>
    </w:p>
    <w:p w14:paraId="5F6328E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1270.  </w:t>
      </w:r>
      <w:r w:rsidRPr="006F5001">
        <w:rPr>
          <w:rFonts w:ascii="Times New Roman" w:hAnsi="Times New Roman" w:cs="Times New Roman"/>
          <w:sz w:val="24"/>
          <w:szCs w:val="24"/>
        </w:rPr>
        <w:t>Koriģējošs notikums pēc bilances datuma ir notikums, kas sniedz pierādījumus par apstākļiem, kas pastāvējuši bilances datumā un attiecas uz pārskata gadu.</w:t>
      </w:r>
    </w:p>
    <w:p w14:paraId="7A25501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1271.  </w:t>
      </w:r>
      <w:r w:rsidRPr="006F5001">
        <w:rPr>
          <w:rFonts w:ascii="Times New Roman" w:hAnsi="Times New Roman" w:cs="Times New Roman"/>
          <w:sz w:val="24"/>
          <w:szCs w:val="24"/>
        </w:rPr>
        <w:t>Ja konstatēts koriģējošs notikums pēc budžeta iestādes bilances datuma, bet līdz iestādes pārskata apstiprināšanas publiskošanai datumam, tad budžeta iestāde koriģē finanšu pārskatā uzrādāmās summas.</w:t>
      </w:r>
    </w:p>
    <w:p w14:paraId="047DFC8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1272.  </w:t>
      </w:r>
      <w:r w:rsidRPr="006F5001">
        <w:rPr>
          <w:rFonts w:ascii="Times New Roman" w:hAnsi="Times New Roman" w:cs="Times New Roman"/>
          <w:sz w:val="24"/>
          <w:szCs w:val="24"/>
        </w:rPr>
        <w:tab/>
        <w:t>Koriģējoši notikumi pēc bilances datuma, kuru rezultātā budžeta iestādei jākoriģē finanšu pārskatā uzrādītās summas vai jāuzrāda iepriekš finanšu pārskatā neuzrādīti posteņi, varētu būt, piemēram, šādi:</w:t>
      </w:r>
    </w:p>
    <w:p w14:paraId="704D012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izmaiņas tiesvedības virzībā, piemēram, stājies spēkā tiesas nolēmums, kas apstiprina, ka budžeta iestādei ir bijis pašreizējs pienākums bilances datumā. Šādā gadījumā budžeta iestāde koriģē iepriekš uzrādītos uzkrājumus saistībā ar šo tiesas nolēmumu, jo tiesas lēmums sniedz papildu pierādījumus apstākļiem, vai atzīst jaunu uzkrājumu (vai uzrāda iespējamās saistības, ja nevar veikt ticamu summas aplēsi) saskaņā ar Rokasgrāmatas sadaļā “Uzkrājumu, iespējamo saistību un iespējamo aktīvu uzskaite” noteiktajiem uzskaites principiem;</w:t>
      </w:r>
    </w:p>
    <w:p w14:paraId="5531637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informācijas saņemšana pēc bilances datuma, kas liecina, ka aktīva vērtība bilances datumā bija samazinājusies, piemēram, pēc bilances datuma iegūta informācija par parādnieka maksātnespēju, kas pastāvēja bilances datumā un kas apstiprina, ka prasības neatgūstamība pastāvēja jau bilances datumā. Tādā gadījumā budžeta iestādei jākoriģē prasības uzskaites vērtība, atzīstot prasības vērtības samazinājumu;</w:t>
      </w:r>
    </w:p>
    <w:p w14:paraId="62C2D993" w14:textId="77777777" w:rsid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izmaksu noteikšana pēc bilances datuma tiem aktīviem, kas iegādāti pirms bilances datuma, piemēram, pamatlīdzeklis iegādāts un atzīts uzskaitē pārskata gada decembrī, bet nākamā pārskata gada janvārī konstatēts, ka pamatlīdzekļa vērtībai jāpieskaita vēl kāds rēķins no būvuzņēmēja. Šādā gadījumā budžeta iestādei jāprecizē attiecīgā pamatlīdzekļa sākotnējā vērtība;</w:t>
      </w:r>
    </w:p>
    <w:p w14:paraId="6821BF75"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kļūdu konstatēšana, piemēram, nav iegrāmatots rēķins, kurš attiecas uz pārskata gadu, taču kļūdas pēc rēķins nav bijis laicīgi piegādāts, kas liecina, ka finanšu pārskats nav sagatavots pareizi.</w:t>
      </w:r>
    </w:p>
    <w:p w14:paraId="71BACA4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1273.</w:t>
      </w:r>
      <w:r w:rsidRPr="006F5001">
        <w:rPr>
          <w:rFonts w:ascii="Times New Roman" w:hAnsi="Times New Roman" w:cs="Times New Roman"/>
          <w:sz w:val="24"/>
          <w:szCs w:val="24"/>
        </w:rPr>
        <w:tab/>
        <w:t>Ja budžeta iestāde ir publiskojusi finanšu pārskatu un ir koriģējošs notikums, budžeta iestāde sniedz informāciju iestādei, kas veic konsolidāciju (nozarei vai pašvaldībai vai Valsts kasei), lai tā veiktu koriģējoša notikuma iekļaušanu konsolidētajā finanšu pārskatā.</w:t>
      </w:r>
    </w:p>
    <w:p w14:paraId="25EF4A1B"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1274.</w:t>
      </w:r>
      <w:r w:rsidRPr="006F5001">
        <w:rPr>
          <w:rFonts w:ascii="Times New Roman" w:hAnsi="Times New Roman" w:cs="Times New Roman"/>
          <w:sz w:val="24"/>
          <w:szCs w:val="24"/>
        </w:rPr>
        <w:tab/>
        <w:t>Koriģējošus notikumus pēc bilances datuma iestāde savā finanšu pārskatā uzrāda, koriģējot posteņos jau iekļautās summas vai iekļaujot jaunus posteņus.</w:t>
      </w:r>
    </w:p>
    <w:p w14:paraId="67FAC3C0"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1275.</w:t>
      </w:r>
      <w:r w:rsidRPr="006F5001">
        <w:rPr>
          <w:rFonts w:ascii="Times New Roman" w:hAnsi="Times New Roman" w:cs="Times New Roman"/>
          <w:sz w:val="24"/>
          <w:szCs w:val="24"/>
        </w:rPr>
        <w:tab/>
        <w:t>Par visiem koriģējošiem notikumiem, kas iestājušies pēc iestādes pārskata apstiprināšanas publiskošanai un pirms konsolidētā pārskata apstiprināšanas publiskošanai, konsolidējamā iestāde sniedz informāciju konsolidējošajai iestādei atbilstoši V10. piezīmē noteiktajai struktūrai. Konsolidējošā iestāde izvērtē būtiskumu un iekļauj konsolidētājā pārskatā būtiskos notikumus.</w:t>
      </w:r>
    </w:p>
    <w:p w14:paraId="1A3483B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1276.</w:t>
      </w:r>
      <w:r w:rsidRPr="006F5001">
        <w:rPr>
          <w:rFonts w:ascii="Times New Roman" w:hAnsi="Times New Roman" w:cs="Times New Roman"/>
          <w:sz w:val="24"/>
          <w:szCs w:val="24"/>
        </w:rPr>
        <w:tab/>
        <w:t>Par būtiskiem koriģējošiem notikumiem, kas iestājušies pēc konsolidētā pārskata apstiprināšanas publiskošanai ministrija vai pašvaldība līdz 10. augustam sniedz informāciju Valsts kasei atbilstoši V10. piezīmē noteiktajai struktūrai.</w:t>
      </w:r>
    </w:p>
    <w:p w14:paraId="6BAD59E5" w14:textId="77777777" w:rsidR="006F5001" w:rsidRPr="00980A79"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1277.    </w:t>
      </w:r>
      <w:r w:rsidR="00980A79" w:rsidRPr="00980A79">
        <w:rPr>
          <w:rFonts w:ascii="Times New Roman" w:hAnsi="Times New Roman" w:cs="Times New Roman"/>
          <w:sz w:val="24"/>
          <w:szCs w:val="24"/>
        </w:rPr>
        <w:t>27.6.</w:t>
      </w:r>
      <w:r w:rsidRPr="00980A79">
        <w:rPr>
          <w:rFonts w:ascii="Times New Roman" w:hAnsi="Times New Roman" w:cs="Times New Roman"/>
          <w:sz w:val="24"/>
          <w:szCs w:val="24"/>
        </w:rPr>
        <w:t>.nodaļā “piemēri” sniegti koriģējošo notikumu praktiski piemēri.</w:t>
      </w:r>
    </w:p>
    <w:p w14:paraId="745E874C" w14:textId="77777777" w:rsidR="006F5001" w:rsidRDefault="006F5001" w:rsidP="00CD363C">
      <w:pPr>
        <w:spacing w:after="0" w:line="240" w:lineRule="auto"/>
        <w:ind w:right="-142"/>
        <w:jc w:val="both"/>
        <w:rPr>
          <w:rFonts w:ascii="Times New Roman" w:hAnsi="Times New Roman" w:cs="Times New Roman"/>
          <w:b/>
          <w:bCs/>
          <w:sz w:val="24"/>
          <w:szCs w:val="24"/>
        </w:rPr>
      </w:pPr>
      <w:r w:rsidRPr="006F5001">
        <w:rPr>
          <w:rFonts w:ascii="Times New Roman" w:hAnsi="Times New Roman" w:cs="Times New Roman"/>
          <w:b/>
          <w:bCs/>
          <w:sz w:val="24"/>
          <w:szCs w:val="24"/>
        </w:rPr>
        <w:t>27.4. Gada pārskata struktūra un saturs</w:t>
      </w:r>
    </w:p>
    <w:p w14:paraId="69795808"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1278.  </w:t>
      </w:r>
      <w:r w:rsidRPr="006F5001">
        <w:rPr>
          <w:rFonts w:ascii="Times New Roman" w:hAnsi="Times New Roman" w:cs="Times New Roman"/>
          <w:sz w:val="24"/>
          <w:szCs w:val="24"/>
        </w:rPr>
        <w:t>Gada pārskats kā vienots kopums sastāv no vadības ziņojuma, finanšu pārskata un budžeta izpildes pārskata.</w:t>
      </w:r>
    </w:p>
    <w:p w14:paraId="6F331A9F"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1279</w:t>
      </w:r>
      <w:r w:rsidRPr="006F5001">
        <w:rPr>
          <w:rFonts w:ascii="Times New Roman" w:hAnsi="Times New Roman" w:cs="Times New Roman"/>
          <w:sz w:val="24"/>
          <w:szCs w:val="24"/>
        </w:rPr>
        <w:t>.</w:t>
      </w:r>
      <w:r w:rsidRPr="006F5001">
        <w:rPr>
          <w:rFonts w:ascii="Times New Roman" w:hAnsi="Times New Roman" w:cs="Times New Roman"/>
          <w:sz w:val="24"/>
          <w:szCs w:val="24"/>
        </w:rPr>
        <w:tab/>
        <w:t>Savukārt finanšu pārskats sastāv no:</w:t>
      </w:r>
    </w:p>
    <w:p w14:paraId="16913F4C"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par finansiālo stāvokli (bilance);</w:t>
      </w:r>
    </w:p>
    <w:p w14:paraId="5D36121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par darbības finansiālajiem rezultātiem;</w:t>
      </w:r>
    </w:p>
    <w:p w14:paraId="7E5FC64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pašu kapitāla izmaiņu pārskata;</w:t>
      </w:r>
    </w:p>
    <w:p w14:paraId="3B46832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plūsmas pārskata;</w:t>
      </w:r>
    </w:p>
    <w:p w14:paraId="1B228EF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finanšu pārskata pielikuma.</w:t>
      </w:r>
    </w:p>
    <w:p w14:paraId="17D46A9C" w14:textId="77777777" w:rsid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1280.</w:t>
      </w:r>
      <w:r w:rsidRPr="006F5001">
        <w:rPr>
          <w:rFonts w:ascii="Times New Roman" w:hAnsi="Times New Roman" w:cs="Times New Roman"/>
          <w:sz w:val="24"/>
          <w:szCs w:val="24"/>
        </w:rPr>
        <w:tab/>
        <w:t>Gada pārskata struktūra ilustratīvi uzrādīta 3.attēlā.</w:t>
      </w:r>
    </w:p>
    <w:p w14:paraId="4B0AAF5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noProof/>
        </w:rPr>
        <w:drawing>
          <wp:inline distT="0" distB="0" distL="0" distR="0" wp14:anchorId="5CD16815" wp14:editId="6892E164">
            <wp:extent cx="6210935" cy="11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10935" cy="1111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5DDAB84" wp14:editId="0409E044">
            <wp:extent cx="5514340" cy="3399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14340" cy="3399790"/>
                    </a:xfrm>
                    <a:prstGeom prst="rect">
                      <a:avLst/>
                    </a:prstGeom>
                    <a:noFill/>
                  </pic:spPr>
                </pic:pic>
              </a:graphicData>
            </a:graphic>
          </wp:inline>
        </w:drawing>
      </w:r>
    </w:p>
    <w:p w14:paraId="73F4D605" w14:textId="77777777" w:rsidR="00CA64DE" w:rsidRDefault="006F5001" w:rsidP="00CD363C">
      <w:pPr>
        <w:spacing w:after="0" w:line="240" w:lineRule="auto"/>
        <w:ind w:left="4679" w:right="-142"/>
        <w:jc w:val="both"/>
        <w:rPr>
          <w:rFonts w:ascii="Times New Roman" w:hAnsi="Times New Roman" w:cs="Times New Roman"/>
          <w:sz w:val="24"/>
          <w:szCs w:val="24"/>
        </w:rPr>
      </w:pPr>
      <w:r>
        <w:rPr>
          <w:rFonts w:ascii="Times New Roman" w:hAnsi="Times New Roman" w:cs="Times New Roman"/>
          <w:sz w:val="24"/>
          <w:szCs w:val="24"/>
        </w:rPr>
        <w:t>3.</w:t>
      </w:r>
      <w:r w:rsidRPr="006F5001">
        <w:rPr>
          <w:rFonts w:ascii="Times New Roman" w:hAnsi="Times New Roman" w:cs="Times New Roman"/>
          <w:sz w:val="24"/>
          <w:szCs w:val="24"/>
        </w:rPr>
        <w:t>attēls</w:t>
      </w:r>
    </w:p>
    <w:p w14:paraId="12C379FA"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1281.  </w:t>
      </w:r>
      <w:r w:rsidR="006F5001" w:rsidRPr="006F5001">
        <w:rPr>
          <w:rFonts w:ascii="Times New Roman" w:hAnsi="Times New Roman" w:cs="Times New Roman"/>
          <w:sz w:val="24"/>
          <w:szCs w:val="24"/>
        </w:rPr>
        <w:t>Finanšu pārskats sniedz lietotājiem informāciju par budžeta iestādes aktīviem un saistībām pārskata datumā un resursu plūsmām starp pārskata perioda sākuma un beigu datumiem. Šī informācija lietotājiem noder, vērtējot budžeta iestādes spēju nodrošināt funkciju izpildi esošajā līmenī, kā arī novērtēt resursu apjomu, kas budžeta iestādei var būt nepieciešami turpmāk, lai turpinātu pildīt deleģētās funkcijas.</w:t>
      </w:r>
    </w:p>
    <w:p w14:paraId="702B1E8B"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1282.  </w:t>
      </w:r>
      <w:r w:rsidR="006F5001" w:rsidRPr="006F5001">
        <w:rPr>
          <w:rFonts w:ascii="Times New Roman" w:hAnsi="Times New Roman" w:cs="Times New Roman"/>
          <w:sz w:val="24"/>
          <w:szCs w:val="24"/>
        </w:rPr>
        <w:tab/>
        <w:t>Finanšu pārskatam jāsniedz patiesa informācija par budžeta iestādes finansiālo stāvokli, darbības finansiālajiem rezultātiem, naudas plūsmu un pašu kapitāla izmaiņām. Patiesai uzrādīšanai nepieciešama precīzi sniegta informācija par darījumu rezultātiem, citiem notikumiem un apstākļiem saskaņā aktīvu, saistību, ieņēmumu un izdevumu definīcijām un atzīšanas kritērijiem, kas izklāstīti attiecīgajās Rokasgrāmatas sadaļās.</w:t>
      </w:r>
    </w:p>
    <w:p w14:paraId="413FB993"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1283.  </w:t>
      </w:r>
      <w:r w:rsidR="006F5001" w:rsidRPr="006F5001">
        <w:rPr>
          <w:rFonts w:ascii="Times New Roman" w:hAnsi="Times New Roman" w:cs="Times New Roman"/>
          <w:sz w:val="24"/>
          <w:szCs w:val="24"/>
        </w:rPr>
        <w:t>Lai finanšu pārskatā tiktu sniegta patiesa informācija, budžeta iestāde īsteno sekojošo:</w:t>
      </w:r>
    </w:p>
    <w:p w14:paraId="44BF18A4"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izvēlas un piemēro grāmatvedības uzskaites principus saskaņā ar normatīvo aktīvu prasībām;</w:t>
      </w:r>
    </w:p>
    <w:p w14:paraId="7221160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informāciju, tai skaitā, grāmatvedības uzskaites principus, uzrāda tā, lai šī informācija būtu atbilstoša, ticama, salīdzināma un saprotama;</w:t>
      </w:r>
    </w:p>
    <w:p w14:paraId="7A58060D"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sniedz papildu informāciju gadījumā, ja tā finanšu pārskata informācija, kas sniegta saskaņā ar normatīvo aktu prasībām, nav pietiekama, lai finanšu pārskata lietotāji varētu izprast konkrētu darījumu, citu notikumu un apstākļu ietekmi uz budžeta iestādes finansiālo stāvokli un darbības finansiālajiem rezultātiem.</w:t>
      </w:r>
    </w:p>
    <w:p w14:paraId="1DED2160"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1284.  </w:t>
      </w:r>
      <w:r w:rsidR="006F5001" w:rsidRPr="006F5001">
        <w:rPr>
          <w:rFonts w:ascii="Times New Roman" w:hAnsi="Times New Roman" w:cs="Times New Roman"/>
          <w:sz w:val="24"/>
          <w:szCs w:val="24"/>
        </w:rPr>
        <w:t>Lai nodrošinātu gada pārskata kvalitāti un noderīgumu tā lietotājiem, iestāde, kura veic konsolidāciju, nosaka vienotus grāmatvedības uzskaites pamatprincipus konsolidācijā iesaistītajām iestādēm atbilstoši normatīvajiem aktiem budžeta grāmatvedības jomā.</w:t>
      </w:r>
    </w:p>
    <w:p w14:paraId="2D26351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1285.  </w:t>
      </w:r>
      <w:r w:rsidR="006F5001" w:rsidRPr="006F5001">
        <w:rPr>
          <w:rFonts w:ascii="Times New Roman" w:hAnsi="Times New Roman" w:cs="Times New Roman"/>
          <w:sz w:val="24"/>
          <w:szCs w:val="24"/>
        </w:rPr>
        <w:t>Neatbilstošu grāmatvedības uzskaites principu piemērošanu neattaisno ne informācijas uzrādīšana par piemērotajiem grāmatvedības uzskaites principiem, ne informācijas uzrādīšana finanšu pārskata pielikumā vai paskaidrojošajos materiālos.</w:t>
      </w:r>
    </w:p>
    <w:p w14:paraId="2DCEBB2C"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1286.  </w:t>
      </w:r>
      <w:r w:rsidR="006F5001" w:rsidRPr="006F5001">
        <w:rPr>
          <w:rFonts w:ascii="Times New Roman" w:hAnsi="Times New Roman" w:cs="Times New Roman"/>
          <w:sz w:val="24"/>
          <w:szCs w:val="24"/>
        </w:rPr>
        <w:t>Posteņu uzrādīšana un klasifikācija finanšu pārskatā jāsaglabā nemainīga periodu pēc perioda, ja vien pēc būtiskām izmaiņām budžeta iestādes darbības veidā vai pēc finanšu pārskata pārskatīšanas ir</w:t>
      </w:r>
      <w:r>
        <w:rPr>
          <w:rFonts w:ascii="Times New Roman" w:hAnsi="Times New Roman" w:cs="Times New Roman"/>
          <w:sz w:val="24"/>
          <w:szCs w:val="24"/>
        </w:rPr>
        <w:t xml:space="preserve"> </w:t>
      </w:r>
      <w:r w:rsidR="006F5001" w:rsidRPr="006F5001">
        <w:rPr>
          <w:rFonts w:ascii="Times New Roman" w:hAnsi="Times New Roman" w:cs="Times New Roman"/>
          <w:sz w:val="24"/>
          <w:szCs w:val="24"/>
        </w:rPr>
        <w:t>skaidrs, ka cits uzrādīšanas veids un klasifikācija labāk atbilstu normatīvo aktu noteiktajiem kritērijiem grāmatvedības uzskaites principu izvēlē un piemērošanā vai, ja nepieciešamās izmaiņas nosaka normatīvie akti.</w:t>
      </w:r>
    </w:p>
    <w:p w14:paraId="6EEF535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1287.</w:t>
      </w:r>
      <w:r w:rsidR="006F5001" w:rsidRPr="006F5001">
        <w:rPr>
          <w:rFonts w:ascii="Times New Roman" w:hAnsi="Times New Roman" w:cs="Times New Roman"/>
          <w:sz w:val="24"/>
          <w:szCs w:val="24"/>
        </w:rPr>
        <w:tab/>
        <w:t>Ja budžeta iestāde maina posteņu uzrādīšanas vai klasifikācijas kārtību finanšu pārskatā, salīdzināmās summas jāpārklasificē, ja vien šāda pārklasificēšana ir iespējama. Ja salīdzināmās summas ir pārklasificētas, budžeta iestādei jānorāda:</w:t>
      </w:r>
    </w:p>
    <w:p w14:paraId="6E5CE79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pārklasifikācijas būtība;</w:t>
      </w:r>
    </w:p>
    <w:p w14:paraId="7D2DE55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katra pārklasificētā posteņa vai posteņu grupas summa;</w:t>
      </w:r>
    </w:p>
    <w:p w14:paraId="64C5530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pārklasificēšanas iemesls.</w:t>
      </w:r>
    </w:p>
    <w:p w14:paraId="010F854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1288.  </w:t>
      </w:r>
      <w:r w:rsidR="006F5001" w:rsidRPr="006F5001">
        <w:rPr>
          <w:rFonts w:ascii="Times New Roman" w:hAnsi="Times New Roman" w:cs="Times New Roman"/>
          <w:sz w:val="24"/>
          <w:szCs w:val="24"/>
        </w:rPr>
        <w:t>Ja salīdzināmo summu pārklasificēšana nav iespējama, budžeta iestādei jānorāda:</w:t>
      </w:r>
    </w:p>
    <w:p w14:paraId="4B786B5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iemesls, kāpēc attiecīgās summas nav pārklasificētas;</w:t>
      </w:r>
    </w:p>
    <w:p w14:paraId="65BB39E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kādas korekcijas būtu jāveic, ja attiecīgās summas būtu pārklasificētas.</w:t>
      </w:r>
    </w:p>
    <w:p w14:paraId="5AA85E67"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Pārskats pa finansiālo stāvokli (bilance)</w:t>
      </w:r>
    </w:p>
    <w:p w14:paraId="083A8451"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1289.  </w:t>
      </w:r>
      <w:r w:rsidR="006F5001" w:rsidRPr="006F5001">
        <w:rPr>
          <w:rFonts w:ascii="Times New Roman" w:hAnsi="Times New Roman" w:cs="Times New Roman"/>
          <w:sz w:val="24"/>
          <w:szCs w:val="24"/>
        </w:rPr>
        <w:tab/>
        <w:t>Budžeta iestāde pārskatā par finansiālo stāvokli ilgtermiņa ieguldījumus un apgrozāmos līdzekļus, kā arī ilgtermiņa un īstermiņa saistības uzrāda atsevišķi.</w:t>
      </w:r>
    </w:p>
    <w:p w14:paraId="47F2C44F"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1290.  </w:t>
      </w:r>
      <w:r w:rsidR="006F5001" w:rsidRPr="006F5001">
        <w:rPr>
          <w:rFonts w:ascii="Times New Roman" w:hAnsi="Times New Roman" w:cs="Times New Roman"/>
          <w:sz w:val="24"/>
          <w:szCs w:val="24"/>
        </w:rPr>
        <w:t>Bilances aktīva kopsumma ir vienāda ar bilances pasīva kopsummu.</w:t>
      </w:r>
    </w:p>
    <w:p w14:paraId="4761DCF8"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Pārskats par darbības finansiālajiem rezultātiem</w:t>
      </w:r>
    </w:p>
    <w:p w14:paraId="106700DF"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1291.  </w:t>
      </w:r>
      <w:r w:rsidR="006F5001" w:rsidRPr="006F5001">
        <w:rPr>
          <w:rFonts w:ascii="Times New Roman" w:hAnsi="Times New Roman" w:cs="Times New Roman"/>
          <w:sz w:val="24"/>
          <w:szCs w:val="24"/>
        </w:rPr>
        <w:t>Pārskatā par darbības finansiālajiem rezultātiem budžeta iestāde uzrāda visus pārskata periodā atzītos ieņēmumus un izdevumus saskaņā ar uzkrāšanas principu un budžeta izpildes rezultātu.</w:t>
      </w:r>
    </w:p>
    <w:p w14:paraId="5A99184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1292.</w:t>
      </w:r>
      <w:r w:rsidR="006F5001" w:rsidRPr="006F5001">
        <w:rPr>
          <w:rFonts w:ascii="Times New Roman" w:hAnsi="Times New Roman" w:cs="Times New Roman"/>
          <w:sz w:val="24"/>
          <w:szCs w:val="24"/>
        </w:rPr>
        <w:tab/>
        <w:t>Pārskatā uzrāda arī grāmatvedības aplēšu izmaiņu ietekmi. Tomēr var būt gadījumi, kad konkrētus posteņus var neiekļaut pārskata perioda pārskatā par darbības finansiālajiem rezultātiem, piemēram, kļūdu labošana un grāmatvedības uzskaites principu izmaiņu ietekme, kas tiek uzrādīta pašu kapitāla izmaiņu pārskatā.</w:t>
      </w:r>
    </w:p>
    <w:p w14:paraId="3E44DDD1"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Pašu kapitāla izmaiņu pārskats</w:t>
      </w:r>
    </w:p>
    <w:p w14:paraId="72FE7117"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1293.</w:t>
      </w:r>
      <w:r w:rsidR="006F5001" w:rsidRPr="006F5001">
        <w:rPr>
          <w:rFonts w:ascii="Times New Roman" w:hAnsi="Times New Roman" w:cs="Times New Roman"/>
          <w:sz w:val="24"/>
          <w:szCs w:val="24"/>
        </w:rPr>
        <w:tab/>
        <w:t>Budžeta iestādei jāsniedz pašu kapitāla izmaiņu pārskats, tajā norādot:</w:t>
      </w:r>
    </w:p>
    <w:p w14:paraId="26457B3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perioda budžeta izpildes rezultātu;</w:t>
      </w:r>
    </w:p>
    <w:p w14:paraId="5294AA3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katru pārskata perioda bilances aktīvu vai saistību izmaiņu summu, kas saskaņā ar normatīvo aktu prasībām atzīta tieši pašu kapitālā, un šo posteņu kopsummu;</w:t>
      </w:r>
    </w:p>
    <w:p w14:paraId="2C52295D"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kopējos pārskata perioda ieņēmumus un izdevumus;</w:t>
      </w:r>
    </w:p>
    <w:p w14:paraId="6709AF85"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grāmatvedības uzskaites principu izmaiņu ietekmi un kļūdu labojumus katrai pašu kapitāla sastāvdaļai.</w:t>
      </w:r>
    </w:p>
    <w:p w14:paraId="799F803E"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1294.  </w:t>
      </w:r>
      <w:r w:rsidR="006F5001" w:rsidRPr="006F5001">
        <w:rPr>
          <w:rFonts w:ascii="Times New Roman" w:hAnsi="Times New Roman" w:cs="Times New Roman"/>
          <w:sz w:val="24"/>
          <w:szCs w:val="24"/>
        </w:rPr>
        <w:t>Budžeta iestādei pašu kapitāla izmaiņu pārskatā vai finanšu pārskata pielikumā jāuzrāda arī:</w:t>
      </w:r>
    </w:p>
    <w:p w14:paraId="7707BF2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iepriekšējo periodu budžeta izpildes rezultāta atlikums pārskata perioda sākumā un beigās, un izmaiņas iepriekšējā pārskata perioda laikā;</w:t>
      </w:r>
    </w:p>
    <w:p w14:paraId="7F3E673B"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perioda budžeta izpildes rezultāta atlikums pārskata perioda sākumā un beigās, un izmaiņas pārskata perioda laikā;</w:t>
      </w:r>
    </w:p>
    <w:p w14:paraId="180B37B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katras atsevišķi uzrādītās pašu kapitāla sastāvdaļas (rezerves un budžeta izpildes rezultāta) uzskaites vērtība pārskata perioda sākumā un beigās, atsevišķi uzrādot izmaiņas pārskata perioda laikā.</w:t>
      </w:r>
    </w:p>
    <w:p w14:paraId="01648BD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1295.  </w:t>
      </w:r>
      <w:r w:rsidR="006F5001" w:rsidRPr="006F5001">
        <w:rPr>
          <w:rFonts w:ascii="Times New Roman" w:hAnsi="Times New Roman" w:cs="Times New Roman"/>
          <w:sz w:val="24"/>
          <w:szCs w:val="24"/>
        </w:rPr>
        <w:t>Budžeta iestādes pašu kapitāla izmaiņas starp pārskata perioda sākumu un beigām parāda budžeta iestādes neto aktīvu pieaugumu vai samazinājumu pārskata periodā.</w:t>
      </w:r>
    </w:p>
    <w:p w14:paraId="0955B1B1"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1296.  </w:t>
      </w:r>
      <w:r w:rsidR="006F5001" w:rsidRPr="006F5001">
        <w:rPr>
          <w:rFonts w:ascii="Times New Roman" w:hAnsi="Times New Roman" w:cs="Times New Roman"/>
          <w:sz w:val="24"/>
          <w:szCs w:val="24"/>
        </w:rPr>
        <w:t>Kopējās pašu kapitāla izmaiņas pārskata periodā uzrāda kopējo budžeta izpildes rezultātu pārskata periodā, pārējās bilances aktīvu vai saistību izmaiņas, kas atzītas rezervēs.</w:t>
      </w:r>
    </w:p>
    <w:p w14:paraId="378E8D13"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 xml:space="preserve"> Naudas plūsmas pārskats</w:t>
      </w:r>
    </w:p>
    <w:p w14:paraId="72C6D29A"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1297.  </w:t>
      </w:r>
      <w:r w:rsidR="006F5001" w:rsidRPr="006F5001">
        <w:rPr>
          <w:rFonts w:ascii="Times New Roman" w:hAnsi="Times New Roman" w:cs="Times New Roman"/>
          <w:sz w:val="24"/>
          <w:szCs w:val="24"/>
        </w:rPr>
        <w:t>Naudas plūsmas pārskats sniedz finanšu pārskata lietotājiem informāciju par budžeta iestādes naudas plūsmu, lai varētu novērtēt tās spēju gūt naudas līdzekļu un naudas ekvivalentu ieņēmumus, kā arī tās vajadzības naudas plūsmas izlietošanai.</w:t>
      </w:r>
    </w:p>
    <w:p w14:paraId="508A450C"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1298.  </w:t>
      </w:r>
      <w:r w:rsidR="006F5001" w:rsidRPr="006F5001">
        <w:rPr>
          <w:rFonts w:ascii="Times New Roman" w:hAnsi="Times New Roman" w:cs="Times New Roman"/>
          <w:sz w:val="24"/>
          <w:szCs w:val="24"/>
        </w:rPr>
        <w:t>Naudas plūsmas pārskatam jāparāda attiecīgā perioda naudas plūsmas, kuras klasificētas kā pamatdarbības, ieguldījumu un finansēšanas darbības naudas plūsmas.</w:t>
      </w:r>
    </w:p>
    <w:p w14:paraId="6387B4C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1299.  </w:t>
      </w:r>
      <w:r w:rsidR="006F5001" w:rsidRPr="006F5001">
        <w:rPr>
          <w:rFonts w:ascii="Times New Roman" w:hAnsi="Times New Roman" w:cs="Times New Roman"/>
          <w:sz w:val="24"/>
          <w:szCs w:val="24"/>
        </w:rPr>
        <w:tab/>
        <w:t>Klasifikācija pēc darbības veida sniedz informāciju, kas ļauj lietotājiem novērtēt šo darbību ietekmi uz budžeta iestādes finansiālo stāvokli un naudas līdzekļu un naudas ekvivalentu summu. Šo informāciju var lietot arī, lai novērtētu sakarību starp šīm darbībām.</w:t>
      </w:r>
    </w:p>
    <w:p w14:paraId="682FF55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1300.</w:t>
      </w:r>
      <w:r w:rsidR="006F5001" w:rsidRPr="006F5001">
        <w:rPr>
          <w:rFonts w:ascii="Times New Roman" w:hAnsi="Times New Roman" w:cs="Times New Roman"/>
          <w:sz w:val="24"/>
          <w:szCs w:val="24"/>
        </w:rPr>
        <w:tab/>
        <w:t>Viens darījums var ietvert naudas plūsmas, kuras klasificē dažādi. Piemēram, ja naudas līdzekļu atmaksāšana par aizņēmumu ietver gan procentus, gan pamatsummu, tad procentus un pamatsummu klasificē kā finansēšanas darbību.</w:t>
      </w:r>
    </w:p>
    <w:p w14:paraId="12E3CE6B"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1301.</w:t>
      </w:r>
      <w:r w:rsidR="006F5001" w:rsidRPr="006F5001">
        <w:rPr>
          <w:rFonts w:ascii="Times New Roman" w:hAnsi="Times New Roman" w:cs="Times New Roman"/>
          <w:sz w:val="24"/>
          <w:szCs w:val="24"/>
        </w:rPr>
        <w:tab/>
        <w:t>Pamatdarbības naudas plūsma galvenokārt rodas no budžeta iestādes naudas līdzekļus ienesošajām darbībām. Pamatdarbības naudas plūsma ir, piemēram:</w:t>
      </w:r>
    </w:p>
    <w:p w14:paraId="4872A11C"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nodokļiem un sodiem;</w:t>
      </w:r>
    </w:p>
    <w:p w14:paraId="709B788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maksājumiem par budžeta iestādes sniegtajiem pakalpojumiem;</w:t>
      </w:r>
    </w:p>
    <w:p w14:paraId="176BA63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saņemtajiem transfertu maksājumiem;</w:t>
      </w:r>
    </w:p>
    <w:p w14:paraId="17D4577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kas veikti kā transferti citām budžeta iestādēm to darbības finansēšanai (ieskaitot aizdevumus);</w:t>
      </w:r>
    </w:p>
    <w:p w14:paraId="482B13CB"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preču piegādātājiem un pakalpojumu sniedzējiem;</w:t>
      </w:r>
    </w:p>
    <w:p w14:paraId="37A31DC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darbiniekiem un viņu vārdā veikti naudas līdzekļu maksājumi;</w:t>
      </w:r>
    </w:p>
    <w:p w14:paraId="07B921C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vai maksājumi saistībā ar tiesvedības pabeigšanu.</w:t>
      </w:r>
    </w:p>
    <w:p w14:paraId="6451664B"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1302.</w:t>
      </w:r>
      <w:r w:rsidR="006F5001" w:rsidRPr="006F5001">
        <w:rPr>
          <w:rFonts w:ascii="Times New Roman" w:hAnsi="Times New Roman" w:cs="Times New Roman"/>
          <w:sz w:val="24"/>
          <w:szCs w:val="24"/>
        </w:rPr>
        <w:tab/>
        <w:t>Daži darījumi, piemēram, iekārtas pārdošana, var radīt ieņēmumus vai izdevumus (zaudējumus), kas tiek uzrādīti pārskatā par darbības finansiālajiem rezultātiem. Naudas plūsma saistībā ar šiem darījumiem ir naudas plūsma no ieguldījumu darbības. Tomēr naudas līdzekļu maksājumi, lai izveidotu vai iegādātos aktīvus, kas tiek turēti iznomāšanai citiem un pēc tam tiek turēti pārdošanai, kā aprakstīts Rokasgrāmatas sadaļā “Pamatlīdzekļu uzskaite”, ir pamatdarbības naudas plūsma. Naudas līdzekļu ieņēmumi no šādu aktīvu iznomāšanas un tai sekojošas pārdošanas arī ir pamatdarbības naudas plūsmas.</w:t>
      </w:r>
    </w:p>
    <w:p w14:paraId="21CE426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1303.</w:t>
      </w:r>
      <w:r w:rsidR="006F5001" w:rsidRPr="006F5001">
        <w:rPr>
          <w:rFonts w:ascii="Times New Roman" w:hAnsi="Times New Roman" w:cs="Times New Roman"/>
          <w:sz w:val="24"/>
          <w:szCs w:val="24"/>
        </w:rPr>
        <w:tab/>
        <w:t>Ieguldījumu darbības naudas plūsmā uzrāda, cik lieli izdevumi radušies, lai iegūtu resursus, kurus budžeta iestāde paredzējusi izmantot savā turpmākajā darbībā, sniedzot pakalpojumus. Par ieguldījumu darbību var tikt klasificēti tikai tādi izdevumi, kuru rezultātā finanšu stāvokļa pārskatā tiek atzīti aktīvi.</w:t>
      </w:r>
    </w:p>
    <w:p w14:paraId="00D57C1A"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1304.</w:t>
      </w:r>
      <w:r w:rsidR="006F5001" w:rsidRPr="006F5001">
        <w:rPr>
          <w:rFonts w:ascii="Times New Roman" w:hAnsi="Times New Roman" w:cs="Times New Roman"/>
          <w:sz w:val="24"/>
          <w:szCs w:val="24"/>
        </w:rPr>
        <w:tab/>
        <w:t>Naudas plūsma no ieguldījumu darbības ir, piemēram:</w:t>
      </w:r>
    </w:p>
    <w:p w14:paraId="1906A46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lai iegādātos pamatlīdzekļus, nemateriālos aktīvus un citus ilgtermiņa aktīvus, tai skaitā maksājumi kas attiecas uz kapitalizētām attīstības izmaksām un pašradītiem pamatlīdzekļiem;</w:t>
      </w:r>
    </w:p>
    <w:p w14:paraId="2EDDA45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pamatlīdzekļu, nemateriālo aktīvu un citu ilgtermiņa aktīvu pārdošanas;</w:t>
      </w:r>
    </w:p>
    <w:p w14:paraId="07F56C7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lai iegādātos kapitālsabiedrību daļas un akcijas vai parāda instrumentus (kas nav maksājumi par instrumentiem, kurus uzskata par naudas ekvivalentiem vai tur tirdzniecības nolūkā);</w:t>
      </w:r>
    </w:p>
    <w:p w14:paraId="6D4DDEF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 xml:space="preserve"> </w:t>
      </w:r>
    </w:p>
    <w:p w14:paraId="5F6E820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kapitālsabiedrību daļu un akciju vai parāda instrumentu pārdošanas (kas nav nauda, kas saņemta par instrumentiem, kurus uzskata par naudas ekvivalentiem un kurus tur tirdzniecības nolūkā);</w:t>
      </w:r>
    </w:p>
    <w:p w14:paraId="2D7E364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avansa maksājumi par nemateriālajiem ieguldījumiem un pamatlīdzekļiem;</w:t>
      </w:r>
    </w:p>
    <w:p w14:paraId="5DF6354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atmaksātiem avansiem par nemateriālajiem ieguldījumiem un pamatlīdzekļiem un aizdevumiem, kas izsniegti trešajām pusēm;</w:t>
      </w:r>
    </w:p>
    <w:p w14:paraId="4967216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par standartizētiem nākotnes līgumiem, nestandartizētiem nākotnes līgumiem, iespēju līgumiem un mijmaiņas līgumiem, izņemot gadījumus, ja samaksātie naudas līdzekļi klasificēti kā finansēšanas darbības naudas plūsma;</w:t>
      </w:r>
    </w:p>
    <w:p w14:paraId="1478B41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standartizētiem nākotnes līgumiem, nestandartizētiem nākotnes līgumiem, iespēju līgumiem un mijmaiņas līgumiem, izņemot gadījumus, ja saņemtie naudas līdzekļi klasificēti kā finansēšanas darbības naudas plūsma.</w:t>
      </w:r>
    </w:p>
    <w:p w14:paraId="75A0FFF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1305.</w:t>
      </w:r>
      <w:r w:rsidR="006F5001" w:rsidRPr="006F5001">
        <w:rPr>
          <w:rFonts w:ascii="Times New Roman" w:hAnsi="Times New Roman" w:cs="Times New Roman"/>
          <w:sz w:val="24"/>
          <w:szCs w:val="24"/>
        </w:rPr>
        <w:tab/>
        <w:t>Finansēšanas darbības naudas plūsma ir, piemēram:</w:t>
      </w:r>
    </w:p>
    <w:p w14:paraId="3C88700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vērtspapīru (obligāciju, parādzīmju), hipotēku emisijas un no citiem finanšu instrumentiem;</w:t>
      </w:r>
    </w:p>
    <w:p w14:paraId="593DEF7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līdzekļi, kas atmaksāti par aizņēmumiem (pamatsumma un procenti);</w:t>
      </w:r>
    </w:p>
    <w:p w14:paraId="38179F6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lai samazinātu saistības par finanšu nomu.</w:t>
      </w:r>
    </w:p>
    <w:p w14:paraId="7D4B656B" w14:textId="77777777" w:rsidR="006F5001" w:rsidRPr="006F5001" w:rsidRDefault="006F5001" w:rsidP="00CD363C">
      <w:pPr>
        <w:spacing w:after="0" w:line="240" w:lineRule="auto"/>
        <w:ind w:right="-142"/>
        <w:jc w:val="both"/>
        <w:rPr>
          <w:rFonts w:ascii="Times New Roman" w:hAnsi="Times New Roman" w:cs="Times New Roman"/>
          <w:sz w:val="24"/>
          <w:szCs w:val="24"/>
        </w:rPr>
      </w:pPr>
    </w:p>
    <w:p w14:paraId="507EB7C0"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Finanšu pārskata pielikums</w:t>
      </w:r>
    </w:p>
    <w:p w14:paraId="285C209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1306.</w:t>
      </w:r>
      <w:r w:rsidR="006F5001" w:rsidRPr="006F5001">
        <w:rPr>
          <w:rFonts w:ascii="Times New Roman" w:hAnsi="Times New Roman" w:cs="Times New Roman"/>
          <w:sz w:val="24"/>
          <w:szCs w:val="24"/>
        </w:rPr>
        <w:tab/>
        <w:t>Finanšu pārskata pielikums:</w:t>
      </w:r>
    </w:p>
    <w:p w14:paraId="715ADA2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sniedz informāciju par finanšu pārskata sagatavošanas pamatprincipiem un konkrētiem grāmatvedības uzskaites principiem;</w:t>
      </w:r>
    </w:p>
    <w:p w14:paraId="4570FFA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uzrāda normatīvajos aktos pieprasīto informāciju, kas nav uzrādīta pārskatā par finansiālo stāvokli, pārskatā par darbības finansiālajiem rezultātiem, pašu kapitāla izmaiņu pārskatā vai naudas plūsmas pārskatā;</w:t>
      </w:r>
    </w:p>
    <w:p w14:paraId="1B0DC8D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sniedz papildu informāciju, kas nav uzrādīta pārskatā par finansiālo stāvokli, pārskatā par darbības finansiālajiem rezultātiem, pašu kapitāla izmaiņu pārskatā vai naudas plūsmas pārskatā, bet ir būtiska jebkura no iepriekš minētajiem pārskatiem izpratnei.</w:t>
      </w:r>
    </w:p>
    <w:p w14:paraId="7ADEF25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1307.  </w:t>
      </w:r>
      <w:r w:rsidR="006F5001" w:rsidRPr="006F5001">
        <w:rPr>
          <w:rFonts w:ascii="Times New Roman" w:hAnsi="Times New Roman" w:cs="Times New Roman"/>
          <w:sz w:val="24"/>
          <w:szCs w:val="24"/>
        </w:rPr>
        <w:t>Finanšu pārskata pielikumā sniedz informāciju par katru posteni pārskatā par finansiālo stāvokli, pārskatā par darbības finansiālajiem rezultātiem, pašu kapitāla izmaiņu pārskatā un naudas plūsmas pārskatā, norādot konkrētās piezīmes numuru.</w:t>
      </w:r>
    </w:p>
    <w:p w14:paraId="5604C93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1308.</w:t>
      </w:r>
      <w:r w:rsidR="006F5001" w:rsidRPr="006F5001">
        <w:rPr>
          <w:rFonts w:ascii="Times New Roman" w:hAnsi="Times New Roman" w:cs="Times New Roman"/>
          <w:sz w:val="24"/>
          <w:szCs w:val="24"/>
        </w:rPr>
        <w:tab/>
        <w:t>Finanšu pārskata pielikumu sniedz šādā secībā, kas palīdz lietotājiem izprast finanšu pārskatu un salīdzināt to ar citu budžeta iestāžu finanšu pārskatiem:</w:t>
      </w:r>
    </w:p>
    <w:p w14:paraId="10A7ADA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informāciju par atbilstību normatīvajiem aktiem;</w:t>
      </w:r>
    </w:p>
    <w:p w14:paraId="0BBCB5E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nozīmīgu piemēroto grāmatvedības uzskaites principu kopsavilkums;</w:t>
      </w:r>
    </w:p>
    <w:p w14:paraId="619A620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papildu informācija par pārskatā par finansiālo stāvokli, naudas plūsmas pārskatā, pārskatā par darbības finansiālajiem rezultātiem, uzrādītajiem posteņiem tādā secībā, kādā sniegts katrs pārskats un uzrādīts katrs postenis (pašu kapitāla izmaiņas skaidro pie finansiālā stāvokļa atbilstošā posteņa);</w:t>
      </w:r>
    </w:p>
    <w:p w14:paraId="7AAEEECB"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cita informācija, tai skaitā, iespējamās saistības un neatzītās līgumiskās saistības un nefinansiāla rakstura informācija, piemēram, budžeta iestādes riska pārvaldības mērķi un principi.</w:t>
      </w:r>
    </w:p>
    <w:p w14:paraId="240BDC8E"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1309.</w:t>
      </w:r>
      <w:r w:rsidR="006F5001" w:rsidRPr="006F5001">
        <w:rPr>
          <w:rFonts w:ascii="Times New Roman" w:hAnsi="Times New Roman" w:cs="Times New Roman"/>
          <w:sz w:val="24"/>
          <w:szCs w:val="24"/>
        </w:rPr>
        <w:tab/>
        <w:t>Dažos gadījumos var būt nepieciešams vai vēlams mainīt atsevišķu pielikumos uzrādīto posteņu secību. Piemēram, informāciju par izmaiņām patiesajā vērtībā, kas uzrādīta pārskatā par darbības finansiālajiem rezultātiem, var apvienot ar informāciju par finanšu instrumentu termiņiem, lai gan pirmā attiecas uz informācijas uzrādīšanu pārskatā par darbības finansiālajiem rezultātiem, bet otrā –pārskatā par finansiālo stāvokli. Tomēr jāsaglabā pielikuma sistemātiskā struktūra, ja vien tas ir lietderīgi.</w:t>
      </w:r>
    </w:p>
    <w:p w14:paraId="7619025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1310.</w:t>
      </w:r>
      <w:r w:rsidR="006F5001" w:rsidRPr="006F5001">
        <w:rPr>
          <w:rFonts w:ascii="Times New Roman" w:hAnsi="Times New Roman" w:cs="Times New Roman"/>
          <w:sz w:val="24"/>
          <w:szCs w:val="24"/>
        </w:rPr>
        <w:tab/>
        <w:t>Pielikumu, kas sniedz informāciju par finanšu pārskata sagatavošanas pamatprincipiem un konkrētiem grāmatvedības uzskaites principiem, var uzrādīt kā finanšu pārskata atsevišķu sastāvdaļu.</w:t>
      </w:r>
    </w:p>
    <w:p w14:paraId="387B7369"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Vadības ziņojums</w:t>
      </w:r>
    </w:p>
    <w:p w14:paraId="730758C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1311.</w:t>
      </w:r>
      <w:r w:rsidR="006F5001" w:rsidRPr="006F5001">
        <w:rPr>
          <w:rFonts w:ascii="Times New Roman" w:hAnsi="Times New Roman" w:cs="Times New Roman"/>
          <w:sz w:val="24"/>
          <w:szCs w:val="24"/>
        </w:rPr>
        <w:tab/>
        <w:t>Vadības ziņojumā sniedz informāciju par iestādes attīstību (darbību pārskata gadā), kā arī informāciju par būtiskiem riskiem un neskaidriem apstākļiem, ar kuriem iestāde saskaras.</w:t>
      </w:r>
    </w:p>
    <w:p w14:paraId="7BE6087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1312.</w:t>
      </w:r>
      <w:r w:rsidR="006F5001" w:rsidRPr="006F5001">
        <w:rPr>
          <w:rFonts w:ascii="Times New Roman" w:hAnsi="Times New Roman" w:cs="Times New Roman"/>
          <w:sz w:val="24"/>
          <w:szCs w:val="24"/>
        </w:rPr>
        <w:tab/>
        <w:t>Vadības ziņojumā budžeta iestāde sniedz sekojošas ziņas:</w:t>
      </w:r>
    </w:p>
    <w:p w14:paraId="42DF710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normatīvie akti, kas saistīti ar iestādes pamatdarbību. Piemēram, tiešās pārvaldes iestādes norāda Ministru kabineta apstiprinātu nolikumu; pastarpinātās pārvaldes iestādes norāda atvasinātas publiskas personas apstiprinātu nolikumu;</w:t>
      </w:r>
    </w:p>
    <w:p w14:paraId="10FF20FD"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iestādes galvenās funkcijas. Piemēram, atbilstoši budžeta iestādes nolikumam;</w:t>
      </w:r>
    </w:p>
    <w:p w14:paraId="26A1336C"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iestādes darbības laiks gadījumā, ja tas ir ierobežots. Piemēram, ja iestāde izveidota uz konkrētu laika periodu vai konkrēta uzdevuma izpildei;</w:t>
      </w:r>
    </w:p>
    <w:p w14:paraId="113E81D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galvenie notikumi, kas ietekmējuši iestādes darbību pārskata gadā. Piemēram, nozīmīga ārvalstu finanšu palīdzības līdzfinansēta projekta uzsākšana vai noslēgšana; pieņemts tiesību akts par izmaiņām iestādes funkcijās;</w:t>
      </w:r>
    </w:p>
    <w:p w14:paraId="2607D32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būtiskas pārmaiņas iestādes darbībā. Piemēram, jaunu funkciju deleģējums vai noteiktu funkciju nodrošināšanas izbeigšana;</w:t>
      </w:r>
    </w:p>
    <w:p w14:paraId="153C1B9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paredzamie notikumi, kas varētu būtiski ietekmēt iestādes darbību nākotnē. Piemēram, plānota iestādes reorganizācija, likvidācija vai funkciju nodošana;</w:t>
      </w:r>
    </w:p>
    <w:p w14:paraId="3DFA5D7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būtiski riski un neskaidri apstākļi, ar kuriem iestāde saskaras. Piemēram, tiesvedība, finansējuma pieejamība, izņemot asignējumus no vispārējiem ieņēmumiem;</w:t>
      </w:r>
    </w:p>
    <w:p w14:paraId="48DFBB1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pētniecības un attīstības darbi. Piemēram, nemateriālo ieguldījumu izveidošana;</w:t>
      </w:r>
    </w:p>
    <w:p w14:paraId="4A19A25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finanšu instrumentu izmantošana un finanšu risku vadības mērķi, ja tas ir būtiski iestādes aktīvu, saistību un finansiālā stāvokļa novērtēšanai. Piemēram, aizņēmumi pamatdarbības finansēšanai, kredītrisks, likviditātes risks;</w:t>
      </w:r>
    </w:p>
    <w:p w14:paraId="5476ECC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atsauces uz citiem publiski pieejamiem dokumentiem par iestādes darbību pārskata gadā.</w:t>
      </w:r>
    </w:p>
    <w:p w14:paraId="7165849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Piemēram, atsauce uz publiskajiem gada pārskatiem.</w:t>
      </w:r>
    </w:p>
    <w:p w14:paraId="5E9BDAC9" w14:textId="77777777" w:rsidR="006F5001" w:rsidRPr="006F5001" w:rsidRDefault="006F5001" w:rsidP="00CD363C">
      <w:pPr>
        <w:spacing w:after="0" w:line="240" w:lineRule="auto"/>
        <w:ind w:right="-142"/>
        <w:jc w:val="both"/>
        <w:rPr>
          <w:rFonts w:ascii="Times New Roman" w:hAnsi="Times New Roman" w:cs="Times New Roman"/>
          <w:sz w:val="24"/>
          <w:szCs w:val="24"/>
        </w:rPr>
      </w:pPr>
    </w:p>
    <w:p w14:paraId="1C2533B4" w14:textId="77777777" w:rsidR="006F5001" w:rsidRPr="000934AE" w:rsidRDefault="000934AE" w:rsidP="00CD363C">
      <w:pPr>
        <w:spacing w:after="0" w:line="240" w:lineRule="auto"/>
        <w:ind w:right="-142"/>
        <w:jc w:val="both"/>
        <w:rPr>
          <w:rFonts w:ascii="Times New Roman" w:hAnsi="Times New Roman" w:cs="Times New Roman"/>
          <w:b/>
          <w:bCs/>
          <w:sz w:val="24"/>
          <w:szCs w:val="24"/>
        </w:rPr>
      </w:pPr>
      <w:r w:rsidRPr="000934AE">
        <w:rPr>
          <w:rFonts w:ascii="Times New Roman" w:hAnsi="Times New Roman" w:cs="Times New Roman"/>
          <w:b/>
          <w:bCs/>
          <w:sz w:val="24"/>
          <w:szCs w:val="24"/>
        </w:rPr>
        <w:t xml:space="preserve">27.5. </w:t>
      </w:r>
      <w:r w:rsidR="006F5001" w:rsidRPr="000934AE">
        <w:rPr>
          <w:rFonts w:ascii="Times New Roman" w:hAnsi="Times New Roman" w:cs="Times New Roman"/>
          <w:b/>
          <w:bCs/>
          <w:sz w:val="24"/>
          <w:szCs w:val="24"/>
        </w:rPr>
        <w:t>Konsolidācija</w:t>
      </w:r>
    </w:p>
    <w:p w14:paraId="5A3D3C5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1313.</w:t>
      </w:r>
      <w:r w:rsidR="006F5001" w:rsidRPr="006F5001">
        <w:rPr>
          <w:rFonts w:ascii="Times New Roman" w:hAnsi="Times New Roman" w:cs="Times New Roman"/>
          <w:sz w:val="24"/>
          <w:szCs w:val="24"/>
        </w:rPr>
        <w:tab/>
        <w:t>Konsolidēto finanšu pārskatu sagatavo, apvienojot konsolidācijā iesaistīto iestāžu finanšu pārskatu attiecīgajos posteņos norādītās summas.</w:t>
      </w:r>
    </w:p>
    <w:p w14:paraId="7A406EB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1314.</w:t>
      </w:r>
      <w:r w:rsidR="006F5001" w:rsidRPr="006F5001">
        <w:rPr>
          <w:rFonts w:ascii="Times New Roman" w:hAnsi="Times New Roman" w:cs="Times New Roman"/>
          <w:sz w:val="24"/>
          <w:szCs w:val="24"/>
        </w:rPr>
        <w:tab/>
        <w:t>Budžeta iestāde, sagatavojot konsolidēto finanšu pārskatu, izslēdz darījumus, kas notikuši starp pārskatā iekļautajām budžeta iestādēm.</w:t>
      </w:r>
    </w:p>
    <w:p w14:paraId="14E3E9D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1315.</w:t>
      </w:r>
      <w:r w:rsidR="006F5001" w:rsidRPr="006F5001">
        <w:rPr>
          <w:rFonts w:ascii="Times New Roman" w:hAnsi="Times New Roman" w:cs="Times New Roman"/>
          <w:sz w:val="24"/>
          <w:szCs w:val="24"/>
        </w:rPr>
        <w:tab/>
        <w:t>Konsolidācijā iekļauto iestāžu gada pārskatus sagatavo pēc stāvokļa uz vienu un to pašu pārskata datumu.</w:t>
      </w:r>
    </w:p>
    <w:p w14:paraId="068E1601"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1316. </w:t>
      </w:r>
      <w:r w:rsidR="006F5001" w:rsidRPr="006F5001">
        <w:rPr>
          <w:rFonts w:ascii="Times New Roman" w:hAnsi="Times New Roman" w:cs="Times New Roman"/>
          <w:sz w:val="24"/>
          <w:szCs w:val="24"/>
        </w:rPr>
        <w:t>Sagatavojot konsolidēto gada pārskatu, posteņu novērtēšanā lieto vienas un tās pašas grāmatvedības uzskaites principus un vienus un to pašus novērtēšanas noteikumus.</w:t>
      </w:r>
    </w:p>
    <w:p w14:paraId="13EEC96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1317.</w:t>
      </w:r>
      <w:r w:rsidR="006F5001" w:rsidRPr="006F5001">
        <w:rPr>
          <w:rFonts w:ascii="Times New Roman" w:hAnsi="Times New Roman" w:cs="Times New Roman"/>
          <w:sz w:val="24"/>
          <w:szCs w:val="24"/>
        </w:rPr>
        <w:tab/>
        <w:t>Konsolidācijas procesā izslēdz iesaistīto iestāžu savstarpējos darījumus un atlikumus aptverot visus finanšu pārskata posteņus.</w:t>
      </w:r>
    </w:p>
    <w:p w14:paraId="4AB05DB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1318.</w:t>
      </w:r>
      <w:r w:rsidR="006F5001" w:rsidRPr="006F5001">
        <w:rPr>
          <w:rFonts w:ascii="Times New Roman" w:hAnsi="Times New Roman" w:cs="Times New Roman"/>
          <w:sz w:val="24"/>
          <w:szCs w:val="24"/>
        </w:rPr>
        <w:tab/>
        <w:t>Konsolidētajā pārskatā tiek izslēgti savstarpējie darījumi, piemēram, savstarpējie maksājumi, transferti, pamatlīdzekļu un krājumu nodošana un saņemšana starp padotībā esošajām iestādēm.</w:t>
      </w:r>
    </w:p>
    <w:p w14:paraId="6B08EAC8"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 xml:space="preserve"> </w:t>
      </w:r>
    </w:p>
    <w:p w14:paraId="5023F3AA" w14:textId="77777777" w:rsidR="006F5001" w:rsidRPr="000934AE" w:rsidRDefault="000934AE" w:rsidP="00CD363C">
      <w:pPr>
        <w:spacing w:after="0" w:line="240" w:lineRule="auto"/>
        <w:ind w:right="-142"/>
        <w:jc w:val="both"/>
        <w:rPr>
          <w:rFonts w:ascii="Times New Roman" w:hAnsi="Times New Roman" w:cs="Times New Roman"/>
          <w:b/>
          <w:bCs/>
          <w:sz w:val="24"/>
          <w:szCs w:val="24"/>
        </w:rPr>
      </w:pPr>
      <w:r w:rsidRPr="000934AE">
        <w:rPr>
          <w:rFonts w:ascii="Times New Roman" w:hAnsi="Times New Roman" w:cs="Times New Roman"/>
          <w:b/>
          <w:bCs/>
          <w:sz w:val="24"/>
          <w:szCs w:val="24"/>
        </w:rPr>
        <w:t>27.6.</w:t>
      </w:r>
      <w:r w:rsidR="006F5001" w:rsidRPr="000934AE">
        <w:rPr>
          <w:rFonts w:ascii="Times New Roman" w:hAnsi="Times New Roman" w:cs="Times New Roman"/>
          <w:b/>
          <w:bCs/>
          <w:sz w:val="24"/>
          <w:szCs w:val="24"/>
        </w:rPr>
        <w:tab/>
        <w:t>Gada pārskatu revīzija</w:t>
      </w:r>
    </w:p>
    <w:p w14:paraId="0E47A81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1319.  </w:t>
      </w:r>
      <w:r w:rsidR="006F5001" w:rsidRPr="006F5001">
        <w:rPr>
          <w:rFonts w:ascii="Times New Roman" w:hAnsi="Times New Roman" w:cs="Times New Roman"/>
          <w:sz w:val="24"/>
          <w:szCs w:val="24"/>
        </w:rPr>
        <w:t>Budžeta iestādes gada pārskata revīzija tiek nodrošināta sekojošā kārtībā:</w:t>
      </w:r>
    </w:p>
    <w:p w14:paraId="6E0819F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ministriju un citu centrālo valsts iestāžu sagatavoto gada pārskatu revidē (pārbauda) Valsts kontrole, kas, atbilstoši Valsts kontroles likumam, katru gadu sniedz atzinumu par ministriju un citu centrālo valsts iestāžu gada pārskatu sagatavošanas pareizību. Budžeta iestāde iesniedz Valsts kontrolei tās noteiktajā kārtībā un termiņā visus ar revīziju saistītos grāmatvedības reģistrus un dokumentus, kā arī sniedz visu ar revīziju saistīto informāciju un paskaidrojumus;</w:t>
      </w:r>
    </w:p>
    <w:p w14:paraId="47D9585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pašvaldības, no valsts budžeta daļēji finansētas atvasinātas publiskas personas sagatavoto gada pārskatu revidē (pārbauda) pašvaldības uzaicināta zvērinātu revidentu komercsabiedrība vai zvērināts revidents, kas veic pašvaldības finanšu revīziju, revīzijas pārskata sagatavošanu un sniedz atzinumu par saimnieciskā gada pārskatu.</w:t>
      </w:r>
    </w:p>
    <w:p w14:paraId="781E2D2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1320.  </w:t>
      </w:r>
      <w:r w:rsidR="006F5001" w:rsidRPr="006F5001">
        <w:rPr>
          <w:rFonts w:ascii="Times New Roman" w:hAnsi="Times New Roman" w:cs="Times New Roman"/>
          <w:sz w:val="24"/>
          <w:szCs w:val="24"/>
        </w:rPr>
        <w:t>Budžeta iestādes gada pārskata, Valsts kase un Valsts ieņēmumu dienests ikgadējā pārskata sagatavošanai, pārbaudei (datu savstarpējās atbilstības pārbaude atbilstoši normatīvajiem aktiem budžeta iestāžu grāmatvedības un budžetu klasifikācijas jomā), parakstīšanai un iesniegšanai lieto informācijas sistēmu "Ministriju, centrālo valsts iestāžu un pašvaldību budžeta pārskatu informācijas sistēma" (ePārskati). Minētais attiecas arī uz valsts budžeta finanšu pārskatu, ko sagatavo Valsts kase, un nodokļu pārskatu, ko sagatavo Valsts ieņēmumu dienests.</w:t>
      </w:r>
    </w:p>
    <w:p w14:paraId="38B762E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1321. </w:t>
      </w:r>
      <w:r w:rsidR="006F5001" w:rsidRPr="006F5001">
        <w:rPr>
          <w:rFonts w:ascii="Times New Roman" w:hAnsi="Times New Roman" w:cs="Times New Roman"/>
          <w:sz w:val="24"/>
          <w:szCs w:val="24"/>
        </w:rPr>
        <w:tab/>
        <w:t>Budžeta iestāde iesniedz Valsts kontrolei vai zvērinātu revidentu komercsabiedrībai/zvērinātajam revidentam budžeta iestādes vadītāja vai tā pilnvarotas personas parakstītu gada pārskatu.</w:t>
      </w:r>
    </w:p>
    <w:p w14:paraId="6E59E5B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1322.</w:t>
      </w:r>
      <w:r w:rsidR="006F5001" w:rsidRPr="006F5001">
        <w:rPr>
          <w:rFonts w:ascii="Times New Roman" w:hAnsi="Times New Roman" w:cs="Times New Roman"/>
          <w:sz w:val="24"/>
          <w:szCs w:val="24"/>
        </w:rPr>
        <w:tab/>
        <w:t>Revidents ir:</w:t>
      </w:r>
    </w:p>
    <w:p w14:paraId="09CDDD3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Valsts kontroles amatpersona, kas sniedz atzinumu par gada pārskata sagatavošanas pareizību;</w:t>
      </w:r>
    </w:p>
    <w:p w14:paraId="39AB80A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zvērināts revidents vai zvērinātu revidentu komercsabiedrības atbildīgais zvērināts revidents, kas sagatavo ziņojumu par gada pārskata revīziju.</w:t>
      </w:r>
    </w:p>
    <w:p w14:paraId="0372ACE8"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1323.</w:t>
      </w:r>
      <w:r w:rsidR="006F5001" w:rsidRPr="006F5001">
        <w:rPr>
          <w:rFonts w:ascii="Times New Roman" w:hAnsi="Times New Roman" w:cs="Times New Roman"/>
          <w:sz w:val="24"/>
          <w:szCs w:val="24"/>
        </w:rPr>
        <w:tab/>
        <w:t>Revidents ePārskatos pārbauda un apstiprina, ka gada pārskats vai konsolidētais gada pārskats (izņemot apliecinājums Valsts kasei) atbilst tam gada pārskatam vai konsolidētajam gada pārskatam, par kuru revidents sniedzis attiecīgi atzinumu vai ziņojumu.</w:t>
      </w:r>
    </w:p>
    <w:p w14:paraId="616002E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1324.</w:t>
      </w:r>
      <w:r w:rsidR="006F5001" w:rsidRPr="006F5001">
        <w:rPr>
          <w:rFonts w:ascii="Times New Roman" w:hAnsi="Times New Roman" w:cs="Times New Roman"/>
          <w:sz w:val="24"/>
          <w:szCs w:val="24"/>
        </w:rPr>
        <w:tab/>
        <w:t>Budžeta iestādes konsolidētais gada pārskats ir iesniegts datumā, kad revidents ir veicis minētās darbības ePārskatos.</w:t>
      </w:r>
    </w:p>
    <w:p w14:paraId="3B5BD10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1325.</w:t>
      </w:r>
      <w:r w:rsidR="006F5001" w:rsidRPr="006F5001">
        <w:rPr>
          <w:rFonts w:ascii="Times New Roman" w:hAnsi="Times New Roman" w:cs="Times New Roman"/>
          <w:sz w:val="24"/>
          <w:szCs w:val="24"/>
        </w:rPr>
        <w:tab/>
        <w:t>Budžeta iestādes vadītājs vai tā pilnvarota persona, parakstot gada pārskatu, konsolidēto gada pārskatu vai ikgadējo pārskatu vienlaikus apliecina, ka gada pārskata pielikums atbilst minētajam gada pārskatam.</w:t>
      </w:r>
    </w:p>
    <w:p w14:paraId="4C6EB81C"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1326.</w:t>
      </w:r>
      <w:r w:rsidR="006F5001" w:rsidRPr="006F5001">
        <w:rPr>
          <w:rFonts w:ascii="Times New Roman" w:hAnsi="Times New Roman" w:cs="Times New Roman"/>
          <w:sz w:val="24"/>
          <w:szCs w:val="24"/>
        </w:rPr>
        <w:tab/>
        <w:t>Gada pārskatu paraksta arī tā persona (grāmatvedis vai ārpakalpojuma grāmatvedis), kas ar budžeta iestādi ir noslēgusi rakstveida līgumu, kurā noteikti šīs personas pienākumi, tiesības un atbildība grāmatvedības kārtošanas jautājumos, un sagatavojusi minēto pārskatu, norādot vārdu, uzvārdu un pilnu amata nosaukumu vai juridiskās personas nosaukumu, vai komersanta firmu un amata nosaukumu. Budžeta iestāde, kurā ir grāmatvedības struktūrvienība un grāmatvedības darbinieki, var noteikt par grāmatvedības kārtošanu un gada pārskatu sagatavošanu atbildīgo personu (piemēram, galveno grāmatvedi), kura paraksta finanšu pārskatu. Šādā gadījumā gada pārskatā norāda šīs personas vārdu, uzvārdu un pilnu amata nosaukumu.</w:t>
      </w:r>
    </w:p>
    <w:p w14:paraId="4E99D75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1327.</w:t>
      </w:r>
      <w:r w:rsidR="006F5001" w:rsidRPr="006F5001">
        <w:rPr>
          <w:rFonts w:ascii="Times New Roman" w:hAnsi="Times New Roman" w:cs="Times New Roman"/>
          <w:sz w:val="24"/>
          <w:szCs w:val="24"/>
        </w:rPr>
        <w:tab/>
        <w:t>Ministrijas un citas centrālās valsts iestādes, kā arī pašvaldības konsolidēto gada pārskatu iesniedz Valsts kasei līdz pārskata gadam sekojošā saimnieciskā gada 1.maijam saskaņā ar normatīvajiem aktiem budžeta un finanšu jomā.</w:t>
      </w:r>
    </w:p>
    <w:p w14:paraId="7EE74E9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1328</w:t>
      </w:r>
      <w:r w:rsidR="006F5001" w:rsidRPr="006F5001">
        <w:rPr>
          <w:rFonts w:ascii="Times New Roman" w:hAnsi="Times New Roman" w:cs="Times New Roman"/>
          <w:sz w:val="24"/>
          <w:szCs w:val="24"/>
        </w:rPr>
        <w:t>.</w:t>
      </w:r>
      <w:r w:rsidR="006F5001" w:rsidRPr="006F5001">
        <w:rPr>
          <w:rFonts w:ascii="Times New Roman" w:hAnsi="Times New Roman" w:cs="Times New Roman"/>
          <w:sz w:val="24"/>
          <w:szCs w:val="24"/>
        </w:rPr>
        <w:tab/>
        <w:t>Pašvaldības gada pārskatam pievieno neatkarīgu revidentu ziņojumu.</w:t>
      </w:r>
    </w:p>
    <w:p w14:paraId="0ABFE2B6" w14:textId="77777777" w:rsidR="006F5001" w:rsidRPr="000934AE" w:rsidRDefault="000934AE" w:rsidP="00CD363C">
      <w:pPr>
        <w:spacing w:after="0" w:line="240" w:lineRule="auto"/>
        <w:ind w:right="-142"/>
        <w:jc w:val="both"/>
        <w:rPr>
          <w:rFonts w:ascii="Times New Roman" w:hAnsi="Times New Roman" w:cs="Times New Roman"/>
          <w:b/>
          <w:bCs/>
          <w:sz w:val="24"/>
          <w:szCs w:val="24"/>
        </w:rPr>
      </w:pPr>
      <w:r w:rsidRPr="000934AE">
        <w:rPr>
          <w:rFonts w:ascii="Times New Roman" w:hAnsi="Times New Roman" w:cs="Times New Roman"/>
          <w:b/>
          <w:bCs/>
          <w:sz w:val="24"/>
          <w:szCs w:val="24"/>
        </w:rPr>
        <w:t>27.</w:t>
      </w:r>
      <w:r w:rsidR="00A84D5C">
        <w:rPr>
          <w:rFonts w:ascii="Times New Roman" w:hAnsi="Times New Roman" w:cs="Times New Roman"/>
          <w:b/>
          <w:bCs/>
          <w:sz w:val="24"/>
          <w:szCs w:val="24"/>
        </w:rPr>
        <w:t>7</w:t>
      </w:r>
      <w:r w:rsidRPr="000934AE">
        <w:rPr>
          <w:rFonts w:ascii="Times New Roman" w:hAnsi="Times New Roman" w:cs="Times New Roman"/>
          <w:b/>
          <w:bCs/>
          <w:sz w:val="24"/>
          <w:szCs w:val="24"/>
        </w:rPr>
        <w:t xml:space="preserve"> Piemēri.</w:t>
      </w:r>
    </w:p>
    <w:p w14:paraId="7E691563" w14:textId="77777777" w:rsidR="000934AE" w:rsidRPr="000934AE"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1329</w:t>
      </w:r>
      <w:r w:rsidRPr="000934AE">
        <w:rPr>
          <w:rFonts w:ascii="Times New Roman" w:hAnsi="Times New Roman" w:cs="Times New Roman"/>
          <w:b/>
          <w:bCs/>
          <w:sz w:val="24"/>
          <w:szCs w:val="24"/>
        </w:rPr>
        <w:t>.</w:t>
      </w:r>
      <w:r w:rsidRPr="000934AE">
        <w:rPr>
          <w:rFonts w:ascii="Times New Roman" w:hAnsi="Times New Roman" w:cs="Times New Roman"/>
          <w:b/>
          <w:bCs/>
          <w:sz w:val="24"/>
          <w:szCs w:val="24"/>
        </w:rPr>
        <w:tab/>
        <w:t>Piemērs</w:t>
      </w:r>
      <w:r w:rsidRPr="000934AE">
        <w:rPr>
          <w:rFonts w:ascii="Times New Roman" w:hAnsi="Times New Roman" w:cs="Times New Roman"/>
          <w:sz w:val="24"/>
          <w:szCs w:val="24"/>
        </w:rPr>
        <w:t xml:space="preserve"> – iestādes finanšu pārskata koriģējošs notikums pēc bilances datuma</w:t>
      </w:r>
    </w:p>
    <w:p w14:paraId="20667CCA"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Budžeta iestāde, sagatavojot gada pārskatu par 2019.gadu, iegūst papildu informāciju par tiesas procesu, kurā iestāde ir iesaistīta. Tiesas process iesākts 2019.gadā, un tā rezultātā budžeta iestādei var rasties pienākums maksāt prasības pieteicējam noteiktu atlīdzību. Budžeta iestāde ir pārliecināta, ka maksimālā potenciāli maksājamā atlīdzība varētu būt 3 000,00 EUR no kopējās pieteiktās summas 10 000,00 EUR apmērā. 31.12.2019. budžeta iestāde sākotnēji gada pārskatā atzīst uzkrājumus tiesas procesam 3 000,00 EUR apmērā un zembilancē uzrāda iespējamās saistības 7 000,00 EUR apmērā. Pirms gada pārskata apstiprināšanas publiskošanai 30.03.2020. tiek pieņemts galīgais tiesas  spriedums par pieteicēja prasības apmierināšanu    10 000,00 EUR apmērā. Spriedums nav pārsūdzams. Brīdī, kad kļuva zināms tiesas spriedums, pārskats vēl nebija publiskots.</w:t>
      </w:r>
    </w:p>
    <w:p w14:paraId="16CE14BF"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Papildus saņemtā informācija sniedz pierādījumus par apstākļiem, kas jau eksistēja bilances datumā jeb 31.12.2019., un kas attiecas uz pārskata gadu un apstiprina budžeta iestādes pašreizējo pienākumu maksāt 10 000,00 EUR. Šis uzskatāms par koriģējošu notikumu un budžeta iestāde precizē iepriekš atzīto uzkrājumu apmēru.</w:t>
      </w:r>
    </w:p>
    <w:p w14:paraId="7AFEA22C"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w:t>
      </w:r>
      <w:r w:rsidRPr="000934AE">
        <w:rPr>
          <w:rFonts w:ascii="Times New Roman" w:hAnsi="Times New Roman" w:cs="Times New Roman"/>
          <w:sz w:val="24"/>
          <w:szCs w:val="24"/>
        </w:rPr>
        <w:tab/>
        <w:t>tabulā apkopoti piemēra galvenie nosacījumi un 4.attēlā sniegts ilustratīvs piemērs koriģējošam notikumam.</w:t>
      </w:r>
    </w:p>
    <w:p w14:paraId="15A07A6F"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w:t>
      </w:r>
      <w:r w:rsidRPr="000934AE">
        <w:rPr>
          <w:rFonts w:ascii="Times New Roman" w:hAnsi="Times New Roman" w:cs="Times New Roman"/>
          <w:sz w:val="24"/>
          <w:szCs w:val="24"/>
        </w:rPr>
        <w:tab/>
        <w:t>tabula. Piemēra nosacījumi</w:t>
      </w:r>
    </w:p>
    <w:p w14:paraId="48859EF5"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Piemēra nosacījumi (dotie)</w:t>
      </w:r>
      <w:r w:rsidRPr="000934AE">
        <w:rPr>
          <w:rFonts w:ascii="Times New Roman" w:hAnsi="Times New Roman" w:cs="Times New Roman"/>
          <w:sz w:val="24"/>
          <w:szCs w:val="24"/>
        </w:rPr>
        <w:tab/>
      </w:r>
    </w:p>
    <w:p w14:paraId="49300468"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Pārskata periods</w:t>
      </w:r>
      <w:r w:rsidRPr="000934AE">
        <w:rPr>
          <w:rFonts w:ascii="Times New Roman" w:hAnsi="Times New Roman" w:cs="Times New Roman"/>
          <w:sz w:val="24"/>
          <w:szCs w:val="24"/>
        </w:rPr>
        <w:tab/>
        <w:t>01.01.2019. – 31.12.2019.</w:t>
      </w:r>
    </w:p>
    <w:p w14:paraId="5225D6BB"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Bilances datums</w:t>
      </w:r>
      <w:r w:rsidRPr="000934AE">
        <w:rPr>
          <w:rFonts w:ascii="Times New Roman" w:hAnsi="Times New Roman" w:cs="Times New Roman"/>
          <w:sz w:val="24"/>
          <w:szCs w:val="24"/>
        </w:rPr>
        <w:tab/>
        <w:t>31.12.2019.</w:t>
      </w:r>
    </w:p>
    <w:p w14:paraId="10ABB2A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sagatavošanas datums</w:t>
      </w:r>
      <w:r w:rsidRPr="000934AE">
        <w:rPr>
          <w:rFonts w:ascii="Times New Roman" w:hAnsi="Times New Roman" w:cs="Times New Roman"/>
          <w:sz w:val="24"/>
          <w:szCs w:val="24"/>
        </w:rPr>
        <w:tab/>
        <w:t>09.02.2020.</w:t>
      </w:r>
    </w:p>
    <w:p w14:paraId="25F28286"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iesniegšana revidentam datums</w:t>
      </w:r>
      <w:r w:rsidRPr="000934AE">
        <w:rPr>
          <w:rFonts w:ascii="Times New Roman" w:hAnsi="Times New Roman" w:cs="Times New Roman"/>
          <w:sz w:val="24"/>
          <w:szCs w:val="24"/>
        </w:rPr>
        <w:tab/>
        <w:t>13.02.2020.</w:t>
      </w:r>
    </w:p>
    <w:p w14:paraId="638602D4"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Tiesas sprieduma datums</w:t>
      </w:r>
      <w:r w:rsidRPr="000934AE">
        <w:rPr>
          <w:rFonts w:ascii="Times New Roman" w:hAnsi="Times New Roman" w:cs="Times New Roman"/>
          <w:sz w:val="24"/>
          <w:szCs w:val="24"/>
        </w:rPr>
        <w:tab/>
        <w:t>30.03.2020.</w:t>
      </w:r>
    </w:p>
    <w:p w14:paraId="2727690A"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apstiprināšanas publiskošanai datums</w:t>
      </w:r>
      <w:r w:rsidRPr="000934AE">
        <w:rPr>
          <w:rFonts w:ascii="Times New Roman" w:hAnsi="Times New Roman" w:cs="Times New Roman"/>
          <w:sz w:val="24"/>
          <w:szCs w:val="24"/>
        </w:rPr>
        <w:tab/>
        <w:t>10.04.2020.</w:t>
      </w:r>
    </w:p>
    <w:p w14:paraId="2DF57F4C"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Sākotnēji atzīstot uzkrājumus nelabvēlīgam tiesas rezultātam, 31.12.2019. iestāde veic sekojošu grāmatojumu (7 000,00 EUR uzrāda kā iespējamās saistības zembilancē):</w:t>
      </w:r>
    </w:p>
    <w:p w14:paraId="3E215835"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D</w:t>
      </w:r>
      <w:r w:rsidRPr="000934AE">
        <w:rPr>
          <w:rFonts w:ascii="Times New Roman" w:hAnsi="Times New Roman" w:cs="Times New Roman"/>
          <w:sz w:val="24"/>
          <w:szCs w:val="24"/>
        </w:rPr>
        <w:tab/>
        <w:t>8660</w:t>
      </w:r>
      <w:r w:rsidRPr="000934AE">
        <w:rPr>
          <w:rFonts w:ascii="Times New Roman" w:hAnsi="Times New Roman" w:cs="Times New Roman"/>
          <w:sz w:val="24"/>
          <w:szCs w:val="24"/>
        </w:rPr>
        <w:tab/>
        <w:t>Izdevumi uzkrājumu veidošanai</w:t>
      </w:r>
      <w:r w:rsidRPr="000934AE">
        <w:rPr>
          <w:rFonts w:ascii="Times New Roman" w:hAnsi="Times New Roman" w:cs="Times New Roman"/>
          <w:sz w:val="24"/>
          <w:szCs w:val="24"/>
        </w:rPr>
        <w:tab/>
        <w:t>3 000,00 EUR</w:t>
      </w:r>
    </w:p>
    <w:p w14:paraId="2041BBAD"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w:t>
      </w:r>
      <w:r w:rsidRPr="000934AE">
        <w:rPr>
          <w:rFonts w:ascii="Times New Roman" w:hAnsi="Times New Roman" w:cs="Times New Roman"/>
          <w:sz w:val="24"/>
          <w:szCs w:val="24"/>
        </w:rPr>
        <w:tab/>
        <w:t>4000</w:t>
      </w:r>
      <w:r w:rsidRPr="000934AE">
        <w:rPr>
          <w:rFonts w:ascii="Times New Roman" w:hAnsi="Times New Roman" w:cs="Times New Roman"/>
          <w:sz w:val="24"/>
          <w:szCs w:val="24"/>
        </w:rPr>
        <w:tab/>
        <w:t>Uzkrājumi</w:t>
      </w:r>
      <w:r w:rsidRPr="000934AE">
        <w:rPr>
          <w:rFonts w:ascii="Times New Roman" w:hAnsi="Times New Roman" w:cs="Times New Roman"/>
          <w:sz w:val="24"/>
          <w:szCs w:val="24"/>
        </w:rPr>
        <w:tab/>
        <w:t>3 000,00 EUR</w:t>
      </w:r>
    </w:p>
    <w:p w14:paraId="14C9AE32"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Pēc tiesas lēmuma saņemšanas 30.03.2020. budžeta iestāde veic korekcijas sākotnēji atzītajā uzkrājuma apmērā un atzīst uzkrājumu palielinājumu 7 000,00 EUR apmērā 2019. gada bilances datumā, kas sākotnēji tika uzskaitīts zembilancē.</w:t>
      </w:r>
    </w:p>
    <w:p w14:paraId="182C7F8B"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 xml:space="preserve"> Budžeta iestāde veic sekojošu grāmatojumu 31.12.2019.:</w:t>
      </w:r>
    </w:p>
    <w:p w14:paraId="7E25C6F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D</w:t>
      </w:r>
      <w:r w:rsidRPr="000934AE">
        <w:rPr>
          <w:rFonts w:ascii="Times New Roman" w:hAnsi="Times New Roman" w:cs="Times New Roman"/>
          <w:sz w:val="24"/>
          <w:szCs w:val="24"/>
        </w:rPr>
        <w:tab/>
        <w:t>8660</w:t>
      </w:r>
      <w:r w:rsidRPr="000934AE">
        <w:rPr>
          <w:rFonts w:ascii="Times New Roman" w:hAnsi="Times New Roman" w:cs="Times New Roman"/>
          <w:sz w:val="24"/>
          <w:szCs w:val="24"/>
        </w:rPr>
        <w:tab/>
        <w:t>Izdevumi uzkrājumu veidošanai</w:t>
      </w:r>
      <w:r w:rsidRPr="000934AE">
        <w:rPr>
          <w:rFonts w:ascii="Times New Roman" w:hAnsi="Times New Roman" w:cs="Times New Roman"/>
          <w:sz w:val="24"/>
          <w:szCs w:val="24"/>
        </w:rPr>
        <w:tab/>
        <w:t>7 000,00 EUR</w:t>
      </w:r>
    </w:p>
    <w:p w14:paraId="0A4FF3C4"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w:t>
      </w:r>
      <w:r w:rsidRPr="000934AE">
        <w:rPr>
          <w:rFonts w:ascii="Times New Roman" w:hAnsi="Times New Roman" w:cs="Times New Roman"/>
          <w:sz w:val="24"/>
          <w:szCs w:val="24"/>
        </w:rPr>
        <w:tab/>
        <w:t>4000</w:t>
      </w:r>
      <w:r w:rsidRPr="000934AE">
        <w:rPr>
          <w:rFonts w:ascii="Times New Roman" w:hAnsi="Times New Roman" w:cs="Times New Roman"/>
          <w:sz w:val="24"/>
          <w:szCs w:val="24"/>
        </w:rPr>
        <w:tab/>
        <w:t>Uzkrājumi</w:t>
      </w:r>
      <w:r w:rsidRPr="000934AE">
        <w:rPr>
          <w:rFonts w:ascii="Times New Roman" w:hAnsi="Times New Roman" w:cs="Times New Roman"/>
          <w:sz w:val="24"/>
          <w:szCs w:val="24"/>
        </w:rPr>
        <w:tab/>
        <w:t>7 000,00 EUR</w:t>
      </w:r>
    </w:p>
    <w:p w14:paraId="3847527D" w14:textId="77777777" w:rsidR="000934AE" w:rsidRPr="000934AE" w:rsidRDefault="000934AE" w:rsidP="00CD363C">
      <w:pPr>
        <w:spacing w:after="0" w:line="240" w:lineRule="auto"/>
        <w:ind w:right="-142"/>
        <w:jc w:val="both"/>
        <w:rPr>
          <w:rFonts w:ascii="Times New Roman" w:hAnsi="Times New Roman" w:cs="Times New Roman"/>
          <w:sz w:val="24"/>
          <w:szCs w:val="24"/>
        </w:rPr>
      </w:pPr>
    </w:p>
    <w:p w14:paraId="2334464D" w14:textId="77777777" w:rsidR="000934AE" w:rsidRPr="000934AE"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1330.</w:t>
      </w:r>
      <w:r w:rsidRPr="000934AE">
        <w:rPr>
          <w:rFonts w:ascii="Times New Roman" w:hAnsi="Times New Roman" w:cs="Times New Roman"/>
          <w:sz w:val="24"/>
          <w:szCs w:val="24"/>
        </w:rPr>
        <w:tab/>
      </w:r>
      <w:r w:rsidRPr="000934AE">
        <w:rPr>
          <w:rFonts w:ascii="Times New Roman" w:hAnsi="Times New Roman" w:cs="Times New Roman"/>
          <w:b/>
          <w:bCs/>
          <w:sz w:val="24"/>
          <w:szCs w:val="24"/>
        </w:rPr>
        <w:t>Piemērs</w:t>
      </w:r>
      <w:r w:rsidRPr="000934AE">
        <w:rPr>
          <w:rFonts w:ascii="Times New Roman" w:hAnsi="Times New Roman" w:cs="Times New Roman"/>
          <w:sz w:val="24"/>
          <w:szCs w:val="24"/>
        </w:rPr>
        <w:t xml:space="preserve"> - iestādes finanšu pārskata koriģējošs notikums pēc bilances datuma</w:t>
      </w:r>
    </w:p>
    <w:p w14:paraId="2779B6FD"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2020. gada 26. februārī iestādes vadība paraksta 2019. gada pārskatu un revidents sniedz atzinumu. Iestāde ir iesaistīta 2019. gadā sāktā tiesas procesā un tā rezultātā budžeta iestādei var rasties pienākums maksāt pieteicējam noteiktu atlīdzību. Pirms sprieduma pasludināšanas iestāde bija pārliecināta, ka tā tiesā uzvarēs un tādēļ neveidoja uzkrājumu negatīvam tiesas rezultātam. Iestāde 2019. gada pārskatā uzrāda kopējo prasījuma summu 13 000,00 EUR zembilancē kā iespējamās saistības.</w:t>
      </w:r>
    </w:p>
    <w:p w14:paraId="036DD889"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2020.gada 28. februārī iestāde atklāj, ka daļa tās krājumu 300,00 EUR vērtībā mitruma ietekmē ir sabojājušies un, spriežot pēc to stāvokļa tie bija sabojājušies jau bilances datumā.</w:t>
      </w:r>
    </w:p>
    <w:p w14:paraId="2818C455"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2020. gada 27. martā tiesa nolasa spriedumu, kas paredz, ka iestādei būs jāsedz prasība 8 000,00 EUR apmērā. Spriedums nav pārsūdzams.</w:t>
      </w:r>
    </w:p>
    <w:p w14:paraId="5930AC12"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Konsolidētais pārskats brīdī, kad kļuva zināma informācija par pēc bilances notikumiem, vēl nebija parakstīts. Konsolidējošā iestāde ir noteikusi, ka informācija par koriģējošiem un nekoriģējošiem notikumiem konsolidējamām iestādēm tai ir jāsniedz līdz 01.05.2020.</w:t>
      </w:r>
    </w:p>
    <w:p w14:paraId="3B461B69"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3.</w:t>
      </w:r>
      <w:r w:rsidRPr="000934AE">
        <w:rPr>
          <w:rFonts w:ascii="Times New Roman" w:hAnsi="Times New Roman" w:cs="Times New Roman"/>
          <w:sz w:val="24"/>
          <w:szCs w:val="24"/>
        </w:rPr>
        <w:tab/>
        <w:t>tabulā apkopoti piemēra galvenie nosacījumi un 5.attēlā sniegts ilustratīvs piemērs koriģējošam notikumam.</w:t>
      </w:r>
    </w:p>
    <w:p w14:paraId="0B966211"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3.</w:t>
      </w:r>
      <w:r w:rsidRPr="000934AE">
        <w:rPr>
          <w:rFonts w:ascii="Times New Roman" w:hAnsi="Times New Roman" w:cs="Times New Roman"/>
          <w:sz w:val="24"/>
          <w:szCs w:val="24"/>
        </w:rPr>
        <w:tab/>
        <w:t>tabula. Piemēra nosacījumi</w:t>
      </w:r>
    </w:p>
    <w:p w14:paraId="233CCE44"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Piemēra nosacījumi (dotie)</w:t>
      </w:r>
      <w:r w:rsidRPr="000934AE">
        <w:rPr>
          <w:rFonts w:ascii="Times New Roman" w:hAnsi="Times New Roman" w:cs="Times New Roman"/>
          <w:sz w:val="24"/>
          <w:szCs w:val="24"/>
        </w:rPr>
        <w:tab/>
      </w:r>
    </w:p>
    <w:p w14:paraId="6EC1C0FF"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Pārskata periods</w:t>
      </w:r>
      <w:r w:rsidRPr="000934AE">
        <w:rPr>
          <w:rFonts w:ascii="Times New Roman" w:hAnsi="Times New Roman" w:cs="Times New Roman"/>
          <w:sz w:val="24"/>
          <w:szCs w:val="24"/>
        </w:rPr>
        <w:tab/>
        <w:t>01.01.2019. – 31.12.2019.</w:t>
      </w:r>
    </w:p>
    <w:p w14:paraId="1A15DC9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Bilances datums</w:t>
      </w:r>
      <w:r w:rsidRPr="000934AE">
        <w:rPr>
          <w:rFonts w:ascii="Times New Roman" w:hAnsi="Times New Roman" w:cs="Times New Roman"/>
          <w:sz w:val="24"/>
          <w:szCs w:val="24"/>
        </w:rPr>
        <w:tab/>
        <w:t>31.12.2019.</w:t>
      </w:r>
    </w:p>
    <w:p w14:paraId="53BD551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iesniegšana revidentam datums</w:t>
      </w:r>
      <w:r w:rsidRPr="000934AE">
        <w:rPr>
          <w:rFonts w:ascii="Times New Roman" w:hAnsi="Times New Roman" w:cs="Times New Roman"/>
          <w:sz w:val="24"/>
          <w:szCs w:val="24"/>
        </w:rPr>
        <w:tab/>
        <w:t>13.02.2020.</w:t>
      </w:r>
    </w:p>
    <w:p w14:paraId="217730D3"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Tiesas sprieduma datums</w:t>
      </w:r>
      <w:r w:rsidRPr="000934AE">
        <w:rPr>
          <w:rFonts w:ascii="Times New Roman" w:hAnsi="Times New Roman" w:cs="Times New Roman"/>
          <w:sz w:val="24"/>
          <w:szCs w:val="24"/>
        </w:rPr>
        <w:tab/>
        <w:t>27.02.2020.</w:t>
      </w:r>
    </w:p>
    <w:p w14:paraId="7498C8B8"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Krājumu vērtības samazināšanās datums</w:t>
      </w:r>
      <w:r w:rsidRPr="000934AE">
        <w:rPr>
          <w:rFonts w:ascii="Times New Roman" w:hAnsi="Times New Roman" w:cs="Times New Roman"/>
          <w:sz w:val="24"/>
          <w:szCs w:val="24"/>
        </w:rPr>
        <w:tab/>
        <w:t>28.02.2020.</w:t>
      </w:r>
    </w:p>
    <w:p w14:paraId="24593248"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apstiprināšanas publiskošanai datums</w:t>
      </w:r>
      <w:r w:rsidRPr="000934AE">
        <w:rPr>
          <w:rFonts w:ascii="Times New Roman" w:hAnsi="Times New Roman" w:cs="Times New Roman"/>
          <w:sz w:val="24"/>
          <w:szCs w:val="24"/>
        </w:rPr>
        <w:tab/>
        <w:t>26.02.2020.</w:t>
      </w:r>
    </w:p>
    <w:p w14:paraId="0CEABC51" w14:textId="77777777" w:rsidR="006F5001"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Konsolidētā pārskata apstiprināšanas publiskošanai datums</w:t>
      </w:r>
      <w:r w:rsidRPr="000934AE">
        <w:rPr>
          <w:rFonts w:ascii="Times New Roman" w:hAnsi="Times New Roman" w:cs="Times New Roman"/>
          <w:sz w:val="24"/>
          <w:szCs w:val="24"/>
        </w:rPr>
        <w:tab/>
        <w:t>01.05.2020.</w:t>
      </w:r>
    </w:p>
    <w:p w14:paraId="24471FD5" w14:textId="77777777" w:rsidR="000934AE" w:rsidRDefault="000934AE" w:rsidP="00CD363C">
      <w:pPr>
        <w:spacing w:after="0" w:line="240" w:lineRule="auto"/>
        <w:ind w:right="-142"/>
        <w:jc w:val="both"/>
        <w:rPr>
          <w:rFonts w:ascii="Times New Roman" w:hAnsi="Times New Roman" w:cs="Times New Roman"/>
          <w:sz w:val="24"/>
          <w:szCs w:val="24"/>
        </w:rPr>
      </w:pPr>
    </w:p>
    <w:p w14:paraId="579CEEE4" w14:textId="77777777" w:rsidR="000934AE" w:rsidRDefault="000934AE" w:rsidP="00CD363C">
      <w:pPr>
        <w:spacing w:after="0" w:line="240" w:lineRule="auto"/>
        <w:ind w:right="-142"/>
        <w:jc w:val="both"/>
        <w:rPr>
          <w:rFonts w:ascii="Times New Roman" w:hAnsi="Times New Roman" w:cs="Times New Roman"/>
          <w:sz w:val="24"/>
          <w:szCs w:val="24"/>
        </w:rPr>
      </w:pPr>
    </w:p>
    <w:p w14:paraId="3A8589BA" w14:textId="77777777" w:rsidR="000934AE" w:rsidRDefault="000934AE" w:rsidP="00CD363C">
      <w:pPr>
        <w:spacing w:after="0" w:line="240" w:lineRule="auto"/>
        <w:ind w:right="-142"/>
        <w:jc w:val="both"/>
        <w:rPr>
          <w:rFonts w:ascii="Times New Roman" w:hAnsi="Times New Roman" w:cs="Times New Roman"/>
          <w:sz w:val="24"/>
          <w:szCs w:val="24"/>
        </w:rPr>
      </w:pPr>
      <w:r w:rsidRPr="000934AE">
        <w:rPr>
          <w:noProof/>
        </w:rPr>
        <w:drawing>
          <wp:inline distT="0" distB="0" distL="0" distR="0" wp14:anchorId="09ED471B" wp14:editId="6ECD8556">
            <wp:extent cx="7000875" cy="2297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09029" cy="2300274"/>
                    </a:xfrm>
                    <a:prstGeom prst="rect">
                      <a:avLst/>
                    </a:prstGeom>
                    <a:noFill/>
                    <a:ln>
                      <a:noFill/>
                    </a:ln>
                  </pic:spPr>
                </pic:pic>
              </a:graphicData>
            </a:graphic>
          </wp:inline>
        </w:drawing>
      </w:r>
    </w:p>
    <w:p w14:paraId="300189CD" w14:textId="77777777" w:rsidR="000934AE" w:rsidRPr="00BE6A60" w:rsidRDefault="00BE6A60" w:rsidP="00CD363C">
      <w:pPr>
        <w:spacing w:after="0" w:line="240" w:lineRule="auto"/>
        <w:ind w:right="-142"/>
        <w:jc w:val="both"/>
        <w:rPr>
          <w:rFonts w:ascii="Times New Roman" w:hAnsi="Times New Roman" w:cs="Times New Roman"/>
          <w:i/>
          <w:iCs/>
          <w:sz w:val="24"/>
          <w:szCs w:val="24"/>
        </w:rPr>
      </w:pPr>
      <w:r w:rsidRPr="00BE6A60">
        <w:rPr>
          <w:rFonts w:ascii="Times New Roman" w:hAnsi="Times New Roman" w:cs="Times New Roman"/>
          <w:i/>
          <w:iCs/>
          <w:sz w:val="24"/>
          <w:szCs w:val="24"/>
        </w:rPr>
        <w:t>4.tabula</w:t>
      </w:r>
    </w:p>
    <w:p w14:paraId="4610402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 gada 28. februārī iestāde atzīst krājumu zudumus 300,00 EUR apmērā, grāmatojot:</w:t>
      </w:r>
    </w:p>
    <w:p w14:paraId="787A31B1"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8611</w:t>
      </w:r>
      <w:r w:rsidRPr="00BE6A60">
        <w:rPr>
          <w:rFonts w:ascii="Times New Roman" w:hAnsi="Times New Roman" w:cs="Times New Roman"/>
          <w:sz w:val="24"/>
          <w:szCs w:val="24"/>
        </w:rPr>
        <w:tab/>
        <w:t>Izdevumi no nefinanšu aktīvu norakstīšanas un likvidēšanas</w:t>
      </w:r>
      <w:r w:rsidRPr="00BE6A60">
        <w:rPr>
          <w:rFonts w:ascii="Times New Roman" w:hAnsi="Times New Roman" w:cs="Times New Roman"/>
          <w:sz w:val="24"/>
          <w:szCs w:val="24"/>
        </w:rPr>
        <w:tab/>
        <w:t>300,00 EUR</w:t>
      </w:r>
    </w:p>
    <w:p w14:paraId="02D15A7A"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2100</w:t>
      </w:r>
      <w:r w:rsidRPr="00BE6A60">
        <w:rPr>
          <w:rFonts w:ascii="Times New Roman" w:hAnsi="Times New Roman" w:cs="Times New Roman"/>
          <w:sz w:val="24"/>
          <w:szCs w:val="24"/>
        </w:rPr>
        <w:tab/>
        <w:t>Krājumi</w:t>
      </w:r>
      <w:r w:rsidRPr="00BE6A60">
        <w:rPr>
          <w:rFonts w:ascii="Times New Roman" w:hAnsi="Times New Roman" w:cs="Times New Roman"/>
          <w:sz w:val="24"/>
          <w:szCs w:val="24"/>
        </w:rPr>
        <w:tab/>
        <w:t>300,00 EUR</w:t>
      </w:r>
    </w:p>
    <w:p w14:paraId="3488A18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 gada 27. martā iestāde atzīst uzkrājumus tiesvedībai 8 000,00 EUR apmērā, grāmatojot:</w:t>
      </w:r>
    </w:p>
    <w:p w14:paraId="78A8D1FD"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8660</w:t>
      </w:r>
      <w:r w:rsidRPr="00BE6A60">
        <w:rPr>
          <w:rFonts w:ascii="Times New Roman" w:hAnsi="Times New Roman" w:cs="Times New Roman"/>
          <w:sz w:val="24"/>
          <w:szCs w:val="24"/>
        </w:rPr>
        <w:tab/>
        <w:t>Izdevumi uzkrājumu veidošanai</w:t>
      </w:r>
      <w:r w:rsidRPr="00BE6A60">
        <w:rPr>
          <w:rFonts w:ascii="Times New Roman" w:hAnsi="Times New Roman" w:cs="Times New Roman"/>
          <w:sz w:val="24"/>
          <w:szCs w:val="24"/>
        </w:rPr>
        <w:tab/>
        <w:t>8000,00 EUR</w:t>
      </w:r>
    </w:p>
    <w:p w14:paraId="7F8CDEFA"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4200</w:t>
      </w:r>
      <w:r w:rsidRPr="00BE6A60">
        <w:rPr>
          <w:rFonts w:ascii="Times New Roman" w:hAnsi="Times New Roman" w:cs="Times New Roman"/>
          <w:sz w:val="24"/>
          <w:szCs w:val="24"/>
        </w:rPr>
        <w:tab/>
        <w:t>Uzkrājumi paredzamajām saistībām</w:t>
      </w:r>
      <w:r w:rsidRPr="00BE6A60">
        <w:rPr>
          <w:rFonts w:ascii="Times New Roman" w:hAnsi="Times New Roman" w:cs="Times New Roman"/>
          <w:sz w:val="24"/>
          <w:szCs w:val="24"/>
        </w:rPr>
        <w:tab/>
        <w:t>8000,00 EUR</w:t>
      </w:r>
    </w:p>
    <w:p w14:paraId="5A5317A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iesniedz konsolidējošajai iestādei informāciju par koriģējošu notikumu V10.piezīmē</w:t>
      </w:r>
    </w:p>
    <w:p w14:paraId="40BE4A3D" w14:textId="77777777" w:rsidR="00BE6A60" w:rsidRDefault="00BE6A60" w:rsidP="00CD363C">
      <w:pPr>
        <w:spacing w:after="0" w:line="240" w:lineRule="auto"/>
        <w:ind w:right="-142"/>
        <w:jc w:val="both"/>
      </w:pPr>
      <w:r w:rsidRPr="00BE6A60">
        <w:rPr>
          <w:noProof/>
        </w:rPr>
        <w:drawing>
          <wp:inline distT="0" distB="0" distL="0" distR="0" wp14:anchorId="5D812CBA" wp14:editId="3F9DB868">
            <wp:extent cx="7038975" cy="27526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45277" cy="2755157"/>
                    </a:xfrm>
                    <a:prstGeom prst="rect">
                      <a:avLst/>
                    </a:prstGeom>
                    <a:noFill/>
                    <a:ln>
                      <a:noFill/>
                    </a:ln>
                  </pic:spPr>
                </pic:pic>
              </a:graphicData>
            </a:graphic>
          </wp:inline>
        </w:drawing>
      </w:r>
    </w:p>
    <w:p w14:paraId="5F32DC53" w14:textId="77777777" w:rsidR="00BE6A60" w:rsidRPr="00BE6A60" w:rsidRDefault="00BE6A6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1331.</w:t>
      </w:r>
      <w:r w:rsidRPr="00BE6A60">
        <w:rPr>
          <w:rFonts w:ascii="Times New Roman" w:hAnsi="Times New Roman" w:cs="Times New Roman"/>
          <w:sz w:val="24"/>
          <w:szCs w:val="24"/>
        </w:rPr>
        <w:tab/>
      </w:r>
      <w:r w:rsidRPr="00BE6A60">
        <w:rPr>
          <w:rFonts w:ascii="Times New Roman" w:hAnsi="Times New Roman" w:cs="Times New Roman"/>
          <w:b/>
          <w:bCs/>
          <w:sz w:val="24"/>
          <w:szCs w:val="24"/>
        </w:rPr>
        <w:t>Piemērs</w:t>
      </w:r>
      <w:r w:rsidRPr="00BE6A60">
        <w:rPr>
          <w:rFonts w:ascii="Times New Roman" w:hAnsi="Times New Roman" w:cs="Times New Roman"/>
          <w:sz w:val="24"/>
          <w:szCs w:val="24"/>
        </w:rPr>
        <w:t xml:space="preserve"> - iestādes finanšu pārskata nekoriģējošs notikums pēc bilances datuma</w:t>
      </w:r>
    </w:p>
    <w:p w14:paraId="3D3B580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2020.gada 30.martā budžeta iestādes vadītājs paraksta 2019.gada finanšu pārskatu un revidents sniedz atzinumu par pārskata sagatavošanas pareizību. 2020.gada 3.aprīlī budžeta iestāde saņem informāciju par to, ka ir iesaistīta tiesas procesā attiecībā uz notikumu, kas noticis pēc bilances datuma par summu</w:t>
      </w:r>
    </w:p>
    <w:p w14:paraId="28AC283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 xml:space="preserve"> </w:t>
      </w:r>
    </w:p>
    <w:p w14:paraId="6F9041A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25 000,00 EUR. Pēc konsultācijām ar juristiem nelabvēlīgs tiesas spriedums tiek vērtēts kā maz ticams (t.i. ticamība, ka būs jāmaksā ir &lt;50%).</w:t>
      </w:r>
    </w:p>
    <w:p w14:paraId="0C33F59F"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Konsolidētais pārskats brīdī, kad saņēma informāciju par tiesas spriedumu, nebija parakstīts. Konsolidējošā iestāde ir noteikusi, ka informācija par koriģējošiem un nekoriģējošiem notikumiem konsolidējamām iestādēm tai ir jāsniedz līdz 01.05.2020.</w:t>
      </w:r>
    </w:p>
    <w:p w14:paraId="406286BD"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Tā kā notikums nav attiecināms uz pārskata gadu - 2019. gadu un iestāde informāciju par notikumu saņem pēc tās gada pārskata parakstīšanas, tad budžeta iestāde nekādas darbības neveic.</w:t>
      </w:r>
    </w:p>
    <w:p w14:paraId="1ED7E06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4.</w:t>
      </w:r>
      <w:r w:rsidRPr="00BE6A60">
        <w:rPr>
          <w:rFonts w:ascii="Times New Roman" w:hAnsi="Times New Roman" w:cs="Times New Roman"/>
          <w:sz w:val="24"/>
          <w:szCs w:val="24"/>
        </w:rPr>
        <w:tab/>
        <w:t>tabulā apkopoti piemēra galvenie nosacījumi un 5.attēlā sniegts ilustratīvs piemērs koriģējošam notikumam.</w:t>
      </w:r>
    </w:p>
    <w:p w14:paraId="5AC947F4"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4.</w:t>
      </w:r>
      <w:r w:rsidRPr="00BE6A60">
        <w:rPr>
          <w:rFonts w:ascii="Times New Roman" w:hAnsi="Times New Roman" w:cs="Times New Roman"/>
          <w:sz w:val="24"/>
          <w:szCs w:val="24"/>
        </w:rPr>
        <w:tab/>
        <w:t>tabula. Piemēra nosacījumi</w:t>
      </w:r>
    </w:p>
    <w:p w14:paraId="76DA48B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Piemēra nosacījumi (dotie)</w:t>
      </w:r>
      <w:r w:rsidRPr="00BE6A60">
        <w:rPr>
          <w:rFonts w:ascii="Times New Roman" w:hAnsi="Times New Roman" w:cs="Times New Roman"/>
          <w:sz w:val="24"/>
          <w:szCs w:val="24"/>
        </w:rPr>
        <w:tab/>
      </w:r>
    </w:p>
    <w:p w14:paraId="2F25401F"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Pārskata periods</w:t>
      </w:r>
      <w:r w:rsidRPr="00BE6A60">
        <w:rPr>
          <w:rFonts w:ascii="Times New Roman" w:hAnsi="Times New Roman" w:cs="Times New Roman"/>
          <w:sz w:val="24"/>
          <w:szCs w:val="24"/>
        </w:rPr>
        <w:tab/>
        <w:t>01.01.2019. – 31.12.2019.</w:t>
      </w:r>
    </w:p>
    <w:p w14:paraId="4319A76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Bilances datums</w:t>
      </w:r>
      <w:r w:rsidRPr="00BE6A60">
        <w:rPr>
          <w:rFonts w:ascii="Times New Roman" w:hAnsi="Times New Roman" w:cs="Times New Roman"/>
          <w:sz w:val="24"/>
          <w:szCs w:val="24"/>
        </w:rPr>
        <w:tab/>
        <w:t>31.12.2019.</w:t>
      </w:r>
    </w:p>
    <w:p w14:paraId="4A38C2F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sagatavošanas datums</w:t>
      </w:r>
      <w:r w:rsidRPr="00BE6A60">
        <w:rPr>
          <w:rFonts w:ascii="Times New Roman" w:hAnsi="Times New Roman" w:cs="Times New Roman"/>
          <w:sz w:val="24"/>
          <w:szCs w:val="24"/>
        </w:rPr>
        <w:tab/>
        <w:t>07.02.2020.</w:t>
      </w:r>
    </w:p>
    <w:p w14:paraId="7E9D14D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iesniegšana revidentam datums</w:t>
      </w:r>
      <w:r w:rsidRPr="00BE6A60">
        <w:rPr>
          <w:rFonts w:ascii="Times New Roman" w:hAnsi="Times New Roman" w:cs="Times New Roman"/>
          <w:sz w:val="24"/>
          <w:szCs w:val="24"/>
        </w:rPr>
        <w:tab/>
        <w:t>14.02.2020</w:t>
      </w:r>
    </w:p>
    <w:p w14:paraId="6B354708"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apstiprināšanas publiskošanai datums</w:t>
      </w:r>
      <w:r w:rsidRPr="00BE6A60">
        <w:rPr>
          <w:rFonts w:ascii="Times New Roman" w:hAnsi="Times New Roman" w:cs="Times New Roman"/>
          <w:sz w:val="24"/>
          <w:szCs w:val="24"/>
        </w:rPr>
        <w:tab/>
        <w:t>30.03.2020.</w:t>
      </w:r>
    </w:p>
    <w:p w14:paraId="75F2F05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Saņemta informācija par tiesas procesu</w:t>
      </w:r>
      <w:r w:rsidRPr="00BE6A60">
        <w:rPr>
          <w:rFonts w:ascii="Times New Roman" w:hAnsi="Times New Roman" w:cs="Times New Roman"/>
          <w:sz w:val="24"/>
          <w:szCs w:val="24"/>
        </w:rPr>
        <w:tab/>
        <w:t>03.04.2020.</w:t>
      </w:r>
    </w:p>
    <w:p w14:paraId="03FA61B8"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20B849A5" wp14:editId="58EE0CF1">
            <wp:extent cx="6210935" cy="2714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10935" cy="2714625"/>
                    </a:xfrm>
                    <a:prstGeom prst="rect">
                      <a:avLst/>
                    </a:prstGeom>
                    <a:noFill/>
                    <a:ln>
                      <a:noFill/>
                    </a:ln>
                  </pic:spPr>
                </pic:pic>
              </a:graphicData>
            </a:graphic>
          </wp:inline>
        </w:drawing>
      </w:r>
    </w:p>
    <w:p w14:paraId="378380EC" w14:textId="77777777" w:rsidR="00BE6A60" w:rsidRPr="00BE6A60" w:rsidRDefault="00BE6A6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1332.   </w:t>
      </w:r>
      <w:r w:rsidRPr="00BE6A60">
        <w:rPr>
          <w:rFonts w:ascii="Times New Roman" w:hAnsi="Times New Roman" w:cs="Times New Roman"/>
          <w:b/>
          <w:bCs/>
          <w:sz w:val="24"/>
          <w:szCs w:val="24"/>
        </w:rPr>
        <w:t xml:space="preserve">Piemērs </w:t>
      </w:r>
      <w:r w:rsidRPr="00BE6A60">
        <w:rPr>
          <w:rFonts w:ascii="Times New Roman" w:hAnsi="Times New Roman" w:cs="Times New Roman"/>
          <w:sz w:val="24"/>
          <w:szCs w:val="24"/>
        </w:rPr>
        <w:t>– iestādes finanšu pārskata nekoriģējošs notikums pēc bilances datuma</w:t>
      </w:r>
    </w:p>
    <w:p w14:paraId="4AF5B69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 gada 27. janvārī budžeta iestādes noliktavā izcēlies ugunsgrēks. Saskaņā ar aplēsēm konstatēts, ka ir izpostīti krājumi 6 000,00 EUR apmērā. Gada pārskats par 2019.gadu uz 27.01.2020. vēl nav sagatavots un apstiprināts publiskošanai.</w:t>
      </w:r>
    </w:p>
    <w:p w14:paraId="4F6AF5C1"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Tā kā notikums nav attiecināms uz pārskata gadu - 2019.gadu, tad budžeta iestāde šo notikumu pēc bilances datuma uzskata par nekoriģējošu notikumu. Korekcijas 2019.gada pārskatā nav jāveic. Budžeta iestāde sniedz aprakstu par notikumu 2019.gada finanšu pārskata pielikumā – uzrādot notikuma ekonomisko būtību un zaudējumu aplēses summu 6 000,00 EUR.</w:t>
      </w:r>
    </w:p>
    <w:p w14:paraId="5562D5B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5.</w:t>
      </w:r>
      <w:r w:rsidRPr="00BE6A60">
        <w:rPr>
          <w:rFonts w:ascii="Times New Roman" w:hAnsi="Times New Roman" w:cs="Times New Roman"/>
          <w:sz w:val="24"/>
          <w:szCs w:val="24"/>
        </w:rPr>
        <w:tab/>
        <w:t xml:space="preserve">tabulā apkopoti piemēra galvenie nosacījumi un </w:t>
      </w:r>
      <w:r>
        <w:rPr>
          <w:rFonts w:ascii="Times New Roman" w:hAnsi="Times New Roman" w:cs="Times New Roman"/>
          <w:sz w:val="24"/>
          <w:szCs w:val="24"/>
        </w:rPr>
        <w:t>5</w:t>
      </w:r>
      <w:r w:rsidRPr="00BE6A60">
        <w:rPr>
          <w:rFonts w:ascii="Times New Roman" w:hAnsi="Times New Roman" w:cs="Times New Roman"/>
          <w:sz w:val="24"/>
          <w:szCs w:val="24"/>
        </w:rPr>
        <w:t>.attēlā sniegts ilustratīvs piemērs koriģējošam notikumam.</w:t>
      </w:r>
    </w:p>
    <w:p w14:paraId="4BAD96D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5.</w:t>
      </w:r>
      <w:r w:rsidRPr="00BE6A60">
        <w:rPr>
          <w:rFonts w:ascii="Times New Roman" w:hAnsi="Times New Roman" w:cs="Times New Roman"/>
          <w:sz w:val="24"/>
          <w:szCs w:val="24"/>
        </w:rPr>
        <w:tab/>
        <w:t>tabula. Piemēra nosacījumi</w:t>
      </w:r>
    </w:p>
    <w:p w14:paraId="5D8062E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Piemēra nosacījumi (dotie)</w:t>
      </w:r>
      <w:r w:rsidRPr="00BE6A60">
        <w:rPr>
          <w:rFonts w:ascii="Times New Roman" w:hAnsi="Times New Roman" w:cs="Times New Roman"/>
          <w:sz w:val="24"/>
          <w:szCs w:val="24"/>
        </w:rPr>
        <w:tab/>
      </w:r>
    </w:p>
    <w:p w14:paraId="215F765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Pārskata periods</w:t>
      </w:r>
      <w:r w:rsidRPr="00BE6A60">
        <w:rPr>
          <w:rFonts w:ascii="Times New Roman" w:hAnsi="Times New Roman" w:cs="Times New Roman"/>
          <w:sz w:val="24"/>
          <w:szCs w:val="24"/>
        </w:rPr>
        <w:tab/>
        <w:t>01.01.2019. – 31.12.2019.</w:t>
      </w:r>
    </w:p>
    <w:p w14:paraId="664AA39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Bilances datums</w:t>
      </w:r>
      <w:r w:rsidRPr="00BE6A60">
        <w:rPr>
          <w:rFonts w:ascii="Times New Roman" w:hAnsi="Times New Roman" w:cs="Times New Roman"/>
          <w:sz w:val="24"/>
          <w:szCs w:val="24"/>
        </w:rPr>
        <w:tab/>
        <w:t>31.12.2019.</w:t>
      </w:r>
    </w:p>
    <w:p w14:paraId="5872D17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Izcēlies ugunsgrēks iestādes noliktavā</w:t>
      </w:r>
      <w:r w:rsidRPr="00BE6A60">
        <w:rPr>
          <w:rFonts w:ascii="Times New Roman" w:hAnsi="Times New Roman" w:cs="Times New Roman"/>
          <w:sz w:val="24"/>
          <w:szCs w:val="24"/>
        </w:rPr>
        <w:tab/>
        <w:t>27.01.2020.</w:t>
      </w:r>
    </w:p>
    <w:p w14:paraId="47DA948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sagatavošanas datums</w:t>
      </w:r>
      <w:r w:rsidRPr="00BE6A60">
        <w:rPr>
          <w:rFonts w:ascii="Times New Roman" w:hAnsi="Times New Roman" w:cs="Times New Roman"/>
          <w:sz w:val="24"/>
          <w:szCs w:val="24"/>
        </w:rPr>
        <w:tab/>
        <w:t>10.02.2020.</w:t>
      </w:r>
    </w:p>
    <w:p w14:paraId="277FDD4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iesniegšana revidentam datums</w:t>
      </w:r>
      <w:r w:rsidRPr="00BE6A60">
        <w:rPr>
          <w:rFonts w:ascii="Times New Roman" w:hAnsi="Times New Roman" w:cs="Times New Roman"/>
          <w:sz w:val="24"/>
          <w:szCs w:val="24"/>
        </w:rPr>
        <w:tab/>
        <w:t>17.02.2020.</w:t>
      </w:r>
    </w:p>
    <w:p w14:paraId="6F589A0C"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apstiprināšanas publiskošanai datums</w:t>
      </w:r>
      <w:r w:rsidRPr="00BE6A60">
        <w:rPr>
          <w:rFonts w:ascii="Times New Roman" w:hAnsi="Times New Roman" w:cs="Times New Roman"/>
          <w:sz w:val="24"/>
          <w:szCs w:val="24"/>
        </w:rPr>
        <w:tab/>
        <w:t>30.03.2020.</w:t>
      </w:r>
    </w:p>
    <w:p w14:paraId="351AB37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3F7356C3" wp14:editId="46D44F2E">
            <wp:extent cx="6210935" cy="2162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10935" cy="2162175"/>
                    </a:xfrm>
                    <a:prstGeom prst="rect">
                      <a:avLst/>
                    </a:prstGeom>
                    <a:noFill/>
                    <a:ln>
                      <a:noFill/>
                    </a:ln>
                  </pic:spPr>
                </pic:pic>
              </a:graphicData>
            </a:graphic>
          </wp:inline>
        </w:drawing>
      </w:r>
    </w:p>
    <w:p w14:paraId="5C63FF33"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sniedz informāciju tās konsolidējošajai iestādei un aizpilda V10.piezīmi “Notikumi pēc bilances datuma”</w:t>
      </w:r>
    </w:p>
    <w:p w14:paraId="034223FE"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59EE7778" wp14:editId="2C6A15AE">
            <wp:extent cx="6210935" cy="22193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10935" cy="2219325"/>
                    </a:xfrm>
                    <a:prstGeom prst="rect">
                      <a:avLst/>
                    </a:prstGeom>
                    <a:noFill/>
                    <a:ln>
                      <a:noFill/>
                    </a:ln>
                  </pic:spPr>
                </pic:pic>
              </a:graphicData>
            </a:graphic>
          </wp:inline>
        </w:drawing>
      </w:r>
    </w:p>
    <w:p w14:paraId="1B6B804C" w14:textId="77777777" w:rsidR="00BE6A60" w:rsidRDefault="00BE6A60" w:rsidP="00CD363C">
      <w:pPr>
        <w:spacing w:after="0" w:line="240" w:lineRule="auto"/>
        <w:ind w:right="-142"/>
        <w:jc w:val="both"/>
        <w:rPr>
          <w:rFonts w:ascii="Times New Roman" w:hAnsi="Times New Roman" w:cs="Times New Roman"/>
          <w:sz w:val="24"/>
          <w:szCs w:val="24"/>
        </w:rPr>
      </w:pPr>
    </w:p>
    <w:p w14:paraId="06259FDC" w14:textId="77777777" w:rsidR="00BE6A60" w:rsidRPr="00BE6A60" w:rsidRDefault="00BE6A6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1333.</w:t>
      </w:r>
      <w:r w:rsidRPr="00BE6A60">
        <w:rPr>
          <w:rFonts w:ascii="Times New Roman" w:hAnsi="Times New Roman" w:cs="Times New Roman"/>
          <w:sz w:val="24"/>
          <w:szCs w:val="24"/>
        </w:rPr>
        <w:tab/>
      </w:r>
      <w:r w:rsidRPr="00BE6A60">
        <w:rPr>
          <w:rFonts w:ascii="Times New Roman" w:hAnsi="Times New Roman" w:cs="Times New Roman"/>
          <w:b/>
          <w:bCs/>
          <w:sz w:val="24"/>
          <w:szCs w:val="24"/>
        </w:rPr>
        <w:t xml:space="preserve">Piemērs </w:t>
      </w:r>
      <w:r w:rsidRPr="00BE6A60">
        <w:rPr>
          <w:rFonts w:ascii="Times New Roman" w:hAnsi="Times New Roman" w:cs="Times New Roman"/>
          <w:sz w:val="24"/>
          <w:szCs w:val="24"/>
        </w:rPr>
        <w:t>– iestādes finanšu pārskata koriģējošs notikums pēc bilances datuma</w:t>
      </w:r>
    </w:p>
    <w:p w14:paraId="6C72608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2019.gada 29. janvārī budžeta iestāde atklāja noliktavas bojājumus. Noliktava tika uzcelta 2014.gadā un izmaksāja 1 000 000 EUR (sākotnējā izmaksu vērtība). Budžeta iestāde noliktavu nodeva lietošanā 2015.gada 1.janvārī.</w:t>
      </w:r>
    </w:p>
    <w:p w14:paraId="7AEE48A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2019.gada februārī tika veikta izpēte un atklāts, ka noliktavas konstrukciju bojājumi radušies jau noliktavas būvniecības laikā. Konstrukcijas kļūda tika pamanīta, kad ēka tika appludināta 2019.gada janvārī.</w:t>
      </w:r>
    </w:p>
    <w:p w14:paraId="22660344"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Noliktavas bojājumu atklāšana bija kritērijs noliktavas vērtības samazinājuma izvērtējumam, līdz ar to budžeta iestādei bija nepieciešams novērtēt noliktavas atgūstamo vērtību uz 2018.gada 31.decembri. Noliktavas atgūstamās vērtības aplēse  600 000  EUR.  Noliktavas  uzskaites  vērtība  uz  31.12.2018.  –  847 059,00 EUR. Aprēķināts vērtības samazinājums 247 059,00 EUR apmērā.</w:t>
      </w:r>
    </w:p>
    <w:p w14:paraId="3E97FE0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Plūdu rezultātā tika bojāts inventārs 100 000 EUR vērtībā, bojātie krājumi novērtēti kā neizmantojami. Viss bojātais inventārs bija uzskaitē 2018.gada 31.decembrī.</w:t>
      </w:r>
    </w:p>
    <w:p w14:paraId="67F9207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izvērtē sekojošus notikumus pēc bilances datuma:</w:t>
      </w:r>
    </w:p>
    <w:p w14:paraId="5B5F71D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1)</w:t>
      </w:r>
      <w:r w:rsidRPr="00BE6A60">
        <w:rPr>
          <w:rFonts w:ascii="Times New Roman" w:hAnsi="Times New Roman" w:cs="Times New Roman"/>
          <w:sz w:val="24"/>
          <w:szCs w:val="24"/>
        </w:rPr>
        <w:tab/>
        <w:t>Pamatlīdzekļa konstrukcijas bojājuma atklāšana;</w:t>
      </w:r>
    </w:p>
    <w:p w14:paraId="779EFB33"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w:t>
      </w:r>
      <w:r w:rsidRPr="00BE6A60">
        <w:rPr>
          <w:rFonts w:ascii="Times New Roman" w:hAnsi="Times New Roman" w:cs="Times New Roman"/>
          <w:sz w:val="24"/>
          <w:szCs w:val="24"/>
        </w:rPr>
        <w:tab/>
        <w:t>Inventāra bojājums.</w:t>
      </w:r>
    </w:p>
    <w:p w14:paraId="2917D94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Pamatlīdzekļa konstrukcijas bojājumu atklāšana – koriģējošs notikums, jo konstrukciju bojājums pastāvēja jau uz 31.12.2018.</w:t>
      </w:r>
    </w:p>
    <w:p w14:paraId="12F7351D"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1)</w:t>
      </w:r>
      <w:r w:rsidRPr="00BE6A60">
        <w:rPr>
          <w:rFonts w:ascii="Times New Roman" w:hAnsi="Times New Roman" w:cs="Times New Roman"/>
          <w:sz w:val="24"/>
          <w:szCs w:val="24"/>
        </w:rPr>
        <w:tab/>
        <w:t>Gadījumā, ja finanšu pārskats vēl nav apstiprināts publiskošanai:</w:t>
      </w:r>
    </w:p>
    <w:p w14:paraId="30BD557B"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Uz 31.12.2018. budžeta iestāde atzīst noliktavas vērtības samazinājumu:</w:t>
      </w:r>
    </w:p>
    <w:p w14:paraId="6A850F25"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8652</w:t>
      </w:r>
      <w:r w:rsidRPr="00BE6A60">
        <w:rPr>
          <w:rFonts w:ascii="Times New Roman" w:hAnsi="Times New Roman" w:cs="Times New Roman"/>
          <w:sz w:val="24"/>
          <w:szCs w:val="24"/>
        </w:rPr>
        <w:tab/>
        <w:t>Izdevumi no vērtības samazinājuma nefinanšu aktīviem</w:t>
      </w:r>
      <w:r w:rsidRPr="00BE6A60">
        <w:rPr>
          <w:rFonts w:ascii="Times New Roman" w:hAnsi="Times New Roman" w:cs="Times New Roman"/>
          <w:sz w:val="24"/>
          <w:szCs w:val="24"/>
        </w:rPr>
        <w:tab/>
        <w:t>247 059,00 EUR</w:t>
      </w:r>
    </w:p>
    <w:p w14:paraId="0DA2F8E1"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1290</w:t>
      </w:r>
      <w:r w:rsidRPr="00BE6A60">
        <w:rPr>
          <w:rFonts w:ascii="Times New Roman" w:hAnsi="Times New Roman" w:cs="Times New Roman"/>
          <w:sz w:val="24"/>
          <w:szCs w:val="24"/>
        </w:rPr>
        <w:tab/>
        <w:t>Pamatlīdzekļu</w:t>
      </w:r>
      <w:r w:rsidRPr="00BE6A60">
        <w:rPr>
          <w:rFonts w:ascii="Times New Roman" w:hAnsi="Times New Roman" w:cs="Times New Roman"/>
          <w:sz w:val="24"/>
          <w:szCs w:val="24"/>
        </w:rPr>
        <w:tab/>
        <w:t>uzkrātais</w:t>
      </w:r>
      <w:r w:rsidRPr="00BE6A60">
        <w:rPr>
          <w:rFonts w:ascii="Times New Roman" w:hAnsi="Times New Roman" w:cs="Times New Roman"/>
          <w:sz w:val="24"/>
          <w:szCs w:val="24"/>
        </w:rPr>
        <w:tab/>
        <w:t>nolietojums</w:t>
      </w:r>
      <w:r w:rsidRPr="00BE6A60">
        <w:rPr>
          <w:rFonts w:ascii="Times New Roman" w:hAnsi="Times New Roman" w:cs="Times New Roman"/>
          <w:sz w:val="24"/>
          <w:szCs w:val="24"/>
        </w:rPr>
        <w:tab/>
        <w:t>un</w:t>
      </w:r>
      <w:r w:rsidRPr="00BE6A60">
        <w:rPr>
          <w:rFonts w:ascii="Times New Roman" w:hAnsi="Times New Roman" w:cs="Times New Roman"/>
          <w:sz w:val="24"/>
          <w:szCs w:val="24"/>
        </w:rPr>
        <w:tab/>
        <w:t>vērtība samazinājums</w:t>
      </w:r>
      <w:r w:rsidRPr="00BE6A60">
        <w:rPr>
          <w:rFonts w:ascii="Times New Roman" w:hAnsi="Times New Roman" w:cs="Times New Roman"/>
          <w:sz w:val="24"/>
          <w:szCs w:val="24"/>
        </w:rPr>
        <w:tab/>
        <w:t>9,00 EUR</w:t>
      </w:r>
    </w:p>
    <w:p w14:paraId="40327B9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w:t>
      </w:r>
      <w:r w:rsidRPr="00BE6A60">
        <w:rPr>
          <w:rFonts w:ascii="Times New Roman" w:hAnsi="Times New Roman" w:cs="Times New Roman"/>
          <w:sz w:val="24"/>
          <w:szCs w:val="24"/>
        </w:rPr>
        <w:tab/>
        <w:t>Gadījumā, ja finanšu pārskats jau apstiprināts publiskošanai:</w:t>
      </w:r>
    </w:p>
    <w:p w14:paraId="6BBB73D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2019.gadā budžeta iestāde izvērtē pamatlīdzekļa atlikušo vērtību uz 31.12.2018. un atzīst noliktavas vērtības samazinājumu kā iepriekšējā pārskata perioda kļūdu:</w:t>
      </w:r>
    </w:p>
    <w:p w14:paraId="1157FD3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8761</w:t>
      </w:r>
      <w:r w:rsidRPr="00BE6A60">
        <w:rPr>
          <w:rFonts w:ascii="Times New Roman" w:hAnsi="Times New Roman" w:cs="Times New Roman"/>
          <w:sz w:val="24"/>
          <w:szCs w:val="24"/>
        </w:rPr>
        <w:tab/>
        <w:t>Iepriekšējo gadu kļūdas (ja kļūda nav būtiska)</w:t>
      </w:r>
      <w:r w:rsidRPr="00BE6A60">
        <w:rPr>
          <w:rFonts w:ascii="Times New Roman" w:hAnsi="Times New Roman" w:cs="Times New Roman"/>
          <w:sz w:val="24"/>
          <w:szCs w:val="24"/>
        </w:rPr>
        <w:tab/>
        <w:t>247 059,00 EUR</w:t>
      </w:r>
    </w:p>
    <w:p w14:paraId="7799CF1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ab/>
        <w:t>vai</w:t>
      </w:r>
      <w:r w:rsidRPr="00BE6A60">
        <w:rPr>
          <w:rFonts w:ascii="Times New Roman" w:hAnsi="Times New Roman" w:cs="Times New Roman"/>
          <w:sz w:val="24"/>
          <w:szCs w:val="24"/>
        </w:rPr>
        <w:tab/>
      </w:r>
      <w:r w:rsidRPr="00BE6A60">
        <w:rPr>
          <w:rFonts w:ascii="Times New Roman" w:hAnsi="Times New Roman" w:cs="Times New Roman"/>
          <w:sz w:val="24"/>
          <w:szCs w:val="24"/>
        </w:rPr>
        <w:tab/>
      </w:r>
    </w:p>
    <w:p w14:paraId="62A99FD5"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3510</w:t>
      </w:r>
      <w:r w:rsidRPr="00BE6A60">
        <w:rPr>
          <w:rFonts w:ascii="Times New Roman" w:hAnsi="Times New Roman" w:cs="Times New Roman"/>
          <w:sz w:val="24"/>
          <w:szCs w:val="24"/>
        </w:rPr>
        <w:tab/>
        <w:t>Iepriekšējo pārskata gadu budžeta izpildes rezultāts (būtiskas kļūdas)</w:t>
      </w:r>
      <w:r w:rsidRPr="00BE6A60">
        <w:rPr>
          <w:rFonts w:ascii="Times New Roman" w:hAnsi="Times New Roman" w:cs="Times New Roman"/>
          <w:sz w:val="24"/>
          <w:szCs w:val="24"/>
        </w:rPr>
        <w:tab/>
        <w:t>247 059,00 EUR</w:t>
      </w:r>
    </w:p>
    <w:p w14:paraId="2065948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1290</w:t>
      </w:r>
      <w:r w:rsidRPr="00BE6A60">
        <w:rPr>
          <w:rFonts w:ascii="Times New Roman" w:hAnsi="Times New Roman" w:cs="Times New Roman"/>
          <w:sz w:val="24"/>
          <w:szCs w:val="24"/>
        </w:rPr>
        <w:tab/>
        <w:t>Pamatlīdzekļu</w:t>
      </w:r>
      <w:r w:rsidRPr="00BE6A60">
        <w:rPr>
          <w:rFonts w:ascii="Times New Roman" w:hAnsi="Times New Roman" w:cs="Times New Roman"/>
          <w:sz w:val="24"/>
          <w:szCs w:val="24"/>
        </w:rPr>
        <w:tab/>
        <w:t>uzkrātais</w:t>
      </w:r>
      <w:r w:rsidRPr="00BE6A60">
        <w:rPr>
          <w:rFonts w:ascii="Times New Roman" w:hAnsi="Times New Roman" w:cs="Times New Roman"/>
          <w:sz w:val="24"/>
          <w:szCs w:val="24"/>
        </w:rPr>
        <w:tab/>
        <w:t>nolietojums</w:t>
      </w:r>
      <w:r w:rsidRPr="00BE6A60">
        <w:rPr>
          <w:rFonts w:ascii="Times New Roman" w:hAnsi="Times New Roman" w:cs="Times New Roman"/>
          <w:sz w:val="24"/>
          <w:szCs w:val="24"/>
        </w:rPr>
        <w:tab/>
        <w:t>un</w:t>
      </w:r>
      <w:r w:rsidRPr="00BE6A60">
        <w:rPr>
          <w:rFonts w:ascii="Times New Roman" w:hAnsi="Times New Roman" w:cs="Times New Roman"/>
          <w:sz w:val="24"/>
          <w:szCs w:val="24"/>
        </w:rPr>
        <w:tab/>
        <w:t>vērtība samazinājums</w:t>
      </w:r>
      <w:r w:rsidRPr="00BE6A60">
        <w:rPr>
          <w:rFonts w:ascii="Times New Roman" w:hAnsi="Times New Roman" w:cs="Times New Roman"/>
          <w:sz w:val="24"/>
          <w:szCs w:val="24"/>
        </w:rPr>
        <w:tab/>
        <w:t>247 059,00 EUR</w:t>
      </w:r>
    </w:p>
    <w:p w14:paraId="73FF08CE" w14:textId="77777777" w:rsidR="00BE6A60" w:rsidRPr="00BE6A60" w:rsidRDefault="00BE6A60" w:rsidP="00CD363C">
      <w:pPr>
        <w:spacing w:after="0" w:line="240" w:lineRule="auto"/>
        <w:ind w:right="-142"/>
        <w:jc w:val="both"/>
        <w:rPr>
          <w:rFonts w:ascii="Times New Roman" w:hAnsi="Times New Roman" w:cs="Times New Roman"/>
          <w:sz w:val="24"/>
          <w:szCs w:val="24"/>
        </w:rPr>
      </w:pPr>
    </w:p>
    <w:p w14:paraId="1A01AEEA" w14:textId="77777777" w:rsidR="00BE6A60" w:rsidRPr="00BE6A60" w:rsidRDefault="00BE6A60" w:rsidP="00CD363C">
      <w:pPr>
        <w:spacing w:after="0" w:line="240" w:lineRule="auto"/>
        <w:ind w:right="-142"/>
        <w:jc w:val="both"/>
        <w:rPr>
          <w:rFonts w:ascii="Times New Roman" w:hAnsi="Times New Roman" w:cs="Times New Roman"/>
          <w:sz w:val="24"/>
          <w:szCs w:val="24"/>
        </w:rPr>
      </w:pPr>
    </w:p>
    <w:p w14:paraId="4DA00606"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iesniedz konsolidējošajai iestādei informāciju par koriģējošu notikumu V10.piezīmē.</w:t>
      </w:r>
    </w:p>
    <w:p w14:paraId="0F13E4CE"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7CCE7AF1" wp14:editId="184F5B60">
            <wp:extent cx="6210935" cy="156591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10935" cy="1565910"/>
                    </a:xfrm>
                    <a:prstGeom prst="rect">
                      <a:avLst/>
                    </a:prstGeom>
                    <a:noFill/>
                    <a:ln>
                      <a:noFill/>
                    </a:ln>
                  </pic:spPr>
                </pic:pic>
              </a:graphicData>
            </a:graphic>
          </wp:inline>
        </w:drawing>
      </w:r>
    </w:p>
    <w:p w14:paraId="093D776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piezīmi savam pārskatam nepievieno, bet to iesniedz konsolidējošai iestādei, ja koriģējošs notikums ir iestājies pēc pārskata apstiprināšanas publiskošanai.</w:t>
      </w:r>
    </w:p>
    <w:p w14:paraId="161A3F4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Inventāra bojājums – nekoriģējošs notikums, jo inventāra bojājums radies 2019.gada janvārī, uz 31.12.2018. inventārs bija labā stāvoklī (bez bojājumiem)</w:t>
      </w:r>
    </w:p>
    <w:p w14:paraId="07F940C3"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1)</w:t>
      </w:r>
      <w:r w:rsidRPr="00BE6A60">
        <w:rPr>
          <w:rFonts w:ascii="Times New Roman" w:hAnsi="Times New Roman" w:cs="Times New Roman"/>
          <w:sz w:val="24"/>
          <w:szCs w:val="24"/>
        </w:rPr>
        <w:tab/>
        <w:t>Gadījumā, ja finanšu pārskats vēl nav apstiprināts publiskošanai:</w:t>
      </w:r>
    </w:p>
    <w:p w14:paraId="0036296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finanšu pārskatā norāda informāciju par nekoriģējošu notikumu pēc bilances datuma būtību un paredzamajām finansiālajām sekām vai apraksta, kādēļ nebija iespējams aplēst paredzamās finansiālās sekas.</w:t>
      </w:r>
    </w:p>
    <w:p w14:paraId="38DED624"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uzrāda informāciju finanšu pārskatā, aizpildot V10.piezīmi “Notikumi pēc bilances datuma” V10.NEKN Nekoriģējošie notikumi pēc bilances datuma</w:t>
      </w:r>
    </w:p>
    <w:p w14:paraId="57CA03BC" w14:textId="77777777" w:rsidR="00980A79" w:rsidRDefault="00980A79" w:rsidP="00CD363C">
      <w:pPr>
        <w:spacing w:after="0" w:line="240" w:lineRule="auto"/>
        <w:ind w:right="-142"/>
        <w:jc w:val="both"/>
        <w:rPr>
          <w:rFonts w:ascii="Times New Roman" w:hAnsi="Times New Roman" w:cs="Times New Roman"/>
          <w:sz w:val="24"/>
          <w:szCs w:val="24"/>
        </w:rPr>
      </w:pPr>
      <w:r w:rsidRPr="00980A79">
        <w:rPr>
          <w:noProof/>
        </w:rPr>
        <w:drawing>
          <wp:inline distT="0" distB="0" distL="0" distR="0" wp14:anchorId="3771340A" wp14:editId="0CE62606">
            <wp:extent cx="6210935" cy="19335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10935" cy="1933575"/>
                    </a:xfrm>
                    <a:prstGeom prst="rect">
                      <a:avLst/>
                    </a:prstGeom>
                    <a:noFill/>
                    <a:ln>
                      <a:noFill/>
                    </a:ln>
                  </pic:spPr>
                </pic:pic>
              </a:graphicData>
            </a:graphic>
          </wp:inline>
        </w:drawing>
      </w:r>
    </w:p>
    <w:p w14:paraId="7BFE37A8" w14:textId="77777777" w:rsidR="00980A79" w:rsidRP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2)</w:t>
      </w:r>
      <w:r w:rsidRPr="00980A79">
        <w:rPr>
          <w:rFonts w:ascii="Times New Roman" w:hAnsi="Times New Roman" w:cs="Times New Roman"/>
          <w:sz w:val="24"/>
          <w:szCs w:val="24"/>
        </w:rPr>
        <w:tab/>
        <w:t>Gadījumā, ja finanšu pārskats jau apstiprināts publiskošanai:</w:t>
      </w:r>
    </w:p>
    <w:p w14:paraId="62AA2B9B" w14:textId="77777777" w:rsidR="00980A79" w:rsidRP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Budžeta iestāde par attiecīgo notikumu sniedz informāciju tai iestādei, kas veic konsolidāciju un kura izvērtē notikuma būtiskumu (ja ir zināma aplēse) un nozīmīgumu (ja nav zināma aplēse).</w:t>
      </w:r>
    </w:p>
    <w:p w14:paraId="3557B1A6" w14:textId="77777777" w:rsidR="00980A79" w:rsidRP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Budžeta iestāde, kas veic konsolidāciju, būtiskus un nozīmīgus nekoriģējošus notikumus pēc bilances datuma iekļauj konsolidētajā gada pārskatā atbilstoši būtiskuma līmenim, ja attiecīgais konsolidētais gada pārskats vēl nav apstiprināts publiskošanai.</w:t>
      </w:r>
    </w:p>
    <w:p w14:paraId="00470D11" w14:textId="77777777" w:rsid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Budžeta iestāde sniedz informāciju tās konsolidējošajai iestādei un aizpilda V10.piezīmi “Notikumi pēc bilances datuma”</w:t>
      </w:r>
    </w:p>
    <w:p w14:paraId="40CCFDE6" w14:textId="77777777" w:rsidR="00980A79" w:rsidRDefault="00980A79" w:rsidP="00CD363C">
      <w:pPr>
        <w:spacing w:after="0" w:line="240" w:lineRule="auto"/>
        <w:ind w:right="-142"/>
        <w:jc w:val="both"/>
      </w:pPr>
      <w:r w:rsidRPr="00980A79">
        <w:rPr>
          <w:noProof/>
        </w:rPr>
        <w:drawing>
          <wp:inline distT="0" distB="0" distL="0" distR="0" wp14:anchorId="744D651B" wp14:editId="582CAE19">
            <wp:extent cx="6804025" cy="20574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06826" cy="2058247"/>
                    </a:xfrm>
                    <a:prstGeom prst="rect">
                      <a:avLst/>
                    </a:prstGeom>
                    <a:noFill/>
                    <a:ln>
                      <a:noFill/>
                    </a:ln>
                  </pic:spPr>
                </pic:pic>
              </a:graphicData>
            </a:graphic>
          </wp:inline>
        </w:drawing>
      </w:r>
    </w:p>
    <w:p w14:paraId="1335274B" w14:textId="77777777" w:rsidR="00980A79" w:rsidRPr="00A84D5C" w:rsidRDefault="00980A79" w:rsidP="00CD363C">
      <w:pPr>
        <w:spacing w:after="0" w:line="240" w:lineRule="auto"/>
        <w:ind w:right="-142"/>
        <w:jc w:val="center"/>
        <w:rPr>
          <w:rFonts w:ascii="Times New Roman" w:hAnsi="Times New Roman" w:cs="Times New Roman"/>
          <w:b/>
          <w:bCs/>
          <w:sz w:val="28"/>
          <w:szCs w:val="28"/>
        </w:rPr>
      </w:pPr>
      <w:r w:rsidRPr="00A84D5C">
        <w:rPr>
          <w:rFonts w:ascii="Times New Roman" w:hAnsi="Times New Roman" w:cs="Times New Roman"/>
          <w:b/>
          <w:bCs/>
          <w:sz w:val="28"/>
          <w:szCs w:val="28"/>
        </w:rPr>
        <w:t>28. Dokumentu un reģistru glabāšanas kārtība</w:t>
      </w:r>
    </w:p>
    <w:p w14:paraId="793115B9" w14:textId="77777777" w:rsidR="00980A79" w:rsidRPr="00980A79" w:rsidRDefault="00980A79" w:rsidP="00CD363C">
      <w:pPr>
        <w:spacing w:after="0" w:line="240" w:lineRule="auto"/>
        <w:ind w:right="-142"/>
        <w:jc w:val="both"/>
        <w:rPr>
          <w:rFonts w:ascii="Times New Roman" w:hAnsi="Times New Roman" w:cs="Times New Roman"/>
          <w:b/>
          <w:bCs/>
          <w:sz w:val="24"/>
          <w:szCs w:val="24"/>
        </w:rPr>
      </w:pPr>
      <w:r>
        <w:rPr>
          <w:rFonts w:ascii="Times New Roman" w:hAnsi="Times New Roman" w:cs="Times New Roman"/>
          <w:b/>
          <w:bCs/>
          <w:sz w:val="24"/>
          <w:szCs w:val="24"/>
        </w:rPr>
        <w:t>28.1. Dokumentu sagatavošana un saņemšana</w:t>
      </w:r>
    </w:p>
    <w:p w14:paraId="6B1B6439"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1334.  </w:t>
      </w:r>
      <w:r w:rsidRPr="00980A79">
        <w:rPr>
          <w:rFonts w:ascii="Times New Roman" w:hAnsi="Times New Roman" w:cs="Times New Roman"/>
          <w:sz w:val="24"/>
          <w:szCs w:val="24"/>
        </w:rPr>
        <w:t>Budžeta iestāde veic ierakstus grāmatvedības reģistros, pamatojoties uz attaisnojuma dokumentiem.</w:t>
      </w:r>
    </w:p>
    <w:p w14:paraId="14E0CF07"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1335.  </w:t>
      </w:r>
      <w:r w:rsidRPr="00980A79">
        <w:rPr>
          <w:rFonts w:ascii="Times New Roman" w:hAnsi="Times New Roman" w:cs="Times New Roman"/>
          <w:sz w:val="24"/>
          <w:szCs w:val="24"/>
        </w:rPr>
        <w:t>Saskaņā ar normatīvo aktu prasībām attaisnojuma dokumentam obligāti jāsatur vismaz šādi rekvizīti:</w:t>
      </w:r>
    </w:p>
    <w:p w14:paraId="0F72FDD0"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uzņēmuma nosaukums, reģistrācijas numurs (ja saimnieciskā darījuma dalībnieks saskaņā ar normatīvajiem aktiem jāreģistrē), ārējam attaisnojuma dokumentam – juridiskā adrese, ja dokumenta autors ir fiziska persona – vārds, uzvārds, personas kods (ja personai tāds piešķirts), ārējam attaisnojuma dokumentam – arī personas norādītā adrese vai, ja tāda nav norādīta, deklarētās dzīvesvietas adrese;</w:t>
      </w:r>
    </w:p>
    <w:p w14:paraId="497FC5DD"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dokumenta veida nosaukums, reģistrācijas numurs un datums;</w:t>
      </w:r>
    </w:p>
    <w:p w14:paraId="45D69D0E"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paraksts (nav obligāts, sagatavojot iekšēju attaisnojuma dokumentu);</w:t>
      </w:r>
    </w:p>
    <w:p w14:paraId="5553FFE5"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apraksts un pamatojums;</w:t>
      </w:r>
    </w:p>
    <w:p w14:paraId="128CDDE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mērītāji (daudzums, summas);</w:t>
      </w:r>
    </w:p>
    <w:p w14:paraId="412A3F29"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dalībnieki, norādot katra saimnieciskā darījuma dalībnieka nosaukumu, reģistrācijas numuru (ja saimnieciskā darījuma dalībnieks saskaņā ar normatīvajiem aktiem jāreģistrē) vai adresi (ja saimnieciskā darījuma dalībnieks saskaņā ar normatīvajiem aktiem nav jāreģistrē), bet ja saimnieciskā darījuma dalībnieks ir fiziskā persona – norādot vārdu un uzvārdu, personas kodu (ja personai tāds piešķirts), personas norādīto adresi vai, ja tāda nav norādīta, deklarētās dzīvesvietas adresi;</w:t>
      </w:r>
    </w:p>
    <w:p w14:paraId="0CC5E9F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citi papildus rekvizīti un cita informācija par saimniecisko darījumu atsevišķiem attaisnojuma dokumentu veidiem, kurus nosaka citi normatīvie akti.</w:t>
      </w:r>
    </w:p>
    <w:p w14:paraId="1FADECBF"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1336. </w:t>
      </w:r>
      <w:r w:rsidRPr="00980A79">
        <w:rPr>
          <w:rFonts w:ascii="Times New Roman" w:hAnsi="Times New Roman" w:cs="Times New Roman"/>
          <w:sz w:val="24"/>
          <w:szCs w:val="24"/>
        </w:rPr>
        <w:t>Attaisnojuma dokumentam var būt ārēja vai iekšējā izcelsme, tas var būt sagatavots rakstiski (papīra formā) vienā vai vairākos eksemplāros vai elektroniski.</w:t>
      </w:r>
    </w:p>
    <w:p w14:paraId="6E601574"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1337.  </w:t>
      </w:r>
      <w:r w:rsidRPr="00980A79">
        <w:rPr>
          <w:rFonts w:ascii="Times New Roman" w:hAnsi="Times New Roman" w:cs="Times New Roman"/>
          <w:sz w:val="24"/>
          <w:szCs w:val="24"/>
        </w:rPr>
        <w:t>Ja kāds saimniecisks darījums dokumentēts vienlaikus gan ar ārēju, gan iekšēju dokumentu, dodama priekšroka ārējam attaisnojuma dokumentam.</w:t>
      </w:r>
    </w:p>
    <w:p w14:paraId="7723FA93"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1338.   </w:t>
      </w:r>
      <w:r w:rsidRPr="00980A79">
        <w:rPr>
          <w:rFonts w:ascii="Times New Roman" w:hAnsi="Times New Roman" w:cs="Times New Roman"/>
          <w:sz w:val="24"/>
          <w:szCs w:val="24"/>
        </w:rPr>
        <w:t>Par ārēju attaisnojuma dokumentu, lai iegrāmatotu aprēķināto nodokli, var tikt uzskatītas arī normatīvajos aktos noteiktās nodokļu deklarācijas. Lai uzskaitītu nodokļu administrācijas un valsts nodevas administrācijas (likuma "Par nodokļiem un nodevām" izpratnē) administrētos nodokļus, nodevas un citus tās administrētos uz valsts budžetu attiecināmos maksājumus, par ārēju attaisnojuma dokumentu var tikt uzskatīti minētās administrācijas izdotie dokumenti (piemēram, administratīvajā procesā pieņemtie lēmumi) arī tad, ja šajos dokumentos nav ietverts normatīvajos aktos noteiktajiem attaisnojuma dokumenta rekvizītiem vai norādāmā informācija par saimniecisko darījumu. Nodokļu administrācija un valsts nodevas administrācija, uzskaitot tās administrētos nodokļus, nodevas un citus maksājumus, grāmatvedības reģistros var izdarīt ierakstus, pamatojoties arī uz valsts informācijas sistēmas konkrētā datuma aprēķiniem, kas veikti atbilstoši normatīvajiem aktiem.</w:t>
      </w:r>
    </w:p>
    <w:p w14:paraId="3A50C7EC"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1339.  </w:t>
      </w:r>
      <w:r w:rsidRPr="00980A79">
        <w:rPr>
          <w:rFonts w:ascii="Times New Roman" w:hAnsi="Times New Roman" w:cs="Times New Roman"/>
          <w:sz w:val="24"/>
          <w:szCs w:val="24"/>
        </w:rPr>
        <w:t>Attaisnojuma dokumentu paraksta persona, kas ir atbildīga par dokumentā sniegtās informācijas pareizību. Elektroniski sagatavotajos dokumentos saskaņā ar normatīvajiem aktiem personu parakstus</w:t>
      </w:r>
      <w:r>
        <w:rPr>
          <w:rFonts w:ascii="Times New Roman" w:hAnsi="Times New Roman" w:cs="Times New Roman"/>
          <w:sz w:val="24"/>
          <w:szCs w:val="24"/>
        </w:rPr>
        <w:t xml:space="preserve"> </w:t>
      </w:r>
      <w:r w:rsidRPr="00980A79">
        <w:rPr>
          <w:rFonts w:ascii="Times New Roman" w:hAnsi="Times New Roman" w:cs="Times New Roman"/>
          <w:sz w:val="24"/>
          <w:szCs w:val="24"/>
        </w:rPr>
        <w:t>var aizstāt ar elektronisku apliecinājumu (autorizāciju). Ārēju dokumentu autorizāciju izmanto tikai tad, ja darījumu puses ir savstarpēji vienojušās par kārtību, kādā veicama attaisnojamo dokumentu apmaiņa elektroniskā veidā, un elektroniskās autorizācijas kārtību.</w:t>
      </w:r>
    </w:p>
    <w:p w14:paraId="48127F93" w14:textId="77777777" w:rsid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1340.  </w:t>
      </w:r>
      <w:r w:rsidRPr="00980A79">
        <w:rPr>
          <w:rFonts w:ascii="Times New Roman" w:hAnsi="Times New Roman" w:cs="Times New Roman"/>
          <w:sz w:val="24"/>
          <w:szCs w:val="24"/>
        </w:rPr>
        <w:t xml:space="preserve">Ja attaisnojuma dokumenta vērtības mērs ir ārvalstu valūta, tajā norādītās summas ierakstiem grāmatvedības reģistros pārrēķina euro saskaņā ar grāmatvedībā izmantojamo ārvalstu valūtas kursu atbilstoši Eiropas Centrālās bankas publicētam euro atsauces kursam, kas ir spēkā saimnieciskā darījuma dienas sākumā. Jebkuras valūtas kursa izmaiņu ietekmes budžeta iestāde uzskaita saskaņā ar </w:t>
      </w:r>
      <w:r>
        <w:rPr>
          <w:rFonts w:ascii="Times New Roman" w:hAnsi="Times New Roman" w:cs="Times New Roman"/>
          <w:sz w:val="24"/>
          <w:szCs w:val="24"/>
        </w:rPr>
        <w:t>Grāmatvedības uzskaites kārtības</w:t>
      </w:r>
      <w:r w:rsidRPr="00980A79">
        <w:rPr>
          <w:rFonts w:ascii="Times New Roman" w:hAnsi="Times New Roman" w:cs="Times New Roman"/>
          <w:sz w:val="24"/>
          <w:szCs w:val="24"/>
        </w:rPr>
        <w:t xml:space="preserve"> sadaļā “Darījumu ārvalstu valūtā uzskaite” noteiktajiem uzskaites principiem.</w:t>
      </w:r>
    </w:p>
    <w:p w14:paraId="08B51840" w14:textId="77777777" w:rsidR="00980A79" w:rsidRDefault="00980A79" w:rsidP="00CD363C">
      <w:pPr>
        <w:tabs>
          <w:tab w:val="left" w:pos="8790"/>
        </w:tabs>
        <w:spacing w:after="0" w:line="240" w:lineRule="auto"/>
        <w:ind w:right="-142"/>
        <w:jc w:val="both"/>
        <w:rPr>
          <w:rFonts w:ascii="Times New Roman" w:hAnsi="Times New Roman" w:cs="Times New Roman"/>
          <w:b/>
          <w:bCs/>
          <w:sz w:val="24"/>
          <w:szCs w:val="24"/>
        </w:rPr>
      </w:pPr>
      <w:r w:rsidRPr="00980A79">
        <w:rPr>
          <w:rFonts w:ascii="Times New Roman" w:hAnsi="Times New Roman" w:cs="Times New Roman"/>
          <w:b/>
          <w:bCs/>
          <w:sz w:val="24"/>
          <w:szCs w:val="24"/>
        </w:rPr>
        <w:t>28.2. Dokumentu pārbaude un izpilde</w:t>
      </w:r>
    </w:p>
    <w:p w14:paraId="26700DA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1341.  </w:t>
      </w:r>
      <w:r w:rsidRPr="00980A79">
        <w:rPr>
          <w:rFonts w:ascii="Times New Roman" w:hAnsi="Times New Roman" w:cs="Times New Roman"/>
          <w:sz w:val="24"/>
          <w:szCs w:val="24"/>
        </w:rPr>
        <w:t>Tikai tos dokumentus, kas atbilst attaisnojuma dokumentiem noteiktajām prasībām, izmanto ierakstiem grāmatvedības reģistros. Pēc attaisnojuma dokumentu pārbaudes, ja tas sagatavots papīra formā, uz tā norāda iegrāmatojumu (kontējumu) vai nodrošina šī iegrāmatojuma (kontējuma) atšifrējumu, ja iegrāmatošanu veic elektroniski, kā arī attiecīgajā grāmatvedības reģistrā uz dokumenta norāda ieraksta kārtas numuru.</w:t>
      </w:r>
    </w:p>
    <w:p w14:paraId="33C9185D"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1342.  </w:t>
      </w:r>
      <w:r w:rsidRPr="00980A79">
        <w:rPr>
          <w:rFonts w:ascii="Times New Roman" w:hAnsi="Times New Roman" w:cs="Times New Roman"/>
          <w:sz w:val="24"/>
          <w:szCs w:val="24"/>
        </w:rPr>
        <w:t>Visus saimnieciskos darījumus apliecina ar attaisnojuma dokumentiem, novērtē naudas izteiksmē un, ievērojot hronoloģiju, sistemātiskā kārtībā iegrāmato budžeta iestādes grāmatvedības reģistros.</w:t>
      </w:r>
    </w:p>
    <w:p w14:paraId="44B866F3"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1343.  </w:t>
      </w:r>
      <w:r w:rsidRPr="00980A79">
        <w:rPr>
          <w:rFonts w:ascii="Times New Roman" w:hAnsi="Times New Roman" w:cs="Times New Roman"/>
          <w:sz w:val="24"/>
          <w:szCs w:val="24"/>
        </w:rPr>
        <w:t>Ja ir noformēts attaisnojuma dokuments, bet darījums nav noticis, noformēto attaisnojuma dokumentu budžeta iestāde anulē un anulētajā attaisnojuma dokumentā norādīto numuru neizmanto citu attaisnojuma dokumentu numurēšanai.</w:t>
      </w:r>
    </w:p>
    <w:p w14:paraId="715256D6"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1344.  </w:t>
      </w:r>
      <w:r w:rsidRPr="00980A79">
        <w:rPr>
          <w:rFonts w:ascii="Times New Roman" w:hAnsi="Times New Roman" w:cs="Times New Roman"/>
          <w:sz w:val="24"/>
          <w:szCs w:val="24"/>
        </w:rPr>
        <w:t>Attaisnojuma dokumentus par saimnieciskajiem darījumiem iegrāmato saimnieciskā darījuma dienā vai pēc iespējas drīzāk, bet ne vēlāk kā 15 dienu laikā pēc tā mēneša beigām, kurā attaisnojuma dokuments ir saņemts vai izsniegts, un obligāti – ne vēlāk kā līdz tā finanšu pārskata parakstīšanas datumam, kuru sagatavo par šo pārskata periodu.</w:t>
      </w:r>
    </w:p>
    <w:p w14:paraId="7EDA326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1345.  </w:t>
      </w:r>
      <w:r w:rsidRPr="00980A79">
        <w:rPr>
          <w:rFonts w:ascii="Times New Roman" w:hAnsi="Times New Roman" w:cs="Times New Roman"/>
          <w:sz w:val="24"/>
          <w:szCs w:val="24"/>
        </w:rPr>
        <w:t>Ierakstus grāmatvedības reģistros izdara pēc divkāršās ierakstu metodes. Izmantojot minēto sistēmu, saskaņā ar normatīvajiem aktiem viens un tas pats saimnieciskais darījums par vienu un to pašu summu tiek ierakstīts vismaz divas reizes savstarpēji saistītā grāmatvedības kontu sistēmā, viena konta debetā un ar to korespondējošā konta kredītā, ievērojot apstiprināto budžeta iestādes kontu plānu un saimnieciskā darījuma būtībai atbilstošu kontu korespondenci.</w:t>
      </w:r>
    </w:p>
    <w:p w14:paraId="13CD3B9E"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1346.  </w:t>
      </w:r>
      <w:r w:rsidRPr="00980A79">
        <w:rPr>
          <w:rFonts w:ascii="Times New Roman" w:hAnsi="Times New Roman" w:cs="Times New Roman"/>
          <w:sz w:val="24"/>
          <w:szCs w:val="24"/>
        </w:rPr>
        <w:t>Atbilstoši normatīvo aktu regulējumam budžeta iestādes vadītājs var patstāvīgi izvēlēties grāmatvedības reģistru veidu, saturu, skaitu un sagatavošanas veidu (grāmatvedības kārtošanas formu), ņemot vērā iestādes struktūru, budžeta iestādes funkcijas un apstrādājamās informācijas apjomu. Izņēmums ir gadījumi, ja attiecīga grāmatvedības reģistra veidu, saturu un sagatavošanas veidu reglamentē konkrēts normatīvais akts.</w:t>
      </w:r>
    </w:p>
    <w:p w14:paraId="4374E2E8"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1347.  </w:t>
      </w:r>
      <w:r w:rsidRPr="00980A79">
        <w:rPr>
          <w:rFonts w:ascii="Times New Roman" w:hAnsi="Times New Roman" w:cs="Times New Roman"/>
          <w:sz w:val="24"/>
          <w:szCs w:val="24"/>
        </w:rPr>
        <w:t>Grāmatvedības reģistrus saskaņā ar normatīvajiem aktiem iedala hronoloģiskajos reģistros un sistemātiskajos reģistros (analītiskās uzskaites reģistri un galvenā grāmata). Šajos reģistros attiecīgi hronoloģiskā secībā (hronoloģiskais ieraksts) vai pēc ekonomiskā satura (sistemātiskais reģistrs) reģistrē katru saimniecisko darījumu. Ja noteikta veida saimnieciskie darījumi bieži atkārtojas, katram šādam saimniecisko darījumu veidam var iekārtot atsevišķu hronoloģisko reģistru (piemēram, saņemto rēķinu reģistrs, izejošo rēķinu reģistrs).</w:t>
      </w:r>
    </w:p>
    <w:p w14:paraId="7631B532"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1348.    </w:t>
      </w:r>
      <w:r w:rsidRPr="00980A79">
        <w:rPr>
          <w:rFonts w:ascii="Times New Roman" w:hAnsi="Times New Roman" w:cs="Times New Roman"/>
          <w:sz w:val="24"/>
          <w:szCs w:val="24"/>
        </w:rPr>
        <w:t>Hronoloģiskajos reģistros visus saimnieciskos darījumus reģistrē hronoloģiskā secībā un par katru saimniecisko darījumu norāda šādu informāciju:</w:t>
      </w:r>
    </w:p>
    <w:p w14:paraId="6C0133FA"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ieraksta datums un kārtas numurs;</w:t>
      </w:r>
    </w:p>
    <w:p w14:paraId="0533DE8F"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atsauce uz attaisnojuma dokumentu: dokumenta autors (juridiskās personas nosaukums vai fiziskās personas vārds, uzvārds), dokumenta nosaukums vai saimnieciskā darījuma apraksts,</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 xml:space="preserve"> </w:t>
      </w:r>
    </w:p>
    <w:p w14:paraId="31EDB43F"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dokumenta sagatavošanas datums un reģistrācijas numurs. Ja budžeta iestāde grāmatvedību kārto, izmantojot grāmatvedības datorprogrammas (grāmatvedības informācijas datorsistēmu programmatūru), iepriekšminētās informācijas par attaisnojuma dokumentu vietā drīkst norādīt unikālu attiecīgā attaisnojuma dokumenta pazīmi (piemēram, numuru ar kādu attaisnojuma dokuments reģistrēts grāmatvedības datorprogrammā), kas ļauj šo attaisnojuma dokumentu viennozīmīgi identificēt;</w:t>
      </w:r>
    </w:p>
    <w:p w14:paraId="07289361"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novērtējums naudā;</w:t>
      </w:r>
    </w:p>
    <w:p w14:paraId="3AAAB672" w14:textId="77777777" w:rsidR="00617AD8"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 xml:space="preserve">saimnieciskā darījuma grāmatvedības konta nosaukums vai kods un norādījums, vai ieraksts </w:t>
      </w:r>
      <w:r w:rsidR="00617AD8">
        <w:rPr>
          <w:rFonts w:ascii="Times New Roman" w:hAnsi="Times New Roman" w:cs="Times New Roman"/>
          <w:sz w:val="24"/>
          <w:szCs w:val="24"/>
        </w:rPr>
        <w:t xml:space="preserve"> </w:t>
      </w:r>
    </w:p>
    <w:p w14:paraId="422614D2"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1349.  </w:t>
      </w:r>
      <w:r w:rsidR="00980A79" w:rsidRPr="00980A79">
        <w:rPr>
          <w:rFonts w:ascii="Times New Roman" w:hAnsi="Times New Roman" w:cs="Times New Roman"/>
          <w:sz w:val="24"/>
          <w:szCs w:val="24"/>
        </w:rPr>
        <w:t>Budžeta iestāde var izmantot žurnālu-virsgrāmatu. Šādā gadījumā papildus žurnālam-virsgrāmatai budžeta iestāde iekārto hronoloģiskos reģistrus atsevišķiem saimniecisko darījumu veidiem un analītiskās uzskaites reģistrus pamatlīdzekļu, krājumu, norēķinu atlikumu un apgrozījuma uzskaitei vai citu grāmatvedības kontu analītiskai uzskaitei.</w:t>
      </w:r>
    </w:p>
    <w:p w14:paraId="49F99B39"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1350. </w:t>
      </w:r>
      <w:r w:rsidR="00980A79" w:rsidRPr="00980A79">
        <w:rPr>
          <w:rFonts w:ascii="Times New Roman" w:hAnsi="Times New Roman" w:cs="Times New Roman"/>
          <w:sz w:val="24"/>
          <w:szCs w:val="24"/>
        </w:rPr>
        <w:t>Katra mēneša beigās hronoloģiskajos reģistros aprēķina saimniecisko darījumu kopsummas, bet galvenajā grāmatā, žurnālā-virsgrāmatā, naudas plūsmas uzskaites žurnālos un analītiskās uzskaites reģistros – attiecīgi grāmatvedības kontu un analītiskās uzskaites kontu debeta un kredīta apgrozījumus un arī šo kontu atlikumus, kā arī savstarpēji saskaņo minētās summas.</w:t>
      </w:r>
    </w:p>
    <w:p w14:paraId="07C4B8DF"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1351.  </w:t>
      </w:r>
      <w:r w:rsidR="00980A79" w:rsidRPr="00980A79">
        <w:rPr>
          <w:rFonts w:ascii="Times New Roman" w:hAnsi="Times New Roman" w:cs="Times New Roman"/>
          <w:sz w:val="24"/>
          <w:szCs w:val="24"/>
        </w:rPr>
        <w:t>Katra pārskata gada beigās budžeta iestāde kontus un grāmatvedības reģistrus slēdz, iegrāmatojot kontu slēguma ierakstus un pārnesot kontu atlikumus uz jaunajiem — nākamā pārskata gada — grāmatvedības reģistriem.</w:t>
      </w:r>
    </w:p>
    <w:p w14:paraId="20F4EA5A"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1352.  </w:t>
      </w:r>
      <w:r w:rsidR="00980A79" w:rsidRPr="00980A79">
        <w:rPr>
          <w:rFonts w:ascii="Times New Roman" w:hAnsi="Times New Roman" w:cs="Times New Roman"/>
          <w:sz w:val="24"/>
          <w:szCs w:val="24"/>
        </w:rPr>
        <w:t>Ja budžeta iestāde labo papīra veidā sagatavoto attaisnojuma dokumentu vai grāmatvedības reģistru, labojumu izdara ar jaunu ierakstu, kas labo vai atsauc iepriekšējo ierakstu. Grāmatvedības reģistrus var labot, lietojot negatīvus skaitļus (storno). Grāmatvedības ierakstus nedrīkst dzēst.</w:t>
      </w:r>
    </w:p>
    <w:p w14:paraId="6ECF4008"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1353</w:t>
      </w:r>
      <w:r w:rsidR="00980A79" w:rsidRPr="00980A79">
        <w:rPr>
          <w:rFonts w:ascii="Times New Roman" w:hAnsi="Times New Roman" w:cs="Times New Roman"/>
          <w:sz w:val="24"/>
          <w:szCs w:val="24"/>
        </w:rPr>
        <w:t>.</w:t>
      </w:r>
      <w:r>
        <w:rPr>
          <w:rFonts w:ascii="Times New Roman" w:hAnsi="Times New Roman" w:cs="Times New Roman"/>
          <w:sz w:val="24"/>
          <w:szCs w:val="24"/>
        </w:rPr>
        <w:t xml:space="preserve">  </w:t>
      </w:r>
      <w:r w:rsidR="00980A79" w:rsidRPr="00980A79">
        <w:rPr>
          <w:rFonts w:ascii="Times New Roman" w:hAnsi="Times New Roman" w:cs="Times New Roman"/>
          <w:sz w:val="24"/>
          <w:szCs w:val="24"/>
        </w:rPr>
        <w:t>Ja tiek laboti papīra dokumenta veidā sagatavotie attaisnojuma dokumenti un grāmatvedības reģistri, kļūdainos ierakstus pārsvītro un katru labojumu atrunā ar ierakstu „Labotam ticēt”, apliecinot šo ierakstu ar labojumu veikušās personas personisko parakstu, norādot personiskā paraksta atšifrējumu (vārda iniciāli un uzvārdu vai vārdu un uzvārdu), kā arī labojuma iemeslu un labojuma datumu.</w:t>
      </w:r>
    </w:p>
    <w:p w14:paraId="1FD85BBC" w14:textId="77777777" w:rsid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1354.  </w:t>
      </w:r>
      <w:r w:rsidR="00980A79" w:rsidRPr="00980A79">
        <w:rPr>
          <w:rFonts w:ascii="Times New Roman" w:hAnsi="Times New Roman" w:cs="Times New Roman"/>
          <w:sz w:val="24"/>
          <w:szCs w:val="24"/>
        </w:rPr>
        <w:t>Attaisnojuma dokumentu var labot, sagatavojot grāmatvedības izziņu, kurā ir informācija par to, kurš grāmatvedības reģistrs vai attaisnojuma dokuments ir labojams. Grāmatvedības izziņā norāda labojuma izdarīšanas datumu, iemeslu, labojumu un labojamā (sākotnējā) ieraksta kārtas numuru hronoloģiskajā reģistrā. Uz labojamā (sākotnējā) attaisnojuma dokumenta izdara atzīmi par grāmatvedības izziņas sagatavošanu un norāda tās datumu.</w:t>
      </w:r>
    </w:p>
    <w:p w14:paraId="4A43F345" w14:textId="77777777" w:rsidR="00617AD8" w:rsidRDefault="00617AD8" w:rsidP="00CD363C">
      <w:pPr>
        <w:tabs>
          <w:tab w:val="left" w:pos="8790"/>
        </w:tabs>
        <w:spacing w:after="0" w:line="240" w:lineRule="auto"/>
        <w:ind w:right="-142"/>
        <w:jc w:val="both"/>
        <w:rPr>
          <w:rFonts w:ascii="Times New Roman" w:hAnsi="Times New Roman" w:cs="Times New Roman"/>
          <w:b/>
          <w:bCs/>
          <w:sz w:val="24"/>
          <w:szCs w:val="24"/>
        </w:rPr>
      </w:pPr>
      <w:r w:rsidRPr="00617AD8">
        <w:rPr>
          <w:rFonts w:ascii="Times New Roman" w:hAnsi="Times New Roman" w:cs="Times New Roman"/>
          <w:b/>
          <w:bCs/>
          <w:sz w:val="24"/>
          <w:szCs w:val="24"/>
        </w:rPr>
        <w:t>28.3. Dokumentu glabāšana un nodošana arhīvā</w:t>
      </w:r>
    </w:p>
    <w:p w14:paraId="2BD86BD8"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1355.  </w:t>
      </w:r>
      <w:r w:rsidRPr="00617AD8">
        <w:rPr>
          <w:rFonts w:ascii="Times New Roman" w:hAnsi="Times New Roman" w:cs="Times New Roman"/>
          <w:sz w:val="24"/>
          <w:szCs w:val="24"/>
        </w:rPr>
        <w:t>Budžeta iestāde nodrošina dokumentu glabāšanu saskaņā ar spēkā esošo normatīvo aktu prasībām sekojošo glabāšanas termiņos:</w:t>
      </w:r>
    </w:p>
    <w:p w14:paraId="28AE05C7"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17AD8">
        <w:rPr>
          <w:rFonts w:ascii="Times New Roman" w:hAnsi="Times New Roman" w:cs="Times New Roman"/>
          <w:sz w:val="24"/>
          <w:szCs w:val="24"/>
        </w:rPr>
        <w:t>gada pārskatiem un to pielikumiem, kā arī galvenajai grāmatai – līdz budžeta iestādes reorganizācijai vai darbības beigšanai, ciktāl citos normatīvajos aktos nav noteikts citādi. Ja iestāde ievērojusi normatīvo aktu prasības, Valsts kase nodrošina ePārskatu sistēmā iesniegtā gada pārskata vai konsolidētā gada pārskata lietas iesniegšanu Latvijas Nacionālajā arhīvā;</w:t>
      </w:r>
    </w:p>
    <w:p w14:paraId="372061A2"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17AD8">
        <w:rPr>
          <w:rFonts w:ascii="Times New Roman" w:hAnsi="Times New Roman" w:cs="Times New Roman"/>
          <w:sz w:val="24"/>
          <w:szCs w:val="24"/>
        </w:rPr>
        <w:t>inventarizācijas sarakstiem, grāmatvedības reģistriem un grāmatvedības organizācijas dokumentiem glabāšanas laiks ir 10 gadu;</w:t>
      </w:r>
    </w:p>
    <w:p w14:paraId="704E627C"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17AD8">
        <w:rPr>
          <w:rFonts w:ascii="Times New Roman" w:hAnsi="Times New Roman" w:cs="Times New Roman"/>
          <w:sz w:val="24"/>
          <w:szCs w:val="24"/>
        </w:rPr>
        <w:t>attaisnojuma dokumentiem par darbiniekiem aprēķināto mēnešalgu (darba samaksu) ar sadalījumu pa gadiem un mēnešiem - 75 gadi, bet dokumentiem, kuru datums ir 1999. gada 1. janvāris vai vēlāk, - 10 gadu;</w:t>
      </w:r>
    </w:p>
    <w:p w14:paraId="0A2518B3"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 xml:space="preserve"> </w:t>
      </w:r>
      <w:r>
        <w:rPr>
          <w:rFonts w:ascii="Times New Roman" w:hAnsi="Times New Roman" w:cs="Times New Roman"/>
          <w:sz w:val="24"/>
          <w:szCs w:val="24"/>
        </w:rPr>
        <w:t>-</w:t>
      </w:r>
      <w:r w:rsidRPr="00617AD8">
        <w:rPr>
          <w:rFonts w:ascii="Times New Roman" w:hAnsi="Times New Roman" w:cs="Times New Roman"/>
          <w:sz w:val="24"/>
          <w:szCs w:val="24"/>
        </w:rPr>
        <w:t>pārējiem attaisnojuma dokumentiem – līdz dienai, kad tie nepieciešami, lai izpildītu prasības par saimnieciskā darījuma izsekojamību, bet ne mazāk kā 5 gadi.</w:t>
      </w:r>
    </w:p>
    <w:p w14:paraId="4C314300"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1356.   </w:t>
      </w:r>
      <w:r w:rsidRPr="00617AD8">
        <w:rPr>
          <w:rFonts w:ascii="Times New Roman" w:hAnsi="Times New Roman" w:cs="Times New Roman"/>
          <w:sz w:val="24"/>
          <w:szCs w:val="24"/>
        </w:rPr>
        <w:t>Budžeta iestādei ir tiesības gada pārskatus, inventarizācijas sarakstus, grāmatvedības reģistrus, grāmatvedības organizācijas dokumentus un attaisnojuma dokumentus papīra formā pārvērst elektroniskā formā. Elektroniskā formā glabāšanai elektroniskā vidē pārvērstajam dokumentam ir tāds pats juridiskais spēks kā oriģinālajam dokumentam, un budžeta iestādei ir tiesības iznīcināt oriģinālo dokumentu tikai tad, ja budžeta iestāde attiecībā uz elektroniskā formā glabāšanai elektroniskā vidē pārvērsto dokumentu ievēro šādus noteikumus:</w:t>
      </w:r>
    </w:p>
    <w:p w14:paraId="18E424C7"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ir nodrošināts oriģinālā dokumenta satura attēlojums un atbilstība normatīvajos aktos noteiktajā datu glabāšanas laikā;</w:t>
      </w:r>
    </w:p>
    <w:p w14:paraId="0363AE9A"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ir nodrošināta satura lasīšana datora ekrānā un, ja nepieciešams, atvasinājuma veidošana papīra formā;</w:t>
      </w:r>
    </w:p>
    <w:p w14:paraId="222E084A"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pārvērstais dokuments tiek aizsargāts pret neatļautu piekļūšanu, papildinājumiem, izmaiņām vai iznīcināšanu;</w:t>
      </w:r>
    </w:p>
    <w:p w14:paraId="5B00B727"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pārvēršanas process, kā arī oriģinālā dokumenta iznīcināšanas process tiek dokumentēts budžeta iestādes vadītāja noteiktajā kārtībā.</w:t>
      </w:r>
    </w:p>
    <w:p w14:paraId="457F3CD1"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1357.</w:t>
      </w:r>
      <w:r w:rsidRPr="00617AD8">
        <w:rPr>
          <w:rFonts w:ascii="Times New Roman" w:hAnsi="Times New Roman" w:cs="Times New Roman"/>
          <w:sz w:val="24"/>
          <w:szCs w:val="24"/>
        </w:rPr>
        <w:t>Ja grāmatvedības reģistrus kārto tikai elektroniski, grāmatvedības datorprogrammai (grāmatvedības informācijas datorsistēmu programmatūrai) jābūt tādai, lai nodrošinātu:</w:t>
      </w:r>
    </w:p>
    <w:p w14:paraId="3D4CFC1C"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ierakstu reģistra informācijas saglabāšanu par katru iegrāmatojumu vai iegrāmatojuma labojumu, tā veidu, datumu un laiku, sistēmas ieraksta numuru, kā arī iegrāmatojuma veicēju;</w:t>
      </w:r>
    </w:p>
    <w:p w14:paraId="4D70A460"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grāmatvedības    (grāmatvedības    informācijas    datorsistēmu)     datu     ierakstīšanu  formātos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755EC76C"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iespēju elektroniski sagatavotos attaisnojuma dokumentus un grāmatvedības reģistrus atlasīt ilgstošai vai pastāvīgai glabāšanai, ierakstīt attiecīgajos informācijas nesējos un uzglabāt tos noteikumos noteiktajā kārtībā, saglabājot to satura autentiskumu un salasāmību likumā noteiktajā glabāšanas laikā;</w:t>
      </w:r>
    </w:p>
    <w:p w14:paraId="50155E30"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elektroniski sagatavota attaisnojuma dokumenta vai grāmatvedības reģistra datu attēlu un izdruku;</w:t>
      </w:r>
    </w:p>
    <w:p w14:paraId="5ECB3D43" w14:textId="77777777" w:rsid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elektroniski sagatavoto attaisnojuma dokumentu un grāmatvedības reģistru rezerves kopēšanu.</w:t>
      </w:r>
    </w:p>
    <w:p w14:paraId="35FA2DC6" w14:textId="77777777" w:rsidR="00A84D5C" w:rsidRDefault="00A84D5C" w:rsidP="00CD363C">
      <w:pPr>
        <w:tabs>
          <w:tab w:val="left" w:pos="8790"/>
        </w:tabs>
        <w:spacing w:after="0" w:line="240" w:lineRule="auto"/>
        <w:ind w:right="-142"/>
        <w:jc w:val="both"/>
        <w:rPr>
          <w:rFonts w:ascii="Times New Roman" w:hAnsi="Times New Roman" w:cs="Times New Roman"/>
          <w:sz w:val="24"/>
          <w:szCs w:val="24"/>
        </w:rPr>
      </w:pPr>
    </w:p>
    <w:p w14:paraId="59BAD720" w14:textId="77777777" w:rsidR="00A84D5C" w:rsidRDefault="00A84D5C" w:rsidP="00CD363C">
      <w:pPr>
        <w:tabs>
          <w:tab w:val="left" w:pos="8790"/>
        </w:tabs>
        <w:spacing w:after="0" w:line="240" w:lineRule="auto"/>
        <w:ind w:right="-142"/>
        <w:jc w:val="both"/>
        <w:rPr>
          <w:rFonts w:ascii="Times New Roman" w:hAnsi="Times New Roman" w:cs="Times New Roman"/>
          <w:sz w:val="24"/>
          <w:szCs w:val="24"/>
        </w:rPr>
      </w:pPr>
    </w:p>
    <w:p w14:paraId="6FDBCA6D" w14:textId="77777777" w:rsidR="005056D3" w:rsidRPr="00131418" w:rsidRDefault="005056D3" w:rsidP="00CD363C">
      <w:pPr>
        <w:tabs>
          <w:tab w:val="left" w:pos="8790"/>
        </w:tabs>
        <w:spacing w:after="0" w:line="240" w:lineRule="auto"/>
        <w:ind w:right="-142"/>
        <w:jc w:val="both"/>
        <w:rPr>
          <w:rFonts w:ascii="Times New Roman" w:hAnsi="Times New Roman" w:cs="Times New Roman"/>
          <w:b/>
          <w:bCs/>
          <w:sz w:val="24"/>
          <w:szCs w:val="24"/>
        </w:rPr>
      </w:pPr>
      <w:r w:rsidRPr="00131418">
        <w:rPr>
          <w:rFonts w:ascii="Times New Roman" w:hAnsi="Times New Roman" w:cs="Times New Roman"/>
          <w:b/>
          <w:bCs/>
          <w:sz w:val="24"/>
          <w:szCs w:val="24"/>
        </w:rPr>
        <w:t xml:space="preserve">1358. Piemērojot augstāk minēto Grāmatvedības  uzskaites kārtību Rēzeknes novada pašvaldībā, pastāv iespēja, ka kāds no darījumiem var būt neatspoguļots šajā uzskaites kārtībā, tādā gadījumā ir jārīkojas, kā ir norādīts ārējos augstāk minētajos </w:t>
      </w:r>
      <w:r w:rsidR="00131418">
        <w:rPr>
          <w:rFonts w:ascii="Times New Roman" w:hAnsi="Times New Roman" w:cs="Times New Roman"/>
          <w:b/>
          <w:bCs/>
          <w:sz w:val="24"/>
          <w:szCs w:val="24"/>
        </w:rPr>
        <w:t>MK noteikumos</w:t>
      </w:r>
      <w:r w:rsidR="00131418" w:rsidRPr="00131418">
        <w:rPr>
          <w:rFonts w:ascii="Times New Roman" w:hAnsi="Times New Roman" w:cs="Times New Roman"/>
          <w:b/>
          <w:bCs/>
          <w:sz w:val="24"/>
          <w:szCs w:val="24"/>
        </w:rPr>
        <w:t xml:space="preserve"> Nr. 87 “Grāmatvedības uzskaites kārtība budžeta iestādēs”   </w:t>
      </w:r>
      <w:r w:rsidRPr="00131418">
        <w:rPr>
          <w:rFonts w:ascii="Times New Roman" w:hAnsi="Times New Roman" w:cs="Times New Roman"/>
          <w:b/>
          <w:bCs/>
          <w:sz w:val="24"/>
          <w:szCs w:val="24"/>
        </w:rPr>
        <w:t>un  Valsts kases metodikā Grāmatvedības uzskaites Rokas grāmatā un  jāsniedz ziņojums novada domes finanšu un grāmatvedības nodaļai, lai papildinātu iekšējos uzskaites noteikumus.</w:t>
      </w:r>
    </w:p>
    <w:p w14:paraId="5DF1B5B3" w14:textId="77777777" w:rsidR="005056D3" w:rsidRPr="00131418" w:rsidRDefault="005056D3" w:rsidP="00CD363C">
      <w:pPr>
        <w:tabs>
          <w:tab w:val="left" w:pos="8790"/>
        </w:tabs>
        <w:spacing w:after="0" w:line="240" w:lineRule="auto"/>
        <w:ind w:right="-142"/>
        <w:jc w:val="both"/>
        <w:rPr>
          <w:rFonts w:ascii="Times New Roman" w:hAnsi="Times New Roman" w:cs="Times New Roman"/>
          <w:b/>
          <w:bCs/>
          <w:sz w:val="24"/>
          <w:szCs w:val="24"/>
        </w:rPr>
      </w:pPr>
    </w:p>
    <w:p w14:paraId="1CD488D8" w14:textId="77777777" w:rsidR="005056D3" w:rsidRDefault="005056D3" w:rsidP="00CD363C">
      <w:pPr>
        <w:tabs>
          <w:tab w:val="left" w:pos="8790"/>
        </w:tabs>
        <w:spacing w:after="0" w:line="240" w:lineRule="auto"/>
        <w:ind w:right="-142"/>
        <w:jc w:val="both"/>
        <w:rPr>
          <w:rFonts w:ascii="Times New Roman" w:hAnsi="Times New Roman" w:cs="Times New Roman"/>
          <w:sz w:val="24"/>
          <w:szCs w:val="24"/>
        </w:rPr>
      </w:pPr>
      <w:r w:rsidRPr="00A84D5C">
        <w:rPr>
          <w:rFonts w:ascii="Times New Roman" w:hAnsi="Times New Roman" w:cs="Times New Roman"/>
          <w:sz w:val="24"/>
          <w:szCs w:val="24"/>
        </w:rPr>
        <w:t>Augstāk minētie noteikumi stājas spēkā no 2019.gada 1.janvāra</w:t>
      </w:r>
    </w:p>
    <w:p w14:paraId="209280C4" w14:textId="447FCE6F" w:rsidR="003200B1" w:rsidRDefault="00B9076B"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Ar grozījumiem stājas spēkā ar 2022</w:t>
      </w:r>
      <w:r w:rsidR="006827F6">
        <w:rPr>
          <w:rFonts w:ascii="Times New Roman" w:hAnsi="Times New Roman" w:cs="Times New Roman"/>
          <w:sz w:val="24"/>
          <w:szCs w:val="24"/>
        </w:rPr>
        <w:t>.</w:t>
      </w:r>
      <w:r>
        <w:rPr>
          <w:rFonts w:ascii="Times New Roman" w:hAnsi="Times New Roman" w:cs="Times New Roman"/>
          <w:sz w:val="24"/>
          <w:szCs w:val="24"/>
        </w:rPr>
        <w:t xml:space="preserve"> gada 19</w:t>
      </w:r>
      <w:r w:rsidR="006827F6">
        <w:rPr>
          <w:rFonts w:ascii="Times New Roman" w:hAnsi="Times New Roman" w:cs="Times New Roman"/>
          <w:sz w:val="24"/>
          <w:szCs w:val="24"/>
        </w:rPr>
        <w:t>.</w:t>
      </w:r>
      <w:r>
        <w:rPr>
          <w:rFonts w:ascii="Times New Roman" w:hAnsi="Times New Roman" w:cs="Times New Roman"/>
          <w:sz w:val="24"/>
          <w:szCs w:val="24"/>
        </w:rPr>
        <w:t xml:space="preserve"> septembri</w:t>
      </w:r>
    </w:p>
    <w:p w14:paraId="2F629ED2" w14:textId="77777777" w:rsidR="003200B1" w:rsidRDefault="003200B1" w:rsidP="00CD363C">
      <w:pPr>
        <w:tabs>
          <w:tab w:val="left" w:pos="8790"/>
        </w:tabs>
        <w:spacing w:after="0" w:line="240" w:lineRule="auto"/>
        <w:ind w:right="-142"/>
        <w:jc w:val="both"/>
        <w:rPr>
          <w:rFonts w:ascii="Times New Roman" w:hAnsi="Times New Roman" w:cs="Times New Roman"/>
          <w:sz w:val="24"/>
          <w:szCs w:val="24"/>
        </w:rPr>
      </w:pPr>
    </w:p>
    <w:p w14:paraId="757399EE" w14:textId="77777777" w:rsidR="003200B1" w:rsidRDefault="003200B1" w:rsidP="00CD363C">
      <w:pPr>
        <w:tabs>
          <w:tab w:val="left" w:pos="8790"/>
        </w:tabs>
        <w:spacing w:after="0" w:line="240" w:lineRule="auto"/>
        <w:ind w:right="-142"/>
        <w:jc w:val="both"/>
        <w:rPr>
          <w:rFonts w:ascii="Times New Roman" w:hAnsi="Times New Roman" w:cs="Times New Roman"/>
          <w:sz w:val="24"/>
          <w:szCs w:val="24"/>
        </w:rPr>
      </w:pPr>
    </w:p>
    <w:p w14:paraId="6EE52FC7" w14:textId="72A2F000" w:rsidR="003200B1" w:rsidRPr="00A84D5C" w:rsidRDefault="003200B1"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Domes priekšsēdētāj</w:t>
      </w:r>
      <w:r w:rsidR="00B9076B">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ab/>
      </w:r>
      <w:r w:rsidR="00B9076B">
        <w:rPr>
          <w:rFonts w:ascii="Times New Roman" w:hAnsi="Times New Roman" w:cs="Times New Roman"/>
          <w:sz w:val="24"/>
          <w:szCs w:val="24"/>
        </w:rPr>
        <w:t>M</w:t>
      </w:r>
      <w:r>
        <w:rPr>
          <w:rFonts w:ascii="Times New Roman" w:hAnsi="Times New Roman" w:cs="Times New Roman"/>
          <w:sz w:val="24"/>
          <w:szCs w:val="24"/>
        </w:rPr>
        <w:t>.</w:t>
      </w:r>
      <w:r w:rsidR="00B9076B">
        <w:rPr>
          <w:rFonts w:ascii="Times New Roman" w:hAnsi="Times New Roman" w:cs="Times New Roman"/>
          <w:sz w:val="24"/>
          <w:szCs w:val="24"/>
        </w:rPr>
        <w:t>Švarcs</w:t>
      </w:r>
    </w:p>
    <w:p w14:paraId="6966C9EB" w14:textId="77777777" w:rsidR="005056D3" w:rsidRPr="00617AD8" w:rsidRDefault="005056D3" w:rsidP="00CD363C">
      <w:pPr>
        <w:tabs>
          <w:tab w:val="left" w:pos="8790"/>
        </w:tabs>
        <w:spacing w:after="0" w:line="240" w:lineRule="auto"/>
        <w:ind w:right="-142"/>
        <w:jc w:val="both"/>
        <w:rPr>
          <w:rFonts w:ascii="Times New Roman" w:hAnsi="Times New Roman" w:cs="Times New Roman"/>
          <w:sz w:val="24"/>
          <w:szCs w:val="24"/>
        </w:rPr>
      </w:pPr>
    </w:p>
    <w:sectPr w:rsidR="005056D3" w:rsidRPr="00617AD8" w:rsidSect="00857DC8">
      <w:headerReference w:type="default" r:id="rId110"/>
      <w:pgSz w:w="11906" w:h="16838"/>
      <w:pgMar w:top="1135" w:right="991" w:bottom="1440"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EBE52" w14:textId="77777777" w:rsidR="00A24402" w:rsidRDefault="00A24402" w:rsidP="0067077E">
      <w:pPr>
        <w:spacing w:after="0" w:line="240" w:lineRule="auto"/>
      </w:pPr>
      <w:r>
        <w:separator/>
      </w:r>
    </w:p>
  </w:endnote>
  <w:endnote w:type="continuationSeparator" w:id="0">
    <w:p w14:paraId="7ECA6A77" w14:textId="77777777" w:rsidR="00A24402" w:rsidRDefault="00A24402" w:rsidP="00670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DejaVu Serif">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EB71" w14:textId="77777777" w:rsidR="00335490" w:rsidRDefault="00335490">
    <w:pPr>
      <w:pStyle w:val="Pamatteksts"/>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8097" w14:textId="77777777" w:rsidR="00335490" w:rsidRDefault="00870ECE">
    <w:pPr>
      <w:pStyle w:val="Pamatteksts"/>
      <w:spacing w:line="14" w:lineRule="auto"/>
      <w:rPr>
        <w:sz w:val="20"/>
      </w:rPr>
    </w:pPr>
    <w:r>
      <w:rPr>
        <w:noProof/>
      </w:rPr>
      <mc:AlternateContent>
        <mc:Choice Requires="wps">
          <w:drawing>
            <wp:anchor distT="0" distB="0" distL="114300" distR="114300" simplePos="0" relativeHeight="251657728" behindDoc="1" locked="0" layoutInCell="1" allowOverlap="1" wp14:anchorId="693FC760" wp14:editId="4ED0ABE7">
              <wp:simplePos x="0" y="0"/>
              <wp:positionH relativeFrom="page">
                <wp:posOffset>6750050</wp:posOffset>
              </wp:positionH>
              <wp:positionV relativeFrom="page">
                <wp:posOffset>9911080</wp:posOffset>
              </wp:positionV>
              <wp:extent cx="261620" cy="180975"/>
              <wp:effectExtent l="0" t="0" r="0" b="4445"/>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F265" w14:textId="77777777" w:rsidR="00335490" w:rsidRDefault="00335490">
                          <w:pPr>
                            <w:pStyle w:val="Pamatteksts"/>
                            <w:spacing w:before="11"/>
                            <w:ind w:left="40"/>
                          </w:pPr>
                          <w:r>
                            <w:rPr>
                              <w:noProof/>
                            </w:rPr>
                            <w:fldChar w:fldCharType="begin"/>
                          </w:r>
                          <w:r>
                            <w:rPr>
                              <w:noProof/>
                            </w:rPr>
                            <w:instrText xml:space="preserve"> PAGE </w:instrText>
                          </w:r>
                          <w:r>
                            <w:rPr>
                              <w:noProof/>
                            </w:rPr>
                            <w:fldChar w:fldCharType="separate"/>
                          </w:r>
                          <w:r>
                            <w:rPr>
                              <w:noProof/>
                            </w:rPr>
                            <w:t>179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FC760" id="_x0000_t202" coordsize="21600,21600" o:spt="202" path="m,l,21600r21600,l21600,xe">
              <v:stroke joinstyle="miter"/>
              <v:path gradientshapeok="t" o:connecttype="rect"/>
            </v:shapetype>
            <v:shape id="Text Box 1" o:spid="_x0000_s1105" type="#_x0000_t202" style="position:absolute;margin-left:531.5pt;margin-top:780.4pt;width:20.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" filled="f" stroked="f">
              <v:textbox inset="0,0,0,0">
                <w:txbxContent>
                  <w:p w14:paraId="1719F265" w14:textId="77777777" w:rsidR="00335490" w:rsidRDefault="00335490">
                    <w:pPr>
                      <w:pStyle w:val="Pamatteksts"/>
                      <w:spacing w:before="11"/>
                      <w:ind w:left="40"/>
                    </w:pPr>
                    <w:r>
                      <w:rPr>
                        <w:noProof/>
                      </w:rPr>
                      <w:fldChar w:fldCharType="begin"/>
                    </w:r>
                    <w:r>
                      <w:rPr>
                        <w:noProof/>
                      </w:rPr>
                      <w:instrText xml:space="preserve"> PAGE </w:instrText>
                    </w:r>
                    <w:r>
                      <w:rPr>
                        <w:noProof/>
                      </w:rPr>
                      <w:fldChar w:fldCharType="separate"/>
                    </w:r>
                    <w:r>
                      <w:rPr>
                        <w:noProof/>
                      </w:rPr>
                      <w:t>179</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5BB8" w14:textId="77777777" w:rsidR="00335490" w:rsidRDefault="00335490">
    <w:pPr>
      <w:pStyle w:val="Pamatteksts"/>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9F3C" w14:textId="77777777" w:rsidR="00335490" w:rsidRDefault="00870ECE">
    <w:pPr>
      <w:pStyle w:val="Pamatteksts"/>
      <w:spacing w:line="14" w:lineRule="auto"/>
      <w:rPr>
        <w:sz w:val="20"/>
      </w:rPr>
    </w:pPr>
    <w:r>
      <w:rPr>
        <w:noProof/>
      </w:rPr>
      <mc:AlternateContent>
        <mc:Choice Requires="wps">
          <w:drawing>
            <wp:anchor distT="0" distB="0" distL="114300" distR="114300" simplePos="0" relativeHeight="251659776" behindDoc="1" locked="0" layoutInCell="1" allowOverlap="1" wp14:anchorId="365FAAB0" wp14:editId="0F23FFC0">
              <wp:simplePos x="0" y="0"/>
              <wp:positionH relativeFrom="page">
                <wp:posOffset>6750050</wp:posOffset>
              </wp:positionH>
              <wp:positionV relativeFrom="page">
                <wp:posOffset>9911080</wp:posOffset>
              </wp:positionV>
              <wp:extent cx="261620" cy="180975"/>
              <wp:effectExtent l="0" t="0" r="0" b="444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3C4F" w14:textId="77777777" w:rsidR="00335490" w:rsidRDefault="00335490">
                          <w:pPr>
                            <w:pStyle w:val="Pamatteksts"/>
                            <w:spacing w:before="11"/>
                            <w:ind w:left="40"/>
                          </w:pPr>
                          <w:r>
                            <w:fldChar w:fldCharType="begin"/>
                          </w:r>
                          <w:r>
                            <w:instrText xml:space="preserve"> PAGE </w:instrText>
                          </w:r>
                          <w:r>
                            <w:fldChar w:fldCharType="separate"/>
                          </w:r>
                          <w:r>
                            <w:t>34</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FAAB0" id="_x0000_t202" coordsize="21600,21600" o:spt="202" path="m,l,21600r21600,l21600,xe">
              <v:stroke joinstyle="miter"/>
              <v:path gradientshapeok="t" o:connecttype="rect"/>
            </v:shapetype>
            <v:shape id="Text Box 3" o:spid="_x0000_s1106" type="#_x0000_t202" style="position:absolute;margin-left:531.5pt;margin-top:780.4pt;width:20.6pt;height:1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" filled="f" stroked="f">
              <v:textbox inset="0,0,0,0">
                <w:txbxContent>
                  <w:p w14:paraId="6F983C4F" w14:textId="77777777" w:rsidR="00335490" w:rsidRDefault="00335490">
                    <w:pPr>
                      <w:pStyle w:val="Pamatteksts"/>
                      <w:spacing w:before="11"/>
                      <w:ind w:left="40"/>
                    </w:pPr>
                    <w:r>
                      <w:fldChar w:fldCharType="begin"/>
                    </w:r>
                    <w:r>
                      <w:instrText xml:space="preserve"> PAGE </w:instrText>
                    </w:r>
                    <w:r>
                      <w:fldChar w:fldCharType="separate"/>
                    </w:r>
                    <w:r>
                      <w:t>34</w:t>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C407" w14:textId="77777777" w:rsidR="00335490" w:rsidRDefault="00870ECE">
    <w:pPr>
      <w:pStyle w:val="Pamatteksts"/>
      <w:spacing w:line="14" w:lineRule="auto"/>
      <w:rPr>
        <w:sz w:val="20"/>
      </w:rPr>
    </w:pPr>
    <w:r>
      <w:rPr>
        <w:noProof/>
      </w:rPr>
      <mc:AlternateContent>
        <mc:Choice Requires="wps">
          <w:drawing>
            <wp:anchor distT="0" distB="0" distL="114300" distR="114300" simplePos="0" relativeHeight="251661824" behindDoc="1" locked="0" layoutInCell="1" allowOverlap="1" wp14:anchorId="73172C1C" wp14:editId="5B041353">
              <wp:simplePos x="0" y="0"/>
              <wp:positionH relativeFrom="page">
                <wp:posOffset>6751955</wp:posOffset>
              </wp:positionH>
              <wp:positionV relativeFrom="page">
                <wp:posOffset>9911080</wp:posOffset>
              </wp:positionV>
              <wp:extent cx="261620" cy="180975"/>
              <wp:effectExtent l="0" t="0" r="0" b="444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7F76" w14:textId="77777777" w:rsidR="00335490" w:rsidRDefault="00335490">
                          <w:pPr>
                            <w:pStyle w:val="Pamatteksts"/>
                            <w:spacing w:before="11"/>
                            <w:ind w:left="40"/>
                          </w:pPr>
                          <w:r>
                            <w:fldChar w:fldCharType="begin"/>
                          </w:r>
                          <w:r>
                            <w:instrText xml:space="preserve"> PAGE </w:instrText>
                          </w:r>
                          <w:r>
                            <w:fldChar w:fldCharType="separate"/>
                          </w:r>
                          <w:r>
                            <w:t>41</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2C1C" id="_x0000_t202" coordsize="21600,21600" o:spt="202" path="m,l,21600r21600,l21600,xe">
              <v:stroke joinstyle="miter"/>
              <v:path gradientshapeok="t" o:connecttype="rect"/>
            </v:shapetype>
            <v:shape id="Text Box 6" o:spid="_x0000_s1107" type="#_x0000_t202" style="position:absolute;margin-left:531.65pt;margin-top:780.4pt;width:20.6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" filled="f" stroked="f">
              <v:textbox inset="0,0,0,0">
                <w:txbxContent>
                  <w:p w14:paraId="65207F76" w14:textId="77777777" w:rsidR="00335490" w:rsidRDefault="00335490">
                    <w:pPr>
                      <w:pStyle w:val="Pamatteksts"/>
                      <w:spacing w:before="11"/>
                      <w:ind w:left="40"/>
                    </w:pPr>
                    <w:r>
                      <w:fldChar w:fldCharType="begin"/>
                    </w:r>
                    <w:r>
                      <w:instrText xml:space="preserve"> PAGE </w:instrText>
                    </w:r>
                    <w:r>
                      <w:fldChar w:fldCharType="separate"/>
                    </w:r>
                    <w:r>
                      <w:t>41</w:t>
                    </w:r>
                    <w: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FA83" w14:textId="77777777" w:rsidR="00335490" w:rsidRDefault="00870ECE">
    <w:pPr>
      <w:pStyle w:val="Pamatteksts"/>
      <w:spacing w:line="14" w:lineRule="auto"/>
      <w:rPr>
        <w:sz w:val="19"/>
      </w:rPr>
    </w:pPr>
    <w:r>
      <w:rPr>
        <w:noProof/>
      </w:rPr>
      <mc:AlternateContent>
        <mc:Choice Requires="wps">
          <w:drawing>
            <wp:anchor distT="0" distB="0" distL="114300" distR="114300" simplePos="0" relativeHeight="251663872" behindDoc="1" locked="0" layoutInCell="1" allowOverlap="1" wp14:anchorId="46663962" wp14:editId="5AB44376">
              <wp:simplePos x="0" y="0"/>
              <wp:positionH relativeFrom="page">
                <wp:posOffset>6750050</wp:posOffset>
              </wp:positionH>
              <wp:positionV relativeFrom="page">
                <wp:posOffset>9911080</wp:posOffset>
              </wp:positionV>
              <wp:extent cx="261620" cy="180975"/>
              <wp:effectExtent l="0" t="0" r="0" b="444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F7A7" w14:textId="77777777" w:rsidR="00335490" w:rsidRDefault="00335490">
                          <w:pPr>
                            <w:pStyle w:val="Pamatteksts"/>
                            <w:spacing w:before="11"/>
                            <w:ind w:left="40"/>
                          </w:pPr>
                          <w:r>
                            <w:fldChar w:fldCharType="begin"/>
                          </w:r>
                          <w:r>
                            <w:instrText xml:space="preserve"> PAGE </w:instrText>
                          </w:r>
                          <w:r>
                            <w:fldChar w:fldCharType="separate"/>
                          </w:r>
                          <w:r>
                            <w:t>47</w:t>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63962" id="_x0000_t202" coordsize="21600,21600" o:spt="202" path="m,l,21600r21600,l21600,xe">
              <v:stroke joinstyle="miter"/>
              <v:path gradientshapeok="t" o:connecttype="rect"/>
            </v:shapetype>
            <v:shape id="_x0000_s1108" type="#_x0000_t202" style="position:absolute;margin-left:531.5pt;margin-top:780.4pt;width:20.6pt;height:14.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" filled="f" stroked="f">
              <v:textbox inset="0,0,0,0">
                <w:txbxContent>
                  <w:p w14:paraId="27A3F7A7" w14:textId="77777777" w:rsidR="00335490" w:rsidRDefault="00335490">
                    <w:pPr>
                      <w:pStyle w:val="Pamatteksts"/>
                      <w:spacing w:before="11"/>
                      <w:ind w:left="40"/>
                    </w:pPr>
                    <w:r>
                      <w:fldChar w:fldCharType="begin"/>
                    </w:r>
                    <w:r>
                      <w:instrText xml:space="preserve"> PAGE </w:instrText>
                    </w:r>
                    <w:r>
                      <w:fldChar w:fldCharType="separate"/>
                    </w:r>
                    <w:r>
                      <w:t>47</w:t>
                    </w:r>
                    <w: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399F" w14:textId="77777777" w:rsidR="00A24402" w:rsidRDefault="00A24402" w:rsidP="0067077E">
      <w:pPr>
        <w:spacing w:after="0" w:line="240" w:lineRule="auto"/>
      </w:pPr>
      <w:r>
        <w:separator/>
      </w:r>
    </w:p>
  </w:footnote>
  <w:footnote w:type="continuationSeparator" w:id="0">
    <w:p w14:paraId="02F92791" w14:textId="77777777" w:rsidR="00A24402" w:rsidRDefault="00A24402" w:rsidP="00670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943840"/>
      <w:docPartObj>
        <w:docPartGallery w:val="Page Numbers (Top of Page)"/>
        <w:docPartUnique/>
      </w:docPartObj>
    </w:sdtPr>
    <w:sdtEndPr>
      <w:rPr>
        <w:noProof/>
      </w:rPr>
    </w:sdtEndPr>
    <w:sdtContent>
      <w:p w14:paraId="4121772F" w14:textId="77777777" w:rsidR="00335490" w:rsidRDefault="00335490">
        <w:pPr>
          <w:pStyle w:val="Galvene"/>
          <w:jc w:val="center"/>
        </w:pPr>
      </w:p>
      <w:p w14:paraId="3BE60DC8" w14:textId="77777777" w:rsidR="00335490" w:rsidRDefault="00335490">
        <w:pPr>
          <w:pStyle w:val="Galvene"/>
          <w:jc w:val="center"/>
        </w:pPr>
      </w:p>
      <w:p w14:paraId="03AB84FB" w14:textId="77777777" w:rsidR="00335490" w:rsidRDefault="00335490">
        <w:pPr>
          <w:pStyle w:val="Galvene"/>
          <w:jc w:val="center"/>
        </w:pPr>
        <w:r>
          <w:fldChar w:fldCharType="begin"/>
        </w:r>
        <w:r>
          <w:instrText xml:space="preserve"> PAGE   \* MERGEFORMAT </w:instrText>
        </w:r>
        <w:r>
          <w:fldChar w:fldCharType="separate"/>
        </w:r>
        <w:r>
          <w:rPr>
            <w:noProof/>
          </w:rPr>
          <w:t>2</w:t>
        </w:r>
        <w:r>
          <w:rPr>
            <w:noProof/>
          </w:rPr>
          <w:fldChar w:fldCharType="end"/>
        </w:r>
      </w:p>
    </w:sdtContent>
  </w:sdt>
  <w:p w14:paraId="6619440F" w14:textId="77777777" w:rsidR="00335490" w:rsidRDefault="0033549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701437"/>
      <w:docPartObj>
        <w:docPartGallery w:val="Page Numbers (Top of Page)"/>
        <w:docPartUnique/>
      </w:docPartObj>
    </w:sdtPr>
    <w:sdtEndPr>
      <w:rPr>
        <w:noProof/>
      </w:rPr>
    </w:sdtEndPr>
    <w:sdtContent>
      <w:p w14:paraId="3248C429" w14:textId="77777777" w:rsidR="00335490" w:rsidRDefault="00335490" w:rsidP="000C15FC">
        <w:pPr>
          <w:pStyle w:val="Galvene"/>
          <w:spacing w:before="100" w:beforeAutospacing="1"/>
          <w:jc w:val="center"/>
        </w:pPr>
        <w:r>
          <w:fldChar w:fldCharType="begin"/>
        </w:r>
        <w:r>
          <w:instrText xml:space="preserve"> PAGE   \* MERGEFORMAT </w:instrText>
        </w:r>
        <w:r>
          <w:fldChar w:fldCharType="separate"/>
        </w:r>
        <w:r>
          <w:rPr>
            <w:noProof/>
          </w:rPr>
          <w:t>2</w:t>
        </w:r>
        <w:r>
          <w:rPr>
            <w:noProof/>
          </w:rPr>
          <w:fldChar w:fldCharType="end"/>
        </w:r>
      </w:p>
    </w:sdtContent>
  </w:sdt>
  <w:p w14:paraId="2C9A2A0B" w14:textId="77777777" w:rsidR="00335490" w:rsidRDefault="00335490">
    <w:pPr>
      <w:pStyle w:val="Galvene"/>
    </w:pPr>
  </w:p>
  <w:p w14:paraId="314BB6F9" w14:textId="77777777" w:rsidR="00335490" w:rsidRDefault="003354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08F"/>
    <w:multiLevelType w:val="hybridMultilevel"/>
    <w:tmpl w:val="6B38D472"/>
    <w:lvl w:ilvl="0" w:tplc="CA162918">
      <w:numFmt w:val="bullet"/>
      <w:lvlText w:val="•"/>
      <w:lvlJc w:val="left"/>
      <w:pPr>
        <w:ind w:left="180" w:hanging="180"/>
      </w:pPr>
      <w:rPr>
        <w:rFonts w:ascii="Times New Roman" w:eastAsia="Times New Roman" w:hAnsi="Times New Roman" w:cs="Times New Roman" w:hint="default"/>
        <w:w w:val="99"/>
        <w:sz w:val="26"/>
        <w:szCs w:val="26"/>
        <w:lang w:val="lv" w:eastAsia="lv" w:bidi="lv"/>
      </w:rPr>
    </w:lvl>
    <w:lvl w:ilvl="1" w:tplc="F0D0F190">
      <w:numFmt w:val="bullet"/>
      <w:lvlText w:val="•"/>
      <w:lvlJc w:val="left"/>
      <w:pPr>
        <w:ind w:left="465" w:hanging="180"/>
      </w:pPr>
      <w:rPr>
        <w:rFonts w:hint="default"/>
        <w:lang w:val="lv" w:eastAsia="lv" w:bidi="lv"/>
      </w:rPr>
    </w:lvl>
    <w:lvl w:ilvl="2" w:tplc="B628D064">
      <w:numFmt w:val="bullet"/>
      <w:lvlText w:val="•"/>
      <w:lvlJc w:val="left"/>
      <w:pPr>
        <w:ind w:left="751" w:hanging="180"/>
      </w:pPr>
      <w:rPr>
        <w:rFonts w:hint="default"/>
        <w:lang w:val="lv" w:eastAsia="lv" w:bidi="lv"/>
      </w:rPr>
    </w:lvl>
    <w:lvl w:ilvl="3" w:tplc="06A08336">
      <w:numFmt w:val="bullet"/>
      <w:lvlText w:val="•"/>
      <w:lvlJc w:val="left"/>
      <w:pPr>
        <w:ind w:left="1037" w:hanging="180"/>
      </w:pPr>
      <w:rPr>
        <w:rFonts w:hint="default"/>
        <w:lang w:val="lv" w:eastAsia="lv" w:bidi="lv"/>
      </w:rPr>
    </w:lvl>
    <w:lvl w:ilvl="4" w:tplc="2D0A3E9C">
      <w:numFmt w:val="bullet"/>
      <w:lvlText w:val="•"/>
      <w:lvlJc w:val="left"/>
      <w:pPr>
        <w:ind w:left="1323" w:hanging="180"/>
      </w:pPr>
      <w:rPr>
        <w:rFonts w:hint="default"/>
        <w:lang w:val="lv" w:eastAsia="lv" w:bidi="lv"/>
      </w:rPr>
    </w:lvl>
    <w:lvl w:ilvl="5" w:tplc="79C263B0">
      <w:numFmt w:val="bullet"/>
      <w:lvlText w:val="•"/>
      <w:lvlJc w:val="left"/>
      <w:pPr>
        <w:ind w:left="1609" w:hanging="180"/>
      </w:pPr>
      <w:rPr>
        <w:rFonts w:hint="default"/>
        <w:lang w:val="lv" w:eastAsia="lv" w:bidi="lv"/>
      </w:rPr>
    </w:lvl>
    <w:lvl w:ilvl="6" w:tplc="D6A0488A">
      <w:numFmt w:val="bullet"/>
      <w:lvlText w:val="•"/>
      <w:lvlJc w:val="left"/>
      <w:pPr>
        <w:ind w:left="1895" w:hanging="180"/>
      </w:pPr>
      <w:rPr>
        <w:rFonts w:hint="default"/>
        <w:lang w:val="lv" w:eastAsia="lv" w:bidi="lv"/>
      </w:rPr>
    </w:lvl>
    <w:lvl w:ilvl="7" w:tplc="66DC5E08">
      <w:numFmt w:val="bullet"/>
      <w:lvlText w:val="•"/>
      <w:lvlJc w:val="left"/>
      <w:pPr>
        <w:ind w:left="2181" w:hanging="180"/>
      </w:pPr>
      <w:rPr>
        <w:rFonts w:hint="default"/>
        <w:lang w:val="lv" w:eastAsia="lv" w:bidi="lv"/>
      </w:rPr>
    </w:lvl>
    <w:lvl w:ilvl="8" w:tplc="CC8A5450">
      <w:numFmt w:val="bullet"/>
      <w:lvlText w:val="•"/>
      <w:lvlJc w:val="left"/>
      <w:pPr>
        <w:ind w:left="2467" w:hanging="180"/>
      </w:pPr>
      <w:rPr>
        <w:rFonts w:hint="default"/>
        <w:lang w:val="lv" w:eastAsia="lv" w:bidi="lv"/>
      </w:rPr>
    </w:lvl>
  </w:abstractNum>
  <w:abstractNum w:abstractNumId="1" w15:restartNumberingAfterBreak="0">
    <w:nsid w:val="018B697B"/>
    <w:multiLevelType w:val="multilevel"/>
    <w:tmpl w:val="D3644E3A"/>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2" w15:restartNumberingAfterBreak="0">
    <w:nsid w:val="032E2BA7"/>
    <w:multiLevelType w:val="multilevel"/>
    <w:tmpl w:val="FB72D864"/>
    <w:lvl w:ilvl="0">
      <w:start w:val="6"/>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3" w15:restartNumberingAfterBreak="0">
    <w:nsid w:val="03BA18D6"/>
    <w:multiLevelType w:val="hybridMultilevel"/>
    <w:tmpl w:val="09B231EA"/>
    <w:lvl w:ilvl="0" w:tplc="569E5530">
      <w:numFmt w:val="bullet"/>
      <w:lvlText w:val="•"/>
      <w:lvlJc w:val="left"/>
      <w:pPr>
        <w:ind w:left="265" w:hanging="180"/>
      </w:pPr>
      <w:rPr>
        <w:rFonts w:ascii="Times New Roman" w:eastAsia="Times New Roman" w:hAnsi="Times New Roman" w:cs="Times New Roman" w:hint="default"/>
        <w:color w:val="002069"/>
        <w:spacing w:val="-25"/>
        <w:w w:val="100"/>
        <w:sz w:val="24"/>
        <w:szCs w:val="24"/>
        <w:lang w:val="lv" w:eastAsia="lv" w:bidi="lv"/>
      </w:rPr>
    </w:lvl>
    <w:lvl w:ilvl="1" w:tplc="860E6A0A">
      <w:numFmt w:val="bullet"/>
      <w:lvlText w:val="•"/>
      <w:lvlJc w:val="left"/>
      <w:pPr>
        <w:ind w:left="441" w:hanging="180"/>
      </w:pPr>
      <w:rPr>
        <w:rFonts w:hint="default"/>
        <w:lang w:val="lv" w:eastAsia="lv" w:bidi="lv"/>
      </w:rPr>
    </w:lvl>
    <w:lvl w:ilvl="2" w:tplc="920692C0">
      <w:numFmt w:val="bullet"/>
      <w:lvlText w:val="•"/>
      <w:lvlJc w:val="left"/>
      <w:pPr>
        <w:ind w:left="622" w:hanging="180"/>
      </w:pPr>
      <w:rPr>
        <w:rFonts w:hint="default"/>
        <w:lang w:val="lv" w:eastAsia="lv" w:bidi="lv"/>
      </w:rPr>
    </w:lvl>
    <w:lvl w:ilvl="3" w:tplc="59D82D08">
      <w:numFmt w:val="bullet"/>
      <w:lvlText w:val="•"/>
      <w:lvlJc w:val="left"/>
      <w:pPr>
        <w:ind w:left="804" w:hanging="180"/>
      </w:pPr>
      <w:rPr>
        <w:rFonts w:hint="default"/>
        <w:lang w:val="lv" w:eastAsia="lv" w:bidi="lv"/>
      </w:rPr>
    </w:lvl>
    <w:lvl w:ilvl="4" w:tplc="088E99F2">
      <w:numFmt w:val="bullet"/>
      <w:lvlText w:val="•"/>
      <w:lvlJc w:val="left"/>
      <w:pPr>
        <w:ind w:left="985" w:hanging="180"/>
      </w:pPr>
      <w:rPr>
        <w:rFonts w:hint="default"/>
        <w:lang w:val="lv" w:eastAsia="lv" w:bidi="lv"/>
      </w:rPr>
    </w:lvl>
    <w:lvl w:ilvl="5" w:tplc="7E3677BC">
      <w:numFmt w:val="bullet"/>
      <w:lvlText w:val="•"/>
      <w:lvlJc w:val="left"/>
      <w:pPr>
        <w:ind w:left="1166" w:hanging="180"/>
      </w:pPr>
      <w:rPr>
        <w:rFonts w:hint="default"/>
        <w:lang w:val="lv" w:eastAsia="lv" w:bidi="lv"/>
      </w:rPr>
    </w:lvl>
    <w:lvl w:ilvl="6" w:tplc="D89685C0">
      <w:numFmt w:val="bullet"/>
      <w:lvlText w:val="•"/>
      <w:lvlJc w:val="left"/>
      <w:pPr>
        <w:ind w:left="1348" w:hanging="180"/>
      </w:pPr>
      <w:rPr>
        <w:rFonts w:hint="default"/>
        <w:lang w:val="lv" w:eastAsia="lv" w:bidi="lv"/>
      </w:rPr>
    </w:lvl>
    <w:lvl w:ilvl="7" w:tplc="7CEE1D84">
      <w:numFmt w:val="bullet"/>
      <w:lvlText w:val="•"/>
      <w:lvlJc w:val="left"/>
      <w:pPr>
        <w:ind w:left="1529" w:hanging="180"/>
      </w:pPr>
      <w:rPr>
        <w:rFonts w:hint="default"/>
        <w:lang w:val="lv" w:eastAsia="lv" w:bidi="lv"/>
      </w:rPr>
    </w:lvl>
    <w:lvl w:ilvl="8" w:tplc="BF8CD77E">
      <w:numFmt w:val="bullet"/>
      <w:lvlText w:val="•"/>
      <w:lvlJc w:val="left"/>
      <w:pPr>
        <w:ind w:left="1710" w:hanging="180"/>
      </w:pPr>
      <w:rPr>
        <w:rFonts w:hint="default"/>
        <w:lang w:val="lv" w:eastAsia="lv" w:bidi="lv"/>
      </w:rPr>
    </w:lvl>
  </w:abstractNum>
  <w:abstractNum w:abstractNumId="4" w15:restartNumberingAfterBreak="0">
    <w:nsid w:val="050F5289"/>
    <w:multiLevelType w:val="hybridMultilevel"/>
    <w:tmpl w:val="27A8E368"/>
    <w:lvl w:ilvl="0" w:tplc="9B8260A0">
      <w:start w:val="1"/>
      <w:numFmt w:val="decimal"/>
      <w:lvlText w:val="%1."/>
      <w:lvlJc w:val="left"/>
      <w:pPr>
        <w:ind w:left="370" w:hanging="152"/>
        <w:jc w:val="right"/>
      </w:pPr>
      <w:rPr>
        <w:rFonts w:ascii="Times New Roman" w:eastAsia="Times New Roman" w:hAnsi="Times New Roman" w:cs="Times New Roman" w:hint="default"/>
        <w:i/>
        <w:spacing w:val="-3"/>
        <w:w w:val="99"/>
        <w:sz w:val="18"/>
        <w:szCs w:val="18"/>
        <w:lang w:val="lv" w:eastAsia="lv" w:bidi="lv"/>
      </w:rPr>
    </w:lvl>
    <w:lvl w:ilvl="1" w:tplc="4A38D7BA">
      <w:numFmt w:val="bullet"/>
      <w:lvlText w:val="•"/>
      <w:lvlJc w:val="left"/>
      <w:pPr>
        <w:ind w:left="763" w:hanging="152"/>
      </w:pPr>
      <w:rPr>
        <w:rFonts w:hint="default"/>
        <w:lang w:val="lv" w:eastAsia="lv" w:bidi="lv"/>
      </w:rPr>
    </w:lvl>
    <w:lvl w:ilvl="2" w:tplc="AD08B7D6">
      <w:numFmt w:val="bullet"/>
      <w:lvlText w:val="•"/>
      <w:lvlJc w:val="left"/>
      <w:pPr>
        <w:ind w:left="1146" w:hanging="152"/>
      </w:pPr>
      <w:rPr>
        <w:rFonts w:hint="default"/>
        <w:lang w:val="lv" w:eastAsia="lv" w:bidi="lv"/>
      </w:rPr>
    </w:lvl>
    <w:lvl w:ilvl="3" w:tplc="319A49AC">
      <w:numFmt w:val="bullet"/>
      <w:lvlText w:val="•"/>
      <w:lvlJc w:val="left"/>
      <w:pPr>
        <w:ind w:left="1529" w:hanging="152"/>
      </w:pPr>
      <w:rPr>
        <w:rFonts w:hint="default"/>
        <w:lang w:val="lv" w:eastAsia="lv" w:bidi="lv"/>
      </w:rPr>
    </w:lvl>
    <w:lvl w:ilvl="4" w:tplc="B47A1D5E">
      <w:numFmt w:val="bullet"/>
      <w:lvlText w:val="•"/>
      <w:lvlJc w:val="left"/>
      <w:pPr>
        <w:ind w:left="1913" w:hanging="152"/>
      </w:pPr>
      <w:rPr>
        <w:rFonts w:hint="default"/>
        <w:lang w:val="lv" w:eastAsia="lv" w:bidi="lv"/>
      </w:rPr>
    </w:lvl>
    <w:lvl w:ilvl="5" w:tplc="FDC64336">
      <w:numFmt w:val="bullet"/>
      <w:lvlText w:val="•"/>
      <w:lvlJc w:val="left"/>
      <w:pPr>
        <w:ind w:left="2296" w:hanging="152"/>
      </w:pPr>
      <w:rPr>
        <w:rFonts w:hint="default"/>
        <w:lang w:val="lv" w:eastAsia="lv" w:bidi="lv"/>
      </w:rPr>
    </w:lvl>
    <w:lvl w:ilvl="6" w:tplc="BB788970">
      <w:numFmt w:val="bullet"/>
      <w:lvlText w:val="•"/>
      <w:lvlJc w:val="left"/>
      <w:pPr>
        <w:ind w:left="2679" w:hanging="152"/>
      </w:pPr>
      <w:rPr>
        <w:rFonts w:hint="default"/>
        <w:lang w:val="lv" w:eastAsia="lv" w:bidi="lv"/>
      </w:rPr>
    </w:lvl>
    <w:lvl w:ilvl="7" w:tplc="097676C8">
      <w:numFmt w:val="bullet"/>
      <w:lvlText w:val="•"/>
      <w:lvlJc w:val="left"/>
      <w:pPr>
        <w:ind w:left="3062" w:hanging="152"/>
      </w:pPr>
      <w:rPr>
        <w:rFonts w:hint="default"/>
        <w:lang w:val="lv" w:eastAsia="lv" w:bidi="lv"/>
      </w:rPr>
    </w:lvl>
    <w:lvl w:ilvl="8" w:tplc="564C2BEA">
      <w:numFmt w:val="bullet"/>
      <w:lvlText w:val="•"/>
      <w:lvlJc w:val="left"/>
      <w:pPr>
        <w:ind w:left="3446" w:hanging="152"/>
      </w:pPr>
      <w:rPr>
        <w:rFonts w:hint="default"/>
        <w:lang w:val="lv" w:eastAsia="lv" w:bidi="lv"/>
      </w:rPr>
    </w:lvl>
  </w:abstractNum>
  <w:abstractNum w:abstractNumId="5" w15:restartNumberingAfterBreak="0">
    <w:nsid w:val="072D68B8"/>
    <w:multiLevelType w:val="hybridMultilevel"/>
    <w:tmpl w:val="CF1E3A14"/>
    <w:lvl w:ilvl="0" w:tplc="C0D4023A">
      <w:start w:val="910"/>
      <w:numFmt w:val="decimal"/>
      <w:lvlText w:val="%1."/>
      <w:lvlJc w:val="left"/>
      <w:pPr>
        <w:ind w:left="735" w:hanging="375"/>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7A32B69"/>
    <w:multiLevelType w:val="hybridMultilevel"/>
    <w:tmpl w:val="C8BEB988"/>
    <w:lvl w:ilvl="0" w:tplc="CBB2EAD0">
      <w:start w:val="195"/>
      <w:numFmt w:val="decimal"/>
      <w:lvlText w:val="%1"/>
      <w:lvlJc w:val="left"/>
      <w:pPr>
        <w:ind w:left="553" w:hanging="360"/>
      </w:pPr>
      <w:rPr>
        <w:rFonts w:hint="default"/>
      </w:rPr>
    </w:lvl>
    <w:lvl w:ilvl="1" w:tplc="04260019" w:tentative="1">
      <w:start w:val="1"/>
      <w:numFmt w:val="lowerLetter"/>
      <w:lvlText w:val="%2."/>
      <w:lvlJc w:val="left"/>
      <w:pPr>
        <w:ind w:left="1273" w:hanging="360"/>
      </w:pPr>
    </w:lvl>
    <w:lvl w:ilvl="2" w:tplc="0426001B" w:tentative="1">
      <w:start w:val="1"/>
      <w:numFmt w:val="lowerRoman"/>
      <w:lvlText w:val="%3."/>
      <w:lvlJc w:val="right"/>
      <w:pPr>
        <w:ind w:left="1993" w:hanging="180"/>
      </w:pPr>
    </w:lvl>
    <w:lvl w:ilvl="3" w:tplc="0426000F" w:tentative="1">
      <w:start w:val="1"/>
      <w:numFmt w:val="decimal"/>
      <w:lvlText w:val="%4."/>
      <w:lvlJc w:val="left"/>
      <w:pPr>
        <w:ind w:left="2713" w:hanging="360"/>
      </w:pPr>
    </w:lvl>
    <w:lvl w:ilvl="4" w:tplc="04260019" w:tentative="1">
      <w:start w:val="1"/>
      <w:numFmt w:val="lowerLetter"/>
      <w:lvlText w:val="%5."/>
      <w:lvlJc w:val="left"/>
      <w:pPr>
        <w:ind w:left="3433" w:hanging="360"/>
      </w:pPr>
    </w:lvl>
    <w:lvl w:ilvl="5" w:tplc="0426001B" w:tentative="1">
      <w:start w:val="1"/>
      <w:numFmt w:val="lowerRoman"/>
      <w:lvlText w:val="%6."/>
      <w:lvlJc w:val="right"/>
      <w:pPr>
        <w:ind w:left="4153" w:hanging="180"/>
      </w:pPr>
    </w:lvl>
    <w:lvl w:ilvl="6" w:tplc="0426000F" w:tentative="1">
      <w:start w:val="1"/>
      <w:numFmt w:val="decimal"/>
      <w:lvlText w:val="%7."/>
      <w:lvlJc w:val="left"/>
      <w:pPr>
        <w:ind w:left="4873" w:hanging="360"/>
      </w:pPr>
    </w:lvl>
    <w:lvl w:ilvl="7" w:tplc="04260019" w:tentative="1">
      <w:start w:val="1"/>
      <w:numFmt w:val="lowerLetter"/>
      <w:lvlText w:val="%8."/>
      <w:lvlJc w:val="left"/>
      <w:pPr>
        <w:ind w:left="5593" w:hanging="360"/>
      </w:pPr>
    </w:lvl>
    <w:lvl w:ilvl="8" w:tplc="0426001B" w:tentative="1">
      <w:start w:val="1"/>
      <w:numFmt w:val="lowerRoman"/>
      <w:lvlText w:val="%9."/>
      <w:lvlJc w:val="right"/>
      <w:pPr>
        <w:ind w:left="6313" w:hanging="180"/>
      </w:pPr>
    </w:lvl>
  </w:abstractNum>
  <w:abstractNum w:abstractNumId="7" w15:restartNumberingAfterBreak="0">
    <w:nsid w:val="09E25BE8"/>
    <w:multiLevelType w:val="hybridMultilevel"/>
    <w:tmpl w:val="1C30B26A"/>
    <w:lvl w:ilvl="0" w:tplc="17069A36">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1" w:tplc="AEC65684">
      <w:numFmt w:val="bullet"/>
      <w:lvlText w:val="•"/>
      <w:lvlJc w:val="left"/>
      <w:pPr>
        <w:ind w:left="2706" w:hanging="358"/>
      </w:pPr>
      <w:rPr>
        <w:rFonts w:hint="default"/>
        <w:lang w:val="lv" w:eastAsia="lv" w:bidi="lv"/>
      </w:rPr>
    </w:lvl>
    <w:lvl w:ilvl="2" w:tplc="83B06F76">
      <w:numFmt w:val="bullet"/>
      <w:lvlText w:val="•"/>
      <w:lvlJc w:val="left"/>
      <w:pPr>
        <w:ind w:left="3553" w:hanging="358"/>
      </w:pPr>
      <w:rPr>
        <w:rFonts w:hint="default"/>
        <w:lang w:val="lv" w:eastAsia="lv" w:bidi="lv"/>
      </w:rPr>
    </w:lvl>
    <w:lvl w:ilvl="3" w:tplc="82322094">
      <w:numFmt w:val="bullet"/>
      <w:lvlText w:val="•"/>
      <w:lvlJc w:val="left"/>
      <w:pPr>
        <w:ind w:left="4399" w:hanging="358"/>
      </w:pPr>
      <w:rPr>
        <w:rFonts w:hint="default"/>
        <w:lang w:val="lv" w:eastAsia="lv" w:bidi="lv"/>
      </w:rPr>
    </w:lvl>
    <w:lvl w:ilvl="4" w:tplc="54607E2A">
      <w:numFmt w:val="bullet"/>
      <w:lvlText w:val="•"/>
      <w:lvlJc w:val="left"/>
      <w:pPr>
        <w:ind w:left="5246" w:hanging="358"/>
      </w:pPr>
      <w:rPr>
        <w:rFonts w:hint="default"/>
        <w:lang w:val="lv" w:eastAsia="lv" w:bidi="lv"/>
      </w:rPr>
    </w:lvl>
    <w:lvl w:ilvl="5" w:tplc="9782DD1C">
      <w:numFmt w:val="bullet"/>
      <w:lvlText w:val="•"/>
      <w:lvlJc w:val="left"/>
      <w:pPr>
        <w:ind w:left="6093" w:hanging="358"/>
      </w:pPr>
      <w:rPr>
        <w:rFonts w:hint="default"/>
        <w:lang w:val="lv" w:eastAsia="lv" w:bidi="lv"/>
      </w:rPr>
    </w:lvl>
    <w:lvl w:ilvl="6" w:tplc="28EC428E">
      <w:numFmt w:val="bullet"/>
      <w:lvlText w:val="•"/>
      <w:lvlJc w:val="left"/>
      <w:pPr>
        <w:ind w:left="6939" w:hanging="358"/>
      </w:pPr>
      <w:rPr>
        <w:rFonts w:hint="default"/>
        <w:lang w:val="lv" w:eastAsia="lv" w:bidi="lv"/>
      </w:rPr>
    </w:lvl>
    <w:lvl w:ilvl="7" w:tplc="A78A0294">
      <w:numFmt w:val="bullet"/>
      <w:lvlText w:val="•"/>
      <w:lvlJc w:val="left"/>
      <w:pPr>
        <w:ind w:left="7786" w:hanging="358"/>
      </w:pPr>
      <w:rPr>
        <w:rFonts w:hint="default"/>
        <w:lang w:val="lv" w:eastAsia="lv" w:bidi="lv"/>
      </w:rPr>
    </w:lvl>
    <w:lvl w:ilvl="8" w:tplc="6494122E">
      <w:numFmt w:val="bullet"/>
      <w:lvlText w:val="•"/>
      <w:lvlJc w:val="left"/>
      <w:pPr>
        <w:ind w:left="8633" w:hanging="358"/>
      </w:pPr>
      <w:rPr>
        <w:rFonts w:hint="default"/>
        <w:lang w:val="lv" w:eastAsia="lv" w:bidi="lv"/>
      </w:rPr>
    </w:lvl>
  </w:abstractNum>
  <w:abstractNum w:abstractNumId="8" w15:restartNumberingAfterBreak="0">
    <w:nsid w:val="0C833B60"/>
    <w:multiLevelType w:val="hybridMultilevel"/>
    <w:tmpl w:val="09B6F012"/>
    <w:lvl w:ilvl="0" w:tplc="A77241CE">
      <w:start w:val="4"/>
      <w:numFmt w:val="decimal"/>
      <w:lvlText w:val="%1."/>
      <w:lvlJc w:val="left"/>
      <w:pPr>
        <w:ind w:left="5644" w:hanging="152"/>
        <w:jc w:val="right"/>
      </w:pPr>
      <w:rPr>
        <w:rFonts w:hint="default"/>
        <w:i/>
        <w:spacing w:val="0"/>
        <w:w w:val="99"/>
        <w:lang w:val="lv" w:eastAsia="lv" w:bidi="lv"/>
      </w:rPr>
    </w:lvl>
    <w:lvl w:ilvl="1" w:tplc="FAE4AA34">
      <w:start w:val="6"/>
      <w:numFmt w:val="decimal"/>
      <w:lvlText w:val="%2."/>
      <w:lvlJc w:val="left"/>
      <w:pPr>
        <w:ind w:left="4428" w:hanging="168"/>
        <w:jc w:val="right"/>
      </w:pPr>
      <w:rPr>
        <w:rFonts w:hint="default"/>
        <w:i/>
        <w:spacing w:val="-3"/>
        <w:w w:val="100"/>
        <w:lang w:val="lv" w:eastAsia="lv" w:bidi="lv"/>
      </w:rPr>
    </w:lvl>
    <w:lvl w:ilvl="2" w:tplc="1FDA4AF0">
      <w:numFmt w:val="bullet"/>
      <w:lvlText w:val="•"/>
      <w:lvlJc w:val="left"/>
      <w:pPr>
        <w:ind w:left="6650" w:hanging="168"/>
      </w:pPr>
      <w:rPr>
        <w:rFonts w:hint="default"/>
        <w:lang w:val="lv" w:eastAsia="lv" w:bidi="lv"/>
      </w:rPr>
    </w:lvl>
    <w:lvl w:ilvl="3" w:tplc="4DAE5A34">
      <w:numFmt w:val="bullet"/>
      <w:lvlText w:val="•"/>
      <w:lvlJc w:val="left"/>
      <w:pPr>
        <w:ind w:left="7661" w:hanging="168"/>
      </w:pPr>
      <w:rPr>
        <w:rFonts w:hint="default"/>
        <w:lang w:val="lv" w:eastAsia="lv" w:bidi="lv"/>
      </w:rPr>
    </w:lvl>
    <w:lvl w:ilvl="4" w:tplc="14F0B976">
      <w:numFmt w:val="bullet"/>
      <w:lvlText w:val="•"/>
      <w:lvlJc w:val="left"/>
      <w:pPr>
        <w:ind w:left="8672" w:hanging="168"/>
      </w:pPr>
      <w:rPr>
        <w:rFonts w:hint="default"/>
        <w:lang w:val="lv" w:eastAsia="lv" w:bidi="lv"/>
      </w:rPr>
    </w:lvl>
    <w:lvl w:ilvl="5" w:tplc="61C64F32">
      <w:numFmt w:val="bullet"/>
      <w:lvlText w:val="•"/>
      <w:lvlJc w:val="left"/>
      <w:pPr>
        <w:ind w:left="9683" w:hanging="168"/>
      </w:pPr>
      <w:rPr>
        <w:rFonts w:hint="default"/>
        <w:lang w:val="lv" w:eastAsia="lv" w:bidi="lv"/>
      </w:rPr>
    </w:lvl>
    <w:lvl w:ilvl="6" w:tplc="86700EA2">
      <w:numFmt w:val="bullet"/>
      <w:lvlText w:val="•"/>
      <w:lvlJc w:val="left"/>
      <w:pPr>
        <w:ind w:left="10694" w:hanging="168"/>
      </w:pPr>
      <w:rPr>
        <w:rFonts w:hint="default"/>
        <w:lang w:val="lv" w:eastAsia="lv" w:bidi="lv"/>
      </w:rPr>
    </w:lvl>
    <w:lvl w:ilvl="7" w:tplc="DB18D0DC">
      <w:numFmt w:val="bullet"/>
      <w:lvlText w:val="•"/>
      <w:lvlJc w:val="left"/>
      <w:pPr>
        <w:ind w:left="11705" w:hanging="168"/>
      </w:pPr>
      <w:rPr>
        <w:rFonts w:hint="default"/>
        <w:lang w:val="lv" w:eastAsia="lv" w:bidi="lv"/>
      </w:rPr>
    </w:lvl>
    <w:lvl w:ilvl="8" w:tplc="18DE78DA">
      <w:numFmt w:val="bullet"/>
      <w:lvlText w:val="•"/>
      <w:lvlJc w:val="left"/>
      <w:pPr>
        <w:ind w:left="12716" w:hanging="168"/>
      </w:pPr>
      <w:rPr>
        <w:rFonts w:hint="default"/>
        <w:lang w:val="lv" w:eastAsia="lv" w:bidi="lv"/>
      </w:rPr>
    </w:lvl>
  </w:abstractNum>
  <w:abstractNum w:abstractNumId="9" w15:restartNumberingAfterBreak="0">
    <w:nsid w:val="0C873A07"/>
    <w:multiLevelType w:val="multilevel"/>
    <w:tmpl w:val="091A95E0"/>
    <w:lvl w:ilvl="0">
      <w:start w:val="21"/>
      <w:numFmt w:val="decimal"/>
      <w:lvlText w:val="%1."/>
      <w:lvlJc w:val="left"/>
      <w:pPr>
        <w:ind w:left="2787" w:hanging="660"/>
      </w:pPr>
      <w:rPr>
        <w:rFonts w:hint="default"/>
        <w:color w:val="auto"/>
      </w:rPr>
    </w:lvl>
    <w:lvl w:ilvl="1">
      <w:start w:val="8"/>
      <w:numFmt w:val="decimal"/>
      <w:lvlText w:val="%1.%2."/>
      <w:lvlJc w:val="left"/>
      <w:pPr>
        <w:ind w:left="660" w:hanging="660"/>
      </w:pPr>
      <w:rPr>
        <w:rFonts w:hint="default"/>
        <w:color w:val="002069"/>
      </w:rPr>
    </w:lvl>
    <w:lvl w:ilvl="2">
      <w:start w:val="7"/>
      <w:numFmt w:val="decimal"/>
      <w:lvlText w:val="%1.%2.%3."/>
      <w:lvlJc w:val="left"/>
      <w:pPr>
        <w:ind w:left="720" w:hanging="720"/>
      </w:pPr>
      <w:rPr>
        <w:rFonts w:hint="default"/>
        <w:color w:val="002069"/>
      </w:rPr>
    </w:lvl>
    <w:lvl w:ilvl="3">
      <w:start w:val="1"/>
      <w:numFmt w:val="decimal"/>
      <w:lvlText w:val="%1.%2.%3.%4."/>
      <w:lvlJc w:val="left"/>
      <w:pPr>
        <w:ind w:left="720" w:hanging="720"/>
      </w:pPr>
      <w:rPr>
        <w:rFonts w:hint="default"/>
        <w:color w:val="002069"/>
      </w:rPr>
    </w:lvl>
    <w:lvl w:ilvl="4">
      <w:start w:val="1"/>
      <w:numFmt w:val="decimal"/>
      <w:lvlText w:val="%1.%2.%3.%4.%5."/>
      <w:lvlJc w:val="left"/>
      <w:pPr>
        <w:ind w:left="1080" w:hanging="1080"/>
      </w:pPr>
      <w:rPr>
        <w:rFonts w:hint="default"/>
        <w:color w:val="002069"/>
      </w:rPr>
    </w:lvl>
    <w:lvl w:ilvl="5">
      <w:start w:val="1"/>
      <w:numFmt w:val="decimal"/>
      <w:lvlText w:val="%1.%2.%3.%4.%5.%6."/>
      <w:lvlJc w:val="left"/>
      <w:pPr>
        <w:ind w:left="1080" w:hanging="1080"/>
      </w:pPr>
      <w:rPr>
        <w:rFonts w:hint="default"/>
        <w:color w:val="002069"/>
      </w:rPr>
    </w:lvl>
    <w:lvl w:ilvl="6">
      <w:start w:val="1"/>
      <w:numFmt w:val="decimal"/>
      <w:lvlText w:val="%1.%2.%3.%4.%5.%6.%7."/>
      <w:lvlJc w:val="left"/>
      <w:pPr>
        <w:ind w:left="1440" w:hanging="1440"/>
      </w:pPr>
      <w:rPr>
        <w:rFonts w:hint="default"/>
        <w:color w:val="002069"/>
      </w:rPr>
    </w:lvl>
    <w:lvl w:ilvl="7">
      <w:start w:val="1"/>
      <w:numFmt w:val="decimal"/>
      <w:lvlText w:val="%1.%2.%3.%4.%5.%6.%7.%8."/>
      <w:lvlJc w:val="left"/>
      <w:pPr>
        <w:ind w:left="1440" w:hanging="1440"/>
      </w:pPr>
      <w:rPr>
        <w:rFonts w:hint="default"/>
        <w:color w:val="002069"/>
      </w:rPr>
    </w:lvl>
    <w:lvl w:ilvl="8">
      <w:start w:val="1"/>
      <w:numFmt w:val="decimal"/>
      <w:lvlText w:val="%1.%2.%3.%4.%5.%6.%7.%8.%9."/>
      <w:lvlJc w:val="left"/>
      <w:pPr>
        <w:ind w:left="1800" w:hanging="1800"/>
      </w:pPr>
      <w:rPr>
        <w:rFonts w:hint="default"/>
        <w:color w:val="002069"/>
      </w:rPr>
    </w:lvl>
  </w:abstractNum>
  <w:abstractNum w:abstractNumId="10" w15:restartNumberingAfterBreak="0">
    <w:nsid w:val="0CB36559"/>
    <w:multiLevelType w:val="hybridMultilevel"/>
    <w:tmpl w:val="8BA0F016"/>
    <w:lvl w:ilvl="0" w:tplc="FEE660BC">
      <w:numFmt w:val="bullet"/>
      <w:lvlText w:val=""/>
      <w:lvlJc w:val="left"/>
      <w:pPr>
        <w:ind w:left="465" w:hanging="207"/>
      </w:pPr>
      <w:rPr>
        <w:rFonts w:ascii="Symbol" w:eastAsia="Symbol" w:hAnsi="Symbol" w:cs="Symbol" w:hint="default"/>
        <w:w w:val="100"/>
        <w:sz w:val="22"/>
        <w:szCs w:val="22"/>
        <w:lang w:val="lv" w:eastAsia="lv" w:bidi="lv"/>
      </w:rPr>
    </w:lvl>
    <w:lvl w:ilvl="1" w:tplc="A4225ABC">
      <w:numFmt w:val="bullet"/>
      <w:lvlText w:val="•"/>
      <w:lvlJc w:val="left"/>
      <w:pPr>
        <w:ind w:left="781" w:hanging="207"/>
      </w:pPr>
      <w:rPr>
        <w:rFonts w:hint="default"/>
        <w:lang w:val="lv" w:eastAsia="lv" w:bidi="lv"/>
      </w:rPr>
    </w:lvl>
    <w:lvl w:ilvl="2" w:tplc="4A88A73E">
      <w:numFmt w:val="bullet"/>
      <w:lvlText w:val="•"/>
      <w:lvlJc w:val="left"/>
      <w:pPr>
        <w:ind w:left="1103" w:hanging="207"/>
      </w:pPr>
      <w:rPr>
        <w:rFonts w:hint="default"/>
        <w:lang w:val="lv" w:eastAsia="lv" w:bidi="lv"/>
      </w:rPr>
    </w:lvl>
    <w:lvl w:ilvl="3" w:tplc="719E5EB8">
      <w:numFmt w:val="bullet"/>
      <w:lvlText w:val="•"/>
      <w:lvlJc w:val="left"/>
      <w:pPr>
        <w:ind w:left="1424" w:hanging="207"/>
      </w:pPr>
      <w:rPr>
        <w:rFonts w:hint="default"/>
        <w:lang w:val="lv" w:eastAsia="lv" w:bidi="lv"/>
      </w:rPr>
    </w:lvl>
    <w:lvl w:ilvl="4" w:tplc="10CE1598">
      <w:numFmt w:val="bullet"/>
      <w:lvlText w:val="•"/>
      <w:lvlJc w:val="left"/>
      <w:pPr>
        <w:ind w:left="1746" w:hanging="207"/>
      </w:pPr>
      <w:rPr>
        <w:rFonts w:hint="default"/>
        <w:lang w:val="lv" w:eastAsia="lv" w:bidi="lv"/>
      </w:rPr>
    </w:lvl>
    <w:lvl w:ilvl="5" w:tplc="B5AE7A94">
      <w:numFmt w:val="bullet"/>
      <w:lvlText w:val="•"/>
      <w:lvlJc w:val="left"/>
      <w:pPr>
        <w:ind w:left="2067" w:hanging="207"/>
      </w:pPr>
      <w:rPr>
        <w:rFonts w:hint="default"/>
        <w:lang w:val="lv" w:eastAsia="lv" w:bidi="lv"/>
      </w:rPr>
    </w:lvl>
    <w:lvl w:ilvl="6" w:tplc="1E4EE630">
      <w:numFmt w:val="bullet"/>
      <w:lvlText w:val="•"/>
      <w:lvlJc w:val="left"/>
      <w:pPr>
        <w:ind w:left="2389" w:hanging="207"/>
      </w:pPr>
      <w:rPr>
        <w:rFonts w:hint="default"/>
        <w:lang w:val="lv" w:eastAsia="lv" w:bidi="lv"/>
      </w:rPr>
    </w:lvl>
    <w:lvl w:ilvl="7" w:tplc="7646EE74">
      <w:numFmt w:val="bullet"/>
      <w:lvlText w:val="•"/>
      <w:lvlJc w:val="left"/>
      <w:pPr>
        <w:ind w:left="2710" w:hanging="207"/>
      </w:pPr>
      <w:rPr>
        <w:rFonts w:hint="default"/>
        <w:lang w:val="lv" w:eastAsia="lv" w:bidi="lv"/>
      </w:rPr>
    </w:lvl>
    <w:lvl w:ilvl="8" w:tplc="607A99D8">
      <w:numFmt w:val="bullet"/>
      <w:lvlText w:val="•"/>
      <w:lvlJc w:val="left"/>
      <w:pPr>
        <w:ind w:left="3032" w:hanging="207"/>
      </w:pPr>
      <w:rPr>
        <w:rFonts w:hint="default"/>
        <w:lang w:val="lv" w:eastAsia="lv" w:bidi="lv"/>
      </w:rPr>
    </w:lvl>
  </w:abstractNum>
  <w:abstractNum w:abstractNumId="11" w15:restartNumberingAfterBreak="0">
    <w:nsid w:val="0D2F7241"/>
    <w:multiLevelType w:val="hybridMultilevel"/>
    <w:tmpl w:val="F90855C0"/>
    <w:lvl w:ilvl="0" w:tplc="40DA4A36">
      <w:numFmt w:val="bullet"/>
      <w:lvlText w:val="•"/>
      <w:lvlJc w:val="left"/>
      <w:pPr>
        <w:ind w:left="253" w:hanging="180"/>
      </w:pPr>
      <w:rPr>
        <w:rFonts w:ascii="Times New Roman" w:eastAsia="Times New Roman" w:hAnsi="Times New Roman" w:cs="Times New Roman" w:hint="default"/>
        <w:color w:val="002069"/>
        <w:spacing w:val="-25"/>
        <w:w w:val="100"/>
        <w:sz w:val="24"/>
        <w:szCs w:val="24"/>
        <w:lang w:val="lv" w:eastAsia="lv" w:bidi="lv"/>
      </w:rPr>
    </w:lvl>
    <w:lvl w:ilvl="1" w:tplc="78C8F176">
      <w:numFmt w:val="bullet"/>
      <w:lvlText w:val="•"/>
      <w:lvlJc w:val="left"/>
      <w:pPr>
        <w:ind w:left="432" w:hanging="180"/>
      </w:pPr>
      <w:rPr>
        <w:rFonts w:hint="default"/>
        <w:lang w:val="lv" w:eastAsia="lv" w:bidi="lv"/>
      </w:rPr>
    </w:lvl>
    <w:lvl w:ilvl="2" w:tplc="03449EB4">
      <w:numFmt w:val="bullet"/>
      <w:lvlText w:val="•"/>
      <w:lvlJc w:val="left"/>
      <w:pPr>
        <w:ind w:left="605" w:hanging="180"/>
      </w:pPr>
      <w:rPr>
        <w:rFonts w:hint="default"/>
        <w:lang w:val="lv" w:eastAsia="lv" w:bidi="lv"/>
      </w:rPr>
    </w:lvl>
    <w:lvl w:ilvl="3" w:tplc="FA26149A">
      <w:numFmt w:val="bullet"/>
      <w:lvlText w:val="•"/>
      <w:lvlJc w:val="left"/>
      <w:pPr>
        <w:ind w:left="778" w:hanging="180"/>
      </w:pPr>
      <w:rPr>
        <w:rFonts w:hint="default"/>
        <w:lang w:val="lv" w:eastAsia="lv" w:bidi="lv"/>
      </w:rPr>
    </w:lvl>
    <w:lvl w:ilvl="4" w:tplc="B5D669CA">
      <w:numFmt w:val="bullet"/>
      <w:lvlText w:val="•"/>
      <w:lvlJc w:val="left"/>
      <w:pPr>
        <w:ind w:left="951" w:hanging="180"/>
      </w:pPr>
      <w:rPr>
        <w:rFonts w:hint="default"/>
        <w:lang w:val="lv" w:eastAsia="lv" w:bidi="lv"/>
      </w:rPr>
    </w:lvl>
    <w:lvl w:ilvl="5" w:tplc="C212B784">
      <w:numFmt w:val="bullet"/>
      <w:lvlText w:val="•"/>
      <w:lvlJc w:val="left"/>
      <w:pPr>
        <w:ind w:left="1124" w:hanging="180"/>
      </w:pPr>
      <w:rPr>
        <w:rFonts w:hint="default"/>
        <w:lang w:val="lv" w:eastAsia="lv" w:bidi="lv"/>
      </w:rPr>
    </w:lvl>
    <w:lvl w:ilvl="6" w:tplc="BE10260A">
      <w:numFmt w:val="bullet"/>
      <w:lvlText w:val="•"/>
      <w:lvlJc w:val="left"/>
      <w:pPr>
        <w:ind w:left="1297" w:hanging="180"/>
      </w:pPr>
      <w:rPr>
        <w:rFonts w:hint="default"/>
        <w:lang w:val="lv" w:eastAsia="lv" w:bidi="lv"/>
      </w:rPr>
    </w:lvl>
    <w:lvl w:ilvl="7" w:tplc="CA9C7454">
      <w:numFmt w:val="bullet"/>
      <w:lvlText w:val="•"/>
      <w:lvlJc w:val="left"/>
      <w:pPr>
        <w:ind w:left="1470" w:hanging="180"/>
      </w:pPr>
      <w:rPr>
        <w:rFonts w:hint="default"/>
        <w:lang w:val="lv" w:eastAsia="lv" w:bidi="lv"/>
      </w:rPr>
    </w:lvl>
    <w:lvl w:ilvl="8" w:tplc="587AC5DC">
      <w:numFmt w:val="bullet"/>
      <w:lvlText w:val="•"/>
      <w:lvlJc w:val="left"/>
      <w:pPr>
        <w:ind w:left="1643" w:hanging="180"/>
      </w:pPr>
      <w:rPr>
        <w:rFonts w:hint="default"/>
        <w:lang w:val="lv" w:eastAsia="lv" w:bidi="lv"/>
      </w:rPr>
    </w:lvl>
  </w:abstractNum>
  <w:abstractNum w:abstractNumId="12" w15:restartNumberingAfterBreak="0">
    <w:nsid w:val="0D940A5E"/>
    <w:multiLevelType w:val="multilevel"/>
    <w:tmpl w:val="FFE0DF98"/>
    <w:lvl w:ilvl="0">
      <w:start w:val="8"/>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2565" w:hanging="284"/>
      </w:pPr>
      <w:rPr>
        <w:rFonts w:hint="default"/>
        <w:lang w:val="lv" w:eastAsia="lv" w:bidi="lv"/>
      </w:rPr>
    </w:lvl>
    <w:lvl w:ilvl="4">
      <w:numFmt w:val="bullet"/>
      <w:lvlText w:val="•"/>
      <w:lvlJc w:val="left"/>
      <w:pPr>
        <w:ind w:left="3631" w:hanging="284"/>
      </w:pPr>
      <w:rPr>
        <w:rFonts w:hint="default"/>
        <w:lang w:val="lv" w:eastAsia="lv" w:bidi="lv"/>
      </w:rPr>
    </w:lvl>
    <w:lvl w:ilvl="5">
      <w:numFmt w:val="bullet"/>
      <w:lvlText w:val="•"/>
      <w:lvlJc w:val="left"/>
      <w:pPr>
        <w:ind w:left="4697" w:hanging="284"/>
      </w:pPr>
      <w:rPr>
        <w:rFonts w:hint="default"/>
        <w:lang w:val="lv" w:eastAsia="lv" w:bidi="lv"/>
      </w:rPr>
    </w:lvl>
    <w:lvl w:ilvl="6">
      <w:numFmt w:val="bullet"/>
      <w:lvlText w:val="•"/>
      <w:lvlJc w:val="left"/>
      <w:pPr>
        <w:ind w:left="5763" w:hanging="284"/>
      </w:pPr>
      <w:rPr>
        <w:rFonts w:hint="default"/>
        <w:lang w:val="lv" w:eastAsia="lv" w:bidi="lv"/>
      </w:rPr>
    </w:lvl>
    <w:lvl w:ilvl="7">
      <w:numFmt w:val="bullet"/>
      <w:lvlText w:val="•"/>
      <w:lvlJc w:val="left"/>
      <w:pPr>
        <w:ind w:left="6829" w:hanging="284"/>
      </w:pPr>
      <w:rPr>
        <w:rFonts w:hint="default"/>
        <w:lang w:val="lv" w:eastAsia="lv" w:bidi="lv"/>
      </w:rPr>
    </w:lvl>
    <w:lvl w:ilvl="8">
      <w:numFmt w:val="bullet"/>
      <w:lvlText w:val="•"/>
      <w:lvlJc w:val="left"/>
      <w:pPr>
        <w:ind w:left="7894" w:hanging="284"/>
      </w:pPr>
      <w:rPr>
        <w:rFonts w:hint="default"/>
        <w:lang w:val="lv" w:eastAsia="lv" w:bidi="lv"/>
      </w:rPr>
    </w:lvl>
  </w:abstractNum>
  <w:abstractNum w:abstractNumId="13" w15:restartNumberingAfterBreak="0">
    <w:nsid w:val="0DF51EBD"/>
    <w:multiLevelType w:val="multilevel"/>
    <w:tmpl w:val="B8E0FB94"/>
    <w:lvl w:ilvl="0">
      <w:start w:val="10"/>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303" w:hanging="166"/>
      </w:pPr>
      <w:rPr>
        <w:rFonts w:ascii="Times New Roman" w:eastAsia="Times New Roman" w:hAnsi="Times New Roman" w:cs="Times New Roman" w:hint="default"/>
        <w:w w:val="100"/>
        <w:sz w:val="22"/>
        <w:szCs w:val="22"/>
        <w:lang w:val="lv" w:eastAsia="lv" w:bidi="lv"/>
      </w:rPr>
    </w:lvl>
    <w:lvl w:ilvl="4">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5">
      <w:numFmt w:val="bullet"/>
      <w:lvlText w:val="•"/>
      <w:lvlJc w:val="left"/>
      <w:pPr>
        <w:ind w:left="4278" w:hanging="358"/>
      </w:pPr>
      <w:rPr>
        <w:rFonts w:hint="default"/>
        <w:lang w:val="lv" w:eastAsia="lv" w:bidi="lv"/>
      </w:rPr>
    </w:lvl>
    <w:lvl w:ilvl="6">
      <w:numFmt w:val="bullet"/>
      <w:lvlText w:val="•"/>
      <w:lvlJc w:val="left"/>
      <w:pPr>
        <w:ind w:left="5488" w:hanging="358"/>
      </w:pPr>
      <w:rPr>
        <w:rFonts w:hint="default"/>
        <w:lang w:val="lv" w:eastAsia="lv" w:bidi="lv"/>
      </w:rPr>
    </w:lvl>
    <w:lvl w:ilvl="7">
      <w:numFmt w:val="bullet"/>
      <w:lvlText w:val="•"/>
      <w:lvlJc w:val="left"/>
      <w:pPr>
        <w:ind w:left="6697" w:hanging="358"/>
      </w:pPr>
      <w:rPr>
        <w:rFonts w:hint="default"/>
        <w:lang w:val="lv" w:eastAsia="lv" w:bidi="lv"/>
      </w:rPr>
    </w:lvl>
    <w:lvl w:ilvl="8">
      <w:numFmt w:val="bullet"/>
      <w:lvlText w:val="•"/>
      <w:lvlJc w:val="left"/>
      <w:pPr>
        <w:ind w:left="7907" w:hanging="358"/>
      </w:pPr>
      <w:rPr>
        <w:rFonts w:hint="default"/>
        <w:lang w:val="lv" w:eastAsia="lv" w:bidi="lv"/>
      </w:rPr>
    </w:lvl>
  </w:abstractNum>
  <w:abstractNum w:abstractNumId="14" w15:restartNumberingAfterBreak="0">
    <w:nsid w:val="0E201966"/>
    <w:multiLevelType w:val="multilevel"/>
    <w:tmpl w:val="86D4E7C6"/>
    <w:lvl w:ilvl="0">
      <w:start w:val="10"/>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43" w:hanging="284"/>
      </w:pPr>
      <w:rPr>
        <w:rFonts w:hint="default"/>
        <w:lang w:val="lv" w:eastAsia="lv" w:bidi="lv"/>
      </w:rPr>
    </w:lvl>
    <w:lvl w:ilvl="4">
      <w:numFmt w:val="bullet"/>
      <w:lvlText w:val="•"/>
      <w:lvlJc w:val="left"/>
      <w:pPr>
        <w:ind w:left="4335" w:hanging="284"/>
      </w:pPr>
      <w:rPr>
        <w:rFonts w:hint="default"/>
        <w:lang w:val="lv" w:eastAsia="lv" w:bidi="lv"/>
      </w:rPr>
    </w:lvl>
    <w:lvl w:ilvl="5">
      <w:numFmt w:val="bullet"/>
      <w:lvlText w:val="•"/>
      <w:lvlJc w:val="left"/>
      <w:pPr>
        <w:ind w:left="5327" w:hanging="284"/>
      </w:pPr>
      <w:rPr>
        <w:rFonts w:hint="default"/>
        <w:lang w:val="lv" w:eastAsia="lv" w:bidi="lv"/>
      </w:rPr>
    </w:lvl>
    <w:lvl w:ilvl="6">
      <w:numFmt w:val="bullet"/>
      <w:lvlText w:val="•"/>
      <w:lvlJc w:val="left"/>
      <w:pPr>
        <w:ind w:left="6319" w:hanging="284"/>
      </w:pPr>
      <w:rPr>
        <w:rFonts w:hint="default"/>
        <w:lang w:val="lv" w:eastAsia="lv" w:bidi="lv"/>
      </w:rPr>
    </w:lvl>
    <w:lvl w:ilvl="7">
      <w:numFmt w:val="bullet"/>
      <w:lvlText w:val="•"/>
      <w:lvlJc w:val="left"/>
      <w:pPr>
        <w:ind w:left="7310" w:hanging="284"/>
      </w:pPr>
      <w:rPr>
        <w:rFonts w:hint="default"/>
        <w:lang w:val="lv" w:eastAsia="lv" w:bidi="lv"/>
      </w:rPr>
    </w:lvl>
    <w:lvl w:ilvl="8">
      <w:numFmt w:val="bullet"/>
      <w:lvlText w:val="•"/>
      <w:lvlJc w:val="left"/>
      <w:pPr>
        <w:ind w:left="8302" w:hanging="284"/>
      </w:pPr>
      <w:rPr>
        <w:rFonts w:hint="default"/>
        <w:lang w:val="lv" w:eastAsia="lv" w:bidi="lv"/>
      </w:rPr>
    </w:lvl>
  </w:abstractNum>
  <w:abstractNum w:abstractNumId="15" w15:restartNumberingAfterBreak="0">
    <w:nsid w:val="11051471"/>
    <w:multiLevelType w:val="multilevel"/>
    <w:tmpl w:val="7D04782A"/>
    <w:lvl w:ilvl="0">
      <w:start w:val="10"/>
      <w:numFmt w:val="decimal"/>
      <w:lvlText w:val="%1"/>
      <w:lvlJc w:val="left"/>
      <w:pPr>
        <w:ind w:left="218" w:hanging="538"/>
      </w:pPr>
      <w:rPr>
        <w:rFonts w:hint="default"/>
      </w:rPr>
    </w:lvl>
    <w:lvl w:ilvl="1">
      <w:start w:val="1"/>
      <w:numFmt w:val="decimal"/>
      <w:lvlText w:val="%1.%2."/>
      <w:lvlJc w:val="left"/>
      <w:pPr>
        <w:ind w:left="218" w:hanging="538"/>
        <w:jc w:val="right"/>
      </w:pPr>
      <w:rPr>
        <w:rFonts w:ascii="Times New Roman" w:eastAsia="Times New Roman" w:hAnsi="Times New Roman" w:cs="Times New Roman" w:hint="default"/>
        <w:b/>
        <w:bCs/>
        <w:i/>
        <w:color w:val="002069"/>
        <w:w w:val="100"/>
        <w:sz w:val="24"/>
        <w:szCs w:val="24"/>
      </w:rPr>
    </w:lvl>
    <w:lvl w:ilvl="2">
      <w:start w:val="1"/>
      <w:numFmt w:val="decimal"/>
      <w:lvlText w:val="%3."/>
      <w:lvlJc w:val="left"/>
      <w:pPr>
        <w:ind w:left="6140" w:hanging="152"/>
      </w:pPr>
      <w:rPr>
        <w:rFonts w:ascii="Times New Roman" w:eastAsia="Times New Roman" w:hAnsi="Times New Roman" w:cs="Times New Roman" w:hint="default"/>
        <w:i/>
        <w:spacing w:val="-3"/>
        <w:w w:val="99"/>
        <w:sz w:val="18"/>
        <w:szCs w:val="18"/>
      </w:rPr>
    </w:lvl>
    <w:lvl w:ilvl="3">
      <w:numFmt w:val="bullet"/>
      <w:lvlText w:val="•"/>
      <w:lvlJc w:val="left"/>
      <w:pPr>
        <w:ind w:left="7003" w:hanging="152"/>
      </w:pPr>
      <w:rPr>
        <w:rFonts w:hint="default"/>
      </w:rPr>
    </w:lvl>
    <w:lvl w:ilvl="4">
      <w:numFmt w:val="bullet"/>
      <w:lvlText w:val="•"/>
      <w:lvlJc w:val="left"/>
      <w:pPr>
        <w:ind w:left="7435" w:hanging="152"/>
      </w:pPr>
      <w:rPr>
        <w:rFonts w:hint="default"/>
      </w:rPr>
    </w:lvl>
    <w:lvl w:ilvl="5">
      <w:numFmt w:val="bullet"/>
      <w:lvlText w:val="•"/>
      <w:lvlJc w:val="left"/>
      <w:pPr>
        <w:ind w:left="7867" w:hanging="152"/>
      </w:pPr>
      <w:rPr>
        <w:rFonts w:hint="default"/>
      </w:rPr>
    </w:lvl>
    <w:lvl w:ilvl="6">
      <w:numFmt w:val="bullet"/>
      <w:lvlText w:val="•"/>
      <w:lvlJc w:val="left"/>
      <w:pPr>
        <w:ind w:left="8299" w:hanging="152"/>
      </w:pPr>
      <w:rPr>
        <w:rFonts w:hint="default"/>
      </w:rPr>
    </w:lvl>
    <w:lvl w:ilvl="7">
      <w:numFmt w:val="bullet"/>
      <w:lvlText w:val="•"/>
      <w:lvlJc w:val="left"/>
      <w:pPr>
        <w:ind w:left="8730" w:hanging="152"/>
      </w:pPr>
      <w:rPr>
        <w:rFonts w:hint="default"/>
      </w:rPr>
    </w:lvl>
    <w:lvl w:ilvl="8">
      <w:numFmt w:val="bullet"/>
      <w:lvlText w:val="•"/>
      <w:lvlJc w:val="left"/>
      <w:pPr>
        <w:ind w:left="9162" w:hanging="152"/>
      </w:pPr>
      <w:rPr>
        <w:rFonts w:hint="default"/>
      </w:rPr>
    </w:lvl>
  </w:abstractNum>
  <w:abstractNum w:abstractNumId="16" w15:restartNumberingAfterBreak="0">
    <w:nsid w:val="137773C1"/>
    <w:multiLevelType w:val="hybridMultilevel"/>
    <w:tmpl w:val="066EEF1A"/>
    <w:lvl w:ilvl="0" w:tplc="80D876D4">
      <w:numFmt w:val="bullet"/>
      <w:lvlText w:val="•"/>
      <w:lvlJc w:val="left"/>
      <w:pPr>
        <w:ind w:left="180" w:hanging="180"/>
      </w:pPr>
      <w:rPr>
        <w:rFonts w:ascii="Times New Roman" w:eastAsia="Times New Roman" w:hAnsi="Times New Roman" w:cs="Times New Roman" w:hint="default"/>
        <w:w w:val="99"/>
        <w:sz w:val="26"/>
        <w:szCs w:val="26"/>
        <w:lang w:val="lv" w:eastAsia="lv" w:bidi="lv"/>
      </w:rPr>
    </w:lvl>
    <w:lvl w:ilvl="1" w:tplc="0966E56A">
      <w:numFmt w:val="bullet"/>
      <w:lvlText w:val="•"/>
      <w:lvlJc w:val="left"/>
      <w:pPr>
        <w:ind w:left="486" w:hanging="180"/>
      </w:pPr>
      <w:rPr>
        <w:rFonts w:hint="default"/>
        <w:lang w:val="lv" w:eastAsia="lv" w:bidi="lv"/>
      </w:rPr>
    </w:lvl>
    <w:lvl w:ilvl="2" w:tplc="C37A9380">
      <w:numFmt w:val="bullet"/>
      <w:lvlText w:val="•"/>
      <w:lvlJc w:val="left"/>
      <w:pPr>
        <w:ind w:left="792" w:hanging="180"/>
      </w:pPr>
      <w:rPr>
        <w:rFonts w:hint="default"/>
        <w:lang w:val="lv" w:eastAsia="lv" w:bidi="lv"/>
      </w:rPr>
    </w:lvl>
    <w:lvl w:ilvl="3" w:tplc="41D05A52">
      <w:numFmt w:val="bullet"/>
      <w:lvlText w:val="•"/>
      <w:lvlJc w:val="left"/>
      <w:pPr>
        <w:ind w:left="1099" w:hanging="180"/>
      </w:pPr>
      <w:rPr>
        <w:rFonts w:hint="default"/>
        <w:lang w:val="lv" w:eastAsia="lv" w:bidi="lv"/>
      </w:rPr>
    </w:lvl>
    <w:lvl w:ilvl="4" w:tplc="8968DEE6">
      <w:numFmt w:val="bullet"/>
      <w:lvlText w:val="•"/>
      <w:lvlJc w:val="left"/>
      <w:pPr>
        <w:ind w:left="1405" w:hanging="180"/>
      </w:pPr>
      <w:rPr>
        <w:rFonts w:hint="default"/>
        <w:lang w:val="lv" w:eastAsia="lv" w:bidi="lv"/>
      </w:rPr>
    </w:lvl>
    <w:lvl w:ilvl="5" w:tplc="D0F27D7A">
      <w:numFmt w:val="bullet"/>
      <w:lvlText w:val="•"/>
      <w:lvlJc w:val="left"/>
      <w:pPr>
        <w:ind w:left="1712" w:hanging="180"/>
      </w:pPr>
      <w:rPr>
        <w:rFonts w:hint="default"/>
        <w:lang w:val="lv" w:eastAsia="lv" w:bidi="lv"/>
      </w:rPr>
    </w:lvl>
    <w:lvl w:ilvl="6" w:tplc="4F4ED620">
      <w:numFmt w:val="bullet"/>
      <w:lvlText w:val="•"/>
      <w:lvlJc w:val="left"/>
      <w:pPr>
        <w:ind w:left="2018" w:hanging="180"/>
      </w:pPr>
      <w:rPr>
        <w:rFonts w:hint="default"/>
        <w:lang w:val="lv" w:eastAsia="lv" w:bidi="lv"/>
      </w:rPr>
    </w:lvl>
    <w:lvl w:ilvl="7" w:tplc="24728AE4">
      <w:numFmt w:val="bullet"/>
      <w:lvlText w:val="•"/>
      <w:lvlJc w:val="left"/>
      <w:pPr>
        <w:ind w:left="2325" w:hanging="180"/>
      </w:pPr>
      <w:rPr>
        <w:rFonts w:hint="default"/>
        <w:lang w:val="lv" w:eastAsia="lv" w:bidi="lv"/>
      </w:rPr>
    </w:lvl>
    <w:lvl w:ilvl="8" w:tplc="F47E486E">
      <w:numFmt w:val="bullet"/>
      <w:lvlText w:val="•"/>
      <w:lvlJc w:val="left"/>
      <w:pPr>
        <w:ind w:left="2631" w:hanging="180"/>
      </w:pPr>
      <w:rPr>
        <w:rFonts w:hint="default"/>
        <w:lang w:val="lv" w:eastAsia="lv" w:bidi="lv"/>
      </w:rPr>
    </w:lvl>
  </w:abstractNum>
  <w:abstractNum w:abstractNumId="17" w15:restartNumberingAfterBreak="0">
    <w:nsid w:val="13DD3B30"/>
    <w:multiLevelType w:val="multilevel"/>
    <w:tmpl w:val="D85AA67E"/>
    <w:lvl w:ilvl="0">
      <w:start w:val="6"/>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18" w15:restartNumberingAfterBreak="0">
    <w:nsid w:val="167B2B3F"/>
    <w:multiLevelType w:val="hybridMultilevel"/>
    <w:tmpl w:val="66506F5E"/>
    <w:lvl w:ilvl="0" w:tplc="A76422C6">
      <w:start w:val="859"/>
      <w:numFmt w:val="decimal"/>
      <w:lvlText w:val="%1."/>
      <w:lvlJc w:val="left"/>
      <w:pPr>
        <w:ind w:left="510" w:hanging="360"/>
      </w:pPr>
      <w:rPr>
        <w:rFonts w:hint="default"/>
        <w:i w:val="0"/>
      </w:rPr>
    </w:lvl>
    <w:lvl w:ilvl="1" w:tplc="04260019" w:tentative="1">
      <w:start w:val="1"/>
      <w:numFmt w:val="lowerLetter"/>
      <w:lvlText w:val="%2."/>
      <w:lvlJc w:val="left"/>
      <w:pPr>
        <w:ind w:left="1230" w:hanging="360"/>
      </w:pPr>
    </w:lvl>
    <w:lvl w:ilvl="2" w:tplc="0426001B" w:tentative="1">
      <w:start w:val="1"/>
      <w:numFmt w:val="lowerRoman"/>
      <w:lvlText w:val="%3."/>
      <w:lvlJc w:val="right"/>
      <w:pPr>
        <w:ind w:left="1950" w:hanging="180"/>
      </w:pPr>
    </w:lvl>
    <w:lvl w:ilvl="3" w:tplc="0426000F" w:tentative="1">
      <w:start w:val="1"/>
      <w:numFmt w:val="decimal"/>
      <w:lvlText w:val="%4."/>
      <w:lvlJc w:val="left"/>
      <w:pPr>
        <w:ind w:left="2670" w:hanging="360"/>
      </w:pPr>
    </w:lvl>
    <w:lvl w:ilvl="4" w:tplc="04260019" w:tentative="1">
      <w:start w:val="1"/>
      <w:numFmt w:val="lowerLetter"/>
      <w:lvlText w:val="%5."/>
      <w:lvlJc w:val="left"/>
      <w:pPr>
        <w:ind w:left="3390" w:hanging="360"/>
      </w:pPr>
    </w:lvl>
    <w:lvl w:ilvl="5" w:tplc="0426001B" w:tentative="1">
      <w:start w:val="1"/>
      <w:numFmt w:val="lowerRoman"/>
      <w:lvlText w:val="%6."/>
      <w:lvlJc w:val="right"/>
      <w:pPr>
        <w:ind w:left="4110" w:hanging="180"/>
      </w:pPr>
    </w:lvl>
    <w:lvl w:ilvl="6" w:tplc="0426000F" w:tentative="1">
      <w:start w:val="1"/>
      <w:numFmt w:val="decimal"/>
      <w:lvlText w:val="%7."/>
      <w:lvlJc w:val="left"/>
      <w:pPr>
        <w:ind w:left="4830" w:hanging="360"/>
      </w:pPr>
    </w:lvl>
    <w:lvl w:ilvl="7" w:tplc="04260019" w:tentative="1">
      <w:start w:val="1"/>
      <w:numFmt w:val="lowerLetter"/>
      <w:lvlText w:val="%8."/>
      <w:lvlJc w:val="left"/>
      <w:pPr>
        <w:ind w:left="5550" w:hanging="360"/>
      </w:pPr>
    </w:lvl>
    <w:lvl w:ilvl="8" w:tplc="0426001B" w:tentative="1">
      <w:start w:val="1"/>
      <w:numFmt w:val="lowerRoman"/>
      <w:lvlText w:val="%9."/>
      <w:lvlJc w:val="right"/>
      <w:pPr>
        <w:ind w:left="6270" w:hanging="180"/>
      </w:pPr>
    </w:lvl>
  </w:abstractNum>
  <w:abstractNum w:abstractNumId="19" w15:restartNumberingAfterBreak="0">
    <w:nsid w:val="16E451E4"/>
    <w:multiLevelType w:val="multilevel"/>
    <w:tmpl w:val="C8EE0948"/>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20" w15:restartNumberingAfterBreak="0">
    <w:nsid w:val="1791563E"/>
    <w:multiLevelType w:val="hybridMultilevel"/>
    <w:tmpl w:val="8E3AC94C"/>
    <w:lvl w:ilvl="0" w:tplc="F3ACC828">
      <w:numFmt w:val="bullet"/>
      <w:lvlText w:val=""/>
      <w:lvlJc w:val="left"/>
      <w:pPr>
        <w:ind w:left="1951" w:hanging="284"/>
      </w:pPr>
      <w:rPr>
        <w:rFonts w:ascii="Symbol" w:eastAsia="Symbol" w:hAnsi="Symbol" w:cs="Symbol" w:hint="default"/>
        <w:w w:val="100"/>
        <w:sz w:val="22"/>
        <w:szCs w:val="22"/>
        <w:lang w:val="lv" w:eastAsia="lv" w:bidi="lv"/>
      </w:rPr>
    </w:lvl>
    <w:lvl w:ilvl="1" w:tplc="5DA0531A">
      <w:numFmt w:val="bullet"/>
      <w:lvlText w:val="•"/>
      <w:lvlJc w:val="left"/>
      <w:pPr>
        <w:ind w:left="3357" w:hanging="284"/>
      </w:pPr>
      <w:rPr>
        <w:rFonts w:hint="default"/>
        <w:lang w:val="lv" w:eastAsia="lv" w:bidi="lv"/>
      </w:rPr>
    </w:lvl>
    <w:lvl w:ilvl="2" w:tplc="76E49BC4">
      <w:numFmt w:val="bullet"/>
      <w:lvlText w:val="•"/>
      <w:lvlJc w:val="left"/>
      <w:pPr>
        <w:ind w:left="4755" w:hanging="284"/>
      </w:pPr>
      <w:rPr>
        <w:rFonts w:hint="default"/>
        <w:lang w:val="lv" w:eastAsia="lv" w:bidi="lv"/>
      </w:rPr>
    </w:lvl>
    <w:lvl w:ilvl="3" w:tplc="39225618">
      <w:numFmt w:val="bullet"/>
      <w:lvlText w:val="•"/>
      <w:lvlJc w:val="left"/>
      <w:pPr>
        <w:ind w:left="6153" w:hanging="284"/>
      </w:pPr>
      <w:rPr>
        <w:rFonts w:hint="default"/>
        <w:lang w:val="lv" w:eastAsia="lv" w:bidi="lv"/>
      </w:rPr>
    </w:lvl>
    <w:lvl w:ilvl="4" w:tplc="2B4090C6">
      <w:numFmt w:val="bullet"/>
      <w:lvlText w:val="•"/>
      <w:lvlJc w:val="left"/>
      <w:pPr>
        <w:ind w:left="7551" w:hanging="284"/>
      </w:pPr>
      <w:rPr>
        <w:rFonts w:hint="default"/>
        <w:lang w:val="lv" w:eastAsia="lv" w:bidi="lv"/>
      </w:rPr>
    </w:lvl>
    <w:lvl w:ilvl="5" w:tplc="95205602">
      <w:numFmt w:val="bullet"/>
      <w:lvlText w:val="•"/>
      <w:lvlJc w:val="left"/>
      <w:pPr>
        <w:ind w:left="8949" w:hanging="284"/>
      </w:pPr>
      <w:rPr>
        <w:rFonts w:hint="default"/>
        <w:lang w:val="lv" w:eastAsia="lv" w:bidi="lv"/>
      </w:rPr>
    </w:lvl>
    <w:lvl w:ilvl="6" w:tplc="08888E34">
      <w:numFmt w:val="bullet"/>
      <w:lvlText w:val="•"/>
      <w:lvlJc w:val="left"/>
      <w:pPr>
        <w:ind w:left="10347" w:hanging="284"/>
      </w:pPr>
      <w:rPr>
        <w:rFonts w:hint="default"/>
        <w:lang w:val="lv" w:eastAsia="lv" w:bidi="lv"/>
      </w:rPr>
    </w:lvl>
    <w:lvl w:ilvl="7" w:tplc="D7FC5BE2">
      <w:numFmt w:val="bullet"/>
      <w:lvlText w:val="•"/>
      <w:lvlJc w:val="left"/>
      <w:pPr>
        <w:ind w:left="11744" w:hanging="284"/>
      </w:pPr>
      <w:rPr>
        <w:rFonts w:hint="default"/>
        <w:lang w:val="lv" w:eastAsia="lv" w:bidi="lv"/>
      </w:rPr>
    </w:lvl>
    <w:lvl w:ilvl="8" w:tplc="6C7E7780">
      <w:numFmt w:val="bullet"/>
      <w:lvlText w:val="•"/>
      <w:lvlJc w:val="left"/>
      <w:pPr>
        <w:ind w:left="13142" w:hanging="284"/>
      </w:pPr>
      <w:rPr>
        <w:rFonts w:hint="default"/>
        <w:lang w:val="lv" w:eastAsia="lv" w:bidi="lv"/>
      </w:rPr>
    </w:lvl>
  </w:abstractNum>
  <w:abstractNum w:abstractNumId="21" w15:restartNumberingAfterBreak="0">
    <w:nsid w:val="19EA6039"/>
    <w:multiLevelType w:val="hybridMultilevel"/>
    <w:tmpl w:val="F3D8513C"/>
    <w:lvl w:ilvl="0" w:tplc="CB3EB874">
      <w:start w:val="6"/>
      <w:numFmt w:val="decimal"/>
      <w:lvlText w:val="%1."/>
      <w:lvlJc w:val="left"/>
      <w:pPr>
        <w:ind w:left="546" w:hanging="360"/>
      </w:pPr>
      <w:rPr>
        <w:rFonts w:hint="default"/>
      </w:rPr>
    </w:lvl>
    <w:lvl w:ilvl="1" w:tplc="04260019">
      <w:start w:val="1"/>
      <w:numFmt w:val="lowerLetter"/>
      <w:lvlText w:val="%2."/>
      <w:lvlJc w:val="left"/>
      <w:pPr>
        <w:ind w:left="1266" w:hanging="360"/>
      </w:pPr>
    </w:lvl>
    <w:lvl w:ilvl="2" w:tplc="0426001B">
      <w:start w:val="1"/>
      <w:numFmt w:val="lowerRoman"/>
      <w:lvlText w:val="%3."/>
      <w:lvlJc w:val="right"/>
      <w:pPr>
        <w:ind w:left="1986" w:hanging="180"/>
      </w:pPr>
    </w:lvl>
    <w:lvl w:ilvl="3" w:tplc="0426000F" w:tentative="1">
      <w:start w:val="1"/>
      <w:numFmt w:val="decimal"/>
      <w:lvlText w:val="%4."/>
      <w:lvlJc w:val="left"/>
      <w:pPr>
        <w:ind w:left="2706" w:hanging="360"/>
      </w:pPr>
    </w:lvl>
    <w:lvl w:ilvl="4" w:tplc="04260019" w:tentative="1">
      <w:start w:val="1"/>
      <w:numFmt w:val="lowerLetter"/>
      <w:lvlText w:val="%5."/>
      <w:lvlJc w:val="left"/>
      <w:pPr>
        <w:ind w:left="3426" w:hanging="360"/>
      </w:pPr>
    </w:lvl>
    <w:lvl w:ilvl="5" w:tplc="0426001B" w:tentative="1">
      <w:start w:val="1"/>
      <w:numFmt w:val="lowerRoman"/>
      <w:lvlText w:val="%6."/>
      <w:lvlJc w:val="right"/>
      <w:pPr>
        <w:ind w:left="4146" w:hanging="180"/>
      </w:pPr>
    </w:lvl>
    <w:lvl w:ilvl="6" w:tplc="0426000F" w:tentative="1">
      <w:start w:val="1"/>
      <w:numFmt w:val="decimal"/>
      <w:lvlText w:val="%7."/>
      <w:lvlJc w:val="left"/>
      <w:pPr>
        <w:ind w:left="4866" w:hanging="360"/>
      </w:pPr>
    </w:lvl>
    <w:lvl w:ilvl="7" w:tplc="04260019" w:tentative="1">
      <w:start w:val="1"/>
      <w:numFmt w:val="lowerLetter"/>
      <w:lvlText w:val="%8."/>
      <w:lvlJc w:val="left"/>
      <w:pPr>
        <w:ind w:left="5586" w:hanging="360"/>
      </w:pPr>
    </w:lvl>
    <w:lvl w:ilvl="8" w:tplc="0426001B" w:tentative="1">
      <w:start w:val="1"/>
      <w:numFmt w:val="lowerRoman"/>
      <w:lvlText w:val="%9."/>
      <w:lvlJc w:val="right"/>
      <w:pPr>
        <w:ind w:left="6306" w:hanging="180"/>
      </w:pPr>
    </w:lvl>
  </w:abstractNum>
  <w:abstractNum w:abstractNumId="22" w15:restartNumberingAfterBreak="0">
    <w:nsid w:val="1C663D00"/>
    <w:multiLevelType w:val="hybridMultilevel"/>
    <w:tmpl w:val="CFC6629E"/>
    <w:lvl w:ilvl="0" w:tplc="AA7CF5F6">
      <w:numFmt w:val="bullet"/>
      <w:lvlText w:val=""/>
      <w:lvlJc w:val="left"/>
      <w:pPr>
        <w:ind w:left="1471" w:hanging="284"/>
      </w:pPr>
      <w:rPr>
        <w:rFonts w:ascii="Symbol" w:eastAsia="Symbol" w:hAnsi="Symbol" w:cs="Symbol" w:hint="default"/>
        <w:w w:val="100"/>
        <w:sz w:val="22"/>
        <w:szCs w:val="22"/>
        <w:lang w:val="lv" w:eastAsia="lv" w:bidi="lv"/>
      </w:rPr>
    </w:lvl>
    <w:lvl w:ilvl="1" w:tplc="98B8523C">
      <w:numFmt w:val="bullet"/>
      <w:lvlText w:val="•"/>
      <w:lvlJc w:val="left"/>
      <w:pPr>
        <w:ind w:left="2360" w:hanging="284"/>
      </w:pPr>
      <w:rPr>
        <w:rFonts w:hint="default"/>
        <w:lang w:val="lv" w:eastAsia="lv" w:bidi="lv"/>
      </w:rPr>
    </w:lvl>
    <w:lvl w:ilvl="2" w:tplc="2EACDB94">
      <w:numFmt w:val="bullet"/>
      <w:lvlText w:val="•"/>
      <w:lvlJc w:val="left"/>
      <w:pPr>
        <w:ind w:left="3241" w:hanging="284"/>
      </w:pPr>
      <w:rPr>
        <w:rFonts w:hint="default"/>
        <w:lang w:val="lv" w:eastAsia="lv" w:bidi="lv"/>
      </w:rPr>
    </w:lvl>
    <w:lvl w:ilvl="3" w:tplc="39FA85A6">
      <w:numFmt w:val="bullet"/>
      <w:lvlText w:val="•"/>
      <w:lvlJc w:val="left"/>
      <w:pPr>
        <w:ind w:left="4121" w:hanging="284"/>
      </w:pPr>
      <w:rPr>
        <w:rFonts w:hint="default"/>
        <w:lang w:val="lv" w:eastAsia="lv" w:bidi="lv"/>
      </w:rPr>
    </w:lvl>
    <w:lvl w:ilvl="4" w:tplc="C186BCDA">
      <w:numFmt w:val="bullet"/>
      <w:lvlText w:val="•"/>
      <w:lvlJc w:val="left"/>
      <w:pPr>
        <w:ind w:left="5002" w:hanging="284"/>
      </w:pPr>
      <w:rPr>
        <w:rFonts w:hint="default"/>
        <w:lang w:val="lv" w:eastAsia="lv" w:bidi="lv"/>
      </w:rPr>
    </w:lvl>
    <w:lvl w:ilvl="5" w:tplc="9DECE6F4">
      <w:numFmt w:val="bullet"/>
      <w:lvlText w:val="•"/>
      <w:lvlJc w:val="left"/>
      <w:pPr>
        <w:ind w:left="5883" w:hanging="284"/>
      </w:pPr>
      <w:rPr>
        <w:rFonts w:hint="default"/>
        <w:lang w:val="lv" w:eastAsia="lv" w:bidi="lv"/>
      </w:rPr>
    </w:lvl>
    <w:lvl w:ilvl="6" w:tplc="E458C920">
      <w:numFmt w:val="bullet"/>
      <w:lvlText w:val="•"/>
      <w:lvlJc w:val="left"/>
      <w:pPr>
        <w:ind w:left="6763" w:hanging="284"/>
      </w:pPr>
      <w:rPr>
        <w:rFonts w:hint="default"/>
        <w:lang w:val="lv" w:eastAsia="lv" w:bidi="lv"/>
      </w:rPr>
    </w:lvl>
    <w:lvl w:ilvl="7" w:tplc="79D42F4C">
      <w:numFmt w:val="bullet"/>
      <w:lvlText w:val="•"/>
      <w:lvlJc w:val="left"/>
      <w:pPr>
        <w:ind w:left="7644" w:hanging="284"/>
      </w:pPr>
      <w:rPr>
        <w:rFonts w:hint="default"/>
        <w:lang w:val="lv" w:eastAsia="lv" w:bidi="lv"/>
      </w:rPr>
    </w:lvl>
    <w:lvl w:ilvl="8" w:tplc="014C06E4">
      <w:numFmt w:val="bullet"/>
      <w:lvlText w:val="•"/>
      <w:lvlJc w:val="left"/>
      <w:pPr>
        <w:ind w:left="8525" w:hanging="284"/>
      </w:pPr>
      <w:rPr>
        <w:rFonts w:hint="default"/>
        <w:lang w:val="lv" w:eastAsia="lv" w:bidi="lv"/>
      </w:rPr>
    </w:lvl>
  </w:abstractNum>
  <w:abstractNum w:abstractNumId="23" w15:restartNumberingAfterBreak="0">
    <w:nsid w:val="1D3C3D70"/>
    <w:multiLevelType w:val="hybridMultilevel"/>
    <w:tmpl w:val="66EA7504"/>
    <w:lvl w:ilvl="0" w:tplc="86981932">
      <w:numFmt w:val="bullet"/>
      <w:lvlText w:val="-"/>
      <w:lvlJc w:val="left"/>
      <w:pPr>
        <w:ind w:left="424" w:hanging="322"/>
      </w:pPr>
      <w:rPr>
        <w:rFonts w:ascii="Times New Roman" w:eastAsia="Times New Roman" w:hAnsi="Times New Roman" w:cs="Times New Roman" w:hint="default"/>
        <w:w w:val="100"/>
        <w:sz w:val="22"/>
        <w:szCs w:val="22"/>
        <w:lang w:val="lv" w:eastAsia="lv" w:bidi="lv"/>
      </w:rPr>
    </w:lvl>
    <w:lvl w:ilvl="1" w:tplc="1A52FCBA">
      <w:numFmt w:val="bullet"/>
      <w:lvlText w:val="•"/>
      <w:lvlJc w:val="left"/>
      <w:pPr>
        <w:ind w:left="745" w:hanging="322"/>
      </w:pPr>
      <w:rPr>
        <w:rFonts w:hint="default"/>
        <w:lang w:val="lv" w:eastAsia="lv" w:bidi="lv"/>
      </w:rPr>
    </w:lvl>
    <w:lvl w:ilvl="2" w:tplc="1804AD88">
      <w:numFmt w:val="bullet"/>
      <w:lvlText w:val="•"/>
      <w:lvlJc w:val="left"/>
      <w:pPr>
        <w:ind w:left="1071" w:hanging="322"/>
      </w:pPr>
      <w:rPr>
        <w:rFonts w:hint="default"/>
        <w:lang w:val="lv" w:eastAsia="lv" w:bidi="lv"/>
      </w:rPr>
    </w:lvl>
    <w:lvl w:ilvl="3" w:tplc="E41ED1CA">
      <w:numFmt w:val="bullet"/>
      <w:lvlText w:val="•"/>
      <w:lvlJc w:val="left"/>
      <w:pPr>
        <w:ind w:left="1396" w:hanging="322"/>
      </w:pPr>
      <w:rPr>
        <w:rFonts w:hint="default"/>
        <w:lang w:val="lv" w:eastAsia="lv" w:bidi="lv"/>
      </w:rPr>
    </w:lvl>
    <w:lvl w:ilvl="4" w:tplc="CDE08BF4">
      <w:numFmt w:val="bullet"/>
      <w:lvlText w:val="•"/>
      <w:lvlJc w:val="left"/>
      <w:pPr>
        <w:ind w:left="1722" w:hanging="322"/>
      </w:pPr>
      <w:rPr>
        <w:rFonts w:hint="default"/>
        <w:lang w:val="lv" w:eastAsia="lv" w:bidi="lv"/>
      </w:rPr>
    </w:lvl>
    <w:lvl w:ilvl="5" w:tplc="A19ED9BA">
      <w:numFmt w:val="bullet"/>
      <w:lvlText w:val="•"/>
      <w:lvlJc w:val="left"/>
      <w:pPr>
        <w:ind w:left="2047" w:hanging="322"/>
      </w:pPr>
      <w:rPr>
        <w:rFonts w:hint="default"/>
        <w:lang w:val="lv" w:eastAsia="lv" w:bidi="lv"/>
      </w:rPr>
    </w:lvl>
    <w:lvl w:ilvl="6" w:tplc="4542727A">
      <w:numFmt w:val="bullet"/>
      <w:lvlText w:val="•"/>
      <w:lvlJc w:val="left"/>
      <w:pPr>
        <w:ind w:left="2373" w:hanging="322"/>
      </w:pPr>
      <w:rPr>
        <w:rFonts w:hint="default"/>
        <w:lang w:val="lv" w:eastAsia="lv" w:bidi="lv"/>
      </w:rPr>
    </w:lvl>
    <w:lvl w:ilvl="7" w:tplc="28F6C4E0">
      <w:numFmt w:val="bullet"/>
      <w:lvlText w:val="•"/>
      <w:lvlJc w:val="left"/>
      <w:pPr>
        <w:ind w:left="2698" w:hanging="322"/>
      </w:pPr>
      <w:rPr>
        <w:rFonts w:hint="default"/>
        <w:lang w:val="lv" w:eastAsia="lv" w:bidi="lv"/>
      </w:rPr>
    </w:lvl>
    <w:lvl w:ilvl="8" w:tplc="508ED48C">
      <w:numFmt w:val="bullet"/>
      <w:lvlText w:val="•"/>
      <w:lvlJc w:val="left"/>
      <w:pPr>
        <w:ind w:left="3024" w:hanging="322"/>
      </w:pPr>
      <w:rPr>
        <w:rFonts w:hint="default"/>
        <w:lang w:val="lv" w:eastAsia="lv" w:bidi="lv"/>
      </w:rPr>
    </w:lvl>
  </w:abstractNum>
  <w:abstractNum w:abstractNumId="24" w15:restartNumberingAfterBreak="0">
    <w:nsid w:val="204E7657"/>
    <w:multiLevelType w:val="hybridMultilevel"/>
    <w:tmpl w:val="833AD1BE"/>
    <w:lvl w:ilvl="0" w:tplc="0E94A54E">
      <w:start w:val="1"/>
      <w:numFmt w:val="decimal"/>
      <w:lvlText w:val="%1."/>
      <w:lvlJc w:val="left"/>
      <w:pPr>
        <w:ind w:left="338" w:hanging="152"/>
        <w:jc w:val="right"/>
      </w:pPr>
      <w:rPr>
        <w:rFonts w:hint="default"/>
        <w:i/>
        <w:spacing w:val="-3"/>
        <w:w w:val="99"/>
        <w:lang w:val="lv" w:eastAsia="lv" w:bidi="lv"/>
      </w:rPr>
    </w:lvl>
    <w:lvl w:ilvl="1" w:tplc="1EBA334E">
      <w:start w:val="6"/>
      <w:numFmt w:val="decimal"/>
      <w:lvlText w:val="%2."/>
      <w:lvlJc w:val="left"/>
      <w:pPr>
        <w:ind w:left="338" w:hanging="152"/>
        <w:jc w:val="right"/>
      </w:pPr>
      <w:rPr>
        <w:rFonts w:hint="default"/>
        <w:i/>
        <w:spacing w:val="-3"/>
        <w:w w:val="99"/>
        <w:lang w:val="lv" w:eastAsia="lv" w:bidi="lv"/>
      </w:rPr>
    </w:lvl>
    <w:lvl w:ilvl="2" w:tplc="9606DE56">
      <w:start w:val="7"/>
      <w:numFmt w:val="decimal"/>
      <w:lvlText w:val="%3."/>
      <w:lvlJc w:val="left"/>
      <w:pPr>
        <w:ind w:left="338" w:hanging="152"/>
        <w:jc w:val="right"/>
      </w:pPr>
      <w:rPr>
        <w:rFonts w:hint="default"/>
        <w:i/>
        <w:spacing w:val="-3"/>
        <w:w w:val="99"/>
        <w:lang w:val="lv" w:eastAsia="lv" w:bidi="lv"/>
      </w:rPr>
    </w:lvl>
    <w:lvl w:ilvl="3" w:tplc="186E7A72">
      <w:start w:val="9"/>
      <w:numFmt w:val="decimal"/>
      <w:lvlText w:val="%4."/>
      <w:lvlJc w:val="left"/>
      <w:pPr>
        <w:ind w:left="202" w:hanging="202"/>
        <w:jc w:val="right"/>
      </w:pPr>
      <w:rPr>
        <w:rFonts w:hint="default"/>
        <w:i/>
        <w:spacing w:val="0"/>
        <w:w w:val="99"/>
        <w:lang w:val="lv" w:eastAsia="lv" w:bidi="lv"/>
      </w:rPr>
    </w:lvl>
    <w:lvl w:ilvl="4" w:tplc="F17CE320">
      <w:start w:val="10"/>
      <w:numFmt w:val="decimal"/>
      <w:lvlText w:val="%5."/>
      <w:lvlJc w:val="left"/>
      <w:pPr>
        <w:ind w:left="1118" w:hanging="303"/>
        <w:jc w:val="right"/>
      </w:pPr>
      <w:rPr>
        <w:rFonts w:hint="default"/>
        <w:i/>
        <w:spacing w:val="0"/>
        <w:w w:val="99"/>
        <w:lang w:val="lv" w:eastAsia="lv" w:bidi="lv"/>
      </w:rPr>
    </w:lvl>
    <w:lvl w:ilvl="5" w:tplc="F4865628">
      <w:start w:val="1"/>
      <w:numFmt w:val="decimal"/>
      <w:lvlText w:val="%6)"/>
      <w:lvlJc w:val="left"/>
      <w:pPr>
        <w:ind w:left="1778" w:hanging="363"/>
      </w:pPr>
      <w:rPr>
        <w:rFonts w:ascii="Times New Roman" w:eastAsia="Times New Roman" w:hAnsi="Times New Roman" w:cs="Times New Roman" w:hint="default"/>
        <w:w w:val="100"/>
        <w:sz w:val="22"/>
        <w:szCs w:val="22"/>
        <w:lang w:val="lv" w:eastAsia="lv" w:bidi="lv"/>
      </w:rPr>
    </w:lvl>
    <w:lvl w:ilvl="6" w:tplc="B8E47EF0">
      <w:numFmt w:val="bullet"/>
      <w:lvlText w:val="•"/>
      <w:lvlJc w:val="left"/>
      <w:pPr>
        <w:ind w:left="6053" w:hanging="363"/>
      </w:pPr>
      <w:rPr>
        <w:rFonts w:hint="default"/>
        <w:lang w:val="lv" w:eastAsia="lv" w:bidi="lv"/>
      </w:rPr>
    </w:lvl>
    <w:lvl w:ilvl="7" w:tplc="39420A22">
      <w:numFmt w:val="bullet"/>
      <w:lvlText w:val="•"/>
      <w:lvlJc w:val="left"/>
      <w:pPr>
        <w:ind w:left="7121" w:hanging="363"/>
      </w:pPr>
      <w:rPr>
        <w:rFonts w:hint="default"/>
        <w:lang w:val="lv" w:eastAsia="lv" w:bidi="lv"/>
      </w:rPr>
    </w:lvl>
    <w:lvl w:ilvl="8" w:tplc="2B8CFEBE">
      <w:numFmt w:val="bullet"/>
      <w:lvlText w:val="•"/>
      <w:lvlJc w:val="left"/>
      <w:pPr>
        <w:ind w:left="8189" w:hanging="363"/>
      </w:pPr>
      <w:rPr>
        <w:rFonts w:hint="default"/>
        <w:lang w:val="lv" w:eastAsia="lv" w:bidi="lv"/>
      </w:rPr>
    </w:lvl>
  </w:abstractNum>
  <w:abstractNum w:abstractNumId="25" w15:restartNumberingAfterBreak="0">
    <w:nsid w:val="22F11DDE"/>
    <w:multiLevelType w:val="multilevel"/>
    <w:tmpl w:val="3E2A588E"/>
    <w:lvl w:ilvl="0">
      <w:start w:val="13"/>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5288" w:hanging="152"/>
      </w:pPr>
      <w:rPr>
        <w:rFonts w:ascii="Times New Roman" w:eastAsia="Times New Roman" w:hAnsi="Times New Roman" w:cs="Times New Roman" w:hint="default"/>
        <w:i/>
        <w:spacing w:val="-3"/>
        <w:w w:val="99"/>
        <w:sz w:val="18"/>
        <w:szCs w:val="18"/>
        <w:lang w:val="lv" w:eastAsia="lv" w:bidi="lv"/>
      </w:rPr>
    </w:lvl>
    <w:lvl w:ilvl="3">
      <w:numFmt w:val="bullet"/>
      <w:lvlText w:val="•"/>
      <w:lvlJc w:val="left"/>
      <w:pPr>
        <w:ind w:left="6392" w:hanging="152"/>
      </w:pPr>
      <w:rPr>
        <w:rFonts w:hint="default"/>
        <w:lang w:val="lv" w:eastAsia="lv" w:bidi="lv"/>
      </w:rPr>
    </w:lvl>
    <w:lvl w:ilvl="4">
      <w:numFmt w:val="bullet"/>
      <w:lvlText w:val="•"/>
      <w:lvlJc w:val="left"/>
      <w:pPr>
        <w:ind w:left="6948" w:hanging="152"/>
      </w:pPr>
      <w:rPr>
        <w:rFonts w:hint="default"/>
        <w:lang w:val="lv" w:eastAsia="lv" w:bidi="lv"/>
      </w:rPr>
    </w:lvl>
    <w:lvl w:ilvl="5">
      <w:numFmt w:val="bullet"/>
      <w:lvlText w:val="•"/>
      <w:lvlJc w:val="left"/>
      <w:pPr>
        <w:ind w:left="7505" w:hanging="152"/>
      </w:pPr>
      <w:rPr>
        <w:rFonts w:hint="default"/>
        <w:lang w:val="lv" w:eastAsia="lv" w:bidi="lv"/>
      </w:rPr>
    </w:lvl>
    <w:lvl w:ilvl="6">
      <w:numFmt w:val="bullet"/>
      <w:lvlText w:val="•"/>
      <w:lvlJc w:val="left"/>
      <w:pPr>
        <w:ind w:left="8061" w:hanging="152"/>
      </w:pPr>
      <w:rPr>
        <w:rFonts w:hint="default"/>
        <w:lang w:val="lv" w:eastAsia="lv" w:bidi="lv"/>
      </w:rPr>
    </w:lvl>
    <w:lvl w:ilvl="7">
      <w:numFmt w:val="bullet"/>
      <w:lvlText w:val="•"/>
      <w:lvlJc w:val="left"/>
      <w:pPr>
        <w:ind w:left="8617" w:hanging="152"/>
      </w:pPr>
      <w:rPr>
        <w:rFonts w:hint="default"/>
        <w:lang w:val="lv" w:eastAsia="lv" w:bidi="lv"/>
      </w:rPr>
    </w:lvl>
    <w:lvl w:ilvl="8">
      <w:numFmt w:val="bullet"/>
      <w:lvlText w:val="•"/>
      <w:lvlJc w:val="left"/>
      <w:pPr>
        <w:ind w:left="9173" w:hanging="152"/>
      </w:pPr>
      <w:rPr>
        <w:rFonts w:hint="default"/>
        <w:lang w:val="lv" w:eastAsia="lv" w:bidi="lv"/>
      </w:rPr>
    </w:lvl>
  </w:abstractNum>
  <w:abstractNum w:abstractNumId="26" w15:restartNumberingAfterBreak="0">
    <w:nsid w:val="23761A0B"/>
    <w:multiLevelType w:val="hybridMultilevel"/>
    <w:tmpl w:val="9592AC16"/>
    <w:lvl w:ilvl="0" w:tplc="3A52E9EC">
      <w:start w:val="287"/>
      <w:numFmt w:val="bullet"/>
      <w:lvlText w:val="-"/>
      <w:lvlJc w:val="left"/>
      <w:pPr>
        <w:ind w:left="644" w:hanging="360"/>
      </w:pPr>
      <w:rPr>
        <w:rFonts w:ascii="Calibri" w:eastAsiaTheme="minorHAnsi" w:hAnsi="Calibri" w:cs="Calibri" w:hint="default"/>
        <w:i w:val="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7" w15:restartNumberingAfterBreak="0">
    <w:nsid w:val="27435F69"/>
    <w:multiLevelType w:val="multilevel"/>
    <w:tmpl w:val="26526270"/>
    <w:lvl w:ilvl="0">
      <w:start w:val="21"/>
      <w:numFmt w:val="decimal"/>
      <w:lvlText w:val="%1."/>
      <w:lvlJc w:val="left"/>
      <w:pPr>
        <w:ind w:left="660" w:hanging="660"/>
      </w:pPr>
      <w:rPr>
        <w:rFonts w:hint="default"/>
        <w:color w:val="002069"/>
      </w:rPr>
    </w:lvl>
    <w:lvl w:ilvl="1">
      <w:start w:val="8"/>
      <w:numFmt w:val="decimal"/>
      <w:lvlText w:val="%1.%2."/>
      <w:lvlJc w:val="left"/>
      <w:pPr>
        <w:ind w:left="829" w:hanging="660"/>
      </w:pPr>
      <w:rPr>
        <w:rFonts w:hint="default"/>
        <w:color w:val="002069"/>
      </w:rPr>
    </w:lvl>
    <w:lvl w:ilvl="2">
      <w:start w:val="2"/>
      <w:numFmt w:val="decimal"/>
      <w:lvlText w:val="%1.%2.%3."/>
      <w:lvlJc w:val="left"/>
      <w:pPr>
        <w:ind w:left="1058" w:hanging="720"/>
      </w:pPr>
      <w:rPr>
        <w:rFonts w:hint="default"/>
        <w:color w:val="002069"/>
      </w:rPr>
    </w:lvl>
    <w:lvl w:ilvl="3">
      <w:start w:val="1"/>
      <w:numFmt w:val="decimal"/>
      <w:lvlText w:val="%1.%2.%3.%4."/>
      <w:lvlJc w:val="left"/>
      <w:pPr>
        <w:ind w:left="1227" w:hanging="720"/>
      </w:pPr>
      <w:rPr>
        <w:rFonts w:hint="default"/>
        <w:color w:val="002069"/>
      </w:rPr>
    </w:lvl>
    <w:lvl w:ilvl="4">
      <w:start w:val="1"/>
      <w:numFmt w:val="decimal"/>
      <w:lvlText w:val="%1.%2.%3.%4.%5."/>
      <w:lvlJc w:val="left"/>
      <w:pPr>
        <w:ind w:left="1756" w:hanging="1080"/>
      </w:pPr>
      <w:rPr>
        <w:rFonts w:hint="default"/>
        <w:color w:val="002069"/>
      </w:rPr>
    </w:lvl>
    <w:lvl w:ilvl="5">
      <w:start w:val="1"/>
      <w:numFmt w:val="decimal"/>
      <w:lvlText w:val="%1.%2.%3.%4.%5.%6."/>
      <w:lvlJc w:val="left"/>
      <w:pPr>
        <w:ind w:left="1925" w:hanging="1080"/>
      </w:pPr>
      <w:rPr>
        <w:rFonts w:hint="default"/>
        <w:color w:val="002069"/>
      </w:rPr>
    </w:lvl>
    <w:lvl w:ilvl="6">
      <w:start w:val="1"/>
      <w:numFmt w:val="decimal"/>
      <w:lvlText w:val="%1.%2.%3.%4.%5.%6.%7."/>
      <w:lvlJc w:val="left"/>
      <w:pPr>
        <w:ind w:left="2454" w:hanging="1440"/>
      </w:pPr>
      <w:rPr>
        <w:rFonts w:hint="default"/>
        <w:color w:val="002069"/>
      </w:rPr>
    </w:lvl>
    <w:lvl w:ilvl="7">
      <w:start w:val="1"/>
      <w:numFmt w:val="decimal"/>
      <w:lvlText w:val="%1.%2.%3.%4.%5.%6.%7.%8."/>
      <w:lvlJc w:val="left"/>
      <w:pPr>
        <w:ind w:left="2623" w:hanging="1440"/>
      </w:pPr>
      <w:rPr>
        <w:rFonts w:hint="default"/>
        <w:color w:val="002069"/>
      </w:rPr>
    </w:lvl>
    <w:lvl w:ilvl="8">
      <w:start w:val="1"/>
      <w:numFmt w:val="decimal"/>
      <w:lvlText w:val="%1.%2.%3.%4.%5.%6.%7.%8.%9."/>
      <w:lvlJc w:val="left"/>
      <w:pPr>
        <w:ind w:left="3152" w:hanging="1800"/>
      </w:pPr>
      <w:rPr>
        <w:rFonts w:hint="default"/>
        <w:color w:val="002069"/>
      </w:rPr>
    </w:lvl>
  </w:abstractNum>
  <w:abstractNum w:abstractNumId="28" w15:restartNumberingAfterBreak="0">
    <w:nsid w:val="27E5331A"/>
    <w:multiLevelType w:val="hybridMultilevel"/>
    <w:tmpl w:val="519077D4"/>
    <w:lvl w:ilvl="0" w:tplc="E3C0F986">
      <w:start w:val="1"/>
      <w:numFmt w:val="bullet"/>
      <w:lvlText w:val=""/>
      <w:lvlJc w:val="left"/>
      <w:pPr>
        <w:ind w:left="1380" w:hanging="360"/>
      </w:pPr>
      <w:rPr>
        <w:rFonts w:ascii="Wingdings" w:hAnsi="Wingdings" w:hint="default"/>
      </w:rPr>
    </w:lvl>
    <w:lvl w:ilvl="1" w:tplc="24565EBC" w:tentative="1">
      <w:start w:val="1"/>
      <w:numFmt w:val="bullet"/>
      <w:lvlText w:val="o"/>
      <w:lvlJc w:val="left"/>
      <w:pPr>
        <w:ind w:left="2100" w:hanging="360"/>
      </w:pPr>
      <w:rPr>
        <w:rFonts w:ascii="Courier New" w:hAnsi="Courier New" w:cs="Courier New" w:hint="default"/>
      </w:rPr>
    </w:lvl>
    <w:lvl w:ilvl="2" w:tplc="BF584674" w:tentative="1">
      <w:start w:val="1"/>
      <w:numFmt w:val="bullet"/>
      <w:lvlText w:val=""/>
      <w:lvlJc w:val="left"/>
      <w:pPr>
        <w:ind w:left="2820" w:hanging="360"/>
      </w:pPr>
      <w:rPr>
        <w:rFonts w:ascii="Wingdings" w:hAnsi="Wingdings" w:hint="default"/>
      </w:rPr>
    </w:lvl>
    <w:lvl w:ilvl="3" w:tplc="2C007FF0" w:tentative="1">
      <w:start w:val="1"/>
      <w:numFmt w:val="bullet"/>
      <w:lvlText w:val=""/>
      <w:lvlJc w:val="left"/>
      <w:pPr>
        <w:ind w:left="3540" w:hanging="360"/>
      </w:pPr>
      <w:rPr>
        <w:rFonts w:ascii="Symbol" w:hAnsi="Symbol" w:hint="default"/>
      </w:rPr>
    </w:lvl>
    <w:lvl w:ilvl="4" w:tplc="76C27F44" w:tentative="1">
      <w:start w:val="1"/>
      <w:numFmt w:val="bullet"/>
      <w:lvlText w:val="o"/>
      <w:lvlJc w:val="left"/>
      <w:pPr>
        <w:ind w:left="4260" w:hanging="360"/>
      </w:pPr>
      <w:rPr>
        <w:rFonts w:ascii="Courier New" w:hAnsi="Courier New" w:cs="Courier New" w:hint="default"/>
      </w:rPr>
    </w:lvl>
    <w:lvl w:ilvl="5" w:tplc="D20CD1DA" w:tentative="1">
      <w:start w:val="1"/>
      <w:numFmt w:val="bullet"/>
      <w:lvlText w:val=""/>
      <w:lvlJc w:val="left"/>
      <w:pPr>
        <w:ind w:left="4980" w:hanging="360"/>
      </w:pPr>
      <w:rPr>
        <w:rFonts w:ascii="Wingdings" w:hAnsi="Wingdings" w:hint="default"/>
      </w:rPr>
    </w:lvl>
    <w:lvl w:ilvl="6" w:tplc="2B0018DE" w:tentative="1">
      <w:start w:val="1"/>
      <w:numFmt w:val="bullet"/>
      <w:lvlText w:val=""/>
      <w:lvlJc w:val="left"/>
      <w:pPr>
        <w:ind w:left="5700" w:hanging="360"/>
      </w:pPr>
      <w:rPr>
        <w:rFonts w:ascii="Symbol" w:hAnsi="Symbol" w:hint="default"/>
      </w:rPr>
    </w:lvl>
    <w:lvl w:ilvl="7" w:tplc="838642A0" w:tentative="1">
      <w:start w:val="1"/>
      <w:numFmt w:val="bullet"/>
      <w:lvlText w:val="o"/>
      <w:lvlJc w:val="left"/>
      <w:pPr>
        <w:ind w:left="6420" w:hanging="360"/>
      </w:pPr>
      <w:rPr>
        <w:rFonts w:ascii="Courier New" w:hAnsi="Courier New" w:cs="Courier New" w:hint="default"/>
      </w:rPr>
    </w:lvl>
    <w:lvl w:ilvl="8" w:tplc="6348154A" w:tentative="1">
      <w:start w:val="1"/>
      <w:numFmt w:val="bullet"/>
      <w:lvlText w:val=""/>
      <w:lvlJc w:val="left"/>
      <w:pPr>
        <w:ind w:left="7140" w:hanging="360"/>
      </w:pPr>
      <w:rPr>
        <w:rFonts w:ascii="Wingdings" w:hAnsi="Wingdings" w:hint="default"/>
      </w:rPr>
    </w:lvl>
  </w:abstractNum>
  <w:abstractNum w:abstractNumId="29" w15:restartNumberingAfterBreak="0">
    <w:nsid w:val="2A361C92"/>
    <w:multiLevelType w:val="multilevel"/>
    <w:tmpl w:val="B4E446DC"/>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30" w15:restartNumberingAfterBreak="0">
    <w:nsid w:val="2B406386"/>
    <w:multiLevelType w:val="multilevel"/>
    <w:tmpl w:val="9926D7D8"/>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jc w:val="right"/>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31" w15:restartNumberingAfterBreak="0">
    <w:nsid w:val="2BB0437D"/>
    <w:multiLevelType w:val="hybridMultilevel"/>
    <w:tmpl w:val="9AC6137E"/>
    <w:lvl w:ilvl="0" w:tplc="1BAE6B28">
      <w:numFmt w:val="bullet"/>
      <w:lvlText w:val=""/>
      <w:lvlJc w:val="left"/>
      <w:pPr>
        <w:ind w:left="1351" w:hanging="284"/>
      </w:pPr>
      <w:rPr>
        <w:rFonts w:ascii="Symbol" w:eastAsia="Symbol" w:hAnsi="Symbol" w:cs="Symbol" w:hint="default"/>
        <w:w w:val="100"/>
        <w:sz w:val="22"/>
        <w:szCs w:val="22"/>
        <w:lang w:val="lv" w:eastAsia="lv" w:bidi="lv"/>
      </w:rPr>
    </w:lvl>
    <w:lvl w:ilvl="1" w:tplc="3A564B04">
      <w:numFmt w:val="bullet"/>
      <w:lvlText w:val="•"/>
      <w:lvlJc w:val="left"/>
      <w:pPr>
        <w:ind w:left="2252" w:hanging="284"/>
      </w:pPr>
      <w:rPr>
        <w:rFonts w:hint="default"/>
        <w:lang w:val="lv" w:eastAsia="lv" w:bidi="lv"/>
      </w:rPr>
    </w:lvl>
    <w:lvl w:ilvl="2" w:tplc="3A40F7E2">
      <w:numFmt w:val="bullet"/>
      <w:lvlText w:val="•"/>
      <w:lvlJc w:val="left"/>
      <w:pPr>
        <w:ind w:left="3145" w:hanging="284"/>
      </w:pPr>
      <w:rPr>
        <w:rFonts w:hint="default"/>
        <w:lang w:val="lv" w:eastAsia="lv" w:bidi="lv"/>
      </w:rPr>
    </w:lvl>
    <w:lvl w:ilvl="3" w:tplc="47947444">
      <w:numFmt w:val="bullet"/>
      <w:lvlText w:val="•"/>
      <w:lvlJc w:val="left"/>
      <w:pPr>
        <w:ind w:left="4037" w:hanging="284"/>
      </w:pPr>
      <w:rPr>
        <w:rFonts w:hint="default"/>
        <w:lang w:val="lv" w:eastAsia="lv" w:bidi="lv"/>
      </w:rPr>
    </w:lvl>
    <w:lvl w:ilvl="4" w:tplc="BDE6D8D6">
      <w:numFmt w:val="bullet"/>
      <w:lvlText w:val="•"/>
      <w:lvlJc w:val="left"/>
      <w:pPr>
        <w:ind w:left="4930" w:hanging="284"/>
      </w:pPr>
      <w:rPr>
        <w:rFonts w:hint="default"/>
        <w:lang w:val="lv" w:eastAsia="lv" w:bidi="lv"/>
      </w:rPr>
    </w:lvl>
    <w:lvl w:ilvl="5" w:tplc="36C0CDDC">
      <w:numFmt w:val="bullet"/>
      <w:lvlText w:val="•"/>
      <w:lvlJc w:val="left"/>
      <w:pPr>
        <w:ind w:left="5823" w:hanging="284"/>
      </w:pPr>
      <w:rPr>
        <w:rFonts w:hint="default"/>
        <w:lang w:val="lv" w:eastAsia="lv" w:bidi="lv"/>
      </w:rPr>
    </w:lvl>
    <w:lvl w:ilvl="6" w:tplc="13F04AE8">
      <w:numFmt w:val="bullet"/>
      <w:lvlText w:val="•"/>
      <w:lvlJc w:val="left"/>
      <w:pPr>
        <w:ind w:left="6715" w:hanging="284"/>
      </w:pPr>
      <w:rPr>
        <w:rFonts w:hint="default"/>
        <w:lang w:val="lv" w:eastAsia="lv" w:bidi="lv"/>
      </w:rPr>
    </w:lvl>
    <w:lvl w:ilvl="7" w:tplc="FBB62F8A">
      <w:numFmt w:val="bullet"/>
      <w:lvlText w:val="•"/>
      <w:lvlJc w:val="left"/>
      <w:pPr>
        <w:ind w:left="7608" w:hanging="284"/>
      </w:pPr>
      <w:rPr>
        <w:rFonts w:hint="default"/>
        <w:lang w:val="lv" w:eastAsia="lv" w:bidi="lv"/>
      </w:rPr>
    </w:lvl>
    <w:lvl w:ilvl="8" w:tplc="0BF2C302">
      <w:numFmt w:val="bullet"/>
      <w:lvlText w:val="•"/>
      <w:lvlJc w:val="left"/>
      <w:pPr>
        <w:ind w:left="8501" w:hanging="284"/>
      </w:pPr>
      <w:rPr>
        <w:rFonts w:hint="default"/>
        <w:lang w:val="lv" w:eastAsia="lv" w:bidi="lv"/>
      </w:rPr>
    </w:lvl>
  </w:abstractNum>
  <w:abstractNum w:abstractNumId="32" w15:restartNumberingAfterBreak="0">
    <w:nsid w:val="2BCB43D2"/>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984"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33" w15:restartNumberingAfterBreak="0">
    <w:nsid w:val="2C6713D6"/>
    <w:multiLevelType w:val="hybridMultilevel"/>
    <w:tmpl w:val="4A889D9E"/>
    <w:lvl w:ilvl="0" w:tplc="3CEEF984">
      <w:start w:val="1"/>
      <w:numFmt w:val="lowerLetter"/>
      <w:lvlText w:val="%1)"/>
      <w:lvlJc w:val="left"/>
      <w:pPr>
        <w:ind w:left="1418" w:hanging="360"/>
      </w:pPr>
      <w:rPr>
        <w:rFonts w:ascii="Times New Roman" w:eastAsia="Times New Roman" w:hAnsi="Times New Roman" w:cs="Times New Roman" w:hint="default"/>
        <w:w w:val="100"/>
        <w:sz w:val="22"/>
        <w:szCs w:val="22"/>
      </w:rPr>
    </w:lvl>
    <w:lvl w:ilvl="1" w:tplc="CA1E6B6A">
      <w:numFmt w:val="bullet"/>
      <w:lvlText w:val="•"/>
      <w:lvlJc w:val="left"/>
      <w:pPr>
        <w:ind w:left="2304" w:hanging="360"/>
      </w:pPr>
      <w:rPr>
        <w:rFonts w:hint="default"/>
      </w:rPr>
    </w:lvl>
    <w:lvl w:ilvl="2" w:tplc="5EFEB202">
      <w:numFmt w:val="bullet"/>
      <w:lvlText w:val="•"/>
      <w:lvlJc w:val="left"/>
      <w:pPr>
        <w:ind w:left="3189" w:hanging="360"/>
      </w:pPr>
      <w:rPr>
        <w:rFonts w:hint="default"/>
      </w:rPr>
    </w:lvl>
    <w:lvl w:ilvl="3" w:tplc="A5AE7B5C">
      <w:numFmt w:val="bullet"/>
      <w:lvlText w:val="•"/>
      <w:lvlJc w:val="left"/>
      <w:pPr>
        <w:ind w:left="4073" w:hanging="360"/>
      </w:pPr>
      <w:rPr>
        <w:rFonts w:hint="default"/>
      </w:rPr>
    </w:lvl>
    <w:lvl w:ilvl="4" w:tplc="0324DE14">
      <w:numFmt w:val="bullet"/>
      <w:lvlText w:val="•"/>
      <w:lvlJc w:val="left"/>
      <w:pPr>
        <w:ind w:left="4958" w:hanging="360"/>
      </w:pPr>
      <w:rPr>
        <w:rFonts w:hint="default"/>
      </w:rPr>
    </w:lvl>
    <w:lvl w:ilvl="5" w:tplc="4E0EEB64">
      <w:numFmt w:val="bullet"/>
      <w:lvlText w:val="•"/>
      <w:lvlJc w:val="left"/>
      <w:pPr>
        <w:ind w:left="5843" w:hanging="360"/>
      </w:pPr>
      <w:rPr>
        <w:rFonts w:hint="default"/>
      </w:rPr>
    </w:lvl>
    <w:lvl w:ilvl="6" w:tplc="F86843F6">
      <w:numFmt w:val="bullet"/>
      <w:lvlText w:val="•"/>
      <w:lvlJc w:val="left"/>
      <w:pPr>
        <w:ind w:left="6727" w:hanging="360"/>
      </w:pPr>
      <w:rPr>
        <w:rFonts w:hint="default"/>
      </w:rPr>
    </w:lvl>
    <w:lvl w:ilvl="7" w:tplc="8F7623F6">
      <w:numFmt w:val="bullet"/>
      <w:lvlText w:val="•"/>
      <w:lvlJc w:val="left"/>
      <w:pPr>
        <w:ind w:left="7612" w:hanging="360"/>
      </w:pPr>
      <w:rPr>
        <w:rFonts w:hint="default"/>
      </w:rPr>
    </w:lvl>
    <w:lvl w:ilvl="8" w:tplc="E2AC5E76">
      <w:numFmt w:val="bullet"/>
      <w:lvlText w:val="•"/>
      <w:lvlJc w:val="left"/>
      <w:pPr>
        <w:ind w:left="8497" w:hanging="360"/>
      </w:pPr>
      <w:rPr>
        <w:rFonts w:hint="default"/>
      </w:rPr>
    </w:lvl>
  </w:abstractNum>
  <w:abstractNum w:abstractNumId="34" w15:restartNumberingAfterBreak="0">
    <w:nsid w:val="2DE8485C"/>
    <w:multiLevelType w:val="multilevel"/>
    <w:tmpl w:val="8ACE67FA"/>
    <w:lvl w:ilvl="0">
      <w:start w:val="12"/>
      <w:numFmt w:val="decimal"/>
      <w:lvlText w:val="%1"/>
      <w:lvlJc w:val="left"/>
      <w:pPr>
        <w:ind w:left="878" w:hanging="540"/>
      </w:pPr>
      <w:rPr>
        <w:rFonts w:hint="default"/>
        <w:lang w:val="lv" w:eastAsia="lv" w:bidi="lv"/>
      </w:rPr>
    </w:lvl>
    <w:lvl w:ilvl="1">
      <w:start w:val="1"/>
      <w:numFmt w:val="decimal"/>
      <w:lvlText w:val="%1.%2."/>
      <w:lvlJc w:val="left"/>
      <w:pPr>
        <w:ind w:left="878" w:hanging="540"/>
      </w:pPr>
      <w:rPr>
        <w:rFonts w:ascii="Times New Roman" w:eastAsia="Times New Roman" w:hAnsi="Times New Roman" w:cs="Times New Roman" w:hint="default"/>
        <w:b/>
        <w:bCs/>
        <w:i/>
        <w:color w:val="002069"/>
        <w:spacing w:val="-4"/>
        <w:w w:val="100"/>
        <w:sz w:val="24"/>
        <w:szCs w:val="24"/>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35" w15:restartNumberingAfterBreak="0">
    <w:nsid w:val="2EC61756"/>
    <w:multiLevelType w:val="hybridMultilevel"/>
    <w:tmpl w:val="E070AEA4"/>
    <w:lvl w:ilvl="0" w:tplc="65549E7A">
      <w:start w:val="17"/>
      <w:numFmt w:val="decimal"/>
      <w:lvlText w:val="%1."/>
      <w:lvlJc w:val="left"/>
      <w:pPr>
        <w:ind w:left="338" w:hanging="303"/>
        <w:jc w:val="right"/>
      </w:pPr>
      <w:rPr>
        <w:rFonts w:hint="default"/>
        <w:i/>
        <w:spacing w:val="0"/>
        <w:w w:val="99"/>
        <w:lang w:val="lv" w:eastAsia="lv" w:bidi="lv"/>
      </w:rPr>
    </w:lvl>
    <w:lvl w:ilvl="1" w:tplc="2D301236">
      <w:numFmt w:val="bullet"/>
      <w:lvlText w:val="•"/>
      <w:lvlJc w:val="left"/>
      <w:pPr>
        <w:ind w:left="4480" w:hanging="303"/>
      </w:pPr>
      <w:rPr>
        <w:rFonts w:hint="default"/>
        <w:lang w:val="lv" w:eastAsia="lv" w:bidi="lv"/>
      </w:rPr>
    </w:lvl>
    <w:lvl w:ilvl="2" w:tplc="062633B2">
      <w:numFmt w:val="bullet"/>
      <w:lvlText w:val="•"/>
      <w:lvlJc w:val="left"/>
      <w:pPr>
        <w:ind w:left="5129" w:hanging="303"/>
      </w:pPr>
      <w:rPr>
        <w:rFonts w:hint="default"/>
        <w:lang w:val="lv" w:eastAsia="lv" w:bidi="lv"/>
      </w:rPr>
    </w:lvl>
    <w:lvl w:ilvl="3" w:tplc="AB2AF0A2">
      <w:numFmt w:val="bullet"/>
      <w:lvlText w:val="•"/>
      <w:lvlJc w:val="left"/>
      <w:pPr>
        <w:ind w:left="5779" w:hanging="303"/>
      </w:pPr>
      <w:rPr>
        <w:rFonts w:hint="default"/>
        <w:lang w:val="lv" w:eastAsia="lv" w:bidi="lv"/>
      </w:rPr>
    </w:lvl>
    <w:lvl w:ilvl="4" w:tplc="3A1EE0BA">
      <w:numFmt w:val="bullet"/>
      <w:lvlText w:val="•"/>
      <w:lvlJc w:val="left"/>
      <w:pPr>
        <w:ind w:left="6428" w:hanging="303"/>
      </w:pPr>
      <w:rPr>
        <w:rFonts w:hint="default"/>
        <w:lang w:val="lv" w:eastAsia="lv" w:bidi="lv"/>
      </w:rPr>
    </w:lvl>
    <w:lvl w:ilvl="5" w:tplc="CDEA0716">
      <w:numFmt w:val="bullet"/>
      <w:lvlText w:val="•"/>
      <w:lvlJc w:val="left"/>
      <w:pPr>
        <w:ind w:left="7078" w:hanging="303"/>
      </w:pPr>
      <w:rPr>
        <w:rFonts w:hint="default"/>
        <w:lang w:val="lv" w:eastAsia="lv" w:bidi="lv"/>
      </w:rPr>
    </w:lvl>
    <w:lvl w:ilvl="6" w:tplc="3558D07C">
      <w:numFmt w:val="bullet"/>
      <w:lvlText w:val="•"/>
      <w:lvlJc w:val="left"/>
      <w:pPr>
        <w:ind w:left="7728" w:hanging="303"/>
      </w:pPr>
      <w:rPr>
        <w:rFonts w:hint="default"/>
        <w:lang w:val="lv" w:eastAsia="lv" w:bidi="lv"/>
      </w:rPr>
    </w:lvl>
    <w:lvl w:ilvl="7" w:tplc="CC8ED7DC">
      <w:numFmt w:val="bullet"/>
      <w:lvlText w:val="•"/>
      <w:lvlJc w:val="left"/>
      <w:pPr>
        <w:ind w:left="8377" w:hanging="303"/>
      </w:pPr>
      <w:rPr>
        <w:rFonts w:hint="default"/>
        <w:lang w:val="lv" w:eastAsia="lv" w:bidi="lv"/>
      </w:rPr>
    </w:lvl>
    <w:lvl w:ilvl="8" w:tplc="BF40A214">
      <w:numFmt w:val="bullet"/>
      <w:lvlText w:val="•"/>
      <w:lvlJc w:val="left"/>
      <w:pPr>
        <w:ind w:left="9027" w:hanging="303"/>
      </w:pPr>
      <w:rPr>
        <w:rFonts w:hint="default"/>
        <w:lang w:val="lv" w:eastAsia="lv" w:bidi="lv"/>
      </w:rPr>
    </w:lvl>
  </w:abstractNum>
  <w:abstractNum w:abstractNumId="36" w15:restartNumberingAfterBreak="0">
    <w:nsid w:val="2F910912"/>
    <w:multiLevelType w:val="multilevel"/>
    <w:tmpl w:val="83221108"/>
    <w:lvl w:ilvl="0">
      <w:start w:val="7"/>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37" w15:restartNumberingAfterBreak="0">
    <w:nsid w:val="33D817FA"/>
    <w:multiLevelType w:val="multilevel"/>
    <w:tmpl w:val="2FB20EE2"/>
    <w:lvl w:ilvl="0">
      <w:start w:val="2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49B655F"/>
    <w:multiLevelType w:val="hybridMultilevel"/>
    <w:tmpl w:val="FB14CAF8"/>
    <w:lvl w:ilvl="0" w:tplc="0A90B9AE">
      <w:start w:val="1"/>
      <w:numFmt w:val="decimal"/>
      <w:lvlText w:val="%1."/>
      <w:lvlJc w:val="left"/>
      <w:pPr>
        <w:ind w:left="3874" w:hanging="360"/>
      </w:pPr>
      <w:rPr>
        <w:rFonts w:hint="default"/>
      </w:rPr>
    </w:lvl>
    <w:lvl w:ilvl="1" w:tplc="04260019" w:tentative="1">
      <w:start w:val="1"/>
      <w:numFmt w:val="lowerLetter"/>
      <w:lvlText w:val="%2."/>
      <w:lvlJc w:val="left"/>
      <w:pPr>
        <w:ind w:left="4594" w:hanging="360"/>
      </w:pPr>
    </w:lvl>
    <w:lvl w:ilvl="2" w:tplc="0426001B" w:tentative="1">
      <w:start w:val="1"/>
      <w:numFmt w:val="lowerRoman"/>
      <w:lvlText w:val="%3."/>
      <w:lvlJc w:val="right"/>
      <w:pPr>
        <w:ind w:left="5314" w:hanging="180"/>
      </w:pPr>
    </w:lvl>
    <w:lvl w:ilvl="3" w:tplc="0426000F" w:tentative="1">
      <w:start w:val="1"/>
      <w:numFmt w:val="decimal"/>
      <w:lvlText w:val="%4."/>
      <w:lvlJc w:val="left"/>
      <w:pPr>
        <w:ind w:left="6034" w:hanging="360"/>
      </w:pPr>
    </w:lvl>
    <w:lvl w:ilvl="4" w:tplc="04260019" w:tentative="1">
      <w:start w:val="1"/>
      <w:numFmt w:val="lowerLetter"/>
      <w:lvlText w:val="%5."/>
      <w:lvlJc w:val="left"/>
      <w:pPr>
        <w:ind w:left="6754" w:hanging="360"/>
      </w:pPr>
    </w:lvl>
    <w:lvl w:ilvl="5" w:tplc="0426001B" w:tentative="1">
      <w:start w:val="1"/>
      <w:numFmt w:val="lowerRoman"/>
      <w:lvlText w:val="%6."/>
      <w:lvlJc w:val="right"/>
      <w:pPr>
        <w:ind w:left="7474" w:hanging="180"/>
      </w:pPr>
    </w:lvl>
    <w:lvl w:ilvl="6" w:tplc="0426000F" w:tentative="1">
      <w:start w:val="1"/>
      <w:numFmt w:val="decimal"/>
      <w:lvlText w:val="%7."/>
      <w:lvlJc w:val="left"/>
      <w:pPr>
        <w:ind w:left="8194" w:hanging="360"/>
      </w:pPr>
    </w:lvl>
    <w:lvl w:ilvl="7" w:tplc="04260019" w:tentative="1">
      <w:start w:val="1"/>
      <w:numFmt w:val="lowerLetter"/>
      <w:lvlText w:val="%8."/>
      <w:lvlJc w:val="left"/>
      <w:pPr>
        <w:ind w:left="8914" w:hanging="360"/>
      </w:pPr>
    </w:lvl>
    <w:lvl w:ilvl="8" w:tplc="0426001B" w:tentative="1">
      <w:start w:val="1"/>
      <w:numFmt w:val="lowerRoman"/>
      <w:lvlText w:val="%9."/>
      <w:lvlJc w:val="right"/>
      <w:pPr>
        <w:ind w:left="9634" w:hanging="180"/>
      </w:pPr>
    </w:lvl>
  </w:abstractNum>
  <w:abstractNum w:abstractNumId="39" w15:restartNumberingAfterBreak="0">
    <w:nsid w:val="3571677F"/>
    <w:multiLevelType w:val="hybridMultilevel"/>
    <w:tmpl w:val="74B0E94E"/>
    <w:lvl w:ilvl="0" w:tplc="137E1466">
      <w:start w:val="13"/>
      <w:numFmt w:val="decimal"/>
      <w:lvlText w:val="%1."/>
      <w:lvlJc w:val="left"/>
      <w:pPr>
        <w:ind w:left="338" w:hanging="252"/>
        <w:jc w:val="right"/>
      </w:pPr>
      <w:rPr>
        <w:rFonts w:hint="default"/>
        <w:i/>
        <w:spacing w:val="-4"/>
        <w:w w:val="99"/>
        <w:lang w:val="lv" w:eastAsia="lv" w:bidi="lv"/>
      </w:rPr>
    </w:lvl>
    <w:lvl w:ilvl="1" w:tplc="ED068620">
      <w:start w:val="1"/>
      <w:numFmt w:val="decimal"/>
      <w:lvlText w:val="%2)"/>
      <w:lvlJc w:val="left"/>
      <w:pPr>
        <w:ind w:left="1778" w:hanging="363"/>
      </w:pPr>
      <w:rPr>
        <w:rFonts w:ascii="Times New Roman" w:eastAsia="Times New Roman" w:hAnsi="Times New Roman" w:cs="Times New Roman" w:hint="default"/>
        <w:w w:val="100"/>
        <w:sz w:val="22"/>
        <w:szCs w:val="22"/>
        <w:lang w:val="lv" w:eastAsia="lv" w:bidi="lv"/>
      </w:rPr>
    </w:lvl>
    <w:lvl w:ilvl="2" w:tplc="143E1186">
      <w:numFmt w:val="bullet"/>
      <w:lvlText w:val="•"/>
      <w:lvlJc w:val="left"/>
      <w:pPr>
        <w:ind w:left="4180" w:hanging="363"/>
      </w:pPr>
      <w:rPr>
        <w:rFonts w:hint="default"/>
        <w:lang w:val="lv" w:eastAsia="lv" w:bidi="lv"/>
      </w:rPr>
    </w:lvl>
    <w:lvl w:ilvl="3" w:tplc="C2BE8F20">
      <w:numFmt w:val="bullet"/>
      <w:lvlText w:val="•"/>
      <w:lvlJc w:val="left"/>
      <w:pPr>
        <w:ind w:left="4948" w:hanging="363"/>
      </w:pPr>
      <w:rPr>
        <w:rFonts w:hint="default"/>
        <w:lang w:val="lv" w:eastAsia="lv" w:bidi="lv"/>
      </w:rPr>
    </w:lvl>
    <w:lvl w:ilvl="4" w:tplc="3940B07E">
      <w:numFmt w:val="bullet"/>
      <w:lvlText w:val="•"/>
      <w:lvlJc w:val="left"/>
      <w:pPr>
        <w:ind w:left="5716" w:hanging="363"/>
      </w:pPr>
      <w:rPr>
        <w:rFonts w:hint="default"/>
        <w:lang w:val="lv" w:eastAsia="lv" w:bidi="lv"/>
      </w:rPr>
    </w:lvl>
    <w:lvl w:ilvl="5" w:tplc="5DCA83E8">
      <w:numFmt w:val="bullet"/>
      <w:lvlText w:val="•"/>
      <w:lvlJc w:val="left"/>
      <w:pPr>
        <w:ind w:left="6484" w:hanging="363"/>
      </w:pPr>
      <w:rPr>
        <w:rFonts w:hint="default"/>
        <w:lang w:val="lv" w:eastAsia="lv" w:bidi="lv"/>
      </w:rPr>
    </w:lvl>
    <w:lvl w:ilvl="6" w:tplc="FDFAEF4A">
      <w:numFmt w:val="bullet"/>
      <w:lvlText w:val="•"/>
      <w:lvlJc w:val="left"/>
      <w:pPr>
        <w:ind w:left="7253" w:hanging="363"/>
      </w:pPr>
      <w:rPr>
        <w:rFonts w:hint="default"/>
        <w:lang w:val="lv" w:eastAsia="lv" w:bidi="lv"/>
      </w:rPr>
    </w:lvl>
    <w:lvl w:ilvl="7" w:tplc="6E0C244A">
      <w:numFmt w:val="bullet"/>
      <w:lvlText w:val="•"/>
      <w:lvlJc w:val="left"/>
      <w:pPr>
        <w:ind w:left="8021" w:hanging="363"/>
      </w:pPr>
      <w:rPr>
        <w:rFonts w:hint="default"/>
        <w:lang w:val="lv" w:eastAsia="lv" w:bidi="lv"/>
      </w:rPr>
    </w:lvl>
    <w:lvl w:ilvl="8" w:tplc="AC50025E">
      <w:numFmt w:val="bullet"/>
      <w:lvlText w:val="•"/>
      <w:lvlJc w:val="left"/>
      <w:pPr>
        <w:ind w:left="8789" w:hanging="363"/>
      </w:pPr>
      <w:rPr>
        <w:rFonts w:hint="default"/>
        <w:lang w:val="lv" w:eastAsia="lv" w:bidi="lv"/>
      </w:rPr>
    </w:lvl>
  </w:abstractNum>
  <w:abstractNum w:abstractNumId="40" w15:restartNumberingAfterBreak="0">
    <w:nsid w:val="37A02980"/>
    <w:multiLevelType w:val="hybridMultilevel"/>
    <w:tmpl w:val="A0E85A6E"/>
    <w:lvl w:ilvl="0" w:tplc="9E4403F4">
      <w:numFmt w:val="bullet"/>
      <w:lvlText w:val="*"/>
      <w:lvlJc w:val="left"/>
      <w:pPr>
        <w:ind w:left="338" w:hanging="147"/>
      </w:pPr>
      <w:rPr>
        <w:rFonts w:ascii="Times New Roman" w:eastAsia="Times New Roman" w:hAnsi="Times New Roman" w:cs="Times New Roman" w:hint="default"/>
        <w:i/>
        <w:w w:val="99"/>
        <w:sz w:val="20"/>
        <w:szCs w:val="20"/>
        <w:lang w:val="lv" w:eastAsia="lv" w:bidi="lv"/>
      </w:rPr>
    </w:lvl>
    <w:lvl w:ilvl="1" w:tplc="272AFBC4">
      <w:numFmt w:val="bullet"/>
      <w:lvlText w:val="•"/>
      <w:lvlJc w:val="left"/>
      <w:pPr>
        <w:ind w:left="1338" w:hanging="147"/>
      </w:pPr>
      <w:rPr>
        <w:rFonts w:hint="default"/>
        <w:lang w:val="lv" w:eastAsia="lv" w:bidi="lv"/>
      </w:rPr>
    </w:lvl>
    <w:lvl w:ilvl="2" w:tplc="57CA62B4">
      <w:numFmt w:val="bullet"/>
      <w:lvlText w:val="•"/>
      <w:lvlJc w:val="left"/>
      <w:pPr>
        <w:ind w:left="2337" w:hanging="147"/>
      </w:pPr>
      <w:rPr>
        <w:rFonts w:hint="default"/>
        <w:lang w:val="lv" w:eastAsia="lv" w:bidi="lv"/>
      </w:rPr>
    </w:lvl>
    <w:lvl w:ilvl="3" w:tplc="111E1708">
      <w:numFmt w:val="bullet"/>
      <w:lvlText w:val="•"/>
      <w:lvlJc w:val="left"/>
      <w:pPr>
        <w:ind w:left="3335" w:hanging="147"/>
      </w:pPr>
      <w:rPr>
        <w:rFonts w:hint="default"/>
        <w:lang w:val="lv" w:eastAsia="lv" w:bidi="lv"/>
      </w:rPr>
    </w:lvl>
    <w:lvl w:ilvl="4" w:tplc="F38CFD38">
      <w:numFmt w:val="bullet"/>
      <w:lvlText w:val="•"/>
      <w:lvlJc w:val="left"/>
      <w:pPr>
        <w:ind w:left="4334" w:hanging="147"/>
      </w:pPr>
      <w:rPr>
        <w:rFonts w:hint="default"/>
        <w:lang w:val="lv" w:eastAsia="lv" w:bidi="lv"/>
      </w:rPr>
    </w:lvl>
    <w:lvl w:ilvl="5" w:tplc="0E32D8D2">
      <w:numFmt w:val="bullet"/>
      <w:lvlText w:val="•"/>
      <w:lvlJc w:val="left"/>
      <w:pPr>
        <w:ind w:left="5333" w:hanging="147"/>
      </w:pPr>
      <w:rPr>
        <w:rFonts w:hint="default"/>
        <w:lang w:val="lv" w:eastAsia="lv" w:bidi="lv"/>
      </w:rPr>
    </w:lvl>
    <w:lvl w:ilvl="6" w:tplc="7B74A0FE">
      <w:numFmt w:val="bullet"/>
      <w:lvlText w:val="•"/>
      <w:lvlJc w:val="left"/>
      <w:pPr>
        <w:ind w:left="6331" w:hanging="147"/>
      </w:pPr>
      <w:rPr>
        <w:rFonts w:hint="default"/>
        <w:lang w:val="lv" w:eastAsia="lv" w:bidi="lv"/>
      </w:rPr>
    </w:lvl>
    <w:lvl w:ilvl="7" w:tplc="DFC4F05C">
      <w:numFmt w:val="bullet"/>
      <w:lvlText w:val="•"/>
      <w:lvlJc w:val="left"/>
      <w:pPr>
        <w:ind w:left="7330" w:hanging="147"/>
      </w:pPr>
      <w:rPr>
        <w:rFonts w:hint="default"/>
        <w:lang w:val="lv" w:eastAsia="lv" w:bidi="lv"/>
      </w:rPr>
    </w:lvl>
    <w:lvl w:ilvl="8" w:tplc="8EC8138C">
      <w:numFmt w:val="bullet"/>
      <w:lvlText w:val="•"/>
      <w:lvlJc w:val="left"/>
      <w:pPr>
        <w:ind w:left="8329" w:hanging="147"/>
      </w:pPr>
      <w:rPr>
        <w:rFonts w:hint="default"/>
        <w:lang w:val="lv" w:eastAsia="lv" w:bidi="lv"/>
      </w:rPr>
    </w:lvl>
  </w:abstractNum>
  <w:abstractNum w:abstractNumId="41" w15:restartNumberingAfterBreak="0">
    <w:nsid w:val="386F3E85"/>
    <w:multiLevelType w:val="multilevel"/>
    <w:tmpl w:val="DFE261E8"/>
    <w:lvl w:ilvl="0">
      <w:start w:val="13"/>
      <w:numFmt w:val="decimal"/>
      <w:lvlText w:val="%1"/>
      <w:lvlJc w:val="left"/>
      <w:pPr>
        <w:ind w:left="878" w:hanging="540"/>
      </w:pPr>
      <w:rPr>
        <w:rFonts w:hint="default"/>
        <w:lang w:val="lv" w:eastAsia="lv" w:bidi="lv"/>
      </w:rPr>
    </w:lvl>
    <w:lvl w:ilvl="1">
      <w:start w:val="1"/>
      <w:numFmt w:val="decimal"/>
      <w:lvlText w:val="%1.%2."/>
      <w:lvlJc w:val="left"/>
      <w:pPr>
        <w:ind w:left="878" w:hanging="540"/>
      </w:pPr>
      <w:rPr>
        <w:rFonts w:ascii="Times New Roman" w:eastAsia="Times New Roman" w:hAnsi="Times New Roman" w:cs="Times New Roman" w:hint="default"/>
        <w:b/>
        <w:bCs/>
        <w:i/>
        <w:color w:val="002069"/>
        <w:spacing w:val="-3"/>
        <w:w w:val="99"/>
        <w:sz w:val="24"/>
        <w:szCs w:val="24"/>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14" w:hanging="284"/>
      </w:pPr>
      <w:rPr>
        <w:rFonts w:hint="default"/>
        <w:lang w:val="lv" w:eastAsia="lv" w:bidi="lv"/>
      </w:rPr>
    </w:lvl>
    <w:lvl w:ilvl="4">
      <w:numFmt w:val="bullet"/>
      <w:lvlText w:val="•"/>
      <w:lvlJc w:val="left"/>
      <w:pPr>
        <w:ind w:left="4382" w:hanging="284"/>
      </w:pPr>
      <w:rPr>
        <w:rFonts w:hint="default"/>
        <w:lang w:val="lv" w:eastAsia="lv" w:bidi="lv"/>
      </w:rPr>
    </w:lvl>
    <w:lvl w:ilvl="5">
      <w:numFmt w:val="bullet"/>
      <w:lvlText w:val="•"/>
      <w:lvlJc w:val="left"/>
      <w:pPr>
        <w:ind w:left="5349" w:hanging="284"/>
      </w:pPr>
      <w:rPr>
        <w:rFonts w:hint="default"/>
        <w:lang w:val="lv" w:eastAsia="lv" w:bidi="lv"/>
      </w:rPr>
    </w:lvl>
    <w:lvl w:ilvl="6">
      <w:numFmt w:val="bullet"/>
      <w:lvlText w:val="•"/>
      <w:lvlJc w:val="left"/>
      <w:pPr>
        <w:ind w:left="6316" w:hanging="284"/>
      </w:pPr>
      <w:rPr>
        <w:rFonts w:hint="default"/>
        <w:lang w:val="lv" w:eastAsia="lv" w:bidi="lv"/>
      </w:rPr>
    </w:lvl>
    <w:lvl w:ilvl="7">
      <w:numFmt w:val="bullet"/>
      <w:lvlText w:val="•"/>
      <w:lvlJc w:val="left"/>
      <w:pPr>
        <w:ind w:left="7284" w:hanging="284"/>
      </w:pPr>
      <w:rPr>
        <w:rFonts w:hint="default"/>
        <w:lang w:val="lv" w:eastAsia="lv" w:bidi="lv"/>
      </w:rPr>
    </w:lvl>
    <w:lvl w:ilvl="8">
      <w:numFmt w:val="bullet"/>
      <w:lvlText w:val="•"/>
      <w:lvlJc w:val="left"/>
      <w:pPr>
        <w:ind w:left="8251" w:hanging="284"/>
      </w:pPr>
      <w:rPr>
        <w:rFonts w:hint="default"/>
        <w:lang w:val="lv" w:eastAsia="lv" w:bidi="lv"/>
      </w:rPr>
    </w:lvl>
  </w:abstractNum>
  <w:abstractNum w:abstractNumId="42" w15:restartNumberingAfterBreak="0">
    <w:nsid w:val="3A7670F5"/>
    <w:multiLevelType w:val="multilevel"/>
    <w:tmpl w:val="FF063E2A"/>
    <w:lvl w:ilvl="0">
      <w:start w:val="11"/>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43" w15:restartNumberingAfterBreak="0">
    <w:nsid w:val="3AA8105D"/>
    <w:multiLevelType w:val="multilevel"/>
    <w:tmpl w:val="366ACCDA"/>
    <w:lvl w:ilvl="0">
      <w:start w:val="14"/>
      <w:numFmt w:val="decimal"/>
      <w:lvlText w:val="%1"/>
      <w:lvlJc w:val="left"/>
      <w:pPr>
        <w:ind w:left="338" w:hanging="572"/>
      </w:pPr>
      <w:rPr>
        <w:rFonts w:hint="default"/>
        <w:lang w:val="lv" w:eastAsia="lv" w:bidi="lv"/>
      </w:rPr>
    </w:lvl>
    <w:lvl w:ilvl="1">
      <w:start w:val="1"/>
      <w:numFmt w:val="decimal"/>
      <w:lvlText w:val="%1.%2."/>
      <w:lvlJc w:val="left"/>
      <w:pPr>
        <w:ind w:left="338" w:hanging="572"/>
      </w:pPr>
      <w:rPr>
        <w:rFonts w:ascii="Times New Roman" w:eastAsia="Times New Roman" w:hAnsi="Times New Roman" w:cs="Times New Roman" w:hint="default"/>
        <w:b/>
        <w:bCs/>
        <w:i/>
        <w:color w:val="002069"/>
        <w:spacing w:val="-30"/>
        <w:w w:val="99"/>
        <w:sz w:val="24"/>
        <w:szCs w:val="24"/>
        <w:lang w:val="lv" w:eastAsia="lv" w:bidi="lv"/>
      </w:rPr>
    </w:lvl>
    <w:lvl w:ilvl="2">
      <w:start w:val="1"/>
      <w:numFmt w:val="lowerLetter"/>
      <w:lvlText w:val="%3)"/>
      <w:lvlJc w:val="left"/>
      <w:pPr>
        <w:ind w:left="1418" w:hanging="360"/>
      </w:pPr>
      <w:rPr>
        <w:rFonts w:ascii="Times New Roman" w:eastAsia="Times New Roman" w:hAnsi="Times New Roman" w:cs="Times New Roman" w:hint="default"/>
        <w:w w:val="100"/>
        <w:sz w:val="22"/>
        <w:szCs w:val="22"/>
        <w:lang w:val="lv" w:eastAsia="lv" w:bidi="lv"/>
      </w:rPr>
    </w:lvl>
    <w:lvl w:ilvl="3">
      <w:numFmt w:val="bullet"/>
      <w:lvlText w:val="•"/>
      <w:lvlJc w:val="left"/>
      <w:pPr>
        <w:ind w:left="3399" w:hanging="360"/>
      </w:pPr>
      <w:rPr>
        <w:rFonts w:hint="default"/>
        <w:lang w:val="lv" w:eastAsia="lv" w:bidi="lv"/>
      </w:rPr>
    </w:lvl>
    <w:lvl w:ilvl="4">
      <w:numFmt w:val="bullet"/>
      <w:lvlText w:val="•"/>
      <w:lvlJc w:val="left"/>
      <w:pPr>
        <w:ind w:left="4388" w:hanging="360"/>
      </w:pPr>
      <w:rPr>
        <w:rFonts w:hint="default"/>
        <w:lang w:val="lv" w:eastAsia="lv" w:bidi="lv"/>
      </w:rPr>
    </w:lvl>
    <w:lvl w:ilvl="5">
      <w:numFmt w:val="bullet"/>
      <w:lvlText w:val="•"/>
      <w:lvlJc w:val="left"/>
      <w:pPr>
        <w:ind w:left="5378" w:hanging="360"/>
      </w:pPr>
      <w:rPr>
        <w:rFonts w:hint="default"/>
        <w:lang w:val="lv" w:eastAsia="lv" w:bidi="lv"/>
      </w:rPr>
    </w:lvl>
    <w:lvl w:ilvl="6">
      <w:numFmt w:val="bullet"/>
      <w:lvlText w:val="•"/>
      <w:lvlJc w:val="left"/>
      <w:pPr>
        <w:ind w:left="6368" w:hanging="360"/>
      </w:pPr>
      <w:rPr>
        <w:rFonts w:hint="default"/>
        <w:lang w:val="lv" w:eastAsia="lv" w:bidi="lv"/>
      </w:rPr>
    </w:lvl>
    <w:lvl w:ilvl="7">
      <w:numFmt w:val="bullet"/>
      <w:lvlText w:val="•"/>
      <w:lvlJc w:val="left"/>
      <w:pPr>
        <w:ind w:left="7357" w:hanging="360"/>
      </w:pPr>
      <w:rPr>
        <w:rFonts w:hint="default"/>
        <w:lang w:val="lv" w:eastAsia="lv" w:bidi="lv"/>
      </w:rPr>
    </w:lvl>
    <w:lvl w:ilvl="8">
      <w:numFmt w:val="bullet"/>
      <w:lvlText w:val="•"/>
      <w:lvlJc w:val="left"/>
      <w:pPr>
        <w:ind w:left="8347" w:hanging="360"/>
      </w:pPr>
      <w:rPr>
        <w:rFonts w:hint="default"/>
        <w:lang w:val="lv" w:eastAsia="lv" w:bidi="lv"/>
      </w:rPr>
    </w:lvl>
  </w:abstractNum>
  <w:abstractNum w:abstractNumId="44" w15:restartNumberingAfterBreak="0">
    <w:nsid w:val="3DE00B56"/>
    <w:multiLevelType w:val="multilevel"/>
    <w:tmpl w:val="1D8E22AC"/>
    <w:lvl w:ilvl="0">
      <w:start w:val="856"/>
      <w:numFmt w:val="decimal"/>
      <w:lvlText w:val="%1"/>
      <w:lvlJc w:val="left"/>
      <w:pPr>
        <w:ind w:left="480" w:hanging="480"/>
      </w:pPr>
      <w:rPr>
        <w:rFonts w:hint="default"/>
        <w:b/>
      </w:rPr>
    </w:lvl>
    <w:lvl w:ilvl="1">
      <w:start w:val="2"/>
      <w:numFmt w:val="decimal"/>
      <w:lvlText w:val="%1.%2"/>
      <w:lvlJc w:val="left"/>
      <w:pPr>
        <w:ind w:left="735" w:hanging="480"/>
      </w:pPr>
      <w:rPr>
        <w:rFonts w:hint="default"/>
        <w:b/>
      </w:rPr>
    </w:lvl>
    <w:lvl w:ilvl="2">
      <w:start w:val="1"/>
      <w:numFmt w:val="decimal"/>
      <w:lvlText w:val="%1.%2.%3"/>
      <w:lvlJc w:val="left"/>
      <w:pPr>
        <w:ind w:left="1230" w:hanging="720"/>
      </w:pPr>
      <w:rPr>
        <w:rFonts w:hint="default"/>
        <w:b/>
      </w:rPr>
    </w:lvl>
    <w:lvl w:ilvl="3">
      <w:start w:val="1"/>
      <w:numFmt w:val="decimal"/>
      <w:lvlText w:val="%1.%2.%3.%4"/>
      <w:lvlJc w:val="left"/>
      <w:pPr>
        <w:ind w:left="1485" w:hanging="720"/>
      </w:pPr>
      <w:rPr>
        <w:rFonts w:hint="default"/>
        <w:b/>
      </w:rPr>
    </w:lvl>
    <w:lvl w:ilvl="4">
      <w:start w:val="1"/>
      <w:numFmt w:val="decimal"/>
      <w:lvlText w:val="%1.%2.%3.%4.%5"/>
      <w:lvlJc w:val="left"/>
      <w:pPr>
        <w:ind w:left="2100" w:hanging="1080"/>
      </w:pPr>
      <w:rPr>
        <w:rFonts w:hint="default"/>
        <w:b/>
      </w:rPr>
    </w:lvl>
    <w:lvl w:ilvl="5">
      <w:start w:val="1"/>
      <w:numFmt w:val="decimal"/>
      <w:lvlText w:val="%1.%2.%3.%4.%5.%6"/>
      <w:lvlJc w:val="left"/>
      <w:pPr>
        <w:ind w:left="2355" w:hanging="1080"/>
      </w:pPr>
      <w:rPr>
        <w:rFonts w:hint="default"/>
        <w:b/>
      </w:rPr>
    </w:lvl>
    <w:lvl w:ilvl="6">
      <w:start w:val="1"/>
      <w:numFmt w:val="decimal"/>
      <w:lvlText w:val="%1.%2.%3.%4.%5.%6.%7"/>
      <w:lvlJc w:val="left"/>
      <w:pPr>
        <w:ind w:left="2970" w:hanging="1440"/>
      </w:pPr>
      <w:rPr>
        <w:rFonts w:hint="default"/>
        <w:b/>
      </w:rPr>
    </w:lvl>
    <w:lvl w:ilvl="7">
      <w:start w:val="1"/>
      <w:numFmt w:val="decimal"/>
      <w:lvlText w:val="%1.%2.%3.%4.%5.%6.%7.%8"/>
      <w:lvlJc w:val="left"/>
      <w:pPr>
        <w:ind w:left="3225" w:hanging="1440"/>
      </w:pPr>
      <w:rPr>
        <w:rFonts w:hint="default"/>
        <w:b/>
      </w:rPr>
    </w:lvl>
    <w:lvl w:ilvl="8">
      <w:start w:val="1"/>
      <w:numFmt w:val="decimal"/>
      <w:lvlText w:val="%1.%2.%3.%4.%5.%6.%7.%8.%9"/>
      <w:lvlJc w:val="left"/>
      <w:pPr>
        <w:ind w:left="3480" w:hanging="1440"/>
      </w:pPr>
      <w:rPr>
        <w:rFonts w:hint="default"/>
        <w:b/>
      </w:rPr>
    </w:lvl>
  </w:abstractNum>
  <w:abstractNum w:abstractNumId="45" w15:restartNumberingAfterBreak="0">
    <w:nsid w:val="3E046DCD"/>
    <w:multiLevelType w:val="hybridMultilevel"/>
    <w:tmpl w:val="4FE8CD7C"/>
    <w:lvl w:ilvl="0" w:tplc="B524A588">
      <w:numFmt w:val="bullet"/>
      <w:lvlText w:val=""/>
      <w:lvlJc w:val="left"/>
      <w:pPr>
        <w:ind w:left="455" w:hanging="219"/>
      </w:pPr>
      <w:rPr>
        <w:rFonts w:ascii="Symbol" w:eastAsia="Symbol" w:hAnsi="Symbol" w:cs="Symbol" w:hint="default"/>
        <w:w w:val="100"/>
        <w:sz w:val="22"/>
        <w:szCs w:val="22"/>
        <w:lang w:val="lv" w:eastAsia="lv" w:bidi="lv"/>
      </w:rPr>
    </w:lvl>
    <w:lvl w:ilvl="1" w:tplc="FCEA3C88">
      <w:numFmt w:val="bullet"/>
      <w:lvlText w:val="•"/>
      <w:lvlJc w:val="left"/>
      <w:pPr>
        <w:ind w:left="671" w:hanging="219"/>
      </w:pPr>
      <w:rPr>
        <w:rFonts w:hint="default"/>
        <w:lang w:val="lv" w:eastAsia="lv" w:bidi="lv"/>
      </w:rPr>
    </w:lvl>
    <w:lvl w:ilvl="2" w:tplc="7974DCEA">
      <w:numFmt w:val="bullet"/>
      <w:lvlText w:val="•"/>
      <w:lvlJc w:val="left"/>
      <w:pPr>
        <w:ind w:left="882" w:hanging="219"/>
      </w:pPr>
      <w:rPr>
        <w:rFonts w:hint="default"/>
        <w:lang w:val="lv" w:eastAsia="lv" w:bidi="lv"/>
      </w:rPr>
    </w:lvl>
    <w:lvl w:ilvl="3" w:tplc="A628CB78">
      <w:numFmt w:val="bullet"/>
      <w:lvlText w:val="•"/>
      <w:lvlJc w:val="left"/>
      <w:pPr>
        <w:ind w:left="1093" w:hanging="219"/>
      </w:pPr>
      <w:rPr>
        <w:rFonts w:hint="default"/>
        <w:lang w:val="lv" w:eastAsia="lv" w:bidi="lv"/>
      </w:rPr>
    </w:lvl>
    <w:lvl w:ilvl="4" w:tplc="74742B0E">
      <w:numFmt w:val="bullet"/>
      <w:lvlText w:val="•"/>
      <w:lvlJc w:val="left"/>
      <w:pPr>
        <w:ind w:left="1305" w:hanging="219"/>
      </w:pPr>
      <w:rPr>
        <w:rFonts w:hint="default"/>
        <w:lang w:val="lv" w:eastAsia="lv" w:bidi="lv"/>
      </w:rPr>
    </w:lvl>
    <w:lvl w:ilvl="5" w:tplc="41586104">
      <w:numFmt w:val="bullet"/>
      <w:lvlText w:val="•"/>
      <w:lvlJc w:val="left"/>
      <w:pPr>
        <w:ind w:left="1516" w:hanging="219"/>
      </w:pPr>
      <w:rPr>
        <w:rFonts w:hint="default"/>
        <w:lang w:val="lv" w:eastAsia="lv" w:bidi="lv"/>
      </w:rPr>
    </w:lvl>
    <w:lvl w:ilvl="6" w:tplc="3CE82104">
      <w:numFmt w:val="bullet"/>
      <w:lvlText w:val="•"/>
      <w:lvlJc w:val="left"/>
      <w:pPr>
        <w:ind w:left="1727" w:hanging="219"/>
      </w:pPr>
      <w:rPr>
        <w:rFonts w:hint="default"/>
        <w:lang w:val="lv" w:eastAsia="lv" w:bidi="lv"/>
      </w:rPr>
    </w:lvl>
    <w:lvl w:ilvl="7" w:tplc="072A3476">
      <w:numFmt w:val="bullet"/>
      <w:lvlText w:val="•"/>
      <w:lvlJc w:val="left"/>
      <w:pPr>
        <w:ind w:left="1939" w:hanging="219"/>
      </w:pPr>
      <w:rPr>
        <w:rFonts w:hint="default"/>
        <w:lang w:val="lv" w:eastAsia="lv" w:bidi="lv"/>
      </w:rPr>
    </w:lvl>
    <w:lvl w:ilvl="8" w:tplc="E918EF08">
      <w:numFmt w:val="bullet"/>
      <w:lvlText w:val="•"/>
      <w:lvlJc w:val="left"/>
      <w:pPr>
        <w:ind w:left="2150" w:hanging="219"/>
      </w:pPr>
      <w:rPr>
        <w:rFonts w:hint="default"/>
        <w:lang w:val="lv" w:eastAsia="lv" w:bidi="lv"/>
      </w:rPr>
    </w:lvl>
  </w:abstractNum>
  <w:abstractNum w:abstractNumId="46" w15:restartNumberingAfterBreak="0">
    <w:nsid w:val="42586EFC"/>
    <w:multiLevelType w:val="hybridMultilevel"/>
    <w:tmpl w:val="FDFC52DC"/>
    <w:lvl w:ilvl="0" w:tplc="4D4E2A28">
      <w:start w:val="31"/>
      <w:numFmt w:val="decimal"/>
      <w:lvlText w:val="%1."/>
      <w:lvlJc w:val="left"/>
      <w:pPr>
        <w:ind w:left="678" w:hanging="332"/>
      </w:pPr>
      <w:rPr>
        <w:rFonts w:ascii="Times New Roman" w:eastAsia="Times New Roman" w:hAnsi="Times New Roman" w:cs="Times New Roman" w:hint="default"/>
        <w:w w:val="100"/>
        <w:sz w:val="22"/>
        <w:szCs w:val="22"/>
        <w:lang w:val="lv" w:eastAsia="lv" w:bidi="lv"/>
      </w:rPr>
    </w:lvl>
    <w:lvl w:ilvl="1" w:tplc="874A8D38">
      <w:start w:val="9"/>
      <w:numFmt w:val="decimal"/>
      <w:lvlText w:val="%2."/>
      <w:lvlJc w:val="left"/>
      <w:pPr>
        <w:ind w:left="938" w:hanging="257"/>
      </w:pPr>
      <w:rPr>
        <w:rFonts w:ascii="Times New Roman" w:eastAsia="Times New Roman" w:hAnsi="Times New Roman" w:cs="Times New Roman" w:hint="default"/>
        <w:w w:val="100"/>
        <w:sz w:val="22"/>
        <w:szCs w:val="22"/>
        <w:lang w:val="lv" w:eastAsia="lv" w:bidi="lv"/>
      </w:rPr>
    </w:lvl>
    <w:lvl w:ilvl="2" w:tplc="00F62918">
      <w:start w:val="13"/>
      <w:numFmt w:val="decimal"/>
      <w:lvlText w:val="%3."/>
      <w:lvlJc w:val="left"/>
      <w:pPr>
        <w:ind w:left="1070" w:hanging="277"/>
      </w:pPr>
      <w:rPr>
        <w:rFonts w:ascii="Times New Roman" w:eastAsia="Times New Roman" w:hAnsi="Times New Roman" w:cs="Times New Roman" w:hint="default"/>
        <w:spacing w:val="-4"/>
        <w:w w:val="100"/>
        <w:sz w:val="20"/>
        <w:szCs w:val="20"/>
        <w:lang w:val="lv" w:eastAsia="lv" w:bidi="lv"/>
      </w:rPr>
    </w:lvl>
    <w:lvl w:ilvl="3" w:tplc="C548E108">
      <w:start w:val="2"/>
      <w:numFmt w:val="decimal"/>
      <w:lvlText w:val="%4."/>
      <w:lvlJc w:val="left"/>
      <w:pPr>
        <w:ind w:left="5766" w:hanging="202"/>
        <w:jc w:val="right"/>
      </w:pPr>
      <w:rPr>
        <w:rFonts w:ascii="Times New Roman" w:eastAsia="Times New Roman" w:hAnsi="Times New Roman" w:cs="Times New Roman" w:hint="default"/>
        <w:i/>
        <w:spacing w:val="0"/>
        <w:w w:val="99"/>
        <w:sz w:val="20"/>
        <w:szCs w:val="20"/>
        <w:lang w:val="lv" w:eastAsia="lv" w:bidi="lv"/>
      </w:rPr>
    </w:lvl>
    <w:lvl w:ilvl="4" w:tplc="AD4E0210">
      <w:numFmt w:val="bullet"/>
      <w:lvlText w:val="•"/>
      <w:lvlJc w:val="left"/>
      <w:pPr>
        <w:ind w:left="6369" w:hanging="202"/>
      </w:pPr>
      <w:rPr>
        <w:rFonts w:hint="default"/>
        <w:lang w:val="lv" w:eastAsia="lv" w:bidi="lv"/>
      </w:rPr>
    </w:lvl>
    <w:lvl w:ilvl="5" w:tplc="656C6134">
      <w:numFmt w:val="bullet"/>
      <w:lvlText w:val="•"/>
      <w:lvlJc w:val="left"/>
      <w:pPr>
        <w:ind w:left="6978" w:hanging="202"/>
      </w:pPr>
      <w:rPr>
        <w:rFonts w:hint="default"/>
        <w:lang w:val="lv" w:eastAsia="lv" w:bidi="lv"/>
      </w:rPr>
    </w:lvl>
    <w:lvl w:ilvl="6" w:tplc="60BEAECC">
      <w:numFmt w:val="bullet"/>
      <w:lvlText w:val="•"/>
      <w:lvlJc w:val="left"/>
      <w:pPr>
        <w:ind w:left="7588" w:hanging="202"/>
      </w:pPr>
      <w:rPr>
        <w:rFonts w:hint="default"/>
        <w:lang w:val="lv" w:eastAsia="lv" w:bidi="lv"/>
      </w:rPr>
    </w:lvl>
    <w:lvl w:ilvl="7" w:tplc="66983C96">
      <w:numFmt w:val="bullet"/>
      <w:lvlText w:val="•"/>
      <w:lvlJc w:val="left"/>
      <w:pPr>
        <w:ind w:left="8197" w:hanging="202"/>
      </w:pPr>
      <w:rPr>
        <w:rFonts w:hint="default"/>
        <w:lang w:val="lv" w:eastAsia="lv" w:bidi="lv"/>
      </w:rPr>
    </w:lvl>
    <w:lvl w:ilvl="8" w:tplc="9CB2E628">
      <w:numFmt w:val="bullet"/>
      <w:lvlText w:val="•"/>
      <w:lvlJc w:val="left"/>
      <w:pPr>
        <w:ind w:left="8807" w:hanging="202"/>
      </w:pPr>
      <w:rPr>
        <w:rFonts w:hint="default"/>
        <w:lang w:val="lv" w:eastAsia="lv" w:bidi="lv"/>
      </w:rPr>
    </w:lvl>
  </w:abstractNum>
  <w:abstractNum w:abstractNumId="47" w15:restartNumberingAfterBreak="0">
    <w:nsid w:val="465F7DAA"/>
    <w:multiLevelType w:val="hybridMultilevel"/>
    <w:tmpl w:val="6BFE8C2E"/>
    <w:lvl w:ilvl="0" w:tplc="5392704C">
      <w:numFmt w:val="bullet"/>
      <w:lvlText w:val="•"/>
      <w:lvlJc w:val="left"/>
      <w:pPr>
        <w:ind w:left="266" w:hanging="181"/>
      </w:pPr>
      <w:rPr>
        <w:rFonts w:ascii="Times New Roman" w:eastAsia="Times New Roman" w:hAnsi="Times New Roman" w:cs="Times New Roman" w:hint="default"/>
        <w:color w:val="002069"/>
        <w:spacing w:val="-24"/>
        <w:w w:val="100"/>
        <w:sz w:val="24"/>
        <w:szCs w:val="24"/>
        <w:lang w:val="lv" w:eastAsia="lv" w:bidi="lv"/>
      </w:rPr>
    </w:lvl>
    <w:lvl w:ilvl="1" w:tplc="8C3A3472">
      <w:numFmt w:val="bullet"/>
      <w:lvlText w:val="•"/>
      <w:lvlJc w:val="left"/>
      <w:pPr>
        <w:ind w:left="443" w:hanging="181"/>
      </w:pPr>
      <w:rPr>
        <w:rFonts w:hint="default"/>
        <w:lang w:val="lv" w:eastAsia="lv" w:bidi="lv"/>
      </w:rPr>
    </w:lvl>
    <w:lvl w:ilvl="2" w:tplc="6E147808">
      <w:numFmt w:val="bullet"/>
      <w:lvlText w:val="•"/>
      <w:lvlJc w:val="left"/>
      <w:pPr>
        <w:ind w:left="627" w:hanging="181"/>
      </w:pPr>
      <w:rPr>
        <w:rFonts w:hint="default"/>
        <w:lang w:val="lv" w:eastAsia="lv" w:bidi="lv"/>
      </w:rPr>
    </w:lvl>
    <w:lvl w:ilvl="3" w:tplc="39FCF2D8">
      <w:numFmt w:val="bullet"/>
      <w:lvlText w:val="•"/>
      <w:lvlJc w:val="left"/>
      <w:pPr>
        <w:ind w:left="811" w:hanging="181"/>
      </w:pPr>
      <w:rPr>
        <w:rFonts w:hint="default"/>
        <w:lang w:val="lv" w:eastAsia="lv" w:bidi="lv"/>
      </w:rPr>
    </w:lvl>
    <w:lvl w:ilvl="4" w:tplc="0658D4EC">
      <w:numFmt w:val="bullet"/>
      <w:lvlText w:val="•"/>
      <w:lvlJc w:val="left"/>
      <w:pPr>
        <w:ind w:left="995" w:hanging="181"/>
      </w:pPr>
      <w:rPr>
        <w:rFonts w:hint="default"/>
        <w:lang w:val="lv" w:eastAsia="lv" w:bidi="lv"/>
      </w:rPr>
    </w:lvl>
    <w:lvl w:ilvl="5" w:tplc="F46C5958">
      <w:numFmt w:val="bullet"/>
      <w:lvlText w:val="•"/>
      <w:lvlJc w:val="left"/>
      <w:pPr>
        <w:ind w:left="1179" w:hanging="181"/>
      </w:pPr>
      <w:rPr>
        <w:rFonts w:hint="default"/>
        <w:lang w:val="lv" w:eastAsia="lv" w:bidi="lv"/>
      </w:rPr>
    </w:lvl>
    <w:lvl w:ilvl="6" w:tplc="F52A099A">
      <w:numFmt w:val="bullet"/>
      <w:lvlText w:val="•"/>
      <w:lvlJc w:val="left"/>
      <w:pPr>
        <w:ind w:left="1363" w:hanging="181"/>
      </w:pPr>
      <w:rPr>
        <w:rFonts w:hint="default"/>
        <w:lang w:val="lv" w:eastAsia="lv" w:bidi="lv"/>
      </w:rPr>
    </w:lvl>
    <w:lvl w:ilvl="7" w:tplc="BAB8AB92">
      <w:numFmt w:val="bullet"/>
      <w:lvlText w:val="•"/>
      <w:lvlJc w:val="left"/>
      <w:pPr>
        <w:ind w:left="1547" w:hanging="181"/>
      </w:pPr>
      <w:rPr>
        <w:rFonts w:hint="default"/>
        <w:lang w:val="lv" w:eastAsia="lv" w:bidi="lv"/>
      </w:rPr>
    </w:lvl>
    <w:lvl w:ilvl="8" w:tplc="A814A900">
      <w:numFmt w:val="bullet"/>
      <w:lvlText w:val="•"/>
      <w:lvlJc w:val="left"/>
      <w:pPr>
        <w:ind w:left="1731" w:hanging="181"/>
      </w:pPr>
      <w:rPr>
        <w:rFonts w:hint="default"/>
        <w:lang w:val="lv" w:eastAsia="lv" w:bidi="lv"/>
      </w:rPr>
    </w:lvl>
  </w:abstractNum>
  <w:abstractNum w:abstractNumId="48" w15:restartNumberingAfterBreak="0">
    <w:nsid w:val="4766493C"/>
    <w:multiLevelType w:val="multilevel"/>
    <w:tmpl w:val="9230BBEA"/>
    <w:lvl w:ilvl="0">
      <w:start w:val="9"/>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43" w:hanging="284"/>
      </w:pPr>
      <w:rPr>
        <w:rFonts w:hint="default"/>
        <w:lang w:val="lv" w:eastAsia="lv" w:bidi="lv"/>
      </w:rPr>
    </w:lvl>
    <w:lvl w:ilvl="4">
      <w:numFmt w:val="bullet"/>
      <w:lvlText w:val="•"/>
      <w:lvlJc w:val="left"/>
      <w:pPr>
        <w:ind w:left="4335" w:hanging="284"/>
      </w:pPr>
      <w:rPr>
        <w:rFonts w:hint="default"/>
        <w:lang w:val="lv" w:eastAsia="lv" w:bidi="lv"/>
      </w:rPr>
    </w:lvl>
    <w:lvl w:ilvl="5">
      <w:numFmt w:val="bullet"/>
      <w:lvlText w:val="•"/>
      <w:lvlJc w:val="left"/>
      <w:pPr>
        <w:ind w:left="5327" w:hanging="284"/>
      </w:pPr>
      <w:rPr>
        <w:rFonts w:hint="default"/>
        <w:lang w:val="lv" w:eastAsia="lv" w:bidi="lv"/>
      </w:rPr>
    </w:lvl>
    <w:lvl w:ilvl="6">
      <w:numFmt w:val="bullet"/>
      <w:lvlText w:val="•"/>
      <w:lvlJc w:val="left"/>
      <w:pPr>
        <w:ind w:left="6319" w:hanging="284"/>
      </w:pPr>
      <w:rPr>
        <w:rFonts w:hint="default"/>
        <w:lang w:val="lv" w:eastAsia="lv" w:bidi="lv"/>
      </w:rPr>
    </w:lvl>
    <w:lvl w:ilvl="7">
      <w:numFmt w:val="bullet"/>
      <w:lvlText w:val="•"/>
      <w:lvlJc w:val="left"/>
      <w:pPr>
        <w:ind w:left="7310" w:hanging="284"/>
      </w:pPr>
      <w:rPr>
        <w:rFonts w:hint="default"/>
        <w:lang w:val="lv" w:eastAsia="lv" w:bidi="lv"/>
      </w:rPr>
    </w:lvl>
    <w:lvl w:ilvl="8">
      <w:numFmt w:val="bullet"/>
      <w:lvlText w:val="•"/>
      <w:lvlJc w:val="left"/>
      <w:pPr>
        <w:ind w:left="8302" w:hanging="284"/>
      </w:pPr>
      <w:rPr>
        <w:rFonts w:hint="default"/>
        <w:lang w:val="lv" w:eastAsia="lv" w:bidi="lv"/>
      </w:rPr>
    </w:lvl>
  </w:abstractNum>
  <w:abstractNum w:abstractNumId="49" w15:restartNumberingAfterBreak="0">
    <w:nsid w:val="47CD3EC6"/>
    <w:multiLevelType w:val="hybridMultilevel"/>
    <w:tmpl w:val="DD5464A2"/>
    <w:lvl w:ilvl="0" w:tplc="1A0A6174">
      <w:numFmt w:val="bullet"/>
      <w:lvlText w:val="-"/>
      <w:lvlJc w:val="left"/>
      <w:pPr>
        <w:ind w:left="1733" w:hanging="358"/>
      </w:pPr>
      <w:rPr>
        <w:rFonts w:ascii="Times New Roman" w:eastAsia="Times New Roman" w:hAnsi="Times New Roman" w:cs="Times New Roman" w:hint="default"/>
        <w:w w:val="100"/>
        <w:sz w:val="22"/>
        <w:szCs w:val="22"/>
        <w:lang w:val="lv" w:eastAsia="lv" w:bidi="lv"/>
      </w:rPr>
    </w:lvl>
    <w:lvl w:ilvl="1" w:tplc="0570F628">
      <w:numFmt w:val="bullet"/>
      <w:lvlText w:val="•"/>
      <w:lvlJc w:val="left"/>
      <w:pPr>
        <w:ind w:left="2568" w:hanging="358"/>
      </w:pPr>
      <w:rPr>
        <w:rFonts w:hint="default"/>
        <w:lang w:val="lv" w:eastAsia="lv" w:bidi="lv"/>
      </w:rPr>
    </w:lvl>
    <w:lvl w:ilvl="2" w:tplc="1F60FF2A">
      <w:numFmt w:val="bullet"/>
      <w:lvlText w:val="•"/>
      <w:lvlJc w:val="left"/>
      <w:pPr>
        <w:ind w:left="3397" w:hanging="358"/>
      </w:pPr>
      <w:rPr>
        <w:rFonts w:hint="default"/>
        <w:lang w:val="lv" w:eastAsia="lv" w:bidi="lv"/>
      </w:rPr>
    </w:lvl>
    <w:lvl w:ilvl="3" w:tplc="9F864432">
      <w:numFmt w:val="bullet"/>
      <w:lvlText w:val="•"/>
      <w:lvlJc w:val="left"/>
      <w:pPr>
        <w:ind w:left="4225" w:hanging="358"/>
      </w:pPr>
      <w:rPr>
        <w:rFonts w:hint="default"/>
        <w:lang w:val="lv" w:eastAsia="lv" w:bidi="lv"/>
      </w:rPr>
    </w:lvl>
    <w:lvl w:ilvl="4" w:tplc="8A9AA81C">
      <w:numFmt w:val="bullet"/>
      <w:lvlText w:val="•"/>
      <w:lvlJc w:val="left"/>
      <w:pPr>
        <w:ind w:left="5054" w:hanging="358"/>
      </w:pPr>
      <w:rPr>
        <w:rFonts w:hint="default"/>
        <w:lang w:val="lv" w:eastAsia="lv" w:bidi="lv"/>
      </w:rPr>
    </w:lvl>
    <w:lvl w:ilvl="5" w:tplc="EDDE0D62">
      <w:numFmt w:val="bullet"/>
      <w:lvlText w:val="•"/>
      <w:lvlJc w:val="left"/>
      <w:pPr>
        <w:ind w:left="5883" w:hanging="358"/>
      </w:pPr>
      <w:rPr>
        <w:rFonts w:hint="default"/>
        <w:lang w:val="lv" w:eastAsia="lv" w:bidi="lv"/>
      </w:rPr>
    </w:lvl>
    <w:lvl w:ilvl="6" w:tplc="D0A27DA2">
      <w:numFmt w:val="bullet"/>
      <w:lvlText w:val="•"/>
      <w:lvlJc w:val="left"/>
      <w:pPr>
        <w:ind w:left="6711" w:hanging="358"/>
      </w:pPr>
      <w:rPr>
        <w:rFonts w:hint="default"/>
        <w:lang w:val="lv" w:eastAsia="lv" w:bidi="lv"/>
      </w:rPr>
    </w:lvl>
    <w:lvl w:ilvl="7" w:tplc="1EE0CE38">
      <w:numFmt w:val="bullet"/>
      <w:lvlText w:val="•"/>
      <w:lvlJc w:val="left"/>
      <w:pPr>
        <w:ind w:left="7540" w:hanging="358"/>
      </w:pPr>
      <w:rPr>
        <w:rFonts w:hint="default"/>
        <w:lang w:val="lv" w:eastAsia="lv" w:bidi="lv"/>
      </w:rPr>
    </w:lvl>
    <w:lvl w:ilvl="8" w:tplc="E5627398">
      <w:numFmt w:val="bullet"/>
      <w:lvlText w:val="•"/>
      <w:lvlJc w:val="left"/>
      <w:pPr>
        <w:ind w:left="8369" w:hanging="358"/>
      </w:pPr>
      <w:rPr>
        <w:rFonts w:hint="default"/>
        <w:lang w:val="lv" w:eastAsia="lv" w:bidi="lv"/>
      </w:rPr>
    </w:lvl>
  </w:abstractNum>
  <w:abstractNum w:abstractNumId="50" w15:restartNumberingAfterBreak="0">
    <w:nsid w:val="4C604E0A"/>
    <w:multiLevelType w:val="hybridMultilevel"/>
    <w:tmpl w:val="27A8E368"/>
    <w:lvl w:ilvl="0" w:tplc="9B8260A0">
      <w:start w:val="1"/>
      <w:numFmt w:val="decimal"/>
      <w:lvlText w:val="%1."/>
      <w:lvlJc w:val="left"/>
      <w:pPr>
        <w:ind w:left="370" w:hanging="152"/>
        <w:jc w:val="right"/>
      </w:pPr>
      <w:rPr>
        <w:rFonts w:ascii="Times New Roman" w:eastAsia="Times New Roman" w:hAnsi="Times New Roman" w:cs="Times New Roman" w:hint="default"/>
        <w:i/>
        <w:spacing w:val="-3"/>
        <w:w w:val="99"/>
        <w:sz w:val="18"/>
        <w:szCs w:val="18"/>
        <w:lang w:val="lv" w:eastAsia="lv" w:bidi="lv"/>
      </w:rPr>
    </w:lvl>
    <w:lvl w:ilvl="1" w:tplc="4A38D7BA">
      <w:numFmt w:val="bullet"/>
      <w:lvlText w:val="•"/>
      <w:lvlJc w:val="left"/>
      <w:pPr>
        <w:ind w:left="763" w:hanging="152"/>
      </w:pPr>
      <w:rPr>
        <w:rFonts w:hint="default"/>
        <w:lang w:val="lv" w:eastAsia="lv" w:bidi="lv"/>
      </w:rPr>
    </w:lvl>
    <w:lvl w:ilvl="2" w:tplc="AD08B7D6">
      <w:numFmt w:val="bullet"/>
      <w:lvlText w:val="•"/>
      <w:lvlJc w:val="left"/>
      <w:pPr>
        <w:ind w:left="1146" w:hanging="152"/>
      </w:pPr>
      <w:rPr>
        <w:rFonts w:hint="default"/>
        <w:lang w:val="lv" w:eastAsia="lv" w:bidi="lv"/>
      </w:rPr>
    </w:lvl>
    <w:lvl w:ilvl="3" w:tplc="319A49AC">
      <w:numFmt w:val="bullet"/>
      <w:lvlText w:val="•"/>
      <w:lvlJc w:val="left"/>
      <w:pPr>
        <w:ind w:left="1529" w:hanging="152"/>
      </w:pPr>
      <w:rPr>
        <w:rFonts w:hint="default"/>
        <w:lang w:val="lv" w:eastAsia="lv" w:bidi="lv"/>
      </w:rPr>
    </w:lvl>
    <w:lvl w:ilvl="4" w:tplc="B47A1D5E">
      <w:numFmt w:val="bullet"/>
      <w:lvlText w:val="•"/>
      <w:lvlJc w:val="left"/>
      <w:pPr>
        <w:ind w:left="1913" w:hanging="152"/>
      </w:pPr>
      <w:rPr>
        <w:rFonts w:hint="default"/>
        <w:lang w:val="lv" w:eastAsia="lv" w:bidi="lv"/>
      </w:rPr>
    </w:lvl>
    <w:lvl w:ilvl="5" w:tplc="FDC64336">
      <w:numFmt w:val="bullet"/>
      <w:lvlText w:val="•"/>
      <w:lvlJc w:val="left"/>
      <w:pPr>
        <w:ind w:left="2296" w:hanging="152"/>
      </w:pPr>
      <w:rPr>
        <w:rFonts w:hint="default"/>
        <w:lang w:val="lv" w:eastAsia="lv" w:bidi="lv"/>
      </w:rPr>
    </w:lvl>
    <w:lvl w:ilvl="6" w:tplc="BB788970">
      <w:numFmt w:val="bullet"/>
      <w:lvlText w:val="•"/>
      <w:lvlJc w:val="left"/>
      <w:pPr>
        <w:ind w:left="2679" w:hanging="152"/>
      </w:pPr>
      <w:rPr>
        <w:rFonts w:hint="default"/>
        <w:lang w:val="lv" w:eastAsia="lv" w:bidi="lv"/>
      </w:rPr>
    </w:lvl>
    <w:lvl w:ilvl="7" w:tplc="097676C8">
      <w:numFmt w:val="bullet"/>
      <w:lvlText w:val="•"/>
      <w:lvlJc w:val="left"/>
      <w:pPr>
        <w:ind w:left="3062" w:hanging="152"/>
      </w:pPr>
      <w:rPr>
        <w:rFonts w:hint="default"/>
        <w:lang w:val="lv" w:eastAsia="lv" w:bidi="lv"/>
      </w:rPr>
    </w:lvl>
    <w:lvl w:ilvl="8" w:tplc="564C2BEA">
      <w:numFmt w:val="bullet"/>
      <w:lvlText w:val="•"/>
      <w:lvlJc w:val="left"/>
      <w:pPr>
        <w:ind w:left="3446" w:hanging="152"/>
      </w:pPr>
      <w:rPr>
        <w:rFonts w:hint="default"/>
        <w:lang w:val="lv" w:eastAsia="lv" w:bidi="lv"/>
      </w:rPr>
    </w:lvl>
  </w:abstractNum>
  <w:abstractNum w:abstractNumId="51" w15:restartNumberingAfterBreak="0">
    <w:nsid w:val="4C995B51"/>
    <w:multiLevelType w:val="multilevel"/>
    <w:tmpl w:val="FF52A4C8"/>
    <w:lvl w:ilvl="0">
      <w:start w:val="7"/>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43" w:hanging="284"/>
      </w:pPr>
      <w:rPr>
        <w:rFonts w:hint="default"/>
        <w:lang w:val="lv" w:eastAsia="lv" w:bidi="lv"/>
      </w:rPr>
    </w:lvl>
    <w:lvl w:ilvl="4">
      <w:numFmt w:val="bullet"/>
      <w:lvlText w:val="•"/>
      <w:lvlJc w:val="left"/>
      <w:pPr>
        <w:ind w:left="4335" w:hanging="284"/>
      </w:pPr>
      <w:rPr>
        <w:rFonts w:hint="default"/>
        <w:lang w:val="lv" w:eastAsia="lv" w:bidi="lv"/>
      </w:rPr>
    </w:lvl>
    <w:lvl w:ilvl="5">
      <w:numFmt w:val="bullet"/>
      <w:lvlText w:val="•"/>
      <w:lvlJc w:val="left"/>
      <w:pPr>
        <w:ind w:left="5327" w:hanging="284"/>
      </w:pPr>
      <w:rPr>
        <w:rFonts w:hint="default"/>
        <w:lang w:val="lv" w:eastAsia="lv" w:bidi="lv"/>
      </w:rPr>
    </w:lvl>
    <w:lvl w:ilvl="6">
      <w:numFmt w:val="bullet"/>
      <w:lvlText w:val="•"/>
      <w:lvlJc w:val="left"/>
      <w:pPr>
        <w:ind w:left="6319" w:hanging="284"/>
      </w:pPr>
      <w:rPr>
        <w:rFonts w:hint="default"/>
        <w:lang w:val="lv" w:eastAsia="lv" w:bidi="lv"/>
      </w:rPr>
    </w:lvl>
    <w:lvl w:ilvl="7">
      <w:numFmt w:val="bullet"/>
      <w:lvlText w:val="•"/>
      <w:lvlJc w:val="left"/>
      <w:pPr>
        <w:ind w:left="7310" w:hanging="284"/>
      </w:pPr>
      <w:rPr>
        <w:rFonts w:hint="default"/>
        <w:lang w:val="lv" w:eastAsia="lv" w:bidi="lv"/>
      </w:rPr>
    </w:lvl>
    <w:lvl w:ilvl="8">
      <w:numFmt w:val="bullet"/>
      <w:lvlText w:val="•"/>
      <w:lvlJc w:val="left"/>
      <w:pPr>
        <w:ind w:left="8302" w:hanging="284"/>
      </w:pPr>
      <w:rPr>
        <w:rFonts w:hint="default"/>
        <w:lang w:val="lv" w:eastAsia="lv" w:bidi="lv"/>
      </w:rPr>
    </w:lvl>
  </w:abstractNum>
  <w:abstractNum w:abstractNumId="52" w15:restartNumberingAfterBreak="0">
    <w:nsid w:val="4CA10FB7"/>
    <w:multiLevelType w:val="multilevel"/>
    <w:tmpl w:val="2B688F72"/>
    <w:lvl w:ilvl="0">
      <w:start w:val="23"/>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3" w15:restartNumberingAfterBreak="0">
    <w:nsid w:val="4CD07FCC"/>
    <w:multiLevelType w:val="multilevel"/>
    <w:tmpl w:val="FB72D864"/>
    <w:lvl w:ilvl="0">
      <w:start w:val="6"/>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54" w15:restartNumberingAfterBreak="0">
    <w:nsid w:val="4CEE170D"/>
    <w:multiLevelType w:val="hybridMultilevel"/>
    <w:tmpl w:val="E09C75E6"/>
    <w:lvl w:ilvl="0" w:tplc="7DFCB3D0">
      <w:numFmt w:val="bullet"/>
      <w:lvlText w:val=""/>
      <w:lvlJc w:val="left"/>
      <w:pPr>
        <w:ind w:left="430" w:hanging="335"/>
      </w:pPr>
      <w:rPr>
        <w:rFonts w:ascii="Symbol" w:eastAsia="Symbol" w:hAnsi="Symbol" w:cs="Symbol" w:hint="default"/>
        <w:w w:val="101"/>
        <w:sz w:val="22"/>
        <w:szCs w:val="22"/>
        <w:lang w:val="lv" w:eastAsia="lv" w:bidi="lv"/>
      </w:rPr>
    </w:lvl>
    <w:lvl w:ilvl="1" w:tplc="DE121376">
      <w:numFmt w:val="bullet"/>
      <w:lvlText w:val=""/>
      <w:lvlJc w:val="left"/>
      <w:pPr>
        <w:ind w:left="608" w:hanging="335"/>
      </w:pPr>
      <w:rPr>
        <w:rFonts w:ascii="Symbol" w:eastAsia="Symbol" w:hAnsi="Symbol" w:cs="Symbol" w:hint="default"/>
        <w:w w:val="101"/>
        <w:sz w:val="22"/>
        <w:szCs w:val="22"/>
        <w:lang w:val="lv" w:eastAsia="lv" w:bidi="lv"/>
      </w:rPr>
    </w:lvl>
    <w:lvl w:ilvl="2" w:tplc="FB523728">
      <w:numFmt w:val="bullet"/>
      <w:lvlText w:val=""/>
      <w:lvlJc w:val="left"/>
      <w:pPr>
        <w:ind w:left="735" w:hanging="335"/>
      </w:pPr>
      <w:rPr>
        <w:rFonts w:ascii="Symbol" w:eastAsia="Symbol" w:hAnsi="Symbol" w:cs="Symbol" w:hint="default"/>
        <w:w w:val="101"/>
        <w:sz w:val="22"/>
        <w:szCs w:val="22"/>
        <w:lang w:val="lv" w:eastAsia="lv" w:bidi="lv"/>
      </w:rPr>
    </w:lvl>
    <w:lvl w:ilvl="3" w:tplc="45DED2EE">
      <w:numFmt w:val="bullet"/>
      <w:lvlText w:val="•"/>
      <w:lvlJc w:val="left"/>
      <w:pPr>
        <w:ind w:left="1565" w:hanging="335"/>
      </w:pPr>
      <w:rPr>
        <w:rFonts w:hint="default"/>
        <w:lang w:val="lv" w:eastAsia="lv" w:bidi="lv"/>
      </w:rPr>
    </w:lvl>
    <w:lvl w:ilvl="4" w:tplc="90824676">
      <w:numFmt w:val="bullet"/>
      <w:lvlText w:val="•"/>
      <w:lvlJc w:val="left"/>
      <w:pPr>
        <w:ind w:left="2391" w:hanging="335"/>
      </w:pPr>
      <w:rPr>
        <w:rFonts w:hint="default"/>
        <w:lang w:val="lv" w:eastAsia="lv" w:bidi="lv"/>
      </w:rPr>
    </w:lvl>
    <w:lvl w:ilvl="5" w:tplc="8FF05C6A">
      <w:numFmt w:val="bullet"/>
      <w:lvlText w:val="•"/>
      <w:lvlJc w:val="left"/>
      <w:pPr>
        <w:ind w:left="3217" w:hanging="335"/>
      </w:pPr>
      <w:rPr>
        <w:rFonts w:hint="default"/>
        <w:lang w:val="lv" w:eastAsia="lv" w:bidi="lv"/>
      </w:rPr>
    </w:lvl>
    <w:lvl w:ilvl="6" w:tplc="B2167558">
      <w:numFmt w:val="bullet"/>
      <w:lvlText w:val="•"/>
      <w:lvlJc w:val="left"/>
      <w:pPr>
        <w:ind w:left="4043" w:hanging="335"/>
      </w:pPr>
      <w:rPr>
        <w:rFonts w:hint="default"/>
        <w:lang w:val="lv" w:eastAsia="lv" w:bidi="lv"/>
      </w:rPr>
    </w:lvl>
    <w:lvl w:ilvl="7" w:tplc="1C7C38AC">
      <w:numFmt w:val="bullet"/>
      <w:lvlText w:val="•"/>
      <w:lvlJc w:val="left"/>
      <w:pPr>
        <w:ind w:left="4869" w:hanging="335"/>
      </w:pPr>
      <w:rPr>
        <w:rFonts w:hint="default"/>
        <w:lang w:val="lv" w:eastAsia="lv" w:bidi="lv"/>
      </w:rPr>
    </w:lvl>
    <w:lvl w:ilvl="8" w:tplc="A1FA7C52">
      <w:numFmt w:val="bullet"/>
      <w:lvlText w:val="•"/>
      <w:lvlJc w:val="left"/>
      <w:pPr>
        <w:ind w:left="5695" w:hanging="335"/>
      </w:pPr>
      <w:rPr>
        <w:rFonts w:hint="default"/>
        <w:lang w:val="lv" w:eastAsia="lv" w:bidi="lv"/>
      </w:rPr>
    </w:lvl>
  </w:abstractNum>
  <w:abstractNum w:abstractNumId="55" w15:restartNumberingAfterBreak="0">
    <w:nsid w:val="4D4B09A7"/>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984"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56" w15:restartNumberingAfterBreak="0">
    <w:nsid w:val="4DC30363"/>
    <w:multiLevelType w:val="multilevel"/>
    <w:tmpl w:val="0C2C5550"/>
    <w:lvl w:ilvl="0">
      <w:start w:val="7"/>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2703" w:hanging="284"/>
      </w:pPr>
      <w:rPr>
        <w:rFonts w:hint="default"/>
        <w:lang w:val="lv" w:eastAsia="lv" w:bidi="lv"/>
      </w:rPr>
    </w:lvl>
    <w:lvl w:ilvl="4">
      <w:numFmt w:val="bullet"/>
      <w:lvlText w:val="•"/>
      <w:lvlJc w:val="left"/>
      <w:pPr>
        <w:ind w:left="3786" w:hanging="284"/>
      </w:pPr>
      <w:rPr>
        <w:rFonts w:hint="default"/>
        <w:lang w:val="lv" w:eastAsia="lv" w:bidi="lv"/>
      </w:rPr>
    </w:lvl>
    <w:lvl w:ilvl="5">
      <w:numFmt w:val="bullet"/>
      <w:lvlText w:val="•"/>
      <w:lvlJc w:val="left"/>
      <w:pPr>
        <w:ind w:left="4869" w:hanging="284"/>
      </w:pPr>
      <w:rPr>
        <w:rFonts w:hint="default"/>
        <w:lang w:val="lv" w:eastAsia="lv" w:bidi="lv"/>
      </w:rPr>
    </w:lvl>
    <w:lvl w:ilvl="6">
      <w:numFmt w:val="bullet"/>
      <w:lvlText w:val="•"/>
      <w:lvlJc w:val="left"/>
      <w:pPr>
        <w:ind w:left="5953" w:hanging="284"/>
      </w:pPr>
      <w:rPr>
        <w:rFonts w:hint="default"/>
        <w:lang w:val="lv" w:eastAsia="lv" w:bidi="lv"/>
      </w:rPr>
    </w:lvl>
    <w:lvl w:ilvl="7">
      <w:numFmt w:val="bullet"/>
      <w:lvlText w:val="•"/>
      <w:lvlJc w:val="left"/>
      <w:pPr>
        <w:ind w:left="7036" w:hanging="284"/>
      </w:pPr>
      <w:rPr>
        <w:rFonts w:hint="default"/>
        <w:lang w:val="lv" w:eastAsia="lv" w:bidi="lv"/>
      </w:rPr>
    </w:lvl>
    <w:lvl w:ilvl="8">
      <w:numFmt w:val="bullet"/>
      <w:lvlText w:val="•"/>
      <w:lvlJc w:val="left"/>
      <w:pPr>
        <w:ind w:left="8119" w:hanging="284"/>
      </w:pPr>
      <w:rPr>
        <w:rFonts w:hint="default"/>
        <w:lang w:val="lv" w:eastAsia="lv" w:bidi="lv"/>
      </w:rPr>
    </w:lvl>
  </w:abstractNum>
  <w:abstractNum w:abstractNumId="57" w15:restartNumberingAfterBreak="0">
    <w:nsid w:val="50800B7B"/>
    <w:multiLevelType w:val="multilevel"/>
    <w:tmpl w:val="B4E446DC"/>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58" w15:restartNumberingAfterBreak="0">
    <w:nsid w:val="54994595"/>
    <w:multiLevelType w:val="multilevel"/>
    <w:tmpl w:val="FB241D20"/>
    <w:lvl w:ilvl="0">
      <w:start w:val="9"/>
      <w:numFmt w:val="decimal"/>
      <w:lvlText w:val="%1"/>
      <w:lvlJc w:val="left"/>
      <w:pPr>
        <w:ind w:left="898" w:hanging="680"/>
      </w:pPr>
      <w:rPr>
        <w:rFonts w:hint="default"/>
        <w:lang w:val="lv" w:eastAsia="lv" w:bidi="lv"/>
      </w:rPr>
    </w:lvl>
    <w:lvl w:ilvl="1">
      <w:start w:val="1"/>
      <w:numFmt w:val="decimal"/>
      <w:lvlText w:val="%1.%2."/>
      <w:lvlJc w:val="left"/>
      <w:pPr>
        <w:ind w:left="680" w:hanging="680"/>
        <w:jc w:val="right"/>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LV" w:eastAsia="lv" w:bidi="lv"/>
      </w:rPr>
    </w:lvl>
    <w:lvl w:ilvl="3">
      <w:numFmt w:val="bullet"/>
      <w:lvlText w:val="•"/>
      <w:lvlJc w:val="left"/>
      <w:pPr>
        <w:ind w:left="1480" w:hanging="284"/>
      </w:pPr>
      <w:rPr>
        <w:rFonts w:hint="default"/>
        <w:lang w:val="lv" w:eastAsia="lv" w:bidi="lv"/>
      </w:rPr>
    </w:lvl>
    <w:lvl w:ilvl="4">
      <w:numFmt w:val="bullet"/>
      <w:lvlText w:val="•"/>
      <w:lvlJc w:val="left"/>
      <w:pPr>
        <w:ind w:left="2669" w:hanging="284"/>
      </w:pPr>
      <w:rPr>
        <w:rFonts w:hint="default"/>
        <w:lang w:val="lv" w:eastAsia="lv" w:bidi="lv"/>
      </w:rPr>
    </w:lvl>
    <w:lvl w:ilvl="5">
      <w:numFmt w:val="bullet"/>
      <w:lvlText w:val="•"/>
      <w:lvlJc w:val="left"/>
      <w:pPr>
        <w:ind w:left="3858" w:hanging="284"/>
      </w:pPr>
      <w:rPr>
        <w:rFonts w:hint="default"/>
        <w:lang w:val="lv" w:eastAsia="lv" w:bidi="lv"/>
      </w:rPr>
    </w:lvl>
    <w:lvl w:ilvl="6">
      <w:numFmt w:val="bullet"/>
      <w:lvlText w:val="•"/>
      <w:lvlJc w:val="left"/>
      <w:pPr>
        <w:ind w:left="5048" w:hanging="284"/>
      </w:pPr>
      <w:rPr>
        <w:rFonts w:hint="default"/>
        <w:lang w:val="lv" w:eastAsia="lv" w:bidi="lv"/>
      </w:rPr>
    </w:lvl>
    <w:lvl w:ilvl="7">
      <w:numFmt w:val="bullet"/>
      <w:lvlText w:val="•"/>
      <w:lvlJc w:val="left"/>
      <w:pPr>
        <w:ind w:left="6237" w:hanging="284"/>
      </w:pPr>
      <w:rPr>
        <w:rFonts w:hint="default"/>
        <w:lang w:val="lv" w:eastAsia="lv" w:bidi="lv"/>
      </w:rPr>
    </w:lvl>
    <w:lvl w:ilvl="8">
      <w:numFmt w:val="bullet"/>
      <w:lvlText w:val="•"/>
      <w:lvlJc w:val="left"/>
      <w:pPr>
        <w:ind w:left="7427" w:hanging="284"/>
      </w:pPr>
      <w:rPr>
        <w:rFonts w:hint="default"/>
        <w:lang w:val="lv" w:eastAsia="lv" w:bidi="lv"/>
      </w:rPr>
    </w:lvl>
  </w:abstractNum>
  <w:abstractNum w:abstractNumId="59" w15:restartNumberingAfterBreak="0">
    <w:nsid w:val="560D7B4B"/>
    <w:multiLevelType w:val="hybridMultilevel"/>
    <w:tmpl w:val="8798578E"/>
    <w:lvl w:ilvl="0" w:tplc="47E22C6E">
      <w:numFmt w:val="bullet"/>
      <w:lvlText w:val="-"/>
      <w:lvlJc w:val="left"/>
      <w:pPr>
        <w:ind w:left="566" w:hanging="183"/>
      </w:pPr>
      <w:rPr>
        <w:rFonts w:ascii="Times New Roman" w:eastAsia="Times New Roman" w:hAnsi="Times New Roman" w:cs="Times New Roman" w:hint="default"/>
        <w:w w:val="100"/>
        <w:sz w:val="22"/>
        <w:szCs w:val="22"/>
        <w:lang w:val="lv" w:eastAsia="lv" w:bidi="lv"/>
      </w:rPr>
    </w:lvl>
    <w:lvl w:ilvl="1" w:tplc="C23AA9B4">
      <w:numFmt w:val="bullet"/>
      <w:lvlText w:val="•"/>
      <w:lvlJc w:val="left"/>
      <w:pPr>
        <w:ind w:left="829" w:hanging="183"/>
      </w:pPr>
      <w:rPr>
        <w:rFonts w:hint="default"/>
        <w:lang w:val="lv" w:eastAsia="lv" w:bidi="lv"/>
      </w:rPr>
    </w:lvl>
    <w:lvl w:ilvl="2" w:tplc="E5FA5BAC">
      <w:numFmt w:val="bullet"/>
      <w:lvlText w:val="•"/>
      <w:lvlJc w:val="left"/>
      <w:pPr>
        <w:ind w:left="1098" w:hanging="183"/>
      </w:pPr>
      <w:rPr>
        <w:rFonts w:hint="default"/>
        <w:lang w:val="lv" w:eastAsia="lv" w:bidi="lv"/>
      </w:rPr>
    </w:lvl>
    <w:lvl w:ilvl="3" w:tplc="6D9EA5B6">
      <w:numFmt w:val="bullet"/>
      <w:lvlText w:val="•"/>
      <w:lvlJc w:val="left"/>
      <w:pPr>
        <w:ind w:left="1367" w:hanging="183"/>
      </w:pPr>
      <w:rPr>
        <w:rFonts w:hint="default"/>
        <w:lang w:val="lv" w:eastAsia="lv" w:bidi="lv"/>
      </w:rPr>
    </w:lvl>
    <w:lvl w:ilvl="4" w:tplc="C52CA2E6">
      <w:numFmt w:val="bullet"/>
      <w:lvlText w:val="•"/>
      <w:lvlJc w:val="left"/>
      <w:pPr>
        <w:ind w:left="1636" w:hanging="183"/>
      </w:pPr>
      <w:rPr>
        <w:rFonts w:hint="default"/>
        <w:lang w:val="lv" w:eastAsia="lv" w:bidi="lv"/>
      </w:rPr>
    </w:lvl>
    <w:lvl w:ilvl="5" w:tplc="C77C6F56">
      <w:numFmt w:val="bullet"/>
      <w:lvlText w:val="•"/>
      <w:lvlJc w:val="left"/>
      <w:pPr>
        <w:ind w:left="1905" w:hanging="183"/>
      </w:pPr>
      <w:rPr>
        <w:rFonts w:hint="default"/>
        <w:lang w:val="lv" w:eastAsia="lv" w:bidi="lv"/>
      </w:rPr>
    </w:lvl>
    <w:lvl w:ilvl="6" w:tplc="B71E970A">
      <w:numFmt w:val="bullet"/>
      <w:lvlText w:val="•"/>
      <w:lvlJc w:val="left"/>
      <w:pPr>
        <w:ind w:left="2174" w:hanging="183"/>
      </w:pPr>
      <w:rPr>
        <w:rFonts w:hint="default"/>
        <w:lang w:val="lv" w:eastAsia="lv" w:bidi="lv"/>
      </w:rPr>
    </w:lvl>
    <w:lvl w:ilvl="7" w:tplc="F3FA5BB8">
      <w:numFmt w:val="bullet"/>
      <w:lvlText w:val="•"/>
      <w:lvlJc w:val="left"/>
      <w:pPr>
        <w:ind w:left="2443" w:hanging="183"/>
      </w:pPr>
      <w:rPr>
        <w:rFonts w:hint="default"/>
        <w:lang w:val="lv" w:eastAsia="lv" w:bidi="lv"/>
      </w:rPr>
    </w:lvl>
    <w:lvl w:ilvl="8" w:tplc="34B8EC64">
      <w:numFmt w:val="bullet"/>
      <w:lvlText w:val="•"/>
      <w:lvlJc w:val="left"/>
      <w:pPr>
        <w:ind w:left="2712" w:hanging="183"/>
      </w:pPr>
      <w:rPr>
        <w:rFonts w:hint="default"/>
        <w:lang w:val="lv" w:eastAsia="lv" w:bidi="lv"/>
      </w:rPr>
    </w:lvl>
  </w:abstractNum>
  <w:abstractNum w:abstractNumId="60" w15:restartNumberingAfterBreak="0">
    <w:nsid w:val="561E7A8D"/>
    <w:multiLevelType w:val="hybridMultilevel"/>
    <w:tmpl w:val="9BEE997C"/>
    <w:lvl w:ilvl="0" w:tplc="AD04E8EC">
      <w:numFmt w:val="bullet"/>
      <w:lvlText w:val=""/>
      <w:lvlJc w:val="left"/>
      <w:pPr>
        <w:ind w:left="518" w:hanging="156"/>
      </w:pPr>
      <w:rPr>
        <w:rFonts w:ascii="Symbol" w:eastAsia="Symbol" w:hAnsi="Symbol" w:cs="Symbol" w:hint="default"/>
        <w:w w:val="100"/>
        <w:sz w:val="22"/>
        <w:szCs w:val="22"/>
        <w:lang w:val="lv" w:eastAsia="lv" w:bidi="lv"/>
      </w:rPr>
    </w:lvl>
    <w:lvl w:ilvl="1" w:tplc="5FEEA9D2">
      <w:numFmt w:val="bullet"/>
      <w:lvlText w:val="•"/>
      <w:lvlJc w:val="left"/>
      <w:pPr>
        <w:ind w:left="793" w:hanging="156"/>
      </w:pPr>
      <w:rPr>
        <w:rFonts w:hint="default"/>
        <w:lang w:val="lv" w:eastAsia="lv" w:bidi="lv"/>
      </w:rPr>
    </w:lvl>
    <w:lvl w:ilvl="2" w:tplc="757801C2">
      <w:numFmt w:val="bullet"/>
      <w:lvlText w:val="•"/>
      <w:lvlJc w:val="left"/>
      <w:pPr>
        <w:ind w:left="1066" w:hanging="156"/>
      </w:pPr>
      <w:rPr>
        <w:rFonts w:hint="default"/>
        <w:lang w:val="lv" w:eastAsia="lv" w:bidi="lv"/>
      </w:rPr>
    </w:lvl>
    <w:lvl w:ilvl="3" w:tplc="E4065A90">
      <w:numFmt w:val="bullet"/>
      <w:lvlText w:val="•"/>
      <w:lvlJc w:val="left"/>
      <w:pPr>
        <w:ind w:left="1339" w:hanging="156"/>
      </w:pPr>
      <w:rPr>
        <w:rFonts w:hint="default"/>
        <w:lang w:val="lv" w:eastAsia="lv" w:bidi="lv"/>
      </w:rPr>
    </w:lvl>
    <w:lvl w:ilvl="4" w:tplc="D9BA4080">
      <w:numFmt w:val="bullet"/>
      <w:lvlText w:val="•"/>
      <w:lvlJc w:val="left"/>
      <w:pPr>
        <w:ind w:left="1612" w:hanging="156"/>
      </w:pPr>
      <w:rPr>
        <w:rFonts w:hint="default"/>
        <w:lang w:val="lv" w:eastAsia="lv" w:bidi="lv"/>
      </w:rPr>
    </w:lvl>
    <w:lvl w:ilvl="5" w:tplc="D6006E3A">
      <w:numFmt w:val="bullet"/>
      <w:lvlText w:val="•"/>
      <w:lvlJc w:val="left"/>
      <w:pPr>
        <w:ind w:left="1885" w:hanging="156"/>
      </w:pPr>
      <w:rPr>
        <w:rFonts w:hint="default"/>
        <w:lang w:val="lv" w:eastAsia="lv" w:bidi="lv"/>
      </w:rPr>
    </w:lvl>
    <w:lvl w:ilvl="6" w:tplc="485A2CC6">
      <w:numFmt w:val="bullet"/>
      <w:lvlText w:val="•"/>
      <w:lvlJc w:val="left"/>
      <w:pPr>
        <w:ind w:left="2158" w:hanging="156"/>
      </w:pPr>
      <w:rPr>
        <w:rFonts w:hint="default"/>
        <w:lang w:val="lv" w:eastAsia="lv" w:bidi="lv"/>
      </w:rPr>
    </w:lvl>
    <w:lvl w:ilvl="7" w:tplc="F808E382">
      <w:numFmt w:val="bullet"/>
      <w:lvlText w:val="•"/>
      <w:lvlJc w:val="left"/>
      <w:pPr>
        <w:ind w:left="2431" w:hanging="156"/>
      </w:pPr>
      <w:rPr>
        <w:rFonts w:hint="default"/>
        <w:lang w:val="lv" w:eastAsia="lv" w:bidi="lv"/>
      </w:rPr>
    </w:lvl>
    <w:lvl w:ilvl="8" w:tplc="9E0CDAD0">
      <w:numFmt w:val="bullet"/>
      <w:lvlText w:val="•"/>
      <w:lvlJc w:val="left"/>
      <w:pPr>
        <w:ind w:left="2704" w:hanging="156"/>
      </w:pPr>
      <w:rPr>
        <w:rFonts w:hint="default"/>
        <w:lang w:val="lv" w:eastAsia="lv" w:bidi="lv"/>
      </w:rPr>
    </w:lvl>
  </w:abstractNum>
  <w:abstractNum w:abstractNumId="61" w15:restartNumberingAfterBreak="0">
    <w:nsid w:val="56F70311"/>
    <w:multiLevelType w:val="multilevel"/>
    <w:tmpl w:val="8A4CE788"/>
    <w:lvl w:ilvl="0">
      <w:start w:val="20"/>
      <w:numFmt w:val="decimal"/>
      <w:lvlText w:val="%1."/>
      <w:lvlJc w:val="left"/>
      <w:pPr>
        <w:ind w:left="660" w:hanging="660"/>
      </w:pPr>
      <w:rPr>
        <w:rFonts w:hint="default"/>
        <w:color w:val="002069"/>
      </w:rPr>
    </w:lvl>
    <w:lvl w:ilvl="1">
      <w:start w:val="5"/>
      <w:numFmt w:val="decimal"/>
      <w:lvlText w:val="%1.%2."/>
      <w:lvlJc w:val="left"/>
      <w:pPr>
        <w:ind w:left="1001" w:hanging="660"/>
      </w:pPr>
      <w:rPr>
        <w:rFonts w:hint="default"/>
        <w:color w:val="002069"/>
      </w:rPr>
    </w:lvl>
    <w:lvl w:ilvl="2">
      <w:start w:val="3"/>
      <w:numFmt w:val="decimal"/>
      <w:lvlText w:val="%1.%2.%3."/>
      <w:lvlJc w:val="left"/>
      <w:pPr>
        <w:ind w:left="1402" w:hanging="720"/>
      </w:pPr>
      <w:rPr>
        <w:rFonts w:hint="default"/>
        <w:color w:val="002069"/>
      </w:rPr>
    </w:lvl>
    <w:lvl w:ilvl="3">
      <w:start w:val="1"/>
      <w:numFmt w:val="decimal"/>
      <w:lvlText w:val="%1.%2.%3.%4."/>
      <w:lvlJc w:val="left"/>
      <w:pPr>
        <w:ind w:left="1743" w:hanging="720"/>
      </w:pPr>
      <w:rPr>
        <w:rFonts w:hint="default"/>
        <w:color w:val="002069"/>
      </w:rPr>
    </w:lvl>
    <w:lvl w:ilvl="4">
      <w:start w:val="1"/>
      <w:numFmt w:val="decimal"/>
      <w:lvlText w:val="%1.%2.%3.%4.%5."/>
      <w:lvlJc w:val="left"/>
      <w:pPr>
        <w:ind w:left="2444" w:hanging="1080"/>
      </w:pPr>
      <w:rPr>
        <w:rFonts w:hint="default"/>
        <w:color w:val="002069"/>
      </w:rPr>
    </w:lvl>
    <w:lvl w:ilvl="5">
      <w:start w:val="1"/>
      <w:numFmt w:val="decimal"/>
      <w:lvlText w:val="%1.%2.%3.%4.%5.%6."/>
      <w:lvlJc w:val="left"/>
      <w:pPr>
        <w:ind w:left="2785" w:hanging="1080"/>
      </w:pPr>
      <w:rPr>
        <w:rFonts w:hint="default"/>
        <w:color w:val="002069"/>
      </w:rPr>
    </w:lvl>
    <w:lvl w:ilvl="6">
      <w:start w:val="1"/>
      <w:numFmt w:val="decimal"/>
      <w:lvlText w:val="%1.%2.%3.%4.%5.%6.%7."/>
      <w:lvlJc w:val="left"/>
      <w:pPr>
        <w:ind w:left="3486" w:hanging="1440"/>
      </w:pPr>
      <w:rPr>
        <w:rFonts w:hint="default"/>
        <w:color w:val="002069"/>
      </w:rPr>
    </w:lvl>
    <w:lvl w:ilvl="7">
      <w:start w:val="1"/>
      <w:numFmt w:val="decimal"/>
      <w:lvlText w:val="%1.%2.%3.%4.%5.%6.%7.%8."/>
      <w:lvlJc w:val="left"/>
      <w:pPr>
        <w:ind w:left="3827" w:hanging="1440"/>
      </w:pPr>
      <w:rPr>
        <w:rFonts w:hint="default"/>
        <w:color w:val="002069"/>
      </w:rPr>
    </w:lvl>
    <w:lvl w:ilvl="8">
      <w:start w:val="1"/>
      <w:numFmt w:val="decimal"/>
      <w:lvlText w:val="%1.%2.%3.%4.%5.%6.%7.%8.%9."/>
      <w:lvlJc w:val="left"/>
      <w:pPr>
        <w:ind w:left="4528" w:hanging="1800"/>
      </w:pPr>
      <w:rPr>
        <w:rFonts w:hint="default"/>
        <w:color w:val="002069"/>
      </w:rPr>
    </w:lvl>
  </w:abstractNum>
  <w:abstractNum w:abstractNumId="62" w15:restartNumberingAfterBreak="0">
    <w:nsid w:val="58B84464"/>
    <w:multiLevelType w:val="multilevel"/>
    <w:tmpl w:val="BBB22AC2"/>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63" w15:restartNumberingAfterBreak="0">
    <w:nsid w:val="5A16411A"/>
    <w:multiLevelType w:val="multilevel"/>
    <w:tmpl w:val="B8E0FB94"/>
    <w:lvl w:ilvl="0">
      <w:start w:val="10"/>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303" w:hanging="166"/>
      </w:pPr>
      <w:rPr>
        <w:rFonts w:ascii="Times New Roman" w:eastAsia="Times New Roman" w:hAnsi="Times New Roman" w:cs="Times New Roman" w:hint="default"/>
        <w:w w:val="100"/>
        <w:sz w:val="22"/>
        <w:szCs w:val="22"/>
        <w:lang w:val="lv" w:eastAsia="lv" w:bidi="lv"/>
      </w:rPr>
    </w:lvl>
    <w:lvl w:ilvl="4">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5">
      <w:numFmt w:val="bullet"/>
      <w:lvlText w:val="•"/>
      <w:lvlJc w:val="left"/>
      <w:pPr>
        <w:ind w:left="4278" w:hanging="358"/>
      </w:pPr>
      <w:rPr>
        <w:rFonts w:hint="default"/>
        <w:lang w:val="lv" w:eastAsia="lv" w:bidi="lv"/>
      </w:rPr>
    </w:lvl>
    <w:lvl w:ilvl="6">
      <w:numFmt w:val="bullet"/>
      <w:lvlText w:val="•"/>
      <w:lvlJc w:val="left"/>
      <w:pPr>
        <w:ind w:left="5488" w:hanging="358"/>
      </w:pPr>
      <w:rPr>
        <w:rFonts w:hint="default"/>
        <w:lang w:val="lv" w:eastAsia="lv" w:bidi="lv"/>
      </w:rPr>
    </w:lvl>
    <w:lvl w:ilvl="7">
      <w:numFmt w:val="bullet"/>
      <w:lvlText w:val="•"/>
      <w:lvlJc w:val="left"/>
      <w:pPr>
        <w:ind w:left="6697" w:hanging="358"/>
      </w:pPr>
      <w:rPr>
        <w:rFonts w:hint="default"/>
        <w:lang w:val="lv" w:eastAsia="lv" w:bidi="lv"/>
      </w:rPr>
    </w:lvl>
    <w:lvl w:ilvl="8">
      <w:numFmt w:val="bullet"/>
      <w:lvlText w:val="•"/>
      <w:lvlJc w:val="left"/>
      <w:pPr>
        <w:ind w:left="7907" w:hanging="358"/>
      </w:pPr>
      <w:rPr>
        <w:rFonts w:hint="default"/>
        <w:lang w:val="lv" w:eastAsia="lv" w:bidi="lv"/>
      </w:rPr>
    </w:lvl>
  </w:abstractNum>
  <w:abstractNum w:abstractNumId="64" w15:restartNumberingAfterBreak="0">
    <w:nsid w:val="5C463B81"/>
    <w:multiLevelType w:val="multilevel"/>
    <w:tmpl w:val="DAC8DCC6"/>
    <w:lvl w:ilvl="0">
      <w:start w:val="7"/>
      <w:numFmt w:val="decimal"/>
      <w:lvlText w:val="%1"/>
      <w:lvlJc w:val="left"/>
      <w:pPr>
        <w:ind w:left="1018" w:hanging="680"/>
      </w:pPr>
      <w:rPr>
        <w:rFonts w:hint="default"/>
      </w:rPr>
    </w:lvl>
    <w:lvl w:ilvl="1">
      <w:start w:val="1"/>
      <w:numFmt w:val="decimal"/>
      <w:lvlText w:val="%1.%2."/>
      <w:lvlJc w:val="left"/>
      <w:pPr>
        <w:ind w:left="1018" w:hanging="680"/>
      </w:pPr>
      <w:rPr>
        <w:rFonts w:ascii="Times New Roman" w:eastAsia="Times New Roman" w:hAnsi="Times New Roman" w:cs="Times New Roman" w:hint="default"/>
        <w:w w:val="100"/>
        <w:sz w:val="22"/>
        <w:szCs w:val="22"/>
      </w:rPr>
    </w:lvl>
    <w:lvl w:ilvl="2">
      <w:numFmt w:val="bullet"/>
      <w:lvlText w:val=""/>
      <w:lvlJc w:val="left"/>
      <w:pPr>
        <w:ind w:left="426" w:hanging="284"/>
      </w:pPr>
      <w:rPr>
        <w:rFonts w:ascii="Symbol" w:eastAsia="Symbol" w:hAnsi="Symbol" w:cs="Symbol" w:hint="default"/>
        <w:w w:val="100"/>
        <w:sz w:val="22"/>
        <w:szCs w:val="22"/>
      </w:rPr>
    </w:lvl>
    <w:lvl w:ilvl="3">
      <w:numFmt w:val="bullet"/>
      <w:lvlText w:val="•"/>
      <w:lvlJc w:val="left"/>
      <w:pPr>
        <w:ind w:left="3432" w:hanging="284"/>
      </w:pPr>
      <w:rPr>
        <w:rFonts w:hint="default"/>
      </w:rPr>
    </w:lvl>
    <w:lvl w:ilvl="4">
      <w:numFmt w:val="bullet"/>
      <w:lvlText w:val="•"/>
      <w:lvlJc w:val="left"/>
      <w:pPr>
        <w:ind w:left="4408" w:hanging="284"/>
      </w:pPr>
      <w:rPr>
        <w:rFonts w:hint="default"/>
      </w:rPr>
    </w:lvl>
    <w:lvl w:ilvl="5">
      <w:numFmt w:val="bullet"/>
      <w:lvlText w:val="•"/>
      <w:lvlJc w:val="left"/>
      <w:pPr>
        <w:ind w:left="5385" w:hanging="284"/>
      </w:pPr>
      <w:rPr>
        <w:rFonts w:hint="default"/>
      </w:rPr>
    </w:lvl>
    <w:lvl w:ilvl="6">
      <w:numFmt w:val="bullet"/>
      <w:lvlText w:val="•"/>
      <w:lvlJc w:val="left"/>
      <w:pPr>
        <w:ind w:left="6361" w:hanging="284"/>
      </w:pPr>
      <w:rPr>
        <w:rFonts w:hint="default"/>
      </w:rPr>
    </w:lvl>
    <w:lvl w:ilvl="7">
      <w:numFmt w:val="bullet"/>
      <w:lvlText w:val="•"/>
      <w:lvlJc w:val="left"/>
      <w:pPr>
        <w:ind w:left="7337" w:hanging="284"/>
      </w:pPr>
      <w:rPr>
        <w:rFonts w:hint="default"/>
      </w:rPr>
    </w:lvl>
    <w:lvl w:ilvl="8">
      <w:numFmt w:val="bullet"/>
      <w:lvlText w:val="•"/>
      <w:lvlJc w:val="left"/>
      <w:pPr>
        <w:ind w:left="8313" w:hanging="284"/>
      </w:pPr>
      <w:rPr>
        <w:rFonts w:hint="default"/>
      </w:rPr>
    </w:lvl>
  </w:abstractNum>
  <w:abstractNum w:abstractNumId="65" w15:restartNumberingAfterBreak="0">
    <w:nsid w:val="5ED00D2D"/>
    <w:multiLevelType w:val="multilevel"/>
    <w:tmpl w:val="3F60B45C"/>
    <w:lvl w:ilvl="0">
      <w:start w:val="11"/>
      <w:numFmt w:val="decimal"/>
      <w:lvlText w:val="%1"/>
      <w:lvlJc w:val="left"/>
      <w:pPr>
        <w:ind w:left="878" w:hanging="540"/>
      </w:pPr>
      <w:rPr>
        <w:rFonts w:hint="default"/>
        <w:lang w:val="lv" w:eastAsia="lv" w:bidi="lv"/>
      </w:rPr>
    </w:lvl>
    <w:lvl w:ilvl="1">
      <w:start w:val="1"/>
      <w:numFmt w:val="decimal"/>
      <w:lvlText w:val="%1.%2."/>
      <w:lvlJc w:val="left"/>
      <w:pPr>
        <w:ind w:left="878" w:hanging="540"/>
      </w:pPr>
      <w:rPr>
        <w:rFonts w:ascii="Times New Roman" w:eastAsia="Times New Roman" w:hAnsi="Times New Roman" w:cs="Times New Roman" w:hint="default"/>
        <w:b/>
        <w:bCs/>
        <w:i/>
        <w:color w:val="002069"/>
        <w:spacing w:val="-2"/>
        <w:w w:val="100"/>
        <w:sz w:val="24"/>
        <w:szCs w:val="24"/>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66" w15:restartNumberingAfterBreak="0">
    <w:nsid w:val="5F9B1AAA"/>
    <w:multiLevelType w:val="hybridMultilevel"/>
    <w:tmpl w:val="25B4EA6E"/>
    <w:lvl w:ilvl="0" w:tplc="06FE952C">
      <w:numFmt w:val="bullet"/>
      <w:lvlText w:val="*"/>
      <w:lvlJc w:val="left"/>
      <w:pPr>
        <w:ind w:left="1351" w:hanging="178"/>
      </w:pPr>
      <w:rPr>
        <w:rFonts w:ascii="Times New Roman" w:eastAsia="Times New Roman" w:hAnsi="Times New Roman" w:cs="Times New Roman" w:hint="default"/>
        <w:i/>
        <w:w w:val="99"/>
        <w:sz w:val="20"/>
        <w:szCs w:val="20"/>
        <w:lang w:val="lv" w:eastAsia="lv" w:bidi="lv"/>
      </w:rPr>
    </w:lvl>
    <w:lvl w:ilvl="1" w:tplc="66C89830">
      <w:numFmt w:val="bullet"/>
      <w:lvlText w:val="•"/>
      <w:lvlJc w:val="left"/>
      <w:pPr>
        <w:ind w:left="2226" w:hanging="178"/>
      </w:pPr>
      <w:rPr>
        <w:rFonts w:hint="default"/>
        <w:lang w:val="lv" w:eastAsia="lv" w:bidi="lv"/>
      </w:rPr>
    </w:lvl>
    <w:lvl w:ilvl="2" w:tplc="FC1C8A6A">
      <w:numFmt w:val="bullet"/>
      <w:lvlText w:val="•"/>
      <w:lvlJc w:val="left"/>
      <w:pPr>
        <w:ind w:left="3093" w:hanging="178"/>
      </w:pPr>
      <w:rPr>
        <w:rFonts w:hint="default"/>
        <w:lang w:val="lv" w:eastAsia="lv" w:bidi="lv"/>
      </w:rPr>
    </w:lvl>
    <w:lvl w:ilvl="3" w:tplc="9DB6BB5C">
      <w:numFmt w:val="bullet"/>
      <w:lvlText w:val="•"/>
      <w:lvlJc w:val="left"/>
      <w:pPr>
        <w:ind w:left="3959" w:hanging="178"/>
      </w:pPr>
      <w:rPr>
        <w:rFonts w:hint="default"/>
        <w:lang w:val="lv" w:eastAsia="lv" w:bidi="lv"/>
      </w:rPr>
    </w:lvl>
    <w:lvl w:ilvl="4" w:tplc="464EAA04">
      <w:numFmt w:val="bullet"/>
      <w:lvlText w:val="•"/>
      <w:lvlJc w:val="left"/>
      <w:pPr>
        <w:ind w:left="4826" w:hanging="178"/>
      </w:pPr>
      <w:rPr>
        <w:rFonts w:hint="default"/>
        <w:lang w:val="lv" w:eastAsia="lv" w:bidi="lv"/>
      </w:rPr>
    </w:lvl>
    <w:lvl w:ilvl="5" w:tplc="EA1A8C42">
      <w:numFmt w:val="bullet"/>
      <w:lvlText w:val="•"/>
      <w:lvlJc w:val="left"/>
      <w:pPr>
        <w:ind w:left="5693" w:hanging="178"/>
      </w:pPr>
      <w:rPr>
        <w:rFonts w:hint="default"/>
        <w:lang w:val="lv" w:eastAsia="lv" w:bidi="lv"/>
      </w:rPr>
    </w:lvl>
    <w:lvl w:ilvl="6" w:tplc="517A19AA">
      <w:numFmt w:val="bullet"/>
      <w:lvlText w:val="•"/>
      <w:lvlJc w:val="left"/>
      <w:pPr>
        <w:ind w:left="6559" w:hanging="178"/>
      </w:pPr>
      <w:rPr>
        <w:rFonts w:hint="default"/>
        <w:lang w:val="lv" w:eastAsia="lv" w:bidi="lv"/>
      </w:rPr>
    </w:lvl>
    <w:lvl w:ilvl="7" w:tplc="D09EFE1E">
      <w:numFmt w:val="bullet"/>
      <w:lvlText w:val="•"/>
      <w:lvlJc w:val="left"/>
      <w:pPr>
        <w:ind w:left="7426" w:hanging="178"/>
      </w:pPr>
      <w:rPr>
        <w:rFonts w:hint="default"/>
        <w:lang w:val="lv" w:eastAsia="lv" w:bidi="lv"/>
      </w:rPr>
    </w:lvl>
    <w:lvl w:ilvl="8" w:tplc="7766FBB4">
      <w:numFmt w:val="bullet"/>
      <w:lvlText w:val="•"/>
      <w:lvlJc w:val="left"/>
      <w:pPr>
        <w:ind w:left="8293" w:hanging="178"/>
      </w:pPr>
      <w:rPr>
        <w:rFonts w:hint="default"/>
        <w:lang w:val="lv" w:eastAsia="lv" w:bidi="lv"/>
      </w:rPr>
    </w:lvl>
  </w:abstractNum>
  <w:abstractNum w:abstractNumId="67" w15:restartNumberingAfterBreak="0">
    <w:nsid w:val="5FC14973"/>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984"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68" w15:restartNumberingAfterBreak="0">
    <w:nsid w:val="604D3832"/>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831"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69" w15:restartNumberingAfterBreak="0">
    <w:nsid w:val="61A00994"/>
    <w:multiLevelType w:val="hybridMultilevel"/>
    <w:tmpl w:val="BFDAC3B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22C08BA"/>
    <w:multiLevelType w:val="hybridMultilevel"/>
    <w:tmpl w:val="F09299E4"/>
    <w:lvl w:ilvl="0" w:tplc="398ABDAE">
      <w:start w:val="1"/>
      <w:numFmt w:val="decimal"/>
      <w:lvlText w:val="%1)"/>
      <w:lvlJc w:val="left"/>
      <w:pPr>
        <w:ind w:left="482" w:hanging="363"/>
        <w:jc w:val="right"/>
      </w:pPr>
      <w:rPr>
        <w:rFonts w:ascii="Times New Roman" w:eastAsia="Times New Roman" w:hAnsi="Times New Roman" w:cs="Times New Roman" w:hint="default"/>
        <w:w w:val="100"/>
        <w:sz w:val="22"/>
        <w:szCs w:val="22"/>
        <w:lang w:val="lv" w:eastAsia="lv" w:bidi="lv"/>
      </w:rPr>
    </w:lvl>
    <w:lvl w:ilvl="1" w:tplc="414A1F26">
      <w:start w:val="1"/>
      <w:numFmt w:val="decimal"/>
      <w:lvlText w:val="%2."/>
      <w:lvlJc w:val="left"/>
      <w:pPr>
        <w:ind w:left="6678" w:hanging="152"/>
      </w:pPr>
      <w:rPr>
        <w:rFonts w:ascii="Times New Roman" w:eastAsia="Times New Roman" w:hAnsi="Times New Roman" w:cs="Times New Roman" w:hint="default"/>
        <w:i/>
        <w:spacing w:val="-3"/>
        <w:w w:val="99"/>
        <w:sz w:val="18"/>
        <w:szCs w:val="18"/>
        <w:lang w:val="lv" w:eastAsia="lv" w:bidi="lv"/>
      </w:rPr>
    </w:lvl>
    <w:lvl w:ilvl="2" w:tplc="7DC682B0">
      <w:numFmt w:val="bullet"/>
      <w:lvlText w:val="•"/>
      <w:lvlJc w:val="left"/>
      <w:pPr>
        <w:ind w:left="6936" w:hanging="152"/>
      </w:pPr>
      <w:rPr>
        <w:rFonts w:hint="default"/>
        <w:lang w:val="lv" w:eastAsia="lv" w:bidi="lv"/>
      </w:rPr>
    </w:lvl>
    <w:lvl w:ilvl="3" w:tplc="2E48E65E">
      <w:numFmt w:val="bullet"/>
      <w:lvlText w:val="•"/>
      <w:lvlJc w:val="left"/>
      <w:pPr>
        <w:ind w:left="7193" w:hanging="152"/>
      </w:pPr>
      <w:rPr>
        <w:rFonts w:hint="default"/>
        <w:lang w:val="lv" w:eastAsia="lv" w:bidi="lv"/>
      </w:rPr>
    </w:lvl>
    <w:lvl w:ilvl="4" w:tplc="2E90C660">
      <w:numFmt w:val="bullet"/>
      <w:lvlText w:val="•"/>
      <w:lvlJc w:val="left"/>
      <w:pPr>
        <w:ind w:left="7449" w:hanging="152"/>
      </w:pPr>
      <w:rPr>
        <w:rFonts w:hint="default"/>
        <w:lang w:val="lv" w:eastAsia="lv" w:bidi="lv"/>
      </w:rPr>
    </w:lvl>
    <w:lvl w:ilvl="5" w:tplc="DB328AA0">
      <w:numFmt w:val="bullet"/>
      <w:lvlText w:val="•"/>
      <w:lvlJc w:val="left"/>
      <w:pPr>
        <w:ind w:left="7706" w:hanging="152"/>
      </w:pPr>
      <w:rPr>
        <w:rFonts w:hint="default"/>
        <w:lang w:val="lv" w:eastAsia="lv" w:bidi="lv"/>
      </w:rPr>
    </w:lvl>
    <w:lvl w:ilvl="6" w:tplc="97809130">
      <w:numFmt w:val="bullet"/>
      <w:lvlText w:val="•"/>
      <w:lvlJc w:val="left"/>
      <w:pPr>
        <w:ind w:left="7963" w:hanging="152"/>
      </w:pPr>
      <w:rPr>
        <w:rFonts w:hint="default"/>
        <w:lang w:val="lv" w:eastAsia="lv" w:bidi="lv"/>
      </w:rPr>
    </w:lvl>
    <w:lvl w:ilvl="7" w:tplc="6B003972">
      <w:numFmt w:val="bullet"/>
      <w:lvlText w:val="•"/>
      <w:lvlJc w:val="left"/>
      <w:pPr>
        <w:ind w:left="8219" w:hanging="152"/>
      </w:pPr>
      <w:rPr>
        <w:rFonts w:hint="default"/>
        <w:lang w:val="lv" w:eastAsia="lv" w:bidi="lv"/>
      </w:rPr>
    </w:lvl>
    <w:lvl w:ilvl="8" w:tplc="369A4368">
      <w:numFmt w:val="bullet"/>
      <w:lvlText w:val="•"/>
      <w:lvlJc w:val="left"/>
      <w:pPr>
        <w:ind w:left="8476" w:hanging="152"/>
      </w:pPr>
      <w:rPr>
        <w:rFonts w:hint="default"/>
        <w:lang w:val="lv" w:eastAsia="lv" w:bidi="lv"/>
      </w:rPr>
    </w:lvl>
  </w:abstractNum>
  <w:abstractNum w:abstractNumId="71" w15:restartNumberingAfterBreak="0">
    <w:nsid w:val="663B435E"/>
    <w:multiLevelType w:val="multilevel"/>
    <w:tmpl w:val="73D2B93C"/>
    <w:lvl w:ilvl="0">
      <w:start w:val="754"/>
      <w:numFmt w:val="decimal"/>
      <w:lvlText w:val="%1."/>
      <w:lvlJc w:val="left"/>
      <w:pPr>
        <w:ind w:left="540" w:hanging="540"/>
      </w:pPr>
      <w:rPr>
        <w:rFonts w:hint="default"/>
        <w:i w:val="0"/>
      </w:rPr>
    </w:lvl>
    <w:lvl w:ilvl="1">
      <w:start w:val="3"/>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2" w15:restartNumberingAfterBreak="0">
    <w:nsid w:val="67060D0B"/>
    <w:multiLevelType w:val="hybridMultilevel"/>
    <w:tmpl w:val="0A744D5C"/>
    <w:lvl w:ilvl="0" w:tplc="1F9617EC">
      <w:numFmt w:val="bullet"/>
      <w:lvlText w:val="*"/>
      <w:lvlJc w:val="left"/>
      <w:pPr>
        <w:ind w:left="269" w:hanging="151"/>
      </w:pPr>
      <w:rPr>
        <w:rFonts w:ascii="Times New Roman" w:eastAsia="Times New Roman" w:hAnsi="Times New Roman" w:cs="Times New Roman" w:hint="default"/>
        <w:i/>
        <w:w w:val="99"/>
        <w:sz w:val="20"/>
        <w:szCs w:val="20"/>
      </w:rPr>
    </w:lvl>
    <w:lvl w:ilvl="1" w:tplc="2414728E">
      <w:numFmt w:val="bullet"/>
      <w:lvlText w:val="*"/>
      <w:lvlJc w:val="left"/>
      <w:pPr>
        <w:ind w:left="218" w:hanging="149"/>
      </w:pPr>
      <w:rPr>
        <w:rFonts w:ascii="Times New Roman" w:eastAsia="Times New Roman" w:hAnsi="Times New Roman" w:cs="Times New Roman" w:hint="default"/>
        <w:i/>
        <w:w w:val="99"/>
        <w:sz w:val="20"/>
        <w:szCs w:val="20"/>
      </w:rPr>
    </w:lvl>
    <w:lvl w:ilvl="2" w:tplc="19CC19AE">
      <w:numFmt w:val="bullet"/>
      <w:lvlText w:val="•"/>
      <w:lvlJc w:val="left"/>
      <w:pPr>
        <w:ind w:left="600" w:hanging="149"/>
      </w:pPr>
      <w:rPr>
        <w:rFonts w:hint="default"/>
      </w:rPr>
    </w:lvl>
    <w:lvl w:ilvl="3" w:tplc="B234F962">
      <w:numFmt w:val="bullet"/>
      <w:lvlText w:val="•"/>
      <w:lvlJc w:val="left"/>
      <w:pPr>
        <w:ind w:left="1750" w:hanging="149"/>
      </w:pPr>
      <w:rPr>
        <w:rFonts w:hint="default"/>
      </w:rPr>
    </w:lvl>
    <w:lvl w:ilvl="4" w:tplc="B9929FE4">
      <w:numFmt w:val="bullet"/>
      <w:lvlText w:val="•"/>
      <w:lvlJc w:val="left"/>
      <w:pPr>
        <w:ind w:left="2901" w:hanging="149"/>
      </w:pPr>
      <w:rPr>
        <w:rFonts w:hint="default"/>
      </w:rPr>
    </w:lvl>
    <w:lvl w:ilvl="5" w:tplc="6494DD5A">
      <w:numFmt w:val="bullet"/>
      <w:lvlText w:val="•"/>
      <w:lvlJc w:val="left"/>
      <w:pPr>
        <w:ind w:left="4052" w:hanging="149"/>
      </w:pPr>
      <w:rPr>
        <w:rFonts w:hint="default"/>
      </w:rPr>
    </w:lvl>
    <w:lvl w:ilvl="6" w:tplc="849A87AC">
      <w:numFmt w:val="bullet"/>
      <w:lvlText w:val="•"/>
      <w:lvlJc w:val="left"/>
      <w:pPr>
        <w:ind w:left="5203" w:hanging="149"/>
      </w:pPr>
      <w:rPr>
        <w:rFonts w:hint="default"/>
      </w:rPr>
    </w:lvl>
    <w:lvl w:ilvl="7" w:tplc="751ADF3C">
      <w:numFmt w:val="bullet"/>
      <w:lvlText w:val="•"/>
      <w:lvlJc w:val="left"/>
      <w:pPr>
        <w:ind w:left="6354" w:hanging="149"/>
      </w:pPr>
      <w:rPr>
        <w:rFonts w:hint="default"/>
      </w:rPr>
    </w:lvl>
    <w:lvl w:ilvl="8" w:tplc="95AA0194">
      <w:numFmt w:val="bullet"/>
      <w:lvlText w:val="•"/>
      <w:lvlJc w:val="left"/>
      <w:pPr>
        <w:ind w:left="7504" w:hanging="149"/>
      </w:pPr>
      <w:rPr>
        <w:rFonts w:hint="default"/>
      </w:rPr>
    </w:lvl>
  </w:abstractNum>
  <w:abstractNum w:abstractNumId="73" w15:restartNumberingAfterBreak="0">
    <w:nsid w:val="69193E58"/>
    <w:multiLevelType w:val="multilevel"/>
    <w:tmpl w:val="1410F478"/>
    <w:lvl w:ilvl="0">
      <w:start w:val="7"/>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21" w:hanging="284"/>
      </w:pPr>
      <w:rPr>
        <w:rFonts w:hint="default"/>
        <w:lang w:val="lv" w:eastAsia="lv" w:bidi="lv"/>
      </w:rPr>
    </w:lvl>
    <w:lvl w:ilvl="4">
      <w:numFmt w:val="bullet"/>
      <w:lvlText w:val="•"/>
      <w:lvlJc w:val="left"/>
      <w:pPr>
        <w:ind w:left="4302" w:hanging="284"/>
      </w:pPr>
      <w:rPr>
        <w:rFonts w:hint="default"/>
        <w:lang w:val="lv" w:eastAsia="lv" w:bidi="lv"/>
      </w:rPr>
    </w:lvl>
    <w:lvl w:ilvl="5">
      <w:numFmt w:val="bullet"/>
      <w:lvlText w:val="•"/>
      <w:lvlJc w:val="left"/>
      <w:pPr>
        <w:ind w:left="5282" w:hanging="284"/>
      </w:pPr>
      <w:rPr>
        <w:rFonts w:hint="default"/>
        <w:lang w:val="lv" w:eastAsia="lv" w:bidi="lv"/>
      </w:rPr>
    </w:lvl>
    <w:lvl w:ilvl="6">
      <w:numFmt w:val="bullet"/>
      <w:lvlText w:val="•"/>
      <w:lvlJc w:val="left"/>
      <w:pPr>
        <w:ind w:left="6263" w:hanging="284"/>
      </w:pPr>
      <w:rPr>
        <w:rFonts w:hint="default"/>
        <w:lang w:val="lv" w:eastAsia="lv" w:bidi="lv"/>
      </w:rPr>
    </w:lvl>
    <w:lvl w:ilvl="7">
      <w:numFmt w:val="bullet"/>
      <w:lvlText w:val="•"/>
      <w:lvlJc w:val="left"/>
      <w:pPr>
        <w:ind w:left="7244" w:hanging="284"/>
      </w:pPr>
      <w:rPr>
        <w:rFonts w:hint="default"/>
        <w:lang w:val="lv" w:eastAsia="lv" w:bidi="lv"/>
      </w:rPr>
    </w:lvl>
    <w:lvl w:ilvl="8">
      <w:numFmt w:val="bullet"/>
      <w:lvlText w:val="•"/>
      <w:lvlJc w:val="left"/>
      <w:pPr>
        <w:ind w:left="8224" w:hanging="284"/>
      </w:pPr>
      <w:rPr>
        <w:rFonts w:hint="default"/>
        <w:lang w:val="lv" w:eastAsia="lv" w:bidi="lv"/>
      </w:rPr>
    </w:lvl>
  </w:abstractNum>
  <w:abstractNum w:abstractNumId="74" w15:restartNumberingAfterBreak="0">
    <w:nsid w:val="6A6326A6"/>
    <w:multiLevelType w:val="hybridMultilevel"/>
    <w:tmpl w:val="BC86EA7C"/>
    <w:lvl w:ilvl="0" w:tplc="16401A56">
      <w:numFmt w:val="bullet"/>
      <w:lvlText w:val="•"/>
      <w:lvlJc w:val="left"/>
      <w:pPr>
        <w:ind w:left="252" w:hanging="180"/>
      </w:pPr>
      <w:rPr>
        <w:rFonts w:ascii="Times New Roman" w:eastAsia="Times New Roman" w:hAnsi="Times New Roman" w:cs="Times New Roman" w:hint="default"/>
        <w:color w:val="002069"/>
        <w:spacing w:val="-25"/>
        <w:w w:val="100"/>
        <w:sz w:val="24"/>
        <w:szCs w:val="24"/>
        <w:lang w:val="lv" w:eastAsia="lv" w:bidi="lv"/>
      </w:rPr>
    </w:lvl>
    <w:lvl w:ilvl="1" w:tplc="9A8A461C">
      <w:numFmt w:val="bullet"/>
      <w:lvlText w:val="•"/>
      <w:lvlJc w:val="left"/>
      <w:pPr>
        <w:ind w:left="431" w:hanging="180"/>
      </w:pPr>
      <w:rPr>
        <w:rFonts w:hint="default"/>
        <w:lang w:val="lv" w:eastAsia="lv" w:bidi="lv"/>
      </w:rPr>
    </w:lvl>
    <w:lvl w:ilvl="2" w:tplc="08ECC648">
      <w:numFmt w:val="bullet"/>
      <w:lvlText w:val="•"/>
      <w:lvlJc w:val="left"/>
      <w:pPr>
        <w:ind w:left="602" w:hanging="180"/>
      </w:pPr>
      <w:rPr>
        <w:rFonts w:hint="default"/>
        <w:lang w:val="lv" w:eastAsia="lv" w:bidi="lv"/>
      </w:rPr>
    </w:lvl>
    <w:lvl w:ilvl="3" w:tplc="6F8E2C5A">
      <w:numFmt w:val="bullet"/>
      <w:lvlText w:val="•"/>
      <w:lvlJc w:val="left"/>
      <w:pPr>
        <w:ind w:left="773" w:hanging="180"/>
      </w:pPr>
      <w:rPr>
        <w:rFonts w:hint="default"/>
        <w:lang w:val="lv" w:eastAsia="lv" w:bidi="lv"/>
      </w:rPr>
    </w:lvl>
    <w:lvl w:ilvl="4" w:tplc="D1924F22">
      <w:numFmt w:val="bullet"/>
      <w:lvlText w:val="•"/>
      <w:lvlJc w:val="left"/>
      <w:pPr>
        <w:ind w:left="944" w:hanging="180"/>
      </w:pPr>
      <w:rPr>
        <w:rFonts w:hint="default"/>
        <w:lang w:val="lv" w:eastAsia="lv" w:bidi="lv"/>
      </w:rPr>
    </w:lvl>
    <w:lvl w:ilvl="5" w:tplc="1FCEAC66">
      <w:numFmt w:val="bullet"/>
      <w:lvlText w:val="•"/>
      <w:lvlJc w:val="left"/>
      <w:pPr>
        <w:ind w:left="1115" w:hanging="180"/>
      </w:pPr>
      <w:rPr>
        <w:rFonts w:hint="default"/>
        <w:lang w:val="lv" w:eastAsia="lv" w:bidi="lv"/>
      </w:rPr>
    </w:lvl>
    <w:lvl w:ilvl="6" w:tplc="3C0E74C0">
      <w:numFmt w:val="bullet"/>
      <w:lvlText w:val="•"/>
      <w:lvlJc w:val="left"/>
      <w:pPr>
        <w:ind w:left="1286" w:hanging="180"/>
      </w:pPr>
      <w:rPr>
        <w:rFonts w:hint="default"/>
        <w:lang w:val="lv" w:eastAsia="lv" w:bidi="lv"/>
      </w:rPr>
    </w:lvl>
    <w:lvl w:ilvl="7" w:tplc="7688DD44">
      <w:numFmt w:val="bullet"/>
      <w:lvlText w:val="•"/>
      <w:lvlJc w:val="left"/>
      <w:pPr>
        <w:ind w:left="1457" w:hanging="180"/>
      </w:pPr>
      <w:rPr>
        <w:rFonts w:hint="default"/>
        <w:lang w:val="lv" w:eastAsia="lv" w:bidi="lv"/>
      </w:rPr>
    </w:lvl>
    <w:lvl w:ilvl="8" w:tplc="21C84700">
      <w:numFmt w:val="bullet"/>
      <w:lvlText w:val="•"/>
      <w:lvlJc w:val="left"/>
      <w:pPr>
        <w:ind w:left="1629" w:hanging="180"/>
      </w:pPr>
      <w:rPr>
        <w:rFonts w:hint="default"/>
        <w:lang w:val="lv" w:eastAsia="lv" w:bidi="lv"/>
      </w:rPr>
    </w:lvl>
  </w:abstractNum>
  <w:abstractNum w:abstractNumId="75" w15:restartNumberingAfterBreak="0">
    <w:nsid w:val="6A8D7480"/>
    <w:multiLevelType w:val="hybridMultilevel"/>
    <w:tmpl w:val="C97E9428"/>
    <w:lvl w:ilvl="0" w:tplc="DF0C8416">
      <w:start w:val="1"/>
      <w:numFmt w:val="decimal"/>
      <w:lvlText w:val="%1"/>
      <w:lvlJc w:val="left"/>
      <w:pPr>
        <w:ind w:left="1997" w:hanging="360"/>
      </w:pPr>
      <w:rPr>
        <w:rFonts w:hint="default"/>
      </w:rPr>
    </w:lvl>
    <w:lvl w:ilvl="1" w:tplc="04260019" w:tentative="1">
      <w:start w:val="1"/>
      <w:numFmt w:val="lowerLetter"/>
      <w:lvlText w:val="%2."/>
      <w:lvlJc w:val="left"/>
      <w:pPr>
        <w:ind w:left="2717" w:hanging="360"/>
      </w:pPr>
    </w:lvl>
    <w:lvl w:ilvl="2" w:tplc="0426001B" w:tentative="1">
      <w:start w:val="1"/>
      <w:numFmt w:val="lowerRoman"/>
      <w:lvlText w:val="%3."/>
      <w:lvlJc w:val="right"/>
      <w:pPr>
        <w:ind w:left="3437" w:hanging="180"/>
      </w:pPr>
    </w:lvl>
    <w:lvl w:ilvl="3" w:tplc="0426000F" w:tentative="1">
      <w:start w:val="1"/>
      <w:numFmt w:val="decimal"/>
      <w:lvlText w:val="%4."/>
      <w:lvlJc w:val="left"/>
      <w:pPr>
        <w:ind w:left="4157" w:hanging="360"/>
      </w:pPr>
    </w:lvl>
    <w:lvl w:ilvl="4" w:tplc="04260019" w:tentative="1">
      <w:start w:val="1"/>
      <w:numFmt w:val="lowerLetter"/>
      <w:lvlText w:val="%5."/>
      <w:lvlJc w:val="left"/>
      <w:pPr>
        <w:ind w:left="4877" w:hanging="360"/>
      </w:pPr>
    </w:lvl>
    <w:lvl w:ilvl="5" w:tplc="0426001B" w:tentative="1">
      <w:start w:val="1"/>
      <w:numFmt w:val="lowerRoman"/>
      <w:lvlText w:val="%6."/>
      <w:lvlJc w:val="right"/>
      <w:pPr>
        <w:ind w:left="5597" w:hanging="180"/>
      </w:pPr>
    </w:lvl>
    <w:lvl w:ilvl="6" w:tplc="0426000F" w:tentative="1">
      <w:start w:val="1"/>
      <w:numFmt w:val="decimal"/>
      <w:lvlText w:val="%7."/>
      <w:lvlJc w:val="left"/>
      <w:pPr>
        <w:ind w:left="6317" w:hanging="360"/>
      </w:pPr>
    </w:lvl>
    <w:lvl w:ilvl="7" w:tplc="04260019" w:tentative="1">
      <w:start w:val="1"/>
      <w:numFmt w:val="lowerLetter"/>
      <w:lvlText w:val="%8."/>
      <w:lvlJc w:val="left"/>
      <w:pPr>
        <w:ind w:left="7037" w:hanging="360"/>
      </w:pPr>
    </w:lvl>
    <w:lvl w:ilvl="8" w:tplc="0426001B" w:tentative="1">
      <w:start w:val="1"/>
      <w:numFmt w:val="lowerRoman"/>
      <w:lvlText w:val="%9."/>
      <w:lvlJc w:val="right"/>
      <w:pPr>
        <w:ind w:left="7757" w:hanging="180"/>
      </w:pPr>
    </w:lvl>
  </w:abstractNum>
  <w:abstractNum w:abstractNumId="76" w15:restartNumberingAfterBreak="0">
    <w:nsid w:val="6B9031BC"/>
    <w:multiLevelType w:val="multilevel"/>
    <w:tmpl w:val="C8EE0948"/>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77" w15:restartNumberingAfterBreak="0">
    <w:nsid w:val="6BF434CC"/>
    <w:multiLevelType w:val="multilevel"/>
    <w:tmpl w:val="FCBC3A70"/>
    <w:lvl w:ilvl="0">
      <w:start w:val="856"/>
      <w:numFmt w:val="decimal"/>
      <w:lvlText w:val="%1."/>
      <w:lvlJc w:val="left"/>
      <w:pPr>
        <w:ind w:left="525" w:hanging="375"/>
      </w:pPr>
      <w:rPr>
        <w:rFonts w:hint="default"/>
      </w:rPr>
    </w:lvl>
    <w:lvl w:ilvl="1">
      <w:start w:val="2"/>
      <w:numFmt w:val="decimal"/>
      <w:isLgl/>
      <w:lvlText w:val="%1.%2."/>
      <w:lvlJc w:val="left"/>
      <w:pPr>
        <w:ind w:left="1391" w:hanging="54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90" w:hanging="1800"/>
      </w:pPr>
      <w:rPr>
        <w:rFonts w:hint="default"/>
      </w:rPr>
    </w:lvl>
  </w:abstractNum>
  <w:abstractNum w:abstractNumId="78" w15:restartNumberingAfterBreak="0">
    <w:nsid w:val="6D327460"/>
    <w:multiLevelType w:val="multilevel"/>
    <w:tmpl w:val="3B22D750"/>
    <w:lvl w:ilvl="0">
      <w:start w:val="9"/>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95" w:hanging="178"/>
      </w:pPr>
      <w:rPr>
        <w:rFonts w:ascii="Times New Roman" w:eastAsia="Times New Roman" w:hAnsi="Times New Roman" w:cs="Times New Roman" w:hint="default"/>
        <w:i/>
        <w:w w:val="99"/>
        <w:sz w:val="20"/>
        <w:szCs w:val="20"/>
        <w:lang w:val="lv" w:eastAsia="lv" w:bidi="lv"/>
      </w:rPr>
    </w:lvl>
    <w:lvl w:ilvl="3">
      <w:numFmt w:val="bullet"/>
      <w:lvlText w:val="•"/>
      <w:lvlJc w:val="left"/>
      <w:pPr>
        <w:ind w:left="2565" w:hanging="178"/>
      </w:pPr>
      <w:rPr>
        <w:rFonts w:hint="default"/>
        <w:lang w:val="lv" w:eastAsia="lv" w:bidi="lv"/>
      </w:rPr>
    </w:lvl>
    <w:lvl w:ilvl="4">
      <w:numFmt w:val="bullet"/>
      <w:lvlText w:val="•"/>
      <w:lvlJc w:val="left"/>
      <w:pPr>
        <w:ind w:left="3631" w:hanging="178"/>
      </w:pPr>
      <w:rPr>
        <w:rFonts w:hint="default"/>
        <w:lang w:val="lv" w:eastAsia="lv" w:bidi="lv"/>
      </w:rPr>
    </w:lvl>
    <w:lvl w:ilvl="5">
      <w:numFmt w:val="bullet"/>
      <w:lvlText w:val="•"/>
      <w:lvlJc w:val="left"/>
      <w:pPr>
        <w:ind w:left="4697" w:hanging="178"/>
      </w:pPr>
      <w:rPr>
        <w:rFonts w:hint="default"/>
        <w:lang w:val="lv" w:eastAsia="lv" w:bidi="lv"/>
      </w:rPr>
    </w:lvl>
    <w:lvl w:ilvl="6">
      <w:numFmt w:val="bullet"/>
      <w:lvlText w:val="•"/>
      <w:lvlJc w:val="left"/>
      <w:pPr>
        <w:ind w:left="5763" w:hanging="178"/>
      </w:pPr>
      <w:rPr>
        <w:rFonts w:hint="default"/>
        <w:lang w:val="lv" w:eastAsia="lv" w:bidi="lv"/>
      </w:rPr>
    </w:lvl>
    <w:lvl w:ilvl="7">
      <w:numFmt w:val="bullet"/>
      <w:lvlText w:val="•"/>
      <w:lvlJc w:val="left"/>
      <w:pPr>
        <w:ind w:left="6829" w:hanging="178"/>
      </w:pPr>
      <w:rPr>
        <w:rFonts w:hint="default"/>
        <w:lang w:val="lv" w:eastAsia="lv" w:bidi="lv"/>
      </w:rPr>
    </w:lvl>
    <w:lvl w:ilvl="8">
      <w:numFmt w:val="bullet"/>
      <w:lvlText w:val="•"/>
      <w:lvlJc w:val="left"/>
      <w:pPr>
        <w:ind w:left="7894" w:hanging="178"/>
      </w:pPr>
      <w:rPr>
        <w:rFonts w:hint="default"/>
        <w:lang w:val="lv" w:eastAsia="lv" w:bidi="lv"/>
      </w:rPr>
    </w:lvl>
  </w:abstractNum>
  <w:abstractNum w:abstractNumId="79" w15:restartNumberingAfterBreak="0">
    <w:nsid w:val="6F8B6874"/>
    <w:multiLevelType w:val="hybridMultilevel"/>
    <w:tmpl w:val="4634B7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739601AE"/>
    <w:multiLevelType w:val="hybridMultilevel"/>
    <w:tmpl w:val="4C40A25C"/>
    <w:lvl w:ilvl="0" w:tplc="3A7C0D2A">
      <w:start w:val="1357"/>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74E663DE"/>
    <w:multiLevelType w:val="hybridMultilevel"/>
    <w:tmpl w:val="03C047A4"/>
    <w:lvl w:ilvl="0" w:tplc="E15286CC">
      <w:start w:val="2"/>
      <w:numFmt w:val="decimal"/>
      <w:lvlText w:val="%1."/>
      <w:lvlJc w:val="left"/>
      <w:pPr>
        <w:ind w:left="4328" w:hanging="152"/>
        <w:jc w:val="right"/>
      </w:pPr>
      <w:rPr>
        <w:rFonts w:ascii="Times New Roman" w:eastAsia="Times New Roman" w:hAnsi="Times New Roman" w:cs="Times New Roman" w:hint="default"/>
        <w:i/>
        <w:spacing w:val="0"/>
        <w:w w:val="99"/>
        <w:sz w:val="18"/>
        <w:szCs w:val="18"/>
        <w:lang w:val="lv" w:eastAsia="lv" w:bidi="lv"/>
      </w:rPr>
    </w:lvl>
    <w:lvl w:ilvl="1" w:tplc="B1BE6452">
      <w:start w:val="2"/>
      <w:numFmt w:val="decimal"/>
      <w:lvlText w:val="%2."/>
      <w:lvlJc w:val="left"/>
      <w:pPr>
        <w:ind w:left="3305" w:hanging="201"/>
        <w:jc w:val="right"/>
      </w:pPr>
      <w:rPr>
        <w:rFonts w:ascii="Times New Roman" w:eastAsia="Times New Roman" w:hAnsi="Times New Roman" w:cs="Times New Roman" w:hint="default"/>
        <w:i/>
        <w:spacing w:val="0"/>
        <w:w w:val="99"/>
        <w:sz w:val="20"/>
        <w:szCs w:val="20"/>
        <w:lang w:val="lv" w:eastAsia="lv" w:bidi="lv"/>
      </w:rPr>
    </w:lvl>
    <w:lvl w:ilvl="2" w:tplc="0868FD4A">
      <w:numFmt w:val="bullet"/>
      <w:lvlText w:val="•"/>
      <w:lvlJc w:val="left"/>
      <w:pPr>
        <w:ind w:left="4982" w:hanging="201"/>
      </w:pPr>
      <w:rPr>
        <w:rFonts w:hint="default"/>
        <w:lang w:val="lv" w:eastAsia="lv" w:bidi="lv"/>
      </w:rPr>
    </w:lvl>
    <w:lvl w:ilvl="3" w:tplc="88245E4A">
      <w:numFmt w:val="bullet"/>
      <w:lvlText w:val="•"/>
      <w:lvlJc w:val="left"/>
      <w:pPr>
        <w:ind w:left="5645" w:hanging="201"/>
      </w:pPr>
      <w:rPr>
        <w:rFonts w:hint="default"/>
        <w:lang w:val="lv" w:eastAsia="lv" w:bidi="lv"/>
      </w:rPr>
    </w:lvl>
    <w:lvl w:ilvl="4" w:tplc="BF743B52">
      <w:numFmt w:val="bullet"/>
      <w:lvlText w:val="•"/>
      <w:lvlJc w:val="left"/>
      <w:pPr>
        <w:ind w:left="6308" w:hanging="201"/>
      </w:pPr>
      <w:rPr>
        <w:rFonts w:hint="default"/>
        <w:lang w:val="lv" w:eastAsia="lv" w:bidi="lv"/>
      </w:rPr>
    </w:lvl>
    <w:lvl w:ilvl="5" w:tplc="02642A9C">
      <w:numFmt w:val="bullet"/>
      <w:lvlText w:val="•"/>
      <w:lvlJc w:val="left"/>
      <w:pPr>
        <w:ind w:left="6971" w:hanging="201"/>
      </w:pPr>
      <w:rPr>
        <w:rFonts w:hint="default"/>
        <w:lang w:val="lv" w:eastAsia="lv" w:bidi="lv"/>
      </w:rPr>
    </w:lvl>
    <w:lvl w:ilvl="6" w:tplc="25DA86A0">
      <w:numFmt w:val="bullet"/>
      <w:lvlText w:val="•"/>
      <w:lvlJc w:val="left"/>
      <w:pPr>
        <w:ind w:left="7634" w:hanging="201"/>
      </w:pPr>
      <w:rPr>
        <w:rFonts w:hint="default"/>
        <w:lang w:val="lv" w:eastAsia="lv" w:bidi="lv"/>
      </w:rPr>
    </w:lvl>
    <w:lvl w:ilvl="7" w:tplc="4C6059DE">
      <w:numFmt w:val="bullet"/>
      <w:lvlText w:val="•"/>
      <w:lvlJc w:val="left"/>
      <w:pPr>
        <w:ind w:left="8297" w:hanging="201"/>
      </w:pPr>
      <w:rPr>
        <w:rFonts w:hint="default"/>
        <w:lang w:val="lv" w:eastAsia="lv" w:bidi="lv"/>
      </w:rPr>
    </w:lvl>
    <w:lvl w:ilvl="8" w:tplc="EF60E8C0">
      <w:numFmt w:val="bullet"/>
      <w:lvlText w:val="•"/>
      <w:lvlJc w:val="left"/>
      <w:pPr>
        <w:ind w:left="8960" w:hanging="201"/>
      </w:pPr>
      <w:rPr>
        <w:rFonts w:hint="default"/>
        <w:lang w:val="lv" w:eastAsia="lv" w:bidi="lv"/>
      </w:rPr>
    </w:lvl>
  </w:abstractNum>
  <w:abstractNum w:abstractNumId="82" w15:restartNumberingAfterBreak="0">
    <w:nsid w:val="77CB6EC5"/>
    <w:multiLevelType w:val="multilevel"/>
    <w:tmpl w:val="A17C93F6"/>
    <w:lvl w:ilvl="0">
      <w:start w:val="6"/>
      <w:numFmt w:val="decimal"/>
      <w:lvlText w:val="%1"/>
      <w:lvlJc w:val="left"/>
      <w:pPr>
        <w:ind w:left="898" w:hanging="680"/>
      </w:pPr>
      <w:rPr>
        <w:rFonts w:hint="default"/>
        <w:lang w:val="lv" w:eastAsia="lv" w:bidi="lv"/>
      </w:rPr>
    </w:lvl>
    <w:lvl w:ilvl="1">
      <w:start w:val="1"/>
      <w:numFmt w:val="decimal"/>
      <w:lvlText w:val="%1.%2."/>
      <w:lvlJc w:val="left"/>
      <w:pPr>
        <w:ind w:left="124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3142" w:hanging="152"/>
      </w:pPr>
      <w:rPr>
        <w:rFonts w:ascii="Times New Roman" w:eastAsia="Times New Roman" w:hAnsi="Times New Roman" w:cs="Times New Roman" w:hint="default"/>
        <w:i/>
        <w:spacing w:val="0"/>
        <w:w w:val="99"/>
        <w:sz w:val="18"/>
        <w:szCs w:val="18"/>
        <w:lang w:val="lv" w:eastAsia="lv" w:bidi="lv"/>
      </w:rPr>
    </w:lvl>
    <w:lvl w:ilvl="3">
      <w:numFmt w:val="bullet"/>
      <w:lvlText w:val="•"/>
      <w:lvlJc w:val="left"/>
      <w:pPr>
        <w:ind w:left="4728" w:hanging="152"/>
      </w:pPr>
      <w:rPr>
        <w:rFonts w:hint="default"/>
        <w:lang w:val="lv" w:eastAsia="lv" w:bidi="lv"/>
      </w:rPr>
    </w:lvl>
    <w:lvl w:ilvl="4">
      <w:numFmt w:val="bullet"/>
      <w:lvlText w:val="•"/>
      <w:lvlJc w:val="left"/>
      <w:pPr>
        <w:ind w:left="5522" w:hanging="152"/>
      </w:pPr>
      <w:rPr>
        <w:rFonts w:hint="default"/>
        <w:lang w:val="lv" w:eastAsia="lv" w:bidi="lv"/>
      </w:rPr>
    </w:lvl>
    <w:lvl w:ilvl="5">
      <w:numFmt w:val="bullet"/>
      <w:lvlText w:val="•"/>
      <w:lvlJc w:val="left"/>
      <w:pPr>
        <w:ind w:left="6316" w:hanging="152"/>
      </w:pPr>
      <w:rPr>
        <w:rFonts w:hint="default"/>
        <w:lang w:val="lv" w:eastAsia="lv" w:bidi="lv"/>
      </w:rPr>
    </w:lvl>
    <w:lvl w:ilvl="6">
      <w:numFmt w:val="bullet"/>
      <w:lvlText w:val="•"/>
      <w:lvlJc w:val="left"/>
      <w:pPr>
        <w:ind w:left="7110" w:hanging="152"/>
      </w:pPr>
      <w:rPr>
        <w:rFonts w:hint="default"/>
        <w:lang w:val="lv" w:eastAsia="lv" w:bidi="lv"/>
      </w:rPr>
    </w:lvl>
    <w:lvl w:ilvl="7">
      <w:numFmt w:val="bullet"/>
      <w:lvlText w:val="•"/>
      <w:lvlJc w:val="left"/>
      <w:pPr>
        <w:ind w:left="7904" w:hanging="152"/>
      </w:pPr>
      <w:rPr>
        <w:rFonts w:hint="default"/>
        <w:lang w:val="lv" w:eastAsia="lv" w:bidi="lv"/>
      </w:rPr>
    </w:lvl>
    <w:lvl w:ilvl="8">
      <w:numFmt w:val="bullet"/>
      <w:lvlText w:val="•"/>
      <w:lvlJc w:val="left"/>
      <w:pPr>
        <w:ind w:left="8698" w:hanging="152"/>
      </w:pPr>
      <w:rPr>
        <w:rFonts w:hint="default"/>
        <w:lang w:val="lv" w:eastAsia="lv" w:bidi="lv"/>
      </w:rPr>
    </w:lvl>
  </w:abstractNum>
  <w:abstractNum w:abstractNumId="83" w15:restartNumberingAfterBreak="0">
    <w:nsid w:val="79C13234"/>
    <w:multiLevelType w:val="multilevel"/>
    <w:tmpl w:val="78167F08"/>
    <w:lvl w:ilvl="0">
      <w:start w:val="12"/>
      <w:numFmt w:val="decimal"/>
      <w:lvlText w:val="%1"/>
      <w:lvlJc w:val="left"/>
      <w:pPr>
        <w:ind w:left="758" w:hanging="540"/>
      </w:pPr>
      <w:rPr>
        <w:rFonts w:hint="default"/>
        <w:lang w:val="lv" w:eastAsia="lv" w:bidi="lv"/>
      </w:rPr>
    </w:lvl>
    <w:lvl w:ilvl="1">
      <w:start w:val="1"/>
      <w:numFmt w:val="decimal"/>
      <w:lvlText w:val="%1.%2."/>
      <w:lvlJc w:val="left"/>
      <w:pPr>
        <w:ind w:left="682" w:hanging="540"/>
        <w:jc w:val="right"/>
      </w:pPr>
      <w:rPr>
        <w:rFonts w:ascii="Times New Roman" w:eastAsia="Times New Roman" w:hAnsi="Times New Roman" w:cs="Times New Roman" w:hint="default"/>
        <w:b/>
        <w:bCs/>
        <w:i/>
        <w:color w:val="002069"/>
        <w:spacing w:val="-3"/>
        <w:w w:val="100"/>
        <w:sz w:val="24"/>
        <w:szCs w:val="24"/>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285" w:hanging="284"/>
      </w:pPr>
      <w:rPr>
        <w:rFonts w:hint="default"/>
        <w:lang w:val="lv" w:eastAsia="lv" w:bidi="lv"/>
      </w:rPr>
    </w:lvl>
    <w:lvl w:ilvl="4">
      <w:numFmt w:val="bullet"/>
      <w:lvlText w:val="•"/>
      <w:lvlJc w:val="left"/>
      <w:pPr>
        <w:ind w:left="4248" w:hanging="284"/>
      </w:pPr>
      <w:rPr>
        <w:rFonts w:hint="default"/>
        <w:lang w:val="lv" w:eastAsia="lv" w:bidi="lv"/>
      </w:rPr>
    </w:lvl>
    <w:lvl w:ilvl="5">
      <w:numFmt w:val="bullet"/>
      <w:lvlText w:val="•"/>
      <w:lvlJc w:val="left"/>
      <w:pPr>
        <w:ind w:left="5211" w:hanging="284"/>
      </w:pPr>
      <w:rPr>
        <w:rFonts w:hint="default"/>
        <w:lang w:val="lv" w:eastAsia="lv" w:bidi="lv"/>
      </w:rPr>
    </w:lvl>
    <w:lvl w:ilvl="6">
      <w:numFmt w:val="bullet"/>
      <w:lvlText w:val="•"/>
      <w:lvlJc w:val="left"/>
      <w:pPr>
        <w:ind w:left="6174" w:hanging="284"/>
      </w:pPr>
      <w:rPr>
        <w:rFonts w:hint="default"/>
        <w:lang w:val="lv" w:eastAsia="lv" w:bidi="lv"/>
      </w:rPr>
    </w:lvl>
    <w:lvl w:ilvl="7">
      <w:numFmt w:val="bullet"/>
      <w:lvlText w:val="•"/>
      <w:lvlJc w:val="left"/>
      <w:pPr>
        <w:ind w:left="7137" w:hanging="284"/>
      </w:pPr>
      <w:rPr>
        <w:rFonts w:hint="default"/>
        <w:lang w:val="lv" w:eastAsia="lv" w:bidi="lv"/>
      </w:rPr>
    </w:lvl>
    <w:lvl w:ilvl="8">
      <w:numFmt w:val="bullet"/>
      <w:lvlText w:val="•"/>
      <w:lvlJc w:val="left"/>
      <w:pPr>
        <w:ind w:left="8100" w:hanging="284"/>
      </w:pPr>
      <w:rPr>
        <w:rFonts w:hint="default"/>
        <w:lang w:val="lv" w:eastAsia="lv" w:bidi="lv"/>
      </w:rPr>
    </w:lvl>
  </w:abstractNum>
  <w:abstractNum w:abstractNumId="84" w15:restartNumberingAfterBreak="0">
    <w:nsid w:val="79C9622F"/>
    <w:multiLevelType w:val="multilevel"/>
    <w:tmpl w:val="D3644E3A"/>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85" w15:restartNumberingAfterBreak="0">
    <w:nsid w:val="7D0613AE"/>
    <w:multiLevelType w:val="hybridMultilevel"/>
    <w:tmpl w:val="55DE9D16"/>
    <w:lvl w:ilvl="0" w:tplc="039E0FD0">
      <w:numFmt w:val="bullet"/>
      <w:lvlText w:val="-"/>
      <w:lvlJc w:val="left"/>
      <w:pPr>
        <w:ind w:left="1733" w:hanging="358"/>
      </w:pPr>
      <w:rPr>
        <w:rFonts w:ascii="Times New Roman" w:eastAsia="Times New Roman" w:hAnsi="Times New Roman" w:cs="Times New Roman" w:hint="default"/>
        <w:w w:val="100"/>
        <w:sz w:val="22"/>
        <w:szCs w:val="22"/>
        <w:lang w:val="lv" w:eastAsia="lv" w:bidi="lv"/>
      </w:rPr>
    </w:lvl>
    <w:lvl w:ilvl="1" w:tplc="E4483D74">
      <w:numFmt w:val="bullet"/>
      <w:lvlText w:val="•"/>
      <w:lvlJc w:val="left"/>
      <w:pPr>
        <w:ind w:left="2568" w:hanging="358"/>
      </w:pPr>
      <w:rPr>
        <w:rFonts w:hint="default"/>
        <w:lang w:val="lv" w:eastAsia="lv" w:bidi="lv"/>
      </w:rPr>
    </w:lvl>
    <w:lvl w:ilvl="2" w:tplc="0046CB36">
      <w:numFmt w:val="bullet"/>
      <w:lvlText w:val="•"/>
      <w:lvlJc w:val="left"/>
      <w:pPr>
        <w:ind w:left="3397" w:hanging="358"/>
      </w:pPr>
      <w:rPr>
        <w:rFonts w:hint="default"/>
        <w:lang w:val="lv" w:eastAsia="lv" w:bidi="lv"/>
      </w:rPr>
    </w:lvl>
    <w:lvl w:ilvl="3" w:tplc="92F6552E">
      <w:numFmt w:val="bullet"/>
      <w:lvlText w:val="•"/>
      <w:lvlJc w:val="left"/>
      <w:pPr>
        <w:ind w:left="4225" w:hanging="358"/>
      </w:pPr>
      <w:rPr>
        <w:rFonts w:hint="default"/>
        <w:lang w:val="lv" w:eastAsia="lv" w:bidi="lv"/>
      </w:rPr>
    </w:lvl>
    <w:lvl w:ilvl="4" w:tplc="199A71DA">
      <w:numFmt w:val="bullet"/>
      <w:lvlText w:val="•"/>
      <w:lvlJc w:val="left"/>
      <w:pPr>
        <w:ind w:left="5054" w:hanging="358"/>
      </w:pPr>
      <w:rPr>
        <w:rFonts w:hint="default"/>
        <w:lang w:val="lv" w:eastAsia="lv" w:bidi="lv"/>
      </w:rPr>
    </w:lvl>
    <w:lvl w:ilvl="5" w:tplc="125479A4">
      <w:numFmt w:val="bullet"/>
      <w:lvlText w:val="•"/>
      <w:lvlJc w:val="left"/>
      <w:pPr>
        <w:ind w:left="5883" w:hanging="358"/>
      </w:pPr>
      <w:rPr>
        <w:rFonts w:hint="default"/>
        <w:lang w:val="lv" w:eastAsia="lv" w:bidi="lv"/>
      </w:rPr>
    </w:lvl>
    <w:lvl w:ilvl="6" w:tplc="FADC72DE">
      <w:numFmt w:val="bullet"/>
      <w:lvlText w:val="•"/>
      <w:lvlJc w:val="left"/>
      <w:pPr>
        <w:ind w:left="6711" w:hanging="358"/>
      </w:pPr>
      <w:rPr>
        <w:rFonts w:hint="default"/>
        <w:lang w:val="lv" w:eastAsia="lv" w:bidi="lv"/>
      </w:rPr>
    </w:lvl>
    <w:lvl w:ilvl="7" w:tplc="197C26CC">
      <w:numFmt w:val="bullet"/>
      <w:lvlText w:val="•"/>
      <w:lvlJc w:val="left"/>
      <w:pPr>
        <w:ind w:left="7540" w:hanging="358"/>
      </w:pPr>
      <w:rPr>
        <w:rFonts w:hint="default"/>
        <w:lang w:val="lv" w:eastAsia="lv" w:bidi="lv"/>
      </w:rPr>
    </w:lvl>
    <w:lvl w:ilvl="8" w:tplc="E7265880">
      <w:numFmt w:val="bullet"/>
      <w:lvlText w:val="•"/>
      <w:lvlJc w:val="left"/>
      <w:pPr>
        <w:ind w:left="8369" w:hanging="358"/>
      </w:pPr>
      <w:rPr>
        <w:rFonts w:hint="default"/>
        <w:lang w:val="lv" w:eastAsia="lv" w:bidi="lv"/>
      </w:rPr>
    </w:lvl>
  </w:abstractNum>
  <w:abstractNum w:abstractNumId="86" w15:restartNumberingAfterBreak="0">
    <w:nsid w:val="7E902DEE"/>
    <w:multiLevelType w:val="multilevel"/>
    <w:tmpl w:val="B8E0FB94"/>
    <w:lvl w:ilvl="0">
      <w:start w:val="10"/>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303" w:hanging="166"/>
      </w:pPr>
      <w:rPr>
        <w:rFonts w:ascii="Times New Roman" w:eastAsia="Times New Roman" w:hAnsi="Times New Roman" w:cs="Times New Roman" w:hint="default"/>
        <w:w w:val="100"/>
        <w:sz w:val="22"/>
        <w:szCs w:val="22"/>
        <w:lang w:val="lv" w:eastAsia="lv" w:bidi="lv"/>
      </w:rPr>
    </w:lvl>
    <w:lvl w:ilvl="4">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5">
      <w:numFmt w:val="bullet"/>
      <w:lvlText w:val="•"/>
      <w:lvlJc w:val="left"/>
      <w:pPr>
        <w:ind w:left="4278" w:hanging="358"/>
      </w:pPr>
      <w:rPr>
        <w:rFonts w:hint="default"/>
        <w:lang w:val="lv" w:eastAsia="lv" w:bidi="lv"/>
      </w:rPr>
    </w:lvl>
    <w:lvl w:ilvl="6">
      <w:numFmt w:val="bullet"/>
      <w:lvlText w:val="•"/>
      <w:lvlJc w:val="left"/>
      <w:pPr>
        <w:ind w:left="5488" w:hanging="358"/>
      </w:pPr>
      <w:rPr>
        <w:rFonts w:hint="default"/>
        <w:lang w:val="lv" w:eastAsia="lv" w:bidi="lv"/>
      </w:rPr>
    </w:lvl>
    <w:lvl w:ilvl="7">
      <w:numFmt w:val="bullet"/>
      <w:lvlText w:val="•"/>
      <w:lvlJc w:val="left"/>
      <w:pPr>
        <w:ind w:left="6697" w:hanging="358"/>
      </w:pPr>
      <w:rPr>
        <w:rFonts w:hint="default"/>
        <w:lang w:val="lv" w:eastAsia="lv" w:bidi="lv"/>
      </w:rPr>
    </w:lvl>
    <w:lvl w:ilvl="8">
      <w:numFmt w:val="bullet"/>
      <w:lvlText w:val="•"/>
      <w:lvlJc w:val="left"/>
      <w:pPr>
        <w:ind w:left="7907" w:hanging="358"/>
      </w:pPr>
      <w:rPr>
        <w:rFonts w:hint="default"/>
        <w:lang w:val="lv" w:eastAsia="lv" w:bidi="lv"/>
      </w:rPr>
    </w:lvl>
  </w:abstractNum>
  <w:abstractNum w:abstractNumId="87" w15:restartNumberingAfterBreak="0">
    <w:nsid w:val="7FB80C17"/>
    <w:multiLevelType w:val="multilevel"/>
    <w:tmpl w:val="4684AB02"/>
    <w:lvl w:ilvl="0">
      <w:start w:val="13"/>
      <w:numFmt w:val="decimal"/>
      <w:lvlText w:val="%1"/>
      <w:lvlJc w:val="left"/>
      <w:pPr>
        <w:ind w:left="751" w:hanging="533"/>
      </w:pPr>
      <w:rPr>
        <w:rFonts w:hint="default"/>
        <w:lang w:val="lv" w:eastAsia="lv" w:bidi="lv"/>
      </w:rPr>
    </w:lvl>
    <w:lvl w:ilvl="1">
      <w:start w:val="1"/>
      <w:numFmt w:val="decimal"/>
      <w:lvlText w:val="%1.%2."/>
      <w:lvlJc w:val="left"/>
      <w:pPr>
        <w:ind w:left="533" w:hanging="533"/>
        <w:jc w:val="right"/>
      </w:pPr>
      <w:rPr>
        <w:rFonts w:ascii="Times New Roman" w:eastAsia="Times New Roman" w:hAnsi="Times New Roman" w:cs="Times New Roman" w:hint="default"/>
        <w:b/>
        <w:bCs/>
        <w:i/>
        <w:color w:val="002069"/>
        <w:w w:val="100"/>
        <w:sz w:val="24"/>
        <w:szCs w:val="24"/>
        <w:lang w:val="lv" w:eastAsia="lv" w:bidi="lv"/>
      </w:rPr>
    </w:lvl>
    <w:lvl w:ilvl="2">
      <w:numFmt w:val="bullet"/>
      <w:lvlText w:val="*"/>
      <w:lvlJc w:val="left"/>
      <w:pPr>
        <w:ind w:left="1089" w:hanging="151"/>
      </w:pPr>
      <w:rPr>
        <w:rFonts w:ascii="Times New Roman" w:eastAsia="Times New Roman" w:hAnsi="Times New Roman" w:cs="Times New Roman" w:hint="default"/>
        <w:i/>
        <w:w w:val="99"/>
        <w:sz w:val="20"/>
        <w:szCs w:val="20"/>
        <w:lang w:val="lv" w:eastAsia="lv" w:bidi="lv"/>
      </w:rPr>
    </w:lvl>
    <w:lvl w:ilvl="3">
      <w:numFmt w:val="bullet"/>
      <w:lvlText w:val=""/>
      <w:lvlJc w:val="left"/>
      <w:pPr>
        <w:ind w:left="1811" w:hanging="284"/>
      </w:pPr>
      <w:rPr>
        <w:rFonts w:ascii="Symbol" w:eastAsia="Symbol" w:hAnsi="Symbol" w:cs="Symbol" w:hint="default"/>
        <w:w w:val="100"/>
        <w:sz w:val="22"/>
        <w:szCs w:val="22"/>
        <w:lang w:val="lv" w:eastAsia="lv" w:bidi="lv"/>
      </w:rPr>
    </w:lvl>
    <w:lvl w:ilvl="4">
      <w:numFmt w:val="bullet"/>
      <w:lvlText w:val="•"/>
      <w:lvlJc w:val="left"/>
      <w:pPr>
        <w:ind w:left="3029" w:hanging="284"/>
      </w:pPr>
      <w:rPr>
        <w:rFonts w:hint="default"/>
        <w:lang w:val="lv" w:eastAsia="lv" w:bidi="lv"/>
      </w:rPr>
    </w:lvl>
    <w:lvl w:ilvl="5">
      <w:numFmt w:val="bullet"/>
      <w:lvlText w:val="•"/>
      <w:lvlJc w:val="left"/>
      <w:pPr>
        <w:ind w:left="4238" w:hanging="284"/>
      </w:pPr>
      <w:rPr>
        <w:rFonts w:hint="default"/>
        <w:lang w:val="lv" w:eastAsia="lv" w:bidi="lv"/>
      </w:rPr>
    </w:lvl>
    <w:lvl w:ilvl="6">
      <w:numFmt w:val="bullet"/>
      <w:lvlText w:val="•"/>
      <w:lvlJc w:val="left"/>
      <w:pPr>
        <w:ind w:left="5448" w:hanging="284"/>
      </w:pPr>
      <w:rPr>
        <w:rFonts w:hint="default"/>
        <w:lang w:val="lv" w:eastAsia="lv" w:bidi="lv"/>
      </w:rPr>
    </w:lvl>
    <w:lvl w:ilvl="7">
      <w:numFmt w:val="bullet"/>
      <w:lvlText w:val="•"/>
      <w:lvlJc w:val="left"/>
      <w:pPr>
        <w:ind w:left="6657" w:hanging="284"/>
      </w:pPr>
      <w:rPr>
        <w:rFonts w:hint="default"/>
        <w:lang w:val="lv" w:eastAsia="lv" w:bidi="lv"/>
      </w:rPr>
    </w:lvl>
    <w:lvl w:ilvl="8">
      <w:numFmt w:val="bullet"/>
      <w:lvlText w:val="•"/>
      <w:lvlJc w:val="left"/>
      <w:pPr>
        <w:ind w:left="7867" w:hanging="284"/>
      </w:pPr>
      <w:rPr>
        <w:rFonts w:hint="default"/>
        <w:lang w:val="lv" w:eastAsia="lv" w:bidi="lv"/>
      </w:rPr>
    </w:lvl>
  </w:abstractNum>
  <w:num w:numId="1" w16cid:durableId="1964529738">
    <w:abstractNumId w:val="26"/>
  </w:num>
  <w:num w:numId="2" w16cid:durableId="960722782">
    <w:abstractNumId w:val="72"/>
  </w:num>
  <w:num w:numId="3" w16cid:durableId="1923369695">
    <w:abstractNumId w:val="79"/>
  </w:num>
  <w:num w:numId="4" w16cid:durableId="1132869622">
    <w:abstractNumId w:val="15"/>
  </w:num>
  <w:num w:numId="5" w16cid:durableId="674573491">
    <w:abstractNumId w:val="64"/>
  </w:num>
  <w:num w:numId="6" w16cid:durableId="1537423109">
    <w:abstractNumId w:val="33"/>
  </w:num>
  <w:num w:numId="7" w16cid:durableId="2018146586">
    <w:abstractNumId w:val="46"/>
  </w:num>
  <w:num w:numId="8" w16cid:durableId="1684093298">
    <w:abstractNumId w:val="49"/>
  </w:num>
  <w:num w:numId="9" w16cid:durableId="1374696064">
    <w:abstractNumId w:val="41"/>
  </w:num>
  <w:num w:numId="10" w16cid:durableId="752556167">
    <w:abstractNumId w:val="82"/>
  </w:num>
  <w:num w:numId="11" w16cid:durableId="401106210">
    <w:abstractNumId w:val="71"/>
  </w:num>
  <w:num w:numId="12" w16cid:durableId="472452221">
    <w:abstractNumId w:val="54"/>
  </w:num>
  <w:num w:numId="13" w16cid:durableId="1557544859">
    <w:abstractNumId w:val="31"/>
  </w:num>
  <w:num w:numId="14" w16cid:durableId="1921913903">
    <w:abstractNumId w:val="51"/>
  </w:num>
  <w:num w:numId="15" w16cid:durableId="310909047">
    <w:abstractNumId w:val="48"/>
  </w:num>
  <w:num w:numId="16" w16cid:durableId="1342463761">
    <w:abstractNumId w:val="3"/>
  </w:num>
  <w:num w:numId="17" w16cid:durableId="1422526030">
    <w:abstractNumId w:val="47"/>
  </w:num>
  <w:num w:numId="18" w16cid:durableId="651062195">
    <w:abstractNumId w:val="81"/>
  </w:num>
  <w:num w:numId="19" w16cid:durableId="157580279">
    <w:abstractNumId w:val="74"/>
  </w:num>
  <w:num w:numId="20" w16cid:durableId="2092845368">
    <w:abstractNumId w:val="11"/>
  </w:num>
  <w:num w:numId="21" w16cid:durableId="456074086">
    <w:abstractNumId w:val="14"/>
  </w:num>
  <w:num w:numId="22" w16cid:durableId="789781128">
    <w:abstractNumId w:val="25"/>
  </w:num>
  <w:num w:numId="23" w16cid:durableId="862597761">
    <w:abstractNumId w:val="87"/>
  </w:num>
  <w:num w:numId="24" w16cid:durableId="517230980">
    <w:abstractNumId w:val="20"/>
  </w:num>
  <w:num w:numId="25" w16cid:durableId="970789647">
    <w:abstractNumId w:val="73"/>
  </w:num>
  <w:num w:numId="26" w16cid:durableId="1589197213">
    <w:abstractNumId w:val="85"/>
  </w:num>
  <w:num w:numId="27" w16cid:durableId="893782328">
    <w:abstractNumId w:val="12"/>
  </w:num>
  <w:num w:numId="28" w16cid:durableId="1194542031">
    <w:abstractNumId w:val="78"/>
  </w:num>
  <w:num w:numId="29" w16cid:durableId="1906836703">
    <w:abstractNumId w:val="66"/>
  </w:num>
  <w:num w:numId="30" w16cid:durableId="1792018698">
    <w:abstractNumId w:val="83"/>
  </w:num>
  <w:num w:numId="31" w16cid:durableId="966204502">
    <w:abstractNumId w:val="37"/>
  </w:num>
  <w:num w:numId="32" w16cid:durableId="1312903291">
    <w:abstractNumId w:val="61"/>
  </w:num>
  <w:num w:numId="33" w16cid:durableId="1525943942">
    <w:abstractNumId w:val="4"/>
  </w:num>
  <w:num w:numId="34" w16cid:durableId="1717004908">
    <w:abstractNumId w:val="50"/>
  </w:num>
  <w:num w:numId="35" w16cid:durableId="1166280973">
    <w:abstractNumId w:val="2"/>
  </w:num>
  <w:num w:numId="36" w16cid:durableId="1880244517">
    <w:abstractNumId w:val="16"/>
  </w:num>
  <w:num w:numId="37" w16cid:durableId="1755740691">
    <w:abstractNumId w:val="0"/>
  </w:num>
  <w:num w:numId="38" w16cid:durableId="824317844">
    <w:abstractNumId w:val="38"/>
  </w:num>
  <w:num w:numId="39" w16cid:durableId="717630377">
    <w:abstractNumId w:val="53"/>
  </w:num>
  <w:num w:numId="40" w16cid:durableId="1298534220">
    <w:abstractNumId w:val="5"/>
  </w:num>
  <w:num w:numId="41" w16cid:durableId="1233008845">
    <w:abstractNumId w:val="36"/>
  </w:num>
  <w:num w:numId="42" w16cid:durableId="742875354">
    <w:abstractNumId w:val="40"/>
  </w:num>
  <w:num w:numId="43" w16cid:durableId="865631281">
    <w:abstractNumId w:val="24"/>
  </w:num>
  <w:num w:numId="44" w16cid:durableId="1901164918">
    <w:abstractNumId w:val="75"/>
  </w:num>
  <w:num w:numId="45" w16cid:durableId="541867904">
    <w:abstractNumId w:val="62"/>
  </w:num>
  <w:num w:numId="46" w16cid:durableId="1742634663">
    <w:abstractNumId w:val="76"/>
  </w:num>
  <w:num w:numId="47" w16cid:durableId="610354335">
    <w:abstractNumId w:val="19"/>
  </w:num>
  <w:num w:numId="48" w16cid:durableId="1580820998">
    <w:abstractNumId w:val="86"/>
  </w:num>
  <w:num w:numId="49" w16cid:durableId="1401638587">
    <w:abstractNumId w:val="63"/>
  </w:num>
  <w:num w:numId="50" w16cid:durableId="796412593">
    <w:abstractNumId w:val="77"/>
  </w:num>
  <w:num w:numId="51" w16cid:durableId="567614766">
    <w:abstractNumId w:val="44"/>
  </w:num>
  <w:num w:numId="52" w16cid:durableId="1801456460">
    <w:abstractNumId w:val="13"/>
  </w:num>
  <w:num w:numId="53" w16cid:durableId="2104572891">
    <w:abstractNumId w:val="42"/>
  </w:num>
  <w:num w:numId="54" w16cid:durableId="1810438460">
    <w:abstractNumId w:val="18"/>
  </w:num>
  <w:num w:numId="55" w16cid:durableId="559291128">
    <w:abstractNumId w:val="43"/>
  </w:num>
  <w:num w:numId="56" w16cid:durableId="1682929263">
    <w:abstractNumId w:val="21"/>
  </w:num>
  <w:num w:numId="57" w16cid:durableId="34550289">
    <w:abstractNumId w:val="27"/>
  </w:num>
  <w:num w:numId="58" w16cid:durableId="829101460">
    <w:abstractNumId w:val="39"/>
  </w:num>
  <w:num w:numId="59" w16cid:durableId="482934898">
    <w:abstractNumId w:val="35"/>
  </w:num>
  <w:num w:numId="60" w16cid:durableId="123474115">
    <w:abstractNumId w:val="9"/>
  </w:num>
  <w:num w:numId="61" w16cid:durableId="1051491432">
    <w:abstractNumId w:val="7"/>
  </w:num>
  <w:num w:numId="62" w16cid:durableId="1374379827">
    <w:abstractNumId w:val="30"/>
  </w:num>
  <w:num w:numId="63" w16cid:durableId="1519195195">
    <w:abstractNumId w:val="58"/>
  </w:num>
  <w:num w:numId="64" w16cid:durableId="1881892282">
    <w:abstractNumId w:val="59"/>
  </w:num>
  <w:num w:numId="65" w16cid:durableId="209538808">
    <w:abstractNumId w:val="23"/>
  </w:num>
  <w:num w:numId="66" w16cid:durableId="1533611057">
    <w:abstractNumId w:val="60"/>
  </w:num>
  <w:num w:numId="67" w16cid:durableId="1918442680">
    <w:abstractNumId w:val="10"/>
  </w:num>
  <w:num w:numId="68" w16cid:durableId="2040933284">
    <w:abstractNumId w:val="45"/>
  </w:num>
  <w:num w:numId="69" w16cid:durableId="775901657">
    <w:abstractNumId w:val="8"/>
  </w:num>
  <w:num w:numId="70" w16cid:durableId="1200360964">
    <w:abstractNumId w:val="65"/>
  </w:num>
  <w:num w:numId="71" w16cid:durableId="1447386035">
    <w:abstractNumId w:val="17"/>
  </w:num>
  <w:num w:numId="72" w16cid:durableId="1941911663">
    <w:abstractNumId w:val="56"/>
  </w:num>
  <w:num w:numId="73" w16cid:durableId="1380788165">
    <w:abstractNumId w:val="52"/>
  </w:num>
  <w:num w:numId="74" w16cid:durableId="706684354">
    <w:abstractNumId w:val="29"/>
  </w:num>
  <w:num w:numId="75" w16cid:durableId="2088770600">
    <w:abstractNumId w:val="57"/>
  </w:num>
  <w:num w:numId="76" w16cid:durableId="416482220">
    <w:abstractNumId w:val="84"/>
  </w:num>
  <w:num w:numId="77" w16cid:durableId="1694921250">
    <w:abstractNumId w:val="1"/>
  </w:num>
  <w:num w:numId="78" w16cid:durableId="145053668">
    <w:abstractNumId w:val="70"/>
  </w:num>
  <w:num w:numId="79" w16cid:durableId="1595095341">
    <w:abstractNumId w:val="34"/>
  </w:num>
  <w:num w:numId="80" w16cid:durableId="680164345">
    <w:abstractNumId w:val="6"/>
  </w:num>
  <w:num w:numId="81" w16cid:durableId="128715842">
    <w:abstractNumId w:val="68"/>
  </w:num>
  <w:num w:numId="82" w16cid:durableId="893540556">
    <w:abstractNumId w:val="32"/>
  </w:num>
  <w:num w:numId="83" w16cid:durableId="434903801">
    <w:abstractNumId w:val="67"/>
  </w:num>
  <w:num w:numId="84" w16cid:durableId="242953217">
    <w:abstractNumId w:val="55"/>
  </w:num>
  <w:num w:numId="85" w16cid:durableId="1636713378">
    <w:abstractNumId w:val="22"/>
  </w:num>
  <w:num w:numId="86" w16cid:durableId="537552435">
    <w:abstractNumId w:val="69"/>
  </w:num>
  <w:num w:numId="87" w16cid:durableId="451285305">
    <w:abstractNumId w:val="80"/>
  </w:num>
  <w:num w:numId="88" w16cid:durableId="1000934180">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AF1"/>
    <w:rsid w:val="00001E05"/>
    <w:rsid w:val="00003E93"/>
    <w:rsid w:val="000054D8"/>
    <w:rsid w:val="00011BE3"/>
    <w:rsid w:val="00013ED5"/>
    <w:rsid w:val="000152EE"/>
    <w:rsid w:val="00015E9E"/>
    <w:rsid w:val="0001718B"/>
    <w:rsid w:val="0002084A"/>
    <w:rsid w:val="00025159"/>
    <w:rsid w:val="000449B0"/>
    <w:rsid w:val="000449DA"/>
    <w:rsid w:val="00046F12"/>
    <w:rsid w:val="00047523"/>
    <w:rsid w:val="000533E4"/>
    <w:rsid w:val="0005430E"/>
    <w:rsid w:val="00064038"/>
    <w:rsid w:val="00066A58"/>
    <w:rsid w:val="000704F7"/>
    <w:rsid w:val="000716E2"/>
    <w:rsid w:val="00076FD2"/>
    <w:rsid w:val="000858FD"/>
    <w:rsid w:val="000863DC"/>
    <w:rsid w:val="00090DA6"/>
    <w:rsid w:val="000934AE"/>
    <w:rsid w:val="00094792"/>
    <w:rsid w:val="000A3767"/>
    <w:rsid w:val="000A3B6C"/>
    <w:rsid w:val="000A4D64"/>
    <w:rsid w:val="000A5BAF"/>
    <w:rsid w:val="000B3AA1"/>
    <w:rsid w:val="000B5467"/>
    <w:rsid w:val="000B55BE"/>
    <w:rsid w:val="000C00DE"/>
    <w:rsid w:val="000C15FC"/>
    <w:rsid w:val="000C335F"/>
    <w:rsid w:val="000C733E"/>
    <w:rsid w:val="000D0C48"/>
    <w:rsid w:val="000D29C5"/>
    <w:rsid w:val="000D3BE8"/>
    <w:rsid w:val="000D5228"/>
    <w:rsid w:val="000D6E90"/>
    <w:rsid w:val="000E0DCD"/>
    <w:rsid w:val="000E1F40"/>
    <w:rsid w:val="000F0C1F"/>
    <w:rsid w:val="000F4424"/>
    <w:rsid w:val="00100F64"/>
    <w:rsid w:val="00106051"/>
    <w:rsid w:val="00106224"/>
    <w:rsid w:val="00106E8E"/>
    <w:rsid w:val="0010766A"/>
    <w:rsid w:val="00112FC8"/>
    <w:rsid w:val="00113485"/>
    <w:rsid w:val="00113965"/>
    <w:rsid w:val="00120EAF"/>
    <w:rsid w:val="001226AD"/>
    <w:rsid w:val="00122E64"/>
    <w:rsid w:val="0013070E"/>
    <w:rsid w:val="00131418"/>
    <w:rsid w:val="00131F12"/>
    <w:rsid w:val="0013702A"/>
    <w:rsid w:val="00137AEB"/>
    <w:rsid w:val="00141596"/>
    <w:rsid w:val="00145D18"/>
    <w:rsid w:val="00145DDA"/>
    <w:rsid w:val="00150A37"/>
    <w:rsid w:val="00150DF4"/>
    <w:rsid w:val="00151000"/>
    <w:rsid w:val="00153B26"/>
    <w:rsid w:val="00155863"/>
    <w:rsid w:val="00156BF7"/>
    <w:rsid w:val="00163460"/>
    <w:rsid w:val="00164C11"/>
    <w:rsid w:val="00166CD1"/>
    <w:rsid w:val="00173039"/>
    <w:rsid w:val="00175452"/>
    <w:rsid w:val="00175D1D"/>
    <w:rsid w:val="001857C2"/>
    <w:rsid w:val="0019110B"/>
    <w:rsid w:val="00192E56"/>
    <w:rsid w:val="001944BC"/>
    <w:rsid w:val="00194964"/>
    <w:rsid w:val="0019517D"/>
    <w:rsid w:val="00195A06"/>
    <w:rsid w:val="00196C57"/>
    <w:rsid w:val="0019776C"/>
    <w:rsid w:val="001A49A3"/>
    <w:rsid w:val="001B4B53"/>
    <w:rsid w:val="001B517D"/>
    <w:rsid w:val="001B5D0F"/>
    <w:rsid w:val="001B6903"/>
    <w:rsid w:val="001C7AF1"/>
    <w:rsid w:val="001D0E75"/>
    <w:rsid w:val="001D16BD"/>
    <w:rsid w:val="001D19CC"/>
    <w:rsid w:val="001D30C9"/>
    <w:rsid w:val="001E5766"/>
    <w:rsid w:val="001E5C5A"/>
    <w:rsid w:val="001F5F2E"/>
    <w:rsid w:val="00202C8B"/>
    <w:rsid w:val="002074AC"/>
    <w:rsid w:val="00207C3D"/>
    <w:rsid w:val="00211DC8"/>
    <w:rsid w:val="00214734"/>
    <w:rsid w:val="00214C51"/>
    <w:rsid w:val="0021751A"/>
    <w:rsid w:val="002242A4"/>
    <w:rsid w:val="002270D9"/>
    <w:rsid w:val="00234149"/>
    <w:rsid w:val="00234F6C"/>
    <w:rsid w:val="00236CC0"/>
    <w:rsid w:val="00241517"/>
    <w:rsid w:val="0024559B"/>
    <w:rsid w:val="0024794F"/>
    <w:rsid w:val="00251C08"/>
    <w:rsid w:val="00252675"/>
    <w:rsid w:val="00252E1B"/>
    <w:rsid w:val="0025302F"/>
    <w:rsid w:val="002545CE"/>
    <w:rsid w:val="00255112"/>
    <w:rsid w:val="00255636"/>
    <w:rsid w:val="002561CC"/>
    <w:rsid w:val="002601A9"/>
    <w:rsid w:val="00261132"/>
    <w:rsid w:val="00261B81"/>
    <w:rsid w:val="00263594"/>
    <w:rsid w:val="00272491"/>
    <w:rsid w:val="00276A9D"/>
    <w:rsid w:val="002800AB"/>
    <w:rsid w:val="002804B9"/>
    <w:rsid w:val="002805AE"/>
    <w:rsid w:val="002822F6"/>
    <w:rsid w:val="00284241"/>
    <w:rsid w:val="0028541C"/>
    <w:rsid w:val="00291920"/>
    <w:rsid w:val="00295573"/>
    <w:rsid w:val="0029644D"/>
    <w:rsid w:val="002A3AEB"/>
    <w:rsid w:val="002B1074"/>
    <w:rsid w:val="002B2038"/>
    <w:rsid w:val="002B6804"/>
    <w:rsid w:val="002C19FC"/>
    <w:rsid w:val="002C4D93"/>
    <w:rsid w:val="002C583D"/>
    <w:rsid w:val="002C7E15"/>
    <w:rsid w:val="002D025A"/>
    <w:rsid w:val="002D6EFD"/>
    <w:rsid w:val="002E295E"/>
    <w:rsid w:val="002E3B42"/>
    <w:rsid w:val="002E5ED5"/>
    <w:rsid w:val="002E73EE"/>
    <w:rsid w:val="002E7CA6"/>
    <w:rsid w:val="002F1E6A"/>
    <w:rsid w:val="002F529F"/>
    <w:rsid w:val="0030152E"/>
    <w:rsid w:val="003031EB"/>
    <w:rsid w:val="00305719"/>
    <w:rsid w:val="00306D80"/>
    <w:rsid w:val="00307127"/>
    <w:rsid w:val="0031072E"/>
    <w:rsid w:val="00312C26"/>
    <w:rsid w:val="00312F3A"/>
    <w:rsid w:val="003131CB"/>
    <w:rsid w:val="00313665"/>
    <w:rsid w:val="00314F6B"/>
    <w:rsid w:val="00316517"/>
    <w:rsid w:val="003200B1"/>
    <w:rsid w:val="003202FC"/>
    <w:rsid w:val="00320B04"/>
    <w:rsid w:val="0032177E"/>
    <w:rsid w:val="00325D10"/>
    <w:rsid w:val="00335490"/>
    <w:rsid w:val="00343E6A"/>
    <w:rsid w:val="0034484A"/>
    <w:rsid w:val="00350467"/>
    <w:rsid w:val="003624D3"/>
    <w:rsid w:val="00366687"/>
    <w:rsid w:val="00370E9C"/>
    <w:rsid w:val="00383CB4"/>
    <w:rsid w:val="00385425"/>
    <w:rsid w:val="00386475"/>
    <w:rsid w:val="003870B3"/>
    <w:rsid w:val="003905EC"/>
    <w:rsid w:val="0039337E"/>
    <w:rsid w:val="0039603C"/>
    <w:rsid w:val="003A07A4"/>
    <w:rsid w:val="003A2626"/>
    <w:rsid w:val="003A3792"/>
    <w:rsid w:val="003A404B"/>
    <w:rsid w:val="003A5D6F"/>
    <w:rsid w:val="003A6579"/>
    <w:rsid w:val="003B01B5"/>
    <w:rsid w:val="003B09D1"/>
    <w:rsid w:val="003B4539"/>
    <w:rsid w:val="003B5C7A"/>
    <w:rsid w:val="003B6A46"/>
    <w:rsid w:val="003B6C6A"/>
    <w:rsid w:val="003B7E76"/>
    <w:rsid w:val="003C6DBC"/>
    <w:rsid w:val="003C7967"/>
    <w:rsid w:val="003D73ED"/>
    <w:rsid w:val="003E7E62"/>
    <w:rsid w:val="003F13B2"/>
    <w:rsid w:val="003F2C78"/>
    <w:rsid w:val="003F4AE1"/>
    <w:rsid w:val="003F4C9D"/>
    <w:rsid w:val="003F4D5B"/>
    <w:rsid w:val="003F558C"/>
    <w:rsid w:val="0040299A"/>
    <w:rsid w:val="00405A6B"/>
    <w:rsid w:val="00406C75"/>
    <w:rsid w:val="004071BD"/>
    <w:rsid w:val="004111ED"/>
    <w:rsid w:val="00415AC4"/>
    <w:rsid w:val="00422C48"/>
    <w:rsid w:val="00422C79"/>
    <w:rsid w:val="00424C78"/>
    <w:rsid w:val="00425CFC"/>
    <w:rsid w:val="00427287"/>
    <w:rsid w:val="00427382"/>
    <w:rsid w:val="004402F6"/>
    <w:rsid w:val="00442F19"/>
    <w:rsid w:val="00444BBE"/>
    <w:rsid w:val="00444FC6"/>
    <w:rsid w:val="00456250"/>
    <w:rsid w:val="00456326"/>
    <w:rsid w:val="004578FC"/>
    <w:rsid w:val="00462053"/>
    <w:rsid w:val="00464CB1"/>
    <w:rsid w:val="00465395"/>
    <w:rsid w:val="004728CA"/>
    <w:rsid w:val="00475C16"/>
    <w:rsid w:val="004764D7"/>
    <w:rsid w:val="0047674F"/>
    <w:rsid w:val="00480B32"/>
    <w:rsid w:val="00491414"/>
    <w:rsid w:val="00491A69"/>
    <w:rsid w:val="00491DCA"/>
    <w:rsid w:val="0049244F"/>
    <w:rsid w:val="00494D1D"/>
    <w:rsid w:val="004A0421"/>
    <w:rsid w:val="004A085E"/>
    <w:rsid w:val="004A20BD"/>
    <w:rsid w:val="004A336A"/>
    <w:rsid w:val="004B054D"/>
    <w:rsid w:val="004C2667"/>
    <w:rsid w:val="004C6E70"/>
    <w:rsid w:val="004C70CD"/>
    <w:rsid w:val="004D096A"/>
    <w:rsid w:val="004D1F84"/>
    <w:rsid w:val="004D21C1"/>
    <w:rsid w:val="004D5E34"/>
    <w:rsid w:val="004E0EA7"/>
    <w:rsid w:val="004E110B"/>
    <w:rsid w:val="004E199D"/>
    <w:rsid w:val="004E2EE1"/>
    <w:rsid w:val="004E4C4E"/>
    <w:rsid w:val="004E659D"/>
    <w:rsid w:val="004E6865"/>
    <w:rsid w:val="004F2B60"/>
    <w:rsid w:val="004F69C2"/>
    <w:rsid w:val="004F7F23"/>
    <w:rsid w:val="00503AAF"/>
    <w:rsid w:val="005056D3"/>
    <w:rsid w:val="00510BAA"/>
    <w:rsid w:val="00515B44"/>
    <w:rsid w:val="00521A61"/>
    <w:rsid w:val="005240CD"/>
    <w:rsid w:val="005249E7"/>
    <w:rsid w:val="00530C51"/>
    <w:rsid w:val="005327C8"/>
    <w:rsid w:val="00533A56"/>
    <w:rsid w:val="00535ACC"/>
    <w:rsid w:val="00537588"/>
    <w:rsid w:val="005405B1"/>
    <w:rsid w:val="005425B8"/>
    <w:rsid w:val="00547A28"/>
    <w:rsid w:val="005523EB"/>
    <w:rsid w:val="00554552"/>
    <w:rsid w:val="00566C1F"/>
    <w:rsid w:val="00572AEA"/>
    <w:rsid w:val="005737CD"/>
    <w:rsid w:val="00574971"/>
    <w:rsid w:val="00580751"/>
    <w:rsid w:val="00581DF1"/>
    <w:rsid w:val="00582867"/>
    <w:rsid w:val="00584C57"/>
    <w:rsid w:val="00591186"/>
    <w:rsid w:val="005916ED"/>
    <w:rsid w:val="00593CD4"/>
    <w:rsid w:val="0059521B"/>
    <w:rsid w:val="00597B46"/>
    <w:rsid w:val="005A6C87"/>
    <w:rsid w:val="005A7DF6"/>
    <w:rsid w:val="005C0308"/>
    <w:rsid w:val="005C132D"/>
    <w:rsid w:val="005C3E18"/>
    <w:rsid w:val="005C4E9F"/>
    <w:rsid w:val="005D16C3"/>
    <w:rsid w:val="005D1D45"/>
    <w:rsid w:val="005E167F"/>
    <w:rsid w:val="005E3E64"/>
    <w:rsid w:val="005E50CA"/>
    <w:rsid w:val="005E6E60"/>
    <w:rsid w:val="005F0120"/>
    <w:rsid w:val="005F2B59"/>
    <w:rsid w:val="005F4B26"/>
    <w:rsid w:val="005F5535"/>
    <w:rsid w:val="00605172"/>
    <w:rsid w:val="00607B28"/>
    <w:rsid w:val="00611649"/>
    <w:rsid w:val="00611BDE"/>
    <w:rsid w:val="00612E6B"/>
    <w:rsid w:val="00614DA8"/>
    <w:rsid w:val="006162DC"/>
    <w:rsid w:val="00617AD8"/>
    <w:rsid w:val="00620CB2"/>
    <w:rsid w:val="00621A84"/>
    <w:rsid w:val="00623F7D"/>
    <w:rsid w:val="00626DE4"/>
    <w:rsid w:val="006300AC"/>
    <w:rsid w:val="006333DB"/>
    <w:rsid w:val="00641BEB"/>
    <w:rsid w:val="006431E5"/>
    <w:rsid w:val="00643DFF"/>
    <w:rsid w:val="006527D2"/>
    <w:rsid w:val="006578B4"/>
    <w:rsid w:val="00662744"/>
    <w:rsid w:val="0066434B"/>
    <w:rsid w:val="00665A2E"/>
    <w:rsid w:val="0067061C"/>
    <w:rsid w:val="0067077E"/>
    <w:rsid w:val="006723A3"/>
    <w:rsid w:val="00672607"/>
    <w:rsid w:val="00673620"/>
    <w:rsid w:val="00673865"/>
    <w:rsid w:val="00675407"/>
    <w:rsid w:val="00675AC5"/>
    <w:rsid w:val="006827F6"/>
    <w:rsid w:val="00685752"/>
    <w:rsid w:val="00685A98"/>
    <w:rsid w:val="00685FED"/>
    <w:rsid w:val="00687E3F"/>
    <w:rsid w:val="00690D4B"/>
    <w:rsid w:val="00693565"/>
    <w:rsid w:val="00694AF3"/>
    <w:rsid w:val="00697496"/>
    <w:rsid w:val="006A4D8A"/>
    <w:rsid w:val="006C1945"/>
    <w:rsid w:val="006C3FD5"/>
    <w:rsid w:val="006D25F2"/>
    <w:rsid w:val="006D28D2"/>
    <w:rsid w:val="006D2D4D"/>
    <w:rsid w:val="006D5D54"/>
    <w:rsid w:val="006D602B"/>
    <w:rsid w:val="006F3F20"/>
    <w:rsid w:val="006F5001"/>
    <w:rsid w:val="006F5418"/>
    <w:rsid w:val="006F663F"/>
    <w:rsid w:val="007003E7"/>
    <w:rsid w:val="00702D1D"/>
    <w:rsid w:val="00704B42"/>
    <w:rsid w:val="00705460"/>
    <w:rsid w:val="00706FC2"/>
    <w:rsid w:val="00727368"/>
    <w:rsid w:val="007278E8"/>
    <w:rsid w:val="0073051F"/>
    <w:rsid w:val="00734EF7"/>
    <w:rsid w:val="00735134"/>
    <w:rsid w:val="00735B7B"/>
    <w:rsid w:val="007363E8"/>
    <w:rsid w:val="00742F00"/>
    <w:rsid w:val="00743394"/>
    <w:rsid w:val="00744E05"/>
    <w:rsid w:val="007532E7"/>
    <w:rsid w:val="0075773F"/>
    <w:rsid w:val="00763532"/>
    <w:rsid w:val="00763542"/>
    <w:rsid w:val="00766C98"/>
    <w:rsid w:val="00766EE6"/>
    <w:rsid w:val="0077064C"/>
    <w:rsid w:val="00771482"/>
    <w:rsid w:val="0077271B"/>
    <w:rsid w:val="00773B96"/>
    <w:rsid w:val="00782852"/>
    <w:rsid w:val="007830EC"/>
    <w:rsid w:val="007848BF"/>
    <w:rsid w:val="00784982"/>
    <w:rsid w:val="00791CF9"/>
    <w:rsid w:val="00792AA8"/>
    <w:rsid w:val="00794CF8"/>
    <w:rsid w:val="0079771B"/>
    <w:rsid w:val="007A0625"/>
    <w:rsid w:val="007A3746"/>
    <w:rsid w:val="007A4B27"/>
    <w:rsid w:val="007A4C54"/>
    <w:rsid w:val="007B0160"/>
    <w:rsid w:val="007C5376"/>
    <w:rsid w:val="007D0A35"/>
    <w:rsid w:val="007D15F8"/>
    <w:rsid w:val="007D214E"/>
    <w:rsid w:val="007E7E28"/>
    <w:rsid w:val="007F354E"/>
    <w:rsid w:val="007F3EFE"/>
    <w:rsid w:val="007F4970"/>
    <w:rsid w:val="007F4DB6"/>
    <w:rsid w:val="007F5DA5"/>
    <w:rsid w:val="007F6422"/>
    <w:rsid w:val="007F64D7"/>
    <w:rsid w:val="007F7C59"/>
    <w:rsid w:val="007F7EDC"/>
    <w:rsid w:val="008021EB"/>
    <w:rsid w:val="008038E2"/>
    <w:rsid w:val="00805016"/>
    <w:rsid w:val="00807650"/>
    <w:rsid w:val="00812262"/>
    <w:rsid w:val="00817B07"/>
    <w:rsid w:val="008205B3"/>
    <w:rsid w:val="00835875"/>
    <w:rsid w:val="00840849"/>
    <w:rsid w:val="00842D9D"/>
    <w:rsid w:val="0084666A"/>
    <w:rsid w:val="00852F31"/>
    <w:rsid w:val="00855E61"/>
    <w:rsid w:val="008577F3"/>
    <w:rsid w:val="00857DC8"/>
    <w:rsid w:val="00863E11"/>
    <w:rsid w:val="00870ECE"/>
    <w:rsid w:val="00873B6E"/>
    <w:rsid w:val="00873D29"/>
    <w:rsid w:val="00873DD7"/>
    <w:rsid w:val="0087441C"/>
    <w:rsid w:val="008873FD"/>
    <w:rsid w:val="00890841"/>
    <w:rsid w:val="00890D53"/>
    <w:rsid w:val="00893AB9"/>
    <w:rsid w:val="0089591A"/>
    <w:rsid w:val="008A6A29"/>
    <w:rsid w:val="008B3F73"/>
    <w:rsid w:val="008B5DDA"/>
    <w:rsid w:val="008B64E2"/>
    <w:rsid w:val="008B7172"/>
    <w:rsid w:val="008C1370"/>
    <w:rsid w:val="008C4312"/>
    <w:rsid w:val="008C7A8F"/>
    <w:rsid w:val="008D33CF"/>
    <w:rsid w:val="008D3BFB"/>
    <w:rsid w:val="008D404E"/>
    <w:rsid w:val="008D5006"/>
    <w:rsid w:val="008E1524"/>
    <w:rsid w:val="008E7CC8"/>
    <w:rsid w:val="008F580C"/>
    <w:rsid w:val="00902A2D"/>
    <w:rsid w:val="00906836"/>
    <w:rsid w:val="0091252A"/>
    <w:rsid w:val="00915161"/>
    <w:rsid w:val="009161AA"/>
    <w:rsid w:val="0091715D"/>
    <w:rsid w:val="00917AA6"/>
    <w:rsid w:val="009202E7"/>
    <w:rsid w:val="009217D5"/>
    <w:rsid w:val="00933E90"/>
    <w:rsid w:val="0093549D"/>
    <w:rsid w:val="009368D8"/>
    <w:rsid w:val="00936F47"/>
    <w:rsid w:val="00943ED6"/>
    <w:rsid w:val="00944FC6"/>
    <w:rsid w:val="00947653"/>
    <w:rsid w:val="009476B9"/>
    <w:rsid w:val="0094772B"/>
    <w:rsid w:val="00953398"/>
    <w:rsid w:val="00955C9A"/>
    <w:rsid w:val="00957029"/>
    <w:rsid w:val="00962BDB"/>
    <w:rsid w:val="00965DE1"/>
    <w:rsid w:val="009674ED"/>
    <w:rsid w:val="00967C11"/>
    <w:rsid w:val="0097123B"/>
    <w:rsid w:val="00972BA3"/>
    <w:rsid w:val="00973C47"/>
    <w:rsid w:val="00976CEC"/>
    <w:rsid w:val="0098048C"/>
    <w:rsid w:val="00980A79"/>
    <w:rsid w:val="00984C20"/>
    <w:rsid w:val="00984C35"/>
    <w:rsid w:val="00990660"/>
    <w:rsid w:val="009932B4"/>
    <w:rsid w:val="00995A00"/>
    <w:rsid w:val="009A1B54"/>
    <w:rsid w:val="009A1DE0"/>
    <w:rsid w:val="009A422F"/>
    <w:rsid w:val="009B6E2D"/>
    <w:rsid w:val="009C032B"/>
    <w:rsid w:val="009C0453"/>
    <w:rsid w:val="009C2378"/>
    <w:rsid w:val="009C51A4"/>
    <w:rsid w:val="009C676F"/>
    <w:rsid w:val="009D3FC5"/>
    <w:rsid w:val="009D70AF"/>
    <w:rsid w:val="009E1809"/>
    <w:rsid w:val="009E192A"/>
    <w:rsid w:val="009E1BFB"/>
    <w:rsid w:val="009E7B2C"/>
    <w:rsid w:val="009F0E3E"/>
    <w:rsid w:val="009F178F"/>
    <w:rsid w:val="009F6EC5"/>
    <w:rsid w:val="00A000F8"/>
    <w:rsid w:val="00A0101B"/>
    <w:rsid w:val="00A02AD3"/>
    <w:rsid w:val="00A0346E"/>
    <w:rsid w:val="00A03949"/>
    <w:rsid w:val="00A05F2E"/>
    <w:rsid w:val="00A101C1"/>
    <w:rsid w:val="00A13C30"/>
    <w:rsid w:val="00A14071"/>
    <w:rsid w:val="00A16DF9"/>
    <w:rsid w:val="00A17540"/>
    <w:rsid w:val="00A17A5E"/>
    <w:rsid w:val="00A24402"/>
    <w:rsid w:val="00A258F7"/>
    <w:rsid w:val="00A27C31"/>
    <w:rsid w:val="00A27F03"/>
    <w:rsid w:val="00A3016A"/>
    <w:rsid w:val="00A33E09"/>
    <w:rsid w:val="00A40E3F"/>
    <w:rsid w:val="00A44316"/>
    <w:rsid w:val="00A46490"/>
    <w:rsid w:val="00A51762"/>
    <w:rsid w:val="00A600FE"/>
    <w:rsid w:val="00A606DE"/>
    <w:rsid w:val="00A60C14"/>
    <w:rsid w:val="00A6103C"/>
    <w:rsid w:val="00A62FDC"/>
    <w:rsid w:val="00A650D8"/>
    <w:rsid w:val="00A70422"/>
    <w:rsid w:val="00A7063A"/>
    <w:rsid w:val="00A74C9A"/>
    <w:rsid w:val="00A76ED4"/>
    <w:rsid w:val="00A814F9"/>
    <w:rsid w:val="00A84D5C"/>
    <w:rsid w:val="00A859CB"/>
    <w:rsid w:val="00A87501"/>
    <w:rsid w:val="00A91072"/>
    <w:rsid w:val="00A93F67"/>
    <w:rsid w:val="00A97ECB"/>
    <w:rsid w:val="00AA1B61"/>
    <w:rsid w:val="00AA58C0"/>
    <w:rsid w:val="00AB485B"/>
    <w:rsid w:val="00AB700D"/>
    <w:rsid w:val="00AB7B8E"/>
    <w:rsid w:val="00AC1F14"/>
    <w:rsid w:val="00AC25B1"/>
    <w:rsid w:val="00AC651B"/>
    <w:rsid w:val="00AC75EB"/>
    <w:rsid w:val="00AD51FD"/>
    <w:rsid w:val="00AD5660"/>
    <w:rsid w:val="00AE2EB9"/>
    <w:rsid w:val="00AE3E23"/>
    <w:rsid w:val="00AE509B"/>
    <w:rsid w:val="00AE546D"/>
    <w:rsid w:val="00AE7CC6"/>
    <w:rsid w:val="00AE7DC5"/>
    <w:rsid w:val="00AF1383"/>
    <w:rsid w:val="00AF31A5"/>
    <w:rsid w:val="00AF4FC4"/>
    <w:rsid w:val="00B00260"/>
    <w:rsid w:val="00B024E1"/>
    <w:rsid w:val="00B025B5"/>
    <w:rsid w:val="00B03B24"/>
    <w:rsid w:val="00B05FF9"/>
    <w:rsid w:val="00B14C37"/>
    <w:rsid w:val="00B2173C"/>
    <w:rsid w:val="00B21F68"/>
    <w:rsid w:val="00B25A78"/>
    <w:rsid w:val="00B353BF"/>
    <w:rsid w:val="00B375D4"/>
    <w:rsid w:val="00B40175"/>
    <w:rsid w:val="00B467BF"/>
    <w:rsid w:val="00B46BBF"/>
    <w:rsid w:val="00B5051C"/>
    <w:rsid w:val="00B51E7D"/>
    <w:rsid w:val="00B5289A"/>
    <w:rsid w:val="00B56CF9"/>
    <w:rsid w:val="00B63262"/>
    <w:rsid w:val="00B70C6A"/>
    <w:rsid w:val="00B71D0D"/>
    <w:rsid w:val="00B81DB5"/>
    <w:rsid w:val="00B90024"/>
    <w:rsid w:val="00B9076B"/>
    <w:rsid w:val="00B95F82"/>
    <w:rsid w:val="00B97408"/>
    <w:rsid w:val="00BA1D0E"/>
    <w:rsid w:val="00BA1D66"/>
    <w:rsid w:val="00BA1E61"/>
    <w:rsid w:val="00BA3960"/>
    <w:rsid w:val="00BA434B"/>
    <w:rsid w:val="00BB53D1"/>
    <w:rsid w:val="00BB5B0D"/>
    <w:rsid w:val="00BB7691"/>
    <w:rsid w:val="00BC28FD"/>
    <w:rsid w:val="00BC323B"/>
    <w:rsid w:val="00BC36BD"/>
    <w:rsid w:val="00BC447D"/>
    <w:rsid w:val="00BC621D"/>
    <w:rsid w:val="00BD79BB"/>
    <w:rsid w:val="00BE2AB5"/>
    <w:rsid w:val="00BE40DD"/>
    <w:rsid w:val="00BE6A60"/>
    <w:rsid w:val="00BF30CA"/>
    <w:rsid w:val="00BF581C"/>
    <w:rsid w:val="00C00830"/>
    <w:rsid w:val="00C02B38"/>
    <w:rsid w:val="00C02F8C"/>
    <w:rsid w:val="00C04109"/>
    <w:rsid w:val="00C04249"/>
    <w:rsid w:val="00C04D6A"/>
    <w:rsid w:val="00C050E6"/>
    <w:rsid w:val="00C11075"/>
    <w:rsid w:val="00C12D68"/>
    <w:rsid w:val="00C15C8E"/>
    <w:rsid w:val="00C164CA"/>
    <w:rsid w:val="00C17807"/>
    <w:rsid w:val="00C23E4E"/>
    <w:rsid w:val="00C2489E"/>
    <w:rsid w:val="00C27248"/>
    <w:rsid w:val="00C27326"/>
    <w:rsid w:val="00C27BF6"/>
    <w:rsid w:val="00C31577"/>
    <w:rsid w:val="00C4286B"/>
    <w:rsid w:val="00C50A49"/>
    <w:rsid w:val="00C52A6F"/>
    <w:rsid w:val="00C539C5"/>
    <w:rsid w:val="00C54DD6"/>
    <w:rsid w:val="00C56E11"/>
    <w:rsid w:val="00C612A0"/>
    <w:rsid w:val="00C6183A"/>
    <w:rsid w:val="00C66A6D"/>
    <w:rsid w:val="00C66BA6"/>
    <w:rsid w:val="00C71736"/>
    <w:rsid w:val="00C73D76"/>
    <w:rsid w:val="00C75EAB"/>
    <w:rsid w:val="00C81AAB"/>
    <w:rsid w:val="00C95E30"/>
    <w:rsid w:val="00C9709D"/>
    <w:rsid w:val="00C97FCD"/>
    <w:rsid w:val="00CA0580"/>
    <w:rsid w:val="00CA64DE"/>
    <w:rsid w:val="00CB0A9F"/>
    <w:rsid w:val="00CB1B0D"/>
    <w:rsid w:val="00CB2CBA"/>
    <w:rsid w:val="00CC1FBD"/>
    <w:rsid w:val="00CC4570"/>
    <w:rsid w:val="00CC555F"/>
    <w:rsid w:val="00CC5587"/>
    <w:rsid w:val="00CD17F7"/>
    <w:rsid w:val="00CD363C"/>
    <w:rsid w:val="00CD541C"/>
    <w:rsid w:val="00CE0850"/>
    <w:rsid w:val="00CE0D94"/>
    <w:rsid w:val="00CE7A18"/>
    <w:rsid w:val="00CF0F61"/>
    <w:rsid w:val="00CF1811"/>
    <w:rsid w:val="00CF1AAF"/>
    <w:rsid w:val="00CF1ECF"/>
    <w:rsid w:val="00CF366A"/>
    <w:rsid w:val="00CF39BC"/>
    <w:rsid w:val="00CF6278"/>
    <w:rsid w:val="00CF63F1"/>
    <w:rsid w:val="00CF7818"/>
    <w:rsid w:val="00D06819"/>
    <w:rsid w:val="00D1005B"/>
    <w:rsid w:val="00D15D9B"/>
    <w:rsid w:val="00D1773D"/>
    <w:rsid w:val="00D209A4"/>
    <w:rsid w:val="00D215A3"/>
    <w:rsid w:val="00D218FE"/>
    <w:rsid w:val="00D2408D"/>
    <w:rsid w:val="00D25A97"/>
    <w:rsid w:val="00D26605"/>
    <w:rsid w:val="00D30471"/>
    <w:rsid w:val="00D32515"/>
    <w:rsid w:val="00D33421"/>
    <w:rsid w:val="00D33864"/>
    <w:rsid w:val="00D3722A"/>
    <w:rsid w:val="00D379E7"/>
    <w:rsid w:val="00D4205D"/>
    <w:rsid w:val="00D447ED"/>
    <w:rsid w:val="00D452AE"/>
    <w:rsid w:val="00D45915"/>
    <w:rsid w:val="00D478AB"/>
    <w:rsid w:val="00D504AA"/>
    <w:rsid w:val="00D54388"/>
    <w:rsid w:val="00D54B51"/>
    <w:rsid w:val="00D60CA0"/>
    <w:rsid w:val="00D700CC"/>
    <w:rsid w:val="00D73739"/>
    <w:rsid w:val="00D74001"/>
    <w:rsid w:val="00D81247"/>
    <w:rsid w:val="00D87EED"/>
    <w:rsid w:val="00D91708"/>
    <w:rsid w:val="00D9458E"/>
    <w:rsid w:val="00D9492B"/>
    <w:rsid w:val="00D9671A"/>
    <w:rsid w:val="00DA20F5"/>
    <w:rsid w:val="00DA21FE"/>
    <w:rsid w:val="00DA2D0D"/>
    <w:rsid w:val="00DA69C0"/>
    <w:rsid w:val="00DA7F1C"/>
    <w:rsid w:val="00DB1786"/>
    <w:rsid w:val="00DB2468"/>
    <w:rsid w:val="00DC06C4"/>
    <w:rsid w:val="00DC15D2"/>
    <w:rsid w:val="00DC6D9B"/>
    <w:rsid w:val="00DC75A2"/>
    <w:rsid w:val="00DC7A97"/>
    <w:rsid w:val="00DD176F"/>
    <w:rsid w:val="00DD2050"/>
    <w:rsid w:val="00DE0E9E"/>
    <w:rsid w:val="00DE2D71"/>
    <w:rsid w:val="00DE4093"/>
    <w:rsid w:val="00DE599E"/>
    <w:rsid w:val="00DF4380"/>
    <w:rsid w:val="00E00DDA"/>
    <w:rsid w:val="00E11ED4"/>
    <w:rsid w:val="00E12769"/>
    <w:rsid w:val="00E14B06"/>
    <w:rsid w:val="00E15DD2"/>
    <w:rsid w:val="00E164A9"/>
    <w:rsid w:val="00E168EE"/>
    <w:rsid w:val="00E23135"/>
    <w:rsid w:val="00E24C39"/>
    <w:rsid w:val="00E31E2F"/>
    <w:rsid w:val="00E32CCB"/>
    <w:rsid w:val="00E375F9"/>
    <w:rsid w:val="00E3771B"/>
    <w:rsid w:val="00E44FF9"/>
    <w:rsid w:val="00E45B00"/>
    <w:rsid w:val="00E514F2"/>
    <w:rsid w:val="00E53BA4"/>
    <w:rsid w:val="00E56070"/>
    <w:rsid w:val="00E563E5"/>
    <w:rsid w:val="00E56C37"/>
    <w:rsid w:val="00E64267"/>
    <w:rsid w:val="00E84C62"/>
    <w:rsid w:val="00E8679A"/>
    <w:rsid w:val="00E91827"/>
    <w:rsid w:val="00E91C84"/>
    <w:rsid w:val="00E92F5D"/>
    <w:rsid w:val="00E93146"/>
    <w:rsid w:val="00EA18F8"/>
    <w:rsid w:val="00EA1BFB"/>
    <w:rsid w:val="00EB0B6B"/>
    <w:rsid w:val="00EB33A4"/>
    <w:rsid w:val="00EB51E9"/>
    <w:rsid w:val="00EB5A96"/>
    <w:rsid w:val="00EB773D"/>
    <w:rsid w:val="00EC06D1"/>
    <w:rsid w:val="00EC22C4"/>
    <w:rsid w:val="00EC3DEE"/>
    <w:rsid w:val="00EC4F85"/>
    <w:rsid w:val="00EC535C"/>
    <w:rsid w:val="00ED23F0"/>
    <w:rsid w:val="00ED62E9"/>
    <w:rsid w:val="00EE40E9"/>
    <w:rsid w:val="00EF324B"/>
    <w:rsid w:val="00EF4B40"/>
    <w:rsid w:val="00EF4E69"/>
    <w:rsid w:val="00EF4FF7"/>
    <w:rsid w:val="00EF5294"/>
    <w:rsid w:val="00EF62CA"/>
    <w:rsid w:val="00EF63D8"/>
    <w:rsid w:val="00F038B0"/>
    <w:rsid w:val="00F113FE"/>
    <w:rsid w:val="00F1523B"/>
    <w:rsid w:val="00F175C4"/>
    <w:rsid w:val="00F17625"/>
    <w:rsid w:val="00F24B0A"/>
    <w:rsid w:val="00F31413"/>
    <w:rsid w:val="00F31D1E"/>
    <w:rsid w:val="00F33B7A"/>
    <w:rsid w:val="00F36682"/>
    <w:rsid w:val="00F368BE"/>
    <w:rsid w:val="00F37ECE"/>
    <w:rsid w:val="00F42363"/>
    <w:rsid w:val="00F42B0E"/>
    <w:rsid w:val="00F6239A"/>
    <w:rsid w:val="00F62C41"/>
    <w:rsid w:val="00F7586F"/>
    <w:rsid w:val="00F807D3"/>
    <w:rsid w:val="00F82339"/>
    <w:rsid w:val="00F82F4D"/>
    <w:rsid w:val="00F92CCB"/>
    <w:rsid w:val="00F94052"/>
    <w:rsid w:val="00F943E5"/>
    <w:rsid w:val="00F96D2A"/>
    <w:rsid w:val="00F97FA7"/>
    <w:rsid w:val="00FA60AF"/>
    <w:rsid w:val="00FB4919"/>
    <w:rsid w:val="00FB6347"/>
    <w:rsid w:val="00FB6FC1"/>
    <w:rsid w:val="00FB7766"/>
    <w:rsid w:val="00FC0E27"/>
    <w:rsid w:val="00FD0919"/>
    <w:rsid w:val="00FD1FD3"/>
    <w:rsid w:val="00FD256E"/>
    <w:rsid w:val="00FD3C9A"/>
    <w:rsid w:val="00FD62F2"/>
    <w:rsid w:val="00FF0E73"/>
    <w:rsid w:val="00FF1C69"/>
    <w:rsid w:val="00FF23D8"/>
    <w:rsid w:val="00FF58CA"/>
    <w:rsid w:val="00FF61DC"/>
    <w:rsid w:val="00FF65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49380"/>
  <w15:docId w15:val="{837107A6-FFE7-47BD-9F8C-A28B8A24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E4093"/>
  </w:style>
  <w:style w:type="paragraph" w:styleId="Virsraksts1">
    <w:name w:val="heading 1"/>
    <w:basedOn w:val="Parasts"/>
    <w:link w:val="Virsraksts1Rakstz"/>
    <w:uiPriority w:val="9"/>
    <w:qFormat/>
    <w:rsid w:val="000533E4"/>
    <w:pPr>
      <w:widowControl w:val="0"/>
      <w:autoSpaceDE w:val="0"/>
      <w:autoSpaceDN w:val="0"/>
      <w:spacing w:before="48" w:after="0" w:line="240" w:lineRule="auto"/>
      <w:ind w:left="218"/>
      <w:outlineLvl w:val="0"/>
    </w:pPr>
    <w:rPr>
      <w:rFonts w:ascii="Times New Roman" w:eastAsia="Times New Roman" w:hAnsi="Times New Roman" w:cs="Times New Roman"/>
      <w:sz w:val="56"/>
      <w:szCs w:val="56"/>
      <w:lang w:val="lv" w:eastAsia="lv"/>
    </w:rPr>
  </w:style>
  <w:style w:type="paragraph" w:styleId="Virsraksts2">
    <w:name w:val="heading 2"/>
    <w:basedOn w:val="Parasts"/>
    <w:link w:val="Virsraksts2Rakstz"/>
    <w:uiPriority w:val="9"/>
    <w:unhideWhenUsed/>
    <w:qFormat/>
    <w:rsid w:val="000533E4"/>
    <w:pPr>
      <w:widowControl w:val="0"/>
      <w:autoSpaceDE w:val="0"/>
      <w:autoSpaceDN w:val="0"/>
      <w:spacing w:after="0" w:line="240" w:lineRule="auto"/>
      <w:ind w:right="36"/>
      <w:jc w:val="center"/>
      <w:outlineLvl w:val="1"/>
    </w:pPr>
    <w:rPr>
      <w:rFonts w:ascii="Times New Roman" w:eastAsia="Times New Roman" w:hAnsi="Times New Roman" w:cs="Times New Roman"/>
      <w:b/>
      <w:bCs/>
      <w:sz w:val="32"/>
      <w:szCs w:val="32"/>
      <w:lang w:val="lv" w:eastAsia="lv"/>
    </w:rPr>
  </w:style>
  <w:style w:type="paragraph" w:styleId="Virsraksts3">
    <w:name w:val="heading 3"/>
    <w:basedOn w:val="Parasts"/>
    <w:link w:val="Virsraksts3Rakstz"/>
    <w:uiPriority w:val="9"/>
    <w:unhideWhenUsed/>
    <w:qFormat/>
    <w:rsid w:val="000533E4"/>
    <w:pPr>
      <w:widowControl w:val="0"/>
      <w:autoSpaceDE w:val="0"/>
      <w:autoSpaceDN w:val="0"/>
      <w:spacing w:before="90" w:after="0" w:line="240" w:lineRule="auto"/>
      <w:ind w:left="218"/>
      <w:jc w:val="center"/>
      <w:outlineLvl w:val="2"/>
    </w:pPr>
    <w:rPr>
      <w:rFonts w:ascii="Times New Roman" w:eastAsia="Times New Roman" w:hAnsi="Times New Roman" w:cs="Times New Roman"/>
      <w:b/>
      <w:bCs/>
      <w:sz w:val="24"/>
      <w:szCs w:val="24"/>
      <w:lang w:val="lv" w:eastAsia="lv"/>
    </w:rPr>
  </w:style>
  <w:style w:type="paragraph" w:styleId="Virsraksts4">
    <w:name w:val="heading 4"/>
    <w:basedOn w:val="Parasts"/>
    <w:link w:val="Virsraksts4Rakstz"/>
    <w:uiPriority w:val="9"/>
    <w:unhideWhenUsed/>
    <w:qFormat/>
    <w:rsid w:val="00DA7F1C"/>
    <w:pPr>
      <w:widowControl w:val="0"/>
      <w:autoSpaceDE w:val="0"/>
      <w:autoSpaceDN w:val="0"/>
      <w:spacing w:before="72" w:after="0" w:line="240" w:lineRule="auto"/>
      <w:ind w:left="758"/>
      <w:outlineLvl w:val="3"/>
    </w:pPr>
    <w:rPr>
      <w:rFonts w:ascii="Times New Roman" w:eastAsia="Times New Roman" w:hAnsi="Times New Roman" w:cs="Times New Roman"/>
      <w:b/>
      <w:bCs/>
      <w:i/>
      <w:sz w:val="24"/>
      <w:szCs w:val="24"/>
    </w:rPr>
  </w:style>
  <w:style w:type="paragraph" w:styleId="Virsraksts5">
    <w:name w:val="heading 5"/>
    <w:basedOn w:val="Parasts"/>
    <w:link w:val="Virsraksts5Rakstz"/>
    <w:uiPriority w:val="9"/>
    <w:unhideWhenUsed/>
    <w:qFormat/>
    <w:rsid w:val="00DA7F1C"/>
    <w:pPr>
      <w:widowControl w:val="0"/>
      <w:autoSpaceDE w:val="0"/>
      <w:autoSpaceDN w:val="0"/>
      <w:spacing w:after="0" w:line="240" w:lineRule="auto"/>
      <w:outlineLvl w:val="4"/>
    </w:pPr>
    <w:rPr>
      <w:rFonts w:ascii="Times New Roman" w:eastAsia="Times New Roman" w:hAnsi="Times New Roman" w:cs="Times New Roman"/>
      <w:sz w:val="24"/>
      <w:szCs w:val="24"/>
    </w:rPr>
  </w:style>
  <w:style w:type="paragraph" w:styleId="Virsraksts6">
    <w:name w:val="heading 6"/>
    <w:basedOn w:val="Parasts"/>
    <w:link w:val="Virsraksts6Rakstz"/>
    <w:uiPriority w:val="9"/>
    <w:unhideWhenUsed/>
    <w:qFormat/>
    <w:rsid w:val="00DA7F1C"/>
    <w:pPr>
      <w:widowControl w:val="0"/>
      <w:autoSpaceDE w:val="0"/>
      <w:autoSpaceDN w:val="0"/>
      <w:spacing w:after="0" w:line="240" w:lineRule="auto"/>
      <w:ind w:left="338"/>
      <w:outlineLvl w:val="5"/>
    </w:pPr>
    <w:rPr>
      <w:rFonts w:ascii="Times New Roman" w:eastAsia="Times New Roman" w:hAnsi="Times New Roman" w:cs="Times New Roman"/>
      <w:b/>
      <w:bCs/>
    </w:rPr>
  </w:style>
  <w:style w:type="paragraph" w:styleId="Virsraksts7">
    <w:name w:val="heading 7"/>
    <w:basedOn w:val="Parasts"/>
    <w:next w:val="Parasts"/>
    <w:link w:val="Virsraksts7Rakstz"/>
    <w:uiPriority w:val="1"/>
    <w:unhideWhenUsed/>
    <w:qFormat/>
    <w:rsid w:val="00CE0D9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67077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7077E"/>
  </w:style>
  <w:style w:type="paragraph" w:styleId="Kjene">
    <w:name w:val="footer"/>
    <w:basedOn w:val="Parasts"/>
    <w:link w:val="KjeneRakstz"/>
    <w:uiPriority w:val="99"/>
    <w:unhideWhenUsed/>
    <w:rsid w:val="0067077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7077E"/>
  </w:style>
  <w:style w:type="table" w:styleId="Reatabula">
    <w:name w:val="Table Grid"/>
    <w:basedOn w:val="Parastatabula"/>
    <w:uiPriority w:val="39"/>
    <w:rsid w:val="009E1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5A7DF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39337E"/>
    <w:rPr>
      <w:color w:val="0000FF"/>
      <w:u w:val="single"/>
    </w:rPr>
  </w:style>
  <w:style w:type="paragraph" w:styleId="Sarakstarindkopa">
    <w:name w:val="List Paragraph"/>
    <w:basedOn w:val="Parasts"/>
    <w:uiPriority w:val="34"/>
    <w:qFormat/>
    <w:rsid w:val="0039337E"/>
    <w:pPr>
      <w:ind w:left="720"/>
      <w:contextualSpacing/>
    </w:pPr>
  </w:style>
  <w:style w:type="paragraph" w:styleId="Pamatteksts">
    <w:name w:val="Body Text"/>
    <w:basedOn w:val="Parasts"/>
    <w:link w:val="PamattekstsRakstz"/>
    <w:uiPriority w:val="1"/>
    <w:qFormat/>
    <w:rsid w:val="00263594"/>
    <w:pPr>
      <w:widowControl w:val="0"/>
      <w:autoSpaceDE w:val="0"/>
      <w:autoSpaceDN w:val="0"/>
      <w:spacing w:after="0" w:line="240" w:lineRule="auto"/>
    </w:pPr>
    <w:rPr>
      <w:rFonts w:ascii="Times New Roman" w:eastAsia="Times New Roman" w:hAnsi="Times New Roman" w:cs="Times New Roman"/>
    </w:rPr>
  </w:style>
  <w:style w:type="character" w:customStyle="1" w:styleId="PamattekstsRakstz">
    <w:name w:val="Pamatteksts Rakstz."/>
    <w:basedOn w:val="Noklusjumarindkopasfonts"/>
    <w:link w:val="Pamatteksts"/>
    <w:uiPriority w:val="1"/>
    <w:rsid w:val="00263594"/>
    <w:rPr>
      <w:rFonts w:ascii="Times New Roman" w:eastAsia="Times New Roman" w:hAnsi="Times New Roman" w:cs="Times New Roman"/>
    </w:rPr>
  </w:style>
  <w:style w:type="paragraph" w:customStyle="1" w:styleId="TableParagraph">
    <w:name w:val="Table Paragraph"/>
    <w:basedOn w:val="Parasts"/>
    <w:uiPriority w:val="1"/>
    <w:qFormat/>
    <w:rsid w:val="00263594"/>
    <w:pPr>
      <w:widowControl w:val="0"/>
      <w:autoSpaceDE w:val="0"/>
      <w:autoSpaceDN w:val="0"/>
      <w:spacing w:after="0" w:line="240" w:lineRule="auto"/>
    </w:pPr>
    <w:rPr>
      <w:rFonts w:ascii="Times New Roman" w:eastAsia="Times New Roman" w:hAnsi="Times New Roman" w:cs="Times New Roman"/>
    </w:rPr>
  </w:style>
  <w:style w:type="character" w:customStyle="1" w:styleId="Virsraksts4Rakstz">
    <w:name w:val="Virsraksts 4 Rakstz."/>
    <w:basedOn w:val="Noklusjumarindkopasfonts"/>
    <w:link w:val="Virsraksts4"/>
    <w:uiPriority w:val="9"/>
    <w:rsid w:val="00DA7F1C"/>
    <w:rPr>
      <w:rFonts w:ascii="Times New Roman" w:eastAsia="Times New Roman" w:hAnsi="Times New Roman" w:cs="Times New Roman"/>
      <w:b/>
      <w:bCs/>
      <w:i/>
      <w:sz w:val="24"/>
      <w:szCs w:val="24"/>
    </w:rPr>
  </w:style>
  <w:style w:type="character" w:customStyle="1" w:styleId="Virsraksts5Rakstz">
    <w:name w:val="Virsraksts 5 Rakstz."/>
    <w:basedOn w:val="Noklusjumarindkopasfonts"/>
    <w:link w:val="Virsraksts5"/>
    <w:uiPriority w:val="9"/>
    <w:rsid w:val="00DA7F1C"/>
    <w:rPr>
      <w:rFonts w:ascii="Times New Roman" w:eastAsia="Times New Roman" w:hAnsi="Times New Roman" w:cs="Times New Roman"/>
      <w:sz w:val="24"/>
      <w:szCs w:val="24"/>
    </w:rPr>
  </w:style>
  <w:style w:type="character" w:customStyle="1" w:styleId="Virsraksts6Rakstz">
    <w:name w:val="Virsraksts 6 Rakstz."/>
    <w:basedOn w:val="Noklusjumarindkopasfonts"/>
    <w:link w:val="Virsraksts6"/>
    <w:uiPriority w:val="9"/>
    <w:rsid w:val="00DA7F1C"/>
    <w:rPr>
      <w:rFonts w:ascii="Times New Roman" w:eastAsia="Times New Roman" w:hAnsi="Times New Roman" w:cs="Times New Roman"/>
      <w:b/>
      <w:bCs/>
    </w:rPr>
  </w:style>
  <w:style w:type="paragraph" w:styleId="Balonteksts">
    <w:name w:val="Balloon Text"/>
    <w:basedOn w:val="Parasts"/>
    <w:link w:val="BalontekstsRakstz"/>
    <w:uiPriority w:val="99"/>
    <w:semiHidden/>
    <w:unhideWhenUsed/>
    <w:rsid w:val="002270D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270D9"/>
    <w:rPr>
      <w:rFonts w:ascii="Tahoma" w:hAnsi="Tahoma" w:cs="Tahoma"/>
      <w:sz w:val="16"/>
      <w:szCs w:val="16"/>
    </w:rPr>
  </w:style>
  <w:style w:type="character" w:styleId="Komentraatsauce">
    <w:name w:val="annotation reference"/>
    <w:basedOn w:val="Noklusjumarindkopasfonts"/>
    <w:uiPriority w:val="99"/>
    <w:semiHidden/>
    <w:unhideWhenUsed/>
    <w:rsid w:val="007F6422"/>
    <w:rPr>
      <w:sz w:val="16"/>
      <w:szCs w:val="16"/>
    </w:rPr>
  </w:style>
  <w:style w:type="paragraph" w:styleId="Komentrateksts">
    <w:name w:val="annotation text"/>
    <w:basedOn w:val="Parasts"/>
    <w:link w:val="KomentratekstsRakstz"/>
    <w:uiPriority w:val="99"/>
    <w:semiHidden/>
    <w:unhideWhenUsed/>
    <w:rsid w:val="007F642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7F6422"/>
    <w:rPr>
      <w:sz w:val="20"/>
      <w:szCs w:val="20"/>
    </w:rPr>
  </w:style>
  <w:style w:type="paragraph" w:styleId="Komentratma">
    <w:name w:val="annotation subject"/>
    <w:basedOn w:val="Komentrateksts"/>
    <w:next w:val="Komentrateksts"/>
    <w:link w:val="KomentratmaRakstz"/>
    <w:uiPriority w:val="99"/>
    <w:semiHidden/>
    <w:unhideWhenUsed/>
    <w:rsid w:val="007F6422"/>
    <w:rPr>
      <w:b/>
      <w:bCs/>
    </w:rPr>
  </w:style>
  <w:style w:type="character" w:customStyle="1" w:styleId="KomentratmaRakstz">
    <w:name w:val="Komentāra tēma Rakstz."/>
    <w:basedOn w:val="KomentratekstsRakstz"/>
    <w:link w:val="Komentratma"/>
    <w:uiPriority w:val="99"/>
    <w:semiHidden/>
    <w:rsid w:val="007F6422"/>
    <w:rPr>
      <w:b/>
      <w:bCs/>
      <w:sz w:val="20"/>
      <w:szCs w:val="20"/>
    </w:rPr>
  </w:style>
  <w:style w:type="character" w:customStyle="1" w:styleId="Virsraksts7Rakstz">
    <w:name w:val="Virsraksts 7 Rakstz."/>
    <w:basedOn w:val="Noklusjumarindkopasfonts"/>
    <w:link w:val="Virsraksts7"/>
    <w:uiPriority w:val="9"/>
    <w:rsid w:val="00CE0D94"/>
    <w:rPr>
      <w:rFonts w:asciiTheme="majorHAnsi" w:eastAsiaTheme="majorEastAsia" w:hAnsiTheme="majorHAnsi" w:cstheme="majorBidi"/>
      <w:i/>
      <w:iCs/>
      <w:color w:val="1F3763" w:themeColor="accent1" w:themeShade="7F"/>
    </w:rPr>
  </w:style>
  <w:style w:type="character" w:customStyle="1" w:styleId="Virsraksts1Rakstz">
    <w:name w:val="Virsraksts 1 Rakstz."/>
    <w:basedOn w:val="Noklusjumarindkopasfonts"/>
    <w:link w:val="Virsraksts1"/>
    <w:uiPriority w:val="9"/>
    <w:rsid w:val="000533E4"/>
    <w:rPr>
      <w:rFonts w:ascii="Times New Roman" w:eastAsia="Times New Roman" w:hAnsi="Times New Roman" w:cs="Times New Roman"/>
      <w:sz w:val="56"/>
      <w:szCs w:val="56"/>
      <w:lang w:val="lv" w:eastAsia="lv"/>
    </w:rPr>
  </w:style>
  <w:style w:type="character" w:customStyle="1" w:styleId="Virsraksts2Rakstz">
    <w:name w:val="Virsraksts 2 Rakstz."/>
    <w:basedOn w:val="Noklusjumarindkopasfonts"/>
    <w:link w:val="Virsraksts2"/>
    <w:uiPriority w:val="9"/>
    <w:rsid w:val="000533E4"/>
    <w:rPr>
      <w:rFonts w:ascii="Times New Roman" w:eastAsia="Times New Roman" w:hAnsi="Times New Roman" w:cs="Times New Roman"/>
      <w:b/>
      <w:bCs/>
      <w:sz w:val="32"/>
      <w:szCs w:val="32"/>
      <w:lang w:val="lv" w:eastAsia="lv"/>
    </w:rPr>
  </w:style>
  <w:style w:type="character" w:customStyle="1" w:styleId="Virsraksts3Rakstz">
    <w:name w:val="Virsraksts 3 Rakstz."/>
    <w:basedOn w:val="Noklusjumarindkopasfonts"/>
    <w:link w:val="Virsraksts3"/>
    <w:uiPriority w:val="9"/>
    <w:rsid w:val="000533E4"/>
    <w:rPr>
      <w:rFonts w:ascii="Times New Roman" w:eastAsia="Times New Roman" w:hAnsi="Times New Roman" w:cs="Times New Roman"/>
      <w:b/>
      <w:bCs/>
      <w:sz w:val="24"/>
      <w:szCs w:val="24"/>
      <w:lang w:val="lv" w:eastAsia="lv"/>
    </w:rPr>
  </w:style>
  <w:style w:type="paragraph" w:styleId="Saturs1">
    <w:name w:val="toc 1"/>
    <w:basedOn w:val="Parasts"/>
    <w:uiPriority w:val="1"/>
    <w:qFormat/>
    <w:rsid w:val="000533E4"/>
    <w:pPr>
      <w:widowControl w:val="0"/>
      <w:autoSpaceDE w:val="0"/>
      <w:autoSpaceDN w:val="0"/>
      <w:spacing w:before="169" w:after="0" w:line="240" w:lineRule="auto"/>
      <w:ind w:left="258"/>
    </w:pPr>
    <w:rPr>
      <w:rFonts w:ascii="Arial" w:eastAsia="Arial" w:hAnsi="Arial" w:cs="Times New Roman"/>
      <w:b/>
      <w:bCs/>
      <w:sz w:val="20"/>
      <w:szCs w:val="20"/>
      <w:lang w:val="lv" w:eastAsia="lv"/>
    </w:rPr>
  </w:style>
  <w:style w:type="paragraph" w:styleId="Saturs2">
    <w:name w:val="toc 2"/>
    <w:basedOn w:val="Parasts"/>
    <w:uiPriority w:val="1"/>
    <w:qFormat/>
    <w:rsid w:val="000533E4"/>
    <w:pPr>
      <w:widowControl w:val="0"/>
      <w:autoSpaceDE w:val="0"/>
      <w:autoSpaceDN w:val="0"/>
      <w:spacing w:before="51" w:after="0" w:line="240" w:lineRule="auto"/>
      <w:ind w:left="918" w:hanging="439"/>
    </w:pPr>
    <w:rPr>
      <w:rFonts w:ascii="Arial" w:eastAsia="Arial" w:hAnsi="Arial" w:cs="Times New Roman"/>
      <w:sz w:val="16"/>
      <w:szCs w:val="16"/>
      <w:lang w:val="lv" w:eastAsia="lv"/>
    </w:rPr>
  </w:style>
  <w:style w:type="paragraph" w:styleId="Saturs3">
    <w:name w:val="toc 3"/>
    <w:basedOn w:val="Parasts"/>
    <w:uiPriority w:val="1"/>
    <w:qFormat/>
    <w:rsid w:val="000533E4"/>
    <w:pPr>
      <w:widowControl w:val="0"/>
      <w:autoSpaceDE w:val="0"/>
      <w:autoSpaceDN w:val="0"/>
      <w:spacing w:before="51" w:after="0" w:line="240" w:lineRule="auto"/>
      <w:ind w:left="918" w:hanging="439"/>
    </w:pPr>
    <w:rPr>
      <w:rFonts w:ascii="Arial" w:eastAsia="Arial" w:hAnsi="Arial" w:cs="Times New Roman"/>
      <w:b/>
      <w:bCs/>
      <w:i/>
      <w:lang w:val="lv" w:eastAsia="lv"/>
    </w:rPr>
  </w:style>
  <w:style w:type="paragraph" w:styleId="Saturs4">
    <w:name w:val="toc 4"/>
    <w:basedOn w:val="Parasts"/>
    <w:uiPriority w:val="1"/>
    <w:qFormat/>
    <w:rsid w:val="000533E4"/>
    <w:pPr>
      <w:widowControl w:val="0"/>
      <w:autoSpaceDE w:val="0"/>
      <w:autoSpaceDN w:val="0"/>
      <w:spacing w:before="48" w:after="0" w:line="240" w:lineRule="auto"/>
      <w:ind w:left="698"/>
    </w:pPr>
    <w:rPr>
      <w:rFonts w:ascii="Trebuchet MS" w:eastAsia="Trebuchet MS" w:hAnsi="Trebuchet MS" w:cs="Times New Roman"/>
      <w:i/>
      <w:sz w:val="20"/>
      <w:szCs w:val="20"/>
      <w:lang w:val="lv" w:eastAsia="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900">
      <w:bodyDiv w:val="1"/>
      <w:marLeft w:val="0"/>
      <w:marRight w:val="0"/>
      <w:marTop w:val="0"/>
      <w:marBottom w:val="0"/>
      <w:divBdr>
        <w:top w:val="none" w:sz="0" w:space="0" w:color="auto"/>
        <w:left w:val="none" w:sz="0" w:space="0" w:color="auto"/>
        <w:bottom w:val="none" w:sz="0" w:space="0" w:color="auto"/>
        <w:right w:val="none" w:sz="0" w:space="0" w:color="auto"/>
      </w:divBdr>
      <w:divsChild>
        <w:div w:id="486869235">
          <w:marLeft w:val="0"/>
          <w:marRight w:val="0"/>
          <w:marTop w:val="0"/>
          <w:marBottom w:val="0"/>
          <w:divBdr>
            <w:top w:val="none" w:sz="0" w:space="0" w:color="auto"/>
            <w:left w:val="none" w:sz="0" w:space="0" w:color="auto"/>
            <w:bottom w:val="none" w:sz="0" w:space="0" w:color="auto"/>
            <w:right w:val="none" w:sz="0" w:space="0" w:color="auto"/>
          </w:divBdr>
        </w:div>
        <w:div w:id="1524203455">
          <w:marLeft w:val="0"/>
          <w:marRight w:val="0"/>
          <w:marTop w:val="0"/>
          <w:marBottom w:val="0"/>
          <w:divBdr>
            <w:top w:val="none" w:sz="0" w:space="0" w:color="auto"/>
            <w:left w:val="none" w:sz="0" w:space="0" w:color="auto"/>
            <w:bottom w:val="none" w:sz="0" w:space="0" w:color="auto"/>
            <w:right w:val="none" w:sz="0" w:space="0" w:color="auto"/>
          </w:divBdr>
        </w:div>
      </w:divsChild>
    </w:div>
    <w:div w:id="477065879">
      <w:bodyDiv w:val="1"/>
      <w:marLeft w:val="0"/>
      <w:marRight w:val="0"/>
      <w:marTop w:val="0"/>
      <w:marBottom w:val="0"/>
      <w:divBdr>
        <w:top w:val="none" w:sz="0" w:space="0" w:color="auto"/>
        <w:left w:val="none" w:sz="0" w:space="0" w:color="auto"/>
        <w:bottom w:val="none" w:sz="0" w:space="0" w:color="auto"/>
        <w:right w:val="none" w:sz="0" w:space="0" w:color="auto"/>
      </w:divBdr>
    </w:div>
    <w:div w:id="551037455">
      <w:bodyDiv w:val="1"/>
      <w:marLeft w:val="0"/>
      <w:marRight w:val="0"/>
      <w:marTop w:val="0"/>
      <w:marBottom w:val="0"/>
      <w:divBdr>
        <w:top w:val="none" w:sz="0" w:space="0" w:color="auto"/>
        <w:left w:val="none" w:sz="0" w:space="0" w:color="auto"/>
        <w:bottom w:val="none" w:sz="0" w:space="0" w:color="auto"/>
        <w:right w:val="none" w:sz="0" w:space="0" w:color="auto"/>
      </w:divBdr>
    </w:div>
    <w:div w:id="751706097">
      <w:bodyDiv w:val="1"/>
      <w:marLeft w:val="0"/>
      <w:marRight w:val="0"/>
      <w:marTop w:val="0"/>
      <w:marBottom w:val="0"/>
      <w:divBdr>
        <w:top w:val="none" w:sz="0" w:space="0" w:color="auto"/>
        <w:left w:val="none" w:sz="0" w:space="0" w:color="auto"/>
        <w:bottom w:val="none" w:sz="0" w:space="0" w:color="auto"/>
        <w:right w:val="none" w:sz="0" w:space="0" w:color="auto"/>
      </w:divBdr>
      <w:divsChild>
        <w:div w:id="371271320">
          <w:marLeft w:val="0"/>
          <w:marRight w:val="0"/>
          <w:marTop w:val="0"/>
          <w:marBottom w:val="0"/>
          <w:divBdr>
            <w:top w:val="none" w:sz="0" w:space="0" w:color="auto"/>
            <w:left w:val="none" w:sz="0" w:space="0" w:color="auto"/>
            <w:bottom w:val="none" w:sz="0" w:space="0" w:color="auto"/>
            <w:right w:val="none" w:sz="0" w:space="0" w:color="auto"/>
          </w:divBdr>
        </w:div>
        <w:div w:id="765882015">
          <w:marLeft w:val="0"/>
          <w:marRight w:val="0"/>
          <w:marTop w:val="0"/>
          <w:marBottom w:val="0"/>
          <w:divBdr>
            <w:top w:val="none" w:sz="0" w:space="0" w:color="auto"/>
            <w:left w:val="none" w:sz="0" w:space="0" w:color="auto"/>
            <w:bottom w:val="none" w:sz="0" w:space="0" w:color="auto"/>
            <w:right w:val="none" w:sz="0" w:space="0" w:color="auto"/>
          </w:divBdr>
        </w:div>
        <w:div w:id="74131989">
          <w:marLeft w:val="0"/>
          <w:marRight w:val="0"/>
          <w:marTop w:val="0"/>
          <w:marBottom w:val="0"/>
          <w:divBdr>
            <w:top w:val="none" w:sz="0" w:space="0" w:color="auto"/>
            <w:left w:val="none" w:sz="0" w:space="0" w:color="auto"/>
            <w:bottom w:val="none" w:sz="0" w:space="0" w:color="auto"/>
            <w:right w:val="none" w:sz="0" w:space="0" w:color="auto"/>
          </w:divBdr>
        </w:div>
        <w:div w:id="2043090574">
          <w:marLeft w:val="0"/>
          <w:marRight w:val="0"/>
          <w:marTop w:val="0"/>
          <w:marBottom w:val="0"/>
          <w:divBdr>
            <w:top w:val="none" w:sz="0" w:space="0" w:color="auto"/>
            <w:left w:val="none" w:sz="0" w:space="0" w:color="auto"/>
            <w:bottom w:val="none" w:sz="0" w:space="0" w:color="auto"/>
            <w:right w:val="none" w:sz="0" w:space="0" w:color="auto"/>
          </w:divBdr>
        </w:div>
        <w:div w:id="1577592540">
          <w:marLeft w:val="0"/>
          <w:marRight w:val="0"/>
          <w:marTop w:val="0"/>
          <w:marBottom w:val="0"/>
          <w:divBdr>
            <w:top w:val="none" w:sz="0" w:space="0" w:color="auto"/>
            <w:left w:val="none" w:sz="0" w:space="0" w:color="auto"/>
            <w:bottom w:val="none" w:sz="0" w:space="0" w:color="auto"/>
            <w:right w:val="none" w:sz="0" w:space="0" w:color="auto"/>
          </w:divBdr>
        </w:div>
        <w:div w:id="1183932355">
          <w:marLeft w:val="0"/>
          <w:marRight w:val="0"/>
          <w:marTop w:val="0"/>
          <w:marBottom w:val="0"/>
          <w:divBdr>
            <w:top w:val="none" w:sz="0" w:space="0" w:color="auto"/>
            <w:left w:val="none" w:sz="0" w:space="0" w:color="auto"/>
            <w:bottom w:val="none" w:sz="0" w:space="0" w:color="auto"/>
            <w:right w:val="none" w:sz="0" w:space="0" w:color="auto"/>
          </w:divBdr>
        </w:div>
        <w:div w:id="1830901430">
          <w:marLeft w:val="0"/>
          <w:marRight w:val="0"/>
          <w:marTop w:val="0"/>
          <w:marBottom w:val="0"/>
          <w:divBdr>
            <w:top w:val="none" w:sz="0" w:space="0" w:color="auto"/>
            <w:left w:val="none" w:sz="0" w:space="0" w:color="auto"/>
            <w:bottom w:val="none" w:sz="0" w:space="0" w:color="auto"/>
            <w:right w:val="none" w:sz="0" w:space="0" w:color="auto"/>
          </w:divBdr>
        </w:div>
        <w:div w:id="897278226">
          <w:marLeft w:val="0"/>
          <w:marRight w:val="0"/>
          <w:marTop w:val="0"/>
          <w:marBottom w:val="0"/>
          <w:divBdr>
            <w:top w:val="none" w:sz="0" w:space="0" w:color="auto"/>
            <w:left w:val="none" w:sz="0" w:space="0" w:color="auto"/>
            <w:bottom w:val="none" w:sz="0" w:space="0" w:color="auto"/>
            <w:right w:val="none" w:sz="0" w:space="0" w:color="auto"/>
          </w:divBdr>
        </w:div>
        <w:div w:id="642735232">
          <w:marLeft w:val="0"/>
          <w:marRight w:val="0"/>
          <w:marTop w:val="0"/>
          <w:marBottom w:val="0"/>
          <w:divBdr>
            <w:top w:val="none" w:sz="0" w:space="0" w:color="auto"/>
            <w:left w:val="none" w:sz="0" w:space="0" w:color="auto"/>
            <w:bottom w:val="none" w:sz="0" w:space="0" w:color="auto"/>
            <w:right w:val="none" w:sz="0" w:space="0" w:color="auto"/>
          </w:divBdr>
        </w:div>
        <w:div w:id="1160076376">
          <w:marLeft w:val="0"/>
          <w:marRight w:val="0"/>
          <w:marTop w:val="0"/>
          <w:marBottom w:val="0"/>
          <w:divBdr>
            <w:top w:val="none" w:sz="0" w:space="0" w:color="auto"/>
            <w:left w:val="none" w:sz="0" w:space="0" w:color="auto"/>
            <w:bottom w:val="none" w:sz="0" w:space="0" w:color="auto"/>
            <w:right w:val="none" w:sz="0" w:space="0" w:color="auto"/>
          </w:divBdr>
        </w:div>
        <w:div w:id="1104230522">
          <w:marLeft w:val="0"/>
          <w:marRight w:val="0"/>
          <w:marTop w:val="0"/>
          <w:marBottom w:val="0"/>
          <w:divBdr>
            <w:top w:val="none" w:sz="0" w:space="0" w:color="auto"/>
            <w:left w:val="none" w:sz="0" w:space="0" w:color="auto"/>
            <w:bottom w:val="none" w:sz="0" w:space="0" w:color="auto"/>
            <w:right w:val="none" w:sz="0" w:space="0" w:color="auto"/>
          </w:divBdr>
        </w:div>
        <w:div w:id="1073087244">
          <w:marLeft w:val="0"/>
          <w:marRight w:val="0"/>
          <w:marTop w:val="0"/>
          <w:marBottom w:val="0"/>
          <w:divBdr>
            <w:top w:val="none" w:sz="0" w:space="0" w:color="auto"/>
            <w:left w:val="none" w:sz="0" w:space="0" w:color="auto"/>
            <w:bottom w:val="none" w:sz="0" w:space="0" w:color="auto"/>
            <w:right w:val="none" w:sz="0" w:space="0" w:color="auto"/>
          </w:divBdr>
        </w:div>
        <w:div w:id="1982688398">
          <w:marLeft w:val="0"/>
          <w:marRight w:val="0"/>
          <w:marTop w:val="0"/>
          <w:marBottom w:val="0"/>
          <w:divBdr>
            <w:top w:val="none" w:sz="0" w:space="0" w:color="auto"/>
            <w:left w:val="none" w:sz="0" w:space="0" w:color="auto"/>
            <w:bottom w:val="none" w:sz="0" w:space="0" w:color="auto"/>
            <w:right w:val="none" w:sz="0" w:space="0" w:color="auto"/>
          </w:divBdr>
        </w:div>
      </w:divsChild>
    </w:div>
    <w:div w:id="898201863">
      <w:bodyDiv w:val="1"/>
      <w:marLeft w:val="0"/>
      <w:marRight w:val="0"/>
      <w:marTop w:val="0"/>
      <w:marBottom w:val="0"/>
      <w:divBdr>
        <w:top w:val="none" w:sz="0" w:space="0" w:color="auto"/>
        <w:left w:val="none" w:sz="0" w:space="0" w:color="auto"/>
        <w:bottom w:val="none" w:sz="0" w:space="0" w:color="auto"/>
        <w:right w:val="none" w:sz="0" w:space="0" w:color="auto"/>
      </w:divBdr>
    </w:div>
    <w:div w:id="973633695">
      <w:bodyDiv w:val="1"/>
      <w:marLeft w:val="0"/>
      <w:marRight w:val="0"/>
      <w:marTop w:val="0"/>
      <w:marBottom w:val="0"/>
      <w:divBdr>
        <w:top w:val="none" w:sz="0" w:space="0" w:color="auto"/>
        <w:left w:val="none" w:sz="0" w:space="0" w:color="auto"/>
        <w:bottom w:val="none" w:sz="0" w:space="0" w:color="auto"/>
        <w:right w:val="none" w:sz="0" w:space="0" w:color="auto"/>
      </w:divBdr>
      <w:divsChild>
        <w:div w:id="807935802">
          <w:marLeft w:val="0"/>
          <w:marRight w:val="0"/>
          <w:marTop w:val="0"/>
          <w:marBottom w:val="0"/>
          <w:divBdr>
            <w:top w:val="none" w:sz="0" w:space="0" w:color="auto"/>
            <w:left w:val="none" w:sz="0" w:space="0" w:color="auto"/>
            <w:bottom w:val="none" w:sz="0" w:space="0" w:color="auto"/>
            <w:right w:val="none" w:sz="0" w:space="0" w:color="auto"/>
          </w:divBdr>
        </w:div>
        <w:div w:id="178353047">
          <w:marLeft w:val="0"/>
          <w:marRight w:val="0"/>
          <w:marTop w:val="0"/>
          <w:marBottom w:val="0"/>
          <w:divBdr>
            <w:top w:val="none" w:sz="0" w:space="0" w:color="auto"/>
            <w:left w:val="none" w:sz="0" w:space="0" w:color="auto"/>
            <w:bottom w:val="none" w:sz="0" w:space="0" w:color="auto"/>
            <w:right w:val="none" w:sz="0" w:space="0" w:color="auto"/>
          </w:divBdr>
        </w:div>
        <w:div w:id="460880222">
          <w:marLeft w:val="0"/>
          <w:marRight w:val="0"/>
          <w:marTop w:val="0"/>
          <w:marBottom w:val="0"/>
          <w:divBdr>
            <w:top w:val="none" w:sz="0" w:space="0" w:color="auto"/>
            <w:left w:val="none" w:sz="0" w:space="0" w:color="auto"/>
            <w:bottom w:val="none" w:sz="0" w:space="0" w:color="auto"/>
            <w:right w:val="none" w:sz="0" w:space="0" w:color="auto"/>
          </w:divBdr>
        </w:div>
        <w:div w:id="989600728">
          <w:marLeft w:val="0"/>
          <w:marRight w:val="0"/>
          <w:marTop w:val="0"/>
          <w:marBottom w:val="0"/>
          <w:divBdr>
            <w:top w:val="none" w:sz="0" w:space="0" w:color="auto"/>
            <w:left w:val="none" w:sz="0" w:space="0" w:color="auto"/>
            <w:bottom w:val="none" w:sz="0" w:space="0" w:color="auto"/>
            <w:right w:val="none" w:sz="0" w:space="0" w:color="auto"/>
          </w:divBdr>
        </w:div>
        <w:div w:id="747965637">
          <w:marLeft w:val="0"/>
          <w:marRight w:val="0"/>
          <w:marTop w:val="0"/>
          <w:marBottom w:val="0"/>
          <w:divBdr>
            <w:top w:val="none" w:sz="0" w:space="0" w:color="auto"/>
            <w:left w:val="none" w:sz="0" w:space="0" w:color="auto"/>
            <w:bottom w:val="none" w:sz="0" w:space="0" w:color="auto"/>
            <w:right w:val="none" w:sz="0" w:space="0" w:color="auto"/>
          </w:divBdr>
        </w:div>
        <w:div w:id="1797917416">
          <w:marLeft w:val="0"/>
          <w:marRight w:val="0"/>
          <w:marTop w:val="0"/>
          <w:marBottom w:val="0"/>
          <w:divBdr>
            <w:top w:val="none" w:sz="0" w:space="0" w:color="auto"/>
            <w:left w:val="none" w:sz="0" w:space="0" w:color="auto"/>
            <w:bottom w:val="none" w:sz="0" w:space="0" w:color="auto"/>
            <w:right w:val="none" w:sz="0" w:space="0" w:color="auto"/>
          </w:divBdr>
        </w:div>
        <w:div w:id="1593005460">
          <w:marLeft w:val="0"/>
          <w:marRight w:val="0"/>
          <w:marTop w:val="0"/>
          <w:marBottom w:val="0"/>
          <w:divBdr>
            <w:top w:val="none" w:sz="0" w:space="0" w:color="auto"/>
            <w:left w:val="none" w:sz="0" w:space="0" w:color="auto"/>
            <w:bottom w:val="none" w:sz="0" w:space="0" w:color="auto"/>
            <w:right w:val="none" w:sz="0" w:space="0" w:color="auto"/>
          </w:divBdr>
        </w:div>
      </w:divsChild>
    </w:div>
    <w:div w:id="1153830831">
      <w:bodyDiv w:val="1"/>
      <w:marLeft w:val="0"/>
      <w:marRight w:val="0"/>
      <w:marTop w:val="0"/>
      <w:marBottom w:val="0"/>
      <w:divBdr>
        <w:top w:val="none" w:sz="0" w:space="0" w:color="auto"/>
        <w:left w:val="none" w:sz="0" w:space="0" w:color="auto"/>
        <w:bottom w:val="none" w:sz="0" w:space="0" w:color="auto"/>
        <w:right w:val="none" w:sz="0" w:space="0" w:color="auto"/>
      </w:divBdr>
    </w:div>
    <w:div w:id="1422994644">
      <w:bodyDiv w:val="1"/>
      <w:marLeft w:val="0"/>
      <w:marRight w:val="0"/>
      <w:marTop w:val="0"/>
      <w:marBottom w:val="0"/>
      <w:divBdr>
        <w:top w:val="none" w:sz="0" w:space="0" w:color="auto"/>
        <w:left w:val="none" w:sz="0" w:space="0" w:color="auto"/>
        <w:bottom w:val="none" w:sz="0" w:space="0" w:color="auto"/>
        <w:right w:val="none" w:sz="0" w:space="0" w:color="auto"/>
      </w:divBdr>
    </w:div>
    <w:div w:id="1545824184">
      <w:bodyDiv w:val="1"/>
      <w:marLeft w:val="0"/>
      <w:marRight w:val="0"/>
      <w:marTop w:val="0"/>
      <w:marBottom w:val="0"/>
      <w:divBdr>
        <w:top w:val="none" w:sz="0" w:space="0" w:color="auto"/>
        <w:left w:val="none" w:sz="0" w:space="0" w:color="auto"/>
        <w:bottom w:val="none" w:sz="0" w:space="0" w:color="auto"/>
        <w:right w:val="none" w:sz="0" w:space="0" w:color="auto"/>
      </w:divBdr>
      <w:divsChild>
        <w:div w:id="258147424">
          <w:marLeft w:val="0"/>
          <w:marRight w:val="0"/>
          <w:marTop w:val="0"/>
          <w:marBottom w:val="0"/>
          <w:divBdr>
            <w:top w:val="none" w:sz="0" w:space="0" w:color="auto"/>
            <w:left w:val="none" w:sz="0" w:space="0" w:color="auto"/>
            <w:bottom w:val="none" w:sz="0" w:space="0" w:color="auto"/>
            <w:right w:val="none" w:sz="0" w:space="0" w:color="auto"/>
          </w:divBdr>
        </w:div>
        <w:div w:id="1373185596">
          <w:marLeft w:val="0"/>
          <w:marRight w:val="0"/>
          <w:marTop w:val="0"/>
          <w:marBottom w:val="0"/>
          <w:divBdr>
            <w:top w:val="none" w:sz="0" w:space="0" w:color="auto"/>
            <w:left w:val="none" w:sz="0" w:space="0" w:color="auto"/>
            <w:bottom w:val="none" w:sz="0" w:space="0" w:color="auto"/>
            <w:right w:val="none" w:sz="0" w:space="0" w:color="auto"/>
          </w:divBdr>
        </w:div>
      </w:divsChild>
    </w:div>
    <w:div w:id="2064791142">
      <w:bodyDiv w:val="1"/>
      <w:marLeft w:val="0"/>
      <w:marRight w:val="0"/>
      <w:marTop w:val="0"/>
      <w:marBottom w:val="0"/>
      <w:divBdr>
        <w:top w:val="none" w:sz="0" w:space="0" w:color="auto"/>
        <w:left w:val="none" w:sz="0" w:space="0" w:color="auto"/>
        <w:bottom w:val="none" w:sz="0" w:space="0" w:color="auto"/>
        <w:right w:val="none" w:sz="0" w:space="0" w:color="auto"/>
      </w:divBdr>
      <w:divsChild>
        <w:div w:id="1948079691">
          <w:marLeft w:val="0"/>
          <w:marRight w:val="0"/>
          <w:marTop w:val="0"/>
          <w:marBottom w:val="0"/>
          <w:divBdr>
            <w:top w:val="none" w:sz="0" w:space="0" w:color="auto"/>
            <w:left w:val="none" w:sz="0" w:space="0" w:color="auto"/>
            <w:bottom w:val="none" w:sz="0" w:space="0" w:color="auto"/>
            <w:right w:val="none" w:sz="0" w:space="0" w:color="auto"/>
          </w:divBdr>
        </w:div>
        <w:div w:id="499932275">
          <w:marLeft w:val="0"/>
          <w:marRight w:val="0"/>
          <w:marTop w:val="0"/>
          <w:marBottom w:val="0"/>
          <w:divBdr>
            <w:top w:val="none" w:sz="0" w:space="0" w:color="auto"/>
            <w:left w:val="none" w:sz="0" w:space="0" w:color="auto"/>
            <w:bottom w:val="none" w:sz="0" w:space="0" w:color="auto"/>
            <w:right w:val="none" w:sz="0" w:space="0" w:color="auto"/>
          </w:divBdr>
        </w:div>
        <w:div w:id="1107774093">
          <w:marLeft w:val="0"/>
          <w:marRight w:val="0"/>
          <w:marTop w:val="0"/>
          <w:marBottom w:val="0"/>
          <w:divBdr>
            <w:top w:val="none" w:sz="0" w:space="0" w:color="auto"/>
            <w:left w:val="none" w:sz="0" w:space="0" w:color="auto"/>
            <w:bottom w:val="none" w:sz="0" w:space="0" w:color="auto"/>
            <w:right w:val="none" w:sz="0" w:space="0" w:color="auto"/>
          </w:divBdr>
        </w:div>
        <w:div w:id="732587677">
          <w:marLeft w:val="0"/>
          <w:marRight w:val="0"/>
          <w:marTop w:val="0"/>
          <w:marBottom w:val="0"/>
          <w:divBdr>
            <w:top w:val="none" w:sz="0" w:space="0" w:color="auto"/>
            <w:left w:val="none" w:sz="0" w:space="0" w:color="auto"/>
            <w:bottom w:val="none" w:sz="0" w:space="0" w:color="auto"/>
            <w:right w:val="none" w:sz="0" w:space="0" w:color="auto"/>
          </w:divBdr>
        </w:div>
        <w:div w:id="880827718">
          <w:marLeft w:val="0"/>
          <w:marRight w:val="0"/>
          <w:marTop w:val="0"/>
          <w:marBottom w:val="0"/>
          <w:divBdr>
            <w:top w:val="none" w:sz="0" w:space="0" w:color="auto"/>
            <w:left w:val="none" w:sz="0" w:space="0" w:color="auto"/>
            <w:bottom w:val="none" w:sz="0" w:space="0" w:color="auto"/>
            <w:right w:val="none" w:sz="0" w:space="0" w:color="auto"/>
          </w:divBdr>
        </w:div>
        <w:div w:id="1854879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297134" TargetMode="External"/><Relationship Id="rId21" Type="http://schemas.openxmlformats.org/officeDocument/2006/relationships/hyperlink" Target="https://likumi.lv/ta/id/34595-par-valsts-un-pasvaldibu-zemes-ipasuma-tiesibam-un-to-nostiprinasanu-zemesgramatas" TargetMode="External"/><Relationship Id="rId42" Type="http://schemas.openxmlformats.org/officeDocument/2006/relationships/hyperlink" Target="https://likumi.lv/doc.php?id=58052" TargetMode="External"/><Relationship Id="rId47" Type="http://schemas.openxmlformats.org/officeDocument/2006/relationships/image" Target="media/image12.png"/><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image" Target="media/image43.emf"/><Relationship Id="rId89" Type="http://schemas.openxmlformats.org/officeDocument/2006/relationships/image" Target="media/image48.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kumi.lv/ta/id/297134" TargetMode="External"/><Relationship Id="rId29" Type="http://schemas.openxmlformats.org/officeDocument/2006/relationships/footer" Target="footer1.xml"/><Relationship Id="rId107" Type="http://schemas.openxmlformats.org/officeDocument/2006/relationships/image" Target="media/image66.emf"/><Relationship Id="rId11" Type="http://schemas.openxmlformats.org/officeDocument/2006/relationships/hyperlink" Target="https://likumi.lv/ta/id/297134" TargetMode="External"/><Relationship Id="rId24" Type="http://schemas.openxmlformats.org/officeDocument/2006/relationships/hyperlink" Target="https://likumi.lv/ta/id/297134" TargetMode="External"/><Relationship Id="rId32" Type="http://schemas.openxmlformats.org/officeDocument/2006/relationships/hyperlink" Target="https://likumi.lv/doc.php?id=2825" TargetMode="External"/><Relationship Id="rId37" Type="http://schemas.openxmlformats.org/officeDocument/2006/relationships/image" Target="media/image6.png"/><Relationship Id="rId40" Type="http://schemas.openxmlformats.org/officeDocument/2006/relationships/hyperlink" Target="https://likumi.lv/ta/id/300000-gada-parskata-sagatavosanas-kartiba"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footer" Target="footer4.xml"/><Relationship Id="rId79" Type="http://schemas.openxmlformats.org/officeDocument/2006/relationships/footer" Target="footer5.xml"/><Relationship Id="rId87" Type="http://schemas.openxmlformats.org/officeDocument/2006/relationships/image" Target="media/image46.emf"/><Relationship Id="rId102" Type="http://schemas.openxmlformats.org/officeDocument/2006/relationships/image" Target="media/image61.emf"/><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42.emf"/><Relationship Id="rId90" Type="http://schemas.openxmlformats.org/officeDocument/2006/relationships/image" Target="media/image49.emf"/><Relationship Id="rId95" Type="http://schemas.openxmlformats.org/officeDocument/2006/relationships/image" Target="media/image54.png"/><Relationship Id="rId19" Type="http://schemas.openxmlformats.org/officeDocument/2006/relationships/hyperlink" Target="https://likumi.lv/ta/id/297134" TargetMode="External"/><Relationship Id="rId14" Type="http://schemas.openxmlformats.org/officeDocument/2006/relationships/hyperlink" Target="https://likumi.lv/ta/id/297134" TargetMode="External"/><Relationship Id="rId22" Type="http://schemas.openxmlformats.org/officeDocument/2006/relationships/hyperlink" Target="https://likumi.lv/ta/id/269907-publiskas-personas-kapitala-dalu-un-kapitalsabiedribu-parvaldibas-likums" TargetMode="External"/><Relationship Id="rId27" Type="http://schemas.openxmlformats.org/officeDocument/2006/relationships/hyperlink" Target="https://likumi.lv/ta/id/297134" TargetMode="External"/><Relationship Id="rId30" Type="http://schemas.openxmlformats.org/officeDocument/2006/relationships/footer" Target="footer2.xml"/><Relationship Id="rId35" Type="http://schemas.openxmlformats.org/officeDocument/2006/relationships/image" Target="media/image4.png"/><Relationship Id="rId43" Type="http://schemas.openxmlformats.org/officeDocument/2006/relationships/hyperlink" Target="https://likumi.lv/doc.php?id=58052"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8.emf"/><Relationship Id="rId69" Type="http://schemas.openxmlformats.org/officeDocument/2006/relationships/image" Target="media/image34.png"/><Relationship Id="rId77" Type="http://schemas.openxmlformats.org/officeDocument/2006/relationships/image" Target="media/image39.png"/><Relationship Id="rId100" Type="http://schemas.openxmlformats.org/officeDocument/2006/relationships/image" Target="media/image59.emf"/><Relationship Id="rId105" Type="http://schemas.openxmlformats.org/officeDocument/2006/relationships/image" Target="media/image64.emf"/><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6.png"/><Relationship Id="rId80" Type="http://schemas.openxmlformats.org/officeDocument/2006/relationships/hyperlink" Target="http://likumi.lv/ta/id/55567-administrativa-procesa-likums" TargetMode="External"/><Relationship Id="rId85" Type="http://schemas.openxmlformats.org/officeDocument/2006/relationships/image" Target="media/image44.emf"/><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likumi.lv/ta/id/297134" TargetMode="External"/><Relationship Id="rId17" Type="http://schemas.openxmlformats.org/officeDocument/2006/relationships/hyperlink" Target="https://likumi.lv/ta/id/297134" TargetMode="External"/><Relationship Id="rId25" Type="http://schemas.openxmlformats.org/officeDocument/2006/relationships/hyperlink" Target="https://likumi.lv/ta/id/297134"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image" Target="media/image23.emf"/><Relationship Id="rId67" Type="http://schemas.openxmlformats.org/officeDocument/2006/relationships/image" Target="media/image31.emf"/><Relationship Id="rId103" Type="http://schemas.openxmlformats.org/officeDocument/2006/relationships/image" Target="media/image62.emf"/><Relationship Id="rId108" Type="http://schemas.openxmlformats.org/officeDocument/2006/relationships/image" Target="media/image67.emf"/><Relationship Id="rId20" Type="http://schemas.openxmlformats.org/officeDocument/2006/relationships/hyperlink" Target="https://likumi.lv/ta/id/34595-par-valsts-un-pasvaldibu-zemes-ipasuma-tiesibam-un-to-nostiprinasanu-zemesgramatas" TargetMode="External"/><Relationship Id="rId41" Type="http://schemas.openxmlformats.org/officeDocument/2006/relationships/image" Target="media/image8.png"/><Relationship Id="rId54" Type="http://schemas.openxmlformats.org/officeDocument/2006/relationships/image" Target="media/image19.png"/><Relationship Id="rId62" Type="http://schemas.openxmlformats.org/officeDocument/2006/relationships/image" Target="media/image26.emf"/><Relationship Id="rId70" Type="http://schemas.openxmlformats.org/officeDocument/2006/relationships/image" Target="media/image35.png"/><Relationship Id="rId75" Type="http://schemas.openxmlformats.org/officeDocument/2006/relationships/image" Target="media/image37.png"/><Relationship Id="rId83" Type="http://schemas.openxmlformats.org/officeDocument/2006/relationships/footer" Target="footer6.xml"/><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97134" TargetMode="External"/><Relationship Id="rId23" Type="http://schemas.openxmlformats.org/officeDocument/2006/relationships/hyperlink" Target="https://likumi.lv/ta/id/269907-publiskas-personas-kapitala-dalu-un-kapitalsabiedribu-parvaldibas-likums" TargetMode="External"/><Relationship Id="rId28" Type="http://schemas.openxmlformats.org/officeDocument/2006/relationships/header" Target="header1.xml"/><Relationship Id="rId36" Type="http://schemas.openxmlformats.org/officeDocument/2006/relationships/image" Target="media/image5.png"/><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65.emf"/><Relationship Id="rId10" Type="http://schemas.openxmlformats.org/officeDocument/2006/relationships/hyperlink" Target="http://www.rezeknesnovads.lv" TargetMode="External"/><Relationship Id="rId31" Type="http://schemas.openxmlformats.org/officeDocument/2006/relationships/hyperlink" Target="https://likumi.lv/ta/id/253451-pievienotas-vertibas-nodokla-likum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footer" Target="footer3.xml"/><Relationship Id="rId78" Type="http://schemas.openxmlformats.org/officeDocument/2006/relationships/image" Target="media/image40.png"/><Relationship Id="rId81" Type="http://schemas.openxmlformats.org/officeDocument/2006/relationships/image" Target="media/image41.emf"/><Relationship Id="rId86" Type="http://schemas.openxmlformats.org/officeDocument/2006/relationships/image" Target="media/image45.emf"/><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mailto:info@rezeknesnovads.lv" TargetMode="External"/><Relationship Id="rId13" Type="http://schemas.openxmlformats.org/officeDocument/2006/relationships/hyperlink" Target="https://likumi.lv/ta/id/297134" TargetMode="External"/><Relationship Id="rId18" Type="http://schemas.openxmlformats.org/officeDocument/2006/relationships/hyperlink" Target="https://likumi.lv/ta/id/297134" TargetMode="External"/><Relationship Id="rId39" Type="http://schemas.openxmlformats.org/officeDocument/2006/relationships/hyperlink" Target="https://likumi.lv/ta/id/300000-gada-parskata-sagatavosanas-kartiba" TargetMode="External"/><Relationship Id="rId109" Type="http://schemas.openxmlformats.org/officeDocument/2006/relationships/image" Target="media/image68.emf"/><Relationship Id="rId34" Type="http://schemas.openxmlformats.org/officeDocument/2006/relationships/image" Target="media/image3.pn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8.png"/><Relationship Id="rId97" Type="http://schemas.openxmlformats.org/officeDocument/2006/relationships/image" Target="media/image56.png"/><Relationship Id="rId104"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ACD45-E3F2-4B5B-A105-42466202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278</Pages>
  <Words>134634</Words>
  <Characters>767417</Characters>
  <Application>Microsoft Office Word</Application>
  <DocSecurity>0</DocSecurity>
  <Lines>6395</Lines>
  <Paragraphs>1800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Jakovleva</dc:creator>
  <cp:lastModifiedBy>Verems Knams</cp:lastModifiedBy>
  <cp:revision>10</cp:revision>
  <dcterms:created xsi:type="dcterms:W3CDTF">2021-11-09T12:44:00Z</dcterms:created>
  <dcterms:modified xsi:type="dcterms:W3CDTF">2022-09-16T05:52:00Z</dcterms:modified>
</cp:coreProperties>
</file>