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EE11F2" w14:paraId="11845B93" w14:textId="77777777" w:rsidTr="005B11BE">
        <w:trPr>
          <w:trHeight w:hRule="exact" w:val="2330"/>
        </w:trPr>
        <w:tc>
          <w:tcPr>
            <w:tcW w:w="2693" w:type="dxa"/>
            <w:hideMark/>
          </w:tcPr>
          <w:p w14:paraId="7ACF6622" w14:textId="77777777" w:rsidR="00EE11F2" w:rsidRDefault="00EE11F2" w:rsidP="005B11BE">
            <w:pPr>
              <w:pStyle w:val="TableContents"/>
              <w:jc w:val="center"/>
            </w:pPr>
            <w:r>
              <w:rPr>
                <w:noProof/>
              </w:rPr>
              <mc:AlternateContent>
                <mc:Choice Requires="wps">
                  <w:drawing>
                    <wp:anchor distT="0" distB="0" distL="114300" distR="114300" simplePos="0" relativeHeight="251659264" behindDoc="0" locked="0" layoutInCell="1" allowOverlap="1" wp14:anchorId="35D8276F" wp14:editId="406D976E">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4AE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43bdHt4AAAAKAQAADwAAAGRycy9kb3ducmV2LnhtbEyPwU7D&#10;MAyG70i8Q2QkLtOWtBPVVppOCOiNC4OJq9eYtqJxuibbCk9PkJDgaPvT7+8vNpPtxYlG3znWkCwU&#10;COLamY4bDa8v1XwFwgdkg71j0vBJHjbl5UWBuXFnfqbTNjQihrDPUUMbwpBL6euWLPqFG4jj7d2N&#10;FkMcx0aaEc8x3PYyVSqTFjuOH1oc6L6l+mN7tBp8taND9TWrZ+pt2ThKDw9Pj6j19dV0dwsi0BT+&#10;YPjRj+pQRqe9O7Lxotcwz7JIakiTZA0iAuulugGx/93IspD/K5TfAAAA//8DAFBLAQItABQABgAI&#10;AAAAIQC2gziS/gAAAOEBAAATAAAAAAAAAAAAAAAAAAAAAABbQ29udGVudF9UeXBlc10ueG1sUEsB&#10;Ai0AFAAGAAgAAAAhADj9If/WAAAAlAEAAAsAAAAAAAAAAAAAAAAALwEAAF9yZWxzLy5yZWxzUEsB&#10;Ai0AFAAGAAgAAAAhAKM3SaivAQAASAMAAA4AAAAAAAAAAAAAAAAALgIAAGRycy9lMm9Eb2MueG1s&#10;UEsBAi0AFAAGAAgAAAAhAON23R7eAAAACgEAAA8AAAAAAAAAAAAAAAAACQQAAGRycy9kb3ducmV2&#10;LnhtbFBLBQYAAAAABAAEAPMAAAAUBQAAAAA=&#10;"/>
                  </w:pict>
                </mc:Fallback>
              </mc:AlternateContent>
            </w:r>
            <w:r>
              <w:rPr>
                <w:noProof/>
              </w:rPr>
              <w:drawing>
                <wp:anchor distT="0" distB="0" distL="0" distR="0" simplePos="0" relativeHeight="251660288" behindDoc="0" locked="0" layoutInCell="1" allowOverlap="1" wp14:anchorId="47572317" wp14:editId="74E9F1CF">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63721" name="Attēls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47" w:type="dxa"/>
            <w:hideMark/>
          </w:tcPr>
          <w:p w14:paraId="018E255C" w14:textId="77777777" w:rsidR="00EE11F2" w:rsidRDefault="00EE11F2" w:rsidP="005B11BE">
            <w:pPr>
              <w:pStyle w:val="Galvene"/>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453BE967" w14:textId="77777777" w:rsidR="00EE11F2" w:rsidRDefault="00EE11F2" w:rsidP="005B11BE">
            <w:pPr>
              <w:pStyle w:val="Galvene"/>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14:paraId="2675E9FD" w14:textId="77777777" w:rsidR="00EE11F2" w:rsidRDefault="00EE11F2" w:rsidP="005B11BE">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14:paraId="149E5E7D" w14:textId="77777777" w:rsidR="00EE11F2" w:rsidRDefault="00EE11F2" w:rsidP="005B11BE">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14:paraId="1A9B9124" w14:textId="77777777" w:rsidR="00EE11F2" w:rsidRDefault="00EE11F2" w:rsidP="005B11BE">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8" w:history="1">
              <w:r w:rsidRPr="00802496">
                <w:rPr>
                  <w:rStyle w:val="Hipersaite"/>
                  <w:rFonts w:ascii="Verdana" w:hAnsi="Verdana"/>
                  <w:sz w:val="18"/>
                  <w:szCs w:val="18"/>
                </w:rPr>
                <w:t>info@rezeknesnovads.lv</w:t>
              </w:r>
            </w:hyperlink>
          </w:p>
          <w:p w14:paraId="5D1BE09A" w14:textId="77777777" w:rsidR="00EE11F2" w:rsidRDefault="00EE11F2" w:rsidP="005B11BE">
            <w:pPr>
              <w:pStyle w:val="Galvene"/>
              <w:shd w:val="clear" w:color="auto" w:fill="FFFFFF"/>
              <w:tabs>
                <w:tab w:val="left" w:pos="720"/>
              </w:tabs>
              <w:spacing w:before="120"/>
              <w:jc w:val="center"/>
            </w:pPr>
            <w:r>
              <w:rPr>
                <w:rFonts w:ascii="Verdana" w:hAnsi="Verdana"/>
                <w:sz w:val="18"/>
                <w:szCs w:val="18"/>
                <w:lang w:eastAsia="ar-SA"/>
              </w:rPr>
              <w:t xml:space="preserve">Informācija internetā: </w:t>
            </w:r>
            <w:hyperlink r:id="rId9" w:history="1">
              <w:r>
                <w:rPr>
                  <w:rStyle w:val="Hipersaite"/>
                  <w:rFonts w:ascii="Verdana" w:hAnsi="Verdana"/>
                  <w:sz w:val="18"/>
                  <w:szCs w:val="18"/>
                </w:rPr>
                <w:t>http://www.rezeknesnovads.lv</w:t>
              </w:r>
            </w:hyperlink>
          </w:p>
        </w:tc>
      </w:tr>
    </w:tbl>
    <w:p w14:paraId="31627582" w14:textId="77777777" w:rsidR="00DF236E" w:rsidRPr="00870CCF" w:rsidRDefault="00DF236E" w:rsidP="00DF236E">
      <w:pPr>
        <w:pStyle w:val="Nosaukums"/>
        <w:tabs>
          <w:tab w:val="left" w:pos="5415"/>
        </w:tabs>
        <w:spacing w:before="0" w:line="240" w:lineRule="auto"/>
        <w:jc w:val="right"/>
        <w:rPr>
          <w:b w:val="0"/>
          <w:bCs/>
          <w:sz w:val="20"/>
        </w:rPr>
      </w:pPr>
      <w:r w:rsidRPr="00870CCF">
        <w:rPr>
          <w:b w:val="0"/>
          <w:bCs/>
          <w:sz w:val="20"/>
        </w:rPr>
        <w:t>APSTIPRINĀTA</w:t>
      </w:r>
    </w:p>
    <w:p w14:paraId="0035A8BA" w14:textId="57A20049" w:rsidR="00DF236E" w:rsidRPr="00870CCF" w:rsidRDefault="00DF236E" w:rsidP="00DF236E">
      <w:pPr>
        <w:pStyle w:val="Nosaukums"/>
        <w:tabs>
          <w:tab w:val="left" w:pos="5472"/>
        </w:tabs>
        <w:spacing w:before="0" w:line="240" w:lineRule="auto"/>
        <w:jc w:val="right"/>
        <w:rPr>
          <w:b w:val="0"/>
          <w:bCs/>
          <w:sz w:val="20"/>
        </w:rPr>
      </w:pPr>
      <w:r w:rsidRPr="00870CCF">
        <w:rPr>
          <w:b w:val="0"/>
          <w:bCs/>
          <w:sz w:val="20"/>
        </w:rPr>
        <w:t xml:space="preserve">ar Rēzeknes novada </w:t>
      </w:r>
      <w:r>
        <w:rPr>
          <w:b w:val="0"/>
          <w:bCs/>
          <w:sz w:val="20"/>
        </w:rPr>
        <w:t>domes</w:t>
      </w:r>
      <w:r w:rsidRPr="00870CCF">
        <w:rPr>
          <w:b w:val="0"/>
          <w:bCs/>
          <w:sz w:val="20"/>
        </w:rPr>
        <w:t xml:space="preserve"> </w:t>
      </w:r>
      <w:r>
        <w:rPr>
          <w:b w:val="0"/>
          <w:bCs/>
          <w:sz w:val="20"/>
        </w:rPr>
        <w:t>18</w:t>
      </w:r>
      <w:r w:rsidRPr="00870CCF">
        <w:rPr>
          <w:b w:val="0"/>
          <w:bCs/>
          <w:sz w:val="20"/>
        </w:rPr>
        <w:t>.</w:t>
      </w:r>
      <w:r>
        <w:rPr>
          <w:b w:val="0"/>
          <w:bCs/>
          <w:sz w:val="20"/>
        </w:rPr>
        <w:t>08</w:t>
      </w:r>
      <w:r w:rsidRPr="00870CCF">
        <w:rPr>
          <w:b w:val="0"/>
          <w:bCs/>
          <w:sz w:val="20"/>
        </w:rPr>
        <w:t>.202</w:t>
      </w:r>
      <w:r>
        <w:rPr>
          <w:b w:val="0"/>
          <w:bCs/>
          <w:sz w:val="20"/>
        </w:rPr>
        <w:t>2</w:t>
      </w:r>
      <w:r w:rsidRPr="00870CCF">
        <w:rPr>
          <w:b w:val="0"/>
          <w:bCs/>
          <w:sz w:val="20"/>
        </w:rPr>
        <w:t>.</w:t>
      </w:r>
    </w:p>
    <w:p w14:paraId="2596A52A" w14:textId="058BBFDE" w:rsidR="00DF236E" w:rsidRPr="00870CCF" w:rsidRDefault="00DF236E" w:rsidP="00DF236E">
      <w:pPr>
        <w:pStyle w:val="Nosaukums"/>
        <w:tabs>
          <w:tab w:val="left" w:pos="5472"/>
        </w:tabs>
        <w:spacing w:before="0" w:line="240" w:lineRule="auto"/>
        <w:ind w:hanging="720"/>
        <w:jc w:val="right"/>
        <w:rPr>
          <w:b w:val="0"/>
          <w:bCs/>
          <w:sz w:val="20"/>
        </w:rPr>
      </w:pPr>
      <w:r w:rsidRPr="00870CCF">
        <w:rPr>
          <w:b w:val="0"/>
          <w:bCs/>
          <w:sz w:val="20"/>
        </w:rPr>
        <w:t>lēmumu (protokols Nr.</w:t>
      </w:r>
      <w:r w:rsidR="009E4880">
        <w:rPr>
          <w:b w:val="0"/>
          <w:bCs/>
          <w:sz w:val="20"/>
        </w:rPr>
        <w:t>22</w:t>
      </w:r>
      <w:r w:rsidRPr="00870CCF">
        <w:rPr>
          <w:b w:val="0"/>
          <w:bCs/>
          <w:sz w:val="20"/>
        </w:rPr>
        <w:t xml:space="preserve">, </w:t>
      </w:r>
      <w:r w:rsidR="009E4880">
        <w:rPr>
          <w:b w:val="0"/>
          <w:bCs/>
          <w:sz w:val="20"/>
        </w:rPr>
        <w:t>5</w:t>
      </w:r>
      <w:r>
        <w:rPr>
          <w:b w:val="0"/>
          <w:bCs/>
          <w:sz w:val="20"/>
        </w:rPr>
        <w:t>.§</w:t>
      </w:r>
      <w:r w:rsidRPr="00870CCF">
        <w:rPr>
          <w:b w:val="0"/>
          <w:bCs/>
          <w:sz w:val="20"/>
        </w:rPr>
        <w:t>)</w:t>
      </w:r>
    </w:p>
    <w:p w14:paraId="61DE7AB0" w14:textId="77777777" w:rsidR="00EE11F2" w:rsidRDefault="00EE11F2" w:rsidP="00EE11F2">
      <w:pPr>
        <w:jc w:val="right"/>
        <w:rPr>
          <w:rFonts w:cs="Times New Roman"/>
          <w:i/>
          <w:szCs w:val="24"/>
        </w:rPr>
      </w:pPr>
    </w:p>
    <w:p w14:paraId="2F15AAF3" w14:textId="77777777" w:rsidR="00EE11F2" w:rsidRDefault="00EE11F2" w:rsidP="00EE11F2">
      <w:pPr>
        <w:autoSpaceDE w:val="0"/>
        <w:autoSpaceDN w:val="0"/>
        <w:adjustRightInd w:val="0"/>
        <w:jc w:val="center"/>
        <w:rPr>
          <w:rFonts w:cs="Times New Roman"/>
          <w:szCs w:val="24"/>
        </w:rPr>
      </w:pPr>
      <w:r w:rsidRPr="00463C7A">
        <w:rPr>
          <w:rFonts w:eastAsia="Times New Roman" w:cs="Times New Roman"/>
          <w:b/>
          <w:szCs w:val="24"/>
          <w:lang w:eastAsia="lv-LV"/>
        </w:rPr>
        <w:t>K</w:t>
      </w:r>
      <w:r>
        <w:rPr>
          <w:rFonts w:eastAsia="Times New Roman" w:cs="Times New Roman"/>
          <w:b/>
          <w:szCs w:val="24"/>
          <w:lang w:eastAsia="lv-LV"/>
        </w:rPr>
        <w:t>ārtība</w:t>
      </w:r>
      <w:r w:rsidRPr="00463C7A">
        <w:rPr>
          <w:rFonts w:eastAsia="Times New Roman" w:cs="Times New Roman"/>
          <w:b/>
          <w:szCs w:val="24"/>
          <w:lang w:eastAsia="lv-LV"/>
        </w:rPr>
        <w:t xml:space="preserve">, kādā </w:t>
      </w:r>
      <w:r w:rsidRPr="00FC0C0A">
        <w:rPr>
          <w:rFonts w:eastAsia="Times New Roman" w:cs="Times New Roman"/>
          <w:b/>
          <w:szCs w:val="24"/>
          <w:lang w:eastAsia="lv-LV"/>
        </w:rPr>
        <w:t xml:space="preserve">tiek  noteiktas </w:t>
      </w:r>
      <w:r w:rsidRPr="00463C7A">
        <w:rPr>
          <w:rFonts w:eastAsia="Times New Roman" w:cs="Times New Roman"/>
          <w:b/>
          <w:szCs w:val="24"/>
          <w:lang w:eastAsia="lv-LV"/>
        </w:rPr>
        <w:t>Rēzeknes novada pašvaldība</w:t>
      </w:r>
      <w:r w:rsidRPr="00FC0C0A">
        <w:rPr>
          <w:rFonts w:eastAsia="Times New Roman" w:cs="Times New Roman"/>
          <w:b/>
          <w:szCs w:val="24"/>
          <w:lang w:eastAsia="lv-LV"/>
        </w:rPr>
        <w:t xml:space="preserve">s </w:t>
      </w:r>
      <w:r w:rsidRPr="00FC0C0A">
        <w:rPr>
          <w:rFonts w:cs="Times New Roman"/>
          <w:b/>
          <w:bCs/>
          <w:szCs w:val="24"/>
        </w:rPr>
        <w:t>izglītības iestāžu  vadītāju</w:t>
      </w:r>
      <w:r>
        <w:rPr>
          <w:rFonts w:cs="Times New Roman"/>
          <w:b/>
          <w:bCs/>
          <w:szCs w:val="24"/>
        </w:rPr>
        <w:t>, vadītāju vietnieku un metodiķu</w:t>
      </w:r>
      <w:r w:rsidRPr="00FC0C0A">
        <w:rPr>
          <w:rFonts w:cs="Times New Roman"/>
          <w:b/>
          <w:bCs/>
          <w:szCs w:val="24"/>
        </w:rPr>
        <w:t xml:space="preserve">  amata  vienības  un  algas  likmes</w:t>
      </w:r>
    </w:p>
    <w:p w14:paraId="6D4BED2A" w14:textId="77777777" w:rsidR="00EE11F2" w:rsidRPr="00112DC7" w:rsidRDefault="00EE11F2" w:rsidP="00EE11F2">
      <w:pPr>
        <w:jc w:val="right"/>
        <w:rPr>
          <w:rFonts w:cs="Times New Roman"/>
          <w:i/>
          <w:szCs w:val="24"/>
        </w:rPr>
      </w:pPr>
    </w:p>
    <w:p w14:paraId="14D649A4" w14:textId="77777777" w:rsidR="00EE11F2" w:rsidRDefault="00EE11F2" w:rsidP="00EE11F2">
      <w:pPr>
        <w:jc w:val="right"/>
        <w:rPr>
          <w:rFonts w:cs="Times New Roman"/>
          <w:i/>
          <w:sz w:val="20"/>
          <w:szCs w:val="20"/>
        </w:rPr>
      </w:pPr>
      <w:r w:rsidRPr="00112DC7">
        <w:rPr>
          <w:rFonts w:cs="Times New Roman"/>
          <w:i/>
          <w:sz w:val="20"/>
          <w:szCs w:val="20"/>
        </w:rPr>
        <w:t xml:space="preserve">Izdota  saskaņā  ar  </w:t>
      </w:r>
      <w:r w:rsidRPr="008B5152">
        <w:rPr>
          <w:rFonts w:cs="Times New Roman"/>
          <w:i/>
          <w:sz w:val="20"/>
          <w:szCs w:val="20"/>
        </w:rPr>
        <w:t xml:space="preserve">Ministru  kabineta 2016.gada </w:t>
      </w:r>
      <w:r>
        <w:rPr>
          <w:rFonts w:cs="Times New Roman"/>
          <w:i/>
          <w:sz w:val="20"/>
          <w:szCs w:val="20"/>
        </w:rPr>
        <w:t>5.jūlija</w:t>
      </w:r>
    </w:p>
    <w:p w14:paraId="7BD3C2E9" w14:textId="77777777" w:rsidR="00EE11F2" w:rsidRDefault="00EE11F2" w:rsidP="00EE11F2">
      <w:pPr>
        <w:jc w:val="right"/>
        <w:rPr>
          <w:rFonts w:cs="Times New Roman"/>
          <w:i/>
          <w:sz w:val="20"/>
          <w:szCs w:val="20"/>
        </w:rPr>
      </w:pPr>
      <w:r w:rsidRPr="008B5152">
        <w:rPr>
          <w:rFonts w:cs="Times New Roman"/>
          <w:i/>
          <w:sz w:val="20"/>
          <w:szCs w:val="20"/>
        </w:rPr>
        <w:t>noteikumu Nr.</w:t>
      </w:r>
      <w:r>
        <w:rPr>
          <w:rFonts w:cs="Times New Roman"/>
          <w:i/>
          <w:sz w:val="20"/>
          <w:szCs w:val="20"/>
        </w:rPr>
        <w:t>445</w:t>
      </w:r>
      <w:r w:rsidRPr="008B5152">
        <w:rPr>
          <w:rFonts w:cs="Times New Roman"/>
          <w:i/>
          <w:sz w:val="20"/>
          <w:szCs w:val="20"/>
        </w:rPr>
        <w:t xml:space="preserve"> „Pedagogu darba samaksas noteikumi” </w:t>
      </w:r>
    </w:p>
    <w:p w14:paraId="05E9568A" w14:textId="77777777" w:rsidR="00EE11F2" w:rsidRPr="00112DC7" w:rsidRDefault="00EE11F2" w:rsidP="00EE11F2">
      <w:pPr>
        <w:jc w:val="right"/>
        <w:rPr>
          <w:rFonts w:cs="Times New Roman"/>
          <w:i/>
          <w:sz w:val="20"/>
          <w:szCs w:val="20"/>
        </w:rPr>
      </w:pPr>
      <w:r>
        <w:rPr>
          <w:rFonts w:cs="Times New Roman"/>
          <w:i/>
          <w:sz w:val="20"/>
          <w:szCs w:val="20"/>
        </w:rPr>
        <w:t>6. un 9</w:t>
      </w:r>
      <w:r w:rsidRPr="008B5152">
        <w:rPr>
          <w:rFonts w:cs="Times New Roman"/>
          <w:i/>
          <w:sz w:val="20"/>
          <w:szCs w:val="20"/>
        </w:rPr>
        <w:t>.punk</w:t>
      </w:r>
      <w:r>
        <w:rPr>
          <w:rFonts w:cs="Times New Roman"/>
          <w:i/>
          <w:sz w:val="20"/>
          <w:szCs w:val="20"/>
        </w:rPr>
        <w:t>tiem</w:t>
      </w:r>
      <w:r w:rsidRPr="008B5152">
        <w:rPr>
          <w:rFonts w:cs="Times New Roman"/>
          <w:i/>
          <w:sz w:val="20"/>
          <w:szCs w:val="20"/>
        </w:rPr>
        <w:t>,</w:t>
      </w:r>
      <w:r>
        <w:rPr>
          <w:rFonts w:cs="Times New Roman"/>
          <w:szCs w:val="24"/>
        </w:rPr>
        <w:t xml:space="preserve"> </w:t>
      </w:r>
      <w:r w:rsidRPr="00112DC7">
        <w:rPr>
          <w:rFonts w:cs="Times New Roman"/>
          <w:i/>
          <w:sz w:val="20"/>
          <w:szCs w:val="20"/>
        </w:rPr>
        <w:t xml:space="preserve"> </w:t>
      </w:r>
      <w:r>
        <w:rPr>
          <w:rFonts w:cs="Times New Roman"/>
          <w:i/>
          <w:sz w:val="20"/>
          <w:szCs w:val="20"/>
        </w:rPr>
        <w:t>likuma “Par pašvaldībām” 21</w:t>
      </w:r>
      <w:r w:rsidRPr="00112DC7">
        <w:rPr>
          <w:rFonts w:cs="Times New Roman"/>
          <w:i/>
          <w:sz w:val="20"/>
          <w:szCs w:val="20"/>
        </w:rPr>
        <w:t>.panta</w:t>
      </w:r>
      <w:r>
        <w:rPr>
          <w:rFonts w:cs="Times New Roman"/>
          <w:i/>
          <w:sz w:val="20"/>
          <w:szCs w:val="20"/>
        </w:rPr>
        <w:t xml:space="preserve">  </w:t>
      </w:r>
      <w:r w:rsidRPr="00112DC7">
        <w:rPr>
          <w:rFonts w:cs="Times New Roman"/>
          <w:i/>
          <w:sz w:val="20"/>
          <w:szCs w:val="20"/>
        </w:rPr>
        <w:t xml:space="preserve">pirmās daļas  </w:t>
      </w:r>
      <w:r>
        <w:rPr>
          <w:rFonts w:cs="Times New Roman"/>
          <w:i/>
          <w:sz w:val="20"/>
          <w:szCs w:val="20"/>
        </w:rPr>
        <w:t>27.punktu</w:t>
      </w:r>
    </w:p>
    <w:p w14:paraId="63A9A334" w14:textId="77777777" w:rsidR="00EE11F2" w:rsidRPr="00112DC7" w:rsidRDefault="00EE11F2" w:rsidP="00EE11F2">
      <w:pPr>
        <w:jc w:val="right"/>
        <w:rPr>
          <w:rFonts w:cs="Times New Roman"/>
          <w:i/>
          <w:szCs w:val="24"/>
        </w:rPr>
      </w:pPr>
    </w:p>
    <w:p w14:paraId="7DE6EF22" w14:textId="77777777" w:rsidR="00EE11F2" w:rsidRPr="00112DC7" w:rsidRDefault="00EE11F2" w:rsidP="00EE11F2">
      <w:pPr>
        <w:jc w:val="center"/>
        <w:rPr>
          <w:rFonts w:cs="Times New Roman"/>
          <w:b/>
          <w:szCs w:val="24"/>
        </w:rPr>
      </w:pPr>
      <w:r w:rsidRPr="00112DC7">
        <w:rPr>
          <w:rFonts w:cs="Times New Roman"/>
          <w:b/>
          <w:szCs w:val="24"/>
        </w:rPr>
        <w:t>I. Vispārīgie  jautājumi</w:t>
      </w:r>
    </w:p>
    <w:p w14:paraId="1F70E51D" w14:textId="7AAA0B38" w:rsidR="00EE11F2" w:rsidRPr="00AA53BE"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Kārtība nosaka </w:t>
      </w:r>
      <w:r>
        <w:rPr>
          <w:rFonts w:ascii="Times New Roman" w:hAnsi="Times New Roman" w:cs="Times New Roman"/>
          <w:sz w:val="24"/>
          <w:szCs w:val="24"/>
        </w:rPr>
        <w:t xml:space="preserve">kādā  veidā  tiek  noteiktas  </w:t>
      </w:r>
      <w:r w:rsidRPr="00463C7A">
        <w:rPr>
          <w:rFonts w:ascii="Times New Roman" w:eastAsia="Times New Roman" w:hAnsi="Times New Roman" w:cs="Times New Roman"/>
          <w:sz w:val="24"/>
          <w:szCs w:val="24"/>
          <w:lang w:eastAsia="lv-LV"/>
        </w:rPr>
        <w:t>Rēzeknes novada pašvaldība</w:t>
      </w:r>
      <w:r w:rsidRPr="00D15681">
        <w:rPr>
          <w:rFonts w:ascii="Times New Roman" w:eastAsia="Times New Roman" w:hAnsi="Times New Roman" w:cs="Times New Roman"/>
          <w:sz w:val="24"/>
          <w:szCs w:val="24"/>
          <w:lang w:eastAsia="lv-LV"/>
        </w:rPr>
        <w:t xml:space="preserve">s </w:t>
      </w:r>
      <w:r w:rsidRPr="00D15681">
        <w:rPr>
          <w:rFonts w:ascii="Times New Roman" w:hAnsi="Times New Roman" w:cs="Times New Roman"/>
          <w:bCs/>
          <w:sz w:val="24"/>
          <w:szCs w:val="24"/>
        </w:rPr>
        <w:t>izglītības iestāžu  vadītāju</w:t>
      </w:r>
      <w:r>
        <w:rPr>
          <w:rFonts w:ascii="Times New Roman" w:hAnsi="Times New Roman" w:cs="Times New Roman"/>
          <w:bCs/>
          <w:sz w:val="24"/>
          <w:szCs w:val="24"/>
        </w:rPr>
        <w:t>, vadītāju vietnieku</w:t>
      </w:r>
      <w:r w:rsidR="00854B99">
        <w:rPr>
          <w:rFonts w:ascii="Times New Roman" w:hAnsi="Times New Roman" w:cs="Times New Roman"/>
          <w:bCs/>
          <w:sz w:val="24"/>
          <w:szCs w:val="24"/>
        </w:rPr>
        <w:t xml:space="preserve"> un/vai</w:t>
      </w:r>
      <w:r>
        <w:rPr>
          <w:rFonts w:ascii="Times New Roman" w:hAnsi="Times New Roman" w:cs="Times New Roman"/>
          <w:bCs/>
          <w:sz w:val="24"/>
          <w:szCs w:val="24"/>
        </w:rPr>
        <w:t xml:space="preserve"> struktūrvienības vadītāju,  izglītības metodiķu un sporta metodiķu/sporta speciālistu</w:t>
      </w:r>
      <w:r w:rsidRPr="00D15681">
        <w:rPr>
          <w:rFonts w:ascii="Times New Roman" w:hAnsi="Times New Roman" w:cs="Times New Roman"/>
          <w:bCs/>
          <w:sz w:val="24"/>
          <w:szCs w:val="24"/>
        </w:rPr>
        <w:t xml:space="preserve">  amata  </w:t>
      </w:r>
      <w:r w:rsidRPr="00AA53BE">
        <w:rPr>
          <w:rFonts w:ascii="Times New Roman" w:hAnsi="Times New Roman" w:cs="Times New Roman"/>
          <w:bCs/>
          <w:sz w:val="24"/>
          <w:szCs w:val="24"/>
        </w:rPr>
        <w:t>vienības  un  algas  likmes.</w:t>
      </w:r>
    </w:p>
    <w:p w14:paraId="49124374" w14:textId="77777777" w:rsidR="00EE11F2" w:rsidRPr="00AA53BE"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Kārtība  attiecas  uz  pamatskol</w:t>
      </w:r>
      <w:r>
        <w:rPr>
          <w:rFonts w:ascii="Times New Roman" w:hAnsi="Times New Roman" w:cs="Times New Roman"/>
          <w:sz w:val="24"/>
          <w:szCs w:val="24"/>
        </w:rPr>
        <w:t xml:space="preserve">ām, </w:t>
      </w:r>
      <w:r w:rsidRPr="00AA53BE">
        <w:rPr>
          <w:rFonts w:ascii="Times New Roman" w:hAnsi="Times New Roman" w:cs="Times New Roman"/>
          <w:sz w:val="24"/>
          <w:szCs w:val="24"/>
        </w:rPr>
        <w:t>vidusskol</w:t>
      </w:r>
      <w:r>
        <w:rPr>
          <w:rFonts w:ascii="Times New Roman" w:hAnsi="Times New Roman" w:cs="Times New Roman"/>
          <w:sz w:val="24"/>
          <w:szCs w:val="24"/>
        </w:rPr>
        <w:t xml:space="preserve">ām, </w:t>
      </w:r>
      <w:r w:rsidRPr="00AA53BE">
        <w:rPr>
          <w:rFonts w:ascii="Times New Roman" w:hAnsi="Times New Roman" w:cs="Times New Roman"/>
          <w:sz w:val="24"/>
          <w:szCs w:val="24"/>
        </w:rPr>
        <w:t>profesionālās  ievirzes  izglītības  iestā</w:t>
      </w:r>
      <w:r>
        <w:rPr>
          <w:rFonts w:ascii="Times New Roman" w:hAnsi="Times New Roman" w:cs="Times New Roman"/>
          <w:sz w:val="24"/>
          <w:szCs w:val="24"/>
        </w:rPr>
        <w:t xml:space="preserve">dēm </w:t>
      </w:r>
      <w:r w:rsidRPr="00AA53BE">
        <w:rPr>
          <w:rFonts w:ascii="Times New Roman" w:hAnsi="Times New Roman" w:cs="Times New Roman"/>
          <w:sz w:val="24"/>
          <w:szCs w:val="24"/>
        </w:rPr>
        <w:t>un pirmsskolas  izglītības  iestā</w:t>
      </w:r>
      <w:r>
        <w:rPr>
          <w:rFonts w:ascii="Times New Roman" w:hAnsi="Times New Roman" w:cs="Times New Roman"/>
          <w:sz w:val="24"/>
          <w:szCs w:val="24"/>
        </w:rPr>
        <w:t>dēm</w:t>
      </w:r>
      <w:r w:rsidRPr="00AA53BE">
        <w:rPr>
          <w:rFonts w:ascii="Times New Roman" w:hAnsi="Times New Roman" w:cs="Times New Roman"/>
          <w:sz w:val="24"/>
          <w:szCs w:val="24"/>
        </w:rPr>
        <w:t>.  Speciālo  izglītības  iestāžu  vadītāju  amata  vienības  un  algas  likmes tiek  noteiktas  atbilstoši  Ministru  kabineta  prasībām.</w:t>
      </w:r>
    </w:p>
    <w:p w14:paraId="5CB2A2A3" w14:textId="77777777" w:rsidR="00EE11F2" w:rsidRPr="00AA53BE" w:rsidRDefault="00EE11F2" w:rsidP="00EE11F2">
      <w:pPr>
        <w:jc w:val="center"/>
        <w:rPr>
          <w:rFonts w:cs="Times New Roman"/>
          <w:b/>
          <w:szCs w:val="24"/>
        </w:rPr>
      </w:pPr>
    </w:p>
    <w:p w14:paraId="4C163DD3" w14:textId="77777777" w:rsidR="00EE11F2" w:rsidRPr="00AA53BE" w:rsidRDefault="00EE11F2" w:rsidP="00EE11F2">
      <w:pPr>
        <w:jc w:val="center"/>
        <w:rPr>
          <w:rFonts w:cs="Times New Roman"/>
          <w:b/>
          <w:szCs w:val="24"/>
        </w:rPr>
      </w:pPr>
      <w:r w:rsidRPr="00AA53BE">
        <w:rPr>
          <w:rFonts w:cs="Times New Roman"/>
          <w:b/>
          <w:szCs w:val="24"/>
        </w:rPr>
        <w:t>II. Mērķi  un  uzdevumi</w:t>
      </w:r>
    </w:p>
    <w:p w14:paraId="0C4EB61A" w14:textId="22E0C1C3" w:rsidR="00EE11F2" w:rsidRPr="00AA53BE"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 xml:space="preserve">Noteikt vienotas  prasības </w:t>
      </w:r>
      <w:r w:rsidRPr="00AA53BE">
        <w:rPr>
          <w:rFonts w:ascii="Times New Roman" w:eastAsia="Times New Roman" w:hAnsi="Times New Roman" w:cs="Times New Roman"/>
          <w:sz w:val="24"/>
          <w:szCs w:val="24"/>
          <w:lang w:eastAsia="lv-LV"/>
        </w:rPr>
        <w:t xml:space="preserve">Rēzeknes novada pašvaldības </w:t>
      </w:r>
      <w:r w:rsidRPr="00AA53BE">
        <w:rPr>
          <w:rFonts w:ascii="Times New Roman" w:hAnsi="Times New Roman" w:cs="Times New Roman"/>
          <w:bCs/>
          <w:sz w:val="24"/>
          <w:szCs w:val="24"/>
        </w:rPr>
        <w:t>izglītības iestāžu  vadītāju</w:t>
      </w:r>
      <w:r>
        <w:rPr>
          <w:rFonts w:ascii="Times New Roman" w:hAnsi="Times New Roman" w:cs="Times New Roman"/>
          <w:bCs/>
          <w:sz w:val="24"/>
          <w:szCs w:val="24"/>
        </w:rPr>
        <w:t>, vadītāju vietnieku</w:t>
      </w:r>
      <w:r w:rsidR="00A05B5C">
        <w:rPr>
          <w:rFonts w:ascii="Times New Roman" w:hAnsi="Times New Roman" w:cs="Times New Roman"/>
          <w:bCs/>
          <w:sz w:val="24"/>
          <w:szCs w:val="24"/>
        </w:rPr>
        <w:t>/struktūrvienību vadītāju</w:t>
      </w:r>
      <w:r>
        <w:rPr>
          <w:rFonts w:ascii="Times New Roman" w:hAnsi="Times New Roman" w:cs="Times New Roman"/>
          <w:bCs/>
          <w:sz w:val="24"/>
          <w:szCs w:val="24"/>
        </w:rPr>
        <w:t xml:space="preserve"> un metodiķu</w:t>
      </w:r>
      <w:r w:rsidRPr="00AA53BE">
        <w:rPr>
          <w:rFonts w:ascii="Times New Roman" w:hAnsi="Times New Roman" w:cs="Times New Roman"/>
          <w:bCs/>
          <w:sz w:val="24"/>
          <w:szCs w:val="24"/>
        </w:rPr>
        <w:t xml:space="preserve">  amata  vienību  un  algas  likmju  noteikšanā.</w:t>
      </w:r>
    </w:p>
    <w:p w14:paraId="42ACACE1" w14:textId="63AC9FC2" w:rsidR="00EE11F2" w:rsidRPr="00AA53BE"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bCs/>
          <w:sz w:val="24"/>
          <w:szCs w:val="24"/>
        </w:rPr>
        <w:t xml:space="preserve">Nosakot  amata  vienības, ņemt  vērā </w:t>
      </w:r>
      <w:r w:rsidRPr="00AA53BE">
        <w:rPr>
          <w:rFonts w:ascii="Times New Roman" w:hAnsi="Times New Roman" w:cs="Times New Roman"/>
          <w:sz w:val="24"/>
          <w:szCs w:val="24"/>
        </w:rPr>
        <w:t xml:space="preserve">izglītības iestādes administrācijas  algas  fondu,  </w:t>
      </w:r>
      <w:r w:rsidRPr="00AA53BE">
        <w:rPr>
          <w:rFonts w:ascii="Times New Roman" w:hAnsi="Times New Roman" w:cs="Times New Roman"/>
          <w:bCs/>
          <w:sz w:val="24"/>
          <w:szCs w:val="24"/>
        </w:rPr>
        <w:t xml:space="preserve">izglītojamo  skaitu  izglītības  iestādē, </w:t>
      </w:r>
      <w:r w:rsidR="00854B99">
        <w:rPr>
          <w:rFonts w:ascii="Times New Roman" w:hAnsi="Times New Roman" w:cs="Times New Roman"/>
          <w:bCs/>
          <w:sz w:val="24"/>
          <w:szCs w:val="24"/>
        </w:rPr>
        <w:t>vadītājiem arī darba intensitāti un personīgo ieguldījumu izglītības iestādes attīstībā.</w:t>
      </w:r>
    </w:p>
    <w:p w14:paraId="75711EBC" w14:textId="77777777" w:rsidR="00EE11F2" w:rsidRPr="00AA53BE" w:rsidRDefault="00EE11F2" w:rsidP="00EE11F2">
      <w:pPr>
        <w:jc w:val="center"/>
        <w:rPr>
          <w:rFonts w:cs="Times New Roman"/>
          <w:b/>
          <w:szCs w:val="24"/>
        </w:rPr>
      </w:pPr>
    </w:p>
    <w:p w14:paraId="0FB4FAD3" w14:textId="77777777" w:rsidR="00EE11F2" w:rsidRPr="00AA53BE" w:rsidRDefault="00EE11F2" w:rsidP="00EE11F2">
      <w:pPr>
        <w:jc w:val="center"/>
        <w:rPr>
          <w:rFonts w:cs="Times New Roman"/>
          <w:b/>
          <w:szCs w:val="24"/>
        </w:rPr>
      </w:pPr>
      <w:r w:rsidRPr="00AA53BE">
        <w:rPr>
          <w:rFonts w:cs="Times New Roman"/>
          <w:b/>
          <w:szCs w:val="24"/>
        </w:rPr>
        <w:t>III. Izglītības iestāžu  vadītāju</w:t>
      </w:r>
      <w:r>
        <w:rPr>
          <w:rFonts w:cs="Times New Roman"/>
          <w:b/>
          <w:szCs w:val="24"/>
        </w:rPr>
        <w:t>, vadītāju vietnieku un metodiķu</w:t>
      </w:r>
      <w:r w:rsidRPr="00AA53BE">
        <w:rPr>
          <w:rFonts w:cs="Times New Roman"/>
          <w:b/>
          <w:szCs w:val="24"/>
        </w:rPr>
        <w:t xml:space="preserve">  amatu  vienību noteikšana</w:t>
      </w:r>
    </w:p>
    <w:p w14:paraId="2D07331D" w14:textId="77777777" w:rsidR="00EE11F2" w:rsidRDefault="00EE11F2" w:rsidP="00EE11F2">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Vispārējās pamatizglītības un vidējās izglītības iestādēs:</w:t>
      </w:r>
    </w:p>
    <w:p w14:paraId="3D6B6BBC" w14:textId="002741D6" w:rsidR="00EE11F2" w:rsidRPr="00AA53BE" w:rsidRDefault="007D5203" w:rsidP="00EE11F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E11F2">
        <w:rPr>
          <w:rFonts w:ascii="Times New Roman" w:hAnsi="Times New Roman" w:cs="Times New Roman"/>
          <w:sz w:val="24"/>
          <w:szCs w:val="24"/>
        </w:rPr>
        <w:t>adītāju a</w:t>
      </w:r>
      <w:r w:rsidR="00EE11F2" w:rsidRPr="00AA53BE">
        <w:rPr>
          <w:rFonts w:ascii="Times New Roman" w:hAnsi="Times New Roman" w:cs="Times New Roman"/>
          <w:sz w:val="24"/>
          <w:szCs w:val="24"/>
        </w:rPr>
        <w:t>mata  vienību  skaits  nav  mazāks  par:</w:t>
      </w:r>
    </w:p>
    <w:p w14:paraId="5D10DCBE"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0,2 likmēm, ja  izglītojamo  skaits  izglītības  iestādē  ir  mazāks  nekā  15  izglītojamie;</w:t>
      </w:r>
    </w:p>
    <w:p w14:paraId="6AF14FDE"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0,35 likmēm, ja  izglītojamo  skaits  izglītības  iestādē  ir vismaz 15, bet   mazāks  nekā  30  izglītojamie;</w:t>
      </w:r>
    </w:p>
    <w:p w14:paraId="4691F89A"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0,5 likmēm, ja  izglītojamo  skaits  izglītības  iestādē  ir vismaz 30, bet   mazāks  nekā  50  izglītojamie;</w:t>
      </w:r>
    </w:p>
    <w:p w14:paraId="68FAF6A6"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0,75 likmēm, ja  izglītojamo  skaits  izglītības  iestādē  ir vismaz 50, bet   mazāks  nekā  75  izglītojamie;</w:t>
      </w:r>
    </w:p>
    <w:p w14:paraId="7ED51BD0" w14:textId="73DAE377" w:rsidR="00EE11F2"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6858DF">
        <w:rPr>
          <w:rFonts w:ascii="Times New Roman" w:hAnsi="Times New Roman" w:cs="Times New Roman"/>
          <w:sz w:val="24"/>
          <w:szCs w:val="24"/>
        </w:rPr>
        <w:t>1 likm</w:t>
      </w:r>
      <w:r>
        <w:rPr>
          <w:rFonts w:ascii="Times New Roman" w:hAnsi="Times New Roman" w:cs="Times New Roman"/>
          <w:sz w:val="24"/>
          <w:szCs w:val="24"/>
        </w:rPr>
        <w:t>e</w:t>
      </w:r>
      <w:r w:rsidRPr="006858DF">
        <w:rPr>
          <w:rFonts w:ascii="Times New Roman" w:hAnsi="Times New Roman" w:cs="Times New Roman"/>
          <w:sz w:val="24"/>
          <w:szCs w:val="24"/>
        </w:rPr>
        <w:t>, ja  izglītojamo  skaits  izglītības  iestādē  ir vismaz 75.</w:t>
      </w:r>
    </w:p>
    <w:p w14:paraId="2F553475" w14:textId="4CA8D39B" w:rsidR="00F846A6" w:rsidRPr="00F846A6" w:rsidRDefault="00F846A6" w:rsidP="00F846A6">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Pr="00AA53BE">
        <w:rPr>
          <w:rFonts w:ascii="Times New Roman" w:hAnsi="Times New Roman" w:cs="Times New Roman"/>
          <w:sz w:val="24"/>
          <w:szCs w:val="24"/>
        </w:rPr>
        <w:t xml:space="preserve">a  kādai  izglītības  iestādei  </w:t>
      </w:r>
      <w:r>
        <w:rPr>
          <w:rFonts w:ascii="Times New Roman" w:hAnsi="Times New Roman" w:cs="Times New Roman"/>
          <w:sz w:val="24"/>
          <w:szCs w:val="24"/>
        </w:rPr>
        <w:t>izglītības  programma (as)  tiek realizēta(as)  citā  apdzīvotā  vietā</w:t>
      </w:r>
      <w:r w:rsidRPr="00AA53BE">
        <w:rPr>
          <w:rFonts w:ascii="Times New Roman" w:hAnsi="Times New Roman" w:cs="Times New Roman"/>
          <w:sz w:val="24"/>
          <w:szCs w:val="24"/>
        </w:rPr>
        <w:t xml:space="preserve">, bet  izglītības iestādes  vadītājam  atbilstoši  savas  iestādes izglītojamo  skaitam nepienākas  viena  vadītāja  amata  vienība, tad  </w:t>
      </w:r>
      <w:r>
        <w:rPr>
          <w:rFonts w:ascii="Times New Roman" w:hAnsi="Times New Roman" w:cs="Times New Roman"/>
          <w:sz w:val="24"/>
          <w:szCs w:val="24"/>
        </w:rPr>
        <w:t xml:space="preserve">tiek noteikta pilna </w:t>
      </w:r>
      <w:r w:rsidRPr="00AA53BE">
        <w:rPr>
          <w:rFonts w:ascii="Times New Roman" w:hAnsi="Times New Roman" w:cs="Times New Roman"/>
          <w:sz w:val="24"/>
          <w:szCs w:val="24"/>
        </w:rPr>
        <w:t>vadītāja  amata vienība</w:t>
      </w:r>
      <w:r>
        <w:rPr>
          <w:rFonts w:ascii="Times New Roman" w:hAnsi="Times New Roman" w:cs="Times New Roman"/>
          <w:sz w:val="24"/>
          <w:szCs w:val="24"/>
        </w:rPr>
        <w:t>.</w:t>
      </w:r>
      <w:r w:rsidRPr="00AA53BE">
        <w:rPr>
          <w:rFonts w:ascii="Times New Roman" w:hAnsi="Times New Roman" w:cs="Times New Roman"/>
          <w:sz w:val="24"/>
          <w:szCs w:val="24"/>
        </w:rPr>
        <w:t xml:space="preserve">  </w:t>
      </w:r>
    </w:p>
    <w:p w14:paraId="5098EEC7" w14:textId="05E12D6B" w:rsidR="00EE11F2" w:rsidRDefault="00EE11F2" w:rsidP="00EE11F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Pamatskolās un vidusskolās vadītāju vietnieku izglītības jomā</w:t>
      </w:r>
      <w:r w:rsidR="007D5203">
        <w:rPr>
          <w:rFonts w:ascii="Times New Roman" w:hAnsi="Times New Roman" w:cs="Times New Roman"/>
          <w:sz w:val="24"/>
          <w:szCs w:val="24"/>
        </w:rPr>
        <w:t xml:space="preserve"> un/vai struktūrvienības vadītāju</w:t>
      </w:r>
      <w:r>
        <w:rPr>
          <w:rFonts w:ascii="Times New Roman" w:hAnsi="Times New Roman" w:cs="Times New Roman"/>
          <w:sz w:val="24"/>
          <w:szCs w:val="24"/>
        </w:rPr>
        <w:t xml:space="preserve"> </w:t>
      </w:r>
      <w:r w:rsidR="007D5203">
        <w:rPr>
          <w:rFonts w:ascii="Times New Roman" w:hAnsi="Times New Roman" w:cs="Times New Roman"/>
          <w:sz w:val="24"/>
          <w:szCs w:val="24"/>
        </w:rPr>
        <w:t xml:space="preserve">ieteicamais </w:t>
      </w:r>
      <w:r>
        <w:rPr>
          <w:rFonts w:ascii="Times New Roman" w:hAnsi="Times New Roman" w:cs="Times New Roman"/>
          <w:sz w:val="24"/>
          <w:szCs w:val="24"/>
        </w:rPr>
        <w:t xml:space="preserve">amata vienību likmju skaits ir </w:t>
      </w:r>
      <w:r w:rsidR="007D5203">
        <w:rPr>
          <w:rFonts w:ascii="Times New Roman" w:hAnsi="Times New Roman" w:cs="Times New Roman"/>
          <w:sz w:val="24"/>
          <w:szCs w:val="24"/>
        </w:rPr>
        <w:t>šāds</w:t>
      </w:r>
      <w:r w:rsidRPr="001346BA">
        <w:rPr>
          <w:rFonts w:ascii="Times New Roman" w:hAnsi="Times New Roman" w:cs="Times New Roman"/>
          <w:sz w:val="24"/>
          <w:szCs w:val="24"/>
        </w:rPr>
        <w:t>:</w:t>
      </w:r>
    </w:p>
    <w:tbl>
      <w:tblPr>
        <w:tblStyle w:val="Reatabula"/>
        <w:tblW w:w="0" w:type="auto"/>
        <w:tblInd w:w="720" w:type="dxa"/>
        <w:tblLook w:val="04A0" w:firstRow="1" w:lastRow="0" w:firstColumn="1" w:lastColumn="0" w:noHBand="0" w:noVBand="1"/>
      </w:tblPr>
      <w:tblGrid>
        <w:gridCol w:w="1543"/>
        <w:gridCol w:w="2694"/>
        <w:gridCol w:w="3339"/>
      </w:tblGrid>
      <w:tr w:rsidR="007D5203" w14:paraId="69C3E9F6" w14:textId="77777777" w:rsidTr="000D1FAC">
        <w:tc>
          <w:tcPr>
            <w:tcW w:w="1543" w:type="dxa"/>
          </w:tcPr>
          <w:p w14:paraId="37CE7CAF" w14:textId="77777777" w:rsidR="007D5203" w:rsidRDefault="007D5203" w:rsidP="000D1FAC">
            <w:pPr>
              <w:ind w:right="-2"/>
              <w:contextualSpacing/>
              <w:jc w:val="both"/>
              <w:rPr>
                <w:rFonts w:eastAsia="Calibri" w:cs="Times New Roman"/>
              </w:rPr>
            </w:pPr>
            <w:r>
              <w:rPr>
                <w:rFonts w:eastAsia="Calibri" w:cs="Times New Roman"/>
              </w:rPr>
              <w:t>Izglītojamo skaits</w:t>
            </w:r>
          </w:p>
        </w:tc>
        <w:tc>
          <w:tcPr>
            <w:tcW w:w="2694" w:type="dxa"/>
          </w:tcPr>
          <w:p w14:paraId="079222F0" w14:textId="77777777" w:rsidR="007D5203" w:rsidRDefault="007D5203" w:rsidP="000D1FAC">
            <w:pPr>
              <w:ind w:right="-2"/>
              <w:contextualSpacing/>
              <w:jc w:val="both"/>
              <w:rPr>
                <w:rFonts w:eastAsia="Calibri" w:cs="Times New Roman"/>
              </w:rPr>
            </w:pPr>
            <w:r>
              <w:rPr>
                <w:rFonts w:eastAsia="Calibri" w:cs="Times New Roman"/>
              </w:rPr>
              <w:t>Vietnieku un/vai struktūrvienību vadītāju likmju skaits, ja nav struktūrvienības</w:t>
            </w:r>
          </w:p>
        </w:tc>
        <w:tc>
          <w:tcPr>
            <w:tcW w:w="3339" w:type="dxa"/>
          </w:tcPr>
          <w:p w14:paraId="0C53111B" w14:textId="77777777" w:rsidR="007D5203" w:rsidRDefault="007D5203" w:rsidP="000D1FAC">
            <w:pPr>
              <w:ind w:right="-2"/>
              <w:contextualSpacing/>
              <w:jc w:val="both"/>
              <w:rPr>
                <w:rFonts w:eastAsia="Calibri" w:cs="Times New Roman"/>
              </w:rPr>
            </w:pPr>
            <w:r>
              <w:rPr>
                <w:rFonts w:eastAsia="Calibri" w:cs="Times New Roman"/>
              </w:rPr>
              <w:t>Vietnieku un/vai struktūrvienību vadītāju likmju skaits, ja ir struktūrvienība(pamatskola vai sākumskola)</w:t>
            </w:r>
          </w:p>
        </w:tc>
      </w:tr>
      <w:tr w:rsidR="007D5203" w14:paraId="057F80DC" w14:textId="77777777" w:rsidTr="000D1FAC">
        <w:tc>
          <w:tcPr>
            <w:tcW w:w="1543" w:type="dxa"/>
          </w:tcPr>
          <w:p w14:paraId="1BF36234" w14:textId="77777777" w:rsidR="007D5203" w:rsidRDefault="007D5203" w:rsidP="000D1FAC">
            <w:pPr>
              <w:ind w:right="-2"/>
              <w:contextualSpacing/>
              <w:jc w:val="both"/>
              <w:rPr>
                <w:rFonts w:eastAsia="Calibri" w:cs="Times New Roman"/>
              </w:rPr>
            </w:pPr>
            <w:r>
              <w:rPr>
                <w:rFonts w:eastAsia="Calibri" w:cs="Times New Roman"/>
              </w:rPr>
              <w:t>31-60</w:t>
            </w:r>
          </w:p>
        </w:tc>
        <w:tc>
          <w:tcPr>
            <w:tcW w:w="2694" w:type="dxa"/>
          </w:tcPr>
          <w:p w14:paraId="630B2494" w14:textId="77777777" w:rsidR="007D5203" w:rsidRDefault="007D5203" w:rsidP="000D1FAC">
            <w:pPr>
              <w:ind w:right="-2"/>
              <w:contextualSpacing/>
              <w:jc w:val="both"/>
              <w:rPr>
                <w:rFonts w:eastAsia="Calibri" w:cs="Times New Roman"/>
              </w:rPr>
            </w:pPr>
            <w:r>
              <w:rPr>
                <w:rFonts w:eastAsia="Calibri" w:cs="Times New Roman"/>
              </w:rPr>
              <w:t>0,15</w:t>
            </w:r>
          </w:p>
        </w:tc>
        <w:tc>
          <w:tcPr>
            <w:tcW w:w="3339" w:type="dxa"/>
          </w:tcPr>
          <w:p w14:paraId="3D872ABE" w14:textId="77777777" w:rsidR="007D5203" w:rsidRDefault="007D5203" w:rsidP="000D1FAC">
            <w:pPr>
              <w:ind w:right="-2"/>
              <w:contextualSpacing/>
              <w:jc w:val="both"/>
              <w:rPr>
                <w:rFonts w:eastAsia="Calibri" w:cs="Times New Roman"/>
              </w:rPr>
            </w:pPr>
            <w:r>
              <w:rPr>
                <w:rFonts w:eastAsia="Calibri" w:cs="Times New Roman"/>
              </w:rPr>
              <w:t>-</w:t>
            </w:r>
          </w:p>
        </w:tc>
      </w:tr>
      <w:tr w:rsidR="007D5203" w14:paraId="4AC1229A" w14:textId="77777777" w:rsidTr="000D1FAC">
        <w:tc>
          <w:tcPr>
            <w:tcW w:w="1543" w:type="dxa"/>
          </w:tcPr>
          <w:p w14:paraId="077F367E" w14:textId="77777777" w:rsidR="007D5203" w:rsidRDefault="007D5203" w:rsidP="000D1FAC">
            <w:pPr>
              <w:ind w:right="-2"/>
              <w:contextualSpacing/>
              <w:jc w:val="both"/>
              <w:rPr>
                <w:rFonts w:eastAsia="Calibri" w:cs="Times New Roman"/>
              </w:rPr>
            </w:pPr>
            <w:r>
              <w:rPr>
                <w:rFonts w:eastAsia="Calibri" w:cs="Times New Roman"/>
              </w:rPr>
              <w:t>61-90</w:t>
            </w:r>
          </w:p>
        </w:tc>
        <w:tc>
          <w:tcPr>
            <w:tcW w:w="2694" w:type="dxa"/>
          </w:tcPr>
          <w:p w14:paraId="365A2696" w14:textId="77777777" w:rsidR="007D5203" w:rsidRDefault="007D5203" w:rsidP="000D1FAC">
            <w:pPr>
              <w:ind w:right="-2"/>
              <w:contextualSpacing/>
              <w:jc w:val="both"/>
              <w:rPr>
                <w:rFonts w:eastAsia="Calibri" w:cs="Times New Roman"/>
              </w:rPr>
            </w:pPr>
            <w:r>
              <w:rPr>
                <w:rFonts w:eastAsia="Calibri" w:cs="Times New Roman"/>
              </w:rPr>
              <w:t>0,25</w:t>
            </w:r>
          </w:p>
        </w:tc>
        <w:tc>
          <w:tcPr>
            <w:tcW w:w="3339" w:type="dxa"/>
          </w:tcPr>
          <w:p w14:paraId="3B8725C7" w14:textId="77777777" w:rsidR="007D5203" w:rsidRDefault="007D5203" w:rsidP="000D1FAC">
            <w:pPr>
              <w:ind w:right="-2"/>
              <w:contextualSpacing/>
              <w:jc w:val="both"/>
              <w:rPr>
                <w:rFonts w:eastAsia="Calibri" w:cs="Times New Roman"/>
              </w:rPr>
            </w:pPr>
            <w:r>
              <w:rPr>
                <w:rFonts w:eastAsia="Calibri" w:cs="Times New Roman"/>
              </w:rPr>
              <w:t>-</w:t>
            </w:r>
          </w:p>
        </w:tc>
      </w:tr>
      <w:tr w:rsidR="007D5203" w14:paraId="23D8EF36" w14:textId="77777777" w:rsidTr="000D1FAC">
        <w:tc>
          <w:tcPr>
            <w:tcW w:w="1543" w:type="dxa"/>
          </w:tcPr>
          <w:p w14:paraId="6E594995" w14:textId="77777777" w:rsidR="007D5203" w:rsidRDefault="007D5203" w:rsidP="000D1FAC">
            <w:pPr>
              <w:ind w:right="-2"/>
              <w:contextualSpacing/>
              <w:jc w:val="both"/>
              <w:rPr>
                <w:rFonts w:eastAsia="Calibri" w:cs="Times New Roman"/>
              </w:rPr>
            </w:pPr>
            <w:r>
              <w:rPr>
                <w:rFonts w:eastAsia="Calibri" w:cs="Times New Roman"/>
              </w:rPr>
              <w:t>91-120</w:t>
            </w:r>
          </w:p>
        </w:tc>
        <w:tc>
          <w:tcPr>
            <w:tcW w:w="2694" w:type="dxa"/>
          </w:tcPr>
          <w:p w14:paraId="7268B896" w14:textId="77777777" w:rsidR="007D5203" w:rsidRDefault="007D5203" w:rsidP="000D1FAC">
            <w:pPr>
              <w:ind w:right="-2"/>
              <w:contextualSpacing/>
              <w:jc w:val="both"/>
              <w:rPr>
                <w:rFonts w:eastAsia="Calibri" w:cs="Times New Roman"/>
              </w:rPr>
            </w:pPr>
            <w:r>
              <w:rPr>
                <w:rFonts w:eastAsia="Calibri" w:cs="Times New Roman"/>
              </w:rPr>
              <w:t>0,5</w:t>
            </w:r>
          </w:p>
        </w:tc>
        <w:tc>
          <w:tcPr>
            <w:tcW w:w="3339" w:type="dxa"/>
          </w:tcPr>
          <w:p w14:paraId="367E3C38" w14:textId="77777777" w:rsidR="007D5203" w:rsidRDefault="007D5203" w:rsidP="000D1FAC">
            <w:pPr>
              <w:ind w:right="-2"/>
              <w:contextualSpacing/>
              <w:jc w:val="both"/>
              <w:rPr>
                <w:rFonts w:eastAsia="Calibri" w:cs="Times New Roman"/>
              </w:rPr>
            </w:pPr>
            <w:r>
              <w:rPr>
                <w:rFonts w:eastAsia="Calibri" w:cs="Times New Roman"/>
              </w:rPr>
              <w:t>0,8</w:t>
            </w:r>
          </w:p>
        </w:tc>
      </w:tr>
      <w:tr w:rsidR="007D5203" w14:paraId="2ACFAB3B" w14:textId="77777777" w:rsidTr="000D1FAC">
        <w:tc>
          <w:tcPr>
            <w:tcW w:w="1543" w:type="dxa"/>
          </w:tcPr>
          <w:p w14:paraId="545DAD4D" w14:textId="77777777" w:rsidR="007D5203" w:rsidRDefault="007D5203" w:rsidP="000D1FAC">
            <w:pPr>
              <w:ind w:right="-2"/>
              <w:contextualSpacing/>
              <w:jc w:val="both"/>
              <w:rPr>
                <w:rFonts w:eastAsia="Calibri" w:cs="Times New Roman"/>
              </w:rPr>
            </w:pPr>
            <w:r>
              <w:rPr>
                <w:rFonts w:eastAsia="Calibri" w:cs="Times New Roman"/>
              </w:rPr>
              <w:t>121-175</w:t>
            </w:r>
          </w:p>
        </w:tc>
        <w:tc>
          <w:tcPr>
            <w:tcW w:w="2694" w:type="dxa"/>
          </w:tcPr>
          <w:p w14:paraId="28CE5624" w14:textId="77777777" w:rsidR="007D5203" w:rsidRDefault="007D5203" w:rsidP="000D1FAC">
            <w:pPr>
              <w:ind w:right="-2"/>
              <w:contextualSpacing/>
              <w:jc w:val="both"/>
              <w:rPr>
                <w:rFonts w:eastAsia="Calibri" w:cs="Times New Roman"/>
              </w:rPr>
            </w:pPr>
            <w:r>
              <w:rPr>
                <w:rFonts w:eastAsia="Calibri" w:cs="Times New Roman"/>
              </w:rPr>
              <w:t>1</w:t>
            </w:r>
          </w:p>
        </w:tc>
        <w:tc>
          <w:tcPr>
            <w:tcW w:w="3339" w:type="dxa"/>
          </w:tcPr>
          <w:p w14:paraId="0ECB5D87" w14:textId="77777777" w:rsidR="007D5203" w:rsidRDefault="007D5203" w:rsidP="000D1FAC">
            <w:pPr>
              <w:ind w:right="-2"/>
              <w:contextualSpacing/>
              <w:jc w:val="both"/>
              <w:rPr>
                <w:rFonts w:eastAsia="Calibri" w:cs="Times New Roman"/>
              </w:rPr>
            </w:pPr>
            <w:r>
              <w:rPr>
                <w:rFonts w:eastAsia="Calibri" w:cs="Times New Roman"/>
              </w:rPr>
              <w:t>1,3</w:t>
            </w:r>
          </w:p>
        </w:tc>
      </w:tr>
      <w:tr w:rsidR="007D5203" w14:paraId="12D88CA3" w14:textId="77777777" w:rsidTr="000D1FAC">
        <w:tc>
          <w:tcPr>
            <w:tcW w:w="1543" w:type="dxa"/>
          </w:tcPr>
          <w:p w14:paraId="7BE8D032" w14:textId="77777777" w:rsidR="007D5203" w:rsidRDefault="007D5203" w:rsidP="000D1FAC">
            <w:pPr>
              <w:ind w:right="-2"/>
              <w:contextualSpacing/>
              <w:jc w:val="both"/>
              <w:rPr>
                <w:rFonts w:eastAsia="Calibri" w:cs="Times New Roman"/>
              </w:rPr>
            </w:pPr>
            <w:r>
              <w:rPr>
                <w:rFonts w:eastAsia="Calibri" w:cs="Times New Roman"/>
              </w:rPr>
              <w:t>176-221</w:t>
            </w:r>
          </w:p>
        </w:tc>
        <w:tc>
          <w:tcPr>
            <w:tcW w:w="2694" w:type="dxa"/>
          </w:tcPr>
          <w:p w14:paraId="2D87FF3B" w14:textId="51F5C7A3" w:rsidR="007D5203" w:rsidRDefault="007D5203" w:rsidP="000D1FAC">
            <w:pPr>
              <w:ind w:right="-2"/>
              <w:contextualSpacing/>
              <w:jc w:val="both"/>
              <w:rPr>
                <w:rFonts w:eastAsia="Calibri" w:cs="Times New Roman"/>
              </w:rPr>
            </w:pPr>
            <w:r>
              <w:rPr>
                <w:rFonts w:eastAsia="Calibri" w:cs="Times New Roman"/>
              </w:rPr>
              <w:t>1,</w:t>
            </w:r>
            <w:r w:rsidR="00C217E3">
              <w:rPr>
                <w:rFonts w:eastAsia="Calibri" w:cs="Times New Roman"/>
              </w:rPr>
              <w:t>4</w:t>
            </w:r>
          </w:p>
        </w:tc>
        <w:tc>
          <w:tcPr>
            <w:tcW w:w="3339" w:type="dxa"/>
          </w:tcPr>
          <w:p w14:paraId="55575805" w14:textId="48F37EA5" w:rsidR="007D5203" w:rsidRDefault="007D5203" w:rsidP="000D1FAC">
            <w:pPr>
              <w:ind w:right="-2"/>
              <w:contextualSpacing/>
              <w:jc w:val="both"/>
              <w:rPr>
                <w:rFonts w:eastAsia="Calibri" w:cs="Times New Roman"/>
              </w:rPr>
            </w:pPr>
            <w:r>
              <w:rPr>
                <w:rFonts w:eastAsia="Calibri" w:cs="Times New Roman"/>
              </w:rPr>
              <w:t>1,</w:t>
            </w:r>
            <w:r w:rsidR="00C217E3">
              <w:rPr>
                <w:rFonts w:eastAsia="Calibri" w:cs="Times New Roman"/>
              </w:rPr>
              <w:t>7</w:t>
            </w:r>
          </w:p>
        </w:tc>
      </w:tr>
      <w:tr w:rsidR="007D5203" w14:paraId="32A57322" w14:textId="77777777" w:rsidTr="000D1FAC">
        <w:tc>
          <w:tcPr>
            <w:tcW w:w="1543" w:type="dxa"/>
          </w:tcPr>
          <w:p w14:paraId="1898145F" w14:textId="77777777" w:rsidR="007D5203" w:rsidRDefault="007D5203" w:rsidP="000D1FAC">
            <w:pPr>
              <w:ind w:right="-2"/>
              <w:contextualSpacing/>
              <w:jc w:val="both"/>
              <w:rPr>
                <w:rFonts w:eastAsia="Calibri" w:cs="Times New Roman"/>
              </w:rPr>
            </w:pPr>
            <w:r>
              <w:rPr>
                <w:rFonts w:eastAsia="Calibri" w:cs="Times New Roman"/>
              </w:rPr>
              <w:t>222-271</w:t>
            </w:r>
          </w:p>
        </w:tc>
        <w:tc>
          <w:tcPr>
            <w:tcW w:w="2694" w:type="dxa"/>
          </w:tcPr>
          <w:p w14:paraId="1D523B1C" w14:textId="16A6988D" w:rsidR="007D5203" w:rsidRDefault="007D5203" w:rsidP="000D1FAC">
            <w:pPr>
              <w:ind w:right="-2"/>
              <w:contextualSpacing/>
              <w:jc w:val="both"/>
              <w:rPr>
                <w:rFonts w:eastAsia="Calibri" w:cs="Times New Roman"/>
              </w:rPr>
            </w:pPr>
            <w:r>
              <w:rPr>
                <w:rFonts w:eastAsia="Calibri" w:cs="Times New Roman"/>
              </w:rPr>
              <w:t>1,</w:t>
            </w:r>
            <w:r w:rsidR="00C217E3">
              <w:rPr>
                <w:rFonts w:eastAsia="Calibri" w:cs="Times New Roman"/>
              </w:rPr>
              <w:t>8</w:t>
            </w:r>
          </w:p>
        </w:tc>
        <w:tc>
          <w:tcPr>
            <w:tcW w:w="3339" w:type="dxa"/>
          </w:tcPr>
          <w:p w14:paraId="76B2564B" w14:textId="3FD91DA7" w:rsidR="007D5203" w:rsidRDefault="00C217E3" w:rsidP="000D1FAC">
            <w:pPr>
              <w:ind w:right="-2"/>
              <w:contextualSpacing/>
              <w:jc w:val="both"/>
              <w:rPr>
                <w:rFonts w:eastAsia="Calibri" w:cs="Times New Roman"/>
              </w:rPr>
            </w:pPr>
            <w:r>
              <w:rPr>
                <w:rFonts w:eastAsia="Calibri" w:cs="Times New Roman"/>
              </w:rPr>
              <w:t>2,1</w:t>
            </w:r>
          </w:p>
        </w:tc>
      </w:tr>
      <w:tr w:rsidR="007D5203" w14:paraId="1E3BFAA1" w14:textId="77777777" w:rsidTr="000D1FAC">
        <w:tc>
          <w:tcPr>
            <w:tcW w:w="1543" w:type="dxa"/>
          </w:tcPr>
          <w:p w14:paraId="103EAACF" w14:textId="77777777" w:rsidR="007D5203" w:rsidRDefault="007D5203" w:rsidP="000D1FAC">
            <w:pPr>
              <w:ind w:right="-2"/>
              <w:contextualSpacing/>
              <w:jc w:val="both"/>
              <w:rPr>
                <w:rFonts w:eastAsia="Calibri" w:cs="Times New Roman"/>
              </w:rPr>
            </w:pPr>
            <w:r>
              <w:rPr>
                <w:rFonts w:eastAsia="Calibri" w:cs="Times New Roman"/>
              </w:rPr>
              <w:t>272-321</w:t>
            </w:r>
          </w:p>
        </w:tc>
        <w:tc>
          <w:tcPr>
            <w:tcW w:w="2694" w:type="dxa"/>
          </w:tcPr>
          <w:p w14:paraId="4F2B774D" w14:textId="0D246AAE" w:rsidR="007D5203" w:rsidRDefault="00C217E3" w:rsidP="000D1FAC">
            <w:pPr>
              <w:ind w:right="-2"/>
              <w:contextualSpacing/>
              <w:jc w:val="both"/>
              <w:rPr>
                <w:rFonts w:eastAsia="Calibri" w:cs="Times New Roman"/>
              </w:rPr>
            </w:pPr>
            <w:r>
              <w:rPr>
                <w:rFonts w:eastAsia="Calibri" w:cs="Times New Roman"/>
              </w:rPr>
              <w:t>2,2</w:t>
            </w:r>
          </w:p>
        </w:tc>
        <w:tc>
          <w:tcPr>
            <w:tcW w:w="3339" w:type="dxa"/>
          </w:tcPr>
          <w:p w14:paraId="518CB657" w14:textId="24A1E1CF" w:rsidR="007D5203" w:rsidRDefault="007D5203" w:rsidP="000D1FAC">
            <w:pPr>
              <w:ind w:right="-2"/>
              <w:contextualSpacing/>
              <w:jc w:val="both"/>
              <w:rPr>
                <w:rFonts w:eastAsia="Calibri" w:cs="Times New Roman"/>
              </w:rPr>
            </w:pPr>
            <w:r>
              <w:rPr>
                <w:rFonts w:eastAsia="Calibri" w:cs="Times New Roman"/>
              </w:rPr>
              <w:t>2,</w:t>
            </w:r>
            <w:r w:rsidR="00C217E3">
              <w:rPr>
                <w:rFonts w:eastAsia="Calibri" w:cs="Times New Roman"/>
              </w:rPr>
              <w:t>5</w:t>
            </w:r>
          </w:p>
        </w:tc>
      </w:tr>
      <w:tr w:rsidR="007D5203" w14:paraId="2FFF8C02" w14:textId="77777777" w:rsidTr="000D1FAC">
        <w:tc>
          <w:tcPr>
            <w:tcW w:w="1543" w:type="dxa"/>
          </w:tcPr>
          <w:p w14:paraId="7E0AAFDA" w14:textId="77777777" w:rsidR="007D5203" w:rsidRDefault="007D5203" w:rsidP="000D1FAC">
            <w:pPr>
              <w:ind w:right="-2"/>
              <w:contextualSpacing/>
              <w:jc w:val="both"/>
              <w:rPr>
                <w:rFonts w:eastAsia="Calibri" w:cs="Times New Roman"/>
              </w:rPr>
            </w:pPr>
            <w:r>
              <w:rPr>
                <w:rFonts w:eastAsia="Calibri" w:cs="Times New Roman"/>
              </w:rPr>
              <w:t>322-371</w:t>
            </w:r>
          </w:p>
        </w:tc>
        <w:tc>
          <w:tcPr>
            <w:tcW w:w="2694" w:type="dxa"/>
          </w:tcPr>
          <w:p w14:paraId="7B093554" w14:textId="06267AD5" w:rsidR="007D5203" w:rsidRDefault="007D5203" w:rsidP="000D1FAC">
            <w:pPr>
              <w:ind w:right="-2"/>
              <w:contextualSpacing/>
              <w:jc w:val="both"/>
              <w:rPr>
                <w:rFonts w:eastAsia="Calibri" w:cs="Times New Roman"/>
              </w:rPr>
            </w:pPr>
            <w:r>
              <w:rPr>
                <w:rFonts w:eastAsia="Calibri" w:cs="Times New Roman"/>
              </w:rPr>
              <w:t>2,</w:t>
            </w:r>
            <w:r w:rsidR="00C217E3">
              <w:rPr>
                <w:rFonts w:eastAsia="Calibri" w:cs="Times New Roman"/>
              </w:rPr>
              <w:t>6</w:t>
            </w:r>
          </w:p>
        </w:tc>
        <w:tc>
          <w:tcPr>
            <w:tcW w:w="3339" w:type="dxa"/>
          </w:tcPr>
          <w:p w14:paraId="2B4FD087" w14:textId="1DB75234" w:rsidR="007D5203" w:rsidRDefault="007D5203" w:rsidP="000D1FAC">
            <w:pPr>
              <w:ind w:right="-2"/>
              <w:contextualSpacing/>
              <w:jc w:val="both"/>
              <w:rPr>
                <w:rFonts w:eastAsia="Calibri" w:cs="Times New Roman"/>
              </w:rPr>
            </w:pPr>
            <w:r>
              <w:rPr>
                <w:rFonts w:eastAsia="Calibri" w:cs="Times New Roman"/>
              </w:rPr>
              <w:t>2,</w:t>
            </w:r>
            <w:r w:rsidR="00C217E3">
              <w:rPr>
                <w:rFonts w:eastAsia="Calibri" w:cs="Times New Roman"/>
              </w:rPr>
              <w:t>9</w:t>
            </w:r>
          </w:p>
        </w:tc>
      </w:tr>
      <w:tr w:rsidR="007D5203" w14:paraId="500C6A92" w14:textId="77777777" w:rsidTr="000D1FAC">
        <w:tc>
          <w:tcPr>
            <w:tcW w:w="1543" w:type="dxa"/>
          </w:tcPr>
          <w:p w14:paraId="79AAEEB5" w14:textId="77777777" w:rsidR="007D5203" w:rsidRDefault="007D5203" w:rsidP="000D1FAC">
            <w:pPr>
              <w:ind w:right="-2"/>
              <w:contextualSpacing/>
              <w:jc w:val="both"/>
              <w:rPr>
                <w:rFonts w:eastAsia="Calibri" w:cs="Times New Roman"/>
              </w:rPr>
            </w:pPr>
            <w:r>
              <w:rPr>
                <w:rFonts w:eastAsia="Calibri" w:cs="Times New Roman"/>
              </w:rPr>
              <w:t>372-421</w:t>
            </w:r>
          </w:p>
        </w:tc>
        <w:tc>
          <w:tcPr>
            <w:tcW w:w="2694" w:type="dxa"/>
          </w:tcPr>
          <w:p w14:paraId="2D94889F" w14:textId="758BB3AC" w:rsidR="007D5203" w:rsidRDefault="00C217E3" w:rsidP="000D1FAC">
            <w:pPr>
              <w:ind w:right="-2"/>
              <w:contextualSpacing/>
              <w:jc w:val="both"/>
              <w:rPr>
                <w:rFonts w:eastAsia="Calibri" w:cs="Times New Roman"/>
              </w:rPr>
            </w:pPr>
            <w:r>
              <w:rPr>
                <w:rFonts w:eastAsia="Calibri" w:cs="Times New Roman"/>
              </w:rPr>
              <w:t>3</w:t>
            </w:r>
          </w:p>
        </w:tc>
        <w:tc>
          <w:tcPr>
            <w:tcW w:w="3339" w:type="dxa"/>
          </w:tcPr>
          <w:p w14:paraId="364A00C6" w14:textId="564CD4BC" w:rsidR="007D5203" w:rsidRDefault="007D5203" w:rsidP="000D1FAC">
            <w:pPr>
              <w:ind w:right="-2"/>
              <w:contextualSpacing/>
              <w:jc w:val="both"/>
              <w:rPr>
                <w:rFonts w:eastAsia="Calibri" w:cs="Times New Roman"/>
              </w:rPr>
            </w:pPr>
            <w:r>
              <w:rPr>
                <w:rFonts w:eastAsia="Calibri" w:cs="Times New Roman"/>
              </w:rPr>
              <w:t>3</w:t>
            </w:r>
            <w:r w:rsidR="00C217E3">
              <w:rPr>
                <w:rFonts w:eastAsia="Calibri" w:cs="Times New Roman"/>
              </w:rPr>
              <w:t>,3</w:t>
            </w:r>
          </w:p>
        </w:tc>
      </w:tr>
      <w:tr w:rsidR="007D5203" w14:paraId="316E6496" w14:textId="77777777" w:rsidTr="000D1FAC">
        <w:tc>
          <w:tcPr>
            <w:tcW w:w="1543" w:type="dxa"/>
          </w:tcPr>
          <w:p w14:paraId="07613730" w14:textId="77777777" w:rsidR="007D5203" w:rsidRDefault="007D5203" w:rsidP="000D1FAC">
            <w:pPr>
              <w:ind w:right="-2"/>
              <w:contextualSpacing/>
              <w:jc w:val="both"/>
              <w:rPr>
                <w:rFonts w:eastAsia="Calibri" w:cs="Times New Roman"/>
              </w:rPr>
            </w:pPr>
            <w:r>
              <w:rPr>
                <w:rFonts w:eastAsia="Calibri" w:cs="Times New Roman"/>
              </w:rPr>
              <w:t>422-471</w:t>
            </w:r>
          </w:p>
        </w:tc>
        <w:tc>
          <w:tcPr>
            <w:tcW w:w="2694" w:type="dxa"/>
          </w:tcPr>
          <w:p w14:paraId="378EDF3D" w14:textId="3358379E" w:rsidR="007D5203" w:rsidRDefault="007D5203" w:rsidP="000D1FAC">
            <w:pPr>
              <w:ind w:right="-2"/>
              <w:contextualSpacing/>
              <w:jc w:val="both"/>
              <w:rPr>
                <w:rFonts w:eastAsia="Calibri" w:cs="Times New Roman"/>
              </w:rPr>
            </w:pPr>
            <w:r>
              <w:rPr>
                <w:rFonts w:eastAsia="Calibri" w:cs="Times New Roman"/>
              </w:rPr>
              <w:t>3,</w:t>
            </w:r>
            <w:r w:rsidR="00C217E3">
              <w:rPr>
                <w:rFonts w:eastAsia="Calibri" w:cs="Times New Roman"/>
              </w:rPr>
              <w:t>4</w:t>
            </w:r>
          </w:p>
        </w:tc>
        <w:tc>
          <w:tcPr>
            <w:tcW w:w="3339" w:type="dxa"/>
          </w:tcPr>
          <w:p w14:paraId="7F1706D7" w14:textId="371B2DBB" w:rsidR="007D5203" w:rsidRDefault="007D5203" w:rsidP="000D1FAC">
            <w:pPr>
              <w:ind w:right="-2"/>
              <w:contextualSpacing/>
              <w:jc w:val="both"/>
              <w:rPr>
                <w:rFonts w:eastAsia="Calibri" w:cs="Times New Roman"/>
              </w:rPr>
            </w:pPr>
            <w:r>
              <w:rPr>
                <w:rFonts w:eastAsia="Calibri" w:cs="Times New Roman"/>
              </w:rPr>
              <w:t>3,</w:t>
            </w:r>
            <w:r w:rsidR="00C217E3">
              <w:rPr>
                <w:rFonts w:eastAsia="Calibri" w:cs="Times New Roman"/>
              </w:rPr>
              <w:t>7</w:t>
            </w:r>
          </w:p>
        </w:tc>
      </w:tr>
      <w:tr w:rsidR="007D5203" w14:paraId="27920473" w14:textId="77777777" w:rsidTr="000D1FAC">
        <w:tc>
          <w:tcPr>
            <w:tcW w:w="1543" w:type="dxa"/>
          </w:tcPr>
          <w:p w14:paraId="73159958" w14:textId="77777777" w:rsidR="007D5203" w:rsidRDefault="007D5203" w:rsidP="000D1FAC">
            <w:pPr>
              <w:ind w:right="-2"/>
              <w:contextualSpacing/>
              <w:jc w:val="both"/>
              <w:rPr>
                <w:rFonts w:eastAsia="Calibri" w:cs="Times New Roman"/>
              </w:rPr>
            </w:pPr>
            <w:r>
              <w:rPr>
                <w:rFonts w:eastAsia="Calibri" w:cs="Times New Roman"/>
              </w:rPr>
              <w:t>472 un vairāk</w:t>
            </w:r>
          </w:p>
        </w:tc>
        <w:tc>
          <w:tcPr>
            <w:tcW w:w="2694" w:type="dxa"/>
          </w:tcPr>
          <w:p w14:paraId="1EA8B06B" w14:textId="5CC1D5A6" w:rsidR="007D5203" w:rsidRDefault="007D5203" w:rsidP="000D1FAC">
            <w:pPr>
              <w:ind w:right="-2"/>
              <w:contextualSpacing/>
              <w:jc w:val="both"/>
              <w:rPr>
                <w:rFonts w:eastAsia="Calibri" w:cs="Times New Roman"/>
              </w:rPr>
            </w:pPr>
            <w:r>
              <w:rPr>
                <w:rFonts w:eastAsia="Calibri" w:cs="Times New Roman"/>
              </w:rPr>
              <w:t>3,</w:t>
            </w:r>
            <w:r w:rsidR="00C217E3">
              <w:rPr>
                <w:rFonts w:eastAsia="Calibri" w:cs="Times New Roman"/>
              </w:rPr>
              <w:t>8</w:t>
            </w:r>
          </w:p>
        </w:tc>
        <w:tc>
          <w:tcPr>
            <w:tcW w:w="3339" w:type="dxa"/>
          </w:tcPr>
          <w:p w14:paraId="4884BEA1" w14:textId="5DC4741D" w:rsidR="007D5203" w:rsidRDefault="00C217E3" w:rsidP="000D1FAC">
            <w:pPr>
              <w:ind w:right="-2"/>
              <w:contextualSpacing/>
              <w:jc w:val="both"/>
              <w:rPr>
                <w:rFonts w:eastAsia="Calibri" w:cs="Times New Roman"/>
              </w:rPr>
            </w:pPr>
            <w:r>
              <w:rPr>
                <w:rFonts w:eastAsia="Calibri" w:cs="Times New Roman"/>
              </w:rPr>
              <w:t>4,1</w:t>
            </w:r>
          </w:p>
        </w:tc>
      </w:tr>
    </w:tbl>
    <w:p w14:paraId="6AF0CC4D" w14:textId="77777777" w:rsidR="007D5203" w:rsidRPr="007D5203" w:rsidRDefault="007D5203" w:rsidP="007D5203">
      <w:pPr>
        <w:ind w:left="360"/>
        <w:jc w:val="both"/>
        <w:rPr>
          <w:rFonts w:cs="Times New Roman"/>
          <w:szCs w:val="24"/>
        </w:rPr>
      </w:pPr>
    </w:p>
    <w:p w14:paraId="1B4050DB" w14:textId="5D299579" w:rsidR="00EE11F2" w:rsidRPr="007D5203" w:rsidRDefault="007D5203" w:rsidP="007D5203">
      <w:pPr>
        <w:numPr>
          <w:ilvl w:val="1"/>
          <w:numId w:val="1"/>
        </w:numPr>
        <w:ind w:right="-2"/>
        <w:contextualSpacing/>
        <w:jc w:val="both"/>
        <w:rPr>
          <w:rFonts w:eastAsia="Calibri" w:cs="Times New Roman"/>
        </w:rPr>
      </w:pPr>
      <w:r>
        <w:rPr>
          <w:rFonts w:cs="Times New Roman"/>
        </w:rPr>
        <w:t>izglītības iestādes vadītājs, nosakot savas izglītības iestādes vadītāja vietnieku un/vai struktūrvienības vadītāju likmju skaitu un algas likmi, drīkst palielināt vai samazināt šo amatu likmju skaitu atbilstoši 5.</w:t>
      </w:r>
      <w:r w:rsidR="00080649">
        <w:rPr>
          <w:rFonts w:cs="Times New Roman"/>
        </w:rPr>
        <w:t>3</w:t>
      </w:r>
      <w:r>
        <w:rPr>
          <w:rFonts w:cs="Times New Roman"/>
        </w:rPr>
        <w:t>.apakšpunkta tabulā noteiktajam piešķirtā savas iestādes vadībai finansējuma ietvaros.</w:t>
      </w:r>
      <w:r w:rsidR="00EE11F2" w:rsidRPr="007D5203">
        <w:rPr>
          <w:rFonts w:cs="Times New Roman"/>
          <w:szCs w:val="24"/>
        </w:rPr>
        <w:tab/>
      </w:r>
    </w:p>
    <w:p w14:paraId="0D6A9052" w14:textId="77777777" w:rsidR="00EE11F2" w:rsidRDefault="00EE11F2" w:rsidP="00EE11F2">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Pirmsskolas izglītības iestādēs:</w:t>
      </w:r>
    </w:p>
    <w:p w14:paraId="4C2F4B17" w14:textId="1E73BE73" w:rsidR="00EE11F2" w:rsidRPr="00AA53BE" w:rsidRDefault="007D5203" w:rsidP="00EE11F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E11F2">
        <w:rPr>
          <w:rFonts w:ascii="Times New Roman" w:hAnsi="Times New Roman" w:cs="Times New Roman"/>
          <w:sz w:val="24"/>
          <w:szCs w:val="24"/>
        </w:rPr>
        <w:t>adītāju a</w:t>
      </w:r>
      <w:r w:rsidR="00EE11F2" w:rsidRPr="00AA53BE">
        <w:rPr>
          <w:rFonts w:ascii="Times New Roman" w:hAnsi="Times New Roman" w:cs="Times New Roman"/>
          <w:sz w:val="24"/>
          <w:szCs w:val="24"/>
        </w:rPr>
        <w:t xml:space="preserve">mata  vienību  skaits  </w:t>
      </w:r>
      <w:r w:rsidR="00EE11F2">
        <w:rPr>
          <w:rFonts w:ascii="Times New Roman" w:hAnsi="Times New Roman" w:cs="Times New Roman"/>
          <w:sz w:val="24"/>
          <w:szCs w:val="24"/>
        </w:rPr>
        <w:t>tiek noteikts sekojoši</w:t>
      </w:r>
      <w:r w:rsidR="00EE11F2" w:rsidRPr="00AA53BE">
        <w:rPr>
          <w:rFonts w:ascii="Times New Roman" w:hAnsi="Times New Roman" w:cs="Times New Roman"/>
          <w:sz w:val="24"/>
          <w:szCs w:val="24"/>
        </w:rPr>
        <w:t>:</w:t>
      </w:r>
    </w:p>
    <w:p w14:paraId="4D609F20"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0,2 likm</w:t>
      </w:r>
      <w:r>
        <w:rPr>
          <w:rFonts w:ascii="Times New Roman" w:hAnsi="Times New Roman" w:cs="Times New Roman"/>
          <w:sz w:val="24"/>
          <w:szCs w:val="24"/>
        </w:rPr>
        <w:t>es</w:t>
      </w:r>
      <w:r w:rsidRPr="00AA53BE">
        <w:rPr>
          <w:rFonts w:ascii="Times New Roman" w:hAnsi="Times New Roman" w:cs="Times New Roman"/>
          <w:sz w:val="24"/>
          <w:szCs w:val="24"/>
        </w:rPr>
        <w:t>, ja  izglītojamo  skaits  izglītības  iestādē  ir  mazāks  nekā  15  izglītojamie;</w:t>
      </w:r>
    </w:p>
    <w:p w14:paraId="0EC56C70"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0,35 likm</w:t>
      </w:r>
      <w:r>
        <w:rPr>
          <w:rFonts w:ascii="Times New Roman" w:hAnsi="Times New Roman" w:cs="Times New Roman"/>
          <w:sz w:val="24"/>
          <w:szCs w:val="24"/>
        </w:rPr>
        <w:t>es</w:t>
      </w:r>
      <w:r w:rsidRPr="00AA53BE">
        <w:rPr>
          <w:rFonts w:ascii="Times New Roman" w:hAnsi="Times New Roman" w:cs="Times New Roman"/>
          <w:sz w:val="24"/>
          <w:szCs w:val="24"/>
        </w:rPr>
        <w:t>, ja  izglītojamo  skaits  izglītības  iestādē  ir vismaz 15, bet   mazāks  nekā  30  izglītojamie;</w:t>
      </w:r>
    </w:p>
    <w:p w14:paraId="46DDC80C"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0,5 likm</w:t>
      </w:r>
      <w:r>
        <w:rPr>
          <w:rFonts w:ascii="Times New Roman" w:hAnsi="Times New Roman" w:cs="Times New Roman"/>
          <w:sz w:val="24"/>
          <w:szCs w:val="24"/>
        </w:rPr>
        <w:t>es</w:t>
      </w:r>
      <w:r w:rsidRPr="00AA53BE">
        <w:rPr>
          <w:rFonts w:ascii="Times New Roman" w:hAnsi="Times New Roman" w:cs="Times New Roman"/>
          <w:sz w:val="24"/>
          <w:szCs w:val="24"/>
        </w:rPr>
        <w:t>, ja  izglītojamo  skaits  izglītības  iestādē  ir vismaz 30, bet   mazāks  nekā  50  izglītojamie;</w:t>
      </w:r>
    </w:p>
    <w:p w14:paraId="45505983"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0,75 likm</w:t>
      </w:r>
      <w:r>
        <w:rPr>
          <w:rFonts w:ascii="Times New Roman" w:hAnsi="Times New Roman" w:cs="Times New Roman"/>
          <w:sz w:val="24"/>
          <w:szCs w:val="24"/>
        </w:rPr>
        <w:t>es</w:t>
      </w:r>
      <w:r w:rsidRPr="00AA53BE">
        <w:rPr>
          <w:rFonts w:ascii="Times New Roman" w:hAnsi="Times New Roman" w:cs="Times New Roman"/>
          <w:sz w:val="24"/>
          <w:szCs w:val="24"/>
        </w:rPr>
        <w:t>, ja  izglītojamo  skaits  izglītības  iestādē  ir vismaz 50, bet   mazāks  nekā  75  izglītojamie;</w:t>
      </w:r>
    </w:p>
    <w:p w14:paraId="3686D8AC" w14:textId="77777777" w:rsidR="00EE11F2" w:rsidRPr="006858DF"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6858DF">
        <w:rPr>
          <w:rFonts w:ascii="Times New Roman" w:hAnsi="Times New Roman" w:cs="Times New Roman"/>
          <w:sz w:val="24"/>
          <w:szCs w:val="24"/>
        </w:rPr>
        <w:t>1 likm</w:t>
      </w:r>
      <w:r>
        <w:rPr>
          <w:rFonts w:ascii="Times New Roman" w:hAnsi="Times New Roman" w:cs="Times New Roman"/>
          <w:sz w:val="24"/>
          <w:szCs w:val="24"/>
        </w:rPr>
        <w:t>e</w:t>
      </w:r>
      <w:r w:rsidRPr="006858DF">
        <w:rPr>
          <w:rFonts w:ascii="Times New Roman" w:hAnsi="Times New Roman" w:cs="Times New Roman"/>
          <w:sz w:val="24"/>
          <w:szCs w:val="24"/>
        </w:rPr>
        <w:t>, ja  izglītojamo  skaits  izglītības  iestādē  ir vismaz 75.</w:t>
      </w:r>
    </w:p>
    <w:p w14:paraId="7A27057B" w14:textId="77777777" w:rsidR="00277199" w:rsidRDefault="00277199" w:rsidP="0027719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AA53BE">
        <w:rPr>
          <w:rFonts w:ascii="Times New Roman" w:hAnsi="Times New Roman" w:cs="Times New Roman"/>
          <w:sz w:val="24"/>
          <w:szCs w:val="24"/>
        </w:rPr>
        <w:t xml:space="preserve">a  kādai  izglītības  iestādei  </w:t>
      </w:r>
      <w:r>
        <w:rPr>
          <w:rFonts w:ascii="Times New Roman" w:hAnsi="Times New Roman" w:cs="Times New Roman"/>
          <w:sz w:val="24"/>
          <w:szCs w:val="24"/>
        </w:rPr>
        <w:t>izglītības  programma (as)  tiek realizēta(as)  citā  apdzīvotā  vietā</w:t>
      </w:r>
      <w:r w:rsidRPr="00AA53BE">
        <w:rPr>
          <w:rFonts w:ascii="Times New Roman" w:hAnsi="Times New Roman" w:cs="Times New Roman"/>
          <w:sz w:val="24"/>
          <w:szCs w:val="24"/>
        </w:rPr>
        <w:t xml:space="preserve">, bet  izglītības iestādes  vadītājam  atbilstoši  savas  iestādes izglītojamo  skaitam nepienākas  viena  vadītāja  amata  vienība, tad  </w:t>
      </w:r>
      <w:r>
        <w:rPr>
          <w:rFonts w:ascii="Times New Roman" w:hAnsi="Times New Roman" w:cs="Times New Roman"/>
          <w:sz w:val="24"/>
          <w:szCs w:val="24"/>
        </w:rPr>
        <w:t xml:space="preserve">tiek noteikta pilna </w:t>
      </w:r>
      <w:r w:rsidRPr="00AA53BE">
        <w:rPr>
          <w:rFonts w:ascii="Times New Roman" w:hAnsi="Times New Roman" w:cs="Times New Roman"/>
          <w:sz w:val="24"/>
          <w:szCs w:val="24"/>
        </w:rPr>
        <w:t>vadītāja  amata vienība</w:t>
      </w:r>
      <w:r>
        <w:rPr>
          <w:rFonts w:ascii="Times New Roman" w:hAnsi="Times New Roman" w:cs="Times New Roman"/>
          <w:sz w:val="24"/>
          <w:szCs w:val="24"/>
        </w:rPr>
        <w:t>.</w:t>
      </w:r>
      <w:r w:rsidRPr="00AA53BE">
        <w:rPr>
          <w:rFonts w:ascii="Times New Roman" w:hAnsi="Times New Roman" w:cs="Times New Roman"/>
          <w:sz w:val="24"/>
          <w:szCs w:val="24"/>
        </w:rPr>
        <w:t xml:space="preserve">  </w:t>
      </w:r>
    </w:p>
    <w:p w14:paraId="6E330F68" w14:textId="49DE24FF" w:rsidR="00EE11F2" w:rsidRDefault="00EE11F2" w:rsidP="00EE11F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metodiķu amata vienību skaits pirmsskolas izglītības iestādēs tiek noteikts  sekojoši:</w:t>
      </w:r>
    </w:p>
    <w:tbl>
      <w:tblPr>
        <w:tblStyle w:val="Reatabula"/>
        <w:tblW w:w="0" w:type="auto"/>
        <w:tblInd w:w="720" w:type="dxa"/>
        <w:tblLook w:val="04A0" w:firstRow="1" w:lastRow="0" w:firstColumn="1" w:lastColumn="0" w:noHBand="0" w:noVBand="1"/>
      </w:tblPr>
      <w:tblGrid>
        <w:gridCol w:w="1543"/>
        <w:gridCol w:w="2694"/>
      </w:tblGrid>
      <w:tr w:rsidR="007D5203" w14:paraId="7A4DDDCD" w14:textId="77777777" w:rsidTr="000D1FAC">
        <w:tc>
          <w:tcPr>
            <w:tcW w:w="1543" w:type="dxa"/>
          </w:tcPr>
          <w:p w14:paraId="565E9F9B" w14:textId="77777777" w:rsidR="007D5203" w:rsidRDefault="007D5203" w:rsidP="000D1FAC">
            <w:pPr>
              <w:ind w:right="-2"/>
              <w:contextualSpacing/>
              <w:jc w:val="both"/>
              <w:rPr>
                <w:rFonts w:eastAsia="Calibri" w:cs="Times New Roman"/>
              </w:rPr>
            </w:pPr>
            <w:r>
              <w:rPr>
                <w:rFonts w:eastAsia="Calibri" w:cs="Times New Roman"/>
              </w:rPr>
              <w:t>Izglītojamo skaits</w:t>
            </w:r>
          </w:p>
        </w:tc>
        <w:tc>
          <w:tcPr>
            <w:tcW w:w="2694" w:type="dxa"/>
          </w:tcPr>
          <w:p w14:paraId="071DDB33" w14:textId="5E696E61" w:rsidR="007D5203" w:rsidRDefault="00B35B5D" w:rsidP="000D1FAC">
            <w:pPr>
              <w:ind w:right="-2"/>
              <w:contextualSpacing/>
              <w:jc w:val="both"/>
              <w:rPr>
                <w:rFonts w:eastAsia="Calibri" w:cs="Times New Roman"/>
              </w:rPr>
            </w:pPr>
            <w:r>
              <w:rPr>
                <w:rFonts w:eastAsia="Calibri" w:cs="Times New Roman"/>
              </w:rPr>
              <w:t>Izglītības metodiķu</w:t>
            </w:r>
            <w:r w:rsidR="007D5203">
              <w:rPr>
                <w:rFonts w:eastAsia="Calibri" w:cs="Times New Roman"/>
              </w:rPr>
              <w:t xml:space="preserve"> likmju skaits</w:t>
            </w:r>
          </w:p>
        </w:tc>
      </w:tr>
      <w:tr w:rsidR="007D5203" w14:paraId="7E374713" w14:textId="77777777" w:rsidTr="000D1FAC">
        <w:tc>
          <w:tcPr>
            <w:tcW w:w="1543" w:type="dxa"/>
          </w:tcPr>
          <w:p w14:paraId="18430A4B" w14:textId="77777777" w:rsidR="007D5203" w:rsidRDefault="007D5203" w:rsidP="000D1FAC">
            <w:pPr>
              <w:ind w:right="-2"/>
              <w:contextualSpacing/>
              <w:jc w:val="both"/>
              <w:rPr>
                <w:rFonts w:eastAsia="Calibri" w:cs="Times New Roman"/>
              </w:rPr>
            </w:pPr>
            <w:r>
              <w:rPr>
                <w:rFonts w:eastAsia="Calibri" w:cs="Times New Roman"/>
              </w:rPr>
              <w:t>31-60</w:t>
            </w:r>
          </w:p>
        </w:tc>
        <w:tc>
          <w:tcPr>
            <w:tcW w:w="2694" w:type="dxa"/>
          </w:tcPr>
          <w:p w14:paraId="5EEEACCC" w14:textId="77777777" w:rsidR="007D5203" w:rsidRDefault="007D5203" w:rsidP="000D1FAC">
            <w:pPr>
              <w:ind w:right="-2"/>
              <w:contextualSpacing/>
              <w:jc w:val="both"/>
              <w:rPr>
                <w:rFonts w:eastAsia="Calibri" w:cs="Times New Roman"/>
              </w:rPr>
            </w:pPr>
            <w:r>
              <w:rPr>
                <w:rFonts w:eastAsia="Calibri" w:cs="Times New Roman"/>
              </w:rPr>
              <w:t>0,15</w:t>
            </w:r>
          </w:p>
        </w:tc>
      </w:tr>
      <w:tr w:rsidR="007D5203" w14:paraId="3EA7E210" w14:textId="77777777" w:rsidTr="000D1FAC">
        <w:tc>
          <w:tcPr>
            <w:tcW w:w="1543" w:type="dxa"/>
          </w:tcPr>
          <w:p w14:paraId="29AEA7C7" w14:textId="77777777" w:rsidR="007D5203" w:rsidRDefault="007D5203" w:rsidP="000D1FAC">
            <w:pPr>
              <w:ind w:right="-2"/>
              <w:contextualSpacing/>
              <w:jc w:val="both"/>
              <w:rPr>
                <w:rFonts w:eastAsia="Calibri" w:cs="Times New Roman"/>
              </w:rPr>
            </w:pPr>
            <w:r>
              <w:rPr>
                <w:rFonts w:eastAsia="Calibri" w:cs="Times New Roman"/>
              </w:rPr>
              <w:t>61-90</w:t>
            </w:r>
          </w:p>
        </w:tc>
        <w:tc>
          <w:tcPr>
            <w:tcW w:w="2694" w:type="dxa"/>
          </w:tcPr>
          <w:p w14:paraId="2C674B25" w14:textId="77777777" w:rsidR="007D5203" w:rsidRDefault="007D5203" w:rsidP="000D1FAC">
            <w:pPr>
              <w:ind w:right="-2"/>
              <w:contextualSpacing/>
              <w:jc w:val="both"/>
              <w:rPr>
                <w:rFonts w:eastAsia="Calibri" w:cs="Times New Roman"/>
              </w:rPr>
            </w:pPr>
            <w:r>
              <w:rPr>
                <w:rFonts w:eastAsia="Calibri" w:cs="Times New Roman"/>
              </w:rPr>
              <w:t>0,25</w:t>
            </w:r>
          </w:p>
        </w:tc>
      </w:tr>
      <w:tr w:rsidR="007D5203" w14:paraId="68681200" w14:textId="77777777" w:rsidTr="000D1FAC">
        <w:tc>
          <w:tcPr>
            <w:tcW w:w="1543" w:type="dxa"/>
          </w:tcPr>
          <w:p w14:paraId="49985ED2" w14:textId="77777777" w:rsidR="007D5203" w:rsidRDefault="007D5203" w:rsidP="000D1FAC">
            <w:pPr>
              <w:ind w:right="-2"/>
              <w:contextualSpacing/>
              <w:jc w:val="both"/>
              <w:rPr>
                <w:rFonts w:eastAsia="Calibri" w:cs="Times New Roman"/>
              </w:rPr>
            </w:pPr>
            <w:r>
              <w:rPr>
                <w:rFonts w:eastAsia="Calibri" w:cs="Times New Roman"/>
              </w:rPr>
              <w:t>91-120</w:t>
            </w:r>
          </w:p>
        </w:tc>
        <w:tc>
          <w:tcPr>
            <w:tcW w:w="2694" w:type="dxa"/>
          </w:tcPr>
          <w:p w14:paraId="757A846A" w14:textId="77777777" w:rsidR="007D5203" w:rsidRDefault="007D5203" w:rsidP="000D1FAC">
            <w:pPr>
              <w:ind w:right="-2"/>
              <w:contextualSpacing/>
              <w:jc w:val="both"/>
              <w:rPr>
                <w:rFonts w:eastAsia="Calibri" w:cs="Times New Roman"/>
              </w:rPr>
            </w:pPr>
            <w:r>
              <w:rPr>
                <w:rFonts w:eastAsia="Calibri" w:cs="Times New Roman"/>
              </w:rPr>
              <w:t>0,5</w:t>
            </w:r>
          </w:p>
        </w:tc>
      </w:tr>
      <w:tr w:rsidR="007D5203" w14:paraId="45676B7B" w14:textId="77777777" w:rsidTr="000D1FAC">
        <w:tc>
          <w:tcPr>
            <w:tcW w:w="1543" w:type="dxa"/>
          </w:tcPr>
          <w:p w14:paraId="7B877D50" w14:textId="0020BF12" w:rsidR="007D5203" w:rsidRDefault="007D5203" w:rsidP="000D1FAC">
            <w:pPr>
              <w:ind w:right="-2"/>
              <w:contextualSpacing/>
              <w:jc w:val="both"/>
              <w:rPr>
                <w:rFonts w:eastAsia="Calibri" w:cs="Times New Roman"/>
              </w:rPr>
            </w:pPr>
            <w:r>
              <w:rPr>
                <w:rFonts w:eastAsia="Calibri" w:cs="Times New Roman"/>
              </w:rPr>
              <w:t>121 un vairāk</w:t>
            </w:r>
          </w:p>
        </w:tc>
        <w:tc>
          <w:tcPr>
            <w:tcW w:w="2694" w:type="dxa"/>
          </w:tcPr>
          <w:p w14:paraId="17DF54CF" w14:textId="77777777" w:rsidR="007D5203" w:rsidRDefault="007D5203" w:rsidP="000D1FAC">
            <w:pPr>
              <w:ind w:right="-2"/>
              <w:contextualSpacing/>
              <w:jc w:val="both"/>
              <w:rPr>
                <w:rFonts w:eastAsia="Calibri" w:cs="Times New Roman"/>
              </w:rPr>
            </w:pPr>
            <w:r>
              <w:rPr>
                <w:rFonts w:eastAsia="Calibri" w:cs="Times New Roman"/>
              </w:rPr>
              <w:t>1</w:t>
            </w:r>
          </w:p>
        </w:tc>
      </w:tr>
    </w:tbl>
    <w:p w14:paraId="6A3E2FB6" w14:textId="77777777" w:rsidR="007D5203" w:rsidRPr="007D5203" w:rsidRDefault="007D5203" w:rsidP="007D5203">
      <w:pPr>
        <w:ind w:left="360"/>
        <w:jc w:val="both"/>
        <w:rPr>
          <w:rFonts w:cs="Times New Roman"/>
          <w:szCs w:val="24"/>
        </w:rPr>
      </w:pPr>
    </w:p>
    <w:p w14:paraId="09AE5D58" w14:textId="77777777" w:rsidR="00EE11F2" w:rsidRDefault="00EE11F2" w:rsidP="00EE11F2">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izglītības iestādēs:</w:t>
      </w:r>
    </w:p>
    <w:p w14:paraId="013FAA47" w14:textId="77777777" w:rsidR="00EE11F2" w:rsidRPr="00AA53BE" w:rsidRDefault="00EE11F2" w:rsidP="00EE11F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Vadītāju a</w:t>
      </w:r>
      <w:r w:rsidRPr="00AA53BE">
        <w:rPr>
          <w:rFonts w:ascii="Times New Roman" w:hAnsi="Times New Roman" w:cs="Times New Roman"/>
          <w:sz w:val="24"/>
          <w:szCs w:val="24"/>
        </w:rPr>
        <w:t xml:space="preserve">mata  vienību  skaits  </w:t>
      </w:r>
      <w:r>
        <w:rPr>
          <w:rFonts w:ascii="Times New Roman" w:hAnsi="Times New Roman" w:cs="Times New Roman"/>
          <w:sz w:val="24"/>
          <w:szCs w:val="24"/>
        </w:rPr>
        <w:t>tiek noteikts sekojoši</w:t>
      </w:r>
      <w:r w:rsidRPr="00AA53BE">
        <w:rPr>
          <w:rFonts w:ascii="Times New Roman" w:hAnsi="Times New Roman" w:cs="Times New Roman"/>
          <w:sz w:val="24"/>
          <w:szCs w:val="24"/>
        </w:rPr>
        <w:t>:</w:t>
      </w:r>
    </w:p>
    <w:p w14:paraId="027406D7"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0,5 likm</w:t>
      </w:r>
      <w:r>
        <w:rPr>
          <w:rFonts w:ascii="Times New Roman" w:hAnsi="Times New Roman" w:cs="Times New Roman"/>
          <w:sz w:val="24"/>
          <w:szCs w:val="24"/>
        </w:rPr>
        <w:t>es</w:t>
      </w:r>
      <w:r w:rsidRPr="00AA53BE">
        <w:rPr>
          <w:rFonts w:ascii="Times New Roman" w:hAnsi="Times New Roman" w:cs="Times New Roman"/>
          <w:sz w:val="24"/>
          <w:szCs w:val="24"/>
        </w:rPr>
        <w:t>, ja  izglītojamo  skaits  izglītības  iestādē  ir mazāks  nekā  50  izglītojamie;</w:t>
      </w:r>
    </w:p>
    <w:p w14:paraId="38371D8E" w14:textId="77777777" w:rsidR="00EE11F2" w:rsidRPr="00AA53BE"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0,75 likm</w:t>
      </w:r>
      <w:r>
        <w:rPr>
          <w:rFonts w:ascii="Times New Roman" w:hAnsi="Times New Roman" w:cs="Times New Roman"/>
          <w:sz w:val="24"/>
          <w:szCs w:val="24"/>
        </w:rPr>
        <w:t>es</w:t>
      </w:r>
      <w:r w:rsidRPr="00AA53BE">
        <w:rPr>
          <w:rFonts w:ascii="Times New Roman" w:hAnsi="Times New Roman" w:cs="Times New Roman"/>
          <w:sz w:val="24"/>
          <w:szCs w:val="24"/>
        </w:rPr>
        <w:t>, ja  izglītojamo  skaits  izglītības  iestādē  ir vismaz 50, bet   mazāks  nekā  75  izglītojamie;</w:t>
      </w:r>
    </w:p>
    <w:p w14:paraId="35759F72" w14:textId="77777777" w:rsidR="00EE11F2" w:rsidRPr="00556AC8"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1 likme, ja  izglītojamo  skaits  izglītības  iestādē  ir vismaz 75.</w:t>
      </w:r>
    </w:p>
    <w:p w14:paraId="7C72B53F" w14:textId="77777777" w:rsidR="00EE11F2" w:rsidRPr="00556AC8" w:rsidRDefault="00EE11F2" w:rsidP="00EE11F2">
      <w:pPr>
        <w:pStyle w:val="Sarakstarindkopa"/>
        <w:numPr>
          <w:ilvl w:val="1"/>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Profesionālās ievirzes kultūras jomā izglītības iestādēs vadītāja vietnieku izglītības jomā amata vienību skaits tiek noteikts sekojoši:</w:t>
      </w:r>
    </w:p>
    <w:p w14:paraId="57A0341C" w14:textId="0D409049" w:rsidR="00EE11F2" w:rsidRPr="00556AC8" w:rsidRDefault="00EE11F2" w:rsidP="00EE11F2">
      <w:pPr>
        <w:pStyle w:val="Sarakstarindkopa"/>
        <w:numPr>
          <w:ilvl w:val="2"/>
          <w:numId w:val="1"/>
        </w:numPr>
        <w:jc w:val="both"/>
        <w:rPr>
          <w:rFonts w:ascii="Times New Roman" w:hAnsi="Times New Roman" w:cs="Times New Roman"/>
          <w:sz w:val="24"/>
          <w:szCs w:val="24"/>
        </w:rPr>
      </w:pPr>
      <w:r w:rsidRPr="00556AC8">
        <w:rPr>
          <w:rFonts w:ascii="Times New Roman" w:hAnsi="Times New Roman" w:cs="Times New Roman"/>
          <w:sz w:val="24"/>
          <w:szCs w:val="24"/>
        </w:rPr>
        <w:t>0,2</w:t>
      </w:r>
      <w:r w:rsidR="00556AC8" w:rsidRPr="00556AC8">
        <w:rPr>
          <w:rFonts w:ascii="Times New Roman" w:hAnsi="Times New Roman" w:cs="Times New Roman"/>
          <w:sz w:val="24"/>
          <w:szCs w:val="24"/>
        </w:rPr>
        <w:t>5</w:t>
      </w:r>
      <w:r w:rsidRPr="00556AC8">
        <w:rPr>
          <w:rFonts w:ascii="Times New Roman" w:hAnsi="Times New Roman" w:cs="Times New Roman"/>
          <w:sz w:val="24"/>
          <w:szCs w:val="24"/>
        </w:rPr>
        <w:t xml:space="preserve"> likmes, ja  izglītojamo  skaits  skolā  ir vismaz 55, bet   mazāks  nekā  9</w:t>
      </w:r>
      <w:r w:rsidR="00556AC8" w:rsidRPr="00556AC8">
        <w:rPr>
          <w:rFonts w:ascii="Times New Roman" w:hAnsi="Times New Roman" w:cs="Times New Roman"/>
          <w:sz w:val="24"/>
          <w:szCs w:val="24"/>
        </w:rPr>
        <w:t>1</w:t>
      </w:r>
      <w:r w:rsidRPr="00556AC8">
        <w:rPr>
          <w:rFonts w:ascii="Times New Roman" w:hAnsi="Times New Roman" w:cs="Times New Roman"/>
          <w:sz w:val="24"/>
          <w:szCs w:val="24"/>
        </w:rPr>
        <w:t xml:space="preserve">  izglītojamie;</w:t>
      </w:r>
    </w:p>
    <w:p w14:paraId="37FC0AB0" w14:textId="2BCB22C0" w:rsidR="00EE11F2" w:rsidRPr="00556AC8" w:rsidRDefault="00EE11F2" w:rsidP="00EE11F2">
      <w:pPr>
        <w:pStyle w:val="Sarakstarindkopa"/>
        <w:numPr>
          <w:ilvl w:val="2"/>
          <w:numId w:val="1"/>
        </w:numPr>
        <w:jc w:val="both"/>
        <w:rPr>
          <w:rFonts w:ascii="Times New Roman" w:hAnsi="Times New Roman" w:cs="Times New Roman"/>
          <w:sz w:val="24"/>
          <w:szCs w:val="24"/>
        </w:rPr>
      </w:pPr>
      <w:r w:rsidRPr="00556AC8">
        <w:rPr>
          <w:rFonts w:ascii="Times New Roman" w:hAnsi="Times New Roman" w:cs="Times New Roman"/>
          <w:sz w:val="24"/>
          <w:szCs w:val="24"/>
        </w:rPr>
        <w:t>0,</w:t>
      </w:r>
      <w:r w:rsidR="00556AC8" w:rsidRPr="00556AC8">
        <w:rPr>
          <w:rFonts w:ascii="Times New Roman" w:hAnsi="Times New Roman" w:cs="Times New Roman"/>
          <w:sz w:val="24"/>
          <w:szCs w:val="24"/>
        </w:rPr>
        <w:t>5</w:t>
      </w:r>
      <w:r w:rsidRPr="00556AC8">
        <w:rPr>
          <w:rFonts w:ascii="Times New Roman" w:hAnsi="Times New Roman" w:cs="Times New Roman"/>
          <w:sz w:val="24"/>
          <w:szCs w:val="24"/>
        </w:rPr>
        <w:t xml:space="preserve"> likmes, ja  izglītojamo  skaits  skolā  ir vismaz 91, bet   mazāks  nekā  121  izglītojamie;</w:t>
      </w:r>
    </w:p>
    <w:p w14:paraId="5B32C6B8" w14:textId="2B00D912" w:rsidR="00EE11F2" w:rsidRPr="00556AC8" w:rsidRDefault="00EE11F2" w:rsidP="00EE11F2">
      <w:pPr>
        <w:pStyle w:val="Sarakstarindkopa"/>
        <w:numPr>
          <w:ilvl w:val="2"/>
          <w:numId w:val="1"/>
        </w:numPr>
        <w:jc w:val="both"/>
        <w:rPr>
          <w:rFonts w:ascii="Times New Roman" w:hAnsi="Times New Roman" w:cs="Times New Roman"/>
          <w:sz w:val="24"/>
          <w:szCs w:val="24"/>
        </w:rPr>
      </w:pPr>
      <w:r w:rsidRPr="00556AC8">
        <w:rPr>
          <w:rFonts w:ascii="Times New Roman" w:hAnsi="Times New Roman" w:cs="Times New Roman"/>
          <w:sz w:val="24"/>
          <w:szCs w:val="24"/>
        </w:rPr>
        <w:t>0,</w:t>
      </w:r>
      <w:r w:rsidR="00556AC8" w:rsidRPr="00556AC8">
        <w:rPr>
          <w:rFonts w:ascii="Times New Roman" w:hAnsi="Times New Roman" w:cs="Times New Roman"/>
          <w:sz w:val="24"/>
          <w:szCs w:val="24"/>
        </w:rPr>
        <w:t>7</w:t>
      </w:r>
      <w:r w:rsidRPr="00556AC8">
        <w:rPr>
          <w:rFonts w:ascii="Times New Roman" w:hAnsi="Times New Roman" w:cs="Times New Roman"/>
          <w:sz w:val="24"/>
          <w:szCs w:val="24"/>
        </w:rPr>
        <w:t>5 likmes, ja  izglītojamo  skaits  skolā  ir vismaz 121, bet   mazāks  nekā  176 izglītojamie;</w:t>
      </w:r>
    </w:p>
    <w:p w14:paraId="45FE774E" w14:textId="77777777" w:rsidR="00EE11F2" w:rsidRPr="00556AC8" w:rsidRDefault="00EE11F2" w:rsidP="00EE11F2">
      <w:pPr>
        <w:pStyle w:val="Sarakstarindkopa"/>
        <w:numPr>
          <w:ilvl w:val="2"/>
          <w:numId w:val="1"/>
        </w:numPr>
        <w:jc w:val="both"/>
        <w:rPr>
          <w:rFonts w:ascii="Times New Roman" w:hAnsi="Times New Roman" w:cs="Times New Roman"/>
          <w:sz w:val="24"/>
          <w:szCs w:val="24"/>
        </w:rPr>
      </w:pPr>
      <w:r w:rsidRPr="00556AC8">
        <w:rPr>
          <w:rFonts w:ascii="Times New Roman" w:hAnsi="Times New Roman" w:cs="Times New Roman"/>
          <w:sz w:val="24"/>
          <w:szCs w:val="24"/>
        </w:rPr>
        <w:t>1 likme, ja  izglītojamo skaits  skolā  ir vismaz 176.</w:t>
      </w:r>
    </w:p>
    <w:p w14:paraId="4E33CBD8" w14:textId="55B078E9" w:rsidR="00EE11F2" w:rsidRPr="00556AC8" w:rsidRDefault="00EE11F2" w:rsidP="00EE11F2">
      <w:pPr>
        <w:pStyle w:val="Sarakstarindkopa"/>
        <w:numPr>
          <w:ilvl w:val="1"/>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 xml:space="preserve">Profesionālās ievirzes sporta jomā </w:t>
      </w:r>
      <w:r w:rsidR="00556AC8" w:rsidRPr="00556AC8">
        <w:rPr>
          <w:rFonts w:ascii="Times New Roman" w:hAnsi="Times New Roman" w:cs="Times New Roman"/>
          <w:sz w:val="24"/>
          <w:szCs w:val="24"/>
        </w:rPr>
        <w:t>vadītāja vietnieku/</w:t>
      </w:r>
      <w:r w:rsidRPr="00556AC8">
        <w:rPr>
          <w:rFonts w:ascii="Times New Roman" w:hAnsi="Times New Roman" w:cs="Times New Roman"/>
          <w:sz w:val="24"/>
          <w:szCs w:val="24"/>
        </w:rPr>
        <w:t>sporta metodiķu/sporta speciālistu (konkrētu amata vienību izvēlas iestādes vadītājs) amata vienību skaits tiek noteikts sekojoši:</w:t>
      </w:r>
    </w:p>
    <w:p w14:paraId="341FF583" w14:textId="6E1B6446" w:rsidR="00EE11F2" w:rsidRPr="00556AC8"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0,2</w:t>
      </w:r>
      <w:r w:rsidR="00556AC8" w:rsidRPr="00556AC8">
        <w:rPr>
          <w:rFonts w:ascii="Times New Roman" w:hAnsi="Times New Roman" w:cs="Times New Roman"/>
          <w:sz w:val="24"/>
          <w:szCs w:val="24"/>
        </w:rPr>
        <w:t>5</w:t>
      </w:r>
      <w:r w:rsidRPr="00556AC8">
        <w:rPr>
          <w:rFonts w:ascii="Times New Roman" w:hAnsi="Times New Roman" w:cs="Times New Roman"/>
          <w:sz w:val="24"/>
          <w:szCs w:val="24"/>
        </w:rPr>
        <w:t xml:space="preserve"> likmes, ja  izglītojamo  skaits  skolā  ir vismaz 55, bet   mazāks  nekā  91  izglītojamie;</w:t>
      </w:r>
    </w:p>
    <w:p w14:paraId="491A667A" w14:textId="35B6BB03" w:rsidR="00EE11F2" w:rsidRPr="00556AC8"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0,</w:t>
      </w:r>
      <w:r w:rsidR="00556AC8" w:rsidRPr="00556AC8">
        <w:rPr>
          <w:rFonts w:ascii="Times New Roman" w:hAnsi="Times New Roman" w:cs="Times New Roman"/>
          <w:sz w:val="24"/>
          <w:szCs w:val="24"/>
        </w:rPr>
        <w:t>5</w:t>
      </w:r>
      <w:r w:rsidRPr="00556AC8">
        <w:rPr>
          <w:rFonts w:ascii="Times New Roman" w:hAnsi="Times New Roman" w:cs="Times New Roman"/>
          <w:sz w:val="24"/>
          <w:szCs w:val="24"/>
        </w:rPr>
        <w:t xml:space="preserve"> likmes, ja  izglītojamo  skaits  skolā  ir vismaz 91, bet   mazāks  nekā  121  izglītojamie;</w:t>
      </w:r>
    </w:p>
    <w:p w14:paraId="14DA1F87" w14:textId="3E313EDA" w:rsidR="00EE11F2" w:rsidRPr="00556AC8"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0,</w:t>
      </w:r>
      <w:r w:rsidR="00556AC8" w:rsidRPr="00556AC8">
        <w:rPr>
          <w:rFonts w:ascii="Times New Roman" w:hAnsi="Times New Roman" w:cs="Times New Roman"/>
          <w:sz w:val="24"/>
          <w:szCs w:val="24"/>
        </w:rPr>
        <w:t>7</w:t>
      </w:r>
      <w:r w:rsidRPr="00556AC8">
        <w:rPr>
          <w:rFonts w:ascii="Times New Roman" w:hAnsi="Times New Roman" w:cs="Times New Roman"/>
          <w:sz w:val="24"/>
          <w:szCs w:val="24"/>
        </w:rPr>
        <w:t>5 likmes, ja  izglītojamo  skaits  skolā  ir vismaz 121, bet   mazāks  nekā  176 izglītojamie;</w:t>
      </w:r>
    </w:p>
    <w:p w14:paraId="0EF84348" w14:textId="77777777" w:rsidR="00EE11F2" w:rsidRPr="00556AC8" w:rsidRDefault="00EE11F2" w:rsidP="00EE11F2">
      <w:pPr>
        <w:pStyle w:val="Sarakstarindkopa"/>
        <w:numPr>
          <w:ilvl w:val="2"/>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1 likme, ja  izglītojamo skaits  skolā  ir vismaz 176.</w:t>
      </w:r>
    </w:p>
    <w:p w14:paraId="6539CE56" w14:textId="77777777" w:rsidR="00EE11F2" w:rsidRPr="00556AC8"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556AC8">
        <w:rPr>
          <w:rFonts w:ascii="Times New Roman" w:hAnsi="Times New Roman" w:cs="Times New Roman"/>
          <w:sz w:val="24"/>
          <w:szCs w:val="24"/>
        </w:rPr>
        <w:t>Aprēķinot šīs kārtības 5.-8.punktos  minēto amata vienību skaitu, izglītojamo  skaits  tiek  aprēķināts  uz  katra  gada  1.septembri.</w:t>
      </w:r>
    </w:p>
    <w:p w14:paraId="75ADA762" w14:textId="77777777" w:rsidR="00EE11F2" w:rsidRPr="00367CC8" w:rsidRDefault="00EE11F2" w:rsidP="00EE11F2">
      <w:pPr>
        <w:jc w:val="center"/>
        <w:rPr>
          <w:rFonts w:cs="Times New Roman"/>
          <w:b/>
          <w:szCs w:val="24"/>
        </w:rPr>
      </w:pPr>
    </w:p>
    <w:p w14:paraId="21FB5B41" w14:textId="77777777" w:rsidR="00EE11F2" w:rsidRPr="00367CC8" w:rsidRDefault="00EE11F2" w:rsidP="00EE11F2">
      <w:pPr>
        <w:jc w:val="center"/>
        <w:rPr>
          <w:rFonts w:cs="Times New Roman"/>
          <w:b/>
          <w:szCs w:val="24"/>
        </w:rPr>
      </w:pPr>
      <w:r w:rsidRPr="00367CC8">
        <w:rPr>
          <w:rFonts w:cs="Times New Roman"/>
          <w:b/>
          <w:szCs w:val="24"/>
        </w:rPr>
        <w:t>IV. Izglītības iestāžu  vadītāju  algas  likmju noteikšana</w:t>
      </w:r>
    </w:p>
    <w:p w14:paraId="66EECE4F" w14:textId="77777777" w:rsidR="00CB390E" w:rsidRPr="00367CC8"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367CC8">
        <w:rPr>
          <w:rFonts w:ascii="Times New Roman" w:hAnsi="Times New Roman" w:cs="Times New Roman"/>
          <w:sz w:val="24"/>
          <w:szCs w:val="24"/>
        </w:rPr>
        <w:t>Izglītības  vadītāja algas  likme  tiek  noteikta</w:t>
      </w:r>
      <w:r w:rsidR="00CB390E" w:rsidRPr="00367CC8">
        <w:rPr>
          <w:rFonts w:ascii="Times New Roman" w:hAnsi="Times New Roman" w:cs="Times New Roman"/>
          <w:sz w:val="24"/>
          <w:szCs w:val="24"/>
        </w:rPr>
        <w:t>:</w:t>
      </w:r>
    </w:p>
    <w:p w14:paraId="1A4C6EE6" w14:textId="3227FB1C" w:rsidR="00CB1998" w:rsidRPr="00367CC8" w:rsidRDefault="00EE11F2" w:rsidP="00CB390E">
      <w:pPr>
        <w:pStyle w:val="Sarakstarindkopa"/>
        <w:numPr>
          <w:ilvl w:val="1"/>
          <w:numId w:val="1"/>
        </w:numPr>
        <w:spacing w:after="0" w:line="240" w:lineRule="auto"/>
        <w:jc w:val="both"/>
        <w:rPr>
          <w:rFonts w:ascii="Times New Roman" w:hAnsi="Times New Roman" w:cs="Times New Roman"/>
          <w:sz w:val="24"/>
          <w:szCs w:val="24"/>
        </w:rPr>
      </w:pPr>
      <w:r w:rsidRPr="00367CC8">
        <w:rPr>
          <w:rFonts w:ascii="Times New Roman" w:hAnsi="Times New Roman" w:cs="Times New Roman"/>
          <w:sz w:val="24"/>
          <w:szCs w:val="24"/>
        </w:rPr>
        <w:t xml:space="preserve">  pēc  izglītojamo  skaita  atbilstoši  </w:t>
      </w:r>
      <w:r w:rsidRPr="00367CC8">
        <w:rPr>
          <w:rFonts w:ascii="Times New Roman" w:hAnsi="Times New Roman" w:cs="Times New Roman"/>
          <w:i/>
          <w:sz w:val="24"/>
          <w:szCs w:val="24"/>
        </w:rPr>
        <w:t>Pedagogu  darba  samaksas  noteikumiem</w:t>
      </w:r>
      <w:r w:rsidR="00CB390E" w:rsidRPr="00367CC8">
        <w:rPr>
          <w:rFonts w:ascii="Times New Roman" w:hAnsi="Times New Roman" w:cs="Times New Roman"/>
          <w:i/>
          <w:sz w:val="24"/>
          <w:szCs w:val="24"/>
        </w:rPr>
        <w:t>;</w:t>
      </w:r>
    </w:p>
    <w:p w14:paraId="42E8A1CF" w14:textId="18251689" w:rsidR="00EE11F2" w:rsidRDefault="00367CC8" w:rsidP="00CB390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367CC8">
        <w:rPr>
          <w:rFonts w:ascii="Times New Roman" w:hAnsi="Times New Roman" w:cs="Times New Roman"/>
          <w:sz w:val="24"/>
          <w:szCs w:val="24"/>
        </w:rPr>
        <w:t xml:space="preserve">inimālajai algas likmei, kas noteikta Pedagogu darba samaksas noteikumos, </w:t>
      </w:r>
      <w:r>
        <w:rPr>
          <w:rFonts w:ascii="Times New Roman" w:hAnsi="Times New Roman" w:cs="Times New Roman"/>
          <w:sz w:val="24"/>
          <w:szCs w:val="24"/>
        </w:rPr>
        <w:t>tiek pielietoti šādi darba intensitātes koeficienti</w:t>
      </w:r>
      <w:r w:rsidR="00224367">
        <w:rPr>
          <w:rFonts w:ascii="Times New Roman" w:hAnsi="Times New Roman" w:cs="Times New Roman"/>
          <w:sz w:val="24"/>
          <w:szCs w:val="24"/>
        </w:rPr>
        <w:t>(1.kritērijs)</w:t>
      </w:r>
      <w:r>
        <w:rPr>
          <w:rFonts w:ascii="Times New Roman" w:hAnsi="Times New Roman" w:cs="Times New Roman"/>
          <w:sz w:val="24"/>
          <w:szCs w:val="24"/>
        </w:rPr>
        <w:t>:</w:t>
      </w:r>
    </w:p>
    <w:p w14:paraId="3F24688F" w14:textId="59D1AFEC" w:rsidR="00367CC8" w:rsidRDefault="004A5401" w:rsidP="00367CC8">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iestādei ir struktūrvienība vai cita izglītības programmas realizācijas vieta citā apdzīvotā vietā – 1,1;</w:t>
      </w:r>
    </w:p>
    <w:p w14:paraId="36AB07A5" w14:textId="066BB2C4" w:rsidR="004A5401" w:rsidRDefault="004A5401" w:rsidP="004A5401">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iestādei ir vairāk nekā viena struktūrvienība un/vai vairāk nekā viena cita izglītības programmas realizācijas vieta citā apdzīvotā vietā – 1,2;</w:t>
      </w:r>
    </w:p>
    <w:p w14:paraId="5C56D968" w14:textId="57E1F7A5" w:rsidR="004A5401" w:rsidRDefault="004A5401" w:rsidP="00367CC8">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pamatskolā vai vidusskolā </w:t>
      </w:r>
      <w:r w:rsidR="00977452">
        <w:rPr>
          <w:rFonts w:ascii="Times New Roman" w:hAnsi="Times New Roman" w:cs="Times New Roman"/>
          <w:sz w:val="24"/>
          <w:szCs w:val="24"/>
        </w:rPr>
        <w:t>darbojas</w:t>
      </w:r>
      <w:r>
        <w:rPr>
          <w:rFonts w:ascii="Times New Roman" w:hAnsi="Times New Roman" w:cs="Times New Roman"/>
          <w:sz w:val="24"/>
          <w:szCs w:val="24"/>
        </w:rPr>
        <w:t xml:space="preserve"> pirmsskolas bērnu grupas</w:t>
      </w:r>
      <w:r w:rsidR="00977452">
        <w:rPr>
          <w:rFonts w:ascii="Times New Roman" w:hAnsi="Times New Roman" w:cs="Times New Roman"/>
          <w:sz w:val="24"/>
          <w:szCs w:val="24"/>
        </w:rPr>
        <w:t>, kurās ir arī</w:t>
      </w:r>
      <w:r>
        <w:rPr>
          <w:rFonts w:ascii="Times New Roman" w:hAnsi="Times New Roman" w:cs="Times New Roman"/>
          <w:sz w:val="24"/>
          <w:szCs w:val="24"/>
        </w:rPr>
        <w:t xml:space="preserve"> līdz piecus gadus veci bērni</w:t>
      </w:r>
      <w:r w:rsidR="00977452">
        <w:rPr>
          <w:rFonts w:ascii="Times New Roman" w:hAnsi="Times New Roman" w:cs="Times New Roman"/>
          <w:sz w:val="24"/>
          <w:szCs w:val="24"/>
        </w:rPr>
        <w:t xml:space="preserve"> – 1,05;</w:t>
      </w:r>
    </w:p>
    <w:p w14:paraId="12E657A0" w14:textId="61E35BFF" w:rsidR="00556AC8" w:rsidRDefault="00556AC8" w:rsidP="00367CC8">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iestādei pielietojami gan 9.2.1., gan 9.2.3.apakšpunktos noteiktie</w:t>
      </w:r>
      <w:r w:rsidR="006D68DF">
        <w:rPr>
          <w:rFonts w:ascii="Times New Roman" w:hAnsi="Times New Roman" w:cs="Times New Roman"/>
          <w:sz w:val="24"/>
          <w:szCs w:val="24"/>
        </w:rPr>
        <w:t xml:space="preserve"> koeficienti, tad tiek pielietots vienots koeficients 1,15; ja 9.2.2. un 9.2.3.apakšpunktos minētie, tad attiecīgi – 1,25;</w:t>
      </w:r>
    </w:p>
    <w:p w14:paraId="6A4D289D" w14:textId="4B4B2D32" w:rsidR="00E54DA3" w:rsidRDefault="00E54DA3" w:rsidP="00367CC8">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pielietojot darba intensitātes koeficientu, algas likme tiek noapaļota līdz veselam skaitlim (EUR);</w:t>
      </w:r>
    </w:p>
    <w:p w14:paraId="6ED7F59D" w14:textId="4F450140" w:rsidR="00FA67C1" w:rsidRDefault="00B607DD" w:rsidP="00224367">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9.1.apakšpunktā noteiktajai algas likmei</w:t>
      </w:r>
      <w:r w:rsidR="00F0679E">
        <w:rPr>
          <w:rFonts w:ascii="Times New Roman" w:hAnsi="Times New Roman" w:cs="Times New Roman"/>
          <w:sz w:val="24"/>
          <w:szCs w:val="24"/>
        </w:rPr>
        <w:t xml:space="preserve"> un</w:t>
      </w:r>
      <w:r>
        <w:rPr>
          <w:rFonts w:ascii="Times New Roman" w:hAnsi="Times New Roman" w:cs="Times New Roman"/>
          <w:sz w:val="24"/>
          <w:szCs w:val="24"/>
        </w:rPr>
        <w:t xml:space="preserve"> pielietojot 9.2.apakšpunktā pielietoto koeficientu</w:t>
      </w:r>
      <w:r w:rsidR="00FA67C1">
        <w:rPr>
          <w:rFonts w:ascii="Times New Roman" w:hAnsi="Times New Roman" w:cs="Times New Roman"/>
          <w:sz w:val="24"/>
          <w:szCs w:val="24"/>
        </w:rPr>
        <w:t xml:space="preserve">, vadītāja algas likmi drīkst paaugstināt </w:t>
      </w:r>
      <w:r w:rsidR="00FA67C1">
        <w:rPr>
          <w:rFonts w:ascii="Times New Roman" w:hAnsi="Times New Roman" w:cs="Times New Roman"/>
          <w:sz w:val="24"/>
          <w:szCs w:val="24"/>
        </w:rPr>
        <w:lastRenderedPageBreak/>
        <w:t>līdz 20% par vadītāja personīgo ieguldījumu izglītības iestādes attīstībā (2.kritērijs)</w:t>
      </w:r>
      <w:r w:rsidR="00502703">
        <w:rPr>
          <w:rFonts w:ascii="Times New Roman" w:hAnsi="Times New Roman" w:cs="Times New Roman"/>
          <w:sz w:val="24"/>
          <w:szCs w:val="24"/>
        </w:rPr>
        <w:t xml:space="preserve"> [palielinājums tiek noapaļots līdz veselam skaitlim(EUR)]. Ja vadītāja </w:t>
      </w:r>
      <w:r w:rsidR="00B35E4D">
        <w:rPr>
          <w:rFonts w:ascii="Times New Roman" w:hAnsi="Times New Roman" w:cs="Times New Roman"/>
          <w:sz w:val="24"/>
          <w:szCs w:val="24"/>
        </w:rPr>
        <w:t>amata likme</w:t>
      </w:r>
      <w:r w:rsidR="00502703">
        <w:rPr>
          <w:rFonts w:ascii="Times New Roman" w:hAnsi="Times New Roman" w:cs="Times New Roman"/>
          <w:sz w:val="24"/>
          <w:szCs w:val="24"/>
        </w:rPr>
        <w:t xml:space="preserve"> ir mazāka nekā viena likme, 2.kritērijs tiek pielietots atbilstoši </w:t>
      </w:r>
      <w:r w:rsidR="00B35E4D">
        <w:rPr>
          <w:rFonts w:ascii="Times New Roman" w:hAnsi="Times New Roman" w:cs="Times New Roman"/>
          <w:sz w:val="24"/>
          <w:szCs w:val="24"/>
        </w:rPr>
        <w:t>Pedagogu darba samaksas noteikumos  noteiktajai algas likmei no vienas vadītāja amata likmes</w:t>
      </w:r>
      <w:r w:rsidR="00FA67C1">
        <w:rPr>
          <w:rFonts w:ascii="Times New Roman" w:hAnsi="Times New Roman" w:cs="Times New Roman"/>
          <w:sz w:val="24"/>
          <w:szCs w:val="24"/>
        </w:rPr>
        <w:t>; 2.kritēriju pielieto</w:t>
      </w:r>
      <w:r>
        <w:rPr>
          <w:rFonts w:ascii="Times New Roman" w:hAnsi="Times New Roman" w:cs="Times New Roman"/>
          <w:sz w:val="24"/>
          <w:szCs w:val="24"/>
        </w:rPr>
        <w:t xml:space="preserve"> </w:t>
      </w:r>
      <w:r w:rsidRPr="00FA67C1">
        <w:rPr>
          <w:rFonts w:ascii="Times New Roman" w:hAnsi="Times New Roman" w:cs="Times New Roman"/>
          <w:sz w:val="24"/>
          <w:szCs w:val="24"/>
        </w:rPr>
        <w:t>attiecīgajam gadam apstiprinātā finansējuma ietvaros</w:t>
      </w:r>
      <w:r w:rsidR="00FA67C1">
        <w:rPr>
          <w:rFonts w:ascii="Times New Roman" w:hAnsi="Times New Roman" w:cs="Times New Roman"/>
          <w:sz w:val="24"/>
          <w:szCs w:val="24"/>
        </w:rPr>
        <w:t xml:space="preserve">; attiecīgo procentuālo pieaugumu katru gadu līdz </w:t>
      </w:r>
      <w:r w:rsidR="00E765A4">
        <w:rPr>
          <w:rFonts w:ascii="Times New Roman" w:hAnsi="Times New Roman" w:cs="Times New Roman"/>
          <w:sz w:val="24"/>
          <w:szCs w:val="24"/>
        </w:rPr>
        <w:t>10</w:t>
      </w:r>
      <w:r w:rsidR="00FA67C1">
        <w:rPr>
          <w:rFonts w:ascii="Times New Roman" w:hAnsi="Times New Roman" w:cs="Times New Roman"/>
          <w:sz w:val="24"/>
          <w:szCs w:val="24"/>
        </w:rPr>
        <w:t>.septembrim nosaka Izglītības un sporta pārvaldes izveidota komisija;</w:t>
      </w:r>
    </w:p>
    <w:p w14:paraId="7138E741" w14:textId="2AA9F177" w:rsidR="00C81082" w:rsidRDefault="00C81082" w:rsidP="00224367">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Atsevišķos gadījumos, ja izglītības iestādes vadītājs, kuram ir noteikta nepilna amata likme, pilda arī cita izglītības iestādes vadītāja pienākumus, un šāda pienākumu pildīšana tiek veikta vairāk nekā mēnesi, vadītājam var noteikt algas likmi līdz pilnai amata vienībai, kā arī pielietot aizvietošanas koeficientu līdz 1,3.</w:t>
      </w:r>
    </w:p>
    <w:p w14:paraId="6B8BD47F" w14:textId="2458E46F" w:rsidR="00224367" w:rsidRDefault="00FA67C1" w:rsidP="00224367">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5A4">
        <w:rPr>
          <w:rFonts w:ascii="Times New Roman" w:hAnsi="Times New Roman" w:cs="Times New Roman"/>
          <w:sz w:val="24"/>
          <w:szCs w:val="24"/>
        </w:rPr>
        <w:t>Pēc šīs kārtības 9.punktā noteikto darbību izpildes tiek aprēķināta katras izglītības iestādes vadītāja algas likme, vadītāju algas likmes tiek apstiprinātas ar pašvaldības izpilddirektora rīkojumu.</w:t>
      </w:r>
    </w:p>
    <w:p w14:paraId="18E67E26" w14:textId="71BF19D1" w:rsidR="00977452" w:rsidRPr="00367CC8" w:rsidRDefault="00F846A6" w:rsidP="00FA67C1">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intensitātes koeficients netiek noteikts, ja atbilstoši 6.2.apakšpunktam iestādes vadītāja likme ir palielināta līdz vienai likmei, kā arī netiek piemērots profesionālās ievirzes sporta jomā izglītības iestādei</w:t>
      </w:r>
      <w:r w:rsidR="00F0679E">
        <w:rPr>
          <w:rFonts w:ascii="Times New Roman" w:hAnsi="Times New Roman" w:cs="Times New Roman"/>
          <w:sz w:val="24"/>
          <w:szCs w:val="24"/>
        </w:rPr>
        <w:t>, kurai izglītības programmu realizācija vairākās apdzīvotās vietas ir izglītības iestādes specifika.</w:t>
      </w:r>
    </w:p>
    <w:p w14:paraId="719449D4" w14:textId="759A0647" w:rsidR="00EE11F2" w:rsidRPr="00224367"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224367">
        <w:rPr>
          <w:rFonts w:ascii="Times New Roman" w:hAnsi="Times New Roman" w:cs="Times New Roman"/>
          <w:sz w:val="24"/>
          <w:szCs w:val="24"/>
        </w:rPr>
        <w:t>Vadītāju vietnieku</w:t>
      </w:r>
      <w:r w:rsidR="00203F33" w:rsidRPr="00224367">
        <w:rPr>
          <w:rFonts w:ascii="Times New Roman" w:hAnsi="Times New Roman" w:cs="Times New Roman"/>
          <w:sz w:val="24"/>
          <w:szCs w:val="24"/>
        </w:rPr>
        <w:t xml:space="preserve"> un/vai struktūrvienību vadītāju</w:t>
      </w:r>
      <w:r w:rsidRPr="00224367">
        <w:rPr>
          <w:rFonts w:ascii="Times New Roman" w:hAnsi="Times New Roman" w:cs="Times New Roman"/>
          <w:sz w:val="24"/>
          <w:szCs w:val="24"/>
        </w:rPr>
        <w:t xml:space="preserve">, metodiķu algas likmes </w:t>
      </w:r>
      <w:r w:rsidR="00224367" w:rsidRPr="00224367">
        <w:rPr>
          <w:rFonts w:ascii="Times New Roman" w:hAnsi="Times New Roman" w:cs="Times New Roman"/>
          <w:sz w:val="24"/>
          <w:szCs w:val="24"/>
        </w:rPr>
        <w:t xml:space="preserve">iestādes vadītājs nosaka </w:t>
      </w:r>
      <w:r w:rsidRPr="00224367">
        <w:rPr>
          <w:rFonts w:ascii="Times New Roman" w:hAnsi="Times New Roman" w:cs="Times New Roman"/>
          <w:sz w:val="24"/>
          <w:szCs w:val="24"/>
        </w:rPr>
        <w:t xml:space="preserve">atbilstoši  </w:t>
      </w:r>
      <w:r w:rsidRPr="00224367">
        <w:rPr>
          <w:rFonts w:ascii="Times New Roman" w:hAnsi="Times New Roman" w:cs="Times New Roman"/>
          <w:i/>
          <w:sz w:val="24"/>
          <w:szCs w:val="24"/>
        </w:rPr>
        <w:t>Pedagogu  darba  samaksas  noteikumiem</w:t>
      </w:r>
      <w:r w:rsidR="00224367" w:rsidRPr="00224367">
        <w:rPr>
          <w:rFonts w:ascii="Times New Roman" w:hAnsi="Times New Roman" w:cs="Times New Roman"/>
          <w:iCs/>
          <w:sz w:val="24"/>
          <w:szCs w:val="24"/>
        </w:rPr>
        <w:t xml:space="preserve"> un iedalītajam  finansējumam.</w:t>
      </w:r>
    </w:p>
    <w:p w14:paraId="60E13CBB" w14:textId="3D1107AA" w:rsidR="00EE11F2"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224367">
        <w:rPr>
          <w:rFonts w:ascii="Times New Roman" w:hAnsi="Times New Roman" w:cs="Times New Roman"/>
          <w:sz w:val="24"/>
          <w:szCs w:val="24"/>
        </w:rPr>
        <w:t>Izglītojamo  skaits  tiek  aprēķināts  uz  katra  gada  1.septembri  un  alga  atbilstoši  tam  tiek  noteikta  laika  periodam  no  katra  gada  1.septembra  līdz  sekojošā  gada 31.augustam.</w:t>
      </w:r>
      <w:r w:rsidR="00224367" w:rsidRPr="00224367">
        <w:rPr>
          <w:rFonts w:ascii="Times New Roman" w:hAnsi="Times New Roman" w:cs="Times New Roman"/>
          <w:sz w:val="24"/>
          <w:szCs w:val="24"/>
        </w:rPr>
        <w:t>Vadītājiem, kuri darbu uzsāk periodā starp 1.septembri un 31.augustu, algas likme tiek noteikta ar amata pienākumu izpildes uzsākšanas brīdi.</w:t>
      </w:r>
    </w:p>
    <w:p w14:paraId="515FE2F1" w14:textId="77777777" w:rsidR="00224367" w:rsidRPr="00224367" w:rsidRDefault="00224367" w:rsidP="00224367">
      <w:pPr>
        <w:ind w:left="284"/>
        <w:jc w:val="both"/>
        <w:rPr>
          <w:rFonts w:cs="Times New Roman"/>
          <w:szCs w:val="24"/>
        </w:rPr>
      </w:pPr>
    </w:p>
    <w:p w14:paraId="28CB9665" w14:textId="77777777" w:rsidR="00EE11F2" w:rsidRPr="00E765A4" w:rsidRDefault="00EE11F2" w:rsidP="00EE11F2">
      <w:pPr>
        <w:jc w:val="center"/>
        <w:rPr>
          <w:rFonts w:cs="Times New Roman"/>
          <w:b/>
          <w:szCs w:val="24"/>
        </w:rPr>
      </w:pPr>
      <w:r w:rsidRPr="00E765A4">
        <w:rPr>
          <w:rFonts w:cs="Times New Roman"/>
          <w:b/>
          <w:szCs w:val="24"/>
        </w:rPr>
        <w:t>V. Izglītības iestāžu  vadītāju  finansēšanas  avoti</w:t>
      </w:r>
    </w:p>
    <w:p w14:paraId="25557417" w14:textId="28696236" w:rsidR="00EE11F2" w:rsidRPr="00E765A4"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E765A4">
        <w:rPr>
          <w:rFonts w:ascii="Times New Roman" w:hAnsi="Times New Roman" w:cs="Times New Roman"/>
          <w:sz w:val="24"/>
          <w:szCs w:val="24"/>
        </w:rPr>
        <w:t>Pamatskolu, vidusskolu  vadītāju, kā arī vietnieku un struktūrvienības vadītāju algas  finansē  no  valsts  budžeta  mērķdotācijas  attiecīgajai  izglītības  iestādei.</w:t>
      </w:r>
      <w:r w:rsidR="00E765A4" w:rsidRPr="00E765A4">
        <w:rPr>
          <w:rFonts w:ascii="Times New Roman" w:hAnsi="Times New Roman" w:cs="Times New Roman"/>
          <w:sz w:val="24"/>
          <w:szCs w:val="24"/>
        </w:rPr>
        <w:t xml:space="preserve"> No pašvaldības budžeta drīkst vadītājiem piešķirt prēmijas attiecīgajam gadam apstiprinātā finansējuma ietvaros.</w:t>
      </w:r>
    </w:p>
    <w:p w14:paraId="5A535033" w14:textId="77777777" w:rsidR="00EE11F2" w:rsidRPr="00E765A4" w:rsidRDefault="00EE11F2" w:rsidP="00EE11F2">
      <w:pPr>
        <w:pStyle w:val="Sarakstarindkopa"/>
        <w:numPr>
          <w:ilvl w:val="0"/>
          <w:numId w:val="1"/>
        </w:numPr>
        <w:spacing w:after="0" w:line="240" w:lineRule="auto"/>
        <w:jc w:val="both"/>
        <w:rPr>
          <w:rFonts w:ascii="Times New Roman" w:hAnsi="Times New Roman" w:cs="Times New Roman"/>
          <w:sz w:val="24"/>
          <w:szCs w:val="24"/>
        </w:rPr>
      </w:pPr>
      <w:r w:rsidRPr="00E765A4">
        <w:rPr>
          <w:rFonts w:ascii="Times New Roman" w:hAnsi="Times New Roman" w:cs="Times New Roman"/>
          <w:sz w:val="24"/>
          <w:szCs w:val="24"/>
        </w:rPr>
        <w:t>Pirmsskolas iestāžu vadītājiem un metodiķiem, profesionālās  ievirzes izglītības  iestāžu  vadītājiem un vadītāju vietniekiem algas  finansē  no  pašvaldības budžeta.</w:t>
      </w:r>
    </w:p>
    <w:p w14:paraId="1B07EED2" w14:textId="77777777" w:rsidR="00EE11F2" w:rsidRPr="00E765A4" w:rsidRDefault="00EE11F2" w:rsidP="00EE11F2">
      <w:pPr>
        <w:jc w:val="center"/>
        <w:rPr>
          <w:rFonts w:cs="Times New Roman"/>
          <w:b/>
          <w:szCs w:val="24"/>
        </w:rPr>
      </w:pPr>
      <w:r w:rsidRPr="00E765A4">
        <w:rPr>
          <w:rFonts w:cs="Times New Roman"/>
          <w:b/>
          <w:szCs w:val="24"/>
        </w:rPr>
        <w:t>VI. Noslēguma  jautājumi</w:t>
      </w:r>
    </w:p>
    <w:p w14:paraId="1A61B600" w14:textId="0A020CB8" w:rsidR="00EE11F2" w:rsidRPr="0032788D" w:rsidRDefault="00EE11F2" w:rsidP="00EE11F2">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2788D">
        <w:rPr>
          <w:rFonts w:ascii="Times New Roman" w:hAnsi="Times New Roman" w:cs="Times New Roman"/>
          <w:sz w:val="24"/>
          <w:szCs w:val="24"/>
        </w:rPr>
        <w:t>Kārtība stājas spēkā 2022.gada 1.</w:t>
      </w:r>
      <w:r w:rsidR="0042363E" w:rsidRPr="0032788D">
        <w:rPr>
          <w:rFonts w:ascii="Times New Roman" w:hAnsi="Times New Roman" w:cs="Times New Roman"/>
          <w:sz w:val="24"/>
          <w:szCs w:val="24"/>
        </w:rPr>
        <w:t>septembrī</w:t>
      </w:r>
      <w:r w:rsidRPr="0032788D">
        <w:rPr>
          <w:rFonts w:ascii="Times New Roman" w:hAnsi="Times New Roman" w:cs="Times New Roman"/>
          <w:sz w:val="24"/>
          <w:szCs w:val="24"/>
        </w:rPr>
        <w:t>.</w:t>
      </w:r>
    </w:p>
    <w:p w14:paraId="318FCAF5" w14:textId="3FF97B20" w:rsidR="00EE11F2" w:rsidRPr="0032788D" w:rsidRDefault="0032788D" w:rsidP="0032788D">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2788D">
        <w:rPr>
          <w:rFonts w:ascii="Times New Roman" w:hAnsi="Times New Roman" w:cs="Times New Roman"/>
          <w:sz w:val="24"/>
          <w:szCs w:val="24"/>
        </w:rPr>
        <w:t>Atzīt par spēku zaudējušu 2021.gada  16.decembra  kārtību “</w:t>
      </w:r>
      <w:r w:rsidRPr="0032788D">
        <w:rPr>
          <w:rFonts w:ascii="Times New Roman" w:eastAsia="Times New Roman" w:hAnsi="Times New Roman" w:cs="Times New Roman"/>
          <w:sz w:val="24"/>
          <w:szCs w:val="24"/>
          <w:lang w:eastAsia="lv-LV"/>
        </w:rPr>
        <w:t xml:space="preserve">Kārtība, kādā tiek  noteiktas Rēzeknes novada pašvaldības </w:t>
      </w:r>
      <w:r w:rsidRPr="0032788D">
        <w:rPr>
          <w:rFonts w:ascii="Times New Roman" w:hAnsi="Times New Roman" w:cs="Times New Roman"/>
          <w:sz w:val="24"/>
          <w:szCs w:val="24"/>
        </w:rPr>
        <w:t xml:space="preserve">izglītības iestāžu  vadītāju, vadītāju vietnieku un metodiķu amata  vienības  un  algas  likmes” (apstiprināta ar Rēzeknes  novada </w:t>
      </w:r>
      <w:r>
        <w:rPr>
          <w:rFonts w:ascii="Times New Roman" w:hAnsi="Times New Roman" w:cs="Times New Roman"/>
          <w:sz w:val="24"/>
          <w:szCs w:val="24"/>
        </w:rPr>
        <w:t>domes</w:t>
      </w:r>
      <w:r w:rsidRPr="0032788D">
        <w:rPr>
          <w:rFonts w:ascii="Times New Roman" w:hAnsi="Times New Roman" w:cs="Times New Roman"/>
          <w:sz w:val="24"/>
          <w:szCs w:val="24"/>
        </w:rPr>
        <w:t xml:space="preserve">  </w:t>
      </w:r>
      <w:r>
        <w:rPr>
          <w:rFonts w:ascii="Times New Roman" w:hAnsi="Times New Roman" w:cs="Times New Roman"/>
          <w:sz w:val="24"/>
          <w:szCs w:val="24"/>
        </w:rPr>
        <w:t>16.12</w:t>
      </w:r>
      <w:r w:rsidRPr="0032788D">
        <w:rPr>
          <w:rFonts w:ascii="Times New Roman" w:hAnsi="Times New Roman" w:cs="Times New Roman"/>
          <w:sz w:val="24"/>
          <w:szCs w:val="24"/>
        </w:rPr>
        <w:t>.2021.  lēmumu  (protokols Nr.</w:t>
      </w:r>
      <w:r w:rsidR="00F55EA5">
        <w:rPr>
          <w:rFonts w:ascii="Times New Roman" w:hAnsi="Times New Roman" w:cs="Times New Roman"/>
          <w:sz w:val="24"/>
          <w:szCs w:val="24"/>
        </w:rPr>
        <w:t>10</w:t>
      </w:r>
      <w:r w:rsidRPr="0032788D">
        <w:rPr>
          <w:rFonts w:ascii="Times New Roman" w:hAnsi="Times New Roman" w:cs="Times New Roman"/>
          <w:sz w:val="24"/>
          <w:szCs w:val="24"/>
        </w:rPr>
        <w:t xml:space="preserve">, </w:t>
      </w:r>
      <w:r w:rsidR="00F55EA5">
        <w:rPr>
          <w:rFonts w:ascii="Times New Roman" w:hAnsi="Times New Roman" w:cs="Times New Roman"/>
          <w:sz w:val="24"/>
          <w:szCs w:val="24"/>
        </w:rPr>
        <w:t>16</w:t>
      </w:r>
      <w:r w:rsidRPr="0032788D">
        <w:rPr>
          <w:rFonts w:ascii="Times New Roman" w:hAnsi="Times New Roman" w:cs="Times New Roman"/>
          <w:sz w:val="24"/>
          <w:szCs w:val="24"/>
        </w:rPr>
        <w:t>.§).</w:t>
      </w:r>
    </w:p>
    <w:p w14:paraId="7469F23E" w14:textId="77777777" w:rsidR="00EE11F2" w:rsidRPr="00E765A4" w:rsidRDefault="00EE11F2" w:rsidP="00EE11F2">
      <w:pPr>
        <w:autoSpaceDE w:val="0"/>
        <w:autoSpaceDN w:val="0"/>
        <w:adjustRightInd w:val="0"/>
        <w:ind w:left="284"/>
        <w:jc w:val="both"/>
        <w:rPr>
          <w:rFonts w:cs="Times New Roman"/>
          <w:szCs w:val="24"/>
        </w:rPr>
      </w:pPr>
    </w:p>
    <w:p w14:paraId="1F7F1B2D" w14:textId="77777777" w:rsidR="00EE11F2" w:rsidRPr="00E765A4" w:rsidRDefault="00EE11F2" w:rsidP="00EE11F2"/>
    <w:p w14:paraId="6A42617D" w14:textId="77777777" w:rsidR="00EE11F2" w:rsidRPr="00E765A4" w:rsidRDefault="00EE11F2" w:rsidP="00EE11F2">
      <w:r w:rsidRPr="00E765A4">
        <w:t>Domes priekšsēdētājs                                                                   M.Švarcs</w:t>
      </w:r>
    </w:p>
    <w:p w14:paraId="0FA2F7F1" w14:textId="77777777" w:rsidR="00EE11F2" w:rsidRPr="00E765A4" w:rsidRDefault="00EE11F2" w:rsidP="00EE11F2"/>
    <w:p w14:paraId="3CF9F0FA" w14:textId="77777777" w:rsidR="00EE11F2" w:rsidRDefault="00EE11F2" w:rsidP="00EE11F2"/>
    <w:p w14:paraId="5B9E82FB" w14:textId="77777777" w:rsidR="00EE11F2" w:rsidRDefault="00EE11F2" w:rsidP="00EE11F2"/>
    <w:p w14:paraId="6B13C10E" w14:textId="77777777" w:rsidR="00EE11F2" w:rsidRDefault="00EE11F2" w:rsidP="00EE11F2"/>
    <w:sectPr w:rsidR="00EE11F2" w:rsidSect="00F0679E">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3988" w14:textId="77777777" w:rsidR="00273ED5" w:rsidRDefault="00273ED5" w:rsidP="00F0679E">
      <w:r>
        <w:separator/>
      </w:r>
    </w:p>
  </w:endnote>
  <w:endnote w:type="continuationSeparator" w:id="0">
    <w:p w14:paraId="2242630B" w14:textId="77777777" w:rsidR="00273ED5" w:rsidRDefault="00273ED5" w:rsidP="00F0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57422"/>
      <w:docPartObj>
        <w:docPartGallery w:val="Page Numbers (Bottom of Page)"/>
        <w:docPartUnique/>
      </w:docPartObj>
    </w:sdtPr>
    <w:sdtContent>
      <w:p w14:paraId="35E7562D" w14:textId="46B1743C" w:rsidR="00F0679E" w:rsidRDefault="00F0679E">
        <w:pPr>
          <w:pStyle w:val="Kjene"/>
          <w:jc w:val="right"/>
        </w:pPr>
        <w:r>
          <w:fldChar w:fldCharType="begin"/>
        </w:r>
        <w:r>
          <w:instrText>PAGE   \* MERGEFORMAT</w:instrText>
        </w:r>
        <w:r>
          <w:fldChar w:fldCharType="separate"/>
        </w:r>
        <w:r>
          <w:t>2</w:t>
        </w:r>
        <w:r>
          <w:fldChar w:fldCharType="end"/>
        </w:r>
      </w:p>
    </w:sdtContent>
  </w:sdt>
  <w:p w14:paraId="5C41ED1E" w14:textId="77777777" w:rsidR="00F0679E" w:rsidRDefault="00F067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D1A3" w14:textId="77777777" w:rsidR="00273ED5" w:rsidRDefault="00273ED5" w:rsidP="00F0679E">
      <w:r>
        <w:separator/>
      </w:r>
    </w:p>
  </w:footnote>
  <w:footnote w:type="continuationSeparator" w:id="0">
    <w:p w14:paraId="60FD716A" w14:textId="77777777" w:rsidR="00273ED5" w:rsidRDefault="00273ED5" w:rsidP="00F0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A0FA4"/>
    <w:multiLevelType w:val="multilevel"/>
    <w:tmpl w:val="062866C6"/>
    <w:lvl w:ilvl="0">
      <w:start w:val="1"/>
      <w:numFmt w:val="decimal"/>
      <w:lvlText w:val="%1."/>
      <w:lvlJc w:val="left"/>
      <w:pPr>
        <w:ind w:left="644"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739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F2"/>
    <w:rsid w:val="00060A51"/>
    <w:rsid w:val="00080649"/>
    <w:rsid w:val="00182C14"/>
    <w:rsid w:val="00191826"/>
    <w:rsid w:val="00203F33"/>
    <w:rsid w:val="00224367"/>
    <w:rsid w:val="0026648D"/>
    <w:rsid w:val="00273ED5"/>
    <w:rsid w:val="00277199"/>
    <w:rsid w:val="0032788D"/>
    <w:rsid w:val="00367CC8"/>
    <w:rsid w:val="0042363E"/>
    <w:rsid w:val="004A5401"/>
    <w:rsid w:val="00502703"/>
    <w:rsid w:val="00556AC8"/>
    <w:rsid w:val="006D68DF"/>
    <w:rsid w:val="007D5203"/>
    <w:rsid w:val="00843E5B"/>
    <w:rsid w:val="00854B99"/>
    <w:rsid w:val="00930D07"/>
    <w:rsid w:val="00977452"/>
    <w:rsid w:val="009E4880"/>
    <w:rsid w:val="00A05B5C"/>
    <w:rsid w:val="00AA10D9"/>
    <w:rsid w:val="00B35B5D"/>
    <w:rsid w:val="00B35E4D"/>
    <w:rsid w:val="00B607DD"/>
    <w:rsid w:val="00BC133B"/>
    <w:rsid w:val="00C217E3"/>
    <w:rsid w:val="00C81082"/>
    <w:rsid w:val="00CB1998"/>
    <w:rsid w:val="00CB390E"/>
    <w:rsid w:val="00DF236E"/>
    <w:rsid w:val="00E54DA3"/>
    <w:rsid w:val="00E765A4"/>
    <w:rsid w:val="00E940A0"/>
    <w:rsid w:val="00EE11F2"/>
    <w:rsid w:val="00F0679E"/>
    <w:rsid w:val="00F55EA5"/>
    <w:rsid w:val="00F74D6F"/>
    <w:rsid w:val="00F846A6"/>
    <w:rsid w:val="00FA6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0F34"/>
  <w15:chartTrackingRefBased/>
  <w15:docId w15:val="{9C0F52DF-FC22-485C-A7F5-44B4136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11F2"/>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11F2"/>
    <w:pPr>
      <w:spacing w:after="200" w:line="276" w:lineRule="auto"/>
      <w:ind w:left="720"/>
      <w:contextualSpacing/>
    </w:pPr>
    <w:rPr>
      <w:rFonts w:asciiTheme="minorHAnsi" w:hAnsiTheme="minorHAnsi"/>
      <w:sz w:val="22"/>
    </w:rPr>
  </w:style>
  <w:style w:type="paragraph" w:styleId="Nosaukums">
    <w:name w:val="Title"/>
    <w:basedOn w:val="Parasts"/>
    <w:link w:val="NosaukumsRakstz"/>
    <w:qFormat/>
    <w:rsid w:val="00EE11F2"/>
    <w:pPr>
      <w:overflowPunct w:val="0"/>
      <w:autoSpaceDE w:val="0"/>
      <w:autoSpaceDN w:val="0"/>
      <w:adjustRightInd w:val="0"/>
      <w:spacing w:before="120" w:line="360" w:lineRule="auto"/>
      <w:jc w:val="center"/>
    </w:pPr>
    <w:rPr>
      <w:rFonts w:eastAsia="Times New Roman" w:cs="Times New Roman"/>
      <w:b/>
      <w:sz w:val="22"/>
      <w:szCs w:val="20"/>
    </w:rPr>
  </w:style>
  <w:style w:type="character" w:customStyle="1" w:styleId="NosaukumsRakstz">
    <w:name w:val="Nosaukums Rakstz."/>
    <w:basedOn w:val="Noklusjumarindkopasfonts"/>
    <w:link w:val="Nosaukums"/>
    <w:rsid w:val="00EE11F2"/>
    <w:rPr>
      <w:rFonts w:ascii="Times New Roman" w:eastAsia="Times New Roman" w:hAnsi="Times New Roman" w:cs="Times New Roman"/>
      <w:b/>
      <w:szCs w:val="20"/>
    </w:rPr>
  </w:style>
  <w:style w:type="paragraph" w:styleId="Galvene">
    <w:name w:val="header"/>
    <w:aliases w:val="Rakstz. Rakstz."/>
    <w:basedOn w:val="Parasts"/>
    <w:link w:val="GalveneRakstz"/>
    <w:uiPriority w:val="99"/>
    <w:unhideWhenUsed/>
    <w:rsid w:val="00EE11F2"/>
    <w:pPr>
      <w:tabs>
        <w:tab w:val="center" w:pos="4153"/>
        <w:tab w:val="right" w:pos="8306"/>
      </w:tabs>
    </w:pPr>
  </w:style>
  <w:style w:type="character" w:customStyle="1" w:styleId="GalveneRakstz">
    <w:name w:val="Galvene Rakstz."/>
    <w:aliases w:val="Rakstz. Rakstz. Rakstz."/>
    <w:basedOn w:val="Noklusjumarindkopasfonts"/>
    <w:link w:val="Galvene"/>
    <w:uiPriority w:val="99"/>
    <w:rsid w:val="00EE11F2"/>
    <w:rPr>
      <w:rFonts w:ascii="Times New Roman" w:hAnsi="Times New Roman"/>
      <w:sz w:val="24"/>
    </w:rPr>
  </w:style>
  <w:style w:type="character" w:styleId="Hipersaite">
    <w:name w:val="Hyperlink"/>
    <w:unhideWhenUsed/>
    <w:rsid w:val="00EE11F2"/>
    <w:rPr>
      <w:rFonts w:ascii="Times New Roman" w:hAnsi="Times New Roman" w:cs="Times New Roman" w:hint="default"/>
      <w:color w:val="0000FF"/>
      <w:u w:val="single"/>
    </w:rPr>
  </w:style>
  <w:style w:type="paragraph" w:customStyle="1" w:styleId="TableContents">
    <w:name w:val="Table Contents"/>
    <w:basedOn w:val="Parasts"/>
    <w:rsid w:val="00EE11F2"/>
    <w:rPr>
      <w:rFonts w:eastAsia="Times New Roman" w:cs="Times New Roman"/>
      <w:color w:val="000000"/>
      <w:szCs w:val="24"/>
      <w:lang w:eastAsia="lv-LV"/>
    </w:rPr>
  </w:style>
  <w:style w:type="table" w:styleId="Reatabula">
    <w:name w:val="Table Grid"/>
    <w:basedOn w:val="Parastatabula"/>
    <w:uiPriority w:val="39"/>
    <w:rsid w:val="007D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0679E"/>
    <w:pPr>
      <w:tabs>
        <w:tab w:val="center" w:pos="4153"/>
        <w:tab w:val="right" w:pos="8306"/>
      </w:tabs>
    </w:pPr>
  </w:style>
  <w:style w:type="character" w:customStyle="1" w:styleId="KjeneRakstz">
    <w:name w:val="Kājene Rakstz."/>
    <w:basedOn w:val="Noklusjumarindkopasfonts"/>
    <w:link w:val="Kjene"/>
    <w:uiPriority w:val="99"/>
    <w:rsid w:val="00F067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6484</Words>
  <Characters>3696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27</cp:revision>
  <dcterms:created xsi:type="dcterms:W3CDTF">2022-07-25T09:40:00Z</dcterms:created>
  <dcterms:modified xsi:type="dcterms:W3CDTF">2022-08-30T12:47:00Z</dcterms:modified>
</cp:coreProperties>
</file>