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FD7A2A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ED1DDA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7723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ED1D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ED1D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ED1D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ED1D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ED1D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ED1DDA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ED1DDA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ED1DDA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ED1DDA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16.martā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346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6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ED1DDA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grozījumiem nolikumā „Par atlīdzību Rēzeknes novada pašvaldībā”</w:t>
      </w:r>
    </w:p>
    <w:p w:rsidR="005B10DA" w:rsidRDefault="005B10DA" w:rsidP="005B10DA">
      <w:pPr>
        <w:jc w:val="both"/>
        <w:rPr>
          <w:b/>
          <w:lang w:val="lv-LV"/>
        </w:rPr>
      </w:pPr>
    </w:p>
    <w:p w:rsidR="00397191" w:rsidRDefault="00ED1DDA" w:rsidP="00397191">
      <w:pPr>
        <w:ind w:firstLine="567"/>
        <w:jc w:val="both"/>
        <w:rPr>
          <w:lang w:val="lv-LV"/>
        </w:rPr>
      </w:pPr>
      <w:r w:rsidRPr="00D916E1">
        <w:rPr>
          <w:lang w:val="lv-LV"/>
        </w:rPr>
        <w:t>Pamatojoties uz P</w:t>
      </w:r>
      <w:r w:rsidRPr="006C3461">
        <w:rPr>
          <w:lang w:val="lv-LV"/>
        </w:rPr>
        <w:t xml:space="preserve">ašvaldību likuma </w:t>
      </w:r>
      <w:r w:rsidRPr="00D916E1">
        <w:rPr>
          <w:lang w:val="lv-LV"/>
        </w:rPr>
        <w:t>1</w:t>
      </w:r>
      <w:r w:rsidRPr="006C3461">
        <w:rPr>
          <w:lang w:val="lv-LV"/>
        </w:rPr>
        <w:t xml:space="preserve">0.panta pirmo </w:t>
      </w:r>
      <w:r w:rsidRPr="006C3461">
        <w:rPr>
          <w:lang w:val="lv-LV"/>
        </w:rPr>
        <w:t>daļ</w:t>
      </w:r>
      <w:r w:rsidRPr="00D916E1">
        <w:rPr>
          <w:lang w:val="lv-LV"/>
        </w:rPr>
        <w:t xml:space="preserve">u, </w:t>
      </w:r>
      <w:r w:rsidRPr="006C3461">
        <w:rPr>
          <w:lang w:val="lv-LV"/>
        </w:rPr>
        <w:t xml:space="preserve">Valsts pārvaldes iekārtas likuma 72.panta pirmās daļas 2.punktu un 73 panta pirmās daļas 4.punktu, </w:t>
      </w:r>
      <w:r w:rsidRPr="00D916E1">
        <w:rPr>
          <w:lang w:val="lv-LV"/>
        </w:rPr>
        <w:t xml:space="preserve">Valsts un pašvaldību institūciju amatpersonu un darbinieku atlīdzības likuma 3.panta </w:t>
      </w:r>
      <w:r>
        <w:rPr>
          <w:lang w:val="lv-LV"/>
        </w:rPr>
        <w:t xml:space="preserve">trešo daļu, </w:t>
      </w:r>
      <w:r w:rsidRPr="00D916E1">
        <w:rPr>
          <w:lang w:val="lv-LV"/>
        </w:rPr>
        <w:t>ceturto daļu</w:t>
      </w:r>
      <w:r>
        <w:rPr>
          <w:lang w:val="lv-LV"/>
        </w:rPr>
        <w:t>, sesto daļu</w:t>
      </w:r>
      <w:r w:rsidRPr="00D916E1">
        <w:rPr>
          <w:color w:val="FF0000"/>
          <w:lang w:val="lv-LV"/>
        </w:rPr>
        <w:t xml:space="preserve"> </w:t>
      </w:r>
      <w:r w:rsidRPr="00527144">
        <w:rPr>
          <w:lang w:val="lv-LV"/>
        </w:rPr>
        <w:t>un 6.</w:t>
      </w:r>
      <w:r w:rsidRPr="00527144">
        <w:rPr>
          <w:vertAlign w:val="superscript"/>
          <w:lang w:val="lv-LV"/>
        </w:rPr>
        <w:t>3</w:t>
      </w:r>
      <w:r w:rsidRPr="00527144">
        <w:rPr>
          <w:lang w:val="lv-LV"/>
        </w:rPr>
        <w:t>daļu, 5.panta otro daļu</w:t>
      </w:r>
      <w:r w:rsidRPr="00527144">
        <w:rPr>
          <w:lang w:val="lv-LV"/>
        </w:rPr>
        <w:t xml:space="preserve">, 14.panta pirmo daļu, </w:t>
      </w:r>
      <w:r w:rsidRPr="00F7442E">
        <w:rPr>
          <w:lang w:val="lv-LV"/>
        </w:rPr>
        <w:t xml:space="preserve">15.panta trešo daļu, 19.panta sesto daļu, </w:t>
      </w:r>
      <w:r w:rsidRPr="00F05BEA">
        <w:rPr>
          <w:lang w:val="lv-LV"/>
        </w:rPr>
        <w:t xml:space="preserve">26.panta trešo daļu, 27.panta trešo daļu, 32.panta ceturto </w:t>
      </w:r>
      <w:r w:rsidRPr="004E466D">
        <w:rPr>
          <w:lang w:val="lv-LV"/>
        </w:rPr>
        <w:t>daļu, 42.panta devīto daļu, 44.panta pirmo daļu</w:t>
      </w:r>
      <w:r w:rsidRPr="006C3461">
        <w:rPr>
          <w:lang w:val="lv-LV"/>
        </w:rPr>
        <w:t xml:space="preserve"> un </w:t>
      </w:r>
      <w:r w:rsidRPr="00D916E1">
        <w:rPr>
          <w:rFonts w:eastAsia="Calibri" w:cs="Calibri"/>
          <w:szCs w:val="26"/>
          <w:lang w:val="lv-LV"/>
        </w:rPr>
        <w:t>Finanšu komitejas 20</w:t>
      </w:r>
      <w:r w:rsidRPr="006C3461">
        <w:rPr>
          <w:lang w:val="lv-LV"/>
        </w:rPr>
        <w:t xml:space="preserve">23.gada 9.marta priekšlikumu, </w:t>
      </w:r>
      <w:r w:rsidRPr="00141A9C">
        <w:rPr>
          <w:lang w:val="lv-LV"/>
        </w:rPr>
        <w:t xml:space="preserve">Rēzeknes novada dome </w:t>
      </w:r>
      <w:r w:rsidRPr="004C3734">
        <w:rPr>
          <w:b/>
          <w:bCs/>
          <w:spacing w:val="20"/>
          <w:lang w:val="lv-LV"/>
        </w:rPr>
        <w:t>nolemj</w:t>
      </w:r>
      <w:r w:rsidRPr="004C3734">
        <w:rPr>
          <w:b/>
          <w:bCs/>
          <w:lang w:val="lv-LV"/>
        </w:rPr>
        <w:t>:</w:t>
      </w:r>
    </w:p>
    <w:p w:rsidR="00397191" w:rsidRPr="00E83561" w:rsidRDefault="00397191" w:rsidP="00397191">
      <w:pPr>
        <w:pStyle w:val="ListParagraph"/>
        <w:ind w:left="0"/>
        <w:rPr>
          <w:lang w:val="lv-LV"/>
        </w:rPr>
      </w:pPr>
    </w:p>
    <w:p w:rsidR="00397191" w:rsidRPr="006C3461" w:rsidRDefault="00ED1DDA" w:rsidP="00397191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rFonts w:eastAsia="Calibri" w:cs="Calibri"/>
          <w:i/>
          <w:szCs w:val="22"/>
          <w:lang w:val="lv-LV" w:eastAsia="en-US"/>
        </w:rPr>
      </w:pPr>
      <w:r>
        <w:rPr>
          <w:rFonts w:eastAsia="Calibri" w:cs="Calibri"/>
          <w:bCs/>
          <w:szCs w:val="26"/>
          <w:lang w:val="lv-LV"/>
        </w:rPr>
        <w:t>I</w:t>
      </w:r>
      <w:r w:rsidRPr="006C3461">
        <w:rPr>
          <w:rFonts w:eastAsia="Calibri" w:cs="Calibri"/>
          <w:bCs/>
          <w:szCs w:val="26"/>
          <w:lang w:val="lv-LV"/>
        </w:rPr>
        <w:t>zdarīt šādus grozījumus</w:t>
      </w:r>
      <w:r w:rsidRPr="006C3461">
        <w:rPr>
          <w:rFonts w:eastAsia="Calibri" w:cs="Calibri"/>
          <w:szCs w:val="26"/>
          <w:lang w:val="lv-LV"/>
        </w:rPr>
        <w:t xml:space="preserve"> </w:t>
      </w:r>
      <w:r w:rsidRPr="006C3461">
        <w:rPr>
          <w:rFonts w:eastAsia="Calibri" w:cs="Calibri"/>
          <w:bCs/>
          <w:szCs w:val="26"/>
          <w:lang w:val="lv-LV"/>
        </w:rPr>
        <w:t>Rēzeknes novada pašvaldības nolikumā „Par atlīdzību Rēzeknes novada pašvaldībā” (turpmāk tekstā – Nolikums), kas apstiprināts ar Rēzeknes novada domes 2022.gada 15.decembra lēmumu Nr.1256 “</w:t>
      </w:r>
      <w:r w:rsidRPr="006C3461">
        <w:rPr>
          <w:rFonts w:eastAsia="Calibri" w:cs="Calibri"/>
          <w:szCs w:val="26"/>
          <w:lang w:val="lv-LV"/>
        </w:rPr>
        <w:t>Par Rēzeknes novada pašvaldības nolikuma „P</w:t>
      </w:r>
      <w:r w:rsidRPr="006C3461">
        <w:rPr>
          <w:rFonts w:eastAsia="Calibri" w:cs="Calibri"/>
          <w:szCs w:val="26"/>
          <w:lang w:val="lv-LV"/>
        </w:rPr>
        <w:t>ar atlīdzību Rēzeknes novada pašvaldībā” apstiprināšanu</w:t>
      </w:r>
      <w:r w:rsidRPr="006C3461">
        <w:rPr>
          <w:rFonts w:eastAsia="Calibri" w:cs="Calibri"/>
          <w:bCs/>
          <w:szCs w:val="26"/>
          <w:lang w:val="lv-LV"/>
        </w:rPr>
        <w:t xml:space="preserve">” (protokols Nr.32, 3.§):  </w:t>
      </w:r>
    </w:p>
    <w:p w:rsidR="00397191" w:rsidRPr="00EC5E2B" w:rsidRDefault="00ED1DDA" w:rsidP="00397191">
      <w:pPr>
        <w:numPr>
          <w:ilvl w:val="1"/>
          <w:numId w:val="4"/>
        </w:numPr>
        <w:suppressAutoHyphens/>
        <w:spacing w:after="200"/>
        <w:ind w:left="1560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 w:rsidRPr="00EC5E2B">
        <w:rPr>
          <w:rFonts w:eastAsia="Calibri" w:cs="Calibri"/>
          <w:bCs/>
          <w:szCs w:val="26"/>
          <w:lang w:val="lv-LV"/>
        </w:rPr>
        <w:t>izteikt Nolikuma 57.punktu šādā redakcijā:</w:t>
      </w:r>
    </w:p>
    <w:p w:rsidR="00397191" w:rsidRPr="00EC5E2B" w:rsidRDefault="00ED1DDA" w:rsidP="00397191">
      <w:pPr>
        <w:ind w:left="2127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 w:rsidRPr="00EC5E2B">
        <w:rPr>
          <w:rFonts w:eastAsia="Calibri" w:cs="Calibri"/>
          <w:bCs/>
          <w:szCs w:val="26"/>
          <w:lang w:val="lv-LV"/>
        </w:rPr>
        <w:t xml:space="preserve">“57.  </w:t>
      </w:r>
      <w:r w:rsidRPr="00EC5E2B">
        <w:rPr>
          <w:rFonts w:eastAsia="Calibri" w:cs="Calibri"/>
          <w:szCs w:val="22"/>
          <w:lang w:val="lv-LV" w:eastAsia="en-US"/>
        </w:rPr>
        <w:t>Nosakot 54.punktā noteikto piemaksu pie mēnešalgas, piemaksas apmērs tiek noteikts sekojoši:</w:t>
      </w:r>
    </w:p>
    <w:p w:rsidR="00397191" w:rsidRPr="00EC5E2B" w:rsidRDefault="00ED1DDA" w:rsidP="00397191">
      <w:pPr>
        <w:ind w:left="2127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 w:rsidRPr="00EC5E2B">
        <w:rPr>
          <w:rFonts w:eastAsia="Calibri" w:cs="Calibri"/>
          <w:szCs w:val="22"/>
          <w:lang w:val="lv-LV" w:eastAsia="en-US"/>
        </w:rPr>
        <w:t>57.1. ja aizvietotāja mēnešalga</w:t>
      </w:r>
      <w:r w:rsidRPr="00EC5E2B">
        <w:rPr>
          <w:rFonts w:eastAsia="Calibri" w:cs="Calibri"/>
          <w:szCs w:val="22"/>
          <w:lang w:val="lv-LV" w:eastAsia="en-US"/>
        </w:rPr>
        <w:t xml:space="preserve"> ir vienāda vai mazāka par aizvietojamā mēnešalgu, piemaksa tiek noteikta līdz 30 % (trīsdesmit procenti) apmērā;</w:t>
      </w:r>
    </w:p>
    <w:p w:rsidR="00397191" w:rsidRPr="00EC5E2B" w:rsidRDefault="00ED1DDA" w:rsidP="00397191">
      <w:pPr>
        <w:ind w:left="2127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 w:rsidRPr="00EC5E2B">
        <w:rPr>
          <w:rFonts w:eastAsia="Calibri" w:cs="Calibri"/>
          <w:szCs w:val="22"/>
          <w:lang w:val="lv-LV" w:eastAsia="en-US"/>
        </w:rPr>
        <w:lastRenderedPageBreak/>
        <w:t>57.2. ja aizvietotāja mēnešalga ir lielāka par aizvietojamā mēnešalgu, tad piemaksas maksimālo procentuālo apmēru nosaka pēc sekojošas metodik</w:t>
      </w:r>
      <w:r w:rsidRPr="00EC5E2B">
        <w:rPr>
          <w:rFonts w:eastAsia="Calibri" w:cs="Calibri"/>
          <w:szCs w:val="22"/>
          <w:lang w:val="lv-LV" w:eastAsia="en-US"/>
        </w:rPr>
        <w:t>as: aprēķina 30 % (trīsdesmit procenti) no aizvietojamās personas mēnešalgas. Iegūto vērtību attiecina pret aizvietotājam noteikto mēnešalgu un sareizina ar skaitli 100 (simts);</w:t>
      </w:r>
    </w:p>
    <w:p w:rsidR="00C51614" w:rsidRDefault="00ED1DDA" w:rsidP="00397191">
      <w:pPr>
        <w:ind w:left="2127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 w:rsidRPr="00EC5E2B">
        <w:rPr>
          <w:rFonts w:eastAsia="Calibri" w:cs="Calibri"/>
          <w:szCs w:val="22"/>
          <w:lang w:val="lv-LV" w:eastAsia="en-US"/>
        </w:rPr>
        <w:t>57.3. piemaksas apmēru Amatpersonai (Darbiniekam), ievērojot Nolikuma 57.1. un</w:t>
      </w:r>
      <w:r w:rsidRPr="00EC5E2B">
        <w:rPr>
          <w:rFonts w:eastAsia="Calibri" w:cs="Calibri"/>
          <w:szCs w:val="22"/>
          <w:lang w:val="lv-LV" w:eastAsia="en-US"/>
        </w:rPr>
        <w:t xml:space="preserve"> 57.2.apakšpunktos noteikto, nosaka Amatpersonas (</w:t>
      </w:r>
      <w:r>
        <w:rPr>
          <w:rFonts w:eastAsia="Calibri" w:cs="Calibri"/>
          <w:szCs w:val="22"/>
          <w:lang w:val="lv-LV" w:eastAsia="en-US"/>
        </w:rPr>
        <w:t>D</w:t>
      </w:r>
      <w:r w:rsidRPr="00EC5E2B">
        <w:rPr>
          <w:rFonts w:eastAsia="Calibri" w:cs="Calibri"/>
          <w:szCs w:val="22"/>
          <w:lang w:val="lv-LV" w:eastAsia="en-US"/>
        </w:rPr>
        <w:t>arbinieka) tiešais vadītājs atkarībā no veicamo papildus pienākumu apjoma.</w:t>
      </w:r>
    </w:p>
    <w:p w:rsidR="00397191" w:rsidRPr="00EC5E2B" w:rsidRDefault="00ED1DDA" w:rsidP="00C51614">
      <w:pPr>
        <w:ind w:left="2127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>
        <w:rPr>
          <w:rFonts w:eastAsia="Calibri" w:cs="Calibri"/>
          <w:szCs w:val="22"/>
          <w:lang w:val="lv-LV" w:eastAsia="en-US"/>
        </w:rPr>
        <w:t xml:space="preserve">57.4. </w:t>
      </w:r>
      <w:r w:rsidR="00030011">
        <w:rPr>
          <w:rFonts w:eastAsia="Calibri" w:cs="Calibri"/>
          <w:szCs w:val="22"/>
          <w:lang w:val="lv-LV" w:eastAsia="en-US"/>
        </w:rPr>
        <w:t>Amatpersonas (D</w:t>
      </w:r>
      <w:r>
        <w:rPr>
          <w:rFonts w:eastAsia="Calibri" w:cs="Calibri"/>
          <w:szCs w:val="22"/>
          <w:lang w:val="lv-LV" w:eastAsia="en-US"/>
        </w:rPr>
        <w:t>arbinieka</w:t>
      </w:r>
      <w:r w:rsidR="00030011">
        <w:rPr>
          <w:rFonts w:eastAsia="Calibri" w:cs="Calibri"/>
          <w:szCs w:val="22"/>
          <w:lang w:val="lv-LV" w:eastAsia="en-US"/>
        </w:rPr>
        <w:t>)</w:t>
      </w:r>
      <w:r>
        <w:rPr>
          <w:rFonts w:eastAsia="Calibri" w:cs="Calibri"/>
          <w:szCs w:val="22"/>
          <w:lang w:val="lv-LV" w:eastAsia="en-US"/>
        </w:rPr>
        <w:t xml:space="preserve"> nepilnas slodzes gadījumā piemaksas procentu apmērs tiek noteikts no aizvietojamā</w:t>
      </w:r>
      <w:r w:rsidR="00030011">
        <w:rPr>
          <w:rFonts w:eastAsia="Calibri" w:cs="Calibri"/>
          <w:szCs w:val="22"/>
          <w:lang w:val="lv-LV" w:eastAsia="en-US"/>
        </w:rPr>
        <w:t>s Amatpersonas</w:t>
      </w:r>
      <w:r>
        <w:rPr>
          <w:rFonts w:eastAsia="Calibri" w:cs="Calibri"/>
          <w:szCs w:val="22"/>
          <w:lang w:val="lv-LV" w:eastAsia="en-US"/>
        </w:rPr>
        <w:t xml:space="preserve"> </w:t>
      </w:r>
      <w:r w:rsidR="00030011">
        <w:rPr>
          <w:rFonts w:eastAsia="Calibri" w:cs="Calibri"/>
          <w:szCs w:val="22"/>
          <w:lang w:val="lv-LV" w:eastAsia="en-US"/>
        </w:rPr>
        <w:t>(D</w:t>
      </w:r>
      <w:r>
        <w:rPr>
          <w:rFonts w:eastAsia="Calibri" w:cs="Calibri"/>
          <w:szCs w:val="22"/>
          <w:lang w:val="lv-LV" w:eastAsia="en-US"/>
        </w:rPr>
        <w:t>arbinieka</w:t>
      </w:r>
      <w:r w:rsidR="00030011">
        <w:rPr>
          <w:rFonts w:eastAsia="Calibri" w:cs="Calibri"/>
          <w:szCs w:val="22"/>
          <w:lang w:val="lv-LV" w:eastAsia="en-US"/>
        </w:rPr>
        <w:t>)</w:t>
      </w:r>
      <w:r>
        <w:rPr>
          <w:rFonts w:eastAsia="Calibri" w:cs="Calibri"/>
          <w:szCs w:val="22"/>
          <w:lang w:val="lv-LV" w:eastAsia="en-US"/>
        </w:rPr>
        <w:t xml:space="preserve"> pilnas slodzes mēnešalgas un attiecināts pret aizvietotāja mēnešalgu Noteikumu 57.1 un 57.2.apakšpunktos noteiktajā kārtībā. Noteikto piemaksas procentu apmērs aizvietotājam naudas izteiksmē nedrīkst pārsniegt aizvietojamajai Amatpersonai (Darbi</w:t>
      </w:r>
      <w:r>
        <w:rPr>
          <w:rFonts w:eastAsia="Calibri" w:cs="Calibri"/>
          <w:szCs w:val="22"/>
          <w:lang w:val="lv-LV" w:eastAsia="en-US"/>
        </w:rPr>
        <w:t>niekam) noteiktās mēnešalgas apmēru nepilnajai slodzei (likmei).</w:t>
      </w:r>
      <w:r w:rsidRPr="00EC5E2B">
        <w:rPr>
          <w:rFonts w:eastAsia="Calibri" w:cs="Calibri"/>
          <w:szCs w:val="22"/>
          <w:lang w:val="lv-LV" w:eastAsia="en-US"/>
        </w:rPr>
        <w:t>”</w:t>
      </w:r>
    </w:p>
    <w:p w:rsidR="00397191" w:rsidRPr="006C3461" w:rsidRDefault="00ED1DDA" w:rsidP="00397191">
      <w:pPr>
        <w:numPr>
          <w:ilvl w:val="1"/>
          <w:numId w:val="4"/>
        </w:numPr>
        <w:suppressAutoHyphens/>
        <w:spacing w:after="200"/>
        <w:ind w:left="1560" w:hanging="567"/>
        <w:contextualSpacing/>
        <w:jc w:val="both"/>
        <w:rPr>
          <w:rFonts w:eastAsia="Calibri" w:cs="Calibri"/>
          <w:szCs w:val="22"/>
          <w:lang w:val="lv-LV" w:eastAsia="en-US"/>
        </w:rPr>
      </w:pPr>
      <w:r w:rsidRPr="006C3461">
        <w:rPr>
          <w:rFonts w:eastAsia="Calibri" w:cs="Calibri"/>
          <w:szCs w:val="22"/>
          <w:lang w:val="lv-LV" w:eastAsia="en-US"/>
        </w:rPr>
        <w:t xml:space="preserve">aizstāt Nolikuma 122.6.apakšpunktā </w:t>
      </w:r>
      <w:r>
        <w:rPr>
          <w:rFonts w:eastAsia="Calibri" w:cs="Calibri"/>
          <w:szCs w:val="22"/>
          <w:lang w:val="lv-LV" w:eastAsia="en-US"/>
        </w:rPr>
        <w:t>skaitli</w:t>
      </w:r>
      <w:r w:rsidRPr="006C3461">
        <w:rPr>
          <w:rFonts w:eastAsia="Calibri" w:cs="Calibri"/>
          <w:szCs w:val="22"/>
          <w:lang w:val="lv-LV" w:eastAsia="en-US"/>
        </w:rPr>
        <w:t xml:space="preserve"> “</w:t>
      </w:r>
      <w:r w:rsidRPr="006C3461">
        <w:rPr>
          <w:rFonts w:eastAsia="Calibri" w:cs="Calibri"/>
          <w:szCs w:val="26"/>
          <w:lang w:val="lv-LV"/>
        </w:rPr>
        <w:t xml:space="preserve">720,00” </w:t>
      </w:r>
      <w:r w:rsidRPr="006C3461">
        <w:rPr>
          <w:rFonts w:eastAsia="Calibri" w:cs="Calibri"/>
          <w:szCs w:val="22"/>
          <w:lang w:val="lv-LV" w:eastAsia="en-US"/>
        </w:rPr>
        <w:t>un vārdu</w:t>
      </w:r>
      <w:r w:rsidRPr="006C3461">
        <w:rPr>
          <w:rFonts w:eastAsia="Calibri" w:cs="Calibri"/>
          <w:szCs w:val="26"/>
          <w:lang w:val="lv-LV"/>
        </w:rPr>
        <w:t xml:space="preserve"> “divdesmit” </w:t>
      </w:r>
      <w:r w:rsidRPr="006C3461">
        <w:rPr>
          <w:rFonts w:eastAsia="Calibri" w:cs="Calibri"/>
          <w:szCs w:val="22"/>
          <w:lang w:val="lv-LV" w:eastAsia="en-US"/>
        </w:rPr>
        <w:t xml:space="preserve">ar </w:t>
      </w:r>
      <w:r>
        <w:rPr>
          <w:rFonts w:eastAsia="Calibri" w:cs="Calibri"/>
          <w:szCs w:val="22"/>
          <w:lang w:val="lv-LV" w:eastAsia="en-US"/>
        </w:rPr>
        <w:t>skaitli</w:t>
      </w:r>
      <w:r w:rsidRPr="006C3461">
        <w:rPr>
          <w:rFonts w:eastAsia="Calibri" w:cs="Calibri"/>
          <w:szCs w:val="22"/>
          <w:lang w:val="lv-LV" w:eastAsia="en-US"/>
        </w:rPr>
        <w:t xml:space="preserve"> “</w:t>
      </w:r>
      <w:r w:rsidRPr="006C3461">
        <w:rPr>
          <w:rFonts w:eastAsia="Calibri" w:cs="Calibri"/>
          <w:szCs w:val="26"/>
          <w:lang w:val="lv-LV"/>
        </w:rPr>
        <w:t xml:space="preserve">750,00” </w:t>
      </w:r>
      <w:r w:rsidRPr="006C3461">
        <w:rPr>
          <w:rFonts w:eastAsia="Calibri" w:cs="Calibri"/>
          <w:szCs w:val="22"/>
          <w:lang w:val="lv-LV" w:eastAsia="en-US"/>
        </w:rPr>
        <w:t>un vārdu “piecdesmit”.</w:t>
      </w:r>
    </w:p>
    <w:p w:rsidR="00397191" w:rsidRPr="006C3461" w:rsidRDefault="00ED1DDA" w:rsidP="00397191">
      <w:pPr>
        <w:numPr>
          <w:ilvl w:val="0"/>
          <w:numId w:val="4"/>
        </w:numPr>
        <w:suppressAutoHyphens/>
        <w:spacing w:after="200"/>
        <w:ind w:left="993"/>
        <w:contextualSpacing/>
        <w:jc w:val="both"/>
        <w:rPr>
          <w:rFonts w:eastAsia="Calibri" w:cs="Calibri"/>
          <w:i/>
          <w:szCs w:val="22"/>
          <w:lang w:val="lv-LV" w:eastAsia="en-US"/>
        </w:rPr>
      </w:pPr>
      <w:r w:rsidRPr="006C3461">
        <w:rPr>
          <w:rFonts w:eastAsia="Calibri" w:cs="Calibri"/>
          <w:szCs w:val="26"/>
          <w:lang w:val="lv-LV"/>
        </w:rPr>
        <w:t>Ar šo lēmumu izdarītie grozījumi Nolikumā stājas spēkā 2023.gada 16.martā.</w:t>
      </w:r>
    </w:p>
    <w:p w:rsidR="00397191" w:rsidRPr="006C3461" w:rsidRDefault="00ED1DDA" w:rsidP="00397191">
      <w:pPr>
        <w:numPr>
          <w:ilvl w:val="0"/>
          <w:numId w:val="4"/>
        </w:numPr>
        <w:suppressAutoHyphens/>
        <w:spacing w:after="200"/>
        <w:ind w:left="993"/>
        <w:contextualSpacing/>
        <w:jc w:val="both"/>
        <w:rPr>
          <w:rFonts w:eastAsia="Calibri" w:cs="Calibri"/>
          <w:bCs/>
          <w:szCs w:val="26"/>
          <w:lang w:val="lv-LV"/>
        </w:rPr>
      </w:pPr>
      <w:r w:rsidRPr="006C3461">
        <w:rPr>
          <w:rFonts w:eastAsia="Calibri" w:cs="Calibri"/>
          <w:szCs w:val="26"/>
          <w:lang w:val="lv-LV"/>
        </w:rPr>
        <w:t xml:space="preserve">Uzdot Juridiskās un lietvedības nodaļas </w:t>
      </w:r>
      <w:r>
        <w:rPr>
          <w:rFonts w:eastAsia="Calibri" w:cs="Calibri"/>
          <w:szCs w:val="26"/>
          <w:lang w:val="lv-LV"/>
        </w:rPr>
        <w:t>personāla speciālistei Signijai Mosānei</w:t>
      </w:r>
      <w:r w:rsidRPr="006C3461">
        <w:rPr>
          <w:rFonts w:eastAsia="Calibri" w:cs="Calibri"/>
          <w:szCs w:val="26"/>
          <w:lang w:val="lv-LV"/>
        </w:rPr>
        <w:t xml:space="preserve"> nodrošināt nolikuma „Par atlīdzību Rēzeknes novada pašvaldībā” konsolidēšanu.</w:t>
      </w:r>
    </w:p>
    <w:p w:rsidR="00397191" w:rsidRPr="006C3461" w:rsidRDefault="00ED1DDA" w:rsidP="00397191">
      <w:pPr>
        <w:numPr>
          <w:ilvl w:val="0"/>
          <w:numId w:val="4"/>
        </w:numPr>
        <w:suppressAutoHyphens/>
        <w:spacing w:after="200"/>
        <w:ind w:left="993"/>
        <w:contextualSpacing/>
        <w:jc w:val="both"/>
        <w:rPr>
          <w:rFonts w:eastAsia="Calibri" w:cs="Calibri"/>
          <w:bCs/>
          <w:szCs w:val="26"/>
          <w:lang w:val="lv-LV"/>
        </w:rPr>
      </w:pPr>
      <w:r w:rsidRPr="006C3461">
        <w:rPr>
          <w:rFonts w:eastAsia="Calibri" w:cs="Calibri"/>
          <w:szCs w:val="26"/>
          <w:lang w:val="lv-LV"/>
        </w:rPr>
        <w:t>Uzd</w:t>
      </w:r>
      <w:r>
        <w:rPr>
          <w:rFonts w:eastAsia="Calibri" w:cs="Calibri"/>
          <w:szCs w:val="26"/>
          <w:lang w:val="lv-LV"/>
        </w:rPr>
        <w:t>ot Attīstības plānošanas nodaļas vadītājam Edmundam Džigunam</w:t>
      </w:r>
      <w:r w:rsidRPr="006C3461">
        <w:rPr>
          <w:rFonts w:eastAsia="Calibri" w:cs="Calibri"/>
          <w:szCs w:val="26"/>
          <w:lang w:val="lv-LV"/>
        </w:rPr>
        <w:t xml:space="preserve"> nodrošināt konsolidētā nolikuma „</w:t>
      </w:r>
      <w:r w:rsidRPr="006C3461">
        <w:rPr>
          <w:rFonts w:eastAsia="Calibri" w:cs="Calibri"/>
          <w:szCs w:val="26"/>
          <w:lang w:val="lv-LV"/>
        </w:rPr>
        <w:t>Par atlīdzību Rēzeknes novada pašvaldībā” publicēšanu Rēzekn</w:t>
      </w:r>
      <w:r>
        <w:rPr>
          <w:rFonts w:eastAsia="Calibri" w:cs="Calibri"/>
          <w:szCs w:val="26"/>
          <w:lang w:val="lv-LV"/>
        </w:rPr>
        <w:t>es novada pašvaldības mājaslapā</w:t>
      </w:r>
      <w:r w:rsidRPr="006C3461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860CBC" w:rsidRDefault="00860CBC" w:rsidP="005B10DA">
      <w:pPr>
        <w:jc w:val="both"/>
        <w:rPr>
          <w:lang w:val="lv-LV"/>
        </w:rPr>
      </w:pPr>
    </w:p>
    <w:p w:rsidR="00214D42" w:rsidRDefault="00214D42" w:rsidP="005B10DA">
      <w:pPr>
        <w:jc w:val="both"/>
        <w:rPr>
          <w:lang w:val="lv-LV"/>
        </w:rPr>
      </w:pPr>
    </w:p>
    <w:p w:rsidR="005B10DA" w:rsidRDefault="00ED1DDA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DA" w:rsidRDefault="00ED1DDA">
      <w:r>
        <w:separator/>
      </w:r>
    </w:p>
  </w:endnote>
  <w:endnote w:type="continuationSeparator" w:id="0">
    <w:p w:rsidR="00ED1DDA" w:rsidRDefault="00ED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2A" w:rsidRDefault="00ED1DD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2A" w:rsidRDefault="00ED1DD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DA" w:rsidRDefault="00ED1DDA">
      <w:r>
        <w:separator/>
      </w:r>
    </w:p>
  </w:footnote>
  <w:footnote w:type="continuationSeparator" w:id="0">
    <w:p w:rsidR="00ED1DDA" w:rsidRDefault="00ED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250A"/>
    <w:multiLevelType w:val="multilevel"/>
    <w:tmpl w:val="F5B2712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2C7C00"/>
    <w:multiLevelType w:val="hybridMultilevel"/>
    <w:tmpl w:val="A67C5F86"/>
    <w:lvl w:ilvl="0" w:tplc="E706608A">
      <w:start w:val="1"/>
      <w:numFmt w:val="decimal"/>
      <w:lvlText w:val="%1."/>
      <w:lvlJc w:val="left"/>
      <w:pPr>
        <w:ind w:left="720" w:hanging="360"/>
      </w:pPr>
    </w:lvl>
    <w:lvl w:ilvl="1" w:tplc="1806EADC" w:tentative="1">
      <w:start w:val="1"/>
      <w:numFmt w:val="lowerLetter"/>
      <w:lvlText w:val="%2."/>
      <w:lvlJc w:val="left"/>
      <w:pPr>
        <w:ind w:left="1440" w:hanging="360"/>
      </w:pPr>
    </w:lvl>
    <w:lvl w:ilvl="2" w:tplc="A752853C" w:tentative="1">
      <w:start w:val="1"/>
      <w:numFmt w:val="lowerRoman"/>
      <w:lvlText w:val="%3."/>
      <w:lvlJc w:val="right"/>
      <w:pPr>
        <w:ind w:left="2160" w:hanging="180"/>
      </w:pPr>
    </w:lvl>
    <w:lvl w:ilvl="3" w:tplc="DBC23766" w:tentative="1">
      <w:start w:val="1"/>
      <w:numFmt w:val="decimal"/>
      <w:lvlText w:val="%4."/>
      <w:lvlJc w:val="left"/>
      <w:pPr>
        <w:ind w:left="2880" w:hanging="360"/>
      </w:pPr>
    </w:lvl>
    <w:lvl w:ilvl="4" w:tplc="9DEE479A" w:tentative="1">
      <w:start w:val="1"/>
      <w:numFmt w:val="lowerLetter"/>
      <w:lvlText w:val="%5."/>
      <w:lvlJc w:val="left"/>
      <w:pPr>
        <w:ind w:left="3600" w:hanging="360"/>
      </w:pPr>
    </w:lvl>
    <w:lvl w:ilvl="5" w:tplc="34DEA8E2" w:tentative="1">
      <w:start w:val="1"/>
      <w:numFmt w:val="lowerRoman"/>
      <w:lvlText w:val="%6."/>
      <w:lvlJc w:val="right"/>
      <w:pPr>
        <w:ind w:left="4320" w:hanging="180"/>
      </w:pPr>
    </w:lvl>
    <w:lvl w:ilvl="6" w:tplc="665408B6" w:tentative="1">
      <w:start w:val="1"/>
      <w:numFmt w:val="decimal"/>
      <w:lvlText w:val="%7."/>
      <w:lvlJc w:val="left"/>
      <w:pPr>
        <w:ind w:left="5040" w:hanging="360"/>
      </w:pPr>
    </w:lvl>
    <w:lvl w:ilvl="7" w:tplc="6A8A8A8A" w:tentative="1">
      <w:start w:val="1"/>
      <w:numFmt w:val="lowerLetter"/>
      <w:lvlText w:val="%8."/>
      <w:lvlJc w:val="left"/>
      <w:pPr>
        <w:ind w:left="5760" w:hanging="360"/>
      </w:pPr>
    </w:lvl>
    <w:lvl w:ilvl="8" w:tplc="50564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1D549E56">
      <w:start w:val="1"/>
      <w:numFmt w:val="decimal"/>
      <w:lvlText w:val="%1."/>
      <w:lvlJc w:val="left"/>
      <w:pPr>
        <w:ind w:left="720" w:hanging="360"/>
      </w:pPr>
    </w:lvl>
    <w:lvl w:ilvl="1" w:tplc="C188FFA4" w:tentative="1">
      <w:start w:val="1"/>
      <w:numFmt w:val="lowerLetter"/>
      <w:lvlText w:val="%2."/>
      <w:lvlJc w:val="left"/>
      <w:pPr>
        <w:ind w:left="1440" w:hanging="360"/>
      </w:pPr>
    </w:lvl>
    <w:lvl w:ilvl="2" w:tplc="C14AD842" w:tentative="1">
      <w:start w:val="1"/>
      <w:numFmt w:val="lowerRoman"/>
      <w:lvlText w:val="%3."/>
      <w:lvlJc w:val="right"/>
      <w:pPr>
        <w:ind w:left="2160" w:hanging="180"/>
      </w:pPr>
    </w:lvl>
    <w:lvl w:ilvl="3" w:tplc="F9E2DDE0" w:tentative="1">
      <w:start w:val="1"/>
      <w:numFmt w:val="decimal"/>
      <w:lvlText w:val="%4."/>
      <w:lvlJc w:val="left"/>
      <w:pPr>
        <w:ind w:left="2880" w:hanging="360"/>
      </w:pPr>
    </w:lvl>
    <w:lvl w:ilvl="4" w:tplc="72EC4F40" w:tentative="1">
      <w:start w:val="1"/>
      <w:numFmt w:val="lowerLetter"/>
      <w:lvlText w:val="%5."/>
      <w:lvlJc w:val="left"/>
      <w:pPr>
        <w:ind w:left="3600" w:hanging="360"/>
      </w:pPr>
    </w:lvl>
    <w:lvl w:ilvl="5" w:tplc="CE309E8E" w:tentative="1">
      <w:start w:val="1"/>
      <w:numFmt w:val="lowerRoman"/>
      <w:lvlText w:val="%6."/>
      <w:lvlJc w:val="right"/>
      <w:pPr>
        <w:ind w:left="4320" w:hanging="180"/>
      </w:pPr>
    </w:lvl>
    <w:lvl w:ilvl="6" w:tplc="2DA68596" w:tentative="1">
      <w:start w:val="1"/>
      <w:numFmt w:val="decimal"/>
      <w:lvlText w:val="%7."/>
      <w:lvlJc w:val="left"/>
      <w:pPr>
        <w:ind w:left="5040" w:hanging="360"/>
      </w:pPr>
    </w:lvl>
    <w:lvl w:ilvl="7" w:tplc="73FC2F08" w:tentative="1">
      <w:start w:val="1"/>
      <w:numFmt w:val="lowerLetter"/>
      <w:lvlText w:val="%8."/>
      <w:lvlJc w:val="left"/>
      <w:pPr>
        <w:ind w:left="5760" w:hanging="360"/>
      </w:pPr>
    </w:lvl>
    <w:lvl w:ilvl="8" w:tplc="8DC07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55586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2E9604" w:tentative="1">
      <w:start w:val="1"/>
      <w:numFmt w:val="lowerLetter"/>
      <w:lvlText w:val="%2."/>
      <w:lvlJc w:val="left"/>
      <w:pPr>
        <w:ind w:left="1800" w:hanging="360"/>
      </w:pPr>
    </w:lvl>
    <w:lvl w:ilvl="2" w:tplc="91DABF40" w:tentative="1">
      <w:start w:val="1"/>
      <w:numFmt w:val="lowerRoman"/>
      <w:lvlText w:val="%3."/>
      <w:lvlJc w:val="right"/>
      <w:pPr>
        <w:ind w:left="2520" w:hanging="180"/>
      </w:pPr>
    </w:lvl>
    <w:lvl w:ilvl="3" w:tplc="ABE622BA" w:tentative="1">
      <w:start w:val="1"/>
      <w:numFmt w:val="decimal"/>
      <w:lvlText w:val="%4."/>
      <w:lvlJc w:val="left"/>
      <w:pPr>
        <w:ind w:left="3240" w:hanging="360"/>
      </w:pPr>
    </w:lvl>
    <w:lvl w:ilvl="4" w:tplc="85AA49F2" w:tentative="1">
      <w:start w:val="1"/>
      <w:numFmt w:val="lowerLetter"/>
      <w:lvlText w:val="%5."/>
      <w:lvlJc w:val="left"/>
      <w:pPr>
        <w:ind w:left="3960" w:hanging="360"/>
      </w:pPr>
    </w:lvl>
    <w:lvl w:ilvl="5" w:tplc="28967B10" w:tentative="1">
      <w:start w:val="1"/>
      <w:numFmt w:val="lowerRoman"/>
      <w:lvlText w:val="%6."/>
      <w:lvlJc w:val="right"/>
      <w:pPr>
        <w:ind w:left="4680" w:hanging="180"/>
      </w:pPr>
    </w:lvl>
    <w:lvl w:ilvl="6" w:tplc="9F06584E" w:tentative="1">
      <w:start w:val="1"/>
      <w:numFmt w:val="decimal"/>
      <w:lvlText w:val="%7."/>
      <w:lvlJc w:val="left"/>
      <w:pPr>
        <w:ind w:left="5400" w:hanging="360"/>
      </w:pPr>
    </w:lvl>
    <w:lvl w:ilvl="7" w:tplc="0A8867BA" w:tentative="1">
      <w:start w:val="1"/>
      <w:numFmt w:val="lowerLetter"/>
      <w:lvlText w:val="%8."/>
      <w:lvlJc w:val="left"/>
      <w:pPr>
        <w:ind w:left="6120" w:hanging="360"/>
      </w:pPr>
    </w:lvl>
    <w:lvl w:ilvl="8" w:tplc="AB4AA8A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30011"/>
    <w:rsid w:val="000415F7"/>
    <w:rsid w:val="000C106E"/>
    <w:rsid w:val="000F6144"/>
    <w:rsid w:val="00112CF5"/>
    <w:rsid w:val="00141A9C"/>
    <w:rsid w:val="00142453"/>
    <w:rsid w:val="0016338D"/>
    <w:rsid w:val="001902A7"/>
    <w:rsid w:val="002146CB"/>
    <w:rsid w:val="00214D42"/>
    <w:rsid w:val="002978FA"/>
    <w:rsid w:val="002B1C81"/>
    <w:rsid w:val="002D0A84"/>
    <w:rsid w:val="003315AA"/>
    <w:rsid w:val="00391737"/>
    <w:rsid w:val="00397191"/>
    <w:rsid w:val="003A660F"/>
    <w:rsid w:val="004A6680"/>
    <w:rsid w:val="004C3734"/>
    <w:rsid w:val="004C7BC0"/>
    <w:rsid w:val="004E466D"/>
    <w:rsid w:val="00527144"/>
    <w:rsid w:val="00576C82"/>
    <w:rsid w:val="005A056E"/>
    <w:rsid w:val="005B10DA"/>
    <w:rsid w:val="005F585C"/>
    <w:rsid w:val="00610DBD"/>
    <w:rsid w:val="00611FC2"/>
    <w:rsid w:val="006A5E1B"/>
    <w:rsid w:val="006B3ED3"/>
    <w:rsid w:val="006C3461"/>
    <w:rsid w:val="006E0D32"/>
    <w:rsid w:val="006F293B"/>
    <w:rsid w:val="007153AC"/>
    <w:rsid w:val="007269C3"/>
    <w:rsid w:val="00801ADE"/>
    <w:rsid w:val="00811EA4"/>
    <w:rsid w:val="00824A8C"/>
    <w:rsid w:val="00860CBC"/>
    <w:rsid w:val="009736ED"/>
    <w:rsid w:val="009751DB"/>
    <w:rsid w:val="00987156"/>
    <w:rsid w:val="009B514C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C51614"/>
    <w:rsid w:val="00D916E1"/>
    <w:rsid w:val="00DF77A1"/>
    <w:rsid w:val="00E30066"/>
    <w:rsid w:val="00E83561"/>
    <w:rsid w:val="00EC5E2B"/>
    <w:rsid w:val="00ED1DDA"/>
    <w:rsid w:val="00F05BEA"/>
    <w:rsid w:val="00F7092F"/>
    <w:rsid w:val="00F7442E"/>
    <w:rsid w:val="00FA4616"/>
    <w:rsid w:val="00FC0EA1"/>
    <w:rsid w:val="00FD7A2A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2023-03-16T11:04:00Z</cp:lastPrinted>
  <dcterms:created xsi:type="dcterms:W3CDTF">2023-03-22T12:18:00Z</dcterms:created>
  <dcterms:modified xsi:type="dcterms:W3CDTF">2023-03-22T12:18:00Z</dcterms:modified>
</cp:coreProperties>
</file>